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2C3" w:rsidRPr="00736A07" w:rsidRDefault="00475F99" w:rsidP="00FD6E91">
      <w:p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FD6E91" w:rsidRPr="00736A07">
        <w:rPr>
          <w:rFonts w:ascii="Palatino Linotype" w:eastAsia="Palatino Linotype" w:hAnsi="Palatino Linotype" w:cs="Palatino Linotype"/>
          <w:b/>
          <w:bCs/>
        </w:rPr>
        <w:t>uno</w:t>
      </w:r>
      <w:r w:rsidR="00B16370" w:rsidRPr="00736A07">
        <w:rPr>
          <w:rFonts w:ascii="Palatino Linotype" w:eastAsia="Palatino Linotype" w:hAnsi="Palatino Linotype" w:cs="Palatino Linotype"/>
          <w:b/>
          <w:bCs/>
        </w:rPr>
        <w:t xml:space="preserve"> (01)</w:t>
      </w:r>
      <w:r w:rsidR="00FD6E91" w:rsidRPr="00736A07">
        <w:rPr>
          <w:rFonts w:ascii="Palatino Linotype" w:eastAsia="Palatino Linotype" w:hAnsi="Palatino Linotype" w:cs="Palatino Linotype"/>
          <w:b/>
          <w:bCs/>
        </w:rPr>
        <w:t xml:space="preserve"> </w:t>
      </w:r>
      <w:r w:rsidRPr="00736A07">
        <w:rPr>
          <w:rFonts w:ascii="Palatino Linotype" w:eastAsia="Palatino Linotype" w:hAnsi="Palatino Linotype" w:cs="Palatino Linotype"/>
          <w:b/>
          <w:bCs/>
        </w:rPr>
        <w:t>de julio de dos mil veintiséis</w:t>
      </w:r>
      <w:r w:rsidRPr="00736A07">
        <w:rPr>
          <w:rFonts w:ascii="Palatino Linotype" w:eastAsia="Palatino Linotype" w:hAnsi="Palatino Linotype" w:cs="Palatino Linotype"/>
        </w:rPr>
        <w:t xml:space="preserve">. </w:t>
      </w:r>
    </w:p>
    <w:p w:rsidR="00F972C3" w:rsidRPr="00736A07" w:rsidRDefault="00F972C3" w:rsidP="00FD6E91">
      <w:pPr>
        <w:spacing w:line="360" w:lineRule="auto"/>
        <w:ind w:right="-171"/>
        <w:jc w:val="both"/>
        <w:rPr>
          <w:rFonts w:ascii="Palatino Linotype" w:eastAsia="Palatino Linotype" w:hAnsi="Palatino Linotype" w:cs="Palatino Linotype"/>
        </w:rPr>
      </w:pPr>
    </w:p>
    <w:p w:rsidR="00F972C3" w:rsidRPr="00736A07" w:rsidRDefault="00475F99" w:rsidP="00FD6E91">
      <w:pPr>
        <w:spacing w:line="360" w:lineRule="auto"/>
        <w:ind w:right="-171"/>
        <w:jc w:val="both"/>
        <w:rPr>
          <w:rFonts w:ascii="Palatino Linotype" w:eastAsia="Palatino Linotype" w:hAnsi="Palatino Linotype" w:cs="Palatino Linotype"/>
        </w:rPr>
      </w:pPr>
      <w:bookmarkStart w:id="0" w:name="_heading=h.gjdgxs" w:colFirst="0" w:colLast="0"/>
      <w:bookmarkEnd w:id="0"/>
      <w:r w:rsidRPr="00736A07">
        <w:rPr>
          <w:rFonts w:ascii="Palatino Linotype" w:eastAsia="Palatino Linotype" w:hAnsi="Palatino Linotype" w:cs="Palatino Linotype"/>
          <w:b/>
          <w:bCs/>
        </w:rPr>
        <w:t>VISTOS</w:t>
      </w:r>
      <w:r w:rsidRPr="00736A07">
        <w:rPr>
          <w:rFonts w:ascii="Palatino Linotype" w:eastAsia="Palatino Linotype" w:hAnsi="Palatino Linotype" w:cs="Palatino Linotype"/>
        </w:rPr>
        <w:t xml:space="preserve"> el expediente electrónico formado con motivo del recurso de revisión </w:t>
      </w:r>
      <w:r w:rsidRPr="00736A07">
        <w:rPr>
          <w:rFonts w:ascii="Palatino Linotype" w:eastAsia="Palatino Linotype" w:hAnsi="Palatino Linotype" w:cs="Palatino Linotype"/>
          <w:b/>
          <w:bCs/>
        </w:rPr>
        <w:t>03968/INFOEM/IP/RR/2026</w:t>
      </w:r>
      <w:r w:rsidRPr="00736A07">
        <w:rPr>
          <w:rFonts w:ascii="Palatino Linotype" w:eastAsia="Palatino Linotype" w:hAnsi="Palatino Linotype" w:cs="Palatino Linotype"/>
        </w:rPr>
        <w:t>,</w:t>
      </w:r>
      <w:r w:rsidRPr="00736A07">
        <w:rPr>
          <w:rFonts w:ascii="Palatino Linotype" w:eastAsia="Palatino Linotype" w:hAnsi="Palatino Linotype" w:cs="Palatino Linotype"/>
          <w:b/>
          <w:bCs/>
        </w:rPr>
        <w:t xml:space="preserve"> </w:t>
      </w:r>
      <w:r w:rsidRPr="00736A07">
        <w:rPr>
          <w:rFonts w:ascii="Palatino Linotype" w:eastAsia="Palatino Linotype" w:hAnsi="Palatino Linotype" w:cs="Palatino Linotype"/>
        </w:rPr>
        <w:t xml:space="preserve">promovido por </w:t>
      </w:r>
      <w:r w:rsidRPr="00736A07">
        <w:rPr>
          <w:rFonts w:ascii="Palatino Linotype" w:eastAsia="Palatino Linotype" w:hAnsi="Palatino Linotype" w:cs="Palatino Linotype"/>
          <w:b/>
          <w:bCs/>
        </w:rPr>
        <w:t>una persona que no proporciona datos de identificación</w:t>
      </w:r>
      <w:r w:rsidR="00B16370" w:rsidRPr="00736A07">
        <w:rPr>
          <w:rFonts w:ascii="Palatino Linotype" w:eastAsia="Palatino Linotype" w:hAnsi="Palatino Linotype" w:cs="Palatino Linotype"/>
        </w:rPr>
        <w:t>, a quien en lo sucesivo se le</w:t>
      </w:r>
      <w:r w:rsidRPr="00736A07">
        <w:rPr>
          <w:rFonts w:ascii="Palatino Linotype" w:eastAsia="Palatino Linotype" w:hAnsi="Palatino Linotype" w:cs="Palatino Linotype"/>
        </w:rPr>
        <w:t xml:space="preserve"> llamara </w:t>
      </w:r>
      <w:r w:rsidRPr="00736A07">
        <w:rPr>
          <w:rFonts w:ascii="Palatino Linotype" w:eastAsia="Palatino Linotype" w:hAnsi="Palatino Linotype" w:cs="Palatino Linotype"/>
          <w:b/>
          <w:bCs/>
        </w:rPr>
        <w:t>RECURRENTE,</w:t>
      </w:r>
      <w:r w:rsidRPr="00736A07">
        <w:rPr>
          <w:rFonts w:ascii="Palatino Linotype" w:eastAsia="Palatino Linotype" w:hAnsi="Palatino Linotype" w:cs="Palatino Linotype"/>
        </w:rPr>
        <w:t xml:space="preserve"> en contra de la respuesta del  </w:t>
      </w:r>
      <w:r w:rsidRPr="00736A07">
        <w:rPr>
          <w:rFonts w:ascii="Palatino Linotype" w:eastAsia="Palatino Linotype" w:hAnsi="Palatino Linotype" w:cs="Palatino Linotype"/>
          <w:b/>
          <w:bCs/>
        </w:rPr>
        <w:t xml:space="preserve">Poder Judicial, </w:t>
      </w:r>
      <w:r w:rsidRPr="00736A07">
        <w:rPr>
          <w:rFonts w:ascii="Palatino Linotype" w:eastAsia="Palatino Linotype" w:hAnsi="Palatino Linotype" w:cs="Palatino Linotype"/>
        </w:rPr>
        <w:t>en adelante el</w:t>
      </w:r>
      <w:r w:rsidRPr="00736A07">
        <w:rPr>
          <w:rFonts w:ascii="Palatino Linotype" w:eastAsia="Palatino Linotype" w:hAnsi="Palatino Linotype" w:cs="Palatino Linotype"/>
          <w:b/>
          <w:bCs/>
        </w:rPr>
        <w:t xml:space="preserve"> SUJETO OBLIGADO</w:t>
      </w:r>
      <w:r w:rsidRPr="00736A07">
        <w:rPr>
          <w:rFonts w:ascii="Palatino Linotype" w:eastAsia="Palatino Linotype" w:hAnsi="Palatino Linotype" w:cs="Palatino Linotype"/>
        </w:rPr>
        <w:t>, por lo que se procede a dictar la presente resolución, con base en los siguientes:</w:t>
      </w:r>
    </w:p>
    <w:p w:rsidR="00F972C3" w:rsidRPr="00736A07" w:rsidRDefault="00F972C3" w:rsidP="00FD6E91">
      <w:pPr>
        <w:keepNext/>
        <w:keepLines/>
        <w:spacing w:line="360" w:lineRule="auto"/>
        <w:ind w:right="-171"/>
        <w:jc w:val="both"/>
        <w:rPr>
          <w:rFonts w:ascii="Palatino Linotype" w:eastAsia="Palatino Linotype" w:hAnsi="Palatino Linotype" w:cs="Palatino Linotype"/>
          <w:b/>
          <w:bCs/>
        </w:rPr>
      </w:pPr>
    </w:p>
    <w:p w:rsidR="00F972C3" w:rsidRPr="00736A07" w:rsidRDefault="00475F99" w:rsidP="00FD6E91">
      <w:pPr>
        <w:keepNext/>
        <w:keepLines/>
        <w:spacing w:line="360" w:lineRule="auto"/>
        <w:ind w:right="-171"/>
        <w:jc w:val="center"/>
        <w:rPr>
          <w:rFonts w:ascii="Palatino Linotype" w:eastAsia="Palatino Linotype" w:hAnsi="Palatino Linotype" w:cs="Palatino Linotype"/>
          <w:b/>
          <w:bCs/>
        </w:rPr>
      </w:pPr>
      <w:r w:rsidRPr="00736A07">
        <w:rPr>
          <w:rFonts w:ascii="Palatino Linotype" w:eastAsia="Palatino Linotype" w:hAnsi="Palatino Linotype" w:cs="Palatino Linotype"/>
          <w:b/>
          <w:bCs/>
        </w:rPr>
        <w:t>A N T E C E D E N T E S</w:t>
      </w:r>
    </w:p>
    <w:p w:rsidR="00F972C3" w:rsidRPr="00736A07" w:rsidRDefault="00F972C3" w:rsidP="00FD6E91">
      <w:pPr>
        <w:spacing w:line="360" w:lineRule="auto"/>
        <w:ind w:right="-171"/>
        <w:jc w:val="both"/>
        <w:rPr>
          <w:rFonts w:ascii="Palatino Linotype" w:eastAsia="Palatino Linotype" w:hAnsi="Palatino Linotype" w:cs="Palatino Linotype"/>
          <w:b/>
          <w:bCs/>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El </w:t>
      </w:r>
      <w:r w:rsidRPr="00736A07">
        <w:rPr>
          <w:rFonts w:ascii="Palatino Linotype" w:eastAsia="Palatino Linotype" w:hAnsi="Palatino Linotype" w:cs="Palatino Linotype"/>
          <w:b/>
          <w:bCs/>
        </w:rPr>
        <w:t>diecisiete de marzo de dos mil veintiséis</w:t>
      </w:r>
      <w:r w:rsidRPr="00736A07">
        <w:rPr>
          <w:rFonts w:ascii="Palatino Linotype" w:eastAsia="Palatino Linotype" w:hAnsi="Palatino Linotype" w:cs="Palatino Linotype"/>
        </w:rPr>
        <w:t xml:space="preserve">, </w:t>
      </w:r>
      <w:r w:rsidRPr="00736A07">
        <w:rPr>
          <w:rFonts w:ascii="Palatino Linotype" w:eastAsia="Palatino Linotype" w:hAnsi="Palatino Linotype" w:cs="Palatino Linotype"/>
          <w:b/>
          <w:bCs/>
        </w:rPr>
        <w:t>EL RECURRENTE,</w:t>
      </w:r>
      <w:r w:rsidRPr="00736A07">
        <w:rPr>
          <w:rFonts w:ascii="Palatino Linotype" w:eastAsia="Palatino Linotype" w:hAnsi="Palatino Linotype" w:cs="Palatino Linotype"/>
        </w:rPr>
        <w:t xml:space="preserve"> ante el </w:t>
      </w:r>
      <w:r w:rsidRPr="00736A07">
        <w:rPr>
          <w:rFonts w:ascii="Palatino Linotype" w:eastAsia="Palatino Linotype" w:hAnsi="Palatino Linotype" w:cs="Palatino Linotype"/>
          <w:b/>
          <w:bCs/>
        </w:rPr>
        <w:t>SUJETO OBLIGADO</w:t>
      </w:r>
      <w:r w:rsidRPr="00736A07">
        <w:rPr>
          <w:rFonts w:ascii="Palatino Linotype" w:eastAsia="Palatino Linotype" w:hAnsi="Palatino Linotype" w:cs="Palatino Linotype"/>
        </w:rPr>
        <w:t>, vía Sistema de Acceso a la Información Mexiquense (</w:t>
      </w:r>
      <w:r w:rsidRPr="00736A07">
        <w:rPr>
          <w:rFonts w:ascii="Palatino Linotype" w:eastAsia="Palatino Linotype" w:hAnsi="Palatino Linotype" w:cs="Palatino Linotype"/>
          <w:b/>
          <w:bCs/>
        </w:rPr>
        <w:t>SAIMEX)</w:t>
      </w:r>
      <w:r w:rsidRPr="00736A07">
        <w:rPr>
          <w:rFonts w:ascii="Palatino Linotype" w:eastAsia="Palatino Linotype" w:hAnsi="Palatino Linotype" w:cs="Palatino Linotype"/>
        </w:rPr>
        <w:t xml:space="preserve">, presentó la solicitud de información registrada con el número </w:t>
      </w:r>
      <w:r w:rsidRPr="00736A07">
        <w:rPr>
          <w:rFonts w:ascii="Palatino Linotype" w:eastAsia="Palatino Linotype" w:hAnsi="Palatino Linotype" w:cs="Palatino Linotype"/>
          <w:b/>
          <w:bCs/>
        </w:rPr>
        <w:t>00208/PJUDICI/IP/2026</w:t>
      </w:r>
      <w:r w:rsidRPr="00736A07">
        <w:rPr>
          <w:rFonts w:ascii="Palatino Linotype" w:eastAsia="Palatino Linotype" w:hAnsi="Palatino Linotype" w:cs="Palatino Linotype"/>
        </w:rPr>
        <w:t>,</w:t>
      </w:r>
      <w:r w:rsidRPr="00736A07">
        <w:rPr>
          <w:rFonts w:ascii="Palatino Linotype" w:eastAsia="Palatino Linotype" w:hAnsi="Palatino Linotype" w:cs="Palatino Linotype"/>
          <w:b/>
          <w:bCs/>
        </w:rPr>
        <w:t xml:space="preserve"> </w:t>
      </w:r>
      <w:r w:rsidRPr="00736A07">
        <w:rPr>
          <w:rFonts w:ascii="Palatino Linotype" w:eastAsia="Palatino Linotype" w:hAnsi="Palatino Linotype" w:cs="Palatino Linotype"/>
        </w:rPr>
        <w:t>en la que se solicitó lo siguiente:</w:t>
      </w:r>
    </w:p>
    <w:p w:rsidR="00F972C3" w:rsidRPr="00736A07" w:rsidRDefault="00F972C3" w:rsidP="00FD6E91">
      <w:pPr>
        <w:spacing w:line="360" w:lineRule="auto"/>
        <w:ind w:left="1134" w:right="-171"/>
        <w:jc w:val="both"/>
        <w:rPr>
          <w:rFonts w:ascii="Palatino Linotype" w:eastAsia="Palatino Linotype" w:hAnsi="Palatino Linotype" w:cs="Palatino Linotype"/>
        </w:rPr>
      </w:pPr>
    </w:p>
    <w:p w:rsidR="00F972C3" w:rsidRPr="00736A07" w:rsidRDefault="00475F99" w:rsidP="00FD6E91">
      <w:pPr>
        <w:ind w:left="1134" w:right="-171"/>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“Solicito los recibos de nómina del Juez Tercero Familiar de Toluca con residencia en Metepec desde octubre de 2025 a febrero de 2026, del mismo modo, informe durante tu gestión hasta el 13 de marzo de los 2026 cuántas sentencias ha emitido, y de esas cuántas han sido impugnadas, también durante su gestión hasta el 13 de marzo de 2026 cuántos juicios de amparo ha recibido y la versión pública de las sentencias emitidas desde enero de 2026 a febrero de 2026.</w:t>
      </w:r>
      <w:r w:rsidRPr="00736A07">
        <w:rPr>
          <w:rFonts w:ascii="Palatino Linotype" w:eastAsia="Palatino Linotype" w:hAnsi="Palatino Linotype" w:cs="Palatino Linotype"/>
          <w:color w:val="000000"/>
        </w:rPr>
        <w:t>"</w:t>
      </w:r>
      <w:r w:rsidRPr="00736A07">
        <w:rPr>
          <w:rFonts w:ascii="Palatino Linotype" w:eastAsia="Palatino Linotype" w:hAnsi="Palatino Linotype" w:cs="Palatino Linotype"/>
          <w:i/>
          <w:iCs/>
          <w:color w:val="000000"/>
        </w:rPr>
        <w:t xml:space="preserve">” </w:t>
      </w:r>
      <w:r w:rsidRPr="00736A07">
        <w:rPr>
          <w:rFonts w:ascii="Palatino Linotype" w:eastAsia="Palatino Linotype" w:hAnsi="Palatino Linotype" w:cs="Palatino Linotype"/>
          <w:color w:val="000000"/>
        </w:rPr>
        <w:t>(Sic)</w:t>
      </w:r>
      <w:r w:rsidRPr="00736A07">
        <w:rPr>
          <w:rFonts w:ascii="Palatino Linotype" w:eastAsia="Palatino Linotype" w:hAnsi="Palatino Linotype" w:cs="Palatino Linotype"/>
          <w:i/>
          <w:iCs/>
          <w:color w:val="000000"/>
        </w:rPr>
        <w:t xml:space="preserve"> </w:t>
      </w:r>
    </w:p>
    <w:p w:rsidR="00875B48" w:rsidRDefault="00875B48" w:rsidP="00FD6E91">
      <w:pPr>
        <w:ind w:left="1134" w:right="-171"/>
        <w:jc w:val="both"/>
        <w:rPr>
          <w:rFonts w:ascii="Palatino Linotype" w:eastAsia="Palatino Linotype" w:hAnsi="Palatino Linotype" w:cs="Palatino Linotype"/>
          <w:i/>
          <w:iCs/>
          <w:color w:val="000000"/>
        </w:rPr>
      </w:pPr>
    </w:p>
    <w:p w:rsidR="00F972C3" w:rsidRPr="00736A07" w:rsidRDefault="00475F99" w:rsidP="00FD6E91">
      <w:pPr>
        <w:numPr>
          <w:ilvl w:val="0"/>
          <w:numId w:val="3"/>
        </w:numPr>
        <w:pBdr>
          <w:top w:val="nil"/>
          <w:left w:val="nil"/>
          <w:bottom w:val="nil"/>
          <w:right w:val="nil"/>
          <w:between w:val="nil"/>
        </w:pBd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Se eligió como modalidad de entrega a través de la plataforma digital Sistema de Acceso a la Información Mexiquense (SAIMEX).</w:t>
      </w:r>
    </w:p>
    <w:p w:rsidR="00F972C3" w:rsidRPr="00736A07" w:rsidRDefault="00475F99" w:rsidP="00FD6E91">
      <w:pPr>
        <w:numPr>
          <w:ilvl w:val="0"/>
          <w:numId w:val="1"/>
        </w:numPr>
        <w:pBdr>
          <w:top w:val="nil"/>
          <w:left w:val="nil"/>
          <w:bottom w:val="nil"/>
          <w:right w:val="nil"/>
          <w:between w:val="nil"/>
        </w:pBd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lastRenderedPageBreak/>
        <w:t xml:space="preserve">En </w:t>
      </w:r>
      <w:bookmarkStart w:id="1" w:name="_GoBack"/>
      <w:bookmarkEnd w:id="1"/>
      <w:r w:rsidRPr="00736A07">
        <w:rPr>
          <w:rFonts w:ascii="Palatino Linotype" w:eastAsia="Palatino Linotype" w:hAnsi="Palatino Linotype" w:cs="Palatino Linotype"/>
          <w:color w:val="000000"/>
        </w:rPr>
        <w:t xml:space="preserve">fecha </w:t>
      </w:r>
      <w:r w:rsidRPr="00736A07">
        <w:rPr>
          <w:rFonts w:ascii="Palatino Linotype" w:eastAsia="Palatino Linotype" w:hAnsi="Palatino Linotype" w:cs="Palatino Linotype"/>
          <w:b/>
          <w:bCs/>
          <w:color w:val="000000"/>
        </w:rPr>
        <w:t>catorce de abril de dos mil veintiséis</w:t>
      </w:r>
      <w:r w:rsidRPr="00736A07">
        <w:rPr>
          <w:rFonts w:ascii="Palatino Linotype" w:eastAsia="Palatino Linotype" w:hAnsi="Palatino Linotype" w:cs="Palatino Linotype"/>
          <w:color w:val="000000"/>
        </w:rPr>
        <w:t xml:space="preserv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dio respuesta a través de un archivo electrónico en formato pdf, cuyo contenido grosso modo es el siguiente. </w:t>
      </w:r>
    </w:p>
    <w:p w:rsidR="00F972C3" w:rsidRPr="00736A07" w:rsidRDefault="00475F99" w:rsidP="00FD6E91">
      <w:pPr>
        <w:pBdr>
          <w:top w:val="nil"/>
          <w:left w:val="nil"/>
          <w:bottom w:val="nil"/>
          <w:right w:val="nil"/>
          <w:between w:val="nil"/>
        </w:pBdr>
        <w:ind w:left="1134" w:right="-171"/>
        <w:jc w:val="both"/>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t xml:space="preserve">RESPUESTA 00208-2026.pdf: </w:t>
      </w:r>
      <w:r w:rsidRPr="00736A07">
        <w:rPr>
          <w:rFonts w:ascii="Palatino Linotype" w:eastAsia="Palatino Linotype" w:hAnsi="Palatino Linotype" w:cs="Palatino Linotype"/>
          <w:i/>
          <w:iCs/>
          <w:color w:val="000000"/>
        </w:rPr>
        <w:t xml:space="preserve">oficio del Titular de la Unidad de Transparencia, mediante el cual informa  que en el siguiente link  </w:t>
      </w:r>
      <w:hyperlink r:id="rId8">
        <w:r w:rsidRPr="00736A07">
          <w:rPr>
            <w:rFonts w:ascii="Palatino Linotype" w:eastAsia="Palatino Linotype" w:hAnsi="Palatino Linotype" w:cs="Palatino Linotype"/>
            <w:i/>
            <w:iCs/>
            <w:color w:val="0563C1"/>
            <w:u w:val="single"/>
          </w:rPr>
          <w:t>https://cloud3.pjedomex.gob.mx/index.php/s/ihZWb74V4Si0vkv</w:t>
        </w:r>
      </w:hyperlink>
      <w:r w:rsidRPr="00736A07">
        <w:rPr>
          <w:rFonts w:ascii="Palatino Linotype" w:eastAsia="Palatino Linotype" w:hAnsi="Palatino Linotype" w:cs="Palatino Linotype"/>
          <w:i/>
          <w:iCs/>
          <w:color w:val="000000"/>
        </w:rPr>
        <w:t xml:space="preserve">, se encontrará la información relacionada con los comprobantes de percepciones y deducciones, el total de sentencias y de amparos interpuestos, para consultar la información el </w:t>
      </w:r>
      <w:r w:rsidRPr="00736A07">
        <w:rPr>
          <w:rFonts w:ascii="Palatino Linotype" w:eastAsia="Palatino Linotype" w:hAnsi="Palatino Linotype" w:cs="Palatino Linotype"/>
          <w:b/>
          <w:bCs/>
          <w:i/>
          <w:iCs/>
          <w:color w:val="000000"/>
        </w:rPr>
        <w:t xml:space="preserve">SUJETO OBLIGADO </w:t>
      </w:r>
      <w:r w:rsidRPr="00736A07">
        <w:rPr>
          <w:rFonts w:ascii="Palatino Linotype" w:eastAsia="Palatino Linotype" w:hAnsi="Palatino Linotype" w:cs="Palatino Linotype"/>
          <w:i/>
          <w:iCs/>
          <w:color w:val="000000"/>
        </w:rPr>
        <w:t xml:space="preserve">entrego la contraseña </w:t>
      </w:r>
      <w:r w:rsidRPr="00736A07">
        <w:rPr>
          <w:rFonts w:ascii="Palatino Linotype" w:eastAsia="Palatino Linotype" w:hAnsi="Palatino Linotype" w:cs="Palatino Linotype"/>
          <w:b/>
          <w:bCs/>
          <w:i/>
          <w:iCs/>
          <w:color w:val="000000"/>
        </w:rPr>
        <w:t>Pj12345672026*.</w:t>
      </w:r>
    </w:p>
    <w:p w:rsidR="00F972C3" w:rsidRPr="00736A07" w:rsidRDefault="00F972C3" w:rsidP="00FD6E91">
      <w:pPr>
        <w:pBdr>
          <w:top w:val="nil"/>
          <w:left w:val="nil"/>
          <w:bottom w:val="nil"/>
          <w:right w:val="nil"/>
          <w:between w:val="nil"/>
        </w:pBdr>
        <w:ind w:left="1134" w:right="-171"/>
        <w:jc w:val="both"/>
        <w:rPr>
          <w:rFonts w:ascii="Palatino Linotype" w:eastAsia="Palatino Linotype" w:hAnsi="Palatino Linotype" w:cs="Palatino Linotype"/>
          <w:b/>
          <w:bCs/>
          <w:i/>
          <w:iCs/>
          <w:color w:val="000000"/>
        </w:rPr>
      </w:pPr>
    </w:p>
    <w:p w:rsidR="00F972C3" w:rsidRPr="00736A07" w:rsidRDefault="00475F99" w:rsidP="00FD6E91">
      <w:pPr>
        <w:pBdr>
          <w:top w:val="nil"/>
          <w:left w:val="nil"/>
          <w:bottom w:val="nil"/>
          <w:right w:val="nil"/>
          <w:between w:val="nil"/>
        </w:pBdr>
        <w:ind w:left="1134" w:right="-171"/>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Seguidamente el </w:t>
      </w:r>
      <w:r w:rsidRPr="00736A07">
        <w:rPr>
          <w:rFonts w:ascii="Palatino Linotype" w:eastAsia="Palatino Linotype" w:hAnsi="Palatino Linotype" w:cs="Palatino Linotype"/>
          <w:b/>
          <w:bCs/>
          <w:i/>
          <w:iCs/>
          <w:color w:val="000000"/>
        </w:rPr>
        <w:t xml:space="preserve">SUJETO OBLIGADO </w:t>
      </w:r>
      <w:r w:rsidRPr="00736A07">
        <w:rPr>
          <w:rFonts w:ascii="Palatino Linotype" w:eastAsia="Palatino Linotype" w:hAnsi="Palatino Linotype" w:cs="Palatino Linotype"/>
          <w:i/>
          <w:iCs/>
          <w:color w:val="000000"/>
        </w:rPr>
        <w:t xml:space="preserve">informó que las sentencias en versión pública pueden ser consultadas en la liga electrónica </w:t>
      </w:r>
      <w:hyperlink r:id="rId9">
        <w:r w:rsidRPr="00736A07">
          <w:rPr>
            <w:rFonts w:ascii="Palatino Linotype" w:eastAsia="Palatino Linotype" w:hAnsi="Palatino Linotype" w:cs="Palatino Linotype"/>
            <w:i/>
            <w:iCs/>
            <w:color w:val="0563C1"/>
            <w:u w:val="single"/>
          </w:rPr>
          <w:t>https://www.pjedomex.gob.mx/vista/1_inicio</w:t>
        </w:r>
      </w:hyperlink>
      <w:r w:rsidRPr="00736A07">
        <w:rPr>
          <w:rFonts w:ascii="Palatino Linotype" w:eastAsia="Palatino Linotype" w:hAnsi="Palatino Linotype" w:cs="Palatino Linotype"/>
          <w:i/>
          <w:iCs/>
          <w:color w:val="000000"/>
        </w:rPr>
        <w:t xml:space="preserve">, proporcionando los pasos a seguir para la consulta de las sentencias. </w:t>
      </w:r>
    </w:p>
    <w:p w:rsidR="00F972C3" w:rsidRPr="00736A07" w:rsidRDefault="00F972C3" w:rsidP="00FD6E91">
      <w:pPr>
        <w:pBdr>
          <w:top w:val="nil"/>
          <w:left w:val="nil"/>
          <w:bottom w:val="nil"/>
          <w:right w:val="nil"/>
          <w:between w:val="nil"/>
        </w:pBdr>
        <w:ind w:left="1134" w:right="-171"/>
        <w:jc w:val="both"/>
        <w:rPr>
          <w:rFonts w:ascii="Palatino Linotype" w:eastAsia="Palatino Linotype" w:hAnsi="Palatino Linotype" w:cs="Palatino Linotype"/>
          <w:i/>
          <w:iCs/>
          <w:color w:val="000000"/>
        </w:rPr>
      </w:pPr>
    </w:p>
    <w:p w:rsidR="00F972C3" w:rsidRPr="00736A07" w:rsidRDefault="00475F99" w:rsidP="00FD6E91">
      <w:pPr>
        <w:numPr>
          <w:ilvl w:val="0"/>
          <w:numId w:val="1"/>
        </w:numPr>
        <w:pBdr>
          <w:top w:val="nil"/>
          <w:left w:val="nil"/>
          <w:bottom w:val="nil"/>
          <w:right w:val="nil"/>
          <w:between w:val="nil"/>
        </w:pBd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Seguidamente, en la liga electrónica proporcionada por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se entregó una carpeta zip, cuyo contenido grosso modo es el siguiente. </w:t>
      </w:r>
    </w:p>
    <w:p w:rsidR="00F972C3" w:rsidRPr="00736A07" w:rsidRDefault="00475F99" w:rsidP="00FD6E91">
      <w:pPr>
        <w:pBdr>
          <w:top w:val="nil"/>
          <w:left w:val="nil"/>
          <w:bottom w:val="nil"/>
          <w:right w:val="nil"/>
          <w:between w:val="nil"/>
        </w:pBdr>
        <w:ind w:left="1134" w:right="-171"/>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t>ANEXO DE ENTREGA\2025 OK.pdf:</w:t>
      </w:r>
      <w:r w:rsidRPr="00736A07">
        <w:rPr>
          <w:rFonts w:ascii="Palatino Linotype" w:eastAsia="Palatino Linotype" w:hAnsi="Palatino Linotype" w:cs="Palatino Linotype"/>
          <w:i/>
          <w:iCs/>
          <w:color w:val="000000"/>
        </w:rPr>
        <w:t xml:space="preserve"> documento que contiene los comprobantes de percepciones y deducciones de la primera quincena de octubre a la treinta y uno de diciembre de dos mil veinticinco. </w:t>
      </w:r>
    </w:p>
    <w:p w:rsidR="00F972C3" w:rsidRPr="00736A07" w:rsidRDefault="00475F99" w:rsidP="00FD6E91">
      <w:pPr>
        <w:pBdr>
          <w:top w:val="nil"/>
          <w:left w:val="nil"/>
          <w:bottom w:val="nil"/>
          <w:right w:val="nil"/>
          <w:between w:val="nil"/>
        </w:pBdr>
        <w:ind w:left="1134" w:right="-171"/>
        <w:jc w:val="both"/>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t>ANEXO DE ENTREGA\2026 OK.pdf:</w:t>
      </w:r>
      <w:r w:rsidRPr="00736A07">
        <w:rPr>
          <w:rFonts w:ascii="Palatino Linotype" w:eastAsia="Palatino Linotype" w:hAnsi="Palatino Linotype" w:cs="Palatino Linotype"/>
          <w:i/>
          <w:iCs/>
          <w:color w:val="000000"/>
        </w:rPr>
        <w:t xml:space="preserve"> documento que contiene los comprobantes de percepciones y deducciones de la primera quincena de enero de dos mil veintiséis a la segunda quincena de febrero de dos mil veintiséis.</w:t>
      </w:r>
    </w:p>
    <w:p w:rsidR="00F972C3" w:rsidRPr="00736A07" w:rsidRDefault="00475F99" w:rsidP="00FD6E91">
      <w:pPr>
        <w:pBdr>
          <w:top w:val="nil"/>
          <w:left w:val="nil"/>
          <w:bottom w:val="nil"/>
          <w:right w:val="nil"/>
          <w:between w:val="nil"/>
        </w:pBdr>
        <w:ind w:left="1134" w:right="-171"/>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t xml:space="preserve">ANEXO DE ENTREGA\ANEXO.txt: </w:t>
      </w:r>
      <w:r w:rsidRPr="00736A07">
        <w:rPr>
          <w:rFonts w:ascii="Palatino Linotype" w:eastAsia="Palatino Linotype" w:hAnsi="Palatino Linotype" w:cs="Palatino Linotype"/>
          <w:i/>
          <w:iCs/>
          <w:color w:val="000000"/>
        </w:rPr>
        <w:t xml:space="preserve">nota que contiene el número de sentencias emitidas y apeladas en el periodo del veintidós de septiembre de dos mil veinticinco al trece de marzo de dos mil veintiséis. </w:t>
      </w:r>
    </w:p>
    <w:p w:rsidR="00F972C3" w:rsidRPr="00736A07" w:rsidRDefault="00475F99" w:rsidP="00FD6E91">
      <w:pPr>
        <w:pBdr>
          <w:top w:val="nil"/>
          <w:left w:val="nil"/>
          <w:bottom w:val="nil"/>
          <w:right w:val="nil"/>
          <w:between w:val="nil"/>
        </w:pBdr>
        <w:ind w:left="1134" w:right="-171"/>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El documento también contiene el número total de amparaos interpuestos en el periodo del veintidós de septiembre de dos mil veinticinco al trece de marzo de dos mil veintiséis. </w:t>
      </w:r>
    </w:p>
    <w:p w:rsidR="00F972C3" w:rsidRPr="00736A07" w:rsidRDefault="00475F99" w:rsidP="00FD6E91">
      <w:pPr>
        <w:pBdr>
          <w:top w:val="nil"/>
          <w:left w:val="nil"/>
          <w:bottom w:val="nil"/>
          <w:right w:val="nil"/>
          <w:between w:val="nil"/>
        </w:pBdr>
        <w:ind w:left="1134" w:right="-171"/>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t xml:space="preserve">ANEXO DE ENTREGA\ANEXO.xlsx: </w:t>
      </w:r>
      <w:r w:rsidRPr="00736A07">
        <w:rPr>
          <w:rFonts w:ascii="Palatino Linotype" w:eastAsia="Palatino Linotype" w:hAnsi="Palatino Linotype" w:cs="Palatino Linotype"/>
          <w:i/>
          <w:iCs/>
          <w:color w:val="000000"/>
        </w:rPr>
        <w:t xml:space="preserve">documento Excel que contiene el número de sentencias emitidas y apeladas en el periodo del veintidós de septiembre de dos mil veinticinco al trece de marzo de dos mil veintiséis. </w:t>
      </w:r>
    </w:p>
    <w:p w:rsidR="00F972C3" w:rsidRPr="00736A07" w:rsidRDefault="00475F99" w:rsidP="00FD6E91">
      <w:pPr>
        <w:pBdr>
          <w:top w:val="nil"/>
          <w:left w:val="nil"/>
          <w:bottom w:val="nil"/>
          <w:right w:val="nil"/>
          <w:between w:val="nil"/>
        </w:pBdr>
        <w:ind w:left="1134" w:right="-171"/>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El documento también contiene el número total de amparaos interpuestos en el periodo del veintidós de septiembre de dos mil veinticinco al trece de marzo de dos mil veintiséis. </w:t>
      </w:r>
    </w:p>
    <w:p w:rsidR="00F972C3" w:rsidRPr="00736A07" w:rsidRDefault="00475F99" w:rsidP="00FD6E91">
      <w:pPr>
        <w:numPr>
          <w:ilvl w:val="0"/>
          <w:numId w:val="1"/>
        </w:numPr>
        <w:pBdr>
          <w:top w:val="nil"/>
          <w:left w:val="nil"/>
          <w:bottom w:val="nil"/>
          <w:right w:val="nil"/>
          <w:between w:val="nil"/>
        </w:pBd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lastRenderedPageBreak/>
        <w:t>En fecha</w:t>
      </w:r>
      <w:r w:rsidRPr="00736A07">
        <w:rPr>
          <w:rFonts w:ascii="Palatino Linotype" w:eastAsia="Palatino Linotype" w:hAnsi="Palatino Linotype" w:cs="Palatino Linotype"/>
          <w:b/>
          <w:bCs/>
          <w:color w:val="000000"/>
        </w:rPr>
        <w:t xml:space="preserve"> quince de abril de dos mil veintiséis,</w:t>
      </w:r>
      <w:r w:rsidRPr="00736A07">
        <w:rPr>
          <w:rFonts w:ascii="Palatino Linotype" w:eastAsia="Palatino Linotype" w:hAnsi="Palatino Linotype" w:cs="Palatino Linotype"/>
          <w:color w:val="000000"/>
        </w:rPr>
        <w:t xml:space="preserve"> </w:t>
      </w:r>
      <w:r w:rsidRPr="00736A07">
        <w:rPr>
          <w:rFonts w:ascii="Palatino Linotype" w:eastAsia="Palatino Linotype" w:hAnsi="Palatino Linotype" w:cs="Palatino Linotype"/>
          <w:b/>
          <w:bCs/>
          <w:color w:val="000000"/>
        </w:rPr>
        <w:t>EL PARTICULAR</w:t>
      </w:r>
      <w:r w:rsidRPr="00736A07">
        <w:rPr>
          <w:rFonts w:ascii="Palatino Linotype" w:eastAsia="Palatino Linotype" w:hAnsi="Palatino Linotype" w:cs="Palatino Linotype"/>
          <w:color w:val="000000"/>
        </w:rPr>
        <w:t xml:space="preserve"> interpuso el recurso de revisión en contra de la respuesta, manifestando las siguientes razones o motivos de inconformidad:</w:t>
      </w:r>
    </w:p>
    <w:p w:rsidR="00F972C3" w:rsidRPr="00736A07" w:rsidRDefault="00F972C3" w:rsidP="00FD6E91">
      <w:pPr>
        <w:pBdr>
          <w:top w:val="nil"/>
          <w:left w:val="nil"/>
          <w:bottom w:val="nil"/>
          <w:right w:val="nil"/>
          <w:between w:val="nil"/>
        </w:pBd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2"/>
        </w:numPr>
        <w:ind w:right="-171"/>
        <w:jc w:val="both"/>
        <w:rPr>
          <w:rFonts w:ascii="Palatino Linotype" w:eastAsia="Palatino Linotype" w:hAnsi="Palatino Linotype" w:cs="Palatino Linotype"/>
        </w:rPr>
      </w:pPr>
      <w:bookmarkStart w:id="2" w:name="_heading=h.7fibm1641k38" w:colFirst="0" w:colLast="0"/>
      <w:bookmarkEnd w:id="2"/>
      <w:r w:rsidRPr="00736A07">
        <w:rPr>
          <w:rFonts w:ascii="Palatino Linotype" w:eastAsia="Palatino Linotype" w:hAnsi="Palatino Linotype" w:cs="Palatino Linotype"/>
          <w:b/>
          <w:bCs/>
        </w:rPr>
        <w:t>Acto impugnado</w:t>
      </w:r>
      <w:r w:rsidRPr="00736A07">
        <w:rPr>
          <w:rFonts w:ascii="Palatino Linotype" w:eastAsia="Palatino Linotype" w:hAnsi="Palatino Linotype" w:cs="Palatino Linotype"/>
        </w:rPr>
        <w:t xml:space="preserve">: </w:t>
      </w:r>
      <w:r w:rsidRPr="00736A07">
        <w:rPr>
          <w:rFonts w:ascii="Palatino Linotype" w:eastAsia="Palatino Linotype" w:hAnsi="Palatino Linotype" w:cs="Palatino Linotype"/>
          <w:i/>
          <w:iCs/>
        </w:rPr>
        <w:t>“Modalidad de entrega de la información solicitada</w:t>
      </w:r>
      <w:r w:rsidRPr="00736A07">
        <w:rPr>
          <w:rFonts w:ascii="Palatino Linotype" w:eastAsia="Palatino Linotype" w:hAnsi="Palatino Linotype" w:cs="Palatino Linotype"/>
          <w:color w:val="000000"/>
        </w:rPr>
        <w:t xml:space="preserve"> </w:t>
      </w:r>
      <w:r w:rsidRPr="00736A07">
        <w:rPr>
          <w:rFonts w:ascii="Palatino Linotype" w:eastAsia="Palatino Linotype" w:hAnsi="Palatino Linotype" w:cs="Palatino Linotype"/>
          <w:i/>
          <w:iCs/>
        </w:rPr>
        <w:t>Respuesta del sujeto obligado.” (Sic)</w:t>
      </w:r>
    </w:p>
    <w:p w:rsidR="00F972C3" w:rsidRPr="00736A07" w:rsidRDefault="00F972C3" w:rsidP="00FD6E91">
      <w:pPr>
        <w:pBdr>
          <w:top w:val="nil"/>
          <w:left w:val="nil"/>
          <w:bottom w:val="nil"/>
          <w:right w:val="nil"/>
          <w:between w:val="nil"/>
        </w:pBdr>
        <w:ind w:left="1134" w:right="-171" w:firstLine="707"/>
        <w:jc w:val="both"/>
        <w:rPr>
          <w:rFonts w:ascii="Palatino Linotype" w:eastAsia="Palatino Linotype" w:hAnsi="Palatino Linotype" w:cs="Palatino Linotype"/>
          <w:i/>
          <w:iCs/>
          <w:color w:val="000000"/>
        </w:rPr>
      </w:pPr>
      <w:bookmarkStart w:id="3" w:name="_heading=h.8pdjbimzt3kv" w:colFirst="0" w:colLast="0"/>
      <w:bookmarkEnd w:id="3"/>
    </w:p>
    <w:p w:rsidR="00F972C3" w:rsidRPr="00736A07" w:rsidRDefault="00475F99" w:rsidP="00FD6E91">
      <w:pPr>
        <w:numPr>
          <w:ilvl w:val="0"/>
          <w:numId w:val="4"/>
        </w:numPr>
        <w:pBdr>
          <w:top w:val="nil"/>
          <w:left w:val="nil"/>
          <w:bottom w:val="nil"/>
          <w:right w:val="nil"/>
          <w:between w:val="nil"/>
        </w:pBdr>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b/>
          <w:bCs/>
          <w:color w:val="000000"/>
        </w:rPr>
        <w:t xml:space="preserve">Razones o Motivos de inconformidad: </w:t>
      </w:r>
      <w:r w:rsidRPr="00736A07">
        <w:rPr>
          <w:rFonts w:ascii="Palatino Linotype" w:eastAsia="Palatino Linotype" w:hAnsi="Palatino Linotype" w:cs="Palatino Linotype"/>
          <w:i/>
          <w:iCs/>
          <w:color w:val="000000"/>
        </w:rPr>
        <w:t>“No sé entregó la información solicitada”</w:t>
      </w:r>
      <w:r w:rsidRPr="00736A07">
        <w:rPr>
          <w:rFonts w:ascii="Palatino Linotype" w:eastAsia="Palatino Linotype" w:hAnsi="Palatino Linotype" w:cs="Palatino Linotype"/>
          <w:color w:val="000000"/>
        </w:rPr>
        <w:t xml:space="preserve"> (Sic)</w:t>
      </w:r>
    </w:p>
    <w:p w:rsidR="00F972C3" w:rsidRPr="00736A07" w:rsidRDefault="00F972C3" w:rsidP="00FD6E91">
      <w:pPr>
        <w:spacing w:line="360" w:lineRule="auto"/>
        <w:ind w:right="-171"/>
        <w:jc w:val="both"/>
        <w:rPr>
          <w:rFonts w:ascii="Palatino Linotype" w:eastAsia="Palatino Linotype" w:hAnsi="Palatino Linotype" w:cs="Palatino Linotype"/>
          <w:b/>
          <w:bCs/>
        </w:rPr>
      </w:pPr>
    </w:p>
    <w:p w:rsidR="00F972C3" w:rsidRPr="00736A07" w:rsidRDefault="00475F99" w:rsidP="00FD6E91">
      <w:pPr>
        <w:numPr>
          <w:ilvl w:val="0"/>
          <w:numId w:val="1"/>
        </w:numPr>
        <w:pBdr>
          <w:top w:val="nil"/>
          <w:left w:val="nil"/>
          <w:bottom w:val="nil"/>
          <w:right w:val="nil"/>
          <w:between w:val="nil"/>
        </w:pBd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Con fundamento en el artículo 185, fracción I de la Ley de Transparencia y Acceso a la Información Pública del Estado de México y Municipios, el </w:t>
      </w:r>
      <w:r w:rsidRPr="00736A07">
        <w:rPr>
          <w:rFonts w:ascii="Palatino Linotype" w:eastAsia="Palatino Linotype" w:hAnsi="Palatino Linotype" w:cs="Palatino Linotype"/>
          <w:b/>
          <w:bCs/>
          <w:color w:val="000000"/>
        </w:rPr>
        <w:t xml:space="preserve">quince de abril de dos mil veintiséis, </w:t>
      </w:r>
      <w:r w:rsidRPr="00736A07">
        <w:rPr>
          <w:rFonts w:ascii="Palatino Linotype" w:eastAsia="Palatino Linotype" w:hAnsi="Palatino Linotype" w:cs="Palatino Linotype"/>
          <w:color w:val="000000"/>
        </w:rPr>
        <w:t xml:space="preserve">se turnó el recurso de revisión a través del SAIMEX a la </w:t>
      </w:r>
      <w:r w:rsidRPr="00736A07">
        <w:rPr>
          <w:rFonts w:ascii="Palatino Linotype" w:eastAsia="Palatino Linotype" w:hAnsi="Palatino Linotype" w:cs="Palatino Linotype"/>
          <w:b/>
          <w:bCs/>
          <w:color w:val="000000"/>
        </w:rPr>
        <w:t xml:space="preserve">Comisionada María del Rosario Mejía Ayala, </w:t>
      </w:r>
      <w:r w:rsidRPr="00736A07">
        <w:rPr>
          <w:rFonts w:ascii="Palatino Linotype" w:eastAsia="Palatino Linotype" w:hAnsi="Palatino Linotype" w:cs="Palatino Linotype"/>
          <w:color w:val="000000"/>
        </w:rPr>
        <w:t>a efecto de decretar su admisión o desechamiento.</w:t>
      </w:r>
    </w:p>
    <w:p w:rsidR="00F972C3" w:rsidRPr="00736A07" w:rsidRDefault="00F972C3" w:rsidP="00FD6E91">
      <w:pPr>
        <w:spacing w:line="360" w:lineRule="auto"/>
        <w:ind w:right="-171"/>
        <w:jc w:val="both"/>
        <w:rPr>
          <w:rFonts w:ascii="Palatino Linotype" w:eastAsia="Palatino Linotype" w:hAnsi="Palatino Linotype" w:cs="Palatino Linotype"/>
          <w:b/>
          <w:bCs/>
        </w:rPr>
      </w:pPr>
    </w:p>
    <w:p w:rsidR="00F972C3" w:rsidRPr="00736A07" w:rsidRDefault="00475F99" w:rsidP="00FD6E91">
      <w:pPr>
        <w:numPr>
          <w:ilvl w:val="0"/>
          <w:numId w:val="1"/>
        </w:numPr>
        <w:pBdr>
          <w:top w:val="nil"/>
          <w:left w:val="nil"/>
          <w:bottom w:val="nil"/>
          <w:right w:val="nil"/>
          <w:between w:val="nil"/>
        </w:pBd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En fecha </w:t>
      </w:r>
      <w:r w:rsidRPr="00736A07">
        <w:rPr>
          <w:rFonts w:ascii="Palatino Linotype" w:eastAsia="Palatino Linotype" w:hAnsi="Palatino Linotype" w:cs="Palatino Linotype"/>
          <w:b/>
          <w:bCs/>
          <w:color w:val="000000"/>
        </w:rPr>
        <w:t>dieciséis de abril de dos mil veintiséis,</w:t>
      </w:r>
      <w:r w:rsidRPr="00736A07">
        <w:rPr>
          <w:rFonts w:ascii="Palatino Linotype" w:eastAsia="Palatino Linotype" w:hAnsi="Palatino Linotype" w:cs="Palatino Linotype"/>
          <w:color w:val="000000"/>
        </w:rPr>
        <w:t xml:space="preserve"> se acordó la admisión a trámite del Recurso de Revisión y se integraron los expedientes respectivos, mismos que se pusieron a disposición de las partes para que, con fundamento en lo dispuesto por el artículo 185 fracción II de la Ley de la materia, se acordó a las partes a efecto de que en un plazo máximo de siete días, el Recurrente </w:t>
      </w:r>
      <w:r w:rsidRPr="00736A07">
        <w:rPr>
          <w:rFonts w:ascii="Palatino Linotype" w:eastAsia="Palatino Linotype" w:hAnsi="Palatino Linotype" w:cs="Palatino Linotype"/>
        </w:rPr>
        <w:t>manifiesta</w:t>
      </w:r>
      <w:r w:rsidRPr="00736A07">
        <w:rPr>
          <w:rFonts w:ascii="Palatino Linotype" w:eastAsia="Palatino Linotype" w:hAnsi="Palatino Linotype" w:cs="Palatino Linotype"/>
          <w:color w:val="000000"/>
        </w:rPr>
        <w:t xml:space="preserve"> lo que a su derecho conviniera, </w:t>
      </w:r>
      <w:r w:rsidRPr="00736A07">
        <w:rPr>
          <w:rFonts w:ascii="Palatino Linotype" w:eastAsia="Palatino Linotype" w:hAnsi="Palatino Linotype" w:cs="Palatino Linotype"/>
        </w:rPr>
        <w:t>ofreciera</w:t>
      </w:r>
      <w:r w:rsidRPr="00736A07">
        <w:rPr>
          <w:rFonts w:ascii="Palatino Linotype" w:eastAsia="Palatino Linotype" w:hAnsi="Palatino Linotype" w:cs="Palatino Linotype"/>
          <w:color w:val="000000"/>
        </w:rPr>
        <w:t xml:space="preserve"> pruebas y alegatos, y el Sujeto Obligado </w:t>
      </w:r>
      <w:r w:rsidRPr="00736A07">
        <w:rPr>
          <w:rFonts w:ascii="Palatino Linotype" w:eastAsia="Palatino Linotype" w:hAnsi="Palatino Linotype" w:cs="Palatino Linotype"/>
        </w:rPr>
        <w:t>presentará</w:t>
      </w:r>
      <w:r w:rsidRPr="00736A07">
        <w:rPr>
          <w:rFonts w:ascii="Palatino Linotype" w:eastAsia="Palatino Linotype" w:hAnsi="Palatino Linotype" w:cs="Palatino Linotype"/>
          <w:color w:val="000000"/>
        </w:rPr>
        <w:t xml:space="preserve"> el informe justificado. </w:t>
      </w:r>
    </w:p>
    <w:p w:rsidR="00F972C3" w:rsidRPr="00736A07" w:rsidRDefault="00F972C3" w:rsidP="00FD6E91">
      <w:pPr>
        <w:pBdr>
          <w:top w:val="nil"/>
          <w:left w:val="nil"/>
          <w:bottom w:val="nil"/>
          <w:right w:val="nil"/>
          <w:between w:val="nil"/>
        </w:pBd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De las constancias en el expediente electrónico SAIMEX, se advierte que el particular dejó de realizar manifestaciones que a su derecho conviniera y asistiera. Por su parte del Sujeto </w:t>
      </w:r>
      <w:r w:rsidRPr="00736A07">
        <w:rPr>
          <w:rFonts w:ascii="Palatino Linotype" w:eastAsia="Palatino Linotype" w:hAnsi="Palatino Linotype" w:cs="Palatino Linotype"/>
        </w:rPr>
        <w:lastRenderedPageBreak/>
        <w:t xml:space="preserve">Obligado, en fecha </w:t>
      </w:r>
      <w:r w:rsidRPr="00736A07">
        <w:rPr>
          <w:rFonts w:ascii="Palatino Linotype" w:eastAsia="Palatino Linotype" w:hAnsi="Palatino Linotype" w:cs="Palatino Linotype"/>
          <w:b/>
          <w:bCs/>
        </w:rPr>
        <w:t xml:space="preserve">quince de mayo de dos mil veintiséis, </w:t>
      </w:r>
      <w:r w:rsidRPr="00736A07">
        <w:rPr>
          <w:rFonts w:ascii="Palatino Linotype" w:eastAsia="Palatino Linotype" w:hAnsi="Palatino Linotype" w:cs="Palatino Linotype"/>
        </w:rPr>
        <w:t xml:space="preserve">entregó dos archivos electrónicos en formato pdf, cuyo contenido grosso modo es el siguiente. </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b/>
          <w:bCs/>
          <w:i/>
          <w:iCs/>
        </w:rPr>
        <w:t xml:space="preserve">Informe justificado RR3968 26.pdf: </w:t>
      </w:r>
      <w:r w:rsidRPr="00736A07">
        <w:rPr>
          <w:rFonts w:ascii="Palatino Linotype" w:eastAsia="Palatino Linotype" w:hAnsi="Palatino Linotype" w:cs="Palatino Linotype"/>
          <w:i/>
          <w:iCs/>
        </w:rPr>
        <w:t>informe Justificado mediante el cual ratifica la respuesta inicial.</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b/>
          <w:bCs/>
          <w:i/>
          <w:iCs/>
        </w:rPr>
        <w:t xml:space="preserve">Sesión Extraordinaria 01 26.pdf: </w:t>
      </w:r>
      <w:r w:rsidRPr="00736A07">
        <w:rPr>
          <w:rFonts w:ascii="Palatino Linotype" w:eastAsia="Palatino Linotype" w:hAnsi="Palatino Linotype" w:cs="Palatino Linotype"/>
          <w:i/>
          <w:iCs/>
        </w:rPr>
        <w:t>Acta de la Primera Sesión Extraordinaria, mediante la cual se aprueba la clasificación de la información confidencial de RFC, Clave ISSEMyM, Clave de Empleado, Curp, Deducciones: 1. Aportación Fondo De Ahorro 2. Seguro de Separación 7. Aportación Voluntaria Al Plan de Previsión Social y Riesgo, Número de Cuenta Bancaria.</w:t>
      </w:r>
    </w:p>
    <w:p w:rsidR="00F972C3" w:rsidRPr="00736A07" w:rsidRDefault="00F972C3" w:rsidP="00FD6E91">
      <w:pPr>
        <w:ind w:left="1134" w:right="-171"/>
        <w:jc w:val="both"/>
        <w:rPr>
          <w:rFonts w:ascii="Palatino Linotype" w:eastAsia="Palatino Linotype" w:hAnsi="Palatino Linotype" w:cs="Palatino Linotype"/>
          <w:i/>
          <w:iCs/>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Seguidamente, mediante acuerdo de fecha </w:t>
      </w:r>
      <w:r w:rsidRPr="00736A07">
        <w:rPr>
          <w:rFonts w:ascii="Palatino Linotype" w:eastAsia="Palatino Linotype" w:hAnsi="Palatino Linotype" w:cs="Palatino Linotype"/>
          <w:b/>
          <w:bCs/>
          <w:color w:val="000000"/>
        </w:rPr>
        <w:t xml:space="preserve">veintiuno de mayo </w:t>
      </w:r>
      <w:r w:rsidRPr="00736A07">
        <w:rPr>
          <w:rFonts w:ascii="Palatino Linotype" w:eastAsia="Palatino Linotype" w:hAnsi="Palatino Linotype" w:cs="Palatino Linotype"/>
          <w:b/>
          <w:bCs/>
        </w:rPr>
        <w:t>de dos mil veintiséis</w:t>
      </w:r>
      <w:r w:rsidRPr="00736A07">
        <w:rPr>
          <w:rFonts w:ascii="Palatino Linotype" w:eastAsia="Palatino Linotype" w:hAnsi="Palatino Linotype" w:cs="Palatino Linotype"/>
          <w:color w:val="000000"/>
        </w:rPr>
        <w:t xml:space="preserve">, se </w:t>
      </w:r>
      <w:r w:rsidRPr="00736A07">
        <w:rPr>
          <w:rFonts w:ascii="Palatino Linotype" w:eastAsia="Palatino Linotype" w:hAnsi="Palatino Linotype" w:cs="Palatino Linotype"/>
        </w:rPr>
        <w:t>amplió</w:t>
      </w:r>
      <w:r w:rsidRPr="00736A07">
        <w:rPr>
          <w:rFonts w:ascii="Palatino Linotype" w:eastAsia="Palatino Linotype" w:hAnsi="Palatino Linotype" w:cs="Palatino Linotype"/>
          <w:color w:val="000000"/>
        </w:rPr>
        <w:t xml:space="preserve"> el término para resolver el recurso de revisión.</w:t>
      </w:r>
    </w:p>
    <w:p w:rsidR="00B16370" w:rsidRPr="00736A07" w:rsidRDefault="00B16370" w:rsidP="00B16370">
      <w:pPr>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El </w:t>
      </w:r>
      <w:r w:rsidRPr="00736A07">
        <w:rPr>
          <w:rFonts w:ascii="Palatino Linotype" w:eastAsia="Palatino Linotype" w:hAnsi="Palatino Linotype" w:cs="Palatino Linotype"/>
          <w:b/>
          <w:bCs/>
        </w:rPr>
        <w:t>uno de julio de dos mil veintiséis</w:t>
      </w:r>
      <w:r w:rsidRPr="00736A07">
        <w:rPr>
          <w:rFonts w:ascii="Palatino Linotype" w:eastAsia="Palatino Linotype" w:hAnsi="Palatino Linotype" w:cs="Palatino Linotype"/>
        </w:rPr>
        <w:t>, se notificó el acuerdo a través del cual se decretó el cierre de instrucción.</w:t>
      </w:r>
    </w:p>
    <w:p w:rsidR="00F972C3" w:rsidRPr="00736A07" w:rsidRDefault="00F972C3" w:rsidP="00FD6E91">
      <w:pPr>
        <w:spacing w:line="360" w:lineRule="auto"/>
        <w:ind w:right="-171"/>
        <w:jc w:val="both"/>
        <w:rPr>
          <w:rFonts w:ascii="Palatino Linotype" w:eastAsia="Palatino Linotype" w:hAnsi="Palatino Linotype" w:cs="Palatino Linotype"/>
        </w:rPr>
      </w:pPr>
      <w:bookmarkStart w:id="4" w:name="_heading=h.1fob9te" w:colFirst="0" w:colLast="0"/>
      <w:bookmarkEnd w:id="4"/>
    </w:p>
    <w:p w:rsidR="00F972C3" w:rsidRPr="00736A07" w:rsidRDefault="00475F99" w:rsidP="00FD6E91">
      <w:pPr>
        <w:keepNext/>
        <w:keepLines/>
        <w:spacing w:line="360" w:lineRule="auto"/>
        <w:ind w:right="-171"/>
        <w:jc w:val="center"/>
        <w:rPr>
          <w:rFonts w:ascii="Palatino Linotype" w:eastAsia="Palatino Linotype" w:hAnsi="Palatino Linotype" w:cs="Palatino Linotype"/>
        </w:rPr>
      </w:pPr>
      <w:r w:rsidRPr="00736A07">
        <w:rPr>
          <w:rFonts w:ascii="Palatino Linotype" w:eastAsia="Palatino Linotype" w:hAnsi="Palatino Linotype" w:cs="Palatino Linotype"/>
          <w:b/>
          <w:bCs/>
        </w:rPr>
        <w:t>C O N S I D E R A N D O</w:t>
      </w:r>
    </w:p>
    <w:p w:rsidR="00F972C3" w:rsidRPr="00736A07" w:rsidRDefault="00F972C3" w:rsidP="00FD6E91">
      <w:pPr>
        <w:spacing w:line="360" w:lineRule="auto"/>
        <w:ind w:right="-171"/>
        <w:jc w:val="both"/>
        <w:rPr>
          <w:rFonts w:ascii="Palatino Linotype" w:eastAsia="Palatino Linotype" w:hAnsi="Palatino Linotype" w:cs="Palatino Linotype"/>
        </w:rPr>
      </w:pPr>
      <w:bookmarkStart w:id="5" w:name="_heading=h.3znysh7" w:colFirst="0" w:colLast="0"/>
      <w:bookmarkEnd w:id="5"/>
    </w:p>
    <w:p w:rsidR="00F972C3" w:rsidRPr="00736A07" w:rsidRDefault="00475F99" w:rsidP="00FD6E91">
      <w:pPr>
        <w:keepNext/>
        <w:keepLines/>
        <w:spacing w:line="360" w:lineRule="auto"/>
        <w:ind w:right="-171"/>
        <w:jc w:val="both"/>
        <w:rPr>
          <w:rFonts w:ascii="Palatino Linotype" w:eastAsia="Palatino Linotype" w:hAnsi="Palatino Linotype" w:cs="Palatino Linotype"/>
          <w:b/>
          <w:bCs/>
        </w:rPr>
      </w:pPr>
      <w:r w:rsidRPr="00736A07">
        <w:rPr>
          <w:rFonts w:ascii="Palatino Linotype" w:eastAsia="Palatino Linotype" w:hAnsi="Palatino Linotype" w:cs="Palatino Linotype"/>
          <w:b/>
          <w:bCs/>
        </w:rPr>
        <w:t>PRIMERO. De la competencia</w:t>
      </w: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y trigésimo tercero,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w:t>
      </w:r>
      <w:r w:rsidRPr="00736A07">
        <w:rPr>
          <w:rFonts w:ascii="Palatino Linotype" w:eastAsia="Palatino Linotype" w:hAnsi="Palatino Linotype" w:cs="Palatino Linotype"/>
        </w:rPr>
        <w:lastRenderedPageBreak/>
        <w:t>fracciones I y XXIII, y 11 del Reglamento Interior del Instituto de Transparencia, Acceso a la Información Pública y Protección de Datos Personales del Estado de México y Municipios.</w:t>
      </w:r>
    </w:p>
    <w:p w:rsidR="00F972C3" w:rsidRPr="00736A07" w:rsidRDefault="00F972C3" w:rsidP="00FD6E91">
      <w:pPr>
        <w:spacing w:line="360" w:lineRule="auto"/>
        <w:ind w:right="-171"/>
        <w:jc w:val="both"/>
        <w:rPr>
          <w:rFonts w:ascii="Palatino Linotype" w:eastAsia="Palatino Linotype" w:hAnsi="Palatino Linotype" w:cs="Palatino Linotype"/>
        </w:rPr>
      </w:pPr>
    </w:p>
    <w:p w:rsidR="00F972C3" w:rsidRPr="00736A07" w:rsidRDefault="00475F99" w:rsidP="00FD6E91">
      <w:pPr>
        <w:keepNext/>
        <w:keepLines/>
        <w:pBdr>
          <w:top w:val="nil"/>
          <w:left w:val="nil"/>
          <w:bottom w:val="nil"/>
          <w:right w:val="nil"/>
          <w:between w:val="nil"/>
        </w:pBdr>
        <w:spacing w:line="360" w:lineRule="auto"/>
        <w:ind w:right="-171"/>
        <w:jc w:val="both"/>
        <w:rPr>
          <w:rFonts w:ascii="Palatino Linotype" w:eastAsia="Palatino Linotype" w:hAnsi="Palatino Linotype" w:cs="Palatino Linotype"/>
          <w:b/>
          <w:bCs/>
          <w:color w:val="000000"/>
        </w:rPr>
      </w:pPr>
      <w:r w:rsidRPr="00736A07">
        <w:rPr>
          <w:rFonts w:ascii="Palatino Linotype" w:eastAsia="Palatino Linotype" w:hAnsi="Palatino Linotype" w:cs="Palatino Linotype"/>
          <w:b/>
          <w:bCs/>
          <w:color w:val="000000"/>
        </w:rPr>
        <w:t>SEGUNDO. De la oportunidad y procedencia.</w:t>
      </w: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El medio de impugnación fue presentado a través del </w:t>
      </w:r>
      <w:r w:rsidRPr="00736A07">
        <w:rPr>
          <w:rFonts w:ascii="Palatino Linotype" w:eastAsia="Palatino Linotype" w:hAnsi="Palatino Linotype" w:cs="Palatino Linotype"/>
          <w:b/>
          <w:bCs/>
          <w:color w:val="000000"/>
        </w:rPr>
        <w:t>SAIMEX,</w:t>
      </w:r>
      <w:r w:rsidRPr="00736A07">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736A07">
        <w:rPr>
          <w:rFonts w:ascii="Palatino Linotype" w:eastAsia="Palatino Linotype" w:hAnsi="Palatino Linotype" w:cs="Palatino Linotype"/>
          <w:b/>
          <w:bCs/>
          <w:color w:val="000000"/>
        </w:rPr>
        <w:t>SUJETO OBLIGADO</w:t>
      </w:r>
      <w:r w:rsidRPr="00736A07">
        <w:rPr>
          <w:rFonts w:ascii="Palatino Linotype" w:eastAsia="Palatino Linotype" w:hAnsi="Palatino Linotype" w:cs="Palatino Linotype"/>
          <w:color w:val="000000"/>
        </w:rPr>
        <w:t xml:space="preserve"> entregó su respuesta el </w:t>
      </w:r>
      <w:r w:rsidRPr="00736A07">
        <w:rPr>
          <w:rFonts w:ascii="Palatino Linotype" w:eastAsia="Palatino Linotype" w:hAnsi="Palatino Linotype" w:cs="Palatino Linotype"/>
          <w:b/>
          <w:bCs/>
          <w:color w:val="000000"/>
        </w:rPr>
        <w:t>catorce de abril de dos mil veintiséis</w:t>
      </w:r>
      <w:r w:rsidRPr="00736A07">
        <w:rPr>
          <w:rFonts w:ascii="Palatino Linotype" w:eastAsia="Palatino Linotype" w:hAnsi="Palatino Linotype" w:cs="Palatino Linotype"/>
          <w:color w:val="000000"/>
        </w:rPr>
        <w:t xml:space="preserve">, de tal forma que el plazo para interponer el recurso de revisión transcurrió del </w:t>
      </w:r>
      <w:r w:rsidRPr="00736A07">
        <w:rPr>
          <w:rFonts w:ascii="Palatino Linotype" w:eastAsia="Palatino Linotype" w:hAnsi="Palatino Linotype" w:cs="Palatino Linotype"/>
          <w:b/>
          <w:bCs/>
          <w:color w:val="000000"/>
        </w:rPr>
        <w:t>quince de abril al siete de mayo de dos mil veintiséis</w:t>
      </w:r>
      <w:r w:rsidRPr="00736A07">
        <w:rPr>
          <w:rFonts w:ascii="Palatino Linotype" w:eastAsia="Palatino Linotype" w:hAnsi="Palatino Linotype" w:cs="Palatino Linotype"/>
          <w:color w:val="000000"/>
        </w:rPr>
        <w:t xml:space="preserve">; en consecuencia, el ahora </w:t>
      </w:r>
      <w:r w:rsidRPr="00736A07">
        <w:rPr>
          <w:rFonts w:ascii="Palatino Linotype" w:eastAsia="Palatino Linotype" w:hAnsi="Palatino Linotype" w:cs="Palatino Linotype"/>
          <w:b/>
          <w:bCs/>
          <w:color w:val="000000"/>
        </w:rPr>
        <w:t>RECURRENTE</w:t>
      </w:r>
      <w:r w:rsidRPr="00736A07">
        <w:rPr>
          <w:rFonts w:ascii="Palatino Linotype" w:eastAsia="Palatino Linotype" w:hAnsi="Palatino Linotype" w:cs="Palatino Linotype"/>
          <w:color w:val="000000"/>
        </w:rPr>
        <w:t xml:space="preserve"> presentó su inconformidad el </w:t>
      </w:r>
      <w:r w:rsidRPr="00736A07">
        <w:rPr>
          <w:rFonts w:ascii="Palatino Linotype" w:eastAsia="Palatino Linotype" w:hAnsi="Palatino Linotype" w:cs="Palatino Linotype"/>
          <w:b/>
          <w:bCs/>
          <w:color w:val="000000"/>
        </w:rPr>
        <w:t>quince de abril de dos mil veintiséis</w:t>
      </w:r>
      <w:r w:rsidRPr="00736A07">
        <w:rPr>
          <w:rFonts w:ascii="Palatino Linotype" w:eastAsia="Palatino Linotype" w:hAnsi="Palatino Linotype" w:cs="Palatino Linotype"/>
          <w:color w:val="000000"/>
        </w:rPr>
        <w:t>; por lo que se estima que la inconformidad se presentó dentro del lapso legalmente establecido para tal efecto.</w:t>
      </w:r>
    </w:p>
    <w:p w:rsidR="00F972C3" w:rsidRPr="00736A07" w:rsidRDefault="00F972C3" w:rsidP="00FD6E91">
      <w:pPr>
        <w:pBdr>
          <w:top w:val="none" w:sz="0" w:space="0" w:color="000000"/>
          <w:left w:val="none" w:sz="0" w:space="0" w:color="000000"/>
          <w:bottom w:val="none" w:sz="0" w:space="0" w:color="000000"/>
          <w:right w:val="none" w:sz="0" w:space="0" w:color="000000"/>
          <w:between w:val="none" w:sz="0" w:space="0" w:color="000000"/>
        </w:pBd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Por otro lado, es de suma importancia señalar que la parte recurrente no </w:t>
      </w:r>
      <w:r w:rsidRPr="00736A07">
        <w:rPr>
          <w:rFonts w:ascii="Palatino Linotype" w:eastAsia="Palatino Linotype" w:hAnsi="Palatino Linotype" w:cs="Palatino Linotype"/>
          <w:color w:val="000000"/>
        </w:rPr>
        <w:t>proporciona</w:t>
      </w:r>
      <w:r w:rsidRPr="00736A07">
        <w:rPr>
          <w:rFonts w:ascii="Palatino Linotype" w:eastAsia="Palatino Linotype" w:hAnsi="Palatino Linotype" w:cs="Palatino Linotype"/>
        </w:rPr>
        <w:t xml:space="preserve"> un </w:t>
      </w:r>
      <w:r w:rsidRPr="00736A07">
        <w:rPr>
          <w:rFonts w:ascii="Palatino Linotype" w:eastAsia="Palatino Linotype" w:hAnsi="Palatino Linotype" w:cs="Palatino Linotype"/>
          <w:u w:val="single"/>
        </w:rPr>
        <w:t>nombre completo</w:t>
      </w:r>
      <w:r w:rsidRPr="00736A07">
        <w:rPr>
          <w:rFonts w:ascii="Palatino Linotype" w:eastAsia="Palatino Linotype" w:hAnsi="Palatino Linotype" w:cs="Palatino Linotype"/>
        </w:rPr>
        <w:t xml:space="preserve"> como se advierte en el detalle de seguimiento del SAIMEX, no obstante lo anterior, no proporcionar el nombre completo no es motivo </w:t>
      </w:r>
      <w:r w:rsidRPr="00736A07">
        <w:rPr>
          <w:rFonts w:ascii="Palatino Linotype" w:eastAsia="Palatino Linotype" w:hAnsi="Palatino Linotype" w:cs="Palatino Linotype"/>
          <w:color w:val="000000"/>
        </w:rPr>
        <w:t>para</w:t>
      </w:r>
      <w:r w:rsidRPr="00736A07">
        <w:rPr>
          <w:rFonts w:ascii="Palatino Linotype" w:eastAsia="Palatino Linotype" w:hAnsi="Palatino Linotype" w:cs="Palatino Linotype"/>
        </w:rPr>
        <w:t xml:space="preserve">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i/>
          <w:iCs/>
        </w:rPr>
        <w:t>"</w:t>
      </w:r>
      <w:r w:rsidRPr="00736A07">
        <w:rPr>
          <w:rFonts w:ascii="Palatino Linotype" w:eastAsia="Palatino Linotype" w:hAnsi="Palatino Linotype" w:cs="Palatino Linotype"/>
          <w:b/>
          <w:bCs/>
          <w:i/>
          <w:iCs/>
        </w:rPr>
        <w:t>Las solicitudes anónimas</w:t>
      </w:r>
      <w:r w:rsidRPr="00736A07">
        <w:rPr>
          <w:rFonts w:ascii="Palatino Linotype" w:eastAsia="Palatino Linotype" w:hAnsi="Palatino Linotype" w:cs="Palatino Linotype"/>
          <w:i/>
          <w:iCs/>
        </w:rPr>
        <w:t xml:space="preserve">, con nombre incompleto o seudónimo </w:t>
      </w:r>
      <w:r w:rsidRPr="00736A07">
        <w:rPr>
          <w:rFonts w:ascii="Palatino Linotype" w:eastAsia="Palatino Linotype" w:hAnsi="Palatino Linotype" w:cs="Palatino Linotype"/>
          <w:b/>
          <w:bCs/>
          <w:i/>
          <w:iCs/>
        </w:rPr>
        <w:t>serán procedentes para su trámite por parte del sujeto obligado ante quien se presente</w:t>
      </w:r>
      <w:r w:rsidRPr="00736A07">
        <w:rPr>
          <w:rFonts w:ascii="Palatino Linotype" w:eastAsia="Palatino Linotype" w:hAnsi="Palatino Linotype" w:cs="Palatino Linotype"/>
          <w:i/>
          <w:iCs/>
        </w:rPr>
        <w:t>. No podrá requerirse información adicional con motivo del nombre proporcionado por el solicitante."</w:t>
      </w:r>
    </w:p>
    <w:p w:rsidR="00F972C3" w:rsidRPr="00736A07" w:rsidRDefault="00F972C3" w:rsidP="00FD6E91">
      <w:pPr>
        <w:pBdr>
          <w:top w:val="none" w:sz="0" w:space="0" w:color="000000"/>
          <w:left w:val="none" w:sz="0" w:space="0" w:color="000000"/>
          <w:bottom w:val="none" w:sz="0" w:space="0" w:color="000000"/>
          <w:right w:val="none" w:sz="0" w:space="0" w:color="000000"/>
          <w:between w:val="none" w:sz="0" w:space="0" w:color="000000"/>
        </w:pBd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Consecuencia de lo anterior, este Órgano Garante advierte que el escrito contiene las formalidades previstas por el artículo 180 último párrafo de la Ley de </w:t>
      </w:r>
      <w:r w:rsidRPr="00736A07">
        <w:rPr>
          <w:rFonts w:ascii="Palatino Linotype" w:eastAsia="Palatino Linotype" w:hAnsi="Palatino Linotype" w:cs="Palatino Linotype"/>
        </w:rPr>
        <w:t>Transparencia</w:t>
      </w:r>
      <w:r w:rsidRPr="00736A07">
        <w:rPr>
          <w:rFonts w:ascii="Palatino Linotype" w:eastAsia="Palatino Linotype" w:hAnsi="Palatino Linotype" w:cs="Palatino Linotype"/>
          <w:color w:val="000000"/>
        </w:rPr>
        <w:t xml:space="preserve"> y Acceso </w:t>
      </w:r>
      <w:r w:rsidRPr="00736A07">
        <w:rPr>
          <w:rFonts w:ascii="Palatino Linotype" w:eastAsia="Palatino Linotype" w:hAnsi="Palatino Linotype" w:cs="Palatino Linotype"/>
          <w:color w:val="000000"/>
        </w:rPr>
        <w:lastRenderedPageBreak/>
        <w:t xml:space="preserve">a la </w:t>
      </w:r>
      <w:r w:rsidRPr="00736A07">
        <w:rPr>
          <w:rFonts w:ascii="Palatino Linotype" w:eastAsia="Palatino Linotype" w:hAnsi="Palatino Linotype" w:cs="Palatino Linotype"/>
        </w:rPr>
        <w:t>Información</w:t>
      </w:r>
      <w:r w:rsidRPr="00736A07">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F972C3" w:rsidRPr="00736A07" w:rsidRDefault="00F972C3" w:rsidP="00FD6E91">
      <w:pPr>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Por otro lado, el escrito contiene las formalidades previstas por el artículo 180 último </w:t>
      </w:r>
      <w:r w:rsidRPr="00736A07">
        <w:rPr>
          <w:rFonts w:ascii="Palatino Linotype" w:eastAsia="Palatino Linotype" w:hAnsi="Palatino Linotype" w:cs="Palatino Linotype"/>
          <w:color w:val="000000"/>
        </w:rPr>
        <w:t>párrafo</w:t>
      </w:r>
      <w:r w:rsidRPr="00736A07">
        <w:rPr>
          <w:rFonts w:ascii="Palatino Linotype" w:eastAsia="Palatino Linotype" w:hAnsi="Palatino Linotype" w:cs="Palatino Linotype"/>
        </w:rPr>
        <w:t xml:space="preserve"> de la Ley de la materia actual, por lo que es procedente que este Instituto de Transparencia, Acceso a la Información Pública y Protección de Datos Personales del Estado de México y Municipios, conozca y resuelva el presente recurso.</w:t>
      </w:r>
    </w:p>
    <w:p w:rsidR="00F972C3" w:rsidRPr="00736A07" w:rsidRDefault="00F972C3" w:rsidP="00FD6E91">
      <w:pPr>
        <w:keepNext/>
        <w:keepLines/>
        <w:pBdr>
          <w:top w:val="nil"/>
          <w:left w:val="nil"/>
          <w:bottom w:val="nil"/>
          <w:right w:val="nil"/>
          <w:between w:val="nil"/>
        </w:pBdr>
        <w:spacing w:line="360" w:lineRule="auto"/>
        <w:ind w:right="-171"/>
        <w:rPr>
          <w:rFonts w:ascii="Palatino Linotype" w:eastAsia="Palatino Linotype" w:hAnsi="Palatino Linotype" w:cs="Palatino Linotype"/>
          <w:b/>
          <w:bCs/>
        </w:rPr>
      </w:pPr>
    </w:p>
    <w:p w:rsidR="00F972C3" w:rsidRPr="00736A07" w:rsidRDefault="00475F99" w:rsidP="00FD6E91">
      <w:pPr>
        <w:keepNext/>
        <w:keepLines/>
        <w:pBdr>
          <w:top w:val="nil"/>
          <w:left w:val="nil"/>
          <w:bottom w:val="nil"/>
          <w:right w:val="nil"/>
          <w:between w:val="nil"/>
        </w:pBdr>
        <w:spacing w:line="360" w:lineRule="auto"/>
        <w:ind w:right="-171"/>
        <w:rPr>
          <w:rFonts w:ascii="Palatino Linotype" w:eastAsia="Palatino Linotype" w:hAnsi="Palatino Linotype" w:cs="Palatino Linotype"/>
          <w:b/>
          <w:bCs/>
          <w:color w:val="000000"/>
        </w:rPr>
      </w:pPr>
      <w:r w:rsidRPr="00736A07">
        <w:rPr>
          <w:rFonts w:ascii="Palatino Linotype" w:eastAsia="Palatino Linotype" w:hAnsi="Palatino Linotype" w:cs="Palatino Linotype"/>
          <w:b/>
          <w:bCs/>
          <w:color w:val="000000"/>
        </w:rPr>
        <w:t xml:space="preserve">TERCERO. Del planteamiento de la </w:t>
      </w:r>
      <w:r w:rsidRPr="00736A07">
        <w:rPr>
          <w:rFonts w:ascii="Palatino Linotype" w:eastAsia="Palatino Linotype" w:hAnsi="Palatino Linotype" w:cs="Palatino Linotype"/>
          <w:b/>
          <w:bCs/>
          <w:i/>
          <w:iCs/>
          <w:color w:val="000000"/>
        </w:rPr>
        <w:t>Litis</w:t>
      </w:r>
      <w:r w:rsidRPr="00736A07">
        <w:rPr>
          <w:rFonts w:ascii="Palatino Linotype" w:eastAsia="Palatino Linotype" w:hAnsi="Palatino Linotype" w:cs="Palatino Linotype"/>
          <w:b/>
          <w:bCs/>
          <w:color w:val="000000"/>
        </w:rPr>
        <w:t>.</w:t>
      </w: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De las </w:t>
      </w:r>
      <w:r w:rsidRPr="00736A07">
        <w:rPr>
          <w:rFonts w:ascii="Palatino Linotype" w:eastAsia="Palatino Linotype" w:hAnsi="Palatino Linotype" w:cs="Palatino Linotype"/>
        </w:rPr>
        <w:t>constancias</w:t>
      </w:r>
      <w:r w:rsidRPr="00736A07">
        <w:rPr>
          <w:rFonts w:ascii="Palatino Linotype" w:eastAsia="Palatino Linotype" w:hAnsi="Palatino Linotype" w:cs="Palatino Linotype"/>
          <w:color w:val="000000"/>
        </w:rPr>
        <w:t xml:space="preserve"> en el expediente al rubro indicado, se desprende que la particular solicitó la información que a continuación se desagrega:</w:t>
      </w:r>
    </w:p>
    <w:p w:rsidR="00F972C3" w:rsidRPr="00736A07" w:rsidRDefault="00475F99" w:rsidP="00FD6E91">
      <w:pPr>
        <w:pBdr>
          <w:top w:val="nil"/>
          <w:left w:val="nil"/>
          <w:bottom w:val="nil"/>
          <w:right w:val="nil"/>
          <w:between w:val="nil"/>
        </w:pBdr>
        <w:ind w:left="501" w:right="-171"/>
        <w:jc w:val="both"/>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t xml:space="preserve">Del Juez Tercero Familiar de Toluca con residencia en Metepec </w:t>
      </w:r>
    </w:p>
    <w:p w:rsidR="00F972C3" w:rsidRPr="00736A07" w:rsidRDefault="00475F99" w:rsidP="00FD6E91">
      <w:pPr>
        <w:ind w:left="1134" w:right="-171"/>
        <w:jc w:val="both"/>
        <w:rPr>
          <w:rFonts w:ascii="Palatino Linotype" w:eastAsia="Palatino Linotype" w:hAnsi="Palatino Linotype" w:cs="Palatino Linotype"/>
          <w:b/>
          <w:bCs/>
          <w:i/>
          <w:iCs/>
        </w:rPr>
      </w:pPr>
      <w:r w:rsidRPr="00736A07">
        <w:rPr>
          <w:rFonts w:ascii="Palatino Linotype" w:eastAsia="Palatino Linotype" w:hAnsi="Palatino Linotype" w:cs="Palatino Linotype"/>
          <w:b/>
          <w:bCs/>
          <w:i/>
          <w:iCs/>
          <w:color w:val="000000"/>
        </w:rPr>
        <w:t xml:space="preserve">1.- Recibos de nómina </w:t>
      </w:r>
      <w:r w:rsidRPr="00736A07">
        <w:rPr>
          <w:rFonts w:ascii="Palatino Linotype" w:eastAsia="Palatino Linotype" w:hAnsi="Palatino Linotype" w:cs="Palatino Linotype"/>
          <w:b/>
          <w:bCs/>
          <w:i/>
          <w:iCs/>
        </w:rPr>
        <w:t>desde octubre de 2025 a febrero de 2026</w:t>
      </w:r>
    </w:p>
    <w:p w:rsidR="00F972C3" w:rsidRPr="00736A07" w:rsidRDefault="00475F99" w:rsidP="00FD6E91">
      <w:pPr>
        <w:pBdr>
          <w:top w:val="none" w:sz="0" w:space="0" w:color="000000"/>
          <w:left w:val="none" w:sz="0" w:space="0" w:color="000000"/>
          <w:bottom w:val="none" w:sz="0" w:space="0" w:color="000000"/>
          <w:right w:val="none" w:sz="0" w:space="0" w:color="000000"/>
          <w:between w:val="none" w:sz="0" w:space="0" w:color="000000"/>
        </w:pBdr>
        <w:ind w:left="1134" w:right="-171"/>
        <w:jc w:val="both"/>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t xml:space="preserve">2.- cuántas sentencias ha emitido, y de esas cuántas han sido impugnadas, al trece de marzo de dos mil veintiséis </w:t>
      </w:r>
    </w:p>
    <w:p w:rsidR="00F972C3" w:rsidRPr="00736A07" w:rsidRDefault="00475F99" w:rsidP="00FD6E91">
      <w:pPr>
        <w:pBdr>
          <w:top w:val="none" w:sz="0" w:space="0" w:color="000000"/>
          <w:left w:val="none" w:sz="0" w:space="0" w:color="000000"/>
          <w:bottom w:val="none" w:sz="0" w:space="0" w:color="000000"/>
          <w:right w:val="none" w:sz="0" w:space="0" w:color="000000"/>
          <w:between w:val="none" w:sz="0" w:space="0" w:color="000000"/>
        </w:pBdr>
        <w:ind w:left="1134" w:right="-171"/>
        <w:jc w:val="both"/>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t xml:space="preserve">3.- cuántos juicios de amparo ha recibido, al trece de marzo de dos mil veintiséis </w:t>
      </w:r>
    </w:p>
    <w:p w:rsidR="00F972C3" w:rsidRPr="00736A07" w:rsidRDefault="00475F99" w:rsidP="00FD6E91">
      <w:pPr>
        <w:pBdr>
          <w:top w:val="none" w:sz="0" w:space="0" w:color="000000"/>
          <w:left w:val="none" w:sz="0" w:space="0" w:color="000000"/>
          <w:bottom w:val="none" w:sz="0" w:space="0" w:color="000000"/>
          <w:right w:val="none" w:sz="0" w:space="0" w:color="000000"/>
          <w:between w:val="none" w:sz="0" w:space="0" w:color="000000"/>
        </w:pBdr>
        <w:ind w:left="1134" w:right="-171"/>
        <w:jc w:val="both"/>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t>4.- Versión pública de las sentencias emitidas desde enero a febrero de 2026</w:t>
      </w:r>
    </w:p>
    <w:p w:rsidR="00F972C3" w:rsidRPr="00736A07" w:rsidRDefault="00F972C3" w:rsidP="00FD6E91">
      <w:pPr>
        <w:pBdr>
          <w:top w:val="none" w:sz="0" w:space="0" w:color="000000"/>
          <w:left w:val="none" w:sz="0" w:space="0" w:color="000000"/>
          <w:bottom w:val="none" w:sz="0" w:space="0" w:color="000000"/>
          <w:right w:val="none" w:sz="0" w:space="0" w:color="000000"/>
          <w:between w:val="none" w:sz="0" w:space="0" w:color="000000"/>
        </w:pBdr>
        <w:ind w:left="1134" w:right="-171"/>
        <w:jc w:val="both"/>
        <w:rPr>
          <w:rFonts w:ascii="Palatino Linotype" w:eastAsia="Palatino Linotype" w:hAnsi="Palatino Linotype" w:cs="Palatino Linotype"/>
          <w:b/>
          <w:bCs/>
          <w:i/>
          <w:iCs/>
        </w:rPr>
      </w:pPr>
    </w:p>
    <w:p w:rsidR="00F972C3" w:rsidRPr="00736A07" w:rsidRDefault="00F972C3" w:rsidP="00FD6E91">
      <w:pPr>
        <w:pBdr>
          <w:top w:val="none" w:sz="0" w:space="0" w:color="000000"/>
          <w:left w:val="none" w:sz="0" w:space="0" w:color="000000"/>
          <w:bottom w:val="none" w:sz="0" w:space="0" w:color="000000"/>
          <w:right w:val="none" w:sz="0" w:space="0" w:color="000000"/>
          <w:between w:val="none" w:sz="0" w:space="0" w:color="000000"/>
        </w:pBdr>
        <w:ind w:left="1134" w:right="-171"/>
        <w:jc w:val="both"/>
        <w:rPr>
          <w:rFonts w:ascii="Palatino Linotype" w:eastAsia="Palatino Linotype" w:hAnsi="Palatino Linotype" w:cs="Palatino Linotype"/>
          <w:b/>
          <w:bCs/>
          <w:i/>
          <w:iCs/>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En respuesta,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rPr>
        <w:t>entregó</w:t>
      </w:r>
      <w:r w:rsidRPr="00736A07">
        <w:rPr>
          <w:rFonts w:ascii="Palatino Linotype" w:eastAsia="Palatino Linotype" w:hAnsi="Palatino Linotype" w:cs="Palatino Linotype"/>
          <w:color w:val="000000"/>
        </w:rPr>
        <w:t xml:space="preserve"> la información que fue descrita en el párrafo tres de la presente resolución.</w:t>
      </w:r>
    </w:p>
    <w:p w:rsidR="00F972C3" w:rsidRPr="00736A07" w:rsidRDefault="00F972C3" w:rsidP="00FD6E91">
      <w:pPr>
        <w:pBdr>
          <w:top w:val="none" w:sz="0" w:space="0" w:color="000000"/>
          <w:left w:val="none" w:sz="0" w:space="0" w:color="000000"/>
          <w:bottom w:val="none" w:sz="0" w:space="0" w:color="000000"/>
          <w:right w:val="none" w:sz="0" w:space="0" w:color="000000"/>
          <w:between w:val="none" w:sz="0" w:space="0" w:color="000000"/>
        </w:pBdr>
        <w:spacing w:line="360" w:lineRule="auto"/>
        <w:ind w:right="-171"/>
        <w:jc w:val="both"/>
        <w:rPr>
          <w:rFonts w:ascii="Palatino Linotype" w:eastAsia="Palatino Linotype" w:hAnsi="Palatino Linotype" w:cs="Palatino Linotype"/>
          <w:i/>
          <w:iCs/>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En dichas condiciones, la </w:t>
      </w:r>
      <w:r w:rsidRPr="00736A07">
        <w:rPr>
          <w:rFonts w:ascii="Palatino Linotype" w:eastAsia="Palatino Linotype" w:hAnsi="Palatino Linotype" w:cs="Palatino Linotype"/>
          <w:i/>
          <w:iCs/>
          <w:color w:val="000000"/>
        </w:rPr>
        <w:t>Litis</w:t>
      </w:r>
      <w:r w:rsidRPr="00736A07">
        <w:rPr>
          <w:rFonts w:ascii="Palatino Linotype" w:eastAsia="Palatino Linotype" w:hAnsi="Palatino Linotype" w:cs="Palatino Linotype"/>
          <w:color w:val="000000"/>
        </w:rPr>
        <w:t xml:space="preserve"> a resolver en estos recursos se circunscribe a determinar si se actualizan las </w:t>
      </w:r>
      <w:r w:rsidRPr="00736A07">
        <w:rPr>
          <w:rFonts w:ascii="Palatino Linotype" w:eastAsia="Palatino Linotype" w:hAnsi="Palatino Linotype" w:cs="Palatino Linotype"/>
        </w:rPr>
        <w:t>causales</w:t>
      </w:r>
      <w:r w:rsidRPr="00736A07">
        <w:rPr>
          <w:rFonts w:ascii="Palatino Linotype" w:eastAsia="Palatino Linotype" w:hAnsi="Palatino Linotype" w:cs="Palatino Linotype"/>
          <w:color w:val="000000"/>
        </w:rPr>
        <w:t xml:space="preserve"> de procedencia previstas en el artículo 179, </w:t>
      </w:r>
      <w:r w:rsidRPr="00736A07">
        <w:rPr>
          <w:rFonts w:ascii="Palatino Linotype" w:eastAsia="Palatino Linotype" w:hAnsi="Palatino Linotype" w:cs="Palatino Linotype"/>
          <w:b/>
          <w:bCs/>
          <w:color w:val="000000"/>
        </w:rPr>
        <w:t xml:space="preserve">fracción I </w:t>
      </w:r>
      <w:r w:rsidRPr="00736A07">
        <w:rPr>
          <w:rFonts w:ascii="Palatino Linotype" w:eastAsia="Palatino Linotype" w:hAnsi="Palatino Linotype" w:cs="Palatino Linotype"/>
          <w:color w:val="000000"/>
        </w:rPr>
        <w:t>de la Ley</w:t>
      </w:r>
      <w:r w:rsidRPr="00736A07">
        <w:rPr>
          <w:rFonts w:ascii="Palatino Linotype" w:eastAsia="Palatino Linotype" w:hAnsi="Palatino Linotype" w:cs="Palatino Linotype"/>
          <w:b/>
          <w:bCs/>
          <w:color w:val="000000"/>
        </w:rPr>
        <w:t xml:space="preserve"> de Transparencia y Acceso a la Información Pública del Estado de </w:t>
      </w:r>
      <w:r w:rsidRPr="00736A07">
        <w:rPr>
          <w:rFonts w:ascii="Palatino Linotype" w:eastAsia="Palatino Linotype" w:hAnsi="Palatino Linotype" w:cs="Palatino Linotype"/>
          <w:color w:val="000000"/>
        </w:rPr>
        <w:t>México</w:t>
      </w:r>
      <w:r w:rsidRPr="00736A07">
        <w:rPr>
          <w:rFonts w:ascii="Palatino Linotype" w:eastAsia="Palatino Linotype" w:hAnsi="Palatino Linotype" w:cs="Palatino Linotype"/>
          <w:b/>
          <w:bCs/>
          <w:color w:val="000000"/>
        </w:rPr>
        <w:t xml:space="preserve"> y Municipios</w:t>
      </w:r>
      <w:r w:rsidRPr="00736A07">
        <w:rPr>
          <w:rFonts w:ascii="Palatino Linotype" w:eastAsia="Palatino Linotype" w:hAnsi="Palatino Linotype" w:cs="Palatino Linotype"/>
          <w:color w:val="000000"/>
        </w:rPr>
        <w:t xml:space="preserve">; </w:t>
      </w:r>
      <w:r w:rsidRPr="00736A07">
        <w:rPr>
          <w:rFonts w:ascii="Palatino Linotype" w:eastAsia="Palatino Linotype" w:hAnsi="Palatino Linotype" w:cs="Palatino Linotype"/>
          <w:color w:val="000000"/>
        </w:rPr>
        <w:lastRenderedPageBreak/>
        <w:t xml:space="preserve">fracción que determina la hipótesis jurídica relativa a la negativa de la información </w:t>
      </w:r>
      <w:r w:rsidRPr="00736A07">
        <w:rPr>
          <w:rFonts w:ascii="Palatino Linotype" w:eastAsia="Palatino Linotype" w:hAnsi="Palatino Linotype" w:cs="Palatino Linotype"/>
        </w:rPr>
        <w:t>solicitada</w:t>
      </w:r>
      <w:r w:rsidRPr="00736A07">
        <w:rPr>
          <w:rFonts w:ascii="Palatino Linotype" w:eastAsia="Palatino Linotype" w:hAnsi="Palatino Linotype" w:cs="Palatino Linotype"/>
          <w:color w:val="000000"/>
        </w:rPr>
        <w:t xml:space="preserve">; contexto del cual se dolió </w:t>
      </w:r>
      <w:r w:rsidRPr="00736A07">
        <w:rPr>
          <w:rFonts w:ascii="Palatino Linotype" w:eastAsia="Palatino Linotype" w:hAnsi="Palatino Linotype" w:cs="Palatino Linotype"/>
          <w:b/>
          <w:bCs/>
          <w:color w:val="000000"/>
        </w:rPr>
        <w:t xml:space="preserve">EL RECURRENTE </w:t>
      </w:r>
      <w:r w:rsidRPr="00736A07">
        <w:rPr>
          <w:rFonts w:ascii="Palatino Linotype" w:eastAsia="Palatino Linotype" w:hAnsi="Palatino Linotype" w:cs="Palatino Linotype"/>
          <w:color w:val="000000"/>
        </w:rPr>
        <w:t>al momento de interponer su inconformidad.</w:t>
      </w:r>
    </w:p>
    <w:p w:rsidR="00F972C3" w:rsidRPr="00736A07" w:rsidRDefault="00F972C3" w:rsidP="00FD6E91">
      <w:pPr>
        <w:pBdr>
          <w:top w:val="none" w:sz="0" w:space="0" w:color="000000"/>
          <w:left w:val="none" w:sz="0" w:space="0" w:color="000000"/>
          <w:bottom w:val="none" w:sz="0" w:space="0" w:color="000000"/>
          <w:right w:val="none" w:sz="0" w:space="0" w:color="000000"/>
          <w:between w:val="none" w:sz="0" w:space="0" w:color="000000"/>
        </w:pBd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De modo tal que el presente recurso de revisión se </w:t>
      </w:r>
      <w:r w:rsidRPr="00736A07">
        <w:rPr>
          <w:rFonts w:ascii="Palatino Linotype" w:eastAsia="Palatino Linotype" w:hAnsi="Palatino Linotype" w:cs="Palatino Linotype"/>
        </w:rPr>
        <w:t>abocara</w:t>
      </w:r>
      <w:r w:rsidRPr="00736A07">
        <w:rPr>
          <w:rFonts w:ascii="Palatino Linotype" w:eastAsia="Palatino Linotype" w:hAnsi="Palatino Linotype" w:cs="Palatino Linotype"/>
          <w:color w:val="000000"/>
        </w:rPr>
        <w:t xml:space="preserve"> en determinar si el </w:t>
      </w:r>
      <w:r w:rsidRPr="00736A07">
        <w:rPr>
          <w:rFonts w:ascii="Palatino Linotype" w:eastAsia="Palatino Linotype" w:hAnsi="Palatino Linotype" w:cs="Palatino Linotype"/>
          <w:b/>
          <w:bCs/>
          <w:color w:val="000000"/>
        </w:rPr>
        <w:t>SUJETO OBLIGADO</w:t>
      </w:r>
      <w:r w:rsidRPr="00736A07">
        <w:rPr>
          <w:rFonts w:ascii="Palatino Linotype" w:eastAsia="Palatino Linotype" w:hAnsi="Palatino Linotype" w:cs="Palatino Linotype"/>
          <w:color w:val="000000"/>
        </w:rPr>
        <w:t xml:space="preserve"> con su respuesta ciertamente actualiza la causal de procedencia</w:t>
      </w:r>
      <w:r w:rsidRPr="00736A07">
        <w:rPr>
          <w:rFonts w:ascii="Palatino Linotype" w:eastAsia="Palatino Linotype" w:hAnsi="Palatino Linotype" w:cs="Palatino Linotype"/>
          <w:b/>
          <w:bCs/>
          <w:color w:val="000000"/>
        </w:rPr>
        <w:t xml:space="preserve"> </w:t>
      </w:r>
      <w:r w:rsidRPr="00736A07">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F972C3" w:rsidRPr="00736A07" w:rsidRDefault="00F972C3" w:rsidP="00FD6E91">
      <w:pPr>
        <w:spacing w:line="360" w:lineRule="auto"/>
        <w:ind w:right="-171"/>
        <w:jc w:val="both"/>
        <w:rPr>
          <w:rFonts w:ascii="Palatino Linotype" w:eastAsia="Palatino Linotype" w:hAnsi="Palatino Linotype" w:cs="Palatino Linotype"/>
          <w:highlight w:val="yellow"/>
        </w:rPr>
      </w:pPr>
      <w:bookmarkStart w:id="6" w:name="_heading=h.skyk1xnun4g" w:colFirst="0" w:colLast="0"/>
      <w:bookmarkEnd w:id="6"/>
    </w:p>
    <w:p w:rsidR="00F972C3" w:rsidRPr="00736A07" w:rsidRDefault="00475F99" w:rsidP="00FD6E91">
      <w:pPr>
        <w:keepNext/>
        <w:keepLines/>
        <w:spacing w:line="360" w:lineRule="auto"/>
        <w:ind w:left="567" w:right="-171"/>
        <w:rPr>
          <w:rFonts w:ascii="Palatino Linotype" w:eastAsia="Palatino Linotype" w:hAnsi="Palatino Linotype" w:cs="Palatino Linotype"/>
          <w:b/>
          <w:bCs/>
        </w:rPr>
      </w:pPr>
      <w:r w:rsidRPr="00736A07">
        <w:rPr>
          <w:rFonts w:ascii="Palatino Linotype" w:eastAsia="Palatino Linotype" w:hAnsi="Palatino Linotype" w:cs="Palatino Linotype"/>
          <w:b/>
          <w:bCs/>
        </w:rPr>
        <w:t xml:space="preserve">De la solicitud de información </w:t>
      </w: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Ahora bien mediante el siguiente cuadro de </w:t>
      </w:r>
      <w:r w:rsidRPr="00736A07">
        <w:rPr>
          <w:rFonts w:ascii="Palatino Linotype" w:eastAsia="Palatino Linotype" w:hAnsi="Palatino Linotype" w:cs="Palatino Linotype"/>
        </w:rPr>
        <w:t>análisis</w:t>
      </w:r>
      <w:r w:rsidRPr="00736A07">
        <w:rPr>
          <w:rFonts w:ascii="Palatino Linotype" w:eastAsia="Palatino Linotype" w:hAnsi="Palatino Linotype" w:cs="Palatino Linotype"/>
          <w:color w:val="000000"/>
        </w:rPr>
        <w:t xml:space="preserve"> se establece si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rPr>
        <w:t>colmo</w:t>
      </w:r>
      <w:r w:rsidRPr="00736A07">
        <w:rPr>
          <w:rFonts w:ascii="Palatino Linotype" w:eastAsia="Palatino Linotype" w:hAnsi="Palatino Linotype" w:cs="Palatino Linotype"/>
          <w:color w:val="000000"/>
        </w:rPr>
        <w:t xml:space="preserve"> el derecho de acceso a la información de recurrente, por lo que, es necesario precisar en una tabla la información solicitada por el </w:t>
      </w:r>
      <w:r w:rsidRPr="00736A07">
        <w:rPr>
          <w:rFonts w:ascii="Palatino Linotype" w:eastAsia="Palatino Linotype" w:hAnsi="Palatino Linotype" w:cs="Palatino Linotype"/>
          <w:b/>
          <w:bCs/>
          <w:color w:val="000000"/>
        </w:rPr>
        <w:t xml:space="preserve">RECURRENTE </w:t>
      </w:r>
      <w:r w:rsidRPr="00736A07">
        <w:rPr>
          <w:rFonts w:ascii="Palatino Linotype" w:eastAsia="Palatino Linotype" w:hAnsi="Palatino Linotype" w:cs="Palatino Linotype"/>
          <w:color w:val="000000"/>
        </w:rPr>
        <w:t xml:space="preserve">y la información remitida en respuesta por parte del </w:t>
      </w:r>
      <w:r w:rsidRPr="00736A07">
        <w:rPr>
          <w:rFonts w:ascii="Palatino Linotype" w:eastAsia="Palatino Linotype" w:hAnsi="Palatino Linotype" w:cs="Palatino Linotype"/>
          <w:b/>
          <w:bCs/>
          <w:color w:val="000000"/>
        </w:rPr>
        <w:t xml:space="preserve">SUJETO OBLIGADO. </w:t>
      </w:r>
    </w:p>
    <w:p w:rsidR="00F972C3" w:rsidRPr="00736A07" w:rsidRDefault="00475F99" w:rsidP="00FD6E91">
      <w:pPr>
        <w:ind w:left="1134" w:right="-171"/>
        <w:jc w:val="both"/>
        <w:rPr>
          <w:rFonts w:ascii="Palatino Linotype" w:eastAsia="Palatino Linotype" w:hAnsi="Palatino Linotype" w:cs="Palatino Linotype"/>
          <w:b/>
          <w:bCs/>
          <w:i/>
          <w:iCs/>
        </w:rPr>
      </w:pPr>
      <w:r w:rsidRPr="00736A07">
        <w:rPr>
          <w:rFonts w:ascii="Palatino Linotype" w:eastAsia="Palatino Linotype" w:hAnsi="Palatino Linotype" w:cs="Palatino Linotype"/>
          <w:b/>
          <w:bCs/>
          <w:i/>
          <w:iCs/>
        </w:rPr>
        <w:t xml:space="preserve">Del Juez Tercero Familiar de Toluca con residencia en Metepec </w:t>
      </w:r>
    </w:p>
    <w:tbl>
      <w:tblPr>
        <w:tblStyle w:val="a"/>
        <w:tblW w:w="103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3447"/>
        <w:gridCol w:w="2835"/>
        <w:gridCol w:w="2268"/>
      </w:tblGrid>
      <w:tr w:rsidR="00F972C3" w:rsidRPr="00736A07" w:rsidTr="004339C3">
        <w:trPr>
          <w:jc w:val="center"/>
        </w:trPr>
        <w:tc>
          <w:tcPr>
            <w:tcW w:w="1838" w:type="dxa"/>
          </w:tcPr>
          <w:p w:rsidR="00F972C3" w:rsidRPr="00736A07" w:rsidRDefault="00475F99" w:rsidP="004339C3">
            <w:pPr>
              <w:jc w:val="center"/>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t>Información solicitada</w:t>
            </w:r>
          </w:p>
        </w:tc>
        <w:tc>
          <w:tcPr>
            <w:tcW w:w="3447" w:type="dxa"/>
          </w:tcPr>
          <w:p w:rsidR="00F972C3" w:rsidRPr="00736A07" w:rsidRDefault="00475F99" w:rsidP="004339C3">
            <w:pPr>
              <w:jc w:val="center"/>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t>Respuesta al recurso de revisión</w:t>
            </w:r>
          </w:p>
        </w:tc>
        <w:tc>
          <w:tcPr>
            <w:tcW w:w="2835" w:type="dxa"/>
          </w:tcPr>
          <w:p w:rsidR="00F972C3" w:rsidRPr="00736A07" w:rsidRDefault="00475F99" w:rsidP="004339C3">
            <w:pPr>
              <w:jc w:val="center"/>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t>Manifestaciones</w:t>
            </w:r>
          </w:p>
        </w:tc>
        <w:tc>
          <w:tcPr>
            <w:tcW w:w="2268" w:type="dxa"/>
          </w:tcPr>
          <w:p w:rsidR="00F972C3" w:rsidRPr="00736A07" w:rsidRDefault="00475F99" w:rsidP="004339C3">
            <w:pPr>
              <w:jc w:val="center"/>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t>Colma</w:t>
            </w:r>
          </w:p>
        </w:tc>
      </w:tr>
      <w:tr w:rsidR="00F972C3" w:rsidRPr="00736A07" w:rsidTr="004339C3">
        <w:trPr>
          <w:jc w:val="center"/>
        </w:trPr>
        <w:tc>
          <w:tcPr>
            <w:tcW w:w="1838" w:type="dxa"/>
          </w:tcPr>
          <w:p w:rsidR="00F972C3" w:rsidRPr="00736A07" w:rsidRDefault="00475F99" w:rsidP="004339C3">
            <w:pPr>
              <w:jc w:val="both"/>
              <w:rPr>
                <w:rFonts w:ascii="Palatino Linotype" w:eastAsia="Palatino Linotype" w:hAnsi="Palatino Linotype" w:cs="Palatino Linotype"/>
                <w:b/>
                <w:bCs/>
                <w:i/>
                <w:iCs/>
                <w:color w:val="222222"/>
                <w:highlight w:val="white"/>
              </w:rPr>
            </w:pPr>
            <w:r w:rsidRPr="00736A07">
              <w:rPr>
                <w:rFonts w:ascii="Palatino Linotype" w:eastAsia="Palatino Linotype" w:hAnsi="Palatino Linotype" w:cs="Palatino Linotype"/>
                <w:i/>
                <w:iCs/>
                <w:color w:val="000000"/>
              </w:rPr>
              <w:t xml:space="preserve">Recibos de nómina </w:t>
            </w:r>
            <w:r w:rsidRPr="00736A07">
              <w:rPr>
                <w:rFonts w:ascii="Palatino Linotype" w:eastAsia="Palatino Linotype" w:hAnsi="Palatino Linotype" w:cs="Palatino Linotype"/>
                <w:b/>
                <w:bCs/>
                <w:i/>
                <w:iCs/>
              </w:rPr>
              <w:t>desde octubre de 2025 a febrero de 2026</w:t>
            </w:r>
          </w:p>
          <w:p w:rsidR="00F972C3" w:rsidRPr="00736A07" w:rsidRDefault="00F972C3" w:rsidP="004339C3">
            <w:pPr>
              <w:jc w:val="both"/>
              <w:rPr>
                <w:rFonts w:ascii="Palatino Linotype" w:eastAsia="Palatino Linotype" w:hAnsi="Palatino Linotype" w:cs="Palatino Linotype"/>
                <w:i/>
                <w:iCs/>
                <w:color w:val="000000"/>
              </w:rPr>
            </w:pPr>
          </w:p>
        </w:tc>
        <w:tc>
          <w:tcPr>
            <w:tcW w:w="3447"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t>ANEXO DE ENTREGA\2025 OK.pdf:</w:t>
            </w:r>
            <w:r w:rsidRPr="00736A07">
              <w:rPr>
                <w:rFonts w:ascii="Palatino Linotype" w:eastAsia="Palatino Linotype" w:hAnsi="Palatino Linotype" w:cs="Palatino Linotype"/>
                <w:i/>
                <w:iCs/>
                <w:color w:val="000000"/>
              </w:rPr>
              <w:t xml:space="preserve"> documento que contiene los comprobantes de percepciones y deducciones de la primera quincena de octubre a la treinta y uno de diciembre de dos mil veinticinco. </w:t>
            </w:r>
          </w:p>
          <w:p w:rsidR="00F972C3" w:rsidRPr="00736A07" w:rsidRDefault="00475F99" w:rsidP="004339C3">
            <w:pPr>
              <w:jc w:val="both"/>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lastRenderedPageBreak/>
              <w:t>ANEXO DE ENTREGA\2026 OK.pdf:</w:t>
            </w:r>
            <w:r w:rsidRPr="00736A07">
              <w:rPr>
                <w:rFonts w:ascii="Palatino Linotype" w:eastAsia="Palatino Linotype" w:hAnsi="Palatino Linotype" w:cs="Palatino Linotype"/>
                <w:i/>
                <w:iCs/>
                <w:color w:val="000000"/>
              </w:rPr>
              <w:t xml:space="preserve"> documento que contiene los comprobantes de percepciones y deducciones de la primera quincena de enero de dos mil veintiséis a la segunda quincena de febrero de dos mil veintiséis.</w:t>
            </w:r>
          </w:p>
        </w:tc>
        <w:tc>
          <w:tcPr>
            <w:tcW w:w="2835"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lastRenderedPageBreak/>
              <w:t xml:space="preserve">Sesión Extraordinaria 01 26.pdf: </w:t>
            </w:r>
            <w:r w:rsidRPr="00736A07">
              <w:rPr>
                <w:rFonts w:ascii="Palatino Linotype" w:eastAsia="Palatino Linotype" w:hAnsi="Palatino Linotype" w:cs="Palatino Linotype"/>
                <w:i/>
                <w:iCs/>
                <w:color w:val="000000"/>
              </w:rPr>
              <w:t xml:space="preserve">Acta de la Primera Sesión Extraordinaria, mediante la cual se aprueba la clasificación de la información confidencial de RFC, Clave ISSEMyM, </w:t>
            </w:r>
            <w:r w:rsidRPr="00736A07">
              <w:rPr>
                <w:rFonts w:ascii="Palatino Linotype" w:eastAsia="Palatino Linotype" w:hAnsi="Palatino Linotype" w:cs="Palatino Linotype"/>
                <w:i/>
                <w:iCs/>
                <w:color w:val="000000"/>
              </w:rPr>
              <w:lastRenderedPageBreak/>
              <w:t>Clave de Empleado, Curp, Deducciones: 1. Aportación Fondo De Ahorro 2. Seguro de Separación 7. Aportación Voluntaria Al Plan de Previsión Social y Riesgo, Número de Cuenta Bancaria.</w:t>
            </w:r>
          </w:p>
          <w:p w:rsidR="00F972C3" w:rsidRPr="00736A07" w:rsidRDefault="00F972C3" w:rsidP="004339C3">
            <w:pPr>
              <w:jc w:val="both"/>
              <w:rPr>
                <w:rFonts w:ascii="Palatino Linotype" w:eastAsia="Palatino Linotype" w:hAnsi="Palatino Linotype" w:cs="Palatino Linotype"/>
                <w:i/>
                <w:iCs/>
                <w:color w:val="000000"/>
              </w:rPr>
            </w:pPr>
          </w:p>
        </w:tc>
        <w:tc>
          <w:tcPr>
            <w:tcW w:w="2268"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lastRenderedPageBreak/>
              <w:t xml:space="preserve">Colma parcialmente, toda vez que se clasificaron datos que no debieron de ser clasificados como la cadena y el sello digital, situación por la cual se ordenarán </w:t>
            </w:r>
            <w:r w:rsidRPr="00736A07">
              <w:rPr>
                <w:rFonts w:ascii="Palatino Linotype" w:eastAsia="Palatino Linotype" w:hAnsi="Palatino Linotype" w:cs="Palatino Linotype"/>
                <w:i/>
                <w:iCs/>
                <w:color w:val="000000"/>
              </w:rPr>
              <w:lastRenderedPageBreak/>
              <w:t xml:space="preserve">en correcta versión pública.  </w:t>
            </w:r>
          </w:p>
        </w:tc>
      </w:tr>
      <w:tr w:rsidR="00F972C3" w:rsidRPr="00736A07" w:rsidTr="004339C3">
        <w:trPr>
          <w:jc w:val="center"/>
        </w:trPr>
        <w:tc>
          <w:tcPr>
            <w:tcW w:w="1838"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lastRenderedPageBreak/>
              <w:t>cuántas sentencias ha emitido, y de esas cuántas han sido impugnadas, al trece de marzo de dos mil veintiséis</w:t>
            </w:r>
          </w:p>
        </w:tc>
        <w:tc>
          <w:tcPr>
            <w:tcW w:w="3447"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t xml:space="preserve">ANEXO DE ENTREGA\ANEXO.txt: </w:t>
            </w:r>
            <w:r w:rsidRPr="00736A07">
              <w:rPr>
                <w:rFonts w:ascii="Palatino Linotype" w:eastAsia="Palatino Linotype" w:hAnsi="Palatino Linotype" w:cs="Palatino Linotype"/>
                <w:i/>
                <w:iCs/>
                <w:color w:val="000000"/>
              </w:rPr>
              <w:t xml:space="preserve">nota que contiene el número de sentencias emitidas y apeladas en el periodo del veintidós de septiembre de dos mil veinticinco al trece de marzo de dos mil veintiséis. </w:t>
            </w:r>
          </w:p>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El documento también contiene el número total de amparaos interpuestos en el periodo del veintidós de septiembre de dos mil veinticinco al trece de marzo de dos mil veintiséis. </w:t>
            </w:r>
          </w:p>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t xml:space="preserve">ANEXO DE ENTREGA\ANEXO.xlsx: </w:t>
            </w:r>
            <w:r w:rsidRPr="00736A07">
              <w:rPr>
                <w:rFonts w:ascii="Palatino Linotype" w:eastAsia="Palatino Linotype" w:hAnsi="Palatino Linotype" w:cs="Palatino Linotype"/>
                <w:i/>
                <w:iCs/>
                <w:color w:val="000000"/>
              </w:rPr>
              <w:t xml:space="preserve">documento Excel que contiene el número de sentencias emitidas y apeladas en el periodo del veintidós de septiembre de dos mil veinticinco al trece de marzo de dos mil veintiséis. </w:t>
            </w:r>
          </w:p>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El documento también contiene el número total de amparaos interpuestos en el periodo del </w:t>
            </w:r>
            <w:r w:rsidRPr="00736A07">
              <w:rPr>
                <w:rFonts w:ascii="Palatino Linotype" w:eastAsia="Palatino Linotype" w:hAnsi="Palatino Linotype" w:cs="Palatino Linotype"/>
                <w:i/>
                <w:iCs/>
                <w:color w:val="000000"/>
              </w:rPr>
              <w:lastRenderedPageBreak/>
              <w:t xml:space="preserve">veintidós de septiembre de dos mil veinticinco al trece de marzo de dos mil veintiséis. </w:t>
            </w:r>
          </w:p>
          <w:p w:rsidR="00F972C3" w:rsidRPr="00736A07" w:rsidRDefault="00F972C3" w:rsidP="004339C3">
            <w:pPr>
              <w:pBdr>
                <w:top w:val="nil"/>
                <w:left w:val="nil"/>
                <w:bottom w:val="nil"/>
                <w:right w:val="nil"/>
                <w:between w:val="nil"/>
              </w:pBdr>
              <w:ind w:left="1134"/>
              <w:jc w:val="both"/>
              <w:rPr>
                <w:rFonts w:ascii="Palatino Linotype" w:eastAsia="Palatino Linotype" w:hAnsi="Palatino Linotype" w:cs="Palatino Linotype"/>
                <w:i/>
                <w:iCs/>
                <w:color w:val="000000"/>
              </w:rPr>
            </w:pPr>
          </w:p>
          <w:p w:rsidR="00F972C3" w:rsidRPr="00736A07" w:rsidRDefault="00F972C3" w:rsidP="004339C3">
            <w:pPr>
              <w:jc w:val="both"/>
              <w:rPr>
                <w:rFonts w:ascii="Palatino Linotype" w:eastAsia="Palatino Linotype" w:hAnsi="Palatino Linotype" w:cs="Palatino Linotype"/>
                <w:i/>
                <w:iCs/>
                <w:color w:val="000000"/>
              </w:rPr>
            </w:pPr>
          </w:p>
        </w:tc>
        <w:tc>
          <w:tcPr>
            <w:tcW w:w="2835"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lastRenderedPageBreak/>
              <w:t xml:space="preserve">Ratifica la respuesta inicial </w:t>
            </w:r>
          </w:p>
        </w:tc>
        <w:tc>
          <w:tcPr>
            <w:tcW w:w="2268"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Colma toda vez que se informó sobre el número de sentencias emitidas y el número que fueron impugnadas al trece de marzo de dos mil veintiséis.  </w:t>
            </w:r>
          </w:p>
        </w:tc>
      </w:tr>
      <w:tr w:rsidR="00F972C3" w:rsidRPr="00736A07" w:rsidTr="004339C3">
        <w:trPr>
          <w:jc w:val="center"/>
        </w:trPr>
        <w:tc>
          <w:tcPr>
            <w:tcW w:w="1838"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cuántos juicios de amparo ha recibido , al trece de marzo de dos mil veintiséis</w:t>
            </w:r>
          </w:p>
        </w:tc>
        <w:tc>
          <w:tcPr>
            <w:tcW w:w="3447"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t xml:space="preserve">ANEXO DE ENTREGA\ANEXO.txt: </w:t>
            </w:r>
            <w:r w:rsidRPr="00736A07">
              <w:rPr>
                <w:rFonts w:ascii="Palatino Linotype" w:eastAsia="Palatino Linotype" w:hAnsi="Palatino Linotype" w:cs="Palatino Linotype"/>
                <w:i/>
                <w:iCs/>
                <w:color w:val="000000"/>
              </w:rPr>
              <w:t xml:space="preserve">nota que contiene el número de sentencias emitidas y apeladas en el periodo del veintidós de septiembre de dos mil veinticinco al trece de marzo de dos mil veintiséis. </w:t>
            </w:r>
          </w:p>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El documento también contiene el número total de amparaos interpuestos en el periodo del veintidós de septiembre de dos mil veinticinco al trece de marzo de dos mil veintiséis. </w:t>
            </w:r>
          </w:p>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t xml:space="preserve">ANEXO DE ENTREGA\ANEXO.xlsx: </w:t>
            </w:r>
            <w:r w:rsidRPr="00736A07">
              <w:rPr>
                <w:rFonts w:ascii="Palatino Linotype" w:eastAsia="Palatino Linotype" w:hAnsi="Palatino Linotype" w:cs="Palatino Linotype"/>
                <w:i/>
                <w:iCs/>
                <w:color w:val="000000"/>
              </w:rPr>
              <w:t xml:space="preserve">documento Excel que contiene el número de sentencias emitidas y apeladas en el periodo del veintidós de septiembre de dos mil veinticinco al trece de marzo de dos mil veintiséis. </w:t>
            </w:r>
          </w:p>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El documento también contiene el número total de amparaos interpuestos en el periodo del veintidós de septiembre de dos mil veinticinco al trece de marzo de dos mil veintiséis. </w:t>
            </w:r>
          </w:p>
          <w:p w:rsidR="00F972C3" w:rsidRPr="00736A07" w:rsidRDefault="00F972C3" w:rsidP="004339C3">
            <w:pPr>
              <w:pBdr>
                <w:top w:val="nil"/>
                <w:left w:val="nil"/>
                <w:bottom w:val="nil"/>
                <w:right w:val="nil"/>
                <w:between w:val="nil"/>
              </w:pBdr>
              <w:ind w:left="1134"/>
              <w:jc w:val="both"/>
              <w:rPr>
                <w:rFonts w:ascii="Palatino Linotype" w:eastAsia="Palatino Linotype" w:hAnsi="Palatino Linotype" w:cs="Palatino Linotype"/>
                <w:i/>
                <w:iCs/>
                <w:color w:val="000000"/>
              </w:rPr>
            </w:pPr>
          </w:p>
          <w:p w:rsidR="00F972C3" w:rsidRPr="00736A07" w:rsidRDefault="00F972C3" w:rsidP="004339C3">
            <w:pPr>
              <w:jc w:val="both"/>
              <w:rPr>
                <w:rFonts w:ascii="Palatino Linotype" w:eastAsia="Palatino Linotype" w:hAnsi="Palatino Linotype" w:cs="Palatino Linotype"/>
                <w:i/>
                <w:iCs/>
                <w:color w:val="000000"/>
              </w:rPr>
            </w:pPr>
          </w:p>
        </w:tc>
        <w:tc>
          <w:tcPr>
            <w:tcW w:w="2835"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Ratifica la respuesta inicial </w:t>
            </w:r>
          </w:p>
        </w:tc>
        <w:tc>
          <w:tcPr>
            <w:tcW w:w="2268"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Colma, toda vez que se informó el número de juicios de amparos al trece de marzo de dos mil veintiséis. </w:t>
            </w:r>
          </w:p>
        </w:tc>
      </w:tr>
      <w:tr w:rsidR="00F972C3" w:rsidRPr="00736A07" w:rsidTr="004339C3">
        <w:trPr>
          <w:jc w:val="center"/>
        </w:trPr>
        <w:tc>
          <w:tcPr>
            <w:tcW w:w="1838"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lastRenderedPageBreak/>
              <w:t>Versión pública de las sentencias emitidas desde enero a febrero de 2026</w:t>
            </w:r>
          </w:p>
        </w:tc>
        <w:tc>
          <w:tcPr>
            <w:tcW w:w="3447"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El </w:t>
            </w:r>
            <w:r w:rsidRPr="00736A07">
              <w:rPr>
                <w:rFonts w:ascii="Palatino Linotype" w:eastAsia="Palatino Linotype" w:hAnsi="Palatino Linotype" w:cs="Palatino Linotype"/>
                <w:b/>
                <w:bCs/>
                <w:i/>
                <w:iCs/>
                <w:color w:val="000000"/>
              </w:rPr>
              <w:t xml:space="preserve">SUJETO OBLIGADO </w:t>
            </w:r>
            <w:r w:rsidRPr="00736A07">
              <w:rPr>
                <w:rFonts w:ascii="Palatino Linotype" w:eastAsia="Palatino Linotype" w:hAnsi="Palatino Linotype" w:cs="Palatino Linotype"/>
                <w:i/>
                <w:iCs/>
                <w:color w:val="000000"/>
              </w:rPr>
              <w:t xml:space="preserve">entrega la liga electrónica </w:t>
            </w:r>
            <w:hyperlink r:id="rId10">
              <w:r w:rsidRPr="00736A07">
                <w:rPr>
                  <w:rFonts w:ascii="Palatino Linotype" w:eastAsia="Palatino Linotype" w:hAnsi="Palatino Linotype" w:cs="Palatino Linotype"/>
                  <w:i/>
                  <w:iCs/>
                  <w:color w:val="0563C1"/>
                  <w:u w:val="single"/>
                </w:rPr>
                <w:t>https://www.pjedomex.gob.mx/vista/1_inicio</w:t>
              </w:r>
            </w:hyperlink>
            <w:r w:rsidRPr="00736A07">
              <w:rPr>
                <w:rFonts w:ascii="Palatino Linotype" w:eastAsia="Palatino Linotype" w:hAnsi="Palatino Linotype" w:cs="Palatino Linotype"/>
                <w:i/>
                <w:iCs/>
                <w:color w:val="000000"/>
              </w:rPr>
              <w:t xml:space="preserve">, mediante la cual proporciona instrucciones para que el </w:t>
            </w:r>
            <w:r w:rsidRPr="00736A07">
              <w:rPr>
                <w:rFonts w:ascii="Palatino Linotype" w:eastAsia="Palatino Linotype" w:hAnsi="Palatino Linotype" w:cs="Palatino Linotype"/>
                <w:b/>
                <w:bCs/>
                <w:i/>
                <w:iCs/>
                <w:color w:val="000000"/>
              </w:rPr>
              <w:t xml:space="preserve">RECURRENTE </w:t>
            </w:r>
            <w:r w:rsidRPr="00736A07">
              <w:rPr>
                <w:rFonts w:ascii="Palatino Linotype" w:eastAsia="Palatino Linotype" w:hAnsi="Palatino Linotype" w:cs="Palatino Linotype"/>
                <w:i/>
                <w:iCs/>
                <w:color w:val="000000"/>
              </w:rPr>
              <w:t xml:space="preserve">pueda acceder a las sentencias en versión pública. </w:t>
            </w:r>
          </w:p>
        </w:tc>
        <w:tc>
          <w:tcPr>
            <w:tcW w:w="2835"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Ratifica respuesta inicial</w:t>
            </w:r>
          </w:p>
        </w:tc>
        <w:tc>
          <w:tcPr>
            <w:tcW w:w="2268" w:type="dxa"/>
          </w:tcPr>
          <w:p w:rsidR="00F972C3" w:rsidRPr="00736A07" w:rsidRDefault="00475F99" w:rsidP="004339C3">
            <w:pPr>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i/>
                <w:iCs/>
                <w:color w:val="000000"/>
              </w:rPr>
              <w:t xml:space="preserve">Colma, toda vez que  por medio de la liga electrónica en formato abierto y las instrucciones notificadas por el </w:t>
            </w:r>
            <w:r w:rsidRPr="00736A07">
              <w:rPr>
                <w:rFonts w:ascii="Palatino Linotype" w:eastAsia="Palatino Linotype" w:hAnsi="Palatino Linotype" w:cs="Palatino Linotype"/>
                <w:b/>
                <w:bCs/>
                <w:i/>
                <w:iCs/>
                <w:color w:val="000000"/>
              </w:rPr>
              <w:t xml:space="preserve">SUJETO OBLIGADO </w:t>
            </w:r>
            <w:r w:rsidRPr="00736A07">
              <w:rPr>
                <w:rFonts w:ascii="Palatino Linotype" w:eastAsia="Palatino Linotype" w:hAnsi="Palatino Linotype" w:cs="Palatino Linotype"/>
                <w:i/>
                <w:iCs/>
                <w:color w:val="000000"/>
              </w:rPr>
              <w:t xml:space="preserve">el </w:t>
            </w:r>
            <w:r w:rsidRPr="00736A07">
              <w:rPr>
                <w:rFonts w:ascii="Palatino Linotype" w:eastAsia="Palatino Linotype" w:hAnsi="Palatino Linotype" w:cs="Palatino Linotype"/>
                <w:b/>
                <w:bCs/>
                <w:i/>
                <w:iCs/>
                <w:color w:val="000000"/>
              </w:rPr>
              <w:t xml:space="preserve">RECURRETNTE </w:t>
            </w:r>
            <w:r w:rsidRPr="00736A07">
              <w:rPr>
                <w:rFonts w:ascii="Palatino Linotype" w:eastAsia="Palatino Linotype" w:hAnsi="Palatino Linotype" w:cs="Palatino Linotype"/>
                <w:i/>
                <w:iCs/>
                <w:color w:val="000000"/>
              </w:rPr>
              <w:t xml:space="preserve">puede acceder a la versión pública de las sentencias. </w:t>
            </w:r>
          </w:p>
        </w:tc>
      </w:tr>
    </w:tbl>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Del cuadro de análisis se tiene que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colmo parcialmente  el derecho de acceso a la información del </w:t>
      </w:r>
      <w:r w:rsidRPr="00736A07">
        <w:rPr>
          <w:rFonts w:ascii="Palatino Linotype" w:eastAsia="Palatino Linotype" w:hAnsi="Palatino Linotype" w:cs="Palatino Linotype"/>
          <w:b/>
          <w:bCs/>
          <w:color w:val="000000"/>
        </w:rPr>
        <w:t xml:space="preserve">RECURRENTE, </w:t>
      </w:r>
      <w:r w:rsidRPr="00736A07">
        <w:rPr>
          <w:rFonts w:ascii="Palatino Linotype" w:eastAsia="Palatino Linotype" w:hAnsi="Palatino Linotype" w:cs="Palatino Linotype"/>
          <w:color w:val="000000"/>
        </w:rPr>
        <w:t xml:space="preserve">de acuerdo con el siguiente análisis. </w:t>
      </w: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En esa línea, en cuanto al punto número uno de la solicitud de información consistente en los recibos de nómina, se tiene que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rPr>
        <w:t>entregó</w:t>
      </w:r>
      <w:r w:rsidRPr="00736A07">
        <w:rPr>
          <w:rFonts w:ascii="Palatino Linotype" w:eastAsia="Palatino Linotype" w:hAnsi="Palatino Linotype" w:cs="Palatino Linotype"/>
          <w:color w:val="000000"/>
        </w:rPr>
        <w:t xml:space="preserve"> la información del periodo solicitado, sin embargo </w:t>
      </w:r>
      <w:r w:rsidRPr="00736A07">
        <w:rPr>
          <w:rFonts w:ascii="Palatino Linotype" w:eastAsia="Palatino Linotype" w:hAnsi="Palatino Linotype" w:cs="Palatino Linotype"/>
        </w:rPr>
        <w:t>clasificó</w:t>
      </w:r>
      <w:r w:rsidRPr="00736A07">
        <w:rPr>
          <w:rFonts w:ascii="Palatino Linotype" w:eastAsia="Palatino Linotype" w:hAnsi="Palatino Linotype" w:cs="Palatino Linotype"/>
          <w:color w:val="000000"/>
        </w:rPr>
        <w:t xml:space="preserve"> la información referente a las cadenas y sellos digitales, las cuales no debieron de ser clasificadas, además de que en el Acuerdo del Comité de Transparencia no se consideraron los datos para su clasificación. </w:t>
      </w:r>
    </w:p>
    <w:p w:rsidR="00F972C3" w:rsidRPr="00736A07" w:rsidRDefault="00F972C3" w:rsidP="00FD6E91">
      <w:pPr>
        <w:pBdr>
          <w:top w:val="nil"/>
          <w:left w:val="nil"/>
          <w:bottom w:val="nil"/>
          <w:right w:val="nil"/>
          <w:between w:val="nil"/>
        </w:pBdr>
        <w:ind w:left="720" w:right="-171"/>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En consecuencia, se analiza el contenido de las cadenas y sellos digitales. </w:t>
      </w:r>
    </w:p>
    <w:p w:rsidR="00F972C3" w:rsidRPr="00736A07" w:rsidRDefault="00F972C3" w:rsidP="00FD6E91">
      <w:pPr>
        <w:ind w:right="-171"/>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En </w:t>
      </w:r>
      <w:r w:rsidRPr="00736A07">
        <w:rPr>
          <w:rFonts w:ascii="Palatino Linotype" w:eastAsia="Palatino Linotype" w:hAnsi="Palatino Linotype" w:cs="Palatino Linotype"/>
          <w:color w:val="000000"/>
        </w:rPr>
        <w:t>esa</w:t>
      </w:r>
      <w:r w:rsidRPr="00736A07">
        <w:rPr>
          <w:rFonts w:ascii="Palatino Linotype" w:eastAsia="Palatino Linotype" w:hAnsi="Palatino Linotype" w:cs="Palatino Linotype"/>
        </w:rPr>
        <w:t xml:space="preserve"> </w:t>
      </w:r>
      <w:r w:rsidRPr="00736A07">
        <w:rPr>
          <w:rFonts w:ascii="Palatino Linotype" w:eastAsia="Palatino Linotype" w:hAnsi="Palatino Linotype" w:cs="Palatino Linotype"/>
          <w:color w:val="000000"/>
        </w:rPr>
        <w:t>línea</w:t>
      </w:r>
      <w:r w:rsidRPr="00736A07">
        <w:rPr>
          <w:rFonts w:ascii="Palatino Linotype" w:eastAsia="Palatino Linotype" w:hAnsi="Palatino Linotype" w:cs="Palatino Linotype"/>
        </w:rPr>
        <w:t xml:space="preserve"> de estudio, las cadenas originales y sellos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w:t>
      </w:r>
      <w:r w:rsidRPr="00736A07">
        <w:rPr>
          <w:rFonts w:ascii="Palatino Linotype" w:eastAsia="Palatino Linotype" w:hAnsi="Palatino Linotype" w:cs="Palatino Linotype"/>
        </w:rPr>
        <w:lastRenderedPageBreak/>
        <w:t>precisa los datos de los que se componen los elementos de seguridad y se puntualiza que dicha información está encriptada.</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i/>
          <w:iCs/>
        </w:rPr>
        <w:t>“Elementos utilizados en la generación de Sellos Digitales:</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i/>
          <w:iCs/>
        </w:rPr>
        <w:t>•</w:t>
      </w:r>
      <w:r w:rsidRPr="00736A07">
        <w:rPr>
          <w:rFonts w:ascii="Palatino Linotype" w:eastAsia="Palatino Linotype" w:hAnsi="Palatino Linotype" w:cs="Palatino Linotype"/>
          <w:i/>
          <w:iCs/>
        </w:rPr>
        <w:tab/>
        <w:t>Cadena Original, el elemento a sellar, en este caso de un comprobante fiscal digital a través de Internet.</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i/>
          <w:iCs/>
        </w:rPr>
        <w:t>•</w:t>
      </w:r>
      <w:r w:rsidRPr="00736A07">
        <w:rPr>
          <w:rFonts w:ascii="Palatino Linotype" w:eastAsia="Palatino Linotype" w:hAnsi="Palatino Linotype" w:cs="Palatino Linotype"/>
          <w:i/>
          <w:iCs/>
        </w:rPr>
        <w:tab/>
        <w:t>Certificado de Sello Digital y su correspondiente clave privada.</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i/>
          <w:iCs/>
        </w:rPr>
        <w:t>•</w:t>
      </w:r>
      <w:r w:rsidRPr="00736A07">
        <w:rPr>
          <w:rFonts w:ascii="Palatino Linotype" w:eastAsia="Palatino Linotype" w:hAnsi="Palatino Linotype" w:cs="Palatino Linotype"/>
          <w:i/>
          <w:iCs/>
        </w:rPr>
        <w:tab/>
        <w:t>Algoritmos de criptografía de clave pública para firma electrónica avanzada.</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i/>
          <w:iCs/>
        </w:rPr>
        <w:t>•</w:t>
      </w:r>
      <w:r w:rsidRPr="00736A07">
        <w:rPr>
          <w:rFonts w:ascii="Palatino Linotype" w:eastAsia="Palatino Linotype" w:hAnsi="Palatino Linotype" w:cs="Palatino Linotype"/>
          <w:i/>
          <w:iCs/>
        </w:rPr>
        <w:tab/>
        <w:t>Especificaciones de conversión de la firma electrónica avanzada a Base 64.</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i/>
          <w:iCs/>
        </w:rPr>
        <w:t>Para la generación de sellos digitales se utiliza criptografía de clave pública aplicada a una cadena original.</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i/>
          <w:iCs/>
        </w:rPr>
        <w:t>Criptografía de la Clave Pública</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i/>
          <w:iC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F972C3" w:rsidRPr="00736A07" w:rsidRDefault="00F972C3" w:rsidP="00FD6E91">
      <w:pPr>
        <w:ind w:right="-171"/>
        <w:jc w:val="both"/>
        <w:rPr>
          <w:rFonts w:ascii="Palatino Linotype" w:eastAsia="Palatino Linotype" w:hAnsi="Palatino Linotype" w:cs="Palatino Linotype"/>
          <w:i/>
          <w:iCs/>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Es</w:t>
      </w:r>
      <w:r w:rsidRPr="00736A07">
        <w:rPr>
          <w:rFonts w:ascii="Palatino Linotype" w:eastAsia="Palatino Linotype" w:hAnsi="Palatino Linotype" w:cs="Palatino Linotype"/>
        </w:rPr>
        <w:t xml:space="preserve"> </w:t>
      </w:r>
      <w:r w:rsidRPr="00736A07">
        <w:rPr>
          <w:rFonts w:ascii="Palatino Linotype" w:eastAsia="Palatino Linotype" w:hAnsi="Palatino Linotype" w:cs="Palatino Linotype"/>
          <w:color w:val="000000"/>
        </w:rPr>
        <w:t>decir</w:t>
      </w:r>
      <w:r w:rsidRPr="00736A07">
        <w:rPr>
          <w:rFonts w:ascii="Palatino Linotype" w:eastAsia="Palatino Linotype" w:hAnsi="Palatino Linotype" w:cs="Palatino Linotype"/>
        </w:rPr>
        <w:t xml:space="preserve">, </w:t>
      </w:r>
      <w:r w:rsidRPr="00736A07">
        <w:rPr>
          <w:rFonts w:ascii="Palatino Linotype" w:eastAsia="Palatino Linotype" w:hAnsi="Palatino Linotype" w:cs="Palatino Linotype"/>
          <w:color w:val="000000"/>
        </w:rPr>
        <w:t>por</w:t>
      </w:r>
      <w:r w:rsidRPr="00736A07">
        <w:rPr>
          <w:rFonts w:ascii="Palatino Linotype" w:eastAsia="Palatino Linotype" w:hAnsi="Palatino Linotype" w:cs="Palatino Linotype"/>
        </w:rPr>
        <w:t xml:space="preserve"> sí solos las cadenas originales y los sellos originales no contienen datos personales confidenciales, por lo que se considera que </w:t>
      </w:r>
      <w:r w:rsidRPr="00736A07">
        <w:rPr>
          <w:rFonts w:ascii="Palatino Linotype" w:eastAsia="Palatino Linotype" w:hAnsi="Palatino Linotype" w:cs="Palatino Linotype"/>
          <w:b/>
          <w:bCs/>
        </w:rPr>
        <w:t>no actualizan el supuesto de confidencialidad previsto en el artículo 143, fracción I</w:t>
      </w:r>
      <w:r w:rsidRPr="00736A07">
        <w:rPr>
          <w:rFonts w:ascii="Palatino Linotype" w:eastAsia="Palatino Linotype" w:hAnsi="Palatino Linotype" w:cs="Palatino Linotype"/>
        </w:rPr>
        <w:t>, de la Ley de Transparencia y Acceso a la Información Pública del Estado de México y Municipios y, por el contrario, son información que permite corroborar la legitimidad de la factura, de ser el caso, por lo que guardan el carácter de público.</w:t>
      </w:r>
    </w:p>
    <w:p w:rsidR="00F972C3" w:rsidRPr="00736A07" w:rsidRDefault="00F972C3" w:rsidP="00FD6E91">
      <w:pPr>
        <w:spacing w:line="360" w:lineRule="auto"/>
        <w:ind w:right="-171"/>
        <w:jc w:val="both"/>
        <w:rPr>
          <w:rFonts w:ascii="Palatino Linotype" w:eastAsia="Palatino Linotype" w:hAnsi="Palatino Linotype" w:cs="Palatino Linotype"/>
          <w:b/>
          <w:bCs/>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Cabe señalar </w:t>
      </w:r>
      <w:r w:rsidRPr="00736A07">
        <w:rPr>
          <w:rFonts w:ascii="Palatino Linotype" w:eastAsia="Palatino Linotype" w:hAnsi="Palatino Linotype" w:cs="Palatino Linotype"/>
          <w:color w:val="000000"/>
        </w:rPr>
        <w:t>que</w:t>
      </w:r>
      <w:r w:rsidRPr="00736A07">
        <w:rPr>
          <w:rFonts w:ascii="Palatino Linotype" w:eastAsia="Palatino Linotype" w:hAnsi="Palatino Linotype" w:cs="Palatino Linotype"/>
        </w:rPr>
        <w:t>, en algunos casos, las cadenas originales y sellos digitales, se pueden conformar de datos confidenciales, tales como el Registro Federal de Contribuyentes o la Clave Única de Registro de Población o las deducciones personales; por lo que, en su caso actualizarán la clasificación, en términos del artículo 143, fracción I, de la Ley de la materia.</w:t>
      </w: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lastRenderedPageBreak/>
        <w:t xml:space="preserve">De lo anterior, se determina que toda vez que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no </w:t>
      </w:r>
      <w:r w:rsidRPr="00736A07">
        <w:rPr>
          <w:rFonts w:ascii="Palatino Linotype" w:eastAsia="Palatino Linotype" w:hAnsi="Palatino Linotype" w:cs="Palatino Linotype"/>
        </w:rPr>
        <w:t>analizó</w:t>
      </w:r>
      <w:r w:rsidRPr="00736A07">
        <w:rPr>
          <w:rFonts w:ascii="Palatino Linotype" w:eastAsia="Palatino Linotype" w:hAnsi="Palatino Linotype" w:cs="Palatino Linotype"/>
          <w:color w:val="000000"/>
        </w:rPr>
        <w:t xml:space="preserve"> el acuerdo del Comité de Transparencia el fundamento y motivo por el cual se clasificaron las cadenas y sellos digitales es que se ordenan en versión pública.</w:t>
      </w:r>
    </w:p>
    <w:p w:rsidR="00F972C3" w:rsidRPr="00736A07" w:rsidRDefault="00F972C3" w:rsidP="00FD6E91">
      <w:pPr>
        <w:pBdr>
          <w:top w:val="nil"/>
          <w:left w:val="nil"/>
          <w:bottom w:val="nil"/>
          <w:right w:val="nil"/>
          <w:between w:val="nil"/>
        </w:pBdr>
        <w:ind w:left="720" w:right="-171"/>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Sin embargo, de ser el caso que de las cadenas y sellos digitales </w:t>
      </w:r>
      <w:r w:rsidRPr="00736A07">
        <w:rPr>
          <w:rFonts w:ascii="Palatino Linotype" w:eastAsia="Palatino Linotype" w:hAnsi="Palatino Linotype" w:cs="Palatino Linotype"/>
        </w:rPr>
        <w:t>contienen</w:t>
      </w:r>
      <w:r w:rsidRPr="00736A07">
        <w:rPr>
          <w:rFonts w:ascii="Palatino Linotype" w:eastAsia="Palatino Linotype" w:hAnsi="Palatino Linotype" w:cs="Palatino Linotype"/>
          <w:color w:val="000000"/>
        </w:rPr>
        <w:t xml:space="preserve"> información que deban de ser clasificados como confidenciales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deberá de entregar el Acuerdo del Comité de Transparencia, mediante el cual fundamente y motive las razones y motivos de la clasificación de la información de acuerdo con el artículo 143 fracción I de la  Ley de Transparencia y Acceso a la Información Pública del Estado de México y Municipios. </w:t>
      </w:r>
    </w:p>
    <w:p w:rsidR="00F972C3" w:rsidRPr="00736A07" w:rsidRDefault="00F972C3" w:rsidP="00FD6E91">
      <w:pPr>
        <w:pBdr>
          <w:top w:val="nil"/>
          <w:left w:val="nil"/>
          <w:bottom w:val="nil"/>
          <w:right w:val="nil"/>
          <w:between w:val="nil"/>
        </w:pBdr>
        <w:ind w:left="720" w:right="-171"/>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Ahora bien, en cuanto a los puntos dos y tres de la solicitud de información consistentes en </w:t>
      </w:r>
      <w:r w:rsidRPr="00736A07">
        <w:rPr>
          <w:rFonts w:ascii="Palatino Linotype" w:eastAsia="Palatino Linotype" w:hAnsi="Palatino Linotype" w:cs="Palatino Linotype"/>
          <w:b/>
          <w:bCs/>
          <w:color w:val="000000"/>
        </w:rPr>
        <w:t>“</w:t>
      </w:r>
      <w:r w:rsidRPr="00736A07">
        <w:rPr>
          <w:rFonts w:ascii="Palatino Linotype" w:eastAsia="Palatino Linotype" w:hAnsi="Palatino Linotype" w:cs="Palatino Linotype"/>
          <w:b/>
          <w:bCs/>
          <w:i/>
          <w:iCs/>
          <w:color w:val="000000"/>
        </w:rPr>
        <w:t xml:space="preserve">cuántas sentencias ha emitido, y de esas cuántas han sido impugnadas, al trece de marzo de dos mil veintiséis” y “cuántos juicios de amparo ha recibido , al trece de marzo de dos mil veintiséis”, </w:t>
      </w:r>
      <w:r w:rsidRPr="00736A07">
        <w:rPr>
          <w:rFonts w:ascii="Palatino Linotype" w:eastAsia="Palatino Linotype" w:hAnsi="Palatino Linotype" w:cs="Palatino Linotype"/>
          <w:color w:val="000000"/>
        </w:rPr>
        <w:t xml:space="preserve">se tiene que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colmo el derecho de acceso a la información del </w:t>
      </w:r>
      <w:r w:rsidRPr="00736A07">
        <w:rPr>
          <w:rFonts w:ascii="Palatino Linotype" w:eastAsia="Palatino Linotype" w:hAnsi="Palatino Linotype" w:cs="Palatino Linotype"/>
          <w:b/>
          <w:bCs/>
          <w:color w:val="000000"/>
        </w:rPr>
        <w:t xml:space="preserve">RECURRENTE, </w:t>
      </w:r>
      <w:r w:rsidRPr="00736A07">
        <w:rPr>
          <w:rFonts w:ascii="Palatino Linotype" w:eastAsia="Palatino Linotype" w:hAnsi="Palatino Linotype" w:cs="Palatino Linotype"/>
          <w:color w:val="000000"/>
        </w:rPr>
        <w:t xml:space="preserve">tal y como se observa en la siguiente captura de pantalla. </w:t>
      </w:r>
    </w:p>
    <w:p w:rsidR="00F972C3" w:rsidRDefault="00475F99" w:rsidP="00FD6E91">
      <w:pPr>
        <w:spacing w:line="360" w:lineRule="auto"/>
        <w:ind w:right="-171"/>
        <w:jc w:val="center"/>
        <w:rPr>
          <w:rFonts w:ascii="Palatino Linotype" w:eastAsia="Palatino Linotype" w:hAnsi="Palatino Linotype" w:cs="Palatino Linotype"/>
          <w:color w:val="000000"/>
        </w:rPr>
      </w:pPr>
      <w:r w:rsidRPr="00736A07">
        <w:rPr>
          <w:rFonts w:ascii="Palatino Linotype" w:eastAsia="Palatino Linotype" w:hAnsi="Palatino Linotype" w:cs="Palatino Linotype"/>
          <w:noProof/>
          <w:color w:val="000000"/>
        </w:rPr>
        <w:lastRenderedPageBreak/>
        <w:drawing>
          <wp:inline distT="0" distB="0" distL="0" distR="0">
            <wp:extent cx="3351502" cy="314021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351502" cy="3140213"/>
                    </a:xfrm>
                    <a:prstGeom prst="rect">
                      <a:avLst/>
                    </a:prstGeom>
                    <a:ln/>
                  </pic:spPr>
                </pic:pic>
              </a:graphicData>
            </a:graphic>
          </wp:inline>
        </w:drawing>
      </w:r>
    </w:p>
    <w:p w:rsidR="00736A07" w:rsidRPr="00736A07" w:rsidRDefault="00736A07" w:rsidP="00FD6E91">
      <w:pPr>
        <w:spacing w:line="360" w:lineRule="auto"/>
        <w:ind w:right="-171"/>
        <w:jc w:val="center"/>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De lo anterior se tiene que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rPr>
        <w:t>entregó</w:t>
      </w:r>
      <w:r w:rsidRPr="00736A07">
        <w:rPr>
          <w:rFonts w:ascii="Palatino Linotype" w:eastAsia="Palatino Linotype" w:hAnsi="Palatino Linotype" w:cs="Palatino Linotype"/>
          <w:color w:val="000000"/>
        </w:rPr>
        <w:t xml:space="preserve"> la información solicitada por el </w:t>
      </w:r>
      <w:r w:rsidRPr="00736A07">
        <w:rPr>
          <w:rFonts w:ascii="Palatino Linotype" w:eastAsia="Palatino Linotype" w:hAnsi="Palatino Linotype" w:cs="Palatino Linotype"/>
          <w:b/>
          <w:bCs/>
          <w:color w:val="000000"/>
        </w:rPr>
        <w:t xml:space="preserve">RECURRENTE, </w:t>
      </w:r>
      <w:r w:rsidRPr="00736A07">
        <w:rPr>
          <w:rFonts w:ascii="Palatino Linotype" w:eastAsia="Palatino Linotype" w:hAnsi="Palatino Linotype" w:cs="Palatino Linotype"/>
          <w:color w:val="000000"/>
        </w:rPr>
        <w:t xml:space="preserve">situación por la cual se tiene por colmado el derecho de acceso a la información en cuanto al </w:t>
      </w:r>
      <w:r w:rsidRPr="00736A07">
        <w:rPr>
          <w:rFonts w:ascii="Palatino Linotype" w:eastAsia="Palatino Linotype" w:hAnsi="Palatino Linotype" w:cs="Palatino Linotype"/>
        </w:rPr>
        <w:t>punto</w:t>
      </w:r>
      <w:r w:rsidRPr="00736A07">
        <w:rPr>
          <w:rFonts w:ascii="Palatino Linotype" w:eastAsia="Palatino Linotype" w:hAnsi="Palatino Linotype" w:cs="Palatino Linotype"/>
          <w:color w:val="000000"/>
        </w:rPr>
        <w:t xml:space="preserve"> dos y tres de la solicitud de información. </w:t>
      </w: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Seguidamente, se tiene que la información solicitada en los puntos dos y tres de la solicitud de información es una obligación de transparencia, de conformidad con el artículo 92 fracción XXXIV de la Ley de Transparencia y Acceso a la Información Pública del Estado de México y Municipios. </w:t>
      </w:r>
    </w:p>
    <w:p w:rsidR="00F972C3" w:rsidRPr="00736A07" w:rsidRDefault="00475F99" w:rsidP="00FD6E91">
      <w:pPr>
        <w:ind w:left="1134" w:right="-171"/>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t xml:space="preserve">Artículo 92. </w:t>
      </w:r>
      <w:r w:rsidRPr="00736A07">
        <w:rPr>
          <w:rFonts w:ascii="Palatino Linotype" w:eastAsia="Palatino Linotype" w:hAnsi="Palatino Linotype" w:cs="Palatino Linotype"/>
          <w:i/>
          <w:iCs/>
          <w:color w:val="000000"/>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F972C3" w:rsidRPr="00736A07" w:rsidRDefault="00475F99" w:rsidP="00FD6E91">
      <w:pPr>
        <w:ind w:left="1134" w:right="-171"/>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lastRenderedPageBreak/>
        <w:t>XXXIV.</w:t>
      </w:r>
      <w:r w:rsidRPr="00736A07">
        <w:rPr>
          <w:rFonts w:ascii="Palatino Linotype" w:eastAsia="Palatino Linotype" w:hAnsi="Palatino Linotype" w:cs="Palatino Linotype"/>
          <w:i/>
          <w:iCs/>
          <w:color w:val="000000"/>
        </w:rPr>
        <w:t xml:space="preserve"> Las estadísticas que generen en cumplimiento de sus facultades, competencias o funciones con la mayor desagregación posible;</w:t>
      </w: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Ahora bien, respecto del punto cuatro de la solicitud de información consistente en </w:t>
      </w:r>
      <w:r w:rsidRPr="00736A07">
        <w:rPr>
          <w:rFonts w:ascii="Palatino Linotype" w:eastAsia="Palatino Linotype" w:hAnsi="Palatino Linotype" w:cs="Palatino Linotype"/>
          <w:b/>
          <w:bCs/>
          <w:color w:val="000000"/>
        </w:rPr>
        <w:t>“</w:t>
      </w:r>
      <w:r w:rsidRPr="00736A07">
        <w:rPr>
          <w:rFonts w:ascii="Palatino Linotype" w:eastAsia="Palatino Linotype" w:hAnsi="Palatino Linotype" w:cs="Palatino Linotype"/>
          <w:b/>
          <w:bCs/>
          <w:i/>
          <w:iCs/>
          <w:color w:val="000000"/>
        </w:rPr>
        <w:t xml:space="preserve">Versión pública de las sentencias emitidas desde enero a febrero de 2026”, </w:t>
      </w:r>
      <w:r w:rsidRPr="00736A07">
        <w:rPr>
          <w:rFonts w:ascii="Palatino Linotype" w:eastAsia="Palatino Linotype" w:hAnsi="Palatino Linotype" w:cs="Palatino Linotype"/>
          <w:color w:val="000000"/>
        </w:rPr>
        <w:t xml:space="preserve">se debe de analizar que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entrego la liga electrónica </w:t>
      </w:r>
      <w:hyperlink r:id="rId12">
        <w:r w:rsidRPr="00736A07">
          <w:rPr>
            <w:rFonts w:ascii="Palatino Linotype" w:eastAsia="Palatino Linotype" w:hAnsi="Palatino Linotype" w:cs="Palatino Linotype"/>
            <w:i/>
            <w:iCs/>
            <w:color w:val="0563C1"/>
            <w:u w:val="single"/>
          </w:rPr>
          <w:t>https://www.pjedomex.gob.mx/vista/1_inicio</w:t>
        </w:r>
      </w:hyperlink>
      <w:r w:rsidRPr="00736A07">
        <w:rPr>
          <w:rFonts w:ascii="Palatino Linotype" w:eastAsia="Palatino Linotype" w:hAnsi="Palatino Linotype" w:cs="Palatino Linotype"/>
          <w:color w:val="000000"/>
        </w:rPr>
        <w:t xml:space="preserve">, de la cual preciso instrucciones para que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pudiera acceder a la información solicitada. </w:t>
      </w:r>
    </w:p>
    <w:p w:rsidR="00F972C3" w:rsidRPr="00736A07" w:rsidRDefault="00475F99" w:rsidP="00FD6E91">
      <w:p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 </w:t>
      </w: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De la liga electrónica proporcionada en formato abierto se consultó la información de la se obtuvo lo siguiente. </w:t>
      </w:r>
    </w:p>
    <w:p w:rsidR="00F972C3" w:rsidRPr="00736A07" w:rsidRDefault="00F972C3" w:rsidP="00FD6E91">
      <w:pPr>
        <w:pBdr>
          <w:top w:val="nil"/>
          <w:left w:val="nil"/>
          <w:bottom w:val="nil"/>
          <w:right w:val="nil"/>
          <w:between w:val="nil"/>
        </w:pBdr>
        <w:ind w:left="720" w:right="-171"/>
        <w:rPr>
          <w:rFonts w:ascii="Palatino Linotype" w:eastAsia="Palatino Linotype" w:hAnsi="Palatino Linotype" w:cs="Palatino Linotype"/>
          <w:color w:val="000000"/>
        </w:rPr>
      </w:pP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spacing w:line="360" w:lineRule="auto"/>
        <w:ind w:right="-171"/>
        <w:jc w:val="both"/>
        <w:rPr>
          <w:rFonts w:ascii="Palatino Linotype" w:eastAsia="Palatino Linotype" w:hAnsi="Palatino Linotype" w:cs="Palatino Linotype"/>
          <w:color w:val="000000"/>
        </w:rPr>
      </w:pPr>
      <w:r w:rsidRPr="00736A07">
        <w:rPr>
          <w:noProof/>
        </w:rPr>
        <w:drawing>
          <wp:anchor distT="0" distB="0" distL="114300" distR="114300" simplePos="0" relativeHeight="251658240" behindDoc="0" locked="0" layoutInCell="1" hidden="0" allowOverlap="1">
            <wp:simplePos x="0" y="0"/>
            <wp:positionH relativeFrom="column">
              <wp:posOffset>-509904</wp:posOffset>
            </wp:positionH>
            <wp:positionV relativeFrom="paragraph">
              <wp:posOffset>250190</wp:posOffset>
            </wp:positionV>
            <wp:extent cx="2962910" cy="2237740"/>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2962910" cy="2237740"/>
                    </a:xfrm>
                    <a:prstGeom prst="rect">
                      <a:avLst/>
                    </a:prstGeom>
                    <a:ln/>
                  </pic:spPr>
                </pic:pic>
              </a:graphicData>
            </a:graphic>
          </wp:anchor>
        </w:drawing>
      </w:r>
    </w:p>
    <w:p w:rsidR="00F972C3" w:rsidRPr="00736A07" w:rsidRDefault="00475F99" w:rsidP="00FD6E91">
      <w:pPr>
        <w:spacing w:line="360" w:lineRule="auto"/>
        <w:ind w:right="-171"/>
        <w:jc w:val="both"/>
        <w:rPr>
          <w:rFonts w:ascii="Palatino Linotype" w:eastAsia="Palatino Linotype" w:hAnsi="Palatino Linotype" w:cs="Palatino Linotype"/>
          <w:color w:val="000000"/>
        </w:rPr>
      </w:pPr>
      <w:r w:rsidRPr="00736A07">
        <w:rPr>
          <w:noProof/>
        </w:rPr>
        <w:drawing>
          <wp:anchor distT="0" distB="0" distL="114300" distR="114300" simplePos="0" relativeHeight="251659264" behindDoc="0" locked="0" layoutInCell="1" hidden="0" allowOverlap="1">
            <wp:simplePos x="0" y="0"/>
            <wp:positionH relativeFrom="column">
              <wp:posOffset>2889885</wp:posOffset>
            </wp:positionH>
            <wp:positionV relativeFrom="paragraph">
              <wp:posOffset>36195</wp:posOffset>
            </wp:positionV>
            <wp:extent cx="3072130" cy="239966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3072130" cy="2399665"/>
                    </a:xfrm>
                    <a:prstGeom prst="rect">
                      <a:avLst/>
                    </a:prstGeom>
                    <a:ln/>
                  </pic:spPr>
                </pic:pic>
              </a:graphicData>
            </a:graphic>
          </wp:anchor>
        </w:drawing>
      </w: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F972C3" w:rsidP="00FD6E91">
      <w:pPr>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lastRenderedPageBreak/>
        <w:t xml:space="preserve">De lo anterior, se tiene que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mediante la liga electrónica y las instrucciones referidas en respuesta es que el </w:t>
      </w:r>
      <w:r w:rsidRPr="00736A07">
        <w:rPr>
          <w:rFonts w:ascii="Palatino Linotype" w:eastAsia="Palatino Linotype" w:hAnsi="Palatino Linotype" w:cs="Palatino Linotype"/>
          <w:b/>
          <w:bCs/>
          <w:color w:val="000000"/>
        </w:rPr>
        <w:t xml:space="preserve">RECURRENTE </w:t>
      </w:r>
      <w:r w:rsidRPr="00736A07">
        <w:rPr>
          <w:rFonts w:ascii="Palatino Linotype" w:eastAsia="Palatino Linotype" w:hAnsi="Palatino Linotype" w:cs="Palatino Linotype"/>
          <w:color w:val="000000"/>
        </w:rPr>
        <w:t xml:space="preserve">si puede consultar las versiones públicas de las sentencias. </w:t>
      </w: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En consecuencia, se debe de analizar que la respuesta del </w:t>
      </w:r>
      <w:r w:rsidRPr="00736A07">
        <w:rPr>
          <w:rFonts w:ascii="Palatino Linotype" w:eastAsia="Palatino Linotype" w:hAnsi="Palatino Linotype" w:cs="Palatino Linotype"/>
          <w:b/>
          <w:bCs/>
        </w:rPr>
        <w:t xml:space="preserve">SUJETO </w:t>
      </w:r>
      <w:r w:rsidRPr="00736A07">
        <w:rPr>
          <w:rFonts w:ascii="Palatino Linotype" w:eastAsia="Palatino Linotype" w:hAnsi="Palatino Linotype" w:cs="Palatino Linotype"/>
          <w:b/>
          <w:bCs/>
          <w:color w:val="000000"/>
        </w:rPr>
        <w:t xml:space="preserve">OBLIGADO </w:t>
      </w:r>
      <w:r w:rsidRPr="00736A07">
        <w:rPr>
          <w:rFonts w:ascii="Palatino Linotype" w:eastAsia="Palatino Linotype" w:hAnsi="Palatino Linotype" w:cs="Palatino Linotype"/>
          <w:color w:val="000000"/>
        </w:rPr>
        <w:t xml:space="preserve">guarda relación con la transparencia </w:t>
      </w:r>
      <w:r w:rsidRPr="00736A07">
        <w:rPr>
          <w:rFonts w:ascii="Palatino Linotype" w:eastAsia="Palatino Linotype" w:hAnsi="Palatino Linotype" w:cs="Palatino Linotype"/>
        </w:rPr>
        <w:t>proactiva</w:t>
      </w:r>
      <w:r w:rsidRPr="00736A07">
        <w:rPr>
          <w:rFonts w:ascii="Palatino Linotype" w:eastAsia="Palatino Linotype" w:hAnsi="Palatino Linotype" w:cs="Palatino Linotype"/>
          <w:color w:val="000000"/>
        </w:rPr>
        <w:t xml:space="preserve"> y con el artículo 161 de la Ley de Transparencia y Acceso a la Información Pública del Estado de México y Municipios, que regula lo siguiente. </w:t>
      </w:r>
    </w:p>
    <w:p w:rsidR="00F972C3" w:rsidRPr="00736A07" w:rsidRDefault="00475F99" w:rsidP="00FD6E91">
      <w:pPr>
        <w:pBdr>
          <w:top w:val="nil"/>
          <w:left w:val="nil"/>
          <w:bottom w:val="nil"/>
          <w:right w:val="nil"/>
          <w:between w:val="nil"/>
        </w:pBdr>
        <w:ind w:left="1134" w:right="-171"/>
        <w:jc w:val="both"/>
        <w:rPr>
          <w:rFonts w:ascii="Palatino Linotype" w:eastAsia="Palatino Linotype" w:hAnsi="Palatino Linotype" w:cs="Palatino Linotype"/>
          <w:i/>
          <w:iCs/>
          <w:color w:val="000000"/>
        </w:rPr>
      </w:pPr>
      <w:r w:rsidRPr="00736A07">
        <w:rPr>
          <w:rFonts w:ascii="Palatino Linotype" w:eastAsia="Palatino Linotype" w:hAnsi="Palatino Linotype" w:cs="Palatino Linotype"/>
          <w:b/>
          <w:bCs/>
          <w:i/>
          <w:iCs/>
          <w:color w:val="000000"/>
        </w:rPr>
        <w:t>Artículo 161.</w:t>
      </w:r>
      <w:r w:rsidRPr="00736A07">
        <w:rPr>
          <w:rFonts w:ascii="Palatino Linotype" w:eastAsia="Palatino Linotype" w:hAnsi="Palatino Linotype" w:cs="Palatino Linotype"/>
          <w:i/>
          <w:iCs/>
          <w:color w:val="000000"/>
        </w:rPr>
        <w:t xml:space="preserve"> Cuando la información requerida por el solicitante ya esté disponible al público en medios impresos, tales como libros, compendios, trípticos, registros públicos, </w:t>
      </w:r>
      <w:r w:rsidRPr="00736A07">
        <w:rPr>
          <w:rFonts w:ascii="Palatino Linotype" w:eastAsia="Palatino Linotype" w:hAnsi="Palatino Linotype" w:cs="Palatino Linotype"/>
          <w:b/>
          <w:bCs/>
          <w:i/>
          <w:iCs/>
          <w:color w:val="000000"/>
        </w:rPr>
        <w:t>en formatos electrónicos disponibles en Internet o en cualquier otro medio</w:t>
      </w:r>
      <w:r w:rsidRPr="00736A07">
        <w:rPr>
          <w:rFonts w:ascii="Palatino Linotype" w:eastAsia="Palatino Linotype" w:hAnsi="Palatino Linotype" w:cs="Palatino Linotype"/>
          <w:i/>
          <w:iCs/>
          <w:color w:val="000000"/>
        </w:rPr>
        <w:t>,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F972C3" w:rsidRDefault="00F972C3" w:rsidP="00FD6E91">
      <w:pPr>
        <w:ind w:right="-171"/>
        <w:rPr>
          <w:rFonts w:ascii="Palatino Linotype" w:eastAsia="Palatino Linotype" w:hAnsi="Palatino Linotype" w:cs="Palatino Linotype"/>
          <w:color w:val="000000"/>
        </w:rPr>
      </w:pPr>
    </w:p>
    <w:p w:rsidR="00736A07" w:rsidRPr="00736A07" w:rsidRDefault="00736A07" w:rsidP="00FD6E91">
      <w:pPr>
        <w:ind w:right="-171"/>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De lo anterior, se tiene que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rPr>
        <w:t>como</w:t>
      </w:r>
      <w:r w:rsidRPr="00736A07">
        <w:rPr>
          <w:rFonts w:ascii="Palatino Linotype" w:eastAsia="Palatino Linotype" w:hAnsi="Palatino Linotype" w:cs="Palatino Linotype"/>
          <w:color w:val="000000"/>
        </w:rPr>
        <w:t xml:space="preserve"> el derecho de acceso a la información del </w:t>
      </w:r>
      <w:r w:rsidRPr="00736A07">
        <w:rPr>
          <w:rFonts w:ascii="Palatino Linotype" w:eastAsia="Palatino Linotype" w:hAnsi="Palatino Linotype" w:cs="Palatino Linotype"/>
          <w:b/>
          <w:bCs/>
          <w:color w:val="000000"/>
        </w:rPr>
        <w:t xml:space="preserve">RECURRENTE. </w:t>
      </w: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Finalmente, se debe de analizar que si de las cadenas y sellos digitales hubiera información que debiera de ser clasificada como confidencial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deberá de emitir el acuerdo del Comité de Transparencia, mediante el cual de manera fundada y motivada de clasifique la información como confidencial, los cuales de manera enunciativa más no limitativa son los siguientes. </w:t>
      </w:r>
    </w:p>
    <w:p w:rsidR="00F972C3" w:rsidRPr="00736A07" w:rsidRDefault="00F972C3" w:rsidP="00FD6E91">
      <w:pPr>
        <w:pBdr>
          <w:top w:val="nil"/>
          <w:left w:val="nil"/>
          <w:bottom w:val="nil"/>
          <w:right w:val="nil"/>
          <w:between w:val="nil"/>
        </w:pBdr>
        <w:ind w:left="720" w:right="-171"/>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Por </w:t>
      </w:r>
      <w:r w:rsidRPr="00736A07">
        <w:rPr>
          <w:rFonts w:ascii="Palatino Linotype" w:eastAsia="Palatino Linotype" w:hAnsi="Palatino Linotype" w:cs="Palatino Linotype"/>
          <w:color w:val="000000"/>
        </w:rPr>
        <w:t>cuanto</w:t>
      </w:r>
      <w:r w:rsidRPr="00736A07">
        <w:rPr>
          <w:rFonts w:ascii="Palatino Linotype" w:eastAsia="Palatino Linotype" w:hAnsi="Palatino Linotype" w:cs="Palatino Linotype"/>
        </w:rPr>
        <w:t xml:space="preserve"> hace al </w:t>
      </w:r>
      <w:r w:rsidRPr="00736A07">
        <w:rPr>
          <w:rFonts w:ascii="Palatino Linotype" w:eastAsia="Palatino Linotype" w:hAnsi="Palatino Linotype" w:cs="Palatino Linotype"/>
          <w:b/>
          <w:bCs/>
        </w:rPr>
        <w:t>Registro Federal de Contribuyentes (RFC),</w:t>
      </w:r>
      <w:r w:rsidRPr="00736A07">
        <w:rPr>
          <w:rFonts w:ascii="Palatino Linotype" w:eastAsia="Palatino Linotype" w:hAnsi="Palatino Linotype" w:cs="Palatino Linotype"/>
        </w:rPr>
        <w:t xml:space="preserve"> de las personas </w:t>
      </w:r>
      <w:r w:rsidRPr="00736A07">
        <w:rPr>
          <w:rFonts w:ascii="Palatino Linotype" w:eastAsia="Palatino Linotype" w:hAnsi="Palatino Linotype" w:cs="Palatino Linotype"/>
          <w:color w:val="000000"/>
        </w:rPr>
        <w:t>físicas</w:t>
      </w:r>
      <w:r w:rsidRPr="00736A07">
        <w:rPr>
          <w:rFonts w:ascii="Palatino Linotype" w:eastAsia="Palatino Linotype" w:hAnsi="Palatino Linotype" w:cs="Palatino Linotype"/>
        </w:rPr>
        <w:t xml:space="preserve">, constituye un dato personal, pues se genera con caracteres alfanuméricos a partir del nombre </w:t>
      </w:r>
      <w:r w:rsidRPr="00736A07">
        <w:rPr>
          <w:rFonts w:ascii="Palatino Linotype" w:eastAsia="Palatino Linotype" w:hAnsi="Palatino Linotype" w:cs="Palatino Linotype"/>
        </w:rPr>
        <w:lastRenderedPageBreak/>
        <w:t>y la fecha de nacimiento de cada persona, y finalmente la homoclave, por lo que para su obtención es necesario acreditar ante la autoridad fiscal previamente la identidad de la persona, su fecha de nacimiento, entre otros aspectos.</w:t>
      </w:r>
    </w:p>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Ahora bien, las personas físicas tramitan su inscripción en el registro con el </w:t>
      </w:r>
      <w:r w:rsidRPr="00736A07">
        <w:rPr>
          <w:rFonts w:ascii="Palatino Linotype" w:eastAsia="Palatino Linotype" w:hAnsi="Palatino Linotype" w:cs="Palatino Linotype"/>
          <w:color w:val="000000"/>
        </w:rPr>
        <w:t>propósito</w:t>
      </w:r>
      <w:r w:rsidRPr="00736A07">
        <w:rPr>
          <w:rFonts w:ascii="Palatino Linotype" w:eastAsia="Palatino Linotype" w:hAnsi="Palatino Linotype" w:cs="Palatino Linotype"/>
        </w:rPr>
        <w:t xml:space="preserve"> </w:t>
      </w:r>
      <w:r w:rsidRPr="00736A07">
        <w:rPr>
          <w:rFonts w:ascii="Palatino Linotype" w:eastAsia="Palatino Linotype" w:hAnsi="Palatino Linotype" w:cs="Palatino Linotype"/>
          <w:color w:val="000000"/>
        </w:rPr>
        <w:t>de</w:t>
      </w:r>
      <w:r w:rsidRPr="00736A07">
        <w:rPr>
          <w:rFonts w:ascii="Palatino Linotype" w:eastAsia="Palatino Linotype" w:hAnsi="Palatino Linotype" w:cs="Palatino Linotype"/>
        </w:rPr>
        <w:t xml:space="preserve"> realizar —</w:t>
      </w:r>
      <w:r w:rsidRPr="00736A07">
        <w:rPr>
          <w:rFonts w:ascii="Palatino Linotype" w:eastAsia="Palatino Linotype" w:hAnsi="Palatino Linotype" w:cs="Palatino Linotype"/>
          <w:color w:val="000000"/>
        </w:rPr>
        <w:t>mediante</w:t>
      </w:r>
      <w:r w:rsidRPr="00736A07">
        <w:rPr>
          <w:rFonts w:ascii="Palatino Linotype" w:eastAsia="Palatino Linotype" w:hAnsi="Palatino Linotype" w:cs="Palatino Linotype"/>
        </w:rPr>
        <w:t xml:space="preserve"> esa clave de identificación— operaciones o actividades de naturaleza fiscal, la cual, les permite hacerse identificables respecto de una situación fiscal determinada.</w:t>
      </w:r>
    </w:p>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Lo </w:t>
      </w:r>
      <w:r w:rsidRPr="00736A07">
        <w:rPr>
          <w:rFonts w:ascii="Palatino Linotype" w:eastAsia="Palatino Linotype" w:hAnsi="Palatino Linotype" w:cs="Palatino Linotype"/>
          <w:color w:val="000000"/>
        </w:rPr>
        <w:t>anterior</w:t>
      </w:r>
      <w:r w:rsidRPr="00736A07">
        <w:rPr>
          <w:rFonts w:ascii="Palatino Linotype" w:eastAsia="Palatino Linotype" w:hAnsi="Palatino Linotype" w:cs="Palatino Linotype"/>
        </w:rPr>
        <w:t xml:space="preserve"> es compartido por el entonces Instituto Federal de Acceso a la </w:t>
      </w:r>
      <w:r w:rsidRPr="00736A07">
        <w:rPr>
          <w:rFonts w:ascii="Palatino Linotype" w:eastAsia="Palatino Linotype" w:hAnsi="Palatino Linotype" w:cs="Palatino Linotype"/>
          <w:color w:val="000000"/>
        </w:rPr>
        <w:t>Información</w:t>
      </w:r>
      <w:r w:rsidRPr="00736A07">
        <w:rPr>
          <w:rFonts w:ascii="Palatino Linotype" w:eastAsia="Palatino Linotype" w:hAnsi="Palatino Linotype" w:cs="Palatino Linotype"/>
        </w:rPr>
        <w:t xml:space="preserve"> Pública y Protección de Datos Personales (IFAI) a través del Criterio 19/17, que utilizado de manera orientadora y que a la fecha de la solicitud se encontraba vigente, el cual refiere lo siguiente:</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b/>
          <w:bCs/>
          <w:i/>
          <w:iCs/>
        </w:rPr>
        <w:t>“Registro Federal de Contribuyentes (RFC) de personas físicas</w:t>
      </w:r>
      <w:r w:rsidRPr="00736A07">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rsidR="00F972C3" w:rsidRPr="00736A07" w:rsidRDefault="00F972C3" w:rsidP="00FD6E91">
      <w:pPr>
        <w:ind w:left="567" w:right="-171"/>
        <w:jc w:val="both"/>
        <w:rPr>
          <w:rFonts w:ascii="Palatino Linotype" w:eastAsia="Palatino Linotype" w:hAnsi="Palatino Linotype" w:cs="Palatino Linotype"/>
          <w:i/>
          <w:iCs/>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Así, </w:t>
      </w:r>
      <w:r w:rsidRPr="00736A07">
        <w:rPr>
          <w:rFonts w:ascii="Palatino Linotype" w:eastAsia="Palatino Linotype" w:hAnsi="Palatino Linotype" w:cs="Palatino Linotype"/>
          <w:color w:val="000000"/>
        </w:rPr>
        <w:t>el</w:t>
      </w:r>
      <w:r w:rsidRPr="00736A07">
        <w:rPr>
          <w:rFonts w:ascii="Palatino Linotype" w:eastAsia="Palatino Linotype" w:hAnsi="Palatino Linotype" w:cs="Palatino Linotype"/>
        </w:rPr>
        <w:t xml:space="preserve"> </w:t>
      </w:r>
      <w:r w:rsidRPr="00736A07">
        <w:rPr>
          <w:rFonts w:ascii="Palatino Linotype" w:eastAsia="Palatino Linotype" w:hAnsi="Palatino Linotype" w:cs="Palatino Linotype"/>
          <w:b/>
          <w:bCs/>
        </w:rPr>
        <w:t>Registro Federal de Contribuyentes, RFC</w:t>
      </w:r>
      <w:r w:rsidRPr="00736A07">
        <w:rPr>
          <w:rFonts w:ascii="Palatino Linotype" w:eastAsia="Palatino Linotype" w:hAnsi="Palatino Linotype" w:cs="Palatino Linotype"/>
        </w:rPr>
        <w:t xml:space="preserve">, se vincula al nombre de su titular y permite </w:t>
      </w:r>
      <w:r w:rsidRPr="00736A07">
        <w:rPr>
          <w:rFonts w:ascii="Palatino Linotype" w:eastAsia="Palatino Linotype" w:hAnsi="Palatino Linotype" w:cs="Palatino Linotype"/>
          <w:color w:val="000000"/>
        </w:rPr>
        <w:t>identificar</w:t>
      </w:r>
      <w:r w:rsidRPr="00736A07">
        <w:rPr>
          <w:rFonts w:ascii="Palatino Linotype" w:eastAsia="Palatino Linotype" w:hAnsi="Palatino Linotype" w:cs="Palatino Linotype"/>
        </w:rPr>
        <w:t xml:space="preserve">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lastRenderedPageBreak/>
        <w:t>De</w:t>
      </w:r>
      <w:r w:rsidRPr="00736A07">
        <w:rPr>
          <w:rFonts w:ascii="Palatino Linotype" w:eastAsia="Palatino Linotype" w:hAnsi="Palatino Linotype" w:cs="Palatino Linotype"/>
        </w:rPr>
        <w:t xml:space="preserve"> </w:t>
      </w:r>
      <w:r w:rsidRPr="00736A07">
        <w:rPr>
          <w:rFonts w:ascii="Palatino Linotype" w:eastAsia="Palatino Linotype" w:hAnsi="Palatino Linotype" w:cs="Palatino Linotype"/>
          <w:color w:val="000000"/>
        </w:rPr>
        <w:t>igual</w:t>
      </w:r>
      <w:r w:rsidRPr="00736A07">
        <w:rPr>
          <w:rFonts w:ascii="Palatino Linotype" w:eastAsia="Palatino Linotype" w:hAnsi="Palatino Linotype" w:cs="Palatino Linotype"/>
        </w:rPr>
        <w:t xml:space="preserve"> manera la </w:t>
      </w:r>
      <w:r w:rsidRPr="00736A07">
        <w:rPr>
          <w:rFonts w:ascii="Palatino Linotype" w:eastAsia="Palatino Linotype" w:hAnsi="Palatino Linotype" w:cs="Palatino Linotype"/>
          <w:b/>
          <w:bCs/>
        </w:rPr>
        <w:t>Clave Única de Registro de Población (CURP),</w:t>
      </w:r>
      <w:r w:rsidRPr="00736A07">
        <w:rPr>
          <w:rFonts w:ascii="Palatino Linotype" w:eastAsia="Palatino Linotype" w:hAnsi="Palatino Linotype" w:cs="Palatino Linotype"/>
        </w:rPr>
        <w:t xml:space="preserve"> constituye un dato </w:t>
      </w:r>
      <w:r w:rsidRPr="00736A07">
        <w:rPr>
          <w:rFonts w:ascii="Palatino Linotype" w:eastAsia="Palatino Linotype" w:hAnsi="Palatino Linotype" w:cs="Palatino Linotype"/>
          <w:color w:val="000000"/>
        </w:rPr>
        <w:t>personal</w:t>
      </w:r>
      <w:r w:rsidRPr="00736A07">
        <w:rPr>
          <w:rFonts w:ascii="Palatino Linotype" w:eastAsia="Palatino Linotype" w:hAnsi="Palatino Linotype" w:cs="Palatino Linotype"/>
        </w:rPr>
        <w:t>,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Argumento</w:t>
      </w:r>
      <w:r w:rsidRPr="00736A07">
        <w:rPr>
          <w:rFonts w:ascii="Palatino Linotype" w:eastAsia="Palatino Linotype" w:hAnsi="Palatino Linotype" w:cs="Palatino Linotype"/>
        </w:rPr>
        <w:t xml:space="preserve"> que es compartido por el Instituto Nacional de Transparencia, Acceso a la </w:t>
      </w:r>
      <w:r w:rsidRPr="00736A07">
        <w:rPr>
          <w:rFonts w:ascii="Palatino Linotype" w:eastAsia="Palatino Linotype" w:hAnsi="Palatino Linotype" w:cs="Palatino Linotype"/>
          <w:color w:val="000000"/>
        </w:rPr>
        <w:t>Información</w:t>
      </w:r>
      <w:r w:rsidRPr="00736A07">
        <w:rPr>
          <w:rFonts w:ascii="Palatino Linotype" w:eastAsia="Palatino Linotype" w:hAnsi="Palatino Linotype" w:cs="Palatino Linotype"/>
        </w:rPr>
        <w:t xml:space="preserve"> y </w:t>
      </w:r>
      <w:r w:rsidRPr="00736A07">
        <w:rPr>
          <w:rFonts w:ascii="Palatino Linotype" w:eastAsia="Palatino Linotype" w:hAnsi="Palatino Linotype" w:cs="Palatino Linotype"/>
          <w:color w:val="000000"/>
        </w:rPr>
        <w:t>Protección</w:t>
      </w:r>
      <w:r w:rsidRPr="00736A07">
        <w:rPr>
          <w:rFonts w:ascii="Palatino Linotype" w:eastAsia="Palatino Linotype" w:hAnsi="Palatino Linotype" w:cs="Palatino Linotype"/>
        </w:rPr>
        <w:t xml:space="preserve"> de Datos Personales, INAI, conforme al criterio 18/17, que utilizado de manera orientadora, </w:t>
      </w:r>
      <w:r w:rsidRPr="00736A07">
        <w:rPr>
          <w:rFonts w:ascii="Palatino Linotype" w:eastAsia="Palatino Linotype" w:hAnsi="Palatino Linotype" w:cs="Palatino Linotype"/>
          <w:b/>
          <w:bCs/>
        </w:rPr>
        <w:t>toda vez que a la fecha de la solicitud de encontraba vigente, mismo que refiere</w:t>
      </w:r>
      <w:r w:rsidRPr="00736A07">
        <w:rPr>
          <w:rFonts w:ascii="Palatino Linotype" w:eastAsia="Palatino Linotype" w:hAnsi="Palatino Linotype" w:cs="Palatino Linotype"/>
        </w:rPr>
        <w:t xml:space="preserve">: </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b/>
          <w:bCs/>
          <w:i/>
          <w:iCs/>
        </w:rPr>
        <w:t xml:space="preserve">“Clave Única de Registro de Población (CURP). </w:t>
      </w:r>
      <w:r w:rsidRPr="00736A07">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F972C3" w:rsidRPr="00736A07" w:rsidRDefault="00F972C3" w:rsidP="00FD6E91">
      <w:pPr>
        <w:ind w:left="851" w:right="-171"/>
        <w:jc w:val="both"/>
        <w:rPr>
          <w:rFonts w:ascii="Palatino Linotype" w:eastAsia="Palatino Linotype" w:hAnsi="Palatino Linotype" w:cs="Palatino Linotype"/>
          <w:i/>
          <w:iCs/>
        </w:rPr>
      </w:pPr>
    </w:p>
    <w:p w:rsidR="00F972C3" w:rsidRPr="00736A07" w:rsidRDefault="00F972C3" w:rsidP="00FD6E91">
      <w:pPr>
        <w:ind w:left="851" w:right="-171"/>
        <w:jc w:val="both"/>
        <w:rPr>
          <w:rFonts w:ascii="Palatino Linotype" w:eastAsia="Palatino Linotype" w:hAnsi="Palatino Linotype" w:cs="Palatino Linotype"/>
          <w:i/>
          <w:iCs/>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Por </w:t>
      </w:r>
      <w:r w:rsidRPr="00736A07">
        <w:rPr>
          <w:rFonts w:ascii="Palatino Linotype" w:eastAsia="Palatino Linotype" w:hAnsi="Palatino Linotype" w:cs="Palatino Linotype"/>
          <w:color w:val="000000"/>
        </w:rPr>
        <w:t>cuanto</w:t>
      </w:r>
      <w:r w:rsidRPr="00736A07">
        <w:rPr>
          <w:rFonts w:ascii="Palatino Linotype" w:eastAsia="Palatino Linotype" w:hAnsi="Palatino Linotype" w:cs="Palatino Linotype"/>
        </w:rPr>
        <w:t xml:space="preserve"> hace a la </w:t>
      </w:r>
      <w:r w:rsidRPr="00736A07">
        <w:rPr>
          <w:rFonts w:ascii="Palatino Linotype" w:eastAsia="Palatino Linotype" w:hAnsi="Palatino Linotype" w:cs="Palatino Linotype"/>
          <w:b/>
          <w:bCs/>
        </w:rPr>
        <w:t>Clave de cualquier tipo de seguridad social (ISSEMyM, u otros</w:t>
      </w:r>
      <w:r w:rsidRPr="00736A07">
        <w:rPr>
          <w:rFonts w:ascii="Palatino Linotype" w:eastAsia="Palatino Linotype" w:hAnsi="Palatino Linotype" w:cs="Palatino Linotype"/>
        </w:rPr>
        <w:t xml:space="preserve">),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w:t>
      </w:r>
      <w:r w:rsidRPr="00736A07">
        <w:rPr>
          <w:rFonts w:ascii="Palatino Linotype" w:eastAsia="Palatino Linotype" w:hAnsi="Palatino Linotype" w:cs="Palatino Linotype"/>
        </w:rPr>
        <w:lastRenderedPageBreak/>
        <w:t>Ley de Transparencia y Acceso a la Información Pública del Estado de México y Municipios y 4, fracción XI de la Ley de Protección de Datos Personales en Posesión de Sujetos Obligados del Estado de México y Municipios.</w:t>
      </w:r>
    </w:p>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El artículo 9° del mismo ordenamiento, dispone que el ISSEMYM expedirá documentos de identificación para facilitar el acceso a las prestaciones a que tengan derecho. En </w:t>
      </w:r>
      <w:r w:rsidRPr="00736A07">
        <w:rPr>
          <w:rFonts w:ascii="Palatino Linotype" w:eastAsia="Palatino Linotype" w:hAnsi="Palatino Linotype" w:cs="Palatino Linotype"/>
          <w:color w:val="000000"/>
        </w:rPr>
        <w:t>este</w:t>
      </w:r>
      <w:r w:rsidRPr="00736A07">
        <w:rPr>
          <w:rFonts w:ascii="Palatino Linotype" w:eastAsia="Palatino Linotype" w:hAnsi="Palatino Linotype" w:cs="Palatino Linotype"/>
        </w:rPr>
        <w:t xml:space="preserve"> orden de ideas, el </w:t>
      </w:r>
      <w:r w:rsidRPr="00736A07">
        <w:rPr>
          <w:rFonts w:ascii="Palatino Linotype" w:eastAsia="Palatino Linotype" w:hAnsi="Palatino Linotype" w:cs="Palatino Linotype"/>
          <w:color w:val="000000"/>
        </w:rPr>
        <w:t>artículo</w:t>
      </w:r>
      <w:r w:rsidRPr="00736A07">
        <w:rPr>
          <w:rFonts w:ascii="Palatino Linotype" w:eastAsia="Palatino Linotype" w:hAnsi="Palatino Linotype" w:cs="Palatino Linotype"/>
        </w:rPr>
        <w:t xml:space="preserve">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Como se advierte, la clave ISSEMYM es un dato personal que permite </w:t>
      </w:r>
      <w:r w:rsidRPr="00736A07">
        <w:rPr>
          <w:rFonts w:ascii="Palatino Linotype" w:eastAsia="Palatino Linotype" w:hAnsi="Palatino Linotype" w:cs="Palatino Linotype"/>
          <w:color w:val="000000"/>
        </w:rPr>
        <w:t>identificar</w:t>
      </w:r>
      <w:r w:rsidRPr="00736A07">
        <w:rPr>
          <w:rFonts w:ascii="Palatino Linotype" w:eastAsia="Palatino Linotype" w:hAnsi="Palatino Linotype" w:cs="Palatino Linotype"/>
        </w:rPr>
        <w:t xml:space="preserve">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Contar con la prestación de seguridad social que brinda el ISSEMYM no es una </w:t>
      </w:r>
      <w:r w:rsidRPr="00736A07">
        <w:rPr>
          <w:rFonts w:ascii="Palatino Linotype" w:eastAsia="Palatino Linotype" w:hAnsi="Palatino Linotype" w:cs="Palatino Linotype"/>
          <w:color w:val="000000"/>
        </w:rPr>
        <w:t>obligación</w:t>
      </w:r>
      <w:r w:rsidRPr="00736A07">
        <w:rPr>
          <w:rFonts w:ascii="Palatino Linotype" w:eastAsia="Palatino Linotype" w:hAnsi="Palatino Linotype" w:cs="Palatino Linotype"/>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w:t>
      </w:r>
      <w:r w:rsidRPr="00736A07">
        <w:rPr>
          <w:rFonts w:ascii="Palatino Linotype" w:eastAsia="Palatino Linotype" w:hAnsi="Palatino Linotype" w:cs="Palatino Linotype"/>
          <w:color w:val="000000"/>
        </w:rPr>
        <w:t>se</w:t>
      </w:r>
      <w:r w:rsidRPr="00736A07">
        <w:rPr>
          <w:rFonts w:ascii="Palatino Linotype" w:eastAsia="Palatino Linotype" w:hAnsi="Palatino Linotype" w:cs="Palatino Linotype"/>
        </w:rPr>
        <w:t xml:space="preserve"> elaboren, </w:t>
      </w:r>
      <w:r w:rsidRPr="00736A07">
        <w:rPr>
          <w:rFonts w:ascii="Palatino Linotype" w:eastAsia="Palatino Linotype" w:hAnsi="Palatino Linotype" w:cs="Palatino Linotype"/>
        </w:rPr>
        <w:lastRenderedPageBreak/>
        <w:t>toda vez que actualiza el supuesto de confidencialidad del artículo 143, fracción I de la Ley de Transparencia y Acceso a la Información Pública del Estado de México y Municipios.</w:t>
      </w:r>
    </w:p>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Respecto de los préstamos o descuentos de carácter personal, estos no deben tener relación con la </w:t>
      </w:r>
      <w:r w:rsidRPr="00736A07">
        <w:rPr>
          <w:rFonts w:ascii="Palatino Linotype" w:eastAsia="Palatino Linotype" w:hAnsi="Palatino Linotype" w:cs="Palatino Linotype"/>
          <w:color w:val="000000"/>
        </w:rPr>
        <w:t>prestación</w:t>
      </w:r>
      <w:r w:rsidRPr="00736A07">
        <w:rPr>
          <w:rFonts w:ascii="Palatino Linotype" w:eastAsia="Palatino Linotype" w:hAnsi="Palatino Linotype" w:cs="Palatino Linotype"/>
        </w:rPr>
        <w:t xml:space="preserve"> del servicio; es decir, son confidenciales los </w:t>
      </w:r>
      <w:r w:rsidRPr="00736A07">
        <w:rPr>
          <w:rFonts w:ascii="Palatino Linotype" w:eastAsia="Palatino Linotype" w:hAnsi="Palatino Linotype" w:cs="Palatino Linotype"/>
          <w:color w:val="000000"/>
        </w:rPr>
        <w:t>préstamos</w:t>
      </w:r>
      <w:r w:rsidRPr="00736A07">
        <w:rPr>
          <w:rFonts w:ascii="Palatino Linotype" w:eastAsia="Palatino Linotype" w:hAnsi="Palatino Linotype" w:cs="Palatino Linotype"/>
        </w:rPr>
        <w:t xml:space="preserve"> o descuentos que se le hagan a la persona en los que no se involucren instituciones públicas, en </w:t>
      </w:r>
      <w:r w:rsidRPr="00736A07">
        <w:rPr>
          <w:rFonts w:ascii="Palatino Linotype" w:eastAsia="Palatino Linotype" w:hAnsi="Palatino Linotype" w:cs="Palatino Linotype"/>
          <w:color w:val="000000"/>
        </w:rPr>
        <w:t>virtud</w:t>
      </w:r>
      <w:r w:rsidRPr="00736A07">
        <w:rPr>
          <w:rFonts w:ascii="Palatino Linotype" w:eastAsia="Palatino Linotype" w:hAnsi="Palatino Linotype" w:cs="Palatino Linotype"/>
        </w:rPr>
        <w:t xml:space="preserve"> de no favorecer en la transparencia y rendición de cuentas, sino, por el contrario, con ello se violentaba la protección de información confidencial, porque incide en la intimidad de un individuo identificado.</w:t>
      </w:r>
    </w:p>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Por </w:t>
      </w:r>
      <w:r w:rsidRPr="00736A07">
        <w:rPr>
          <w:rFonts w:ascii="Palatino Linotype" w:eastAsia="Palatino Linotype" w:hAnsi="Palatino Linotype" w:cs="Palatino Linotype"/>
          <w:color w:val="000000"/>
        </w:rPr>
        <w:t>su</w:t>
      </w:r>
      <w:r w:rsidRPr="00736A07">
        <w:rPr>
          <w:rFonts w:ascii="Palatino Linotype" w:eastAsia="Palatino Linotype" w:hAnsi="Palatino Linotype" w:cs="Palatino Linotype"/>
        </w:rPr>
        <w:t xml:space="preserve"> </w:t>
      </w:r>
      <w:r w:rsidRPr="00736A07">
        <w:rPr>
          <w:rFonts w:ascii="Palatino Linotype" w:eastAsia="Palatino Linotype" w:hAnsi="Palatino Linotype" w:cs="Palatino Linotype"/>
          <w:color w:val="000000"/>
        </w:rPr>
        <w:t>parte</w:t>
      </w:r>
      <w:r w:rsidRPr="00736A07">
        <w:rPr>
          <w:rFonts w:ascii="Palatino Linotype" w:eastAsia="Palatino Linotype" w:hAnsi="Palatino Linotype" w:cs="Palatino Linotype"/>
        </w:rPr>
        <w:t>, el artículo 84 de la Ley del Trabajo de los Servidores Públicos del Estado y Municipios, señala:</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i/>
          <w:iCs/>
        </w:rPr>
        <w:t>“</w:t>
      </w:r>
      <w:r w:rsidRPr="00736A07">
        <w:rPr>
          <w:rFonts w:ascii="Palatino Linotype" w:eastAsia="Palatino Linotype" w:hAnsi="Palatino Linotype" w:cs="Palatino Linotype"/>
          <w:b/>
          <w:bCs/>
          <w:i/>
          <w:iCs/>
        </w:rPr>
        <w:t>ARTICULO 84. Sólo podrán hacerse retenciones, descuentos o deducciones al sueldo de los servidores públicos por concepto de:</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i/>
          <w:iCs/>
        </w:rPr>
        <w:t>I. Gravámenes fiscales relacionados con el sueldo;</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b/>
          <w:bCs/>
          <w:i/>
          <w:iCs/>
        </w:rPr>
        <w:t>II. Deudas contraídas con las instituciones públicas o dependencias</w:t>
      </w:r>
      <w:r w:rsidRPr="00736A07">
        <w:rPr>
          <w:rFonts w:ascii="Palatino Linotype" w:eastAsia="Palatino Linotype" w:hAnsi="Palatino Linotype" w:cs="Palatino Linotype"/>
          <w:i/>
          <w:iCs/>
        </w:rPr>
        <w:t xml:space="preserve"> por concepto de anticipos de sueldo, pagos hechos con exceso, errores o pérdidas debidamente comprobados;</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b/>
          <w:bCs/>
          <w:i/>
          <w:iCs/>
        </w:rPr>
        <w:t>III. Cuotas sindicales</w:t>
      </w:r>
      <w:r w:rsidRPr="00736A07">
        <w:rPr>
          <w:rFonts w:ascii="Palatino Linotype" w:eastAsia="Palatino Linotype" w:hAnsi="Palatino Linotype" w:cs="Palatino Linotype"/>
          <w:i/>
          <w:iCs/>
        </w:rPr>
        <w:t>;</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i/>
          <w:iCs/>
        </w:rPr>
        <w:t>IV. Cuotas de aportación a fondos para la constitución de cooperativas y de cajas de ahorro, siempre que el servidor público hubiese manifestado previamente, de manera expresa, su conformidad;</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i/>
          <w:iCs/>
        </w:rPr>
        <w:t>V. Descuentos ordenados por el Instituto de Seguridad Social del Estado de México y Municipios, con motivo de cuotas y obligaciones contraídas con éste por los servidores públicos;</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b/>
          <w:bCs/>
          <w:i/>
          <w:iCs/>
        </w:rPr>
        <w:t>VI. Obligaciones a cargo del servidor público con las que haya consentido</w:t>
      </w:r>
      <w:r w:rsidRPr="00736A07">
        <w:rPr>
          <w:rFonts w:ascii="Palatino Linotype" w:eastAsia="Palatino Linotype" w:hAnsi="Palatino Linotype" w:cs="Palatino Linotype"/>
          <w:i/>
          <w:iCs/>
        </w:rPr>
        <w:t>, derivadas de la adquisición o del uso de habitaciones consideradas como de interés social;</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i/>
          <w:iCs/>
        </w:rPr>
        <w:t>VII. Faltas de puntualidad o de asistencia injustificadas;</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b/>
          <w:bCs/>
          <w:i/>
          <w:iCs/>
        </w:rPr>
        <w:t>VIII. Pensiones alimenticias ordenadas por la autoridad judicial;</w:t>
      </w:r>
      <w:r w:rsidRPr="00736A07">
        <w:rPr>
          <w:rFonts w:ascii="Palatino Linotype" w:eastAsia="Palatino Linotype" w:hAnsi="Palatino Linotype" w:cs="Palatino Linotype"/>
          <w:i/>
          <w:iCs/>
        </w:rPr>
        <w:t xml:space="preserve"> o</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b/>
          <w:bCs/>
          <w:i/>
          <w:iCs/>
        </w:rPr>
        <w:lastRenderedPageBreak/>
        <w:t>IX. Cualquier otro convenido con instituciones de servicios y aceptado por el servidor público.</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i/>
          <w:iC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F972C3" w:rsidRPr="00736A07" w:rsidRDefault="00475F99" w:rsidP="00FD6E91">
      <w:pPr>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rPr>
        <w:t>(Énfasis añadido)</w:t>
      </w:r>
    </w:p>
    <w:p w:rsidR="00F972C3" w:rsidRPr="00736A07" w:rsidRDefault="00F972C3" w:rsidP="00FD6E91">
      <w:pPr>
        <w:spacing w:line="360" w:lineRule="auto"/>
        <w:ind w:left="851"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Derivado</w:t>
      </w:r>
      <w:r w:rsidRPr="00736A07">
        <w:rPr>
          <w:rFonts w:ascii="Palatino Linotype" w:eastAsia="Palatino Linotype" w:hAnsi="Palatino Linotype" w:cs="Palatino Linotype"/>
        </w:rPr>
        <w:t xml:space="preserve"> de lo anterior, la ley establece claramente cuáles son esos descuentos o gravámenes que </w:t>
      </w:r>
      <w:r w:rsidRPr="00736A07">
        <w:rPr>
          <w:rFonts w:ascii="Palatino Linotype" w:eastAsia="Palatino Linotype" w:hAnsi="Palatino Linotype" w:cs="Palatino Linotype"/>
          <w:color w:val="000000"/>
        </w:rPr>
        <w:t>directamente</w:t>
      </w:r>
      <w:r w:rsidRPr="00736A07">
        <w:rPr>
          <w:rFonts w:ascii="Palatino Linotype" w:eastAsia="Palatino Linotype" w:hAnsi="Palatino Linotype" w:cs="Palatino Linotype"/>
        </w:rPr>
        <w:t xml:space="preserve"> se relacionan con las obligaciones adquiridas como servidores públicos y aquéllos que </w:t>
      </w:r>
      <w:r w:rsidRPr="00736A07">
        <w:rPr>
          <w:rFonts w:ascii="Palatino Linotype" w:eastAsia="Palatino Linotype" w:hAnsi="Palatino Linotype" w:cs="Palatino Linotype"/>
          <w:b/>
          <w:bCs/>
          <w:u w:val="single"/>
        </w:rPr>
        <w:t>únicamente inciden en su vida privada</w:t>
      </w:r>
      <w:r w:rsidRPr="00736A07">
        <w:rPr>
          <w:rFonts w:ascii="Palatino Linotype" w:eastAsia="Palatino Linotype" w:hAnsi="Palatino Linotype" w:cs="Palatino Linotype"/>
        </w:rPr>
        <w:t>. De este modo, descuentos por pensiones alimenticias o créditos adquiridos con instituciones privadas o públicas pero que fueron contraídas en forma individual, son información que debe clasificarse como confidencial.</w:t>
      </w:r>
    </w:p>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Con base en lo expuesto, se insiste que los datos mencionados, que como se ha dicho, </w:t>
      </w:r>
      <w:r w:rsidRPr="00736A07">
        <w:rPr>
          <w:rFonts w:ascii="Palatino Linotype" w:eastAsia="Palatino Linotype" w:hAnsi="Palatino Linotype" w:cs="Palatino Linotype"/>
          <w:color w:val="000000"/>
        </w:rPr>
        <w:t>deben</w:t>
      </w:r>
      <w:r w:rsidRPr="00736A07">
        <w:rPr>
          <w:rFonts w:ascii="Palatino Linotype" w:eastAsia="Palatino Linotype" w:hAnsi="Palatino Linotype" w:cs="Palatino Linotype"/>
        </w:rPr>
        <w:t xml:space="preserve">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Sirven de sustento a lo anterior, las tesis jurisprudenciales P. LX/2000 y 2a. XLIII/2008 </w:t>
      </w:r>
      <w:r w:rsidRPr="00736A07">
        <w:rPr>
          <w:rFonts w:ascii="Palatino Linotype" w:eastAsia="Palatino Linotype" w:hAnsi="Palatino Linotype" w:cs="Palatino Linotype"/>
          <w:color w:val="000000"/>
        </w:rPr>
        <w:t>emitidas</w:t>
      </w:r>
      <w:r w:rsidRPr="00736A07">
        <w:rPr>
          <w:rFonts w:ascii="Palatino Linotype" w:eastAsia="Palatino Linotype" w:hAnsi="Palatino Linotype" w:cs="Palatino Linotype"/>
        </w:rPr>
        <w:t xml:space="preserve"> por el Peno y la Segunda Sala de la Suprema Corte de Justicia de la Nación, respectivamente, que son del tenor literal siguiente:</w:t>
      </w: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b/>
          <w:bCs/>
          <w:i/>
          <w:iCs/>
        </w:rPr>
        <w:lastRenderedPageBreak/>
        <w:t xml:space="preserve">“DERECHO A LA INFORMACIÓN. SU EJERCICIO SE ENCUENTRA LIMITADO TANTO POR LOS INTERESES NACIONALES Y DE LA SOCIEDAD, COMO POR LOS DERECHOS DE TERCEROS. </w:t>
      </w:r>
      <w:r w:rsidRPr="00736A07">
        <w:rPr>
          <w:rFonts w:ascii="Palatino Linotype" w:eastAsia="Palatino Linotype" w:hAnsi="Palatino Linotype" w:cs="Palatino Linotype"/>
          <w:i/>
          <w:iC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736A07">
        <w:rPr>
          <w:rFonts w:ascii="Palatino Linotype" w:eastAsia="Palatino Linotype" w:hAnsi="Palatino Linotype" w:cs="Palatino Linotype"/>
          <w:b/>
          <w:bCs/>
          <w:i/>
          <w:iCs/>
        </w:rPr>
        <w:t>restringen el acceso a la información en esta materia, en razón de que su conocimiento público puede generar daños a los intereses nacionales y, por el otro, sancionan la inobservancia de esa reserva</w:t>
      </w:r>
      <w:r w:rsidRPr="00736A07">
        <w:rPr>
          <w:rFonts w:ascii="Palatino Linotype" w:eastAsia="Palatino Linotype" w:hAnsi="Palatino Linotype" w:cs="Palatino Linotype"/>
          <w:i/>
          <w:iCs/>
        </w:rPr>
        <w:t xml:space="preserve">; por lo que hace al interés social, se cuenta con normas que tienden a proteger la averiguación de los delitos, la salud y la moral públicas, </w:t>
      </w:r>
      <w:r w:rsidRPr="00736A07">
        <w:rPr>
          <w:rFonts w:ascii="Palatino Linotype" w:eastAsia="Palatino Linotype" w:hAnsi="Palatino Linotype" w:cs="Palatino Linotype"/>
          <w:b/>
          <w:bCs/>
          <w:i/>
          <w:iCs/>
        </w:rPr>
        <w:t>mientras que por lo que respecta a la protección de la persona existen normas que protegen el derecho a la vida o a la privacidad de los gobernados</w:t>
      </w:r>
      <w:r w:rsidRPr="00736A07">
        <w:rPr>
          <w:rFonts w:ascii="Palatino Linotype" w:eastAsia="Palatino Linotype" w:hAnsi="Palatino Linotype" w:cs="Palatino Linotype"/>
          <w:i/>
          <w:iCs/>
        </w:rPr>
        <w:t>.”</w:t>
      </w:r>
    </w:p>
    <w:p w:rsidR="00F972C3" w:rsidRPr="00736A07" w:rsidRDefault="00F972C3" w:rsidP="00FD6E91">
      <w:pPr>
        <w:ind w:left="1134" w:right="-171"/>
        <w:jc w:val="both"/>
        <w:rPr>
          <w:rFonts w:ascii="Palatino Linotype" w:eastAsia="Palatino Linotype" w:hAnsi="Palatino Linotype" w:cs="Palatino Linotype"/>
          <w:i/>
          <w:iCs/>
        </w:rPr>
      </w:pPr>
    </w:p>
    <w:p w:rsidR="00F972C3" w:rsidRPr="00736A07" w:rsidRDefault="00475F99" w:rsidP="00FD6E91">
      <w:pPr>
        <w:ind w:left="1134" w:right="-171"/>
        <w:jc w:val="both"/>
        <w:rPr>
          <w:rFonts w:ascii="Palatino Linotype" w:eastAsia="Palatino Linotype" w:hAnsi="Palatino Linotype" w:cs="Palatino Linotype"/>
          <w:i/>
          <w:iCs/>
        </w:rPr>
      </w:pPr>
      <w:r w:rsidRPr="00736A07">
        <w:rPr>
          <w:rFonts w:ascii="Palatino Linotype" w:eastAsia="Palatino Linotype" w:hAnsi="Palatino Linotype" w:cs="Palatino Linotype"/>
          <w:b/>
          <w:bCs/>
          <w:i/>
          <w:iCs/>
        </w:rPr>
        <w:t xml:space="preserve">“TRANSPARENCIA Y ACCESO A LA INFORMACIÓN PÚBLICA GUBERNAMENTAL. EL ARTÍCULO 14, FRACCIÓN I, DE LA LEY FEDERAL RELATIVA, NO VIOLA LA GARANTÍA DE ACCESO A LA INFORMACIÓN. </w:t>
      </w:r>
      <w:r w:rsidRPr="00736A07">
        <w:rPr>
          <w:rFonts w:ascii="Palatino Linotype" w:eastAsia="Palatino Linotype" w:hAnsi="Palatino Linotype" w:cs="Palatino Linotype"/>
          <w:i/>
          <w:iC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w:t>
      </w:r>
      <w:r w:rsidRPr="00736A07">
        <w:rPr>
          <w:rFonts w:ascii="Palatino Linotype" w:eastAsia="Palatino Linotype" w:hAnsi="Palatino Linotype" w:cs="Palatino Linotype"/>
          <w:i/>
          <w:iCs/>
        </w:rPr>
        <w:lastRenderedPageBreak/>
        <w:t xml:space="preserve">jurídicamente adecuado que en las leyes reguladoras de cada materia, </w:t>
      </w:r>
      <w:r w:rsidRPr="00736A07">
        <w:rPr>
          <w:rFonts w:ascii="Palatino Linotype" w:eastAsia="Palatino Linotype" w:hAnsi="Palatino Linotype" w:cs="Palatino Linotype"/>
          <w:b/>
          <w:bCs/>
          <w:i/>
          <w:iC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736A07">
        <w:rPr>
          <w:rFonts w:ascii="Palatino Linotype" w:eastAsia="Palatino Linotype" w:hAnsi="Palatino Linotype" w:cs="Palatino Linotype"/>
          <w:i/>
          <w:iC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F972C3" w:rsidRPr="00736A07" w:rsidRDefault="00F972C3" w:rsidP="00FD6E91">
      <w:pPr>
        <w:ind w:left="1134" w:right="-171"/>
        <w:jc w:val="both"/>
        <w:rPr>
          <w:rFonts w:ascii="Palatino Linotype" w:eastAsia="Palatino Linotype" w:hAnsi="Palatino Linotype" w:cs="Palatino Linotype"/>
          <w:i/>
          <w:iCs/>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También</w:t>
      </w:r>
      <w:r w:rsidRPr="00736A07">
        <w:rPr>
          <w:rFonts w:ascii="Palatino Linotype" w:eastAsia="Palatino Linotype" w:hAnsi="Palatino Linotype" w:cs="Palatino Linotype"/>
        </w:rPr>
        <w:t xml:space="preserve">, el número de cuenta bancario, en el Criterio 10/17 emitido por el Pleno del Instituto Nacional </w:t>
      </w:r>
      <w:r w:rsidRPr="00736A07">
        <w:rPr>
          <w:rFonts w:ascii="Palatino Linotype" w:eastAsia="Palatino Linotype" w:hAnsi="Palatino Linotype" w:cs="Palatino Linotype"/>
          <w:color w:val="000000"/>
        </w:rPr>
        <w:t>de</w:t>
      </w:r>
      <w:r w:rsidRPr="00736A07">
        <w:rPr>
          <w:rFonts w:ascii="Palatino Linotype" w:eastAsia="Palatino Linotype" w:hAnsi="Palatino Linotype" w:cs="Palatino Linotype"/>
        </w:rPr>
        <w:t xml:space="preserve"> Transparencia, Acceso a la Información y Protección de Datos </w:t>
      </w:r>
      <w:r w:rsidRPr="00736A07">
        <w:rPr>
          <w:rFonts w:ascii="Palatino Linotype" w:eastAsia="Palatino Linotype" w:hAnsi="Palatino Linotype" w:cs="Palatino Linotype"/>
          <w:color w:val="000000"/>
        </w:rPr>
        <w:t>Personales</w:t>
      </w:r>
      <w:r w:rsidR="00736A07">
        <w:rPr>
          <w:rFonts w:ascii="Palatino Linotype" w:eastAsia="Palatino Linotype" w:hAnsi="Palatino Linotype" w:cs="Palatino Linotype"/>
        </w:rPr>
        <w:t xml:space="preserve">, </w:t>
      </w:r>
      <w:r w:rsidRPr="00736A07">
        <w:rPr>
          <w:rFonts w:ascii="Palatino Linotype" w:eastAsia="Palatino Linotype" w:hAnsi="Palatino Linotype" w:cs="Palatino Linotype"/>
        </w:rPr>
        <w:t xml:space="preserve"> que en el presente asunto se refiere como criterio orientador, toda vez que a la fecha de la solicitud se encontraba vigente. </w:t>
      </w:r>
    </w:p>
    <w:p w:rsidR="00F972C3" w:rsidRPr="00736A07" w:rsidRDefault="00475F99" w:rsidP="00FD6E91">
      <w:pPr>
        <w:shd w:val="clear" w:color="auto" w:fill="FFFFFF"/>
        <w:ind w:left="1134" w:right="-171"/>
        <w:jc w:val="both"/>
        <w:rPr>
          <w:rFonts w:ascii="Palatino Linotype" w:eastAsia="Palatino Linotype" w:hAnsi="Palatino Linotype" w:cs="Palatino Linotype"/>
        </w:rPr>
      </w:pPr>
      <w:r w:rsidRPr="00736A07">
        <w:rPr>
          <w:rFonts w:ascii="Palatino Linotype" w:eastAsia="Palatino Linotype" w:hAnsi="Palatino Linotype" w:cs="Palatino Linotype"/>
        </w:rPr>
        <w:t>“</w:t>
      </w:r>
      <w:r w:rsidRPr="00736A07">
        <w:rPr>
          <w:rFonts w:ascii="Palatino Linotype" w:eastAsia="Palatino Linotype" w:hAnsi="Palatino Linotype" w:cs="Palatino Linotype"/>
          <w:b/>
          <w:bCs/>
          <w:i/>
          <w:iCs/>
        </w:rPr>
        <w:t>Cuentas bancarias y/o CLABE interbancaria de personas físicas y morales privadas.</w:t>
      </w:r>
      <w:r w:rsidRPr="00736A07">
        <w:rPr>
          <w:rFonts w:ascii="Palatino Linotype" w:eastAsia="Palatino Linotype" w:hAnsi="Palatino Linotype" w:cs="Palatino Linotype"/>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736A07">
        <w:rPr>
          <w:rFonts w:ascii="Palatino Linotype" w:eastAsia="Palatino Linotype" w:hAnsi="Palatino Linotype" w:cs="Palatino Linotype"/>
        </w:rPr>
        <w:t>.”</w:t>
      </w:r>
    </w:p>
    <w:p w:rsidR="00F972C3" w:rsidRPr="00736A07" w:rsidRDefault="00F972C3" w:rsidP="00FD6E91">
      <w:pPr>
        <w:ind w:left="1134"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Esta </w:t>
      </w:r>
      <w:r w:rsidRPr="00736A07">
        <w:rPr>
          <w:rFonts w:ascii="Palatino Linotype" w:eastAsia="Palatino Linotype" w:hAnsi="Palatino Linotype" w:cs="Palatino Linotype"/>
          <w:color w:val="000000"/>
        </w:rPr>
        <w:t>cuenta</w:t>
      </w:r>
      <w:r w:rsidRPr="00736A07">
        <w:rPr>
          <w:rFonts w:ascii="Palatino Linotype" w:eastAsia="Palatino Linotype" w:hAnsi="Palatino Linotype" w:cs="Palatino Linotype"/>
        </w:rPr>
        <w:t xml:space="preserve"> es de uso personal y no guarda relación con el servicio público ni con los </w:t>
      </w:r>
      <w:r w:rsidRPr="00736A07">
        <w:rPr>
          <w:rFonts w:ascii="Palatino Linotype" w:eastAsia="Palatino Linotype" w:hAnsi="Palatino Linotype" w:cs="Palatino Linotype"/>
          <w:color w:val="000000"/>
        </w:rPr>
        <w:t>recursos</w:t>
      </w:r>
      <w:r w:rsidRPr="00736A07">
        <w:rPr>
          <w:rFonts w:ascii="Palatino Linotype" w:eastAsia="Palatino Linotype" w:hAnsi="Palatino Linotype" w:cs="Palatino Linotype"/>
        </w:rPr>
        <w:t xml:space="preserve">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w:t>
      </w:r>
      <w:r w:rsidRPr="00736A07">
        <w:rPr>
          <w:rFonts w:ascii="Palatino Linotype" w:eastAsia="Palatino Linotype" w:hAnsi="Palatino Linotype" w:cs="Palatino Linotype"/>
        </w:rPr>
        <w:lastRenderedPageBreak/>
        <w:t>del trabajador y procede su eliminación de conformidad con el artículo 143, fracción I de la Ley de Transparencia y Acceso a la Información Pública del Estado de México y Municipios.</w:t>
      </w:r>
    </w:p>
    <w:p w:rsidR="00F972C3" w:rsidRPr="00736A07" w:rsidRDefault="00F972C3" w:rsidP="00FD6E91">
      <w:pPr>
        <w:spacing w:line="360" w:lineRule="auto"/>
        <w:ind w:right="-171"/>
        <w:jc w:val="both"/>
        <w:rPr>
          <w:rFonts w:ascii="Palatino Linotype" w:eastAsia="Palatino Linotype" w:hAnsi="Palatino Linotype" w:cs="Palatino Linotype"/>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 xml:space="preserve">En esa línea, se determina </w:t>
      </w:r>
      <w:r w:rsidRPr="00736A07">
        <w:rPr>
          <w:rFonts w:ascii="Palatino Linotype" w:eastAsia="Palatino Linotype" w:hAnsi="Palatino Linotype" w:cs="Palatino Linotype"/>
          <w:b/>
          <w:bCs/>
        </w:rPr>
        <w:t xml:space="preserve">MODIFICAR </w:t>
      </w:r>
      <w:r w:rsidRPr="00736A07">
        <w:rPr>
          <w:rFonts w:ascii="Palatino Linotype" w:eastAsia="Palatino Linotype" w:hAnsi="Palatino Linotype" w:cs="Palatino Linotype"/>
        </w:rPr>
        <w:t xml:space="preserve">la respuesta del </w:t>
      </w:r>
      <w:r w:rsidRPr="00736A07">
        <w:rPr>
          <w:rFonts w:ascii="Palatino Linotype" w:eastAsia="Palatino Linotype" w:hAnsi="Palatino Linotype" w:cs="Palatino Linotype"/>
          <w:b/>
          <w:bCs/>
        </w:rPr>
        <w:t xml:space="preserve">SUJETO OBLIGADO </w:t>
      </w:r>
      <w:r w:rsidRPr="00736A07">
        <w:rPr>
          <w:rFonts w:ascii="Palatino Linotype" w:eastAsia="Palatino Linotype" w:hAnsi="Palatino Linotype" w:cs="Palatino Linotype"/>
        </w:rPr>
        <w:t xml:space="preserve">en la solicitud de información </w:t>
      </w:r>
      <w:r w:rsidRPr="00736A07">
        <w:rPr>
          <w:rFonts w:ascii="Palatino Linotype" w:eastAsia="Palatino Linotype" w:hAnsi="Palatino Linotype" w:cs="Palatino Linotype"/>
          <w:b/>
          <w:bCs/>
        </w:rPr>
        <w:t xml:space="preserve"> 00195/MELOCAM/IP/2025, </w:t>
      </w:r>
      <w:r w:rsidRPr="00736A07">
        <w:rPr>
          <w:rFonts w:ascii="Palatino Linotype" w:eastAsia="Palatino Linotype" w:hAnsi="Palatino Linotype" w:cs="Palatino Linotype"/>
        </w:rPr>
        <w:t xml:space="preserve">por resultar fundados y motivados las razones de inconformidad. </w:t>
      </w:r>
    </w:p>
    <w:p w:rsidR="00F972C3" w:rsidRPr="00736A07" w:rsidRDefault="00F972C3" w:rsidP="00FD6E91">
      <w:pPr>
        <w:ind w:right="-171"/>
        <w:rPr>
          <w:rFonts w:ascii="Palatino Linotype" w:eastAsia="Palatino Linotype" w:hAnsi="Palatino Linotype" w:cs="Palatino Linotype"/>
          <w:color w:val="000000"/>
        </w:rPr>
      </w:pPr>
    </w:p>
    <w:p w:rsidR="00F972C3" w:rsidRPr="00736A07" w:rsidRDefault="00475F99" w:rsidP="00FD6E91">
      <w:pPr>
        <w:keepNext/>
        <w:keepLines/>
        <w:spacing w:after="160" w:line="360" w:lineRule="auto"/>
        <w:ind w:right="-171"/>
        <w:rPr>
          <w:rFonts w:ascii="Palatino Linotype" w:eastAsia="Palatino Linotype" w:hAnsi="Palatino Linotype" w:cs="Palatino Linotype"/>
          <w:b/>
          <w:bCs/>
          <w:color w:val="000000"/>
        </w:rPr>
      </w:pPr>
      <w:r w:rsidRPr="00736A07">
        <w:rPr>
          <w:rFonts w:ascii="Palatino Linotype" w:eastAsia="Palatino Linotype" w:hAnsi="Palatino Linotype" w:cs="Palatino Linotype"/>
          <w:b/>
          <w:bCs/>
          <w:color w:val="000000"/>
        </w:rPr>
        <w:t>QUINTO. De la versión pública.</w:t>
      </w:r>
    </w:p>
    <w:p w:rsidR="00F972C3" w:rsidRPr="00736A07" w:rsidRDefault="00475F99" w:rsidP="00FD6E91">
      <w:pPr>
        <w:keepNext/>
        <w:keepLines/>
        <w:tabs>
          <w:tab w:val="left" w:pos="284"/>
        </w:tabs>
        <w:spacing w:after="160" w:line="360" w:lineRule="auto"/>
        <w:ind w:right="-171"/>
        <w:rPr>
          <w:rFonts w:ascii="Palatino Linotype" w:eastAsia="Palatino Linotype" w:hAnsi="Palatino Linotype" w:cs="Palatino Linotype"/>
          <w:b/>
          <w:bCs/>
          <w:color w:val="000000"/>
        </w:rPr>
      </w:pPr>
      <w:r w:rsidRPr="00736A07">
        <w:rPr>
          <w:rFonts w:ascii="Palatino Linotype" w:eastAsia="Palatino Linotype" w:hAnsi="Palatino Linotype" w:cs="Palatino Linotype"/>
          <w:b/>
          <w:bCs/>
          <w:color w:val="000000"/>
        </w:rPr>
        <w:t xml:space="preserve">Nociones generales. </w:t>
      </w: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Debe destacarse, que debido a la información solicitada por el </w:t>
      </w:r>
      <w:r w:rsidRPr="00736A07">
        <w:rPr>
          <w:rFonts w:ascii="Palatino Linotype" w:eastAsia="Palatino Linotype" w:hAnsi="Palatino Linotype" w:cs="Palatino Linotype"/>
          <w:b/>
          <w:bCs/>
          <w:color w:val="000000"/>
        </w:rPr>
        <w:t xml:space="preserve">RECURRENTE, pueden </w:t>
      </w:r>
      <w:r w:rsidRPr="00736A07">
        <w:rPr>
          <w:rFonts w:ascii="Palatino Linotype" w:eastAsia="Palatino Linotype" w:hAnsi="Palatino Linotype" w:cs="Palatino Linotype"/>
        </w:rPr>
        <w:t>obrar</w:t>
      </w:r>
      <w:r w:rsidRPr="00736A07">
        <w:rPr>
          <w:rFonts w:ascii="Palatino Linotype" w:eastAsia="Palatino Linotype" w:hAnsi="Palatino Linotype" w:cs="Palatino Linotype"/>
          <w:b/>
          <w:bCs/>
          <w:color w:val="000000"/>
        </w:rPr>
        <w:t xml:space="preserve"> </w:t>
      </w:r>
      <w:r w:rsidRPr="00736A07">
        <w:rPr>
          <w:rFonts w:ascii="Palatino Linotype" w:eastAsia="Palatino Linotype" w:hAnsi="Palatino Linotype" w:cs="Palatino Linotype"/>
          <w:color w:val="000000"/>
        </w:rPr>
        <w:t xml:space="preserve">datos </w:t>
      </w:r>
      <w:r w:rsidRPr="00736A07">
        <w:rPr>
          <w:rFonts w:ascii="Palatino Linotype" w:eastAsia="Palatino Linotype" w:hAnsi="Palatino Linotype" w:cs="Palatino Linotype"/>
        </w:rPr>
        <w:t>personales</w:t>
      </w:r>
      <w:r w:rsidRPr="00736A07">
        <w:rPr>
          <w:rFonts w:ascii="Palatino Linotype" w:eastAsia="Palatino Linotype" w:hAnsi="Palatino Linotype" w:cs="Palatino Linotype"/>
          <w:color w:val="000000"/>
        </w:rPr>
        <w:t xml:space="preserve"> susceptibles de protegerse, así como información susceptible de clasificarse como confidenciales,  por lo que el </w:t>
      </w:r>
      <w:r w:rsidRPr="00736A07">
        <w:rPr>
          <w:rFonts w:ascii="Palatino Linotype" w:eastAsia="Palatino Linotype" w:hAnsi="Palatino Linotype" w:cs="Palatino Linotype"/>
          <w:b/>
          <w:bCs/>
          <w:color w:val="000000"/>
        </w:rPr>
        <w:t xml:space="preserve">SUJETO OBLIGADO </w:t>
      </w:r>
      <w:r w:rsidRPr="00736A07">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F972C3" w:rsidRPr="00736A07" w:rsidRDefault="00F972C3" w:rsidP="00FD6E91">
      <w:pPr>
        <w:tabs>
          <w:tab w:val="left" w:pos="0"/>
          <w:tab w:val="left" w:pos="284"/>
        </w:tabs>
        <w:spacing w:line="360" w:lineRule="auto"/>
        <w:ind w:right="-171"/>
        <w:jc w:val="both"/>
        <w:rPr>
          <w:rFonts w:ascii="Palatino Linotype" w:eastAsia="Palatino Linotype" w:hAnsi="Palatino Linotype" w:cs="Palatino Linotype"/>
          <w:highlight w:val="yellow"/>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No</w:t>
      </w:r>
      <w:r w:rsidRPr="00736A07">
        <w:rPr>
          <w:rFonts w:ascii="Palatino Linotype" w:eastAsia="Palatino Linotype" w:hAnsi="Palatino Linotype" w:cs="Palatino Linotype"/>
          <w:color w:val="000000"/>
        </w:rPr>
        <w:t xml:space="preserve"> pasa desapercibido para este Órgano Garante que los sujetos obligados</w:t>
      </w:r>
      <w:r w:rsidRPr="00736A07">
        <w:rPr>
          <w:rFonts w:ascii="Palatino Linotype" w:eastAsia="Palatino Linotype" w:hAnsi="Palatino Linotype" w:cs="Palatino Linotype"/>
          <w:b/>
          <w:bCs/>
          <w:color w:val="000000"/>
        </w:rPr>
        <w:t xml:space="preserve"> </w:t>
      </w:r>
      <w:r w:rsidRPr="00736A07">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972C3" w:rsidRPr="00736A07" w:rsidRDefault="00F972C3" w:rsidP="00FD6E91">
      <w:pPr>
        <w:tabs>
          <w:tab w:val="left" w:pos="284"/>
        </w:tabs>
        <w:spacing w:after="160" w:line="360" w:lineRule="auto"/>
        <w:ind w:right="-171"/>
        <w:jc w:val="both"/>
        <w:rPr>
          <w:rFonts w:ascii="Palatino Linotype" w:eastAsia="Palatino Linotype" w:hAnsi="Palatino Linotype" w:cs="Palatino Linotype"/>
          <w:color w:val="000000"/>
        </w:rPr>
      </w:pPr>
    </w:p>
    <w:tbl>
      <w:tblPr>
        <w:tblStyle w:val="a0"/>
        <w:tblW w:w="1030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970"/>
        <w:gridCol w:w="7339"/>
      </w:tblGrid>
      <w:tr w:rsidR="00F972C3" w:rsidRPr="00736A07" w:rsidTr="004339C3">
        <w:tc>
          <w:tcPr>
            <w:tcW w:w="2970" w:type="dxa"/>
          </w:tcPr>
          <w:p w:rsidR="00F972C3" w:rsidRPr="00736A07" w:rsidRDefault="00475F99" w:rsidP="004339C3">
            <w:pPr>
              <w:tabs>
                <w:tab w:val="left" w:pos="284"/>
              </w:tabs>
              <w:spacing w:line="360" w:lineRule="auto"/>
              <w:rPr>
                <w:rFonts w:ascii="Palatino Linotype" w:eastAsia="Palatino Linotype" w:hAnsi="Palatino Linotype" w:cs="Palatino Linotype"/>
              </w:rPr>
            </w:pPr>
            <w:r w:rsidRPr="00736A07">
              <w:rPr>
                <w:rFonts w:ascii="Palatino Linotype" w:eastAsia="Palatino Linotype" w:hAnsi="Palatino Linotype" w:cs="Palatino Linotype"/>
              </w:rPr>
              <w:t>a) Requisitos previos.</w:t>
            </w:r>
          </w:p>
        </w:tc>
        <w:tc>
          <w:tcPr>
            <w:tcW w:w="7339" w:type="dxa"/>
          </w:tcPr>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w:t>
            </w:r>
            <w:r w:rsidRPr="00736A07">
              <w:rPr>
                <w:rFonts w:ascii="Palatino Linotype" w:eastAsia="Palatino Linotype" w:hAnsi="Palatino Linotype" w:cs="Palatino Linotype"/>
                <w:color w:val="000000"/>
              </w:rPr>
              <w:lastRenderedPageBreak/>
              <w:t xml:space="preserve">que la información actualiza alguno de los supuestos de clasificación, es deber de los titulares de las áreas proponer su clasificación y no del Comité de Transparencia. </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736A07">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736A07">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F972C3" w:rsidRPr="00736A07" w:rsidTr="004339C3">
        <w:tc>
          <w:tcPr>
            <w:tcW w:w="2970" w:type="dxa"/>
          </w:tcPr>
          <w:p w:rsidR="00F972C3" w:rsidRPr="00736A07" w:rsidRDefault="00475F99" w:rsidP="004339C3">
            <w:pPr>
              <w:tabs>
                <w:tab w:val="left" w:pos="284"/>
              </w:tabs>
              <w:spacing w:line="360" w:lineRule="auto"/>
              <w:rPr>
                <w:rFonts w:ascii="Palatino Linotype" w:eastAsia="Palatino Linotype" w:hAnsi="Palatino Linotype" w:cs="Palatino Linotype"/>
              </w:rPr>
            </w:pPr>
            <w:r w:rsidRPr="00736A07">
              <w:rPr>
                <w:rFonts w:ascii="Palatino Linotype" w:eastAsia="Palatino Linotype" w:hAnsi="Palatino Linotype" w:cs="Palatino Linotype"/>
              </w:rPr>
              <w:lastRenderedPageBreak/>
              <w:t>b) Supuestos de clasificación.</w:t>
            </w:r>
          </w:p>
        </w:tc>
        <w:tc>
          <w:tcPr>
            <w:tcW w:w="7339" w:type="dxa"/>
          </w:tcPr>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w:t>
            </w:r>
            <w:r w:rsidRPr="00736A07">
              <w:rPr>
                <w:rFonts w:ascii="Palatino Linotype" w:eastAsia="Palatino Linotype" w:hAnsi="Palatino Linotype" w:cs="Palatino Linotype"/>
                <w:color w:val="000000"/>
              </w:rPr>
              <w:lastRenderedPageBreak/>
              <w:t>manera restrictiva y limitada, por lo que debe acreditarse que se cumple con esta condición y no se pueden ampliar las excepciones o supuestos de clasificación aduciendo analogía o mayoría de razón.</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El </w:t>
            </w:r>
            <w:r w:rsidRPr="00736A07">
              <w:rPr>
                <w:rFonts w:ascii="Palatino Linotype" w:eastAsia="Palatino Linotype" w:hAnsi="Palatino Linotype" w:cs="Palatino Linotype"/>
                <w:b/>
                <w:bCs/>
                <w:color w:val="000000"/>
              </w:rPr>
              <w:t>Sujeto Obligado</w:t>
            </w:r>
            <w:r w:rsidRPr="00736A07">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972C3" w:rsidRPr="00736A07" w:rsidTr="004339C3">
        <w:tc>
          <w:tcPr>
            <w:tcW w:w="2970" w:type="dxa"/>
          </w:tcPr>
          <w:p w:rsidR="00F972C3" w:rsidRPr="00736A07" w:rsidRDefault="00475F99" w:rsidP="004339C3">
            <w:pPr>
              <w:tabs>
                <w:tab w:val="left" w:pos="284"/>
              </w:tabs>
              <w:spacing w:line="360" w:lineRule="auto"/>
              <w:rPr>
                <w:rFonts w:ascii="Palatino Linotype" w:eastAsia="Palatino Linotype" w:hAnsi="Palatino Linotype" w:cs="Palatino Linotype"/>
              </w:rPr>
            </w:pPr>
            <w:r w:rsidRPr="00736A07">
              <w:rPr>
                <w:rFonts w:ascii="Palatino Linotype" w:eastAsia="Palatino Linotype" w:hAnsi="Palatino Linotype" w:cs="Palatino Linotype"/>
              </w:rPr>
              <w:lastRenderedPageBreak/>
              <w:t>c) Formalidades para emitir el acuerdo de clasificación.</w:t>
            </w:r>
          </w:p>
        </w:tc>
        <w:tc>
          <w:tcPr>
            <w:tcW w:w="7339" w:type="dxa"/>
          </w:tcPr>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Es necesario que </w:t>
            </w:r>
            <w:r w:rsidRPr="00736A07">
              <w:rPr>
                <w:rFonts w:ascii="Palatino Linotype" w:eastAsia="Palatino Linotype" w:hAnsi="Palatino Linotype" w:cs="Palatino Linotype"/>
                <w:b/>
                <w:bCs/>
                <w:color w:val="000000"/>
                <w:u w:val="single"/>
              </w:rPr>
              <w:t>el acto reúna con los requisitos elementales</w:t>
            </w:r>
            <w:r w:rsidRPr="00736A07">
              <w:rPr>
                <w:rFonts w:ascii="Palatino Linotype" w:eastAsia="Palatino Linotype" w:hAnsi="Palatino Linotype" w:cs="Palatino Linotype"/>
                <w:color w:val="000000"/>
              </w:rPr>
              <w:t>, entre ellos, que la autoridad que va a emitir el acto de autoridad sea la legalmente facultada para ello.</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736A07">
              <w:rPr>
                <w:rFonts w:ascii="Palatino Linotype" w:eastAsia="Palatino Linotype" w:hAnsi="Palatino Linotype" w:cs="Palatino Linotype"/>
              </w:rPr>
              <w:t>El área</w:t>
            </w:r>
            <w:r w:rsidRPr="00736A07">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w:t>
            </w:r>
            <w:r w:rsidRPr="00736A07">
              <w:rPr>
                <w:rFonts w:ascii="Palatino Linotype" w:eastAsia="Palatino Linotype" w:hAnsi="Palatino Linotype" w:cs="Palatino Linotype"/>
                <w:color w:val="000000"/>
              </w:rPr>
              <w:lastRenderedPageBreak/>
              <w:t>previamente por los titulares de áreas y que son sujetas a control, en primera instancia, por el Comité de Transparencia.</w:t>
            </w:r>
          </w:p>
        </w:tc>
      </w:tr>
      <w:tr w:rsidR="00F972C3" w:rsidRPr="00736A07" w:rsidTr="004339C3">
        <w:tc>
          <w:tcPr>
            <w:tcW w:w="2970" w:type="dxa"/>
          </w:tcPr>
          <w:p w:rsidR="00F972C3" w:rsidRPr="00736A07" w:rsidRDefault="00F972C3" w:rsidP="004339C3">
            <w:pPr>
              <w:tabs>
                <w:tab w:val="left" w:pos="284"/>
              </w:tabs>
              <w:spacing w:line="360" w:lineRule="auto"/>
              <w:rPr>
                <w:rFonts w:ascii="Palatino Linotype" w:eastAsia="Palatino Linotype" w:hAnsi="Palatino Linotype" w:cs="Palatino Linotype"/>
              </w:rPr>
            </w:pPr>
          </w:p>
          <w:p w:rsidR="00F972C3" w:rsidRPr="00736A07" w:rsidRDefault="00475F99" w:rsidP="004339C3">
            <w:pPr>
              <w:tabs>
                <w:tab w:val="left" w:pos="284"/>
              </w:tabs>
              <w:spacing w:line="360" w:lineRule="auto"/>
              <w:jc w:val="both"/>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d) Requisitos de fondo del acuerdo de clasificación. </w:t>
            </w:r>
          </w:p>
        </w:tc>
        <w:tc>
          <w:tcPr>
            <w:tcW w:w="7339" w:type="dxa"/>
          </w:tcPr>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36A07">
              <w:rPr>
                <w:rFonts w:ascii="Palatino Linotype" w:eastAsia="Palatino Linotype" w:hAnsi="Palatino Linotype" w:cs="Palatino Linotype"/>
                <w:b/>
                <w:bCs/>
                <w:color w:val="000000"/>
              </w:rPr>
              <w:t>Sujetos Obligados</w:t>
            </w:r>
            <w:r w:rsidRPr="00736A07">
              <w:rPr>
                <w:rFonts w:ascii="Palatino Linotype" w:eastAsia="Palatino Linotype" w:hAnsi="Palatino Linotype" w:cs="Palatino Linotype"/>
                <w:color w:val="000000"/>
              </w:rPr>
              <w:t xml:space="preserve">, por lo que deberán fundar y motivar debidamente la clasificación. </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De lo anterior, se desprende que para una correcta </w:t>
            </w:r>
            <w:r w:rsidRPr="00736A07">
              <w:rPr>
                <w:rFonts w:ascii="Palatino Linotype" w:eastAsia="Palatino Linotype" w:hAnsi="Palatino Linotype" w:cs="Palatino Linotype"/>
                <w:b/>
                <w:bCs/>
                <w:color w:val="000000"/>
              </w:rPr>
              <w:t>clasificación total o parcial</w:t>
            </w:r>
            <w:r w:rsidRPr="00736A07">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lastRenderedPageBreak/>
              <w:t>En ese mismo sentido, el numeral trigésimo tercero fracción V de los Lineamientos Generales, precisa que para motivar la clasificación se deben acreditar las circunstancias de tiempo, modo y lugar.</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Ahora bien, </w:t>
            </w:r>
            <w:r w:rsidRPr="00736A07">
              <w:rPr>
                <w:rFonts w:ascii="Palatino Linotype" w:eastAsia="Palatino Linotype" w:hAnsi="Palatino Linotype" w:cs="Palatino Linotype"/>
                <w:b/>
                <w:bCs/>
                <w:color w:val="000000"/>
                <w:u w:val="single"/>
              </w:rPr>
              <w:t>para cada caso además de fundar y motivar</w:t>
            </w:r>
            <w:r w:rsidRPr="00736A07">
              <w:rPr>
                <w:rFonts w:ascii="Palatino Linotype" w:eastAsia="Palatino Linotype" w:hAnsi="Palatino Linotype" w:cs="Palatino Linotype"/>
                <w:color w:val="000000"/>
              </w:rPr>
              <w:t xml:space="preserve">, se debe identificar con claridad </w:t>
            </w:r>
            <w:r w:rsidRPr="00736A07">
              <w:rPr>
                <w:rFonts w:ascii="Palatino Linotype" w:eastAsia="Palatino Linotype" w:hAnsi="Palatino Linotype" w:cs="Palatino Linotype"/>
              </w:rPr>
              <w:t>qué</w:t>
            </w:r>
            <w:r w:rsidRPr="00736A07">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972C3" w:rsidRPr="00736A07" w:rsidTr="004339C3">
        <w:tc>
          <w:tcPr>
            <w:tcW w:w="2970" w:type="dxa"/>
          </w:tcPr>
          <w:p w:rsidR="00F972C3" w:rsidRPr="00736A07" w:rsidRDefault="00475F99" w:rsidP="004339C3">
            <w:pPr>
              <w:tabs>
                <w:tab w:val="left" w:pos="284"/>
              </w:tabs>
              <w:spacing w:line="360" w:lineRule="auto"/>
              <w:jc w:val="both"/>
              <w:rPr>
                <w:rFonts w:ascii="Palatino Linotype" w:eastAsia="Palatino Linotype" w:hAnsi="Palatino Linotype" w:cs="Palatino Linotype"/>
              </w:rPr>
            </w:pPr>
            <w:r w:rsidRPr="00736A07">
              <w:rPr>
                <w:rFonts w:ascii="Palatino Linotype" w:eastAsia="Palatino Linotype" w:hAnsi="Palatino Linotype" w:cs="Palatino Linotype"/>
              </w:rPr>
              <w:lastRenderedPageBreak/>
              <w:t xml:space="preserve">e) Condiciones especiales de la clasificación de la información como confidencial. </w:t>
            </w:r>
          </w:p>
        </w:tc>
        <w:tc>
          <w:tcPr>
            <w:tcW w:w="7339" w:type="dxa"/>
          </w:tcPr>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F972C3" w:rsidRPr="00736A07" w:rsidRDefault="00475F99" w:rsidP="004339C3">
            <w:pPr>
              <w:tabs>
                <w:tab w:val="left" w:pos="284"/>
              </w:tabs>
              <w:spacing w:line="360" w:lineRule="auto"/>
              <w:ind w:right="33"/>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972C3" w:rsidRPr="00736A07" w:rsidRDefault="00475F99" w:rsidP="004339C3">
            <w:pPr>
              <w:tabs>
                <w:tab w:val="left" w:pos="284"/>
              </w:tabs>
              <w:spacing w:line="360" w:lineRule="auto"/>
              <w:ind w:right="33"/>
              <w:rPr>
                <w:rFonts w:ascii="Palatino Linotype" w:eastAsia="Palatino Linotype" w:hAnsi="Palatino Linotype" w:cs="Palatino Linotype"/>
              </w:rPr>
            </w:pPr>
            <w:r w:rsidRPr="00736A07">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si permite o no </w:t>
            </w:r>
            <w:r w:rsidRPr="00736A07">
              <w:rPr>
                <w:rFonts w:ascii="Palatino Linotype" w:eastAsia="Palatino Linotype" w:hAnsi="Palatino Linotype" w:cs="Palatino Linotype"/>
                <w:color w:val="000000"/>
              </w:rPr>
              <w:lastRenderedPageBreak/>
              <w:t>el acceso. De no ser posible, la realización de la consulta, procede, fundando y motivando, la clasificación.</w:t>
            </w:r>
          </w:p>
        </w:tc>
      </w:tr>
    </w:tbl>
    <w:p w:rsidR="00F972C3" w:rsidRPr="00736A07" w:rsidRDefault="00F972C3" w:rsidP="00FD6E91">
      <w:pPr>
        <w:tabs>
          <w:tab w:val="left" w:pos="284"/>
        </w:tabs>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475F99" w:rsidP="00FD6E91">
      <w:pPr>
        <w:numPr>
          <w:ilvl w:val="0"/>
          <w:numId w:val="1"/>
        </w:num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Por lo anteriormente expuesto, este Órgano Garante considera fundadas las razones o motivos de inconformidad que plantea el</w:t>
      </w:r>
      <w:r w:rsidRPr="00736A07">
        <w:rPr>
          <w:rFonts w:ascii="Palatino Linotype" w:eastAsia="Palatino Linotype" w:hAnsi="Palatino Linotype" w:cs="Palatino Linotype"/>
          <w:b/>
          <w:bCs/>
        </w:rPr>
        <w:t xml:space="preserve"> RECURRENTE</w:t>
      </w:r>
      <w:r w:rsidRPr="00736A07">
        <w:rPr>
          <w:rFonts w:ascii="Palatino Linotype" w:eastAsia="Palatino Linotype" w:hAnsi="Palatino Linotype" w:cs="Palatino Linotype"/>
        </w:rPr>
        <w:t xml:space="preserve">, determinando </w:t>
      </w:r>
      <w:r w:rsidRPr="00736A07">
        <w:rPr>
          <w:rFonts w:ascii="Palatino Linotype" w:eastAsia="Palatino Linotype" w:hAnsi="Palatino Linotype" w:cs="Palatino Linotype"/>
          <w:b/>
          <w:bCs/>
          <w:smallCaps/>
        </w:rPr>
        <w:t xml:space="preserve">MODIFICAR </w:t>
      </w:r>
      <w:r w:rsidRPr="00736A07">
        <w:rPr>
          <w:rFonts w:ascii="Palatino Linotype" w:eastAsia="Palatino Linotype" w:hAnsi="Palatino Linotype" w:cs="Palatino Linotype"/>
        </w:rPr>
        <w:t xml:space="preserve">la respuesta del </w:t>
      </w:r>
      <w:r w:rsidRPr="00736A07">
        <w:rPr>
          <w:rFonts w:ascii="Palatino Linotype" w:eastAsia="Palatino Linotype" w:hAnsi="Palatino Linotype" w:cs="Palatino Linotype"/>
          <w:b/>
          <w:bCs/>
        </w:rPr>
        <w:t>SUJETO OBLIGADO</w:t>
      </w:r>
      <w:r w:rsidRPr="00736A07">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736A07">
        <w:rPr>
          <w:rFonts w:ascii="Palatino Linotype" w:eastAsia="Palatino Linotype" w:hAnsi="Palatino Linotype" w:cs="Palatino Linotype"/>
          <w:color w:val="000000"/>
        </w:rPr>
        <w:t xml:space="preserve">este </w:t>
      </w:r>
      <w:r w:rsidRPr="00736A07">
        <w:rPr>
          <w:rFonts w:ascii="Palatino Linotype" w:eastAsia="Palatino Linotype" w:hAnsi="Palatino Linotype" w:cs="Palatino Linotype"/>
          <w:b/>
          <w:bCs/>
          <w:color w:val="000000"/>
        </w:rPr>
        <w:t>ÓRGANO GARANTE</w:t>
      </w:r>
      <w:r w:rsidRPr="00736A07">
        <w:rPr>
          <w:rFonts w:ascii="Palatino Linotype" w:eastAsia="Palatino Linotype" w:hAnsi="Palatino Linotype" w:cs="Palatino Linotype"/>
          <w:color w:val="000000"/>
        </w:rPr>
        <w:t xml:space="preserve"> emite los siguientes.</w:t>
      </w:r>
    </w:p>
    <w:p w:rsidR="00F972C3" w:rsidRPr="00736A07" w:rsidRDefault="00F972C3" w:rsidP="00FD6E91">
      <w:pPr>
        <w:pBdr>
          <w:top w:val="none" w:sz="0" w:space="0" w:color="000000"/>
          <w:left w:val="none" w:sz="0" w:space="0" w:color="000000"/>
          <w:bottom w:val="none" w:sz="0" w:space="0" w:color="000000"/>
          <w:right w:val="none" w:sz="0" w:space="0" w:color="000000"/>
          <w:between w:val="none" w:sz="0" w:space="0" w:color="000000"/>
        </w:pBdr>
        <w:tabs>
          <w:tab w:val="left" w:pos="426"/>
        </w:tabs>
        <w:spacing w:line="360" w:lineRule="auto"/>
        <w:ind w:right="-171"/>
        <w:jc w:val="both"/>
        <w:rPr>
          <w:rFonts w:ascii="Palatino Linotype" w:eastAsia="Palatino Linotype" w:hAnsi="Palatino Linotype" w:cs="Palatino Linotype"/>
          <w:color w:val="000000"/>
        </w:rPr>
      </w:pPr>
    </w:p>
    <w:p w:rsidR="00F972C3" w:rsidRPr="00736A07" w:rsidRDefault="00475F99" w:rsidP="00FD6E91">
      <w:pPr>
        <w:keepNext/>
        <w:keepLines/>
        <w:pBdr>
          <w:top w:val="nil"/>
          <w:left w:val="nil"/>
          <w:bottom w:val="nil"/>
          <w:right w:val="nil"/>
          <w:between w:val="nil"/>
        </w:pBdr>
        <w:spacing w:line="360" w:lineRule="auto"/>
        <w:ind w:right="-171"/>
        <w:jc w:val="center"/>
        <w:rPr>
          <w:rFonts w:ascii="Palatino Linotype" w:eastAsia="Palatino Linotype" w:hAnsi="Palatino Linotype" w:cs="Palatino Linotype"/>
          <w:b/>
          <w:bCs/>
          <w:color w:val="000000"/>
        </w:rPr>
      </w:pPr>
      <w:r w:rsidRPr="00736A07">
        <w:rPr>
          <w:rFonts w:ascii="Palatino Linotype" w:eastAsia="Palatino Linotype" w:hAnsi="Palatino Linotype" w:cs="Palatino Linotype"/>
          <w:b/>
          <w:bCs/>
          <w:color w:val="000000"/>
        </w:rPr>
        <w:t>R E S O L U T I V O S</w:t>
      </w:r>
    </w:p>
    <w:p w:rsidR="00F972C3" w:rsidRPr="00736A07" w:rsidRDefault="00F972C3" w:rsidP="00FD6E91">
      <w:pPr>
        <w:spacing w:line="360" w:lineRule="auto"/>
        <w:ind w:right="-171"/>
        <w:rPr>
          <w:rFonts w:ascii="Palatino Linotype" w:eastAsia="Palatino Linotype" w:hAnsi="Palatino Linotype" w:cs="Palatino Linotype"/>
        </w:rPr>
      </w:pPr>
    </w:p>
    <w:p w:rsidR="00F972C3" w:rsidRPr="00736A07" w:rsidRDefault="00475F99" w:rsidP="00FD6E91">
      <w:p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b/>
          <w:bCs/>
        </w:rPr>
        <w:t>PRIMERO.</w:t>
      </w:r>
      <w:r w:rsidRPr="00736A07">
        <w:rPr>
          <w:rFonts w:ascii="Palatino Linotype" w:eastAsia="Palatino Linotype" w:hAnsi="Palatino Linotype" w:cs="Palatino Linotype"/>
        </w:rPr>
        <w:t xml:space="preserve"> Resultan parcialmente fundadas las razones o motivos de </w:t>
      </w:r>
      <w:r w:rsidR="00FD6E91" w:rsidRPr="00736A07">
        <w:rPr>
          <w:rFonts w:ascii="Palatino Linotype" w:eastAsia="Palatino Linotype" w:hAnsi="Palatino Linotype" w:cs="Palatino Linotype"/>
        </w:rPr>
        <w:t>inconformidad hechos valer en el Recurso</w:t>
      </w:r>
      <w:r w:rsidRPr="00736A07">
        <w:rPr>
          <w:rFonts w:ascii="Palatino Linotype" w:eastAsia="Palatino Linotype" w:hAnsi="Palatino Linotype" w:cs="Palatino Linotype"/>
        </w:rPr>
        <w:t xml:space="preserve"> de Revisión </w:t>
      </w:r>
      <w:r w:rsidRPr="00736A07">
        <w:rPr>
          <w:rFonts w:ascii="Palatino Linotype" w:eastAsia="Palatino Linotype" w:hAnsi="Palatino Linotype" w:cs="Palatino Linotype"/>
          <w:b/>
          <w:bCs/>
        </w:rPr>
        <w:t xml:space="preserve">03968/INFOEM/IP/RR/2026, </w:t>
      </w:r>
      <w:r w:rsidRPr="00736A07">
        <w:rPr>
          <w:rFonts w:ascii="Palatino Linotype" w:eastAsia="Palatino Linotype" w:hAnsi="Palatino Linotype" w:cs="Palatino Linotype"/>
        </w:rPr>
        <w:t xml:space="preserve">en términos del Considerando </w:t>
      </w:r>
      <w:r w:rsidRPr="00736A07">
        <w:rPr>
          <w:rFonts w:ascii="Palatino Linotype" w:eastAsia="Palatino Linotype" w:hAnsi="Palatino Linotype" w:cs="Palatino Linotype"/>
          <w:b/>
          <w:bCs/>
        </w:rPr>
        <w:t xml:space="preserve">Cuarto y Quinto </w:t>
      </w:r>
      <w:r w:rsidRPr="00736A07">
        <w:rPr>
          <w:rFonts w:ascii="Palatino Linotype" w:eastAsia="Palatino Linotype" w:hAnsi="Palatino Linotype" w:cs="Palatino Linotype"/>
        </w:rPr>
        <w:t xml:space="preserve">de la presente resolución. </w:t>
      </w:r>
    </w:p>
    <w:p w:rsidR="00F972C3" w:rsidRPr="00736A07" w:rsidRDefault="00F972C3" w:rsidP="00FD6E91">
      <w:pPr>
        <w:spacing w:line="360" w:lineRule="auto"/>
        <w:ind w:right="-171"/>
        <w:jc w:val="both"/>
        <w:rPr>
          <w:rFonts w:ascii="Palatino Linotype" w:eastAsia="Palatino Linotype" w:hAnsi="Palatino Linotype" w:cs="Palatino Linotype"/>
        </w:rPr>
      </w:pPr>
      <w:bookmarkStart w:id="7" w:name="_heading=h.1ksv4uv" w:colFirst="0" w:colLast="0"/>
      <w:bookmarkEnd w:id="7"/>
    </w:p>
    <w:p w:rsidR="00F972C3" w:rsidRPr="00736A07" w:rsidRDefault="00475F99" w:rsidP="00FD6E91">
      <w:p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b/>
          <w:bCs/>
        </w:rPr>
        <w:t xml:space="preserve">SEGUNDO. </w:t>
      </w:r>
      <w:r w:rsidRPr="00736A07">
        <w:rPr>
          <w:rFonts w:ascii="Palatino Linotype" w:eastAsia="Palatino Linotype" w:hAnsi="Palatino Linotype" w:cs="Palatino Linotype"/>
          <w:color w:val="000000"/>
        </w:rPr>
        <w:t xml:space="preserve">Se </w:t>
      </w:r>
      <w:r w:rsidRPr="00736A07">
        <w:rPr>
          <w:rFonts w:ascii="Palatino Linotype" w:eastAsia="Palatino Linotype" w:hAnsi="Palatino Linotype" w:cs="Palatino Linotype"/>
          <w:b/>
          <w:bCs/>
          <w:color w:val="000000"/>
        </w:rPr>
        <w:t xml:space="preserve">MODIFICA </w:t>
      </w:r>
      <w:r w:rsidRPr="00736A07">
        <w:rPr>
          <w:rFonts w:ascii="Palatino Linotype" w:eastAsia="Palatino Linotype" w:hAnsi="Palatino Linotype" w:cs="Palatino Linotype"/>
          <w:color w:val="000000"/>
        </w:rPr>
        <w:t xml:space="preserve">la respuesta emitida por el </w:t>
      </w:r>
      <w:r w:rsidRPr="00736A07">
        <w:rPr>
          <w:rFonts w:ascii="Palatino Linotype" w:eastAsia="Palatino Linotype" w:hAnsi="Palatino Linotype" w:cs="Palatino Linotype"/>
          <w:b/>
          <w:bCs/>
          <w:color w:val="000000"/>
        </w:rPr>
        <w:t xml:space="preserve">Poder Judicial  </w:t>
      </w:r>
      <w:r w:rsidRPr="00736A07">
        <w:rPr>
          <w:rFonts w:ascii="Palatino Linotype" w:eastAsia="Palatino Linotype" w:hAnsi="Palatino Linotype" w:cs="Palatino Linotype"/>
          <w:color w:val="000000"/>
        </w:rPr>
        <w:t xml:space="preserve">y se </w:t>
      </w:r>
      <w:r w:rsidRPr="00736A07">
        <w:rPr>
          <w:rFonts w:ascii="Palatino Linotype" w:eastAsia="Palatino Linotype" w:hAnsi="Palatino Linotype" w:cs="Palatino Linotype"/>
          <w:b/>
          <w:bCs/>
          <w:color w:val="000000"/>
        </w:rPr>
        <w:t>ORDENA</w:t>
      </w:r>
      <w:r w:rsidRPr="00736A07">
        <w:rPr>
          <w:rFonts w:ascii="Palatino Linotype" w:eastAsia="Palatino Linotype" w:hAnsi="Palatino Linotype" w:cs="Palatino Linotype"/>
          <w:color w:val="000000"/>
        </w:rPr>
        <w:t xml:space="preserve"> </w:t>
      </w:r>
      <w:r w:rsidRPr="00736A07">
        <w:rPr>
          <w:rFonts w:ascii="Palatino Linotype" w:eastAsia="Palatino Linotype" w:hAnsi="Palatino Linotype" w:cs="Palatino Linotype"/>
        </w:rPr>
        <w:t>entregar</w:t>
      </w:r>
      <w:r w:rsidRPr="00736A07">
        <w:rPr>
          <w:rFonts w:ascii="Palatino Linotype" w:eastAsia="Palatino Linotype" w:hAnsi="Palatino Linotype" w:cs="Palatino Linotype"/>
          <w:color w:val="000000"/>
        </w:rPr>
        <w:t xml:space="preserve"> vía Sistema de Acceso a la Información,</w:t>
      </w:r>
      <w:r w:rsidRPr="00736A07">
        <w:rPr>
          <w:rFonts w:ascii="Palatino Linotype" w:eastAsia="Palatino Linotype" w:hAnsi="Palatino Linotype" w:cs="Palatino Linotype"/>
        </w:rPr>
        <w:t xml:space="preserve"> en versión pública:</w:t>
      </w:r>
    </w:p>
    <w:p w:rsidR="00F972C3" w:rsidRPr="00736A07" w:rsidRDefault="00F972C3" w:rsidP="00FD6E91">
      <w:pPr>
        <w:pBdr>
          <w:top w:val="nil"/>
          <w:left w:val="nil"/>
          <w:bottom w:val="nil"/>
          <w:right w:val="nil"/>
          <w:between w:val="nil"/>
        </w:pBdr>
        <w:ind w:left="720" w:right="-171"/>
        <w:rPr>
          <w:rFonts w:ascii="Palatino Linotype" w:eastAsia="Palatino Linotype" w:hAnsi="Palatino Linotype" w:cs="Palatino Linotype"/>
          <w:b/>
          <w:bCs/>
          <w:i/>
          <w:iCs/>
          <w:color w:val="000000"/>
        </w:rPr>
      </w:pPr>
    </w:p>
    <w:p w:rsidR="00F972C3" w:rsidRPr="00736A07" w:rsidRDefault="00475F99" w:rsidP="00FD6E91">
      <w:pPr>
        <w:pBdr>
          <w:top w:val="nil"/>
          <w:left w:val="nil"/>
          <w:bottom w:val="nil"/>
          <w:right w:val="nil"/>
          <w:between w:val="nil"/>
        </w:pBdr>
        <w:ind w:left="1418" w:right="-171"/>
        <w:jc w:val="both"/>
        <w:rPr>
          <w:rFonts w:ascii="Palatino Linotype" w:eastAsia="Palatino Linotype" w:hAnsi="Palatino Linotype" w:cs="Palatino Linotype"/>
          <w:b/>
          <w:bCs/>
          <w:i/>
          <w:iCs/>
          <w:color w:val="000000"/>
        </w:rPr>
      </w:pPr>
      <w:r w:rsidRPr="00736A07">
        <w:rPr>
          <w:rFonts w:ascii="Palatino Linotype" w:eastAsia="Palatino Linotype" w:hAnsi="Palatino Linotype" w:cs="Palatino Linotype"/>
          <w:b/>
          <w:bCs/>
          <w:i/>
          <w:iCs/>
          <w:color w:val="000000"/>
        </w:rPr>
        <w:lastRenderedPageBreak/>
        <w:t xml:space="preserve">Recibos de nómina remitidos en respuesta a la solicitud de información 00208/PJUDICI/IP/2026, en correcta versión pública. </w:t>
      </w:r>
    </w:p>
    <w:p w:rsidR="00F972C3" w:rsidRPr="00736A07" w:rsidRDefault="00F972C3" w:rsidP="00FD6E91">
      <w:pPr>
        <w:ind w:right="-171"/>
        <w:jc w:val="both"/>
        <w:rPr>
          <w:rFonts w:ascii="Palatino Linotype" w:eastAsia="Palatino Linotype" w:hAnsi="Palatino Linotype" w:cs="Palatino Linotype"/>
          <w:b/>
          <w:bCs/>
        </w:rPr>
      </w:pPr>
    </w:p>
    <w:p w:rsidR="00F972C3" w:rsidRPr="00736A07" w:rsidRDefault="00475F99" w:rsidP="00FD6E91">
      <w:pPr>
        <w:spacing w:line="360" w:lineRule="auto"/>
        <w:ind w:right="-171"/>
        <w:jc w:val="both"/>
        <w:rPr>
          <w:rFonts w:ascii="Palatino Linotype" w:eastAsia="Palatino Linotype" w:hAnsi="Palatino Linotype" w:cs="Palatino Linotype"/>
          <w:b/>
          <w:bCs/>
        </w:rPr>
      </w:pPr>
      <w:r w:rsidRPr="00736A07">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736A07">
        <w:rPr>
          <w:rFonts w:ascii="Palatino Linotype" w:eastAsia="Palatino Linotype" w:hAnsi="Palatino Linotype" w:cs="Palatino Linotype"/>
          <w:b/>
          <w:bCs/>
        </w:rPr>
        <w:t>RECURRENTE.</w:t>
      </w:r>
    </w:p>
    <w:p w:rsidR="00F972C3" w:rsidRPr="00736A07" w:rsidRDefault="00F972C3" w:rsidP="00FD6E91">
      <w:pPr>
        <w:spacing w:line="360" w:lineRule="auto"/>
        <w:ind w:right="-171"/>
        <w:jc w:val="both"/>
        <w:rPr>
          <w:rFonts w:ascii="Palatino Linotype" w:eastAsia="Palatino Linotype" w:hAnsi="Palatino Linotype" w:cs="Palatino Linotype"/>
          <w:b/>
          <w:bCs/>
        </w:rPr>
      </w:pPr>
    </w:p>
    <w:p w:rsidR="00F972C3" w:rsidRPr="00736A07" w:rsidRDefault="00475F99" w:rsidP="00FD6E91">
      <w:p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rPr>
        <w:t>De ser el caso que de las cadenas y sellos digitales se adviertan datos confidenciales el</w:t>
      </w:r>
      <w:r w:rsidRPr="00736A07">
        <w:rPr>
          <w:rFonts w:ascii="Palatino Linotype" w:eastAsia="Palatino Linotype" w:hAnsi="Palatino Linotype" w:cs="Palatino Linotype"/>
          <w:b/>
          <w:bCs/>
        </w:rPr>
        <w:t xml:space="preserve"> SUJETO OBLIGADO </w:t>
      </w:r>
      <w:r w:rsidRPr="00736A07">
        <w:rPr>
          <w:rFonts w:ascii="Palatino Linotype" w:eastAsia="Palatino Linotype" w:hAnsi="Palatino Linotype" w:cs="Palatino Linotype"/>
        </w:rPr>
        <w:t xml:space="preserve">deberá de remitir el Acuerdo del Comité de Transparencia, mediante el cual de manera fundada y motivada clasifique los datos como confidenciales de conformidad con el artículo 143 fracción de la Ley de Transparencia y Acceso a la Información Pública del Estado de México y Municipios. </w:t>
      </w:r>
    </w:p>
    <w:p w:rsidR="00F972C3" w:rsidRPr="00736A07" w:rsidRDefault="00F972C3" w:rsidP="00FD6E91">
      <w:pPr>
        <w:tabs>
          <w:tab w:val="left" w:pos="8080"/>
        </w:tabs>
        <w:spacing w:line="360" w:lineRule="auto"/>
        <w:ind w:right="-171"/>
        <w:jc w:val="both"/>
        <w:rPr>
          <w:rFonts w:ascii="Palatino Linotype" w:eastAsia="Palatino Linotype" w:hAnsi="Palatino Linotype" w:cs="Palatino Linotype"/>
        </w:rPr>
      </w:pPr>
    </w:p>
    <w:p w:rsidR="00F972C3" w:rsidRPr="00736A07" w:rsidRDefault="00475F99" w:rsidP="00FD6E91">
      <w:pPr>
        <w:spacing w:line="360" w:lineRule="auto"/>
        <w:ind w:right="-171"/>
        <w:jc w:val="both"/>
        <w:rPr>
          <w:rFonts w:ascii="Palatino Linotype" w:eastAsia="Palatino Linotype" w:hAnsi="Palatino Linotype" w:cs="Palatino Linotype"/>
          <w:color w:val="222222"/>
        </w:rPr>
      </w:pPr>
      <w:r w:rsidRPr="00736A07">
        <w:rPr>
          <w:rFonts w:ascii="Palatino Linotype" w:eastAsia="Palatino Linotype" w:hAnsi="Palatino Linotype" w:cs="Palatino Linotype"/>
          <w:b/>
          <w:bCs/>
        </w:rPr>
        <w:t xml:space="preserve">TERCERO. </w:t>
      </w:r>
      <w:r w:rsidRPr="00736A07">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736A07">
        <w:rPr>
          <w:rFonts w:ascii="Palatino Linotype" w:eastAsia="Palatino Linotype" w:hAnsi="Palatino Linotype" w:cs="Palatino Linotype"/>
          <w:b/>
          <w:bCs/>
          <w:color w:val="222222"/>
        </w:rPr>
        <w:t xml:space="preserve">dé cumplimiento a lo ordenado dentro del plazo de diez días hábiles, </w:t>
      </w:r>
      <w:r w:rsidRPr="00736A07">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F972C3" w:rsidRPr="00736A07" w:rsidRDefault="00F972C3" w:rsidP="00FD6E91">
      <w:pPr>
        <w:tabs>
          <w:tab w:val="left" w:pos="8080"/>
        </w:tabs>
        <w:spacing w:line="360" w:lineRule="auto"/>
        <w:ind w:right="-171"/>
        <w:jc w:val="both"/>
        <w:rPr>
          <w:rFonts w:ascii="Palatino Linotype" w:eastAsia="Palatino Linotype" w:hAnsi="Palatino Linotype" w:cs="Palatino Linotype"/>
          <w:color w:val="222222"/>
        </w:rPr>
      </w:pPr>
    </w:p>
    <w:p w:rsidR="00F972C3" w:rsidRPr="00736A07" w:rsidRDefault="00475F99" w:rsidP="00FD6E91">
      <w:p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b/>
          <w:bCs/>
        </w:rPr>
        <w:lastRenderedPageBreak/>
        <w:t xml:space="preserve">CUARTO. </w:t>
      </w:r>
      <w:r w:rsidRPr="00736A07">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736A07">
        <w:rPr>
          <w:rFonts w:ascii="Palatino Linotype" w:eastAsia="Palatino Linotype" w:hAnsi="Palatino Linotype" w:cs="Palatino Linotype"/>
          <w:b/>
          <w:bCs/>
        </w:rPr>
        <w:t>SUJETO OBLIGADO</w:t>
      </w:r>
      <w:r w:rsidRPr="00736A07">
        <w:rPr>
          <w:rFonts w:ascii="Palatino Linotype" w:eastAsia="Palatino Linotype" w:hAnsi="Palatino Linotype" w:cs="Palatino Linotype"/>
        </w:rPr>
        <w:t xml:space="preserve"> de manera fundada y motivada, podrá solicitar una ampliación de plazo para el cumplimiento de la presente resolución.</w:t>
      </w:r>
    </w:p>
    <w:p w:rsidR="00F972C3" w:rsidRPr="00736A07" w:rsidRDefault="00F972C3" w:rsidP="00FD6E91">
      <w:pPr>
        <w:spacing w:line="360" w:lineRule="auto"/>
        <w:ind w:right="-171"/>
        <w:jc w:val="both"/>
        <w:rPr>
          <w:rFonts w:ascii="Palatino Linotype" w:eastAsia="Palatino Linotype" w:hAnsi="Palatino Linotype" w:cs="Palatino Linotype"/>
        </w:rPr>
      </w:pPr>
      <w:bookmarkStart w:id="8" w:name="_heading=h.2jxsxqh" w:colFirst="0" w:colLast="0"/>
      <w:bookmarkEnd w:id="8"/>
    </w:p>
    <w:p w:rsidR="00F972C3" w:rsidRPr="00736A07" w:rsidRDefault="00475F99" w:rsidP="00FD6E91">
      <w:p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b/>
          <w:bCs/>
        </w:rPr>
        <w:t xml:space="preserve">QUINTO. </w:t>
      </w:r>
      <w:r w:rsidRPr="00736A07">
        <w:rPr>
          <w:rFonts w:ascii="Palatino Linotype" w:eastAsia="Palatino Linotype" w:hAnsi="Palatino Linotype" w:cs="Palatino Linotype"/>
        </w:rPr>
        <w:t xml:space="preserve">Notifíquese a </w:t>
      </w:r>
      <w:r w:rsidRPr="00736A07">
        <w:rPr>
          <w:rFonts w:ascii="Palatino Linotype" w:eastAsia="Palatino Linotype" w:hAnsi="Palatino Linotype" w:cs="Palatino Linotype"/>
          <w:b/>
          <w:bCs/>
        </w:rPr>
        <w:t>EL RECURRENTE</w:t>
      </w:r>
      <w:r w:rsidRPr="00736A07">
        <w:rPr>
          <w:rFonts w:ascii="Palatino Linotype" w:eastAsia="Palatino Linotype" w:hAnsi="Palatino Linotype" w:cs="Palatino Linotype"/>
        </w:rPr>
        <w:t xml:space="preserve"> la presente resolución, vía SAIMEX.</w:t>
      </w:r>
    </w:p>
    <w:p w:rsidR="00F972C3" w:rsidRPr="00736A07" w:rsidRDefault="00F972C3" w:rsidP="00FD6E91">
      <w:pPr>
        <w:shd w:val="clear" w:color="auto" w:fill="FFFFFF"/>
        <w:spacing w:line="360" w:lineRule="auto"/>
        <w:ind w:right="-171"/>
        <w:jc w:val="both"/>
        <w:rPr>
          <w:rFonts w:ascii="Palatino Linotype" w:eastAsia="Palatino Linotype" w:hAnsi="Palatino Linotype" w:cs="Palatino Linotype"/>
        </w:rPr>
      </w:pPr>
    </w:p>
    <w:p w:rsidR="00F972C3" w:rsidRPr="00736A07" w:rsidRDefault="00475F99" w:rsidP="00FD6E91">
      <w:pPr>
        <w:spacing w:line="360" w:lineRule="auto"/>
        <w:ind w:right="-171"/>
        <w:jc w:val="both"/>
        <w:rPr>
          <w:rFonts w:ascii="Palatino Linotype" w:eastAsia="Palatino Linotype" w:hAnsi="Palatino Linotype" w:cs="Palatino Linotype"/>
        </w:rPr>
      </w:pPr>
      <w:r w:rsidRPr="00736A07">
        <w:rPr>
          <w:rFonts w:ascii="Palatino Linotype" w:eastAsia="Palatino Linotype" w:hAnsi="Palatino Linotype" w:cs="Palatino Linotype"/>
          <w:b/>
          <w:bCs/>
        </w:rPr>
        <w:t>SEXTO.</w:t>
      </w:r>
      <w:r w:rsidRPr="00736A07">
        <w:rPr>
          <w:rFonts w:ascii="Palatino Linotype" w:eastAsia="Palatino Linotype" w:hAnsi="Palatino Linotype" w:cs="Palatino Linotype"/>
        </w:rPr>
        <w:t xml:space="preserve"> Se hace del conocimiento de </w:t>
      </w:r>
      <w:r w:rsidRPr="00736A07">
        <w:rPr>
          <w:rFonts w:ascii="Palatino Linotype" w:eastAsia="Palatino Linotype" w:hAnsi="Palatino Linotype" w:cs="Palatino Linotype"/>
          <w:b/>
          <w:bCs/>
        </w:rPr>
        <w:t>EL RECURRENTE</w:t>
      </w:r>
      <w:r w:rsidRPr="00736A07">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F972C3" w:rsidRPr="00736A07" w:rsidRDefault="00F972C3" w:rsidP="00FD6E91">
      <w:pPr>
        <w:spacing w:line="360" w:lineRule="auto"/>
        <w:ind w:right="-171"/>
        <w:jc w:val="both"/>
        <w:rPr>
          <w:rFonts w:ascii="Palatino Linotype" w:eastAsia="Palatino Linotype" w:hAnsi="Palatino Linotype" w:cs="Palatino Linotype"/>
        </w:rPr>
      </w:pPr>
    </w:p>
    <w:p w:rsidR="00FD6E91" w:rsidRPr="00736A07" w:rsidRDefault="00FD6E91" w:rsidP="00FD6E91">
      <w:pPr>
        <w:spacing w:before="240" w:after="240" w:line="360" w:lineRule="auto"/>
        <w:ind w:right="-171" w:firstLine="1"/>
        <w:jc w:val="both"/>
        <w:rPr>
          <w:rFonts w:ascii="Palatino Linotype" w:hAnsi="Palatino Linotype"/>
        </w:rPr>
      </w:pPr>
      <w:bookmarkStart w:id="9" w:name="_Hlk99014733"/>
      <w:r w:rsidRPr="00736A07">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736A07">
        <w:rPr>
          <w:rFonts w:ascii="Palatino Linotype" w:hAnsi="Palatino Linotype" w:cs="Palatino Linotype"/>
          <w:color w:val="000000" w:themeColor="text1"/>
        </w:rPr>
        <w:t>ALEXIS TAPIA RAMÍREZ.</w:t>
      </w:r>
    </w:p>
    <w:bookmarkEnd w:id="9"/>
    <w:p w:rsidR="00F972C3" w:rsidRPr="00736A07" w:rsidRDefault="00F972C3" w:rsidP="00FD6E91">
      <w:pPr>
        <w:spacing w:line="360" w:lineRule="auto"/>
        <w:ind w:right="-171"/>
        <w:jc w:val="both"/>
        <w:rPr>
          <w:rFonts w:ascii="Palatino Linotype" w:eastAsia="Palatino Linotype" w:hAnsi="Palatino Linotype" w:cs="Palatino Linotype"/>
        </w:rPr>
      </w:pPr>
    </w:p>
    <w:p w:rsidR="00F972C3" w:rsidRPr="00736A07" w:rsidRDefault="00475F99" w:rsidP="00FD6E91">
      <w:pPr>
        <w:spacing w:line="360" w:lineRule="auto"/>
        <w:ind w:right="-171"/>
        <w:jc w:val="both"/>
        <w:rPr>
          <w:rFonts w:ascii="Palatino Linotype" w:eastAsia="Palatino Linotype" w:hAnsi="Palatino Linotype" w:cs="Palatino Linotype"/>
          <w:color w:val="000000"/>
        </w:rPr>
      </w:pPr>
      <w:r w:rsidRPr="00736A07">
        <w:rPr>
          <w:rFonts w:ascii="Palatino Linotype" w:eastAsia="Palatino Linotype" w:hAnsi="Palatino Linotype" w:cs="Palatino Linotype"/>
          <w:color w:val="000000"/>
        </w:rPr>
        <w:t xml:space="preserve"> </w:t>
      </w:r>
    </w:p>
    <w:p w:rsidR="00F972C3" w:rsidRPr="00736A07" w:rsidRDefault="00F972C3" w:rsidP="00FD6E91">
      <w:pPr>
        <w:pBdr>
          <w:top w:val="nil"/>
          <w:left w:val="nil"/>
          <w:bottom w:val="nil"/>
          <w:right w:val="nil"/>
          <w:between w:val="nil"/>
        </w:pBdr>
        <w:ind w:left="720" w:right="-171"/>
        <w:rPr>
          <w:rFonts w:ascii="Palatino Linotype" w:eastAsia="Palatino Linotype" w:hAnsi="Palatino Linotype" w:cs="Palatino Linotype"/>
          <w:color w:val="000000"/>
        </w:rPr>
      </w:pP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F972C3" w:rsidP="00FD6E91">
      <w:pPr>
        <w:spacing w:line="360" w:lineRule="auto"/>
        <w:ind w:right="-171"/>
        <w:jc w:val="both"/>
        <w:rPr>
          <w:rFonts w:ascii="Palatino Linotype" w:eastAsia="Palatino Linotype" w:hAnsi="Palatino Linotype" w:cs="Palatino Linotype"/>
          <w:color w:val="000000"/>
        </w:rPr>
      </w:pPr>
    </w:p>
    <w:p w:rsidR="00F972C3" w:rsidRPr="00736A07" w:rsidRDefault="00F972C3" w:rsidP="00FD6E91">
      <w:pPr>
        <w:spacing w:before="240" w:after="240" w:line="360" w:lineRule="auto"/>
        <w:ind w:right="-171" w:firstLine="1"/>
        <w:jc w:val="both"/>
        <w:rPr>
          <w:rFonts w:ascii="Palatino Linotype" w:eastAsia="Palatino Linotype" w:hAnsi="Palatino Linotype" w:cs="Palatino Linotype"/>
        </w:rPr>
      </w:pPr>
    </w:p>
    <w:p w:rsidR="00F972C3" w:rsidRPr="00736A07" w:rsidRDefault="00F972C3" w:rsidP="00FD6E91">
      <w:pPr>
        <w:spacing w:before="240" w:after="240" w:line="360" w:lineRule="auto"/>
        <w:ind w:right="-171" w:firstLine="1"/>
        <w:jc w:val="both"/>
        <w:rPr>
          <w:rFonts w:ascii="Palatino Linotype" w:eastAsia="Palatino Linotype" w:hAnsi="Palatino Linotype" w:cs="Palatino Linotype"/>
        </w:rPr>
      </w:pPr>
    </w:p>
    <w:p w:rsidR="00F972C3" w:rsidRPr="00736A07" w:rsidRDefault="00F972C3" w:rsidP="00FD6E91">
      <w:pPr>
        <w:spacing w:before="240" w:after="240" w:line="360" w:lineRule="auto"/>
        <w:ind w:right="-171" w:firstLine="1"/>
        <w:jc w:val="both"/>
        <w:rPr>
          <w:rFonts w:ascii="Palatino Linotype" w:eastAsia="Palatino Linotype" w:hAnsi="Palatino Linotype" w:cs="Palatino Linotype"/>
        </w:rPr>
      </w:pPr>
    </w:p>
    <w:p w:rsidR="00F972C3" w:rsidRPr="00736A07" w:rsidRDefault="00F972C3" w:rsidP="00FD6E91">
      <w:pPr>
        <w:spacing w:before="240" w:after="240" w:line="360" w:lineRule="auto"/>
        <w:ind w:right="-171" w:firstLine="1"/>
        <w:jc w:val="both"/>
        <w:rPr>
          <w:rFonts w:ascii="Palatino Linotype" w:eastAsia="Palatino Linotype" w:hAnsi="Palatino Linotype" w:cs="Palatino Linotype"/>
        </w:rPr>
      </w:pPr>
    </w:p>
    <w:p w:rsidR="00F972C3" w:rsidRPr="00736A07" w:rsidRDefault="00F972C3" w:rsidP="00FD6E91">
      <w:pPr>
        <w:spacing w:before="240" w:after="240" w:line="360" w:lineRule="auto"/>
        <w:ind w:right="-171" w:firstLine="1"/>
        <w:jc w:val="both"/>
        <w:rPr>
          <w:rFonts w:ascii="Palatino Linotype" w:eastAsia="Palatino Linotype" w:hAnsi="Palatino Linotype" w:cs="Palatino Linotype"/>
        </w:rPr>
      </w:pPr>
    </w:p>
    <w:p w:rsidR="00F972C3" w:rsidRPr="00736A07" w:rsidRDefault="00F972C3" w:rsidP="00FD6E91">
      <w:pPr>
        <w:spacing w:before="240" w:after="240" w:line="360" w:lineRule="auto"/>
        <w:ind w:right="-171" w:firstLine="1"/>
        <w:jc w:val="both"/>
        <w:rPr>
          <w:rFonts w:ascii="Palatino Linotype" w:eastAsia="Palatino Linotype" w:hAnsi="Palatino Linotype" w:cs="Palatino Linotype"/>
        </w:rPr>
      </w:pPr>
    </w:p>
    <w:p w:rsidR="00F972C3" w:rsidRPr="00736A07" w:rsidRDefault="00F972C3" w:rsidP="00FD6E91">
      <w:pPr>
        <w:spacing w:line="360" w:lineRule="auto"/>
        <w:ind w:right="-171"/>
        <w:jc w:val="both"/>
        <w:rPr>
          <w:rFonts w:ascii="Palatino Linotype" w:eastAsia="Palatino Linotype" w:hAnsi="Palatino Linotype" w:cs="Palatino Linotype"/>
        </w:rPr>
      </w:pPr>
    </w:p>
    <w:p w:rsidR="00F972C3" w:rsidRPr="00736A07" w:rsidRDefault="00F972C3" w:rsidP="00FD6E91">
      <w:pPr>
        <w:ind w:right="-171"/>
        <w:rPr>
          <w:rFonts w:ascii="Palatino Linotype" w:eastAsia="Palatino Linotype" w:hAnsi="Palatino Linotype" w:cs="Palatino Linotype"/>
        </w:rPr>
      </w:pPr>
    </w:p>
    <w:p w:rsidR="00F972C3" w:rsidRPr="00736A07" w:rsidRDefault="00F972C3" w:rsidP="00FD6E91">
      <w:pPr>
        <w:ind w:right="-171"/>
        <w:rPr>
          <w:rFonts w:ascii="Palatino Linotype" w:eastAsia="Palatino Linotype" w:hAnsi="Palatino Linotype" w:cs="Palatino Linotype"/>
        </w:rPr>
      </w:pPr>
    </w:p>
    <w:p w:rsidR="00F972C3" w:rsidRPr="00736A07" w:rsidRDefault="00F972C3" w:rsidP="00FD6E91">
      <w:pPr>
        <w:ind w:right="-171"/>
        <w:rPr>
          <w:rFonts w:ascii="Palatino Linotype" w:eastAsia="Palatino Linotype" w:hAnsi="Palatino Linotype" w:cs="Palatino Linotype"/>
        </w:rPr>
      </w:pPr>
    </w:p>
    <w:p w:rsidR="00F972C3" w:rsidRPr="00736A07" w:rsidRDefault="00F972C3" w:rsidP="00FD6E91">
      <w:pPr>
        <w:ind w:right="-171"/>
        <w:rPr>
          <w:rFonts w:ascii="Palatino Linotype" w:eastAsia="Palatino Linotype" w:hAnsi="Palatino Linotype" w:cs="Palatino Linotype"/>
        </w:rPr>
      </w:pPr>
    </w:p>
    <w:sectPr w:rsidR="00F972C3" w:rsidRPr="00736A07" w:rsidSect="00736A07">
      <w:headerReference w:type="even" r:id="rId15"/>
      <w:headerReference w:type="default" r:id="rId16"/>
      <w:footerReference w:type="default" r:id="rId17"/>
      <w:headerReference w:type="first" r:id="rId18"/>
      <w:footerReference w:type="first" r:id="rId19"/>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C0F" w:rsidRDefault="00BE7C0F">
      <w:r>
        <w:separator/>
      </w:r>
    </w:p>
  </w:endnote>
  <w:endnote w:type="continuationSeparator" w:id="0">
    <w:p w:rsidR="00BE7C0F" w:rsidRDefault="00BE7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991F51F7-B998-4F9F-BA0E-115B5CC2AE57}"/>
    <w:embedBold r:id="rId2" w:fontKey="{21B56D53-5E8A-468A-87DF-7A5F09BC5AE0}"/>
    <w:embedItalic r:id="rId3" w:fontKey="{E1F6E719-F017-421C-BC0F-193E4A617650}"/>
    <w:embedBoldItalic r:id="rId4" w:fontKey="{904F0639-BB50-4D03-9AD7-82D9385B67B1}"/>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35C3D71D-837A-4ACE-8813-E00904BCFCC1}"/>
  </w:font>
  <w:font w:name="Garamond">
    <w:panose1 w:val="02020404030301010803"/>
    <w:charset w:val="00"/>
    <w:family w:val="roman"/>
    <w:pitch w:val="variable"/>
    <w:sig w:usb0="00000287" w:usb1="00000000" w:usb2="00000000" w:usb3="00000000" w:csb0="0000009F" w:csb1="00000000"/>
    <w:embedRegular r:id="rId6" w:fontKey="{8DB8C598-8953-4A2F-BBF8-E17E1699A79B}"/>
  </w:font>
  <w:font w:name="Calibri">
    <w:panose1 w:val="020F0502020204030204"/>
    <w:charset w:val="00"/>
    <w:family w:val="swiss"/>
    <w:pitch w:val="variable"/>
    <w:sig w:usb0="E4002EFF" w:usb1="C200247B" w:usb2="00000009" w:usb3="00000000" w:csb0="000001FF" w:csb1="00000000"/>
    <w:embedRegular r:id="rId7" w:fontKey="{D3F3A665-C2A3-4E34-884F-700070812996}"/>
  </w:font>
  <w:font w:name="Cambria">
    <w:panose1 w:val="02040503050406030204"/>
    <w:charset w:val="00"/>
    <w:family w:val="roman"/>
    <w:pitch w:val="variable"/>
    <w:sig w:usb0="E00006FF" w:usb1="420024FF" w:usb2="02000000" w:usb3="00000000" w:csb0="0000019F" w:csb1="00000000"/>
    <w:embedRegular r:id="rId8" w:fontKey="{5032B8C1-552F-4799-A54D-39EE3CD9A8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2C3" w:rsidRDefault="00475F99">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875B48">
      <w:rPr>
        <w:rFonts w:ascii="Palatino Linotype" w:eastAsia="Palatino Linotype" w:hAnsi="Palatino Linotype" w:cs="Palatino Linotype"/>
        <w:b/>
        <w:bCs/>
        <w:noProof/>
        <w:color w:val="000000"/>
        <w:sz w:val="22"/>
        <w:szCs w:val="22"/>
      </w:rPr>
      <w:t>17</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875B48">
      <w:rPr>
        <w:rFonts w:ascii="Palatino Linotype" w:eastAsia="Palatino Linotype" w:hAnsi="Palatino Linotype" w:cs="Palatino Linotype"/>
        <w:b/>
        <w:bCs/>
        <w:noProof/>
        <w:color w:val="000000"/>
        <w:sz w:val="22"/>
        <w:szCs w:val="22"/>
      </w:rPr>
      <w:t>31</w:t>
    </w:r>
    <w:r>
      <w:rPr>
        <w:rFonts w:ascii="Palatino Linotype" w:eastAsia="Palatino Linotype" w:hAnsi="Palatino Linotype" w:cs="Palatino Linotype"/>
        <w:b/>
        <w:bCs/>
        <w:color w:val="000000"/>
        <w:sz w:val="22"/>
        <w:szCs w:val="22"/>
      </w:rPr>
      <w:fldChar w:fldCharType="end"/>
    </w:r>
  </w:p>
  <w:p w:rsidR="00F972C3" w:rsidRDefault="00F972C3">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p>
  <w:p w:rsidR="00F972C3" w:rsidRDefault="00F972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2C3" w:rsidRDefault="00475F99">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875B48">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875B48">
      <w:rPr>
        <w:rFonts w:ascii="Palatino Linotype" w:eastAsia="Palatino Linotype" w:hAnsi="Palatino Linotype" w:cs="Palatino Linotype"/>
        <w:noProof/>
        <w:color w:val="000000"/>
        <w:sz w:val="22"/>
        <w:szCs w:val="22"/>
      </w:rPr>
      <w:t>31</w:t>
    </w:r>
    <w:r>
      <w:rPr>
        <w:rFonts w:ascii="Palatino Linotype" w:eastAsia="Palatino Linotype" w:hAnsi="Palatino Linotype" w:cs="Palatino Linotype"/>
        <w:color w:val="000000"/>
        <w:sz w:val="22"/>
        <w:szCs w:val="22"/>
      </w:rPr>
      <w:fldChar w:fldCharType="end"/>
    </w:r>
  </w:p>
  <w:p w:rsidR="00F972C3" w:rsidRDefault="00F972C3">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p>
  <w:p w:rsidR="00F972C3" w:rsidRDefault="00F972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C0F" w:rsidRDefault="00BE7C0F">
      <w:r>
        <w:separator/>
      </w:r>
    </w:p>
  </w:footnote>
  <w:footnote w:type="continuationSeparator" w:id="0">
    <w:p w:rsidR="00BE7C0F" w:rsidRDefault="00BE7C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2C3" w:rsidRDefault="00BE7C0F">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pt;height:768pt;z-index:-251657728;mso-position-horizontal:center;mso-position-horizontal-relative:left-margin-area;mso-position-vertical:center;mso-position-vertical-relative:top-margin-area">
          <v:imagedata r:id="rId1" o:title="image1"/>
        </v:shape>
      </w:pict>
    </w:r>
  </w:p>
  <w:p w:rsidR="00F972C3" w:rsidRDefault="00F972C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292" w:type="dxa"/>
      <w:tblInd w:w="-108" w:type="dxa"/>
      <w:tblLayout w:type="fixed"/>
      <w:tblLook w:val="0000" w:firstRow="0" w:lastRow="0" w:firstColumn="0" w:lastColumn="0" w:noHBand="0" w:noVBand="0"/>
    </w:tblPr>
    <w:tblGrid>
      <w:gridCol w:w="2232"/>
      <w:gridCol w:w="8060"/>
    </w:tblGrid>
    <w:tr w:rsidR="00F972C3" w:rsidTr="00B16370">
      <w:trPr>
        <w:trHeight w:val="1094"/>
      </w:trPr>
      <w:tc>
        <w:tcPr>
          <w:tcW w:w="2232" w:type="dxa"/>
        </w:tcPr>
        <w:p w:rsidR="00F972C3" w:rsidRDefault="00F972C3">
          <w:pPr>
            <w:tabs>
              <w:tab w:val="right" w:pos="4273"/>
            </w:tabs>
            <w:rPr>
              <w:rFonts w:ascii="Garamond" w:eastAsia="Garamond" w:hAnsi="Garamond" w:cs="Garamond"/>
              <w:sz w:val="16"/>
              <w:szCs w:val="16"/>
            </w:rPr>
          </w:pPr>
        </w:p>
      </w:tc>
      <w:tc>
        <w:tcPr>
          <w:tcW w:w="8060" w:type="dxa"/>
        </w:tcPr>
        <w:tbl>
          <w:tblPr>
            <w:tblStyle w:val="a4"/>
            <w:tblW w:w="6661" w:type="dxa"/>
            <w:tblInd w:w="1813" w:type="dxa"/>
            <w:tblLayout w:type="fixed"/>
            <w:tblLook w:val="0000" w:firstRow="0" w:lastRow="0" w:firstColumn="0" w:lastColumn="0" w:noHBand="0" w:noVBand="0"/>
          </w:tblPr>
          <w:tblGrid>
            <w:gridCol w:w="2650"/>
            <w:gridCol w:w="4011"/>
          </w:tblGrid>
          <w:tr w:rsidR="00F972C3" w:rsidTr="00B16370">
            <w:trPr>
              <w:trHeight w:val="37"/>
            </w:trPr>
            <w:tc>
              <w:tcPr>
                <w:tcW w:w="2650" w:type="dxa"/>
                <w:tcBorders>
                  <w:top w:val="nil"/>
                  <w:left w:val="nil"/>
                  <w:bottom w:val="nil"/>
                  <w:right w:val="nil"/>
                </w:tcBorders>
              </w:tcPr>
              <w:p w:rsidR="00F972C3" w:rsidRDefault="00475F99">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011" w:type="dxa"/>
                <w:tcBorders>
                  <w:top w:val="nil"/>
                  <w:left w:val="nil"/>
                  <w:bottom w:val="nil"/>
                  <w:right w:val="nil"/>
                </w:tcBorders>
              </w:tcPr>
              <w:p w:rsidR="00F972C3" w:rsidRDefault="00475F99">
                <w:pPr>
                  <w:tabs>
                    <w:tab w:val="right" w:pos="8838"/>
                  </w:tabs>
                  <w:ind w:left="-74" w:right="-1415"/>
                  <w:rPr>
                    <w:rFonts w:ascii="Palatino Linotype" w:eastAsia="Palatino Linotype" w:hAnsi="Palatino Linotype" w:cs="Palatino Linotype"/>
                  </w:rPr>
                </w:pPr>
                <w:r>
                  <w:rPr>
                    <w:rFonts w:ascii="Palatino Linotype" w:eastAsia="Palatino Linotype" w:hAnsi="Palatino Linotype" w:cs="Palatino Linotype"/>
                  </w:rPr>
                  <w:t>03968/INFOEM/IP/RR/2026</w:t>
                </w:r>
              </w:p>
            </w:tc>
          </w:tr>
          <w:tr w:rsidR="00F972C3" w:rsidTr="00B16370">
            <w:trPr>
              <w:trHeight w:val="74"/>
            </w:trPr>
            <w:tc>
              <w:tcPr>
                <w:tcW w:w="2650" w:type="dxa"/>
                <w:tcBorders>
                  <w:top w:val="nil"/>
                  <w:left w:val="nil"/>
                  <w:bottom w:val="nil"/>
                  <w:right w:val="nil"/>
                </w:tcBorders>
              </w:tcPr>
              <w:p w:rsidR="00F972C3" w:rsidRDefault="00475F99">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011" w:type="dxa"/>
                <w:tcBorders>
                  <w:top w:val="nil"/>
                  <w:left w:val="nil"/>
                  <w:bottom w:val="nil"/>
                  <w:right w:val="nil"/>
                </w:tcBorders>
              </w:tcPr>
              <w:p w:rsidR="00F972C3" w:rsidRDefault="00475F99">
                <w:pPr>
                  <w:tabs>
                    <w:tab w:val="left" w:pos="2834"/>
                  </w:tabs>
                  <w:ind w:left="-74" w:right="-1415"/>
                  <w:rPr>
                    <w:rFonts w:ascii="Palatino Linotype" w:eastAsia="Palatino Linotype" w:hAnsi="Palatino Linotype" w:cs="Palatino Linotype"/>
                  </w:rPr>
                </w:pPr>
                <w:r>
                  <w:rPr>
                    <w:rFonts w:ascii="Palatino Linotype" w:eastAsia="Palatino Linotype" w:hAnsi="Palatino Linotype" w:cs="Palatino Linotype"/>
                  </w:rPr>
                  <w:t>Poder Judicial</w:t>
                </w:r>
              </w:p>
            </w:tc>
          </w:tr>
          <w:tr w:rsidR="00F972C3" w:rsidTr="00B16370">
            <w:trPr>
              <w:trHeight w:val="74"/>
            </w:trPr>
            <w:tc>
              <w:tcPr>
                <w:tcW w:w="2650" w:type="dxa"/>
                <w:tcBorders>
                  <w:top w:val="nil"/>
                  <w:left w:val="nil"/>
                  <w:bottom w:val="nil"/>
                  <w:right w:val="nil"/>
                </w:tcBorders>
              </w:tcPr>
              <w:p w:rsidR="00F972C3" w:rsidRDefault="00475F99">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011" w:type="dxa"/>
                <w:tcBorders>
                  <w:top w:val="nil"/>
                  <w:left w:val="nil"/>
                  <w:bottom w:val="nil"/>
                  <w:right w:val="nil"/>
                </w:tcBorders>
              </w:tcPr>
              <w:p w:rsidR="00F972C3" w:rsidRDefault="00475F99">
                <w:pPr>
                  <w:tabs>
                    <w:tab w:val="right" w:pos="8838"/>
                  </w:tabs>
                  <w:ind w:left="-74" w:right="-1415"/>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F972C3" w:rsidRDefault="00F972C3">
                <w:pPr>
                  <w:tabs>
                    <w:tab w:val="right" w:pos="8838"/>
                  </w:tabs>
                  <w:ind w:left="-74" w:right="-1415"/>
                  <w:rPr>
                    <w:rFonts w:ascii="Palatino Linotype" w:eastAsia="Palatino Linotype" w:hAnsi="Palatino Linotype" w:cs="Palatino Linotype"/>
                  </w:rPr>
                </w:pPr>
              </w:p>
            </w:tc>
          </w:tr>
        </w:tbl>
        <w:p w:rsidR="00F972C3" w:rsidRDefault="00F972C3">
          <w:pPr>
            <w:tabs>
              <w:tab w:val="right" w:pos="8838"/>
            </w:tabs>
            <w:ind w:left="-28"/>
            <w:jc w:val="both"/>
            <w:rPr>
              <w:rFonts w:ascii="Arial" w:eastAsia="Arial" w:hAnsi="Arial" w:cs="Arial"/>
              <w:b/>
              <w:bCs/>
            </w:rPr>
          </w:pPr>
        </w:p>
      </w:tc>
    </w:tr>
  </w:tbl>
  <w:p w:rsidR="00F972C3" w:rsidRDefault="00BE7C0F" w:rsidP="00B16370">
    <w:pPr>
      <w:pBdr>
        <w:top w:val="none" w:sz="0" w:space="0" w:color="000000"/>
        <w:left w:val="none" w:sz="0" w:space="0" w:color="000000"/>
        <w:bottom w:val="none" w:sz="0" w:space="0" w:color="000000"/>
        <w:right w:val="none" w:sz="0" w:space="0" w:color="000000"/>
        <w:between w:val="none" w:sz="0" w:space="0" w:color="000000"/>
      </w:pBdr>
      <w:rPr>
        <w:color w:val="000000"/>
        <w:sz w:val="14"/>
        <w:szCs w:val="1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18.65pt;margin-top:-4.1pt;width:589pt;height:768pt;z-index:-251659776;mso-position-horizontal-relative:left-margin-area;mso-position-vertical-relative:top-margin-area">
          <v:imagedata r:id="rId1" o:title="image1"/>
        </v:shape>
      </w:pict>
    </w:r>
  </w:p>
  <w:p w:rsidR="00F972C3" w:rsidRDefault="00F972C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9928" w:type="dxa"/>
      <w:tblInd w:w="-108" w:type="dxa"/>
      <w:tblLayout w:type="fixed"/>
      <w:tblLook w:val="0000" w:firstRow="0" w:lastRow="0" w:firstColumn="0" w:lastColumn="0" w:noHBand="0" w:noVBand="0"/>
    </w:tblPr>
    <w:tblGrid>
      <w:gridCol w:w="2268"/>
      <w:gridCol w:w="7660"/>
    </w:tblGrid>
    <w:tr w:rsidR="00F972C3" w:rsidTr="00B16370">
      <w:trPr>
        <w:trHeight w:val="1325"/>
      </w:trPr>
      <w:tc>
        <w:tcPr>
          <w:tcW w:w="2268" w:type="dxa"/>
        </w:tcPr>
        <w:p w:rsidR="00F972C3" w:rsidRDefault="00F972C3">
          <w:pPr>
            <w:tabs>
              <w:tab w:val="right" w:pos="4273"/>
            </w:tabs>
            <w:rPr>
              <w:rFonts w:ascii="Garamond" w:eastAsia="Garamond" w:hAnsi="Garamond" w:cs="Garamond"/>
            </w:rPr>
          </w:pPr>
        </w:p>
      </w:tc>
      <w:tc>
        <w:tcPr>
          <w:tcW w:w="7660" w:type="dxa"/>
        </w:tcPr>
        <w:tbl>
          <w:tblPr>
            <w:tblStyle w:val="a2"/>
            <w:tblW w:w="6698" w:type="dxa"/>
            <w:tblInd w:w="1281" w:type="dxa"/>
            <w:tblLayout w:type="fixed"/>
            <w:tblLook w:val="0000" w:firstRow="0" w:lastRow="0" w:firstColumn="0" w:lastColumn="0" w:noHBand="0" w:noVBand="0"/>
          </w:tblPr>
          <w:tblGrid>
            <w:gridCol w:w="2810"/>
            <w:gridCol w:w="3888"/>
          </w:tblGrid>
          <w:tr w:rsidR="00F972C3" w:rsidTr="00B16370">
            <w:trPr>
              <w:trHeight w:val="75"/>
            </w:trPr>
            <w:tc>
              <w:tcPr>
                <w:tcW w:w="2810" w:type="dxa"/>
                <w:tcBorders>
                  <w:top w:val="nil"/>
                  <w:left w:val="nil"/>
                  <w:bottom w:val="nil"/>
                  <w:right w:val="nil"/>
                </w:tcBorders>
              </w:tcPr>
              <w:p w:rsidR="00F972C3" w:rsidRDefault="00475F99">
                <w:pPr>
                  <w:tabs>
                    <w:tab w:val="right" w:pos="8838"/>
                  </w:tabs>
                  <w:ind w:right="16"/>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888" w:type="dxa"/>
                <w:tcBorders>
                  <w:top w:val="nil"/>
                  <w:left w:val="nil"/>
                  <w:bottom w:val="nil"/>
                  <w:right w:val="nil"/>
                </w:tcBorders>
              </w:tcPr>
              <w:p w:rsidR="00F972C3" w:rsidRDefault="00475F99">
                <w:pPr>
                  <w:ind w:right="-494"/>
                  <w:rPr>
                    <w:rFonts w:ascii="Palatino Linotype" w:eastAsia="Palatino Linotype" w:hAnsi="Palatino Linotype" w:cs="Palatino Linotype"/>
                  </w:rPr>
                </w:pPr>
                <w:r>
                  <w:rPr>
                    <w:rFonts w:ascii="Palatino Linotype" w:eastAsia="Palatino Linotype" w:hAnsi="Palatino Linotype" w:cs="Palatino Linotype"/>
                  </w:rPr>
                  <w:t>03968/INFOEM/IP/RR/2026</w:t>
                </w:r>
              </w:p>
            </w:tc>
          </w:tr>
          <w:tr w:rsidR="00F972C3" w:rsidTr="00B16370">
            <w:trPr>
              <w:trHeight w:val="75"/>
            </w:trPr>
            <w:tc>
              <w:tcPr>
                <w:tcW w:w="2810" w:type="dxa"/>
                <w:tcBorders>
                  <w:top w:val="nil"/>
                  <w:left w:val="nil"/>
                  <w:bottom w:val="nil"/>
                  <w:right w:val="nil"/>
                </w:tcBorders>
              </w:tcPr>
              <w:p w:rsidR="00F972C3" w:rsidRDefault="00475F99">
                <w:pPr>
                  <w:tabs>
                    <w:tab w:val="right" w:pos="8838"/>
                  </w:tabs>
                  <w:ind w:right="16"/>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888" w:type="dxa"/>
                <w:tcBorders>
                  <w:top w:val="nil"/>
                  <w:left w:val="nil"/>
                  <w:bottom w:val="nil"/>
                  <w:right w:val="nil"/>
                </w:tcBorders>
              </w:tcPr>
              <w:p w:rsidR="00F972C3" w:rsidRDefault="00F972C3">
                <w:pPr>
                  <w:tabs>
                    <w:tab w:val="left" w:pos="3827"/>
                  </w:tabs>
                  <w:ind w:right="-494"/>
                  <w:rPr>
                    <w:rFonts w:ascii="Palatino Linotype" w:eastAsia="Palatino Linotype" w:hAnsi="Palatino Linotype" w:cs="Palatino Linotype"/>
                  </w:rPr>
                </w:pPr>
              </w:p>
            </w:tc>
          </w:tr>
          <w:tr w:rsidR="00F972C3" w:rsidTr="00B16370">
            <w:trPr>
              <w:trHeight w:val="149"/>
            </w:trPr>
            <w:tc>
              <w:tcPr>
                <w:tcW w:w="2810" w:type="dxa"/>
                <w:tcBorders>
                  <w:top w:val="nil"/>
                  <w:left w:val="nil"/>
                  <w:bottom w:val="nil"/>
                  <w:right w:val="nil"/>
                </w:tcBorders>
              </w:tcPr>
              <w:p w:rsidR="00F972C3" w:rsidRDefault="00475F99">
                <w:pPr>
                  <w:tabs>
                    <w:tab w:val="right" w:pos="8838"/>
                  </w:tabs>
                  <w:ind w:right="16"/>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88" w:type="dxa"/>
                <w:tcBorders>
                  <w:top w:val="nil"/>
                  <w:left w:val="nil"/>
                  <w:bottom w:val="nil"/>
                  <w:right w:val="nil"/>
                </w:tcBorders>
              </w:tcPr>
              <w:p w:rsidR="00F972C3" w:rsidRDefault="00475F99">
                <w:pPr>
                  <w:tabs>
                    <w:tab w:val="left" w:pos="2834"/>
                  </w:tabs>
                  <w:ind w:right="-494"/>
                  <w:rPr>
                    <w:rFonts w:ascii="Palatino Linotype" w:eastAsia="Palatino Linotype" w:hAnsi="Palatino Linotype" w:cs="Palatino Linotype"/>
                  </w:rPr>
                </w:pPr>
                <w:r>
                  <w:rPr>
                    <w:rFonts w:ascii="Palatino Linotype" w:eastAsia="Palatino Linotype" w:hAnsi="Palatino Linotype" w:cs="Palatino Linotype"/>
                  </w:rPr>
                  <w:t>Poder Judicial</w:t>
                </w:r>
              </w:p>
            </w:tc>
          </w:tr>
          <w:tr w:rsidR="00F972C3" w:rsidTr="00B16370">
            <w:trPr>
              <w:trHeight w:val="149"/>
            </w:trPr>
            <w:tc>
              <w:tcPr>
                <w:tcW w:w="2810" w:type="dxa"/>
                <w:tcBorders>
                  <w:top w:val="nil"/>
                  <w:left w:val="nil"/>
                  <w:bottom w:val="nil"/>
                  <w:right w:val="nil"/>
                </w:tcBorders>
              </w:tcPr>
              <w:p w:rsidR="00F972C3" w:rsidRDefault="00475F99">
                <w:pPr>
                  <w:tabs>
                    <w:tab w:val="right" w:pos="8838"/>
                  </w:tabs>
                  <w:ind w:right="16"/>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88" w:type="dxa"/>
                <w:tcBorders>
                  <w:top w:val="nil"/>
                  <w:left w:val="nil"/>
                  <w:bottom w:val="nil"/>
                  <w:right w:val="nil"/>
                </w:tcBorders>
              </w:tcPr>
              <w:p w:rsidR="00F972C3" w:rsidRDefault="00475F99">
                <w:pPr>
                  <w:ind w:right="-494"/>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F972C3" w:rsidRDefault="00F972C3">
                <w:pPr>
                  <w:ind w:right="-494"/>
                  <w:rPr>
                    <w:rFonts w:ascii="Palatino Linotype" w:eastAsia="Palatino Linotype" w:hAnsi="Palatino Linotype" w:cs="Palatino Linotype"/>
                  </w:rPr>
                </w:pPr>
              </w:p>
            </w:tc>
          </w:tr>
        </w:tbl>
        <w:p w:rsidR="00F972C3" w:rsidRDefault="00F972C3">
          <w:pPr>
            <w:tabs>
              <w:tab w:val="right" w:pos="8838"/>
            </w:tabs>
            <w:ind w:left="-28"/>
            <w:jc w:val="both"/>
            <w:rPr>
              <w:rFonts w:ascii="Arial" w:eastAsia="Arial" w:hAnsi="Arial" w:cs="Arial"/>
              <w:b/>
              <w:bCs/>
            </w:rPr>
          </w:pPr>
        </w:p>
      </w:tc>
    </w:tr>
  </w:tbl>
  <w:p w:rsidR="00F972C3" w:rsidRDefault="00BE7C0F">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10.15pt;margin-top:-.85pt;width:589pt;height:768pt;z-index:-251658752;mso-position-horizontal-relative:left-margin-area;mso-position-vertical-relative:top-margin-area">
          <v:imagedata r:id="rId1" o:title="image1"/>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10E"/>
    <w:multiLevelType w:val="multilevel"/>
    <w:tmpl w:val="237A4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4C4211"/>
    <w:multiLevelType w:val="multilevel"/>
    <w:tmpl w:val="7CF43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7C61440"/>
    <w:multiLevelType w:val="multilevel"/>
    <w:tmpl w:val="983CC792"/>
    <w:lvl w:ilvl="0">
      <w:start w:val="1"/>
      <w:numFmt w:val="decimal"/>
      <w:lvlText w:val="%1."/>
      <w:lvlJc w:val="left"/>
      <w:pPr>
        <w:ind w:left="0" w:firstLine="0"/>
      </w:pPr>
      <w:rPr>
        <w:rFonts w:ascii="Palatino Linotype" w:eastAsia="Arial" w:hAnsi="Palatino Linotype" w:cs="Arial"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3865519"/>
    <w:multiLevelType w:val="multilevel"/>
    <w:tmpl w:val="B9A44D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2C3"/>
    <w:rsid w:val="000A62B3"/>
    <w:rsid w:val="004339C3"/>
    <w:rsid w:val="00475F99"/>
    <w:rsid w:val="00736A07"/>
    <w:rsid w:val="00875B48"/>
    <w:rsid w:val="00B16370"/>
    <w:rsid w:val="00BE44A2"/>
    <w:rsid w:val="00BE7C0F"/>
    <w:rsid w:val="00D25366"/>
    <w:rsid w:val="00F51125"/>
    <w:rsid w:val="00F972C3"/>
    <w:rsid w:val="00FD6E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F753F0D-FB41-4FAD-B561-62E4DD7E9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paragraph" w:styleId="Piedepgina">
    <w:name w:val="footer"/>
    <w:basedOn w:val="Normal"/>
    <w:link w:val="PiedepginaCar"/>
    <w:uiPriority w:val="99"/>
    <w:unhideWhenUsed/>
    <w:rsid w:val="00FD6E91"/>
    <w:pPr>
      <w:tabs>
        <w:tab w:val="center" w:pos="4419"/>
        <w:tab w:val="right" w:pos="8838"/>
      </w:tabs>
    </w:pPr>
  </w:style>
  <w:style w:type="character" w:customStyle="1" w:styleId="PiedepginaCar">
    <w:name w:val="Pie de página Car"/>
    <w:basedOn w:val="Fuentedeprrafopredeter"/>
    <w:link w:val="Piedepgina"/>
    <w:uiPriority w:val="99"/>
    <w:rsid w:val="00FD6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3.pjedomex.gob.mx/index.php/s/ihZWb74V4Si0vkv"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jedomex.gob.mx/vista/1_inici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jedomex.gob.mx/vista/1_inici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jedomex.gob.mx/vista/1_inicio"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MKcbkLSVDdOguGSGLJcTI39g8A==">CgMxLjAyCGguZ2pkZ3hzMg5oLjdmaWJtMTY0MWszODIOaC44cGRqYmltenQza3YyCWguMWZvYjl0ZTIJaC4zem55c2g3Mg1oLnNreWsxeG51bjRnMgloLjFrc3Y0dXYyCWguMmp4c3hxaDgAciExWnk5RkpsUDRha3lGRlBieUpzLTNVb2dUQkZ3SFdYX1A=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31</Pages>
  <Words>7352</Words>
  <Characters>40437</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2026-07-03T16:05:00Z</cp:lastPrinted>
  <dcterms:created xsi:type="dcterms:W3CDTF">2026-07-01T23:34:00Z</dcterms:created>
  <dcterms:modified xsi:type="dcterms:W3CDTF">2026-07-08T18:40:00Z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2058-12.1.0.26880</vt:lpwstr>
  </property>
  <property fmtid="{D5CDD505-2E9C-101B-9397-08002B2CF9AE}" pid="3" name="ICV">
    <vt:lpwstr>E773FFEEE2BD4804B77A48BB56091542_13</vt:lpwstr>
  </property>
</Properties>
</file>