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D2A" w:rsidRDefault="00113D2A">
      <w:pPr>
        <w:widowControl w:val="0"/>
        <w:pBdr>
          <w:top w:val="nil"/>
          <w:left w:val="nil"/>
          <w:bottom w:val="nil"/>
          <w:right w:val="nil"/>
          <w:between w:val="nil"/>
        </w:pBdr>
        <w:spacing w:line="276" w:lineRule="auto"/>
      </w:pPr>
    </w:p>
    <w:p w:rsidR="00113D2A" w:rsidRDefault="00113D2A">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s4shzuua4ky" w:colFirst="0" w:colLast="0"/>
      <w:bookmarkEnd w:id="0"/>
    </w:p>
    <w:p w:rsidR="00113D2A" w:rsidRDefault="0059445E">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12776/INFOEM/IP/RR/2025</w:t>
      </w:r>
    </w:p>
    <w:p w:rsidR="002046A8" w:rsidRDefault="002046A8">
      <w:pPr>
        <w:spacing w:line="360" w:lineRule="auto"/>
      </w:pPr>
    </w:p>
    <w:p w:rsidR="002046A8" w:rsidRDefault="002046A8">
      <w:pPr>
        <w:spacing w:line="360" w:lineRule="auto"/>
      </w:pPr>
    </w:p>
    <w:sdt>
      <w:sdtPr>
        <w:rPr>
          <w:sz w:val="20"/>
          <w:szCs w:val="20"/>
          <w:lang w:val="es-ES"/>
        </w:rPr>
        <w:id w:val="-1800224199"/>
        <w:docPartObj>
          <w:docPartGallery w:val="Table of Contents"/>
          <w:docPartUnique/>
        </w:docPartObj>
      </w:sdtPr>
      <w:sdtEndPr>
        <w:rPr>
          <w:b/>
          <w:bCs/>
        </w:rPr>
      </w:sdtEndPr>
      <w:sdtContent>
        <w:p w:rsidR="002046A8" w:rsidRPr="00B40F3D" w:rsidRDefault="002046A8">
          <w:pPr>
            <w:pStyle w:val="TtulodeTDC"/>
          </w:pPr>
          <w:r w:rsidRPr="00B40F3D">
            <w:rPr>
              <w:lang w:val="es-ES"/>
            </w:rPr>
            <w:t>Contenido</w:t>
          </w:r>
        </w:p>
        <w:p w:rsidR="002046A8" w:rsidRPr="00B40F3D" w:rsidRDefault="002046A8">
          <w:pPr>
            <w:pStyle w:val="TDC1"/>
            <w:tabs>
              <w:tab w:val="right" w:leader="dot" w:pos="8828"/>
            </w:tabs>
            <w:rPr>
              <w:rFonts w:cstheme="minorBidi"/>
              <w:noProof/>
            </w:rPr>
          </w:pPr>
          <w:r w:rsidRPr="00B40F3D">
            <w:rPr>
              <w:bCs/>
              <w:lang w:val="es-ES"/>
            </w:rPr>
            <w:fldChar w:fldCharType="begin"/>
          </w:r>
          <w:r w:rsidRPr="00B40F3D">
            <w:rPr>
              <w:bCs/>
              <w:lang w:val="es-ES"/>
            </w:rPr>
            <w:instrText xml:space="preserve"> TOC \o "1-3" \h \z \u </w:instrText>
          </w:r>
          <w:r w:rsidRPr="00B40F3D">
            <w:rPr>
              <w:bCs/>
              <w:lang w:val="es-ES"/>
            </w:rPr>
            <w:fldChar w:fldCharType="separate"/>
          </w:r>
          <w:hyperlink w:anchor="_Toc219990901" w:history="1">
            <w:r w:rsidRPr="00B40F3D">
              <w:rPr>
                <w:rStyle w:val="Hipervnculo"/>
                <w:rFonts w:ascii="Palatino Linotype" w:eastAsia="Palatino Linotype" w:hAnsi="Palatino Linotype" w:cs="Palatino Linotype"/>
                <w:bCs/>
                <w:noProof/>
              </w:rPr>
              <w:t>A N T E C E D E N T E S</w:t>
            </w:r>
            <w:r w:rsidRPr="00B40F3D">
              <w:rPr>
                <w:noProof/>
                <w:webHidden/>
              </w:rPr>
              <w:tab/>
            </w:r>
            <w:r w:rsidRPr="00B40F3D">
              <w:rPr>
                <w:noProof/>
                <w:webHidden/>
              </w:rPr>
              <w:fldChar w:fldCharType="begin"/>
            </w:r>
            <w:r w:rsidRPr="00B40F3D">
              <w:rPr>
                <w:noProof/>
                <w:webHidden/>
              </w:rPr>
              <w:instrText xml:space="preserve"> PAGEREF _Toc219990901 \h </w:instrText>
            </w:r>
            <w:r w:rsidRPr="00B40F3D">
              <w:rPr>
                <w:noProof/>
                <w:webHidden/>
              </w:rPr>
            </w:r>
            <w:r w:rsidRPr="00B40F3D">
              <w:rPr>
                <w:noProof/>
                <w:webHidden/>
              </w:rPr>
              <w:fldChar w:fldCharType="separate"/>
            </w:r>
            <w:r w:rsidR="00C752E9">
              <w:rPr>
                <w:noProof/>
                <w:webHidden/>
              </w:rPr>
              <w:t>2</w:t>
            </w:r>
            <w:r w:rsidRPr="00B40F3D">
              <w:rPr>
                <w:noProof/>
                <w:webHidden/>
              </w:rPr>
              <w:fldChar w:fldCharType="end"/>
            </w:r>
          </w:hyperlink>
        </w:p>
        <w:p w:rsidR="002046A8" w:rsidRPr="00B40F3D" w:rsidRDefault="008C4564">
          <w:pPr>
            <w:pStyle w:val="TDC2"/>
            <w:rPr>
              <w:rFonts w:cstheme="minorBidi"/>
              <w:noProof/>
            </w:rPr>
          </w:pPr>
          <w:hyperlink w:anchor="_Toc219990902" w:history="1">
            <w:r w:rsidR="002046A8" w:rsidRPr="00B40F3D">
              <w:rPr>
                <w:rStyle w:val="Hipervnculo"/>
                <w:rFonts w:ascii="Palatino Linotype" w:eastAsia="Palatino Linotype" w:hAnsi="Palatino Linotype" w:cs="Palatino Linotype"/>
                <w:bCs/>
                <w:noProof/>
              </w:rPr>
              <w:t>I. Presentación de la solicitud de información</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_Toc219990902 \h </w:instrText>
            </w:r>
            <w:r w:rsidR="002046A8" w:rsidRPr="00B40F3D">
              <w:rPr>
                <w:noProof/>
                <w:webHidden/>
              </w:rPr>
            </w:r>
            <w:r w:rsidR="002046A8" w:rsidRPr="00B40F3D">
              <w:rPr>
                <w:noProof/>
                <w:webHidden/>
              </w:rPr>
              <w:fldChar w:fldCharType="separate"/>
            </w:r>
            <w:r w:rsidR="00C752E9">
              <w:rPr>
                <w:noProof/>
                <w:webHidden/>
              </w:rPr>
              <w:t>2</w:t>
            </w:r>
            <w:r w:rsidR="002046A8" w:rsidRPr="00B40F3D">
              <w:rPr>
                <w:noProof/>
                <w:webHidden/>
              </w:rPr>
              <w:fldChar w:fldCharType="end"/>
            </w:r>
          </w:hyperlink>
        </w:p>
        <w:p w:rsidR="002046A8" w:rsidRPr="00B40F3D" w:rsidRDefault="008C4564">
          <w:pPr>
            <w:pStyle w:val="TDC2"/>
            <w:rPr>
              <w:rFonts w:cstheme="minorBidi"/>
              <w:noProof/>
            </w:rPr>
          </w:pPr>
          <w:hyperlink w:anchor="_Toc219990903" w:history="1">
            <w:r w:rsidR="002046A8" w:rsidRPr="00B40F3D">
              <w:rPr>
                <w:rStyle w:val="Hipervnculo"/>
                <w:rFonts w:ascii="Palatino Linotype" w:eastAsia="Palatino Linotype" w:hAnsi="Palatino Linotype" w:cs="Palatino Linotype"/>
                <w:bCs/>
                <w:noProof/>
              </w:rPr>
              <w:t>II. Prórroga</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_Toc219990903 \h </w:instrText>
            </w:r>
            <w:r w:rsidR="002046A8" w:rsidRPr="00B40F3D">
              <w:rPr>
                <w:noProof/>
                <w:webHidden/>
              </w:rPr>
            </w:r>
            <w:r w:rsidR="002046A8" w:rsidRPr="00B40F3D">
              <w:rPr>
                <w:noProof/>
                <w:webHidden/>
              </w:rPr>
              <w:fldChar w:fldCharType="separate"/>
            </w:r>
            <w:r w:rsidR="00C752E9">
              <w:rPr>
                <w:noProof/>
                <w:webHidden/>
              </w:rPr>
              <w:t>3</w:t>
            </w:r>
            <w:r w:rsidR="002046A8" w:rsidRPr="00B40F3D">
              <w:rPr>
                <w:noProof/>
                <w:webHidden/>
              </w:rPr>
              <w:fldChar w:fldCharType="end"/>
            </w:r>
          </w:hyperlink>
        </w:p>
        <w:p w:rsidR="002046A8" w:rsidRPr="00B40F3D" w:rsidRDefault="008C4564">
          <w:pPr>
            <w:pStyle w:val="TDC2"/>
            <w:rPr>
              <w:rFonts w:cstheme="minorBidi"/>
              <w:noProof/>
            </w:rPr>
          </w:pPr>
          <w:hyperlink w:anchor="_Toc219990904" w:history="1">
            <w:r w:rsidR="002046A8" w:rsidRPr="00B40F3D">
              <w:rPr>
                <w:rStyle w:val="Hipervnculo"/>
                <w:rFonts w:ascii="Palatino Linotype" w:eastAsia="Palatino Linotype" w:hAnsi="Palatino Linotype" w:cs="Palatino Linotype"/>
                <w:bCs/>
                <w:noProof/>
              </w:rPr>
              <w:t>III. Respuesta del Sujeto Obligado</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_Toc219990904 \h </w:instrText>
            </w:r>
            <w:r w:rsidR="002046A8" w:rsidRPr="00B40F3D">
              <w:rPr>
                <w:noProof/>
                <w:webHidden/>
              </w:rPr>
            </w:r>
            <w:r w:rsidR="002046A8" w:rsidRPr="00B40F3D">
              <w:rPr>
                <w:noProof/>
                <w:webHidden/>
              </w:rPr>
              <w:fldChar w:fldCharType="separate"/>
            </w:r>
            <w:r w:rsidR="00C752E9">
              <w:rPr>
                <w:noProof/>
                <w:webHidden/>
              </w:rPr>
              <w:t>3</w:t>
            </w:r>
            <w:r w:rsidR="002046A8" w:rsidRPr="00B40F3D">
              <w:rPr>
                <w:noProof/>
                <w:webHidden/>
              </w:rPr>
              <w:fldChar w:fldCharType="end"/>
            </w:r>
          </w:hyperlink>
        </w:p>
        <w:p w:rsidR="002046A8" w:rsidRPr="00B40F3D" w:rsidRDefault="008C4564">
          <w:pPr>
            <w:pStyle w:val="TDC2"/>
            <w:rPr>
              <w:rFonts w:cstheme="minorBidi"/>
              <w:noProof/>
            </w:rPr>
          </w:pPr>
          <w:hyperlink w:anchor="_Toc219990905" w:history="1">
            <w:r w:rsidR="002046A8" w:rsidRPr="00B40F3D">
              <w:rPr>
                <w:rStyle w:val="Hipervnculo"/>
                <w:rFonts w:ascii="Palatino Linotype" w:eastAsia="Palatino Linotype" w:hAnsi="Palatino Linotype" w:cs="Palatino Linotype"/>
                <w:bCs/>
                <w:noProof/>
              </w:rPr>
              <w:t>IV. Interposición del Recurso de Revisión</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_Toc219990905 \h </w:instrText>
            </w:r>
            <w:r w:rsidR="002046A8" w:rsidRPr="00B40F3D">
              <w:rPr>
                <w:noProof/>
                <w:webHidden/>
              </w:rPr>
            </w:r>
            <w:r w:rsidR="002046A8" w:rsidRPr="00B40F3D">
              <w:rPr>
                <w:noProof/>
                <w:webHidden/>
              </w:rPr>
              <w:fldChar w:fldCharType="separate"/>
            </w:r>
            <w:r w:rsidR="00C752E9">
              <w:rPr>
                <w:noProof/>
                <w:webHidden/>
              </w:rPr>
              <w:t>4</w:t>
            </w:r>
            <w:r w:rsidR="002046A8" w:rsidRPr="00B40F3D">
              <w:rPr>
                <w:noProof/>
                <w:webHidden/>
              </w:rPr>
              <w:fldChar w:fldCharType="end"/>
            </w:r>
          </w:hyperlink>
        </w:p>
        <w:p w:rsidR="002046A8" w:rsidRPr="00B40F3D" w:rsidRDefault="008C4564">
          <w:pPr>
            <w:pStyle w:val="TDC2"/>
            <w:rPr>
              <w:rFonts w:cstheme="minorBidi"/>
              <w:noProof/>
            </w:rPr>
          </w:pPr>
          <w:hyperlink w:anchor="_Toc219990906" w:history="1">
            <w:r w:rsidR="002046A8" w:rsidRPr="00B40F3D">
              <w:rPr>
                <w:rStyle w:val="Hipervnculo"/>
                <w:rFonts w:ascii="Palatino Linotype" w:eastAsia="Palatino Linotype" w:hAnsi="Palatino Linotype" w:cs="Palatino Linotype"/>
                <w:bCs/>
                <w:noProof/>
              </w:rPr>
              <w:t>V. Trámite del Recurso de Revisión ante este Instituto</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_Toc219990906 \h </w:instrText>
            </w:r>
            <w:r w:rsidR="002046A8" w:rsidRPr="00B40F3D">
              <w:rPr>
                <w:noProof/>
                <w:webHidden/>
              </w:rPr>
            </w:r>
            <w:r w:rsidR="002046A8" w:rsidRPr="00B40F3D">
              <w:rPr>
                <w:noProof/>
                <w:webHidden/>
              </w:rPr>
              <w:fldChar w:fldCharType="separate"/>
            </w:r>
            <w:r w:rsidR="00C752E9">
              <w:rPr>
                <w:noProof/>
                <w:webHidden/>
              </w:rPr>
              <w:t>4</w:t>
            </w:r>
            <w:r w:rsidR="002046A8" w:rsidRPr="00B40F3D">
              <w:rPr>
                <w:noProof/>
                <w:webHidden/>
              </w:rPr>
              <w:fldChar w:fldCharType="end"/>
            </w:r>
          </w:hyperlink>
        </w:p>
        <w:p w:rsidR="002046A8" w:rsidRPr="00B40F3D" w:rsidRDefault="008C4564">
          <w:pPr>
            <w:pStyle w:val="TDC1"/>
            <w:tabs>
              <w:tab w:val="right" w:leader="dot" w:pos="8828"/>
            </w:tabs>
            <w:rPr>
              <w:rFonts w:cstheme="minorBidi"/>
              <w:noProof/>
            </w:rPr>
          </w:pPr>
          <w:hyperlink w:anchor="_Toc219990907" w:history="1">
            <w:r w:rsidR="002046A8" w:rsidRPr="00B40F3D">
              <w:rPr>
                <w:rStyle w:val="Hipervnculo"/>
                <w:rFonts w:ascii="Palatino Linotype" w:eastAsia="Palatino Linotype" w:hAnsi="Palatino Linotype" w:cs="Palatino Linotype"/>
                <w:bCs/>
                <w:noProof/>
              </w:rPr>
              <w:t>C O N S I D E R A N D O S</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_Toc219990907 \h </w:instrText>
            </w:r>
            <w:r w:rsidR="002046A8" w:rsidRPr="00B40F3D">
              <w:rPr>
                <w:noProof/>
                <w:webHidden/>
              </w:rPr>
            </w:r>
            <w:r w:rsidR="002046A8" w:rsidRPr="00B40F3D">
              <w:rPr>
                <w:noProof/>
                <w:webHidden/>
              </w:rPr>
              <w:fldChar w:fldCharType="separate"/>
            </w:r>
            <w:r w:rsidR="00C752E9">
              <w:rPr>
                <w:noProof/>
                <w:webHidden/>
              </w:rPr>
              <w:t>6</w:t>
            </w:r>
            <w:r w:rsidR="002046A8" w:rsidRPr="00B40F3D">
              <w:rPr>
                <w:noProof/>
                <w:webHidden/>
              </w:rPr>
              <w:fldChar w:fldCharType="end"/>
            </w:r>
          </w:hyperlink>
        </w:p>
        <w:p w:rsidR="002046A8" w:rsidRPr="00B40F3D" w:rsidRDefault="008C4564">
          <w:pPr>
            <w:pStyle w:val="TDC2"/>
            <w:rPr>
              <w:rFonts w:cstheme="minorBidi"/>
              <w:noProof/>
            </w:rPr>
          </w:pPr>
          <w:hyperlink w:anchor="_Toc219990908" w:history="1">
            <w:r w:rsidR="002046A8" w:rsidRPr="00B40F3D">
              <w:rPr>
                <w:rStyle w:val="Hipervnculo"/>
                <w:rFonts w:ascii="Palatino Linotype" w:eastAsia="Palatino Linotype" w:hAnsi="Palatino Linotype" w:cs="Palatino Linotype"/>
                <w:bCs/>
                <w:noProof/>
              </w:rPr>
              <w:t>PRIMERO. Competencia</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_Toc219990908 \h </w:instrText>
            </w:r>
            <w:r w:rsidR="002046A8" w:rsidRPr="00B40F3D">
              <w:rPr>
                <w:noProof/>
                <w:webHidden/>
              </w:rPr>
            </w:r>
            <w:r w:rsidR="002046A8" w:rsidRPr="00B40F3D">
              <w:rPr>
                <w:noProof/>
                <w:webHidden/>
              </w:rPr>
              <w:fldChar w:fldCharType="separate"/>
            </w:r>
            <w:r w:rsidR="00C752E9">
              <w:rPr>
                <w:noProof/>
                <w:webHidden/>
              </w:rPr>
              <w:t>6</w:t>
            </w:r>
            <w:r w:rsidR="002046A8" w:rsidRPr="00B40F3D">
              <w:rPr>
                <w:noProof/>
                <w:webHidden/>
              </w:rPr>
              <w:fldChar w:fldCharType="end"/>
            </w:r>
          </w:hyperlink>
        </w:p>
        <w:p w:rsidR="002046A8" w:rsidRPr="00B40F3D" w:rsidRDefault="008C4564">
          <w:pPr>
            <w:pStyle w:val="TDC2"/>
            <w:rPr>
              <w:rFonts w:cstheme="minorBidi"/>
              <w:noProof/>
            </w:rPr>
          </w:pPr>
          <w:hyperlink w:anchor="_Toc219990909" w:history="1">
            <w:r w:rsidR="002046A8" w:rsidRPr="00B40F3D">
              <w:rPr>
                <w:rStyle w:val="Hipervnculo"/>
                <w:rFonts w:ascii="Palatino Linotype" w:eastAsia="Palatino Linotype" w:hAnsi="Palatino Linotype" w:cs="Palatino Linotype"/>
                <w:bCs/>
                <w:noProof/>
              </w:rPr>
              <w:t>SEGUNDO. Causales de improcedencia y sobreseimiento</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_Toc219990909 \h </w:instrText>
            </w:r>
            <w:r w:rsidR="002046A8" w:rsidRPr="00B40F3D">
              <w:rPr>
                <w:noProof/>
                <w:webHidden/>
              </w:rPr>
            </w:r>
            <w:r w:rsidR="002046A8" w:rsidRPr="00B40F3D">
              <w:rPr>
                <w:noProof/>
                <w:webHidden/>
              </w:rPr>
              <w:fldChar w:fldCharType="separate"/>
            </w:r>
            <w:r w:rsidR="00C752E9">
              <w:rPr>
                <w:noProof/>
                <w:webHidden/>
              </w:rPr>
              <w:t>7</w:t>
            </w:r>
            <w:r w:rsidR="002046A8" w:rsidRPr="00B40F3D">
              <w:rPr>
                <w:noProof/>
                <w:webHidden/>
              </w:rPr>
              <w:fldChar w:fldCharType="end"/>
            </w:r>
          </w:hyperlink>
        </w:p>
        <w:p w:rsidR="002046A8" w:rsidRPr="00B40F3D" w:rsidRDefault="008C4564">
          <w:pPr>
            <w:pStyle w:val="TDC2"/>
            <w:rPr>
              <w:rFonts w:cstheme="minorBidi"/>
              <w:noProof/>
            </w:rPr>
          </w:pPr>
          <w:hyperlink w:anchor="_Toc219990910" w:history="1">
            <w:r w:rsidR="002046A8" w:rsidRPr="00B40F3D">
              <w:rPr>
                <w:rStyle w:val="Hipervnculo"/>
                <w:rFonts w:ascii="Palatino Linotype" w:eastAsia="Palatino Linotype" w:hAnsi="Palatino Linotype" w:cs="Palatino Linotype"/>
                <w:bCs/>
                <w:noProof/>
              </w:rPr>
              <w:t>TERCERO. Determinación de la Controversia</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_Toc219990910 \h </w:instrText>
            </w:r>
            <w:r w:rsidR="002046A8" w:rsidRPr="00B40F3D">
              <w:rPr>
                <w:noProof/>
                <w:webHidden/>
              </w:rPr>
            </w:r>
            <w:r w:rsidR="002046A8" w:rsidRPr="00B40F3D">
              <w:rPr>
                <w:noProof/>
                <w:webHidden/>
              </w:rPr>
              <w:fldChar w:fldCharType="separate"/>
            </w:r>
            <w:r w:rsidR="00C752E9">
              <w:rPr>
                <w:noProof/>
                <w:webHidden/>
              </w:rPr>
              <w:t>9</w:t>
            </w:r>
            <w:r w:rsidR="002046A8" w:rsidRPr="00B40F3D">
              <w:rPr>
                <w:noProof/>
                <w:webHidden/>
              </w:rPr>
              <w:fldChar w:fldCharType="end"/>
            </w:r>
          </w:hyperlink>
        </w:p>
        <w:p w:rsidR="002046A8" w:rsidRPr="00B40F3D" w:rsidRDefault="008C4564">
          <w:pPr>
            <w:pStyle w:val="TDC2"/>
            <w:rPr>
              <w:rFonts w:cstheme="minorBidi"/>
              <w:noProof/>
            </w:rPr>
          </w:pPr>
          <w:hyperlink w:anchor="_Toc219990911" w:history="1">
            <w:r w:rsidR="002046A8" w:rsidRPr="00B40F3D">
              <w:rPr>
                <w:rStyle w:val="Hipervnculo"/>
                <w:rFonts w:ascii="Palatino Linotype" w:eastAsia="Palatino Linotype" w:hAnsi="Palatino Linotype" w:cs="Palatino Linotype"/>
                <w:bCs/>
                <w:noProof/>
              </w:rPr>
              <w:t>CUARTO. Marco normativo aplicable en materia de transparencia y acceso a la información pública</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_Toc219990911 \h </w:instrText>
            </w:r>
            <w:r w:rsidR="002046A8" w:rsidRPr="00B40F3D">
              <w:rPr>
                <w:noProof/>
                <w:webHidden/>
              </w:rPr>
            </w:r>
            <w:r w:rsidR="002046A8" w:rsidRPr="00B40F3D">
              <w:rPr>
                <w:noProof/>
                <w:webHidden/>
              </w:rPr>
              <w:fldChar w:fldCharType="separate"/>
            </w:r>
            <w:r w:rsidR="00C752E9">
              <w:rPr>
                <w:noProof/>
                <w:webHidden/>
              </w:rPr>
              <w:t>10</w:t>
            </w:r>
            <w:r w:rsidR="002046A8" w:rsidRPr="00B40F3D">
              <w:rPr>
                <w:noProof/>
                <w:webHidden/>
              </w:rPr>
              <w:fldChar w:fldCharType="end"/>
            </w:r>
          </w:hyperlink>
        </w:p>
        <w:p w:rsidR="002046A8" w:rsidRPr="00B40F3D" w:rsidRDefault="008C4564">
          <w:pPr>
            <w:pStyle w:val="TDC2"/>
            <w:rPr>
              <w:rFonts w:cstheme="minorBidi"/>
              <w:noProof/>
            </w:rPr>
          </w:pPr>
          <w:hyperlink w:anchor="_Toc219990912" w:history="1">
            <w:r w:rsidR="002046A8" w:rsidRPr="00B40F3D">
              <w:rPr>
                <w:rStyle w:val="Hipervnculo"/>
                <w:rFonts w:ascii="Palatino Linotype" w:eastAsia="Palatino Linotype" w:hAnsi="Palatino Linotype" w:cs="Palatino Linotype"/>
                <w:bCs/>
                <w:noProof/>
              </w:rPr>
              <w:t>QUINTO. Estudio de Fondo</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_Toc219990912 \h </w:instrText>
            </w:r>
            <w:r w:rsidR="002046A8" w:rsidRPr="00B40F3D">
              <w:rPr>
                <w:noProof/>
                <w:webHidden/>
              </w:rPr>
            </w:r>
            <w:r w:rsidR="002046A8" w:rsidRPr="00B40F3D">
              <w:rPr>
                <w:noProof/>
                <w:webHidden/>
              </w:rPr>
              <w:fldChar w:fldCharType="separate"/>
            </w:r>
            <w:r w:rsidR="00C752E9">
              <w:rPr>
                <w:noProof/>
                <w:webHidden/>
              </w:rPr>
              <w:t>11</w:t>
            </w:r>
            <w:r w:rsidR="002046A8" w:rsidRPr="00B40F3D">
              <w:rPr>
                <w:noProof/>
                <w:webHidden/>
              </w:rPr>
              <w:fldChar w:fldCharType="end"/>
            </w:r>
          </w:hyperlink>
        </w:p>
        <w:p w:rsidR="002046A8" w:rsidRPr="00B40F3D" w:rsidRDefault="008C4564">
          <w:pPr>
            <w:pStyle w:val="TDC2"/>
            <w:rPr>
              <w:rFonts w:cstheme="minorBidi"/>
              <w:noProof/>
            </w:rPr>
          </w:pPr>
          <w:hyperlink w:anchor="_Toc219990913" w:history="1">
            <w:r w:rsidR="002046A8" w:rsidRPr="00B40F3D">
              <w:rPr>
                <w:rStyle w:val="Hipervnculo"/>
                <w:rFonts w:ascii="Palatino Linotype" w:eastAsia="Palatino Linotype" w:hAnsi="Palatino Linotype" w:cs="Palatino Linotype"/>
                <w:bCs/>
                <w:noProof/>
              </w:rPr>
              <w:t>SEXTO. Decisión</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_Toc219990913 \h </w:instrText>
            </w:r>
            <w:r w:rsidR="002046A8" w:rsidRPr="00B40F3D">
              <w:rPr>
                <w:noProof/>
                <w:webHidden/>
              </w:rPr>
            </w:r>
            <w:r w:rsidR="002046A8" w:rsidRPr="00B40F3D">
              <w:rPr>
                <w:noProof/>
                <w:webHidden/>
              </w:rPr>
              <w:fldChar w:fldCharType="separate"/>
            </w:r>
            <w:r w:rsidR="00C752E9">
              <w:rPr>
                <w:noProof/>
                <w:webHidden/>
              </w:rPr>
              <w:t>49</w:t>
            </w:r>
            <w:r w:rsidR="002046A8" w:rsidRPr="00B40F3D">
              <w:rPr>
                <w:noProof/>
                <w:webHidden/>
              </w:rPr>
              <w:fldChar w:fldCharType="end"/>
            </w:r>
          </w:hyperlink>
        </w:p>
        <w:p w:rsidR="002046A8" w:rsidRPr="00B40F3D" w:rsidRDefault="008C4564">
          <w:pPr>
            <w:pStyle w:val="TDC1"/>
            <w:tabs>
              <w:tab w:val="right" w:leader="dot" w:pos="8828"/>
            </w:tabs>
            <w:rPr>
              <w:rFonts w:cstheme="minorBidi"/>
              <w:noProof/>
            </w:rPr>
          </w:pPr>
          <w:hyperlink w:anchor="_Toc219990914" w:history="1">
            <w:r w:rsidR="002046A8" w:rsidRPr="00B40F3D">
              <w:rPr>
                <w:rStyle w:val="Hipervnculo"/>
                <w:rFonts w:ascii="Palatino Linotype" w:eastAsia="Palatino Linotype" w:hAnsi="Palatino Linotype" w:cs="Palatino Linotype"/>
                <w:bCs/>
                <w:noProof/>
              </w:rPr>
              <w:t>R E S U E L V E</w:t>
            </w:r>
            <w:r w:rsidR="002046A8" w:rsidRPr="00B40F3D">
              <w:rPr>
                <w:noProof/>
                <w:webHidden/>
              </w:rPr>
              <w:tab/>
            </w:r>
            <w:r w:rsidR="002046A8" w:rsidRPr="00B40F3D">
              <w:rPr>
                <w:noProof/>
                <w:webHidden/>
              </w:rPr>
              <w:fldChar w:fldCharType="begin"/>
            </w:r>
            <w:r w:rsidR="002046A8" w:rsidRPr="00B40F3D">
              <w:rPr>
                <w:noProof/>
                <w:webHidden/>
              </w:rPr>
              <w:instrText xml:space="preserve"> PAGEREF _Toc219990914 \h </w:instrText>
            </w:r>
            <w:r w:rsidR="002046A8" w:rsidRPr="00B40F3D">
              <w:rPr>
                <w:noProof/>
                <w:webHidden/>
              </w:rPr>
            </w:r>
            <w:r w:rsidR="002046A8" w:rsidRPr="00B40F3D">
              <w:rPr>
                <w:noProof/>
                <w:webHidden/>
              </w:rPr>
              <w:fldChar w:fldCharType="separate"/>
            </w:r>
            <w:r w:rsidR="00C752E9">
              <w:rPr>
                <w:noProof/>
                <w:webHidden/>
              </w:rPr>
              <w:t>50</w:t>
            </w:r>
            <w:r w:rsidR="002046A8" w:rsidRPr="00B40F3D">
              <w:rPr>
                <w:noProof/>
                <w:webHidden/>
              </w:rPr>
              <w:fldChar w:fldCharType="end"/>
            </w:r>
          </w:hyperlink>
        </w:p>
        <w:p w:rsidR="002046A8" w:rsidRDefault="002046A8">
          <w:r w:rsidRPr="00B40F3D">
            <w:rPr>
              <w:bCs/>
              <w:lang w:val="es-ES"/>
            </w:rPr>
            <w:fldChar w:fldCharType="end"/>
          </w:r>
        </w:p>
      </w:sdtContent>
    </w:sdt>
    <w:p w:rsidR="002046A8" w:rsidRDefault="002046A8">
      <w:pPr>
        <w:spacing w:line="360" w:lineRule="auto"/>
      </w:pP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veintiuno de enero de dos mil veintiséis.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1C6557">
        <w:rPr>
          <w:rFonts w:ascii="Palatino Linotype" w:eastAsia="Palatino Linotype" w:hAnsi="Palatino Linotype" w:cs="Palatino Linotype"/>
          <w:b/>
          <w:sz w:val="22"/>
          <w:szCs w:val="22"/>
        </w:rPr>
        <w:t>12776/INFOEM/IP/RR/2025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en lo sucesivo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bookmarkStart w:id="1" w:name="_GoBack"/>
      <w:r w:rsidRPr="001C6557">
        <w:rPr>
          <w:rFonts w:ascii="Palatino Linotype" w:eastAsia="Palatino Linotype" w:hAnsi="Palatino Linotype" w:cs="Palatino Linotype"/>
          <w:b/>
          <w:color w:val="0D0D0D"/>
          <w:sz w:val="22"/>
          <w:szCs w:val="22"/>
        </w:rPr>
        <w:t>Organismo Público Descentralizado para la Prestación de los Servicios de Agua Potable, Alcantarillado y Saneamiento de Teoloyucan</w:t>
      </w:r>
      <w:bookmarkEnd w:id="1"/>
      <w:r>
        <w:rPr>
          <w:rFonts w:ascii="Palatino Linotype" w:eastAsia="Palatino Linotype" w:hAnsi="Palatino Linotype" w:cs="Palatino Linotype"/>
          <w:color w:val="0D0D0D"/>
          <w:sz w:val="22"/>
          <w:szCs w:val="22"/>
        </w:rPr>
        <w:t xml:space="preserve">, a la solicitud de acceso a la información pública </w:t>
      </w:r>
      <w:r>
        <w:rPr>
          <w:rFonts w:ascii="Palatino Linotype" w:eastAsia="Palatino Linotype" w:hAnsi="Palatino Linotype" w:cs="Palatino Linotype"/>
          <w:sz w:val="22"/>
          <w:szCs w:val="22"/>
        </w:rPr>
        <w:t>00277/OPDTEOLOYUCAN/IP/2025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Toc219990901"/>
      <w:r>
        <w:rPr>
          <w:rFonts w:ascii="Palatino Linotype" w:eastAsia="Palatino Linotype" w:hAnsi="Palatino Linotype" w:cs="Palatino Linotype"/>
          <w:b/>
          <w:bCs/>
          <w:color w:val="000000"/>
          <w:sz w:val="22"/>
          <w:szCs w:val="22"/>
        </w:rPr>
        <w:t>A N T E C E D E N T E S</w:t>
      </w:r>
      <w:bookmarkEnd w:id="2"/>
    </w:p>
    <w:p w:rsidR="00113D2A" w:rsidRDefault="00113D2A">
      <w:pPr>
        <w:spacing w:line="360" w:lineRule="auto"/>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3" w:name="_Toc219990902"/>
      <w:r>
        <w:rPr>
          <w:rFonts w:ascii="Palatino Linotype" w:eastAsia="Palatino Linotype" w:hAnsi="Palatino Linotype" w:cs="Palatino Linotype"/>
          <w:b/>
          <w:bCs/>
          <w:color w:val="000000"/>
          <w:sz w:val="22"/>
          <w:szCs w:val="22"/>
        </w:rPr>
        <w:t>I. Presentación de la solicitud de información</w:t>
      </w:r>
      <w:bookmarkEnd w:id="3"/>
    </w:p>
    <w:p w:rsidR="00113D2A" w:rsidRDefault="00113D2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13D2A" w:rsidRDefault="0059445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fecha seis de octubre de dos mil veinticinco, el Particular presentó una solicitud de acceso a la información pública, a través del Sistema de Acceso a la Información Mexiquense, en lo sucesivo el SAIMEX, ante el </w:t>
      </w:r>
      <w:r>
        <w:rPr>
          <w:rFonts w:ascii="Palatino Linotype" w:eastAsia="Palatino Linotype" w:hAnsi="Palatino Linotype" w:cs="Palatino Linotype"/>
          <w:color w:val="0D0D0D"/>
          <w:sz w:val="22"/>
          <w:szCs w:val="22"/>
        </w:rPr>
        <w:t>Organismo Público Descentralizado para la Prestación de los Servicios de Agua Potable, Alcantarillado y Saneamiento de Teoloyucan</w:t>
      </w:r>
      <w:r>
        <w:rPr>
          <w:rFonts w:ascii="Palatino Linotype" w:eastAsia="Palatino Linotype" w:hAnsi="Palatino Linotype" w:cs="Palatino Linotype"/>
          <w:color w:val="000000"/>
          <w:sz w:val="22"/>
          <w:szCs w:val="22"/>
        </w:rPr>
        <w:t>, mediante la cual requirió lo siguiente:</w:t>
      </w:r>
    </w:p>
    <w:p w:rsidR="00113D2A" w:rsidRDefault="00113D2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113D2A" w:rsidRDefault="0059445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113D2A" w:rsidRDefault="0059445E">
      <w:pPr>
        <w:spacing w:line="360" w:lineRule="auto"/>
        <w:ind w:left="567" w:right="567"/>
        <w:jc w:val="both"/>
        <w:rPr>
          <w:rFonts w:ascii="Palatino Linotype" w:eastAsia="Palatino Linotype" w:hAnsi="Palatino Linotype" w:cs="Palatino Linotype"/>
          <w:i/>
          <w:iCs/>
        </w:rPr>
      </w:pPr>
      <w:proofErr w:type="spellStart"/>
      <w:proofErr w:type="gramStart"/>
      <w:r>
        <w:rPr>
          <w:rFonts w:ascii="Palatino Linotype" w:eastAsia="Palatino Linotype" w:hAnsi="Palatino Linotype" w:cs="Palatino Linotype"/>
          <w:i/>
          <w:iCs/>
        </w:rPr>
        <w:lastRenderedPageBreak/>
        <w:t>solisito</w:t>
      </w:r>
      <w:proofErr w:type="spellEnd"/>
      <w:proofErr w:type="gramEnd"/>
      <w:r>
        <w:rPr>
          <w:rFonts w:ascii="Palatino Linotype" w:eastAsia="Palatino Linotype" w:hAnsi="Palatino Linotype" w:cs="Palatino Linotype"/>
          <w:i/>
          <w:iCs/>
        </w:rPr>
        <w:t xml:space="preserve"> el cv, </w:t>
      </w:r>
      <w:proofErr w:type="spellStart"/>
      <w:r>
        <w:rPr>
          <w:rFonts w:ascii="Palatino Linotype" w:eastAsia="Palatino Linotype" w:hAnsi="Palatino Linotype" w:cs="Palatino Linotype"/>
          <w:i/>
          <w:iCs/>
        </w:rPr>
        <w:t>recivo</w:t>
      </w:r>
      <w:proofErr w:type="spellEnd"/>
      <w:r>
        <w:rPr>
          <w:rFonts w:ascii="Palatino Linotype" w:eastAsia="Palatino Linotype" w:hAnsi="Palatino Linotype" w:cs="Palatino Linotype"/>
          <w:i/>
          <w:iCs/>
        </w:rPr>
        <w:t xml:space="preserve"> de </w:t>
      </w:r>
      <w:proofErr w:type="spellStart"/>
      <w:r>
        <w:rPr>
          <w:rFonts w:ascii="Palatino Linotype" w:eastAsia="Palatino Linotype" w:hAnsi="Palatino Linotype" w:cs="Palatino Linotype"/>
          <w:i/>
          <w:iCs/>
        </w:rPr>
        <w:t>nomina</w:t>
      </w:r>
      <w:proofErr w:type="spellEnd"/>
      <w:r>
        <w:rPr>
          <w:rFonts w:ascii="Palatino Linotype" w:eastAsia="Palatino Linotype" w:hAnsi="Palatino Linotype" w:cs="Palatino Linotype"/>
          <w:i/>
          <w:iCs/>
        </w:rPr>
        <w:t xml:space="preserve"> diplomas de la señora </w:t>
      </w:r>
      <w:proofErr w:type="spellStart"/>
      <w:r>
        <w:rPr>
          <w:rFonts w:ascii="Palatino Linotype" w:eastAsia="Palatino Linotype" w:hAnsi="Palatino Linotype" w:cs="Palatino Linotype"/>
          <w:i/>
          <w:iCs/>
        </w:rPr>
        <w:t>gabriela</w:t>
      </w:r>
      <w:proofErr w:type="spellEnd"/>
      <w:r>
        <w:rPr>
          <w:rFonts w:ascii="Palatino Linotype" w:eastAsia="Palatino Linotype" w:hAnsi="Palatino Linotype" w:cs="Palatino Linotype"/>
          <w:i/>
          <w:iCs/>
        </w:rPr>
        <w:t xml:space="preserve"> mayen </w:t>
      </w:r>
      <w:proofErr w:type="spellStart"/>
      <w:r>
        <w:rPr>
          <w:rFonts w:ascii="Palatino Linotype" w:eastAsia="Palatino Linotype" w:hAnsi="Palatino Linotype" w:cs="Palatino Linotype"/>
          <w:i/>
          <w:iCs/>
        </w:rPr>
        <w:t>martinez</w:t>
      </w:r>
      <w:proofErr w:type="spellEnd"/>
      <w:r>
        <w:rPr>
          <w:rFonts w:ascii="Palatino Linotype" w:eastAsia="Palatino Linotype" w:hAnsi="Palatino Linotype" w:cs="Palatino Linotype"/>
          <w:i/>
          <w:iCs/>
        </w:rPr>
        <w:t xml:space="preserve">. </w:t>
      </w:r>
      <w:proofErr w:type="gramStart"/>
      <w:r>
        <w:rPr>
          <w:rFonts w:ascii="Palatino Linotype" w:eastAsia="Palatino Linotype" w:hAnsi="Palatino Linotype" w:cs="Palatino Linotype"/>
          <w:i/>
          <w:iCs/>
        </w:rPr>
        <w:t>y</w:t>
      </w:r>
      <w:proofErr w:type="gramEnd"/>
      <w:r>
        <w:rPr>
          <w:rFonts w:ascii="Palatino Linotype" w:eastAsia="Palatino Linotype" w:hAnsi="Palatino Linotype" w:cs="Palatino Linotype"/>
          <w:i/>
          <w:iCs/>
        </w:rPr>
        <w:t xml:space="preserve"> cargo actual en el organismo de agua.”  (Sic).</w:t>
      </w:r>
    </w:p>
    <w:p w:rsidR="00113D2A" w:rsidRDefault="0059445E">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b/>
      </w:r>
    </w:p>
    <w:p w:rsidR="00113D2A" w:rsidRDefault="0059445E">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Modalidad de Entrega: </w:t>
      </w:r>
      <w:r>
        <w:rPr>
          <w:rFonts w:ascii="Palatino Linotype" w:eastAsia="Palatino Linotype" w:hAnsi="Palatino Linotype" w:cs="Palatino Linotype"/>
          <w:i/>
          <w:iCs/>
        </w:rPr>
        <w:t>A través de SAIMEX.</w:t>
      </w:r>
    </w:p>
    <w:p w:rsidR="00113D2A" w:rsidRDefault="00113D2A">
      <w:pPr>
        <w:tabs>
          <w:tab w:val="left" w:pos="4667"/>
        </w:tabs>
        <w:spacing w:line="360" w:lineRule="auto"/>
        <w:ind w:left="567" w:right="567"/>
        <w:jc w:val="both"/>
        <w:rPr>
          <w:rFonts w:ascii="Palatino Linotype" w:eastAsia="Palatino Linotype" w:hAnsi="Palatino Linotype" w:cs="Palatino Linotype"/>
          <w:i/>
          <w:iCs/>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4" w:name="_Toc219990903"/>
      <w:r>
        <w:rPr>
          <w:rFonts w:ascii="Palatino Linotype" w:eastAsia="Palatino Linotype" w:hAnsi="Palatino Linotype" w:cs="Palatino Linotype"/>
          <w:b/>
          <w:bCs/>
          <w:color w:val="000000"/>
          <w:sz w:val="22"/>
          <w:szCs w:val="22"/>
        </w:rPr>
        <w:t>II. Prórroga</w:t>
      </w:r>
      <w:bookmarkEnd w:id="4"/>
    </w:p>
    <w:p w:rsidR="00113D2A" w:rsidRDefault="00113D2A"/>
    <w:p w:rsidR="00113D2A" w:rsidRDefault="0059445E">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fecha veinticuatro de octubre de dos mil veinticinco, el Sujeto Obligado notifico la prórroga por siete días para dar respuesta a la solicitud de información.</w:t>
      </w:r>
    </w:p>
    <w:p w:rsidR="00113D2A" w:rsidRDefault="00113D2A">
      <w:pPr>
        <w:rPr>
          <w:rFonts w:ascii="Palatino Linotype" w:eastAsia="Palatino Linotype" w:hAnsi="Palatino Linotype" w:cs="Palatino Linotype"/>
          <w:sz w:val="22"/>
          <w:szCs w:val="22"/>
        </w:rPr>
      </w:pPr>
    </w:p>
    <w:p w:rsidR="00113D2A" w:rsidRDefault="00113D2A"/>
    <w:p w:rsidR="00113D2A" w:rsidRDefault="00113D2A"/>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5" w:name="_Toc219990904"/>
      <w:r>
        <w:rPr>
          <w:rFonts w:ascii="Palatino Linotype" w:eastAsia="Palatino Linotype" w:hAnsi="Palatino Linotype" w:cs="Palatino Linotype"/>
          <w:b/>
          <w:bCs/>
          <w:color w:val="000000"/>
          <w:sz w:val="22"/>
          <w:szCs w:val="22"/>
        </w:rPr>
        <w:t>III. Respuesta del Sujeto Obligado</w:t>
      </w:r>
      <w:bookmarkEnd w:id="5"/>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treinta y uno de octubre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Sujeto Obligado dio respuesta a la solicitud de acceso a la información a través del SAIMEX, por medio de la digitalización de los documentos siguientes: </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ADCO/OPDAPAS/MPM/007/2025, del veinticuatro de octubre de dos mil veinticinco, suscrito por el Subdirector de Administración y Finanzas, dirigido a la Auxiliar de la Unidad de Transparencia y Acceso a la Información Pública, a través del cual manifiesta y expone lo siguiente: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“…Informo a usted que la ciudadana ya na no labora para este organismo por tal motivo no contamos con información referente a ella con fundamento en el artículo 12 de la Ley de Transparencia y Acceso a la Información </w:t>
      </w:r>
      <w:proofErr w:type="spellStart"/>
      <w:r>
        <w:rPr>
          <w:rFonts w:ascii="Palatino Linotype" w:eastAsia="Palatino Linotype" w:hAnsi="Palatino Linotype" w:cs="Palatino Linotype"/>
          <w:i/>
          <w:iCs/>
        </w:rPr>
        <w:t>Publica</w:t>
      </w:r>
      <w:proofErr w:type="spellEnd"/>
      <w:r>
        <w:rPr>
          <w:rFonts w:ascii="Palatino Linotype" w:eastAsia="Palatino Linotype" w:hAnsi="Palatino Linotype" w:cs="Palatino Linotype"/>
          <w:i/>
          <w:iCs/>
        </w:rPr>
        <w:t xml:space="preserve"> del Estado de México.…”</w:t>
      </w:r>
    </w:p>
    <w:p w:rsidR="00113D2A" w:rsidRDefault="00113D2A">
      <w:pPr>
        <w:tabs>
          <w:tab w:val="left" w:pos="4667"/>
        </w:tabs>
        <w:spacing w:line="360" w:lineRule="auto"/>
        <w:jc w:val="both"/>
        <w:rPr>
          <w:rFonts w:ascii="Palatino Linotype" w:eastAsia="Palatino Linotype" w:hAnsi="Palatino Linotype" w:cs="Palatino Linotype"/>
          <w:sz w:val="22"/>
          <w:szCs w:val="22"/>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6" w:name="_Toc219990905"/>
      <w:r>
        <w:rPr>
          <w:rFonts w:ascii="Palatino Linotype" w:eastAsia="Palatino Linotype" w:hAnsi="Palatino Linotype" w:cs="Palatino Linotype"/>
          <w:b/>
          <w:bCs/>
          <w:color w:val="000000"/>
          <w:sz w:val="22"/>
          <w:szCs w:val="22"/>
        </w:rPr>
        <w:t>IV. Interposición del Recurso de Revisión</w:t>
      </w:r>
      <w:bookmarkEnd w:id="6"/>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Con fecha cinco de noviembre de dos mil veinticinco, se recibió en este Instituto, a través del SAIMEX, el Recurso de Revisión interpuesto por la parte Recurrente, en contra de la respuesta del </w:t>
      </w:r>
      <w:r>
        <w:rPr>
          <w:rFonts w:ascii="Palatino Linotype" w:eastAsia="Palatino Linotype" w:hAnsi="Palatino Linotype" w:cs="Palatino Linotype"/>
          <w:color w:val="0D0D0D"/>
          <w:sz w:val="22"/>
          <w:szCs w:val="22"/>
        </w:rPr>
        <w:t>Organismo Público Descentralizado para la Prestación de los Servicios de Agua Potable, Alcantarillado y Saneamiento de Teoloyucan</w:t>
      </w:r>
      <w:r>
        <w:rPr>
          <w:rFonts w:ascii="Palatino Linotype" w:eastAsia="Palatino Linotype" w:hAnsi="Palatino Linotype" w:cs="Palatino Linotype"/>
          <w:sz w:val="22"/>
          <w:szCs w:val="22"/>
        </w:rPr>
        <w:t>, en los siguientes términos:</w:t>
      </w:r>
    </w:p>
    <w:p w:rsidR="00113D2A" w:rsidRDefault="00113D2A">
      <w:pPr>
        <w:spacing w:line="360" w:lineRule="auto"/>
        <w:ind w:left="567" w:right="567"/>
        <w:jc w:val="both"/>
        <w:rPr>
          <w:rFonts w:ascii="Palatino Linotype" w:eastAsia="Palatino Linotype" w:hAnsi="Palatino Linotype" w:cs="Palatino Linotype"/>
          <w:i/>
          <w:iCs/>
        </w:rPr>
      </w:pPr>
    </w:p>
    <w:p w:rsidR="00113D2A" w:rsidRDefault="0059445E">
      <w:pPr>
        <w:tabs>
          <w:tab w:val="left" w:pos="3031"/>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r>
        <w:rPr>
          <w:rFonts w:ascii="Palatino Linotype" w:eastAsia="Palatino Linotype" w:hAnsi="Palatino Linotype" w:cs="Palatino Linotype"/>
          <w:b/>
          <w:bCs/>
          <w:i/>
          <w:iCs/>
        </w:rPr>
        <w:tab/>
      </w:r>
    </w:p>
    <w:p w:rsidR="00113D2A" w:rsidRDefault="0059445E">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niegan</w:t>
      </w:r>
      <w:proofErr w:type="gramEnd"/>
      <w:r>
        <w:rPr>
          <w:rFonts w:ascii="Palatino Linotype" w:eastAsia="Palatino Linotype" w:hAnsi="Palatino Linotype" w:cs="Palatino Linotype"/>
          <w:i/>
          <w:iCs/>
        </w:rPr>
        <w:t xml:space="preserve"> la </w:t>
      </w:r>
      <w:proofErr w:type="spellStart"/>
      <w:r>
        <w:rPr>
          <w:rFonts w:ascii="Palatino Linotype" w:eastAsia="Palatino Linotype" w:hAnsi="Palatino Linotype" w:cs="Palatino Linotype"/>
          <w:i/>
          <w:iCs/>
        </w:rPr>
        <w:t>informasion</w:t>
      </w:r>
      <w:proofErr w:type="spellEnd"/>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rsidR="00113D2A" w:rsidRDefault="00113D2A">
      <w:pPr>
        <w:spacing w:line="360" w:lineRule="auto"/>
        <w:ind w:left="567" w:right="567"/>
        <w:jc w:val="both"/>
        <w:rPr>
          <w:rFonts w:ascii="Palatino Linotype" w:eastAsia="Palatino Linotype" w:hAnsi="Palatino Linotype" w:cs="Palatino Linotype"/>
          <w:i/>
          <w:iCs/>
        </w:rPr>
      </w:pPr>
    </w:p>
    <w:p w:rsidR="00113D2A" w:rsidRDefault="0059445E">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113D2A" w:rsidRDefault="0059445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niegan la </w:t>
      </w:r>
      <w:proofErr w:type="spellStart"/>
      <w:r>
        <w:rPr>
          <w:rFonts w:ascii="Palatino Linotype" w:eastAsia="Palatino Linotype" w:hAnsi="Palatino Linotype" w:cs="Palatino Linotype"/>
          <w:i/>
          <w:iCs/>
        </w:rPr>
        <w:t>informasion</w:t>
      </w:r>
      <w:proofErr w:type="spellEnd"/>
      <w:r>
        <w:rPr>
          <w:rFonts w:ascii="Palatino Linotype" w:eastAsia="Palatino Linotype" w:hAnsi="Palatino Linotype" w:cs="Palatino Linotype"/>
          <w:i/>
          <w:iCs/>
        </w:rPr>
        <w:t xml:space="preserve">, esa persona firma en las actas de </w:t>
      </w:r>
      <w:proofErr w:type="spellStart"/>
      <w:r>
        <w:rPr>
          <w:rFonts w:ascii="Palatino Linotype" w:eastAsia="Palatino Linotype" w:hAnsi="Palatino Linotype" w:cs="Palatino Linotype"/>
          <w:i/>
          <w:iCs/>
        </w:rPr>
        <w:t>comite</w:t>
      </w:r>
      <w:proofErr w:type="spellEnd"/>
      <w:r>
        <w:rPr>
          <w:rFonts w:ascii="Palatino Linotype" w:eastAsia="Palatino Linotype" w:hAnsi="Palatino Linotype" w:cs="Palatino Linotype"/>
          <w:i/>
          <w:iCs/>
        </w:rPr>
        <w:t>, o a no ser que sea aviadora</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r>
        <w:rPr>
          <w:rFonts w:ascii="Palatino Linotype" w:eastAsia="Palatino Linotype" w:hAnsi="Palatino Linotype" w:cs="Palatino Linotype"/>
          <w:i/>
          <w:iCs/>
          <w:color w:val="000000"/>
        </w:rPr>
        <w:t>(Sic)</w:t>
      </w:r>
    </w:p>
    <w:p w:rsidR="00113D2A" w:rsidRDefault="00113D2A">
      <w:pPr>
        <w:spacing w:line="360" w:lineRule="auto"/>
        <w:ind w:left="567" w:right="567"/>
        <w:jc w:val="both"/>
        <w:rPr>
          <w:rFonts w:ascii="Palatino Linotype" w:eastAsia="Palatino Linotype" w:hAnsi="Palatino Linotype" w:cs="Palatino Linotype"/>
          <w:i/>
          <w:iCs/>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7" w:name="_Toc219990906"/>
      <w:r>
        <w:rPr>
          <w:rFonts w:ascii="Palatino Linotype" w:eastAsia="Palatino Linotype" w:hAnsi="Palatino Linotype" w:cs="Palatino Linotype"/>
          <w:b/>
          <w:bCs/>
          <w:color w:val="000000"/>
          <w:sz w:val="22"/>
          <w:szCs w:val="22"/>
        </w:rPr>
        <w:t>V. Trámite del Recurso de Revisión ante este Instituto</w:t>
      </w:r>
      <w:bookmarkEnd w:id="7"/>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cinco de noviembre de dos mil veinticinco, el SAIMEX, asignó el número de expediente </w:t>
      </w:r>
      <w:r>
        <w:rPr>
          <w:rFonts w:ascii="Palatino Linotype" w:eastAsia="Palatino Linotype" w:hAnsi="Palatino Linotype" w:cs="Palatino Linotype"/>
          <w:b/>
          <w:bCs/>
          <w:sz w:val="22"/>
          <w:szCs w:val="22"/>
        </w:rPr>
        <w:t>12776/INFOEM/IP/RR/2025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b) Admisión del Recurso de Revisión. </w:t>
      </w:r>
      <w:r>
        <w:rPr>
          <w:rFonts w:ascii="Palatino Linotype" w:eastAsia="Palatino Linotype" w:hAnsi="Palatino Linotype" w:cs="Palatino Linotype"/>
          <w:sz w:val="22"/>
          <w:szCs w:val="22"/>
        </w:rPr>
        <w:t>El diez de noviembre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o Manifestaciones. </w:t>
      </w:r>
      <w:r>
        <w:rPr>
          <w:rFonts w:ascii="Palatino Linotype" w:eastAsia="Palatino Linotype" w:hAnsi="Palatino Linotype" w:cs="Palatino Linotype"/>
          <w:sz w:val="22"/>
          <w:szCs w:val="22"/>
        </w:rPr>
        <w:t>El veintiuno de noviembre de dos mil veinticinco, se recibió, a través del Sistema de Acceso a la Información Mexiquense (SAIMEX), el Informe Justificado, digitalizando el siguiente documento.</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Ficha de Baja en Versión Publica de la Servidora Pública, con fecha de movimiento del once de julio de dos mil veinticinco.</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Vista de Informe Justificado.  </w:t>
      </w:r>
      <w:r>
        <w:rPr>
          <w:rFonts w:ascii="Palatino Linotype" w:eastAsia="Palatino Linotype" w:hAnsi="Palatino Linotype" w:cs="Palatino Linotype"/>
          <w:sz w:val="22"/>
          <w:szCs w:val="22"/>
        </w:rPr>
        <w:t>El catorce de enero de dos mil veintiséis, se dictó el acuerdo mediante el cual se puso a la vista del Particular el Informe Justificado, entregado por el Sujeto Obligado, así como los documentos adjuntos, los cuales fueron notificados el mismo día de dicho mes y año, a través del Sistema de Acceso a la Información Mexiquense (SAIMEX).</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sz w:val="22"/>
          <w:szCs w:val="22"/>
        </w:rPr>
      </w:pPr>
      <w:bookmarkStart w:id="8" w:name="_heading=h.igocv4xok7sx" w:colFirst="0" w:colLast="0"/>
      <w:bookmarkEnd w:id="8"/>
      <w:r>
        <w:rPr>
          <w:rFonts w:ascii="Palatino Linotype" w:eastAsia="Palatino Linotype" w:hAnsi="Palatino Linotype" w:cs="Palatino Linotype"/>
          <w:b/>
          <w:bCs/>
          <w:sz w:val="22"/>
          <w:szCs w:val="22"/>
        </w:rPr>
        <w:t>e) Cierre de instrucción.</w:t>
      </w:r>
      <w:r>
        <w:rPr>
          <w:rFonts w:ascii="Palatino Linotype" w:eastAsia="Palatino Linotype" w:hAnsi="Palatino Linotype" w:cs="Palatino Linotype"/>
          <w:sz w:val="22"/>
          <w:szCs w:val="22"/>
        </w:rPr>
        <w:t xml:space="preserve"> El veintidós de enero de dos mil veintiséis, al no existir diligencias pendientes por desahogar, se emitió el acuerdo por medio del cual se declaró cerrada la </w:t>
      </w:r>
      <w:r>
        <w:rPr>
          <w:rFonts w:ascii="Palatino Linotype" w:eastAsia="Palatino Linotype" w:hAnsi="Palatino Linotype" w:cs="Palatino Linotype"/>
          <w:sz w:val="22"/>
          <w:szCs w:val="22"/>
        </w:rPr>
        <w:lastRenderedPageBreak/>
        <w:t>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pStyle w:val="Ttulo1"/>
        <w:spacing w:before="0" w:after="0" w:line="360" w:lineRule="auto"/>
        <w:jc w:val="center"/>
        <w:rPr>
          <w:rFonts w:ascii="Palatino Linotype" w:eastAsia="Palatino Linotype" w:hAnsi="Palatino Linotype" w:cs="Palatino Linotype"/>
          <w:b/>
          <w:bCs/>
          <w:color w:val="000000"/>
          <w:sz w:val="22"/>
          <w:szCs w:val="22"/>
        </w:rPr>
      </w:pPr>
      <w:bookmarkStart w:id="9" w:name="_Toc219990907"/>
      <w:r>
        <w:rPr>
          <w:rFonts w:ascii="Palatino Linotype" w:eastAsia="Palatino Linotype" w:hAnsi="Palatino Linotype" w:cs="Palatino Linotype"/>
          <w:b/>
          <w:bCs/>
          <w:color w:val="000000"/>
          <w:sz w:val="22"/>
          <w:szCs w:val="22"/>
        </w:rPr>
        <w:t>C O N S I D E R A N D O S</w:t>
      </w:r>
      <w:bookmarkEnd w:id="9"/>
    </w:p>
    <w:p w:rsidR="00113D2A" w:rsidRDefault="00113D2A">
      <w:pPr>
        <w:spacing w:line="360" w:lineRule="auto"/>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10" w:name="_Toc219990908"/>
      <w:r>
        <w:rPr>
          <w:rFonts w:ascii="Palatino Linotype" w:eastAsia="Palatino Linotype" w:hAnsi="Palatino Linotype" w:cs="Palatino Linotype"/>
          <w:b/>
          <w:bCs/>
          <w:color w:val="000000"/>
          <w:sz w:val="22"/>
          <w:szCs w:val="22"/>
        </w:rPr>
        <w:t>PRIMERO. Competencia</w:t>
      </w:r>
      <w:bookmarkEnd w:id="10"/>
    </w:p>
    <w:p w:rsidR="00113D2A" w:rsidRDefault="00113D2A">
      <w:pPr>
        <w:spacing w:line="360" w:lineRule="auto"/>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11" w:name="_Toc219990909"/>
      <w:r>
        <w:rPr>
          <w:rFonts w:ascii="Palatino Linotype" w:eastAsia="Palatino Linotype" w:hAnsi="Palatino Linotype" w:cs="Palatino Linotype"/>
          <w:b/>
          <w:bCs/>
          <w:color w:val="000000"/>
          <w:sz w:val="22"/>
          <w:szCs w:val="22"/>
        </w:rPr>
        <w:t>SEGUNDO. Causales de improcedencia y sobreseimiento</w:t>
      </w:r>
      <w:bookmarkEnd w:id="11"/>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113D2A" w:rsidRDefault="00113D2A">
      <w:pPr>
        <w:spacing w:line="360" w:lineRule="auto"/>
        <w:jc w:val="both"/>
        <w:rPr>
          <w:rFonts w:ascii="Palatino Linotype" w:eastAsia="Palatino Linotype" w:hAnsi="Palatino Linotype" w:cs="Palatino Linotype"/>
          <w:b/>
          <w:bCs/>
          <w:color w:val="000000"/>
          <w:sz w:val="22"/>
          <w:szCs w:val="22"/>
        </w:rPr>
      </w:pP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w:t>
      </w:r>
      <w:r>
        <w:rPr>
          <w:rFonts w:ascii="Palatino Linotype" w:eastAsia="Palatino Linotype" w:hAnsi="Palatino Linotype" w:cs="Palatino Linotype"/>
          <w:sz w:val="22"/>
          <w:szCs w:val="22"/>
        </w:rPr>
        <w:lastRenderedPageBreak/>
        <w:t>por la Recurrente ante otra instancia; no existió prevención alguna; la veracidad de la respuesta no formó parte del agravio; ni se realizó una consulta o ampliación a los alcances del requerimiento informativo.</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bookmarkStart w:id="12" w:name="_heading=h.vfo0azulmt3a" w:colFirst="0" w:colLast="0"/>
      <w:bookmarkEnd w:id="12"/>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la información.</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b/>
          <w:bCs/>
          <w:color w:val="0D0D0D"/>
          <w:sz w:val="22"/>
          <w:szCs w:val="22"/>
        </w:rPr>
        <w:t>Causales de sobreseimiento</w:t>
      </w:r>
    </w:p>
    <w:p w:rsidR="00113D2A" w:rsidRDefault="00113D2A">
      <w:pPr>
        <w:spacing w:line="360" w:lineRule="auto"/>
        <w:jc w:val="both"/>
        <w:rPr>
          <w:rFonts w:ascii="Palatino Linotype" w:eastAsia="Palatino Linotype" w:hAnsi="Palatino Linotype" w:cs="Palatino Linotype"/>
          <w:color w:val="0D0D0D"/>
          <w:sz w:val="22"/>
          <w:szCs w:val="22"/>
        </w:rPr>
      </w:pPr>
    </w:p>
    <w:p w:rsidR="00113D2A" w:rsidRDefault="00594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rsidR="00113D2A" w:rsidRDefault="00113D2A">
      <w:pPr>
        <w:spacing w:line="360" w:lineRule="auto"/>
        <w:jc w:val="both"/>
        <w:rPr>
          <w:rFonts w:ascii="Palatino Linotype" w:eastAsia="Palatino Linotype" w:hAnsi="Palatino Linotype" w:cs="Palatino Linotype"/>
          <w:color w:val="0D0D0D"/>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D0D0D"/>
          <w:sz w:val="22"/>
          <w:szCs w:val="22"/>
        </w:rPr>
        <w:t>Sobre el tema, e</w:t>
      </w:r>
      <w:r>
        <w:rPr>
          <w:rFonts w:ascii="Palatino Linotype" w:eastAsia="Palatino Linotype" w:hAnsi="Palatino Linotype" w:cs="Palatino Linotype"/>
          <w:color w:val="000000"/>
          <w:sz w:val="22"/>
          <w:szCs w:val="22"/>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rsidR="00113D2A" w:rsidRDefault="00113D2A">
      <w:pPr>
        <w:spacing w:line="360" w:lineRule="auto"/>
        <w:jc w:val="both"/>
        <w:rPr>
          <w:rFonts w:ascii="Palatino Linotype" w:eastAsia="Palatino Linotype" w:hAnsi="Palatino Linotype" w:cs="Palatino Linotype"/>
          <w:sz w:val="22"/>
          <w:szCs w:val="22"/>
        </w:rPr>
      </w:pP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13" w:name="_Toc219990910"/>
      <w:r>
        <w:rPr>
          <w:rFonts w:ascii="Palatino Linotype" w:eastAsia="Palatino Linotype" w:hAnsi="Palatino Linotype" w:cs="Palatino Linotype"/>
          <w:b/>
          <w:bCs/>
          <w:color w:val="000000"/>
          <w:sz w:val="22"/>
          <w:szCs w:val="22"/>
        </w:rPr>
        <w:t>TERCERO. Determinación de la Controversia</w:t>
      </w:r>
      <w:bookmarkEnd w:id="13"/>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el objetivo de ilustrar la controversia planteada, resulta conveniente precisar, que una vez realizado el estudio de las constancias que integran el expediente en el que se actúa, se desprende que el Particular requirió de la Servidora Pública Gabriela Mayen Martínez adscrita al Organismo </w:t>
      </w:r>
      <w:r>
        <w:rPr>
          <w:rFonts w:ascii="Palatino Linotype" w:eastAsia="Palatino Linotype" w:hAnsi="Palatino Linotype" w:cs="Palatino Linotype"/>
          <w:color w:val="0D0D0D"/>
          <w:sz w:val="22"/>
          <w:szCs w:val="22"/>
        </w:rPr>
        <w:t>Público Descentralizado para la Prestación de los Servicios de Agua Potable, Alcantarillado y Saneamiento de Teoloyucan al seis de octubre de dos mil veinticinco lo siguiente:</w:t>
      </w:r>
    </w:p>
    <w:p w:rsidR="00113D2A" w:rsidRDefault="00113D2A">
      <w:pPr>
        <w:spacing w:line="360" w:lineRule="auto"/>
        <w:jc w:val="both"/>
        <w:rPr>
          <w:rFonts w:ascii="Palatino Linotype" w:eastAsia="Palatino Linotype" w:hAnsi="Palatino Linotype" w:cs="Palatino Linotype"/>
          <w:color w:val="0D0D0D"/>
          <w:sz w:val="22"/>
          <w:szCs w:val="22"/>
        </w:rPr>
      </w:pPr>
    </w:p>
    <w:p w:rsidR="00113D2A" w:rsidRDefault="0059445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iCs/>
          <w:color w:val="0D0D0D"/>
          <w:sz w:val="22"/>
          <w:szCs w:val="22"/>
        </w:rPr>
      </w:pPr>
      <w:r>
        <w:rPr>
          <w:rFonts w:ascii="Palatino Linotype" w:eastAsia="Palatino Linotype" w:hAnsi="Palatino Linotype" w:cs="Palatino Linotype"/>
          <w:i/>
          <w:iCs/>
          <w:color w:val="0D0D0D"/>
          <w:sz w:val="22"/>
          <w:szCs w:val="22"/>
        </w:rPr>
        <w:t>Currículum Vitae</w:t>
      </w:r>
    </w:p>
    <w:p w:rsidR="00113D2A" w:rsidRDefault="0059445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Recibo de Nómina</w:t>
      </w:r>
    </w:p>
    <w:p w:rsidR="00113D2A" w:rsidRDefault="0059445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Diplomas</w:t>
      </w:r>
    </w:p>
    <w:p w:rsidR="00113D2A" w:rsidRDefault="0059445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Cargo Actual</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En respuesta, el Sujeto Obligado, a través de la Dirección de Administración y Finanzas refirió que dicha servidora pública a la fecha de la solicitud ya no trabajaba dentro del Organismo</w:t>
      </w:r>
      <w:r>
        <w:rPr>
          <w:rFonts w:ascii="Palatino Linotype" w:eastAsia="Palatino Linotype" w:hAnsi="Palatino Linotype" w:cs="Palatino Linotype"/>
          <w:sz w:val="22"/>
          <w:szCs w:val="22"/>
        </w:rPr>
        <w:t>; ante dicha circunstancia, el Particular se inconformó de la negativa a la información, al precisar que al negar la información quiere decir que es aviadora, lo cual actualiza la causal de procedencia prevista en la fracción I, del artículo 179 de la Ley de Transparencia y Acceso a la Información Pública del Estado de México y Municipios</w:t>
      </w:r>
      <w:r>
        <w:rPr>
          <w:rFonts w:ascii="Palatino Linotype" w:eastAsia="Palatino Linotype" w:hAnsi="Palatino Linotype" w:cs="Palatino Linotype"/>
          <w:color w:val="0D0D0D"/>
          <w:sz w:val="22"/>
          <w:szCs w:val="22"/>
        </w:rPr>
        <w:t xml:space="preserve">. </w:t>
      </w:r>
    </w:p>
    <w:p w:rsidR="00113D2A" w:rsidRDefault="00113D2A">
      <w:pPr>
        <w:spacing w:line="360" w:lineRule="auto"/>
        <w:jc w:val="both"/>
        <w:rPr>
          <w:rFonts w:ascii="Palatino Linotype" w:eastAsia="Palatino Linotype" w:hAnsi="Palatino Linotype" w:cs="Palatino Linotype"/>
          <w:color w:val="0D0D0D"/>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las cosas, una vez admitido y notificado el Recurso de Revisión a las partes, el Sujeto Obligado a través del Informe Justificado proporcionó la ficha de movimiento de la servidora pública el cual refiere como fecha de baja el once de julio del presente año.</w:t>
      </w:r>
    </w:p>
    <w:p w:rsidR="00113D2A" w:rsidRDefault="00113D2A">
      <w:pPr>
        <w:shd w:val="clear" w:color="auto" w:fill="FFFFFF"/>
        <w:spacing w:line="360" w:lineRule="auto"/>
        <w:jc w:val="both"/>
        <w:rPr>
          <w:color w:val="222222"/>
        </w:rPr>
      </w:pPr>
    </w:p>
    <w:p w:rsidR="00113D2A" w:rsidRDefault="0059445E">
      <w:pPr>
        <w:shd w:val="clear" w:color="auto" w:fill="FFFFFF"/>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222222"/>
          <w:sz w:val="22"/>
          <w:szCs w:val="22"/>
        </w:rPr>
        <w:t xml:space="preserve">Lo anterior, se desprende de las documentales que obran en el expediente de referencia, materia de la presente resolución, consistente en: la solicitud de acceso a la información; la respuesta entregada por el Sujeto Obligado, el escrito </w:t>
      </w:r>
      <w:proofErr w:type="spellStart"/>
      <w:r>
        <w:rPr>
          <w:rFonts w:ascii="Palatino Linotype" w:eastAsia="Palatino Linotype" w:hAnsi="Palatino Linotype" w:cs="Palatino Linotype"/>
          <w:color w:val="222222"/>
          <w:sz w:val="22"/>
          <w:szCs w:val="22"/>
        </w:rPr>
        <w:t>recursal</w:t>
      </w:r>
      <w:proofErr w:type="spellEnd"/>
      <w:r>
        <w:rPr>
          <w:rFonts w:ascii="Palatino Linotype" w:eastAsia="Palatino Linotype" w:hAnsi="Palatino Linotype" w:cs="Palatino Linotype"/>
          <w:color w:val="222222"/>
          <w:sz w:val="22"/>
          <w:szCs w:val="22"/>
        </w:rPr>
        <w:t xml:space="preserve"> en contra de dicha contestación y el informe justificado del Sujeto Obligado;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sz w:val="22"/>
          <w:szCs w:val="22"/>
        </w:rPr>
        <w:t xml:space="preserve">. </w:t>
      </w:r>
    </w:p>
    <w:p w:rsidR="00113D2A" w:rsidRDefault="00113D2A">
      <w:pPr>
        <w:shd w:val="clear" w:color="auto" w:fill="FFFFFF"/>
        <w:spacing w:line="360" w:lineRule="auto"/>
        <w:jc w:val="both"/>
        <w:rPr>
          <w:color w:val="222222"/>
          <w:sz w:val="22"/>
          <w:szCs w:val="22"/>
        </w:rPr>
      </w:pP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pStyle w:val="Ttulo2"/>
        <w:spacing w:before="0" w:after="0" w:line="360" w:lineRule="auto"/>
        <w:jc w:val="both"/>
        <w:rPr>
          <w:rFonts w:ascii="Palatino Linotype" w:eastAsia="Palatino Linotype" w:hAnsi="Palatino Linotype" w:cs="Palatino Linotype"/>
          <w:b/>
          <w:bCs/>
          <w:color w:val="000000"/>
          <w:sz w:val="22"/>
          <w:szCs w:val="22"/>
        </w:rPr>
      </w:pPr>
      <w:bookmarkStart w:id="14" w:name="_Toc219990911"/>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4"/>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en materia local, el artículo 5°, fracción I de la Constitución Política del Estado Libre y Soberano de México, es coincidente con la Constitución Política de los Estados Unidos Mexicanos, en el sentido de la publicidad de toda la información, con la única </w:t>
      </w:r>
      <w:r>
        <w:rPr>
          <w:rFonts w:ascii="Palatino Linotype" w:eastAsia="Palatino Linotype" w:hAnsi="Palatino Linotype" w:cs="Palatino Linotype"/>
          <w:sz w:val="22"/>
          <w:szCs w:val="22"/>
        </w:rPr>
        <w:lastRenderedPageBreak/>
        <w:t>restricción de proteger el interés público, así como la información referente a la intimidad de la vida privada y la imagen de las personas, con las excepciones que establezca la ley reglamentaria.</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15" w:name="_Toc219990912"/>
      <w:r>
        <w:rPr>
          <w:rFonts w:ascii="Palatino Linotype" w:eastAsia="Palatino Linotype" w:hAnsi="Palatino Linotype" w:cs="Palatino Linotype"/>
          <w:b/>
          <w:bCs/>
          <w:color w:val="000000"/>
          <w:sz w:val="22"/>
          <w:szCs w:val="22"/>
        </w:rPr>
        <w:t>QUINTO. Estudio de Fondo</w:t>
      </w:r>
      <w:bookmarkEnd w:id="15"/>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 realizar el análisis del agravio hecho valer por la ahora Recurrente, por lo que, en principio es necesario contextualizar la solicitud de información.</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widowControl w:val="0"/>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Recibos de Nómina</w:t>
      </w:r>
    </w:p>
    <w:p w:rsidR="00113D2A" w:rsidRDefault="00113D2A">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w:t>
      </w:r>
      <w:r>
        <w:rPr>
          <w:rFonts w:ascii="Palatino Linotype" w:eastAsia="Palatino Linotype" w:hAnsi="Palatino Linotype" w:cs="Palatino Linotype"/>
          <w:sz w:val="22"/>
          <w:szCs w:val="22"/>
        </w:rPr>
        <w:lastRenderedPageBreak/>
        <w:t>prestaciones, en especie y cualquier otra percepción o prestación que se entregue al servidor por su trabajo.</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 la misma manera, el Anexo IV.5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Anexo IV.2 Clasificación por objeto del gasto, del Manual para la Planeación, Programación y Presupuesto de Egresos Municipal para el ejercicio fiscal dos mil veinticinco,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aguinaldo, obligaciones laborales, entre otras.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ind w:left="708"/>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rFonts w:ascii="Palatino Linotype" w:eastAsia="Palatino Linotype" w:hAnsi="Palatino Linotype" w:cs="Palatino Linotype"/>
          <w:i/>
          <w:iCs/>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w:t>
      </w:r>
      <w:r>
        <w:rPr>
          <w:rFonts w:ascii="Palatino Linotype" w:eastAsia="Palatino Linotype" w:hAnsi="Palatino Linotype" w:cs="Palatino Linotype"/>
          <w:i/>
          <w:iCs/>
        </w:rPr>
        <w:lastRenderedPageBreak/>
        <w:t>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tesis transcrita, se desprende que en materia burocrática los recibos de pago acreditan los conceptos y montos que en ellos se insertan, y constituyen prueba para demostrar las percepciones y montos que reciben los servidores públicos.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los Lineamientos para la integración y presentación de los Informes Trimestrales Municipales del Ejercicio Fiscal 2025, establecen que el Sujeto Obligado deberá entregar al Órgano Superior de Fiscalización, los Comprobantes Fiscales Digitales por Internet (recibos de nómina), los cuales deberán ser generados de manera quincenal.</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numPr>
          <w:ilvl w:val="0"/>
          <w:numId w:val="1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Currículum Vitae</w:t>
      </w:r>
    </w:p>
    <w:p w:rsidR="00113D2A" w:rsidRDefault="00113D2A">
      <w:pPr>
        <w:tabs>
          <w:tab w:val="left" w:pos="4962"/>
        </w:tabs>
        <w:spacing w:line="360" w:lineRule="auto"/>
        <w:jc w:val="both"/>
        <w:rPr>
          <w:rFonts w:ascii="Palatino Linotype" w:eastAsia="Palatino Linotype" w:hAnsi="Palatino Linotype" w:cs="Palatino Linotype"/>
          <w:b/>
          <w:bCs/>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w:t>
      </w:r>
      <w:r>
        <w:rPr>
          <w:rFonts w:ascii="Palatino Linotype" w:eastAsia="Palatino Linotype" w:hAnsi="Palatino Linotype" w:cs="Palatino Linotype"/>
          <w:b/>
          <w:bCs/>
          <w:i/>
          <w:iCs/>
          <w:sz w:val="22"/>
          <w:szCs w:val="22"/>
        </w:rPr>
        <w:t>currículum vitae</w:t>
      </w: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 xml:space="preserve"> corresponde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si bien el currículum, se trata de aquel elaborado por cada persona, sin ninguna validez oficial, también lo es, que tiene por objetivo que las personas puedan </w:t>
      </w:r>
      <w:r>
        <w:rPr>
          <w:rFonts w:ascii="Palatino Linotype" w:eastAsia="Palatino Linotype" w:hAnsi="Palatino Linotype" w:cs="Palatino Linotype"/>
          <w:sz w:val="22"/>
          <w:szCs w:val="22"/>
        </w:rPr>
        <w:lastRenderedPageBreak/>
        <w:t>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según Islas, Jorge (2016), en la “Ley General de Transparencia y Acceso a la Información Pública Comentada” (p. 244), refirió que el currículum vitae de un servidor público, justifica que su formación académica resulta viable para el desempeño eficiente y correcto de su encargo; lo anterior, con el fin de acreditar que dichos trabajadores sean los más capacitados acordes al área solicitada.</w:t>
      </w:r>
    </w:p>
    <w:p w:rsidR="00113D2A" w:rsidRDefault="00113D2A">
      <w:pPr>
        <w:tabs>
          <w:tab w:val="left" w:pos="4962"/>
        </w:tabs>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mismo sentido, el Criterio orientador, de la Tercera de Época, con número de registro SO/007/2023, emitido por el entonces Instituto Nacional de Transparencia, Acceso a la Información y Protección de Datos Personales, vigente al veinte de marzo de dos mil veinticinco, estableció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pericia </w:t>
      </w:r>
      <w:r>
        <w:rPr>
          <w:rFonts w:ascii="Palatino Linotype" w:eastAsia="Palatino Linotype" w:hAnsi="Palatino Linotype" w:cs="Palatino Linotype"/>
          <w:sz w:val="22"/>
          <w:szCs w:val="22"/>
        </w:rPr>
        <w:lastRenderedPageBreak/>
        <w:t>para ocupar el puesto público. Lo anterior, para favorecer la rendición de cuentas, pues la publicidad de lo anterior tiene como fin verificar el correcto desempeño de los sujetos obligados.</w:t>
      </w:r>
    </w:p>
    <w:p w:rsidR="00113D2A" w:rsidRDefault="00113D2A">
      <w:pPr>
        <w:spacing w:line="360" w:lineRule="auto"/>
        <w:ind w:right="-28"/>
        <w:jc w:val="both"/>
        <w:rPr>
          <w:rFonts w:ascii="Palatino Linotype" w:eastAsia="Palatino Linotype" w:hAnsi="Palatino Linotype" w:cs="Palatino Linotype"/>
          <w:sz w:val="22"/>
          <w:szCs w:val="22"/>
        </w:rPr>
      </w:pPr>
    </w:p>
    <w:p w:rsidR="00113D2A" w:rsidRDefault="0059445E">
      <w:pPr>
        <w:numPr>
          <w:ilvl w:val="0"/>
          <w:numId w:val="11"/>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Cargo y Diplomas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Ley del Trabajo de los Servidores Públicos del Estado de México en base a su artículo 220k donde a su vez refiere que la </w:t>
      </w:r>
      <w:r>
        <w:rPr>
          <w:rFonts w:ascii="Palatino Linotype" w:eastAsia="Palatino Linotype" w:hAnsi="Palatino Linotype" w:cs="Palatino Linotype"/>
          <w:b/>
          <w:bCs/>
          <w:sz w:val="22"/>
          <w:szCs w:val="22"/>
          <w:u w:val="single"/>
        </w:rPr>
        <w:t>institución o dependencia pública tiene la obligación de conservar y exhibir en el proceso los documentos que a continuación se precisan:</w:t>
      </w:r>
      <w:r>
        <w:rPr>
          <w:rFonts w:ascii="Palatino Linotype" w:eastAsia="Palatino Linotype" w:hAnsi="Palatino Linotype" w:cs="Palatino Linotype"/>
          <w:sz w:val="22"/>
          <w:szCs w:val="22"/>
        </w:rPr>
        <w:t xml:space="preserve"> </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Contratos, Nombramientos o Formato Único de Movimientos de Personal, cuando no exista, convenio de condiciones generales de trabajo aplicable; </w:t>
      </w:r>
    </w:p>
    <w:p w:rsidR="00113D2A" w:rsidRDefault="0059445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Recibos de pagos de salarios o las constancias documentales del pago de salario cuando sea por depósito o mediante información electrónica; </w:t>
      </w:r>
    </w:p>
    <w:p w:rsidR="00113D2A" w:rsidRDefault="0059445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Controles de asistencia o la información magnética o electrónica de asistencia de los servidores públicos; </w:t>
      </w:r>
    </w:p>
    <w:p w:rsidR="00113D2A" w:rsidRDefault="0059445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Recibos o las constancias de depósito o del medio de información magnética o electrónica que sean utilizadas para el pago de salarios, prima vacacional, aguinaldo y demás prestaciones establecidas en la presente ley; </w:t>
      </w:r>
    </w:p>
    <w:p w:rsidR="00113D2A" w:rsidRDefault="00113D2A">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documentos señalados en la fracción I de este artículo, </w:t>
      </w:r>
      <w:r>
        <w:rPr>
          <w:rFonts w:ascii="Palatino Linotype" w:eastAsia="Palatino Linotype" w:hAnsi="Palatino Linotype" w:cs="Palatino Linotype"/>
          <w:b/>
          <w:bCs/>
          <w:sz w:val="22"/>
          <w:szCs w:val="22"/>
          <w:u w:val="single"/>
        </w:rPr>
        <w:t>deberán conservarse mientras dure la relación laboral</w:t>
      </w:r>
      <w:r>
        <w:rPr>
          <w:rFonts w:ascii="Palatino Linotype" w:eastAsia="Palatino Linotype" w:hAnsi="Palatino Linotype" w:cs="Palatino Linotype"/>
          <w:sz w:val="22"/>
          <w:szCs w:val="22"/>
        </w:rPr>
        <w:t xml:space="preserve"> y </w:t>
      </w:r>
      <w:r>
        <w:rPr>
          <w:rFonts w:ascii="Palatino Linotype" w:eastAsia="Palatino Linotype" w:hAnsi="Palatino Linotype" w:cs="Palatino Linotype"/>
          <w:b/>
          <w:bCs/>
          <w:sz w:val="22"/>
          <w:szCs w:val="22"/>
          <w:u w:val="single"/>
        </w:rPr>
        <w:t>hasta un año después;</w:t>
      </w:r>
      <w:r>
        <w:rPr>
          <w:rFonts w:ascii="Palatino Linotype" w:eastAsia="Palatino Linotype" w:hAnsi="Palatino Linotype" w:cs="Palatino Linotype"/>
          <w:sz w:val="22"/>
          <w:szCs w:val="22"/>
        </w:rPr>
        <w:t xml:space="preserve"> los señalados por las fracciones II, III, IV </w:t>
      </w:r>
      <w:r>
        <w:rPr>
          <w:rFonts w:ascii="Palatino Linotype" w:eastAsia="Palatino Linotype" w:hAnsi="Palatino Linotype" w:cs="Palatino Linotype"/>
          <w:b/>
          <w:bCs/>
          <w:sz w:val="22"/>
          <w:szCs w:val="22"/>
          <w:u w:val="single"/>
        </w:rPr>
        <w:t>durante el último año y un año después de que se extinga la relación laboral</w:t>
      </w:r>
      <w:r>
        <w:rPr>
          <w:rFonts w:ascii="Palatino Linotype" w:eastAsia="Palatino Linotype" w:hAnsi="Palatino Linotype" w:cs="Palatino Linotype"/>
          <w:sz w:val="22"/>
          <w:szCs w:val="22"/>
        </w:rPr>
        <w:t xml:space="preserve">. Los documentos y constancias aquí señalados, la institución o dependencia podrá conservarlos </w:t>
      </w:r>
      <w:r>
        <w:rPr>
          <w:rFonts w:ascii="Palatino Linotype" w:eastAsia="Palatino Linotype" w:hAnsi="Palatino Linotype" w:cs="Palatino Linotype"/>
          <w:sz w:val="22"/>
          <w:szCs w:val="22"/>
        </w:rPr>
        <w:lastRenderedPageBreak/>
        <w:t>por medio de los sistemas de digitalización o de información magnética o electrónica o cualquier medio descubierto por la ciencia y las constancias expedidas por el encargado del área de personal de éstas, harán prueba plena.</w:t>
      </w:r>
    </w:p>
    <w:p w:rsidR="00113D2A" w:rsidRDefault="00113D2A">
      <w:pPr>
        <w:spacing w:line="360" w:lineRule="auto"/>
        <w:ind w:right="-28"/>
        <w:jc w:val="both"/>
        <w:rPr>
          <w:rFonts w:ascii="Palatino Linotype" w:eastAsia="Palatino Linotype" w:hAnsi="Palatino Linotype" w:cs="Palatino Linotype"/>
          <w:sz w:val="22"/>
          <w:szCs w:val="22"/>
        </w:rPr>
      </w:pPr>
    </w:p>
    <w:p w:rsidR="00113D2A" w:rsidRDefault="0059445E">
      <w:pPr>
        <w:spacing w:line="360" w:lineRule="auto"/>
      </w:pPr>
      <w:r>
        <w:rPr>
          <w:rFonts w:ascii="Palatino Linotype" w:eastAsia="Palatino Linotype" w:hAnsi="Palatino Linotype" w:cs="Palatino Linotype"/>
          <w:color w:val="222222"/>
          <w:sz w:val="22"/>
          <w:szCs w:val="22"/>
          <w:highlight w:val="white"/>
        </w:rPr>
        <w:t>Conforme a lo anterior, se logra colegir que el Particular requirió de la Servidora Pública</w:t>
      </w:r>
      <w:r>
        <w:rPr>
          <w:color w:val="222222"/>
          <w:highlight w:val="white"/>
        </w:rPr>
        <w:t xml:space="preserve"> </w:t>
      </w:r>
      <w:r>
        <w:rPr>
          <w:rFonts w:ascii="Palatino Linotype" w:eastAsia="Palatino Linotype" w:hAnsi="Palatino Linotype" w:cs="Palatino Linotype"/>
          <w:color w:val="222222"/>
          <w:sz w:val="22"/>
          <w:szCs w:val="22"/>
          <w:highlight w:val="white"/>
        </w:rPr>
        <w:t>Gabriela Mayen Martínez adscrita al Organismo </w:t>
      </w:r>
      <w:r>
        <w:rPr>
          <w:rFonts w:ascii="Palatino Linotype" w:eastAsia="Palatino Linotype" w:hAnsi="Palatino Linotype" w:cs="Palatino Linotype"/>
          <w:color w:val="0D0D0D"/>
          <w:sz w:val="22"/>
          <w:szCs w:val="22"/>
          <w:highlight w:val="white"/>
        </w:rPr>
        <w:t>Público Descentralizado para la Prestación de los Servicios de Agua Potable, Alcantarillado y Saneamiento de Teoloyucan al seis de octubre de dos mil veinticinco su </w:t>
      </w:r>
      <w:r>
        <w:rPr>
          <w:rFonts w:ascii="Palatino Linotype" w:eastAsia="Palatino Linotype" w:hAnsi="Palatino Linotype" w:cs="Palatino Linotype"/>
          <w:i/>
          <w:iCs/>
          <w:color w:val="0D0D0D"/>
          <w:sz w:val="22"/>
          <w:szCs w:val="22"/>
          <w:highlight w:val="white"/>
        </w:rPr>
        <w:t>Currículum Vitae, </w:t>
      </w:r>
      <w:r>
        <w:rPr>
          <w:rFonts w:ascii="Palatino Linotype" w:eastAsia="Palatino Linotype" w:hAnsi="Palatino Linotype" w:cs="Palatino Linotype"/>
          <w:color w:val="0D0D0D"/>
          <w:sz w:val="22"/>
          <w:szCs w:val="22"/>
          <w:highlight w:val="white"/>
        </w:rPr>
        <w:t>Recibo de Nómina, Diplomas y Cargo Actual</w:t>
      </w:r>
      <w:r>
        <w:rPr>
          <w:color w:val="0D0D0D"/>
          <w:highlight w:val="white"/>
        </w:rPr>
        <w:t>.</w:t>
      </w:r>
    </w:p>
    <w:p w:rsidR="00113D2A" w:rsidRDefault="00113D2A">
      <w:pPr>
        <w:spacing w:line="360" w:lineRule="auto"/>
        <w:ind w:right="-28"/>
        <w:jc w:val="both"/>
        <w:rPr>
          <w:rFonts w:ascii="Palatino Linotype" w:eastAsia="Palatino Linotype" w:hAnsi="Palatino Linotype" w:cs="Palatino Linotype"/>
          <w:sz w:val="22"/>
          <w:szCs w:val="22"/>
        </w:rPr>
      </w:pPr>
    </w:p>
    <w:p w:rsidR="00113D2A" w:rsidRDefault="0059445E">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pasa desapercibido mencionar que, del análisis a la solicitud de información, se advierte que, el particular no señaló temporalidad de la cual requería obtener la información solicitada, por lo que, es necesario traer a colación el Criterio Reiterado 04/2024 emitido por este Organismo Garante, el cual señala que cuando el particular no refiera el periodo respecto del cual requiere la información o no se adviertan elementos que permitan identificarlo, se deberá hacer entrega de la información relativa a las últimas dos quincenas pagadas previo a la fecha en que se presentó la solicitud.</w:t>
      </w:r>
    </w:p>
    <w:p w:rsidR="00113D2A" w:rsidRDefault="00113D2A">
      <w:pPr>
        <w:spacing w:line="360" w:lineRule="auto"/>
        <w:ind w:right="-28"/>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Así, de las constancias que obran en el expediente, se logra vislumbrar que el Sujeto Obligado turnó la solicitud de información a la Dirección de Administración y Finanzas, por lo que resulta necesario hacer referencia al procedimiento de búsqueda que deben seguir los Sujetos Obligados para localizar la información, el cual se encuentra previsto en el artículo 162 de la Ley de Transparencia y Acceso a la Información Pública del Estado de </w:t>
      </w:r>
      <w:r>
        <w:rPr>
          <w:rFonts w:ascii="Palatino Linotype" w:eastAsia="Palatino Linotype" w:hAnsi="Palatino Linotype" w:cs="Palatino Linotype"/>
          <w:sz w:val="22"/>
          <w:szCs w:val="22"/>
        </w:rPr>
        <w:lastRenderedPageBreak/>
        <w:t>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5"/>
        </w:numPr>
        <w:tabs>
          <w:tab w:val="left" w:pos="72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5"/>
        </w:numPr>
        <w:tabs>
          <w:tab w:val="left" w:pos="72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2"/>
          <w:szCs w:val="22"/>
        </w:rPr>
        <w:t xml:space="preserve">Así, es necesario traer al estudio el artículo 48 fracción I, XVI y XV, del Reglamento Interno del   </w:t>
      </w:r>
      <w:r>
        <w:rPr>
          <w:rFonts w:ascii="Palatino Linotype" w:eastAsia="Palatino Linotype" w:hAnsi="Palatino Linotype" w:cs="Palatino Linotype"/>
          <w:color w:val="0D0D0D"/>
          <w:sz w:val="22"/>
          <w:szCs w:val="22"/>
        </w:rPr>
        <w:t>Organismo Público Descentralizado para la Prestación de los Servicios de Agua Potable, Alcantarillado y Saneamiento de Teoloyucan</w:t>
      </w:r>
      <w:r>
        <w:rPr>
          <w:rFonts w:ascii="Palatino Linotype" w:eastAsia="Palatino Linotype" w:hAnsi="Palatino Linotype" w:cs="Palatino Linotype"/>
          <w:sz w:val="22"/>
          <w:szCs w:val="22"/>
        </w:rPr>
        <w:t xml:space="preserve"> los cuales establecen que el Sujeto Obligado para el ejercicio de sus funciones contará con diversas unidades administrativas, entre ellas la Subdirección de Administración y Finanzas, quien responderá directamente ante el Director General y se encargará de entre otras cosas de conducir de manera eficiente </w:t>
      </w:r>
      <w:r>
        <w:rPr>
          <w:rFonts w:ascii="Palatino Linotype" w:eastAsia="Palatino Linotype" w:hAnsi="Palatino Linotype" w:cs="Palatino Linotype"/>
          <w:sz w:val="22"/>
          <w:szCs w:val="22"/>
        </w:rPr>
        <w:lastRenderedPageBreak/>
        <w:t>las actividades relacionadas con la  administración de los recursos materiales, servicios generales,  financieros, humanos, así como encargarse del manejo de los recursos humanos en los procesos de selección y contratación, pago de remuneraciones y servicios del personal del Organismo; y coordinar los movimientos de altas, bajas, cambios, remociones, permisos y licencias de los Servidores Públicos.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observar que el </w:t>
      </w:r>
      <w:r>
        <w:rPr>
          <w:rFonts w:ascii="Palatino Linotype" w:eastAsia="Palatino Linotype" w:hAnsi="Palatino Linotype" w:cs="Palatino Linotype"/>
          <w:color w:val="0D0D0D"/>
          <w:sz w:val="22"/>
          <w:szCs w:val="22"/>
        </w:rPr>
        <w:t>Organismo Público Descentralizado para la Prestación de los Servicios de Agua Potable, Alcantarillado y Saneamiento de Teoloyucan</w:t>
      </w:r>
      <w:r>
        <w:rPr>
          <w:rFonts w:ascii="Palatino Linotype" w:eastAsia="Palatino Linotype" w:hAnsi="Palatino Linotype" w:cs="Palatino Linotype"/>
          <w:sz w:val="22"/>
          <w:szCs w:val="22"/>
        </w:rPr>
        <w:t>, gestionó la solicitud de información a la unidad administrativa competente para conocer de lo requerido, por lo que, cumplió con el procedimiento de búsqueda establecido en el artículo 162 de la Ley de la materia.</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Ahora bien, en respuesta, dicha área señaló que dicha servidora pública a la fecha de la solicitud ya no laboraba dentro de dicho Organismo, por lo que no pueden brindar la información, </w:t>
      </w:r>
      <w:r>
        <w:rPr>
          <w:rFonts w:ascii="Palatino Linotype" w:eastAsia="Palatino Linotype" w:hAnsi="Palatino Linotype" w:cs="Palatino Linotype"/>
          <w:color w:val="000000"/>
          <w:sz w:val="22"/>
          <w:szCs w:val="22"/>
        </w:rPr>
        <w:t>Situación que se robustece, con el Criterio de Interpretación, con clave de control SO/002/2017, del Instituto Nacional de Transparencia, Acceso a la Información y Protección de Datos Personales, el cual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113D2A" w:rsidRDefault="00113D2A">
      <w:pPr>
        <w:tabs>
          <w:tab w:val="center" w:pos="4522"/>
        </w:tabs>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Derivado de lo anterior, se logra vislumbrar que el Sujeto Obligado no atendió de manera correcta la solicitud de información, ya que solamente proporciono información general refiriendo que la persona ya no laboraba dentro de la institución, omitiendo pronunciarse de los demás puntos solicitados, por lo cual da como resultado que el agravio sea </w:t>
      </w:r>
      <w:r>
        <w:rPr>
          <w:rFonts w:ascii="Palatino Linotype" w:eastAsia="Palatino Linotype" w:hAnsi="Palatino Linotype" w:cs="Palatino Linotype"/>
          <w:b/>
          <w:bCs/>
          <w:color w:val="000000"/>
          <w:sz w:val="22"/>
          <w:szCs w:val="22"/>
        </w:rPr>
        <w:t>PARCIALMENTE FUNDADO.</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lo anterior, mediante Informe Justificado se adjuntó el formato de movimiento de baja de dicha servidora la cual tiene como última fecha del once de julio de dos mil veinticinco, conforme a lo siguiente: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464279" cy="166378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64279" cy="1663786"/>
                    </a:xfrm>
                    <a:prstGeom prst="rect">
                      <a:avLst/>
                    </a:prstGeom>
                    <a:ln/>
                  </pic:spPr>
                </pic:pic>
              </a:graphicData>
            </a:graphic>
          </wp:inline>
        </w:drawing>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para mayor abundancia este Instituto realizo una búsqueda dentro del Portal de Información </w:t>
      </w:r>
      <w:proofErr w:type="spellStart"/>
      <w:r>
        <w:rPr>
          <w:rFonts w:ascii="Palatino Linotype" w:eastAsia="Palatino Linotype" w:hAnsi="Palatino Linotype" w:cs="Palatino Linotype"/>
          <w:sz w:val="22"/>
          <w:szCs w:val="22"/>
        </w:rPr>
        <w:t>Publica</w:t>
      </w:r>
      <w:proofErr w:type="spellEnd"/>
      <w:r>
        <w:rPr>
          <w:rFonts w:ascii="Palatino Linotype" w:eastAsia="Palatino Linotype" w:hAnsi="Palatino Linotype" w:cs="Palatino Linotype"/>
          <w:sz w:val="22"/>
          <w:szCs w:val="22"/>
        </w:rPr>
        <w:t xml:space="preserve"> de Oficio Mexiquense 4.0, donde se logra visualizar que la servidora pública referida </w:t>
      </w:r>
      <w:proofErr w:type="spellStart"/>
      <w:r>
        <w:rPr>
          <w:rFonts w:ascii="Palatino Linotype" w:eastAsia="Palatino Linotype" w:hAnsi="Palatino Linotype" w:cs="Palatino Linotype"/>
          <w:sz w:val="22"/>
          <w:szCs w:val="22"/>
        </w:rPr>
        <w:t>si</w:t>
      </w:r>
      <w:proofErr w:type="spellEnd"/>
      <w:r>
        <w:rPr>
          <w:rFonts w:ascii="Palatino Linotype" w:eastAsia="Palatino Linotype" w:hAnsi="Palatino Linotype" w:cs="Palatino Linotype"/>
          <w:sz w:val="22"/>
          <w:szCs w:val="22"/>
        </w:rPr>
        <w:t xml:space="preserve"> estuvo adscrita </w:t>
      </w:r>
      <w:proofErr w:type="gramStart"/>
      <w:r>
        <w:rPr>
          <w:rFonts w:ascii="Palatino Linotype" w:eastAsia="Palatino Linotype" w:hAnsi="Palatino Linotype" w:cs="Palatino Linotype"/>
          <w:sz w:val="22"/>
          <w:szCs w:val="22"/>
        </w:rPr>
        <w:t>a</w:t>
      </w:r>
      <w:proofErr w:type="gramEnd"/>
      <w:r>
        <w:rPr>
          <w:rFonts w:ascii="Palatino Linotype" w:eastAsia="Palatino Linotype" w:hAnsi="Palatino Linotype" w:cs="Palatino Linotype"/>
          <w:sz w:val="22"/>
          <w:szCs w:val="22"/>
        </w:rPr>
        <w:t xml:space="preserve"> dicho organismo, bajo el cargo de Coordinadora de Recursos Humanos tal como se puede vislumbrar:</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5612130" cy="178498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1784985"/>
                    </a:xfrm>
                    <a:prstGeom prst="rect">
                      <a:avLst/>
                    </a:prstGeom>
                    <a:ln/>
                  </pic:spPr>
                </pic:pic>
              </a:graphicData>
            </a:graphic>
          </wp:inline>
        </w:drawing>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 la revisión de este, se logra vislumbrar que a la fecha de la solicitud dicha persona ya no laboraba dentro del Organismo, pero con el análisis referido en párrafos anteriores, el ente institucional, deberá resguardar los documentos, por al menos un año al término de la relación laboral, por lo que se puede vislumbrar la servidora pública concluyo labores en julio teniendo como referencia que debe de guardar dichos documentos. </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para atender al requerimiento en análisis, el Sujeto Obligado, deberá entregar los recibos de nómina correspondientes a las dos quincenas de junio de dos mil veinticinco, esto de conformidad al criterio antes ya citado,  al igual que su </w:t>
      </w:r>
      <w:r>
        <w:rPr>
          <w:rFonts w:ascii="Palatino Linotype" w:eastAsia="Palatino Linotype" w:hAnsi="Palatino Linotype" w:cs="Palatino Linotype"/>
          <w:i/>
          <w:iCs/>
          <w:sz w:val="22"/>
          <w:szCs w:val="22"/>
        </w:rPr>
        <w:t xml:space="preserve">currículum vitae, </w:t>
      </w:r>
      <w:r>
        <w:rPr>
          <w:rFonts w:ascii="Palatino Linotype" w:eastAsia="Palatino Linotype" w:hAnsi="Palatino Linotype" w:cs="Palatino Linotype"/>
          <w:sz w:val="22"/>
          <w:szCs w:val="22"/>
        </w:rPr>
        <w:t>los diplomas con los que cuente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y el documento donde conste su cargo vigente;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recibos de nómina, al igual que su </w:t>
      </w:r>
      <w:r>
        <w:rPr>
          <w:rFonts w:ascii="Palatino Linotype" w:eastAsia="Palatino Linotype" w:hAnsi="Palatino Linotype" w:cs="Palatino Linotype"/>
          <w:i/>
          <w:iCs/>
          <w:sz w:val="22"/>
          <w:szCs w:val="22"/>
        </w:rPr>
        <w:t xml:space="preserve">currículum vitae, </w:t>
      </w:r>
      <w:r>
        <w:rPr>
          <w:rFonts w:ascii="Palatino Linotype" w:eastAsia="Palatino Linotype" w:hAnsi="Palatino Linotype" w:cs="Palatino Linotype"/>
          <w:sz w:val="22"/>
          <w:szCs w:val="22"/>
        </w:rPr>
        <w:t>los diplomas con los que cuente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y el documento donde conste su cargo vigente.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no pasa desapercibido para este Instituto que los documentos que den cuenta de lo solicitado, pudieran tener datos confidenciales o inclusive puedan ser clasificados en su totalidad.</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145 de la Ley de la materia,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rsidR="00113D2A" w:rsidRDefault="00113D2A">
      <w:pPr>
        <w:spacing w:line="360" w:lineRule="auto"/>
        <w:ind w:left="720"/>
        <w:jc w:val="both"/>
        <w:rPr>
          <w:rFonts w:ascii="Palatino Linotype" w:eastAsia="Palatino Linotype" w:hAnsi="Palatino Linotype" w:cs="Palatino Linotype"/>
          <w:sz w:val="22"/>
          <w:szCs w:val="22"/>
        </w:rPr>
      </w:pPr>
    </w:p>
    <w:p w:rsidR="00113D2A" w:rsidRDefault="0059445E">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la difusión de los datos, se requiera el consentimiento del titular.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Pr>
          <w:rFonts w:ascii="Palatino Linotype" w:eastAsia="Palatino Linotype" w:hAnsi="Palatino Linotype" w:cs="Palatino Linotype"/>
          <w:sz w:val="22"/>
          <w:szCs w:val="22"/>
        </w:rPr>
        <w:lastRenderedPageBreak/>
        <w:t xml:space="preserve">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ese contexto, se analizarán si los datos mencionados de manera enunciativa, son confidenciales o públicos.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2"/>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Clave Única de Registro de Población (CURP)</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la Secretaría de Gobernación en las direcciones https://consultas.curp.gob.mx/CurpSP/html/informacionecurpPS.html y https://www.gob.mx/segob/renapo/acciones-y-programas/clave-unica-de-registro-de-</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poblacion-curp-479226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bCs/>
          <w:sz w:val="22"/>
          <w:szCs w:val="22"/>
        </w:rPr>
        <w:t>se generan a partir de los datos contenidos en el documento probatorio de la identidad del interesado</w:t>
      </w:r>
      <w:r>
        <w:rPr>
          <w:rFonts w:ascii="Palatino Linotype" w:eastAsia="Palatino Linotype" w:hAnsi="Palatino Linotype" w:cs="Palatino Linotype"/>
          <w:sz w:val="22"/>
          <w:szCs w:val="22"/>
        </w:rPr>
        <w:t xml:space="preserve"> (acta de nacimiento, carta de naturalización o documento migratorio) de la siguiente forma:</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primero y segundo apellidos, así como al nombre de pila;</w:t>
      </w:r>
    </w:p>
    <w:p w:rsidR="00113D2A" w:rsidRDefault="00594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fecha de nacimiento;</w:t>
      </w:r>
    </w:p>
    <w:p w:rsidR="00113D2A" w:rsidRDefault="00594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sexo, y</w:t>
      </w:r>
    </w:p>
    <w:p w:rsidR="00113D2A" w:rsidRDefault="0059445E">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entidad federativa de nacimiento.</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Los dos últimos elementos de la Clave Única de Registro de Población evitan la duplicidad de la Clave y garantizan su correcta integración.</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Criterio Orientador, de la Segunda Época, con número de registro SO/018/2017, emitido por el entonces Instituto Nacional de Transparencia, Acceso a la Información y Protección de Datos Personales, que establece lo siguiente:</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“Clave Única de Registro de Población (CURP). </w:t>
      </w:r>
      <w:r>
        <w:rPr>
          <w:rFonts w:ascii="Palatino Linotype" w:eastAsia="Palatino Linotype" w:hAnsi="Palatino Linotype" w:cs="Palatino Linotype"/>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13D2A" w:rsidRDefault="0059445E">
      <w:pPr>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anterior, resulta procedente la clasificación de </w:t>
      </w:r>
      <w:r>
        <w:rPr>
          <w:rFonts w:ascii="Palatino Linotype" w:eastAsia="Palatino Linotype" w:hAnsi="Palatino Linotype" w:cs="Palatino Linotype"/>
          <w:b/>
          <w:bCs/>
          <w:sz w:val="22"/>
          <w:szCs w:val="22"/>
        </w:rPr>
        <w:t>la Clave Única de Registro de Población</w:t>
      </w:r>
      <w:r>
        <w:rPr>
          <w:rFonts w:ascii="Palatino Linotype" w:eastAsia="Palatino Linotype" w:hAnsi="Palatino Linotype" w:cs="Palatino Linotype"/>
          <w:sz w:val="22"/>
          <w:szCs w:val="22"/>
        </w:rPr>
        <w:t xml:space="preserve">, por tratarse de un dato personal confidencial, en términos del artículo 143, fracción I, de la Ley de Transparencia y Acceso a la Información Pública del Estado de México y Municipios.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rsidR="00113D2A" w:rsidRDefault="0059445E">
      <w:pPr>
        <w:numPr>
          <w:ilvl w:val="0"/>
          <w:numId w:val="2"/>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Registro Federal de Contribuyentes (RFC) de servidores públicos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sz w:val="22"/>
          <w:szCs w:val="22"/>
        </w:rPr>
        <w:t>homoclave</w:t>
      </w:r>
      <w:proofErr w:type="spellEnd"/>
      <w:r>
        <w:rPr>
          <w:rFonts w:ascii="Palatino Linotype" w:eastAsia="Palatino Linotype" w:hAnsi="Palatino Linotype" w:cs="Palatino Linotype"/>
          <w:sz w:val="22"/>
          <w:szCs w:val="22"/>
        </w:rPr>
        <w:t xml:space="preserve"> que establece el sistema automático del Servicio de Administración Tributaria.</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Así, el Registro Federal de Contribuyentes, es un dato personal, ya que hace a las personas físicas identificas e identificables, además de que las relaciona como contribuyentes de las autoridades fiscales. Es de destacar que dicho dato únicamente sirve para efectos fiscales y </w:t>
      </w:r>
      <w:r>
        <w:rPr>
          <w:rFonts w:ascii="Palatino Linotype" w:eastAsia="Palatino Linotype" w:hAnsi="Palatino Linotype" w:cs="Palatino Linotype"/>
          <w:sz w:val="22"/>
          <w:szCs w:val="22"/>
        </w:rPr>
        <w:lastRenderedPageBreak/>
        <w:t xml:space="preserve">pago de contribuciones, por lo que se trata de un dato relevante únicamente para las personas involucrada, en el pago de estos, en el presente caso, del pago del Impuesto Sobre el Producto del Trabajo. </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resulta congruente con el Criterio Orientador, de la Segunda Época, con número de registro SO/019/2017, emitido por el entones Instituto Nacional de Transparencia, Acceso a la Información y Protección de Datos Personales, en el cual se señala lo siguiente:</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“Registro Federal de Contribuyentes (RFC) de personas físicas.</w:t>
      </w:r>
      <w:r>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Registro Federal de Contribuyentes del Sujeto Obligado</w:t>
      </w:r>
    </w:p>
    <w:p w:rsidR="00113D2A" w:rsidRDefault="00113D2A">
      <w:pPr>
        <w:spacing w:line="360" w:lineRule="auto"/>
        <w:jc w:val="both"/>
        <w:rPr>
          <w:rFonts w:ascii="Palatino Linotype" w:eastAsia="Palatino Linotype" w:hAnsi="Palatino Linotype" w:cs="Palatino Linotype"/>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debe considerarse que el Ayuntamiento de la Paz es una institución pública que opera con recursos de dicha naturaleza; por lo que, </w:t>
      </w:r>
      <w:r>
        <w:rPr>
          <w:rFonts w:ascii="Palatino Linotype" w:eastAsia="Palatino Linotype" w:hAnsi="Palatino Linotype" w:cs="Palatino Linotype"/>
          <w:b/>
          <w:bCs/>
          <w:sz w:val="22"/>
          <w:szCs w:val="22"/>
        </w:rPr>
        <w:t>su Registro Federal del Contribuyente no es susceptible de ser clasificado</w:t>
      </w:r>
      <w:r>
        <w:rPr>
          <w:rFonts w:ascii="Palatino Linotype" w:eastAsia="Palatino Linotype" w:hAnsi="Palatino Linotype" w:cs="Palatino Linotype"/>
          <w:sz w:val="22"/>
          <w:szCs w:val="22"/>
        </w:rPr>
        <w:t xml:space="preserve">, pues constituye la clave con la que efectúa operaciones fiscales para el buen desempeño de las funciones normativas que tiene </w:t>
      </w:r>
      <w:r>
        <w:rPr>
          <w:rFonts w:ascii="Palatino Linotype" w:eastAsia="Palatino Linotype" w:hAnsi="Palatino Linotype" w:cs="Palatino Linotype"/>
          <w:sz w:val="22"/>
          <w:szCs w:val="22"/>
        </w:rPr>
        <w:lastRenderedPageBreak/>
        <w:t>encomendadas, aunado a que estas no se realizan en el ámbito de lo privado, sino que deben someterse al escrutinio público, con la finalidad de que la ciudadanía en general pueda ejercer su derecho fiscalizador sobre dichas instituciones.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dicha situación se robustece, con el Criterio Orientador, con clave de registro SO/011/2017, del Instituto Nacional de Transparencia, Acceso a la Información y Protección de Datos Personales, que establece que la información que dé cuenta de la forma en que se administran los recursos públicos de los Sujetos Obligados, favorece a la rendición de cuentas de dichas instituciones; por lo que, toda vez que el Ente Recurrido utiliza el dato en análisis, para acreditar ante el Servicio de Administración Tributaria, la utilización de recursos públicos, se concluye que no procede su clasificación, en términos del artículo 143, fracción I de la Ley de la materia.</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numPr>
          <w:ilvl w:val="0"/>
          <w:numId w:val="4"/>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Código bidimensional o </w:t>
      </w:r>
      <w:proofErr w:type="spellStart"/>
      <w:r>
        <w:rPr>
          <w:rFonts w:ascii="Palatino Linotype" w:eastAsia="Palatino Linotype" w:hAnsi="Palatino Linotype" w:cs="Palatino Linotype"/>
          <w:b/>
          <w:bCs/>
          <w:sz w:val="22"/>
          <w:szCs w:val="22"/>
        </w:rPr>
        <w:t>Qr</w:t>
      </w:r>
      <w:proofErr w:type="spellEnd"/>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resulta necesario señalar que los comprobantes fiscales digitales por Internet, deben de incluir un código bidimensional conforme al formato </w:t>
      </w:r>
      <w:r>
        <w:rPr>
          <w:rFonts w:ascii="Palatino Linotype" w:eastAsia="Palatino Linotype" w:hAnsi="Palatino Linotype" w:cs="Palatino Linotype"/>
          <w:i/>
          <w:iCs/>
          <w:sz w:val="22"/>
          <w:szCs w:val="22"/>
        </w:rPr>
        <w:t xml:space="preserve">QR </w:t>
      </w:r>
      <w:proofErr w:type="spellStart"/>
      <w:r>
        <w:rPr>
          <w:rFonts w:ascii="Palatino Linotype" w:eastAsia="Palatino Linotype" w:hAnsi="Palatino Linotype" w:cs="Palatino Linotype"/>
          <w:i/>
          <w:iCs/>
          <w:sz w:val="22"/>
          <w:szCs w:val="22"/>
        </w:rPr>
        <w:t>Code</w:t>
      </w:r>
      <w:proofErr w:type="spellEnd"/>
      <w:r>
        <w:rPr>
          <w:rFonts w:ascii="Palatino Linotype" w:eastAsia="Palatino Linotype" w:hAnsi="Palatino Linotype" w:cs="Palatino Linotype"/>
          <w:i/>
          <w:iCs/>
          <w:sz w:val="22"/>
          <w:szCs w:val="22"/>
        </w:rPr>
        <w:t xml:space="preserve"> (Quick Response </w:t>
      </w:r>
      <w:proofErr w:type="spellStart"/>
      <w:r>
        <w:rPr>
          <w:rFonts w:ascii="Palatino Linotype" w:eastAsia="Palatino Linotype" w:hAnsi="Palatino Linotype" w:cs="Palatino Linotype"/>
          <w:i/>
          <w:iCs/>
          <w:sz w:val="22"/>
          <w:szCs w:val="22"/>
        </w:rPr>
        <w:t>Code</w:t>
      </w:r>
      <w:proofErr w:type="spellEnd"/>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1">
        <w:r>
          <w:rPr>
            <w:rFonts w:ascii="Palatino Linotype" w:eastAsia="Palatino Linotype" w:hAnsi="Palatino Linotype" w:cs="Palatino Linotype"/>
            <w:color w:val="0563C1"/>
            <w:sz w:val="22"/>
            <w:szCs w:val="22"/>
            <w:u w:val="single"/>
          </w:rPr>
          <w:t>http://dof.gob.mx/nota_detalle.php?codigo=5492254&amp;fecha=28/07/2017</w:t>
        </w:r>
      </w:hyperlink>
      <w:r>
        <w:rPr>
          <w:rFonts w:ascii="Palatino Linotype" w:eastAsia="Palatino Linotype" w:hAnsi="Palatino Linotype" w:cs="Palatino Linotype"/>
          <w:sz w:val="22"/>
          <w:szCs w:val="22"/>
        </w:rPr>
        <w:t xml:space="preserve">. Incluso con la captura de dicho código, a través de la aplicación móvil del Servicio de Administración </w:t>
      </w:r>
      <w:r>
        <w:rPr>
          <w:rFonts w:ascii="Palatino Linotype" w:eastAsia="Palatino Linotype" w:hAnsi="Palatino Linotype" w:cs="Palatino Linotype"/>
          <w:sz w:val="22"/>
          <w:szCs w:val="22"/>
        </w:rPr>
        <w:lastRenderedPageBreak/>
        <w:t>Tributaria, permite el acceso al Registro Federal de Contribuyentes, como del Sujeto Obligado, como de los servidores públicos.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numPr>
          <w:ilvl w:val="0"/>
          <w:numId w:val="4"/>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Número de seguridad social del Instituto de Seguridad Social del Estado de México y Municipios.</w:t>
      </w: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w:t>
      </w:r>
      <w:r>
        <w:rPr>
          <w:rFonts w:ascii="Palatino Linotype" w:eastAsia="Palatino Linotype" w:hAnsi="Palatino Linotype" w:cs="Palatino Linotype"/>
          <w:sz w:val="22"/>
          <w:szCs w:val="22"/>
        </w:rPr>
        <w:lastRenderedPageBreak/>
        <w:t xml:space="preserve">credencial que los acredite como tal, la cual será de naturaleza personal e intransferible. En esta credencial se consignan diversos datos personales </w:t>
      </w:r>
      <w:r>
        <w:rPr>
          <w:rFonts w:ascii="Palatino Linotype" w:eastAsia="Palatino Linotype" w:hAnsi="Palatino Linotype" w:cs="Palatino Linotype"/>
          <w:b/>
          <w:bCs/>
          <w:sz w:val="22"/>
          <w:szCs w:val="22"/>
        </w:rPr>
        <w:t>y se le asigna una clave para hacer identificable al trabajador con el objetivo de poder proporcionar los servicios que brinda el Instituto de Seguridad Social del Estado de México y Municipios.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numPr>
          <w:ilvl w:val="0"/>
          <w:numId w:val="6"/>
        </w:numPr>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Deducciones por Ley</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dichos datos, el artículo 84 de la Ley del Trabajo de los Servidores Públicos del Estado de México y Municipios, establece que a los trabajadores gubernamentales se les podrán </w:t>
      </w:r>
      <w:r>
        <w:rPr>
          <w:rFonts w:ascii="Palatino Linotype" w:eastAsia="Palatino Linotype" w:hAnsi="Palatino Linotype" w:cs="Palatino Linotype"/>
          <w:sz w:val="22"/>
          <w:szCs w:val="22"/>
        </w:rPr>
        <w:lastRenderedPageBreak/>
        <w:t>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advierte en el presente caso, que la servidora pública si cuenta con estas deducciones, pues el Sujeto Obligado, clasificó de manera correcta, su número de seguridad social (régimen de trabajo).</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 circunstancia y toda vez, que las deducciones por Ley, son de carácter obligatorio y ayuda a rendir cuentas, de que cumple con sus funciones de patrón, al retener determinado </w:t>
      </w:r>
      <w:r>
        <w:rPr>
          <w:rFonts w:ascii="Palatino Linotype" w:eastAsia="Palatino Linotype" w:hAnsi="Palatino Linotype" w:cs="Palatino Linotype"/>
          <w:sz w:val="22"/>
          <w:szCs w:val="22"/>
        </w:rPr>
        <w:lastRenderedPageBreak/>
        <w:t>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numPr>
          <w:ilvl w:val="0"/>
          <w:numId w:val="2"/>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Descuentos personales</w:t>
      </w: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rsidR="00113D2A" w:rsidRDefault="0059445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113D2A" w:rsidRDefault="0059445E">
      <w:pPr>
        <w:numPr>
          <w:ilvl w:val="0"/>
          <w:numId w:val="7"/>
        </w:numP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Sellos digitales del emisor y del Servicio de Administración Tributaria y cadena original del complemento de certificación digital del órgano previamente señalado; así como los respectivos números de serie de los certificados de sellos digitales, folio fiscal y número de serie del emisor. </w:t>
      </w:r>
    </w:p>
    <w:p w:rsidR="00113D2A" w:rsidRDefault="00113D2A">
      <w:pPr>
        <w:spacing w:line="360" w:lineRule="auto"/>
        <w:ind w:left="720"/>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w:t>
      </w:r>
      <w:r>
        <w:rPr>
          <w:rFonts w:ascii="Palatino Linotype" w:eastAsia="Palatino Linotype" w:hAnsi="Palatino Linotype" w:cs="Palatino Linotype"/>
          <w:color w:val="000000"/>
          <w:sz w:val="22"/>
          <w:szCs w:val="22"/>
        </w:rPr>
        <w:lastRenderedPageBreak/>
        <w:t>directa a la Secretaría de Hacienda y Crédito Público y si bien, dichas cadenas sí derivan de la información personal de los contribuyentes, esta se encuentra encriptada como se verá a continuación.</w:t>
      </w: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w:t>
      </w: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cadenas originales y sellos que se agregan a las facturas</w:t>
      </w:r>
      <w:r>
        <w:rPr>
          <w:rFonts w:ascii="Palatino Linotype" w:eastAsia="Palatino Linotype" w:hAnsi="Palatino Linotype" w:cs="Palatino Linotype"/>
          <w:b/>
          <w:bCs/>
          <w:color w:val="000000"/>
          <w:sz w:val="22"/>
          <w:szCs w:val="22"/>
        </w:rPr>
        <w:t>,</w:t>
      </w:r>
      <w:r>
        <w:rPr>
          <w:rFonts w:ascii="Palatino Linotype" w:eastAsia="Palatino Linotype" w:hAnsi="Palatino Linotype" w:cs="Palatino Linotype"/>
          <w:color w:val="000000"/>
          <w:sz w:val="22"/>
          <w:szCs w:val="22"/>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Elementos utilizados en la generación de Sellos Digitales:</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color w:val="000000"/>
        </w:rPr>
        <w:tab/>
        <w:t>Cadena Original, el elemento a sellar, en este caso de un comprobante fiscal digital a través de Internet.</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color w:val="000000"/>
        </w:rPr>
        <w:tab/>
        <w:t>Certificado de Sello Digital y su correspondiente clave privada.</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color w:val="000000"/>
        </w:rPr>
        <w:tab/>
        <w:t>Algoritmos de criptografía de clave pública para firma electrónica avanzada.</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color w:val="000000"/>
        </w:rPr>
        <w:tab/>
        <w:t>Especificaciones de conversión de la firma electrónica avanzada a Base 64.</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la generación de sellos digitales se utiliza criptografía de clave pública aplicada a una cadena original.</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Criptografía de la Clave Pública</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criptografía de Clave Pública se basa en la generación de una pareja de números muy grandes relacionados íntimamente entre sí, de tal manera que una operación de </w:t>
      </w:r>
      <w:proofErr w:type="spellStart"/>
      <w:r>
        <w:rPr>
          <w:rFonts w:ascii="Palatino Linotype" w:eastAsia="Palatino Linotype" w:hAnsi="Palatino Linotype" w:cs="Palatino Linotype"/>
          <w:i/>
          <w:iCs/>
          <w:color w:val="000000"/>
        </w:rPr>
        <w:t>encripción</w:t>
      </w:r>
      <w:proofErr w:type="spellEnd"/>
      <w:r>
        <w:rPr>
          <w:rFonts w:ascii="Palatino Linotype" w:eastAsia="Palatino Linotype" w:hAnsi="Palatino Linotype" w:cs="Palatino Linotype"/>
          <w:i/>
          <w:iCs/>
          <w:color w:val="000000"/>
        </w:rPr>
        <w:t xml:space="preserve"> sobre un mensaje tomando como clave de </w:t>
      </w:r>
      <w:proofErr w:type="spellStart"/>
      <w:r>
        <w:rPr>
          <w:rFonts w:ascii="Palatino Linotype" w:eastAsia="Palatino Linotype" w:hAnsi="Palatino Linotype" w:cs="Palatino Linotype"/>
          <w:i/>
          <w:iCs/>
          <w:color w:val="000000"/>
        </w:rPr>
        <w:t>encripción</w:t>
      </w:r>
      <w:proofErr w:type="spellEnd"/>
      <w:r>
        <w:rPr>
          <w:rFonts w:ascii="Palatino Linotype" w:eastAsia="Palatino Linotype" w:hAnsi="Palatino Linotype" w:cs="Palatino Linotype"/>
          <w:i/>
          <w:iCs/>
          <w:color w:val="000000"/>
        </w:rPr>
        <w:t xml:space="preserve"> a uno de los dos números, produce un mensaje alterado en su significado que solo puede ser devuelto a su estado original mediante la operación de </w:t>
      </w:r>
      <w:proofErr w:type="spellStart"/>
      <w:r>
        <w:rPr>
          <w:rFonts w:ascii="Palatino Linotype" w:eastAsia="Palatino Linotype" w:hAnsi="Palatino Linotype" w:cs="Palatino Linotype"/>
          <w:i/>
          <w:iCs/>
          <w:color w:val="000000"/>
        </w:rPr>
        <w:t>desencripción</w:t>
      </w:r>
      <w:proofErr w:type="spellEnd"/>
      <w:r>
        <w:rPr>
          <w:rFonts w:ascii="Palatino Linotype" w:eastAsia="Palatino Linotype" w:hAnsi="Palatino Linotype" w:cs="Palatino Linotype"/>
          <w:i/>
          <w:iCs/>
          <w:color w:val="000000"/>
        </w:rPr>
        <w:t xml:space="preserve"> correspondiente tomando como clave de </w:t>
      </w:r>
      <w:proofErr w:type="spellStart"/>
      <w:r>
        <w:rPr>
          <w:rFonts w:ascii="Palatino Linotype" w:eastAsia="Palatino Linotype" w:hAnsi="Palatino Linotype" w:cs="Palatino Linotype"/>
          <w:i/>
          <w:iCs/>
          <w:color w:val="000000"/>
        </w:rPr>
        <w:t>desencripción</w:t>
      </w:r>
      <w:proofErr w:type="spellEnd"/>
      <w:r>
        <w:rPr>
          <w:rFonts w:ascii="Palatino Linotype" w:eastAsia="Palatino Linotype" w:hAnsi="Palatino Linotype" w:cs="Palatino Linotype"/>
          <w:i/>
          <w:iCs/>
          <w:color w:val="000000"/>
        </w:rPr>
        <w:t xml:space="preserve"> al otro número de la pareja.</w:t>
      </w:r>
    </w:p>
    <w:p w:rsidR="00113D2A" w:rsidRDefault="0059445E">
      <w:pPr>
        <w:spacing w:line="360" w:lineRule="auto"/>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w:t>
      </w: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cual se advierte que únicamente se encuentra conformado por números, se muestra a continuación:</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extent cx="4619625" cy="9144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19625" cy="914400"/>
                    </a:xfrm>
                    <a:prstGeom prst="rect">
                      <a:avLst/>
                    </a:prstGeom>
                    <a:ln/>
                  </pic:spPr>
                </pic:pic>
              </a:graphicData>
            </a:graphic>
          </wp:inline>
        </w:drawing>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por lo que hace </w:t>
      </w:r>
      <w:r>
        <w:rPr>
          <w:rFonts w:ascii="Palatino Linotype" w:eastAsia="Palatino Linotype" w:hAnsi="Palatino Linotype" w:cs="Palatino Linotype"/>
          <w:b/>
          <w:bCs/>
          <w:color w:val="000000"/>
          <w:sz w:val="22"/>
          <w:szCs w:val="22"/>
        </w:rPr>
        <w:t>Folio Fiscal,</w:t>
      </w:r>
      <w:r>
        <w:rPr>
          <w:rFonts w:ascii="Palatino Linotype" w:eastAsia="Palatino Linotype" w:hAnsi="Palatino Linotype" w:cs="Palatino Linotype"/>
          <w:color w:val="000000"/>
          <w:sz w:val="22"/>
          <w:szCs w:val="22"/>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113D2A" w:rsidRDefault="0059445E">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extent cx="4438650" cy="10287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438650" cy="1028700"/>
                    </a:xfrm>
                    <a:prstGeom prst="rect">
                      <a:avLst/>
                    </a:prstGeom>
                    <a:ln/>
                  </pic:spPr>
                </pic:pic>
              </a:graphicData>
            </a:graphic>
          </wp:inline>
        </w:drawing>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por lo que hace al </w:t>
      </w:r>
      <w:r>
        <w:rPr>
          <w:rFonts w:ascii="Palatino Linotype" w:eastAsia="Palatino Linotype" w:hAnsi="Palatino Linotype" w:cs="Palatino Linotype"/>
          <w:b/>
          <w:bCs/>
          <w:color w:val="000000"/>
          <w:sz w:val="22"/>
          <w:szCs w:val="22"/>
        </w:rPr>
        <w:t>número de serie y folio interno</w:t>
      </w:r>
      <w:r>
        <w:rPr>
          <w:rFonts w:ascii="Palatino Linotype" w:eastAsia="Palatino Linotype" w:hAnsi="Palatino Linotype" w:cs="Palatino Linotype"/>
          <w:color w:val="000000"/>
          <w:sz w:val="22"/>
          <w:szCs w:val="22"/>
        </w:rPr>
        <w:t>,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ambos corresponden a dígitos que si bien determina el Sujeto Obligado,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Ahora bien, para el caso de la información curricular y cargo actual, cabe precisar que los documentos que den cuenta de los, pudieran contener información de carácter confidencial en términos del artículo 143, fracción I de la Ley de Transparencia y Acceso a la Información Pública del Estado de México y Municipios, por lo que se considera que el Sujeto Obligado deberá tomar en cuenta dicha circunstancia para su entrega, situación que se realiza conforme a lo siguiente: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Clave Única de Registro de Población (CURP);</w:t>
      </w: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Registro Federal de Contribuyentes del servidor público (RFC);</w:t>
      </w: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Domicilio particular;</w:t>
      </w: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Correo electrónico;</w:t>
      </w: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Número telefónico, y</w:t>
      </w:r>
    </w:p>
    <w:p w:rsidR="00113D2A" w:rsidRDefault="0059445E">
      <w:pPr>
        <w:numPr>
          <w:ilvl w:val="0"/>
          <w:numId w:val="19"/>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Fotografía.</w:t>
      </w:r>
    </w:p>
    <w:p w:rsidR="00113D2A" w:rsidRDefault="00113D2A">
      <w:pPr>
        <w:spacing w:line="360" w:lineRule="auto"/>
        <w:ind w:right="-28"/>
        <w:jc w:val="both"/>
        <w:rPr>
          <w:rFonts w:ascii="Palatino Linotype" w:eastAsia="Palatino Linotype" w:hAnsi="Palatino Linotype" w:cs="Palatino Linotype"/>
          <w:color w:val="000000"/>
          <w:sz w:val="22"/>
          <w:szCs w:val="22"/>
        </w:rPr>
      </w:pPr>
    </w:p>
    <w:p w:rsidR="00113D2A" w:rsidRDefault="0059445E">
      <w:pPr>
        <w:numPr>
          <w:ilvl w:val="0"/>
          <w:numId w:val="13"/>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Clave Única de Registro de Población (CURP)</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la Secretaría de Gobernación en las direcciones </w:t>
      </w:r>
      <w:hyperlink r:id="rId14">
        <w:r>
          <w:rPr>
            <w:rFonts w:ascii="Palatino Linotype" w:eastAsia="Palatino Linotype" w:hAnsi="Palatino Linotype" w:cs="Palatino Linotype"/>
            <w:color w:val="000000"/>
            <w:sz w:val="22"/>
            <w:szCs w:val="22"/>
            <w:u w:val="single"/>
          </w:rPr>
          <w:t>https://consultas.curp.gob.mx/CurpSP/html/informacionecurpPS.html</w:t>
        </w:r>
      </w:hyperlink>
      <w:r>
        <w:rPr>
          <w:rFonts w:ascii="Palatino Linotype" w:eastAsia="Palatino Linotype" w:hAnsi="Palatino Linotype" w:cs="Palatino Linotype"/>
          <w:color w:val="000000"/>
          <w:sz w:val="22"/>
          <w:szCs w:val="22"/>
        </w:rPr>
        <w:t xml:space="preserve"> y </w:t>
      </w:r>
      <w:hyperlink r:id="rId15">
        <w:r>
          <w:rPr>
            <w:rFonts w:ascii="Palatino Linotype" w:eastAsia="Palatino Linotype" w:hAnsi="Palatino Linotype" w:cs="Palatino Linotype"/>
            <w:color w:val="000000"/>
            <w:sz w:val="22"/>
            <w:szCs w:val="22"/>
            <w:u w:val="single"/>
          </w:rPr>
          <w:t>https://www.gob.mx/segob/renapo/acciones-y-programas/clave-unica-de-registro-de-poblacion-curp-142226</w:t>
        </w:r>
      </w:hyperlink>
      <w:r>
        <w:rPr>
          <w:rFonts w:ascii="Palatino Linotype" w:eastAsia="Palatino Linotype" w:hAnsi="Palatino Linotype" w:cs="Palatino Linotype"/>
          <w:color w:val="000000"/>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bCs/>
          <w:color w:val="000000"/>
          <w:sz w:val="22"/>
          <w:szCs w:val="22"/>
        </w:rPr>
        <w:t>se generan a partir de los datos contenidos en el documento probatorio de la identidad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 xml:space="preserve">del interesado </w:t>
      </w:r>
      <w:r>
        <w:rPr>
          <w:rFonts w:ascii="Palatino Linotype" w:eastAsia="Palatino Linotype" w:hAnsi="Palatino Linotype" w:cs="Palatino Linotype"/>
          <w:color w:val="000000"/>
          <w:sz w:val="22"/>
          <w:szCs w:val="22"/>
        </w:rPr>
        <w:t>(acta de nacimiento, carta de naturalización o documento migratorio) de la siguiente forma:</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numPr>
          <w:ilvl w:val="0"/>
          <w:numId w:val="1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primero y segundo apellidos, así como al nombre de pila;</w:t>
      </w:r>
    </w:p>
    <w:p w:rsidR="00113D2A" w:rsidRDefault="0059445E">
      <w:pPr>
        <w:numPr>
          <w:ilvl w:val="0"/>
          <w:numId w:val="1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fecha de nacimiento;</w:t>
      </w:r>
    </w:p>
    <w:p w:rsidR="00113D2A" w:rsidRDefault="0059445E">
      <w:pPr>
        <w:numPr>
          <w:ilvl w:val="0"/>
          <w:numId w:val="1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sexo, y</w:t>
      </w:r>
    </w:p>
    <w:p w:rsidR="00113D2A" w:rsidRDefault="0059445E">
      <w:pPr>
        <w:numPr>
          <w:ilvl w:val="0"/>
          <w:numId w:val="14"/>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entidad federativa de nacimiento.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dos últimos elementos de la Clave Única de Registro de Población evitan la duplicidad de la Clave y garantizan su correcta integración.</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rsidR="00113D2A" w:rsidRDefault="00113D2A">
      <w:pPr>
        <w:spacing w:line="360" w:lineRule="auto"/>
        <w:ind w:left="567" w:right="567"/>
        <w:jc w:val="both"/>
        <w:rPr>
          <w:rFonts w:ascii="Palatino Linotype" w:eastAsia="Palatino Linotype" w:hAnsi="Palatino Linotype" w:cs="Palatino Linotype"/>
          <w:color w:val="000000"/>
          <w:sz w:val="22"/>
          <w:szCs w:val="22"/>
        </w:rPr>
      </w:pPr>
    </w:p>
    <w:p w:rsidR="00113D2A" w:rsidRDefault="0059445E">
      <w:pPr>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“Clave Única de Registro de Población (CURP). </w:t>
      </w:r>
      <w:r>
        <w:rPr>
          <w:rFonts w:ascii="Palatino Linotype" w:eastAsia="Palatino Linotype" w:hAnsi="Palatino Linotype" w:cs="Palatino Linotype"/>
          <w:i/>
          <w:iCs/>
          <w:color w:val="000000"/>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numPr>
          <w:ilvl w:val="0"/>
          <w:numId w:val="13"/>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Registro Federal de Contribuyentes (RFC)</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color w:val="000000"/>
          <w:sz w:val="22"/>
          <w:szCs w:val="22"/>
        </w:rPr>
        <w:t>homoclave</w:t>
      </w:r>
      <w:proofErr w:type="spellEnd"/>
      <w:r>
        <w:rPr>
          <w:rFonts w:ascii="Palatino Linotype" w:eastAsia="Palatino Linotype" w:hAnsi="Palatino Linotype" w:cs="Palatino Linotype"/>
          <w:color w:val="000000"/>
          <w:sz w:val="22"/>
          <w:szCs w:val="22"/>
        </w:rPr>
        <w:t xml:space="preserve"> que establece el sistema automático del Servicio de Administración Tributaria.</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w:t>
      </w:r>
      <w:r>
        <w:rPr>
          <w:rFonts w:ascii="Palatino Linotype" w:eastAsia="Palatino Linotype" w:hAnsi="Palatino Linotype" w:cs="Palatino Linotype"/>
          <w:color w:val="000000"/>
          <w:sz w:val="22"/>
          <w:szCs w:val="22"/>
        </w:rPr>
        <w:lastRenderedPageBreak/>
        <w:t>contribuyentes; mientras que los particulares tramitan dicho dato, con el único propósito de realizar mediante esa clave de identificación, operaciones o actividades de naturaleza fiscal.</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el Registro Federal de Contribuyentes, es un dato personal, ya que hace a las personas físicas </w:t>
      </w:r>
      <w:r>
        <w:rPr>
          <w:rFonts w:ascii="Palatino Linotype" w:eastAsia="Palatino Linotype" w:hAnsi="Palatino Linotype" w:cs="Palatino Linotype"/>
          <w:sz w:val="22"/>
          <w:szCs w:val="22"/>
        </w:rPr>
        <w:t>identificadas</w:t>
      </w:r>
      <w:r>
        <w:rPr>
          <w:rFonts w:ascii="Palatino Linotype" w:eastAsia="Palatino Linotype" w:hAnsi="Palatino Linotype" w:cs="Palatino Linotype"/>
          <w:color w:val="000000"/>
          <w:sz w:val="22"/>
          <w:szCs w:val="22"/>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Pr>
          <w:rFonts w:ascii="Palatino Linotype" w:eastAsia="Palatino Linotype" w:hAnsi="Palatino Linotype" w:cs="Palatino Linotype"/>
          <w:sz w:val="22"/>
          <w:szCs w:val="22"/>
        </w:rPr>
        <w:t>involucradas</w:t>
      </w:r>
      <w:proofErr w:type="gramEnd"/>
      <w:r>
        <w:rPr>
          <w:rFonts w:ascii="Palatino Linotype" w:eastAsia="Palatino Linotype" w:hAnsi="Palatino Linotype" w:cs="Palatino Linotype"/>
          <w:color w:val="000000"/>
          <w:sz w:val="22"/>
          <w:szCs w:val="22"/>
        </w:rPr>
        <w:t xml:space="preserve">, en el pago de estos, en el presente caso, del pago del Impuesto Sobre el Producto del Trabajo.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“Registro Federal de Contribuyentes (RFC) de personas físicas.</w:t>
      </w:r>
      <w:r>
        <w:rPr>
          <w:rFonts w:ascii="Palatino Linotype" w:eastAsia="Palatino Linotype" w:hAnsi="Palatino Linotype" w:cs="Palatino Linotype"/>
          <w:i/>
          <w:iCs/>
          <w:color w:val="000000"/>
          <w:sz w:val="22"/>
          <w:szCs w:val="22"/>
        </w:rPr>
        <w:t xml:space="preserve"> El RFC es una clave de carácter fiscal, única e irrepetible, que permite identificar al titular, su edad y fecha de nacimiento, por lo que es un dato personal de carácter confidencial.”</w:t>
      </w:r>
    </w:p>
    <w:p w:rsidR="00113D2A" w:rsidRDefault="00113D2A">
      <w:pPr>
        <w:spacing w:line="360" w:lineRule="auto"/>
        <w:ind w:left="567" w:right="567"/>
        <w:jc w:val="both"/>
        <w:rPr>
          <w:rFonts w:ascii="Palatino Linotype" w:eastAsia="Palatino Linotype" w:hAnsi="Palatino Linotype" w:cs="Palatino Linotype"/>
          <w:i/>
          <w:iCs/>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Pr>
          <w:rFonts w:ascii="Palatino Linotype" w:eastAsia="Palatino Linotype" w:hAnsi="Palatino Linotype" w:cs="Palatino Linotype"/>
          <w:color w:val="000000"/>
          <w:sz w:val="22"/>
          <w:szCs w:val="22"/>
        </w:rPr>
        <w:lastRenderedPageBreak/>
        <w:t>actualizar el supuesto normativo del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Domicilio de particulares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numPr>
          <w:ilvl w:val="0"/>
          <w:numId w:val="17"/>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Correo electrónico particular</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numPr>
          <w:ilvl w:val="0"/>
          <w:numId w:val="1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Número de teléfono o celular particular</w:t>
      </w:r>
    </w:p>
    <w:p w:rsidR="00113D2A" w:rsidRDefault="00113D2A">
      <w:pPr>
        <w:spacing w:line="360" w:lineRule="auto"/>
        <w:ind w:left="720"/>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tales consideraciones, dicho dato personal es susceptible de ser clasificado como confidencial, con fundamento en el artículo 143, fracción I de la Ley de Transparencia y Acceso a la Información Pública.</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numPr>
          <w:ilvl w:val="0"/>
          <w:numId w:val="15"/>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Fotografía</w:t>
      </w:r>
    </w:p>
    <w:p w:rsidR="00113D2A" w:rsidRDefault="00113D2A">
      <w:pPr>
        <w:spacing w:line="360" w:lineRule="auto"/>
        <w:ind w:right="-93"/>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w:t>
      </w:r>
      <w:r>
        <w:rPr>
          <w:rFonts w:ascii="Palatino Linotype" w:eastAsia="Palatino Linotype" w:hAnsi="Palatino Linotype" w:cs="Palatino Linotype"/>
          <w:color w:val="000000"/>
          <w:sz w:val="22"/>
          <w:szCs w:val="22"/>
        </w:rPr>
        <w:lastRenderedPageBreak/>
        <w:t>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w:t>
      </w:r>
      <w:r>
        <w:rPr>
          <w:rFonts w:ascii="Palatino Linotype" w:eastAsia="Palatino Linotype" w:hAnsi="Palatino Linotype" w:cs="Palatino Linotype"/>
          <w:sz w:val="22"/>
          <w:szCs w:val="22"/>
        </w:rPr>
        <w:t>acreditará</w:t>
      </w:r>
      <w:r>
        <w:rPr>
          <w:rFonts w:ascii="Palatino Linotype" w:eastAsia="Palatino Linotype" w:hAnsi="Palatino Linotype" w:cs="Palatino Linotype"/>
          <w:color w:val="000000"/>
          <w:sz w:val="22"/>
          <w:szCs w:val="22"/>
        </w:rPr>
        <w:t xml:space="preserve"> e identificaría a una persona como servidor público, por lo que es posible advertir que existe cierto interés público, cuando la fotografía obra en documentos de servidores públicos vinculados con el cumplimiento de disposiciones legales.</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este sentido, resultan aplicables por analogía, los Criterios de Interpretación, con clave de control SO/015/2017 y SO/001/2013, emitidos por el entonces del Instituto Nacional de </w:t>
      </w:r>
      <w:r>
        <w:rPr>
          <w:rFonts w:ascii="Palatino Linotype" w:eastAsia="Palatino Linotype" w:hAnsi="Palatino Linotype" w:cs="Palatino Linotype"/>
          <w:color w:val="000000"/>
          <w:sz w:val="22"/>
          <w:szCs w:val="22"/>
        </w:rPr>
        <w:lastRenderedPageBreak/>
        <w:t>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113D2A" w:rsidRDefault="00113D2A">
      <w:pPr>
        <w:tabs>
          <w:tab w:val="left" w:pos="4962"/>
        </w:tabs>
        <w:spacing w:line="360" w:lineRule="auto"/>
        <w:jc w:val="both"/>
        <w:rPr>
          <w:rFonts w:ascii="Palatino Linotype" w:eastAsia="Palatino Linotype" w:hAnsi="Palatino Linotype" w:cs="Palatino Linotype"/>
          <w:color w:val="000000"/>
          <w:sz w:val="22"/>
          <w:szCs w:val="22"/>
        </w:rPr>
      </w:pPr>
    </w:p>
    <w:p w:rsidR="00113D2A" w:rsidRDefault="0059445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considera que el Sujeto Obligado deberá proporcionar lo solicitado en versión pública, en atención a lo analizado en el presente Considerando;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pStyle w:val="Ttulo2"/>
        <w:spacing w:before="0" w:after="0" w:line="360" w:lineRule="auto"/>
        <w:rPr>
          <w:rFonts w:ascii="Palatino Linotype" w:eastAsia="Palatino Linotype" w:hAnsi="Palatino Linotype" w:cs="Palatino Linotype"/>
          <w:b/>
          <w:bCs/>
          <w:color w:val="000000"/>
          <w:sz w:val="22"/>
          <w:szCs w:val="22"/>
        </w:rPr>
      </w:pPr>
      <w:bookmarkStart w:id="16" w:name="_Toc219990913"/>
      <w:r>
        <w:rPr>
          <w:rFonts w:ascii="Palatino Linotype" w:eastAsia="Palatino Linotype" w:hAnsi="Palatino Linotype" w:cs="Palatino Linotype"/>
          <w:b/>
          <w:bCs/>
          <w:color w:val="000000"/>
          <w:sz w:val="22"/>
          <w:szCs w:val="22"/>
        </w:rPr>
        <w:t>SEXTO. Decisión</w:t>
      </w:r>
      <w:bookmarkEnd w:id="16"/>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lastRenderedPageBreak/>
        <w:t>MODIFICAR</w:t>
      </w:r>
      <w:r>
        <w:rPr>
          <w:rFonts w:ascii="Palatino Linotype" w:eastAsia="Palatino Linotype" w:hAnsi="Palatino Linotype" w:cs="Palatino Linotype"/>
          <w:sz w:val="22"/>
          <w:szCs w:val="22"/>
        </w:rPr>
        <w:t xml:space="preserve"> la respuesta otorgada a la solicitud de información 00277/OPDTEOLOYUCAN/IP/2025, a efecto de que, proporcione en versión pública la información solicitada.</w:t>
      </w:r>
    </w:p>
    <w:p w:rsidR="00113D2A" w:rsidRDefault="00113D2A">
      <w:pPr>
        <w:spacing w:line="360" w:lineRule="auto"/>
        <w:jc w:val="both"/>
        <w:rPr>
          <w:rFonts w:ascii="Palatino Linotype" w:eastAsia="Palatino Linotype" w:hAnsi="Palatino Linotype" w:cs="Palatino Linotype"/>
          <w:b/>
          <w:bCs/>
          <w:sz w:val="22"/>
          <w:szCs w:val="22"/>
        </w:rPr>
      </w:pPr>
    </w:p>
    <w:p w:rsidR="00113D2A" w:rsidRDefault="0059445E">
      <w:pPr>
        <w:spacing w:line="360" w:lineRule="auto"/>
        <w:jc w:val="both"/>
        <w:rPr>
          <w:rFonts w:ascii="Palatino Linotype" w:eastAsia="Palatino Linotype" w:hAnsi="Palatino Linotype" w:cs="Palatino Linotype"/>
          <w:b/>
          <w:bCs/>
          <w:color w:val="000000"/>
          <w:sz w:val="22"/>
          <w:szCs w:val="22"/>
        </w:rPr>
      </w:pPr>
      <w:bookmarkStart w:id="17" w:name="_heading=h.wok8w55zsxkt" w:colFirst="0" w:colLast="0"/>
      <w:bookmarkEnd w:id="17"/>
      <w:r>
        <w:rPr>
          <w:rFonts w:ascii="Palatino Linotype" w:eastAsia="Palatino Linotype" w:hAnsi="Palatino Linotype" w:cs="Palatino Linotype"/>
          <w:b/>
          <w:bCs/>
          <w:color w:val="000000"/>
          <w:sz w:val="22"/>
          <w:szCs w:val="22"/>
        </w:rPr>
        <w:t>Términos de la Resolución para el Recurrente</w:t>
      </w:r>
    </w:p>
    <w:p w:rsidR="00113D2A" w:rsidRDefault="00113D2A">
      <w:pPr>
        <w:spacing w:line="360" w:lineRule="auto"/>
        <w:jc w:val="both"/>
        <w:rPr>
          <w:rFonts w:ascii="Palatino Linotype" w:eastAsia="Palatino Linotype" w:hAnsi="Palatino Linotype" w:cs="Palatino Linotype"/>
          <w:b/>
          <w:bCs/>
          <w:color w:val="FF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al Particular, que, en el presente caso, se le concede la razón, pues el Organismo Público Descentralizado para la Prestación de los Servicios de Agua Potable y Alcantarillado y Saneamiento de Teoloyucan, no entregó la información de manera completa.</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labor del Instituto, es apoyar a la población para acceder a la información pública y garantizar la protección de los datos personales.</w:t>
      </w:r>
    </w:p>
    <w:p w:rsidR="00113D2A" w:rsidRDefault="00113D2A">
      <w:pPr>
        <w:spacing w:line="360" w:lineRule="auto"/>
        <w:jc w:val="both"/>
        <w:rPr>
          <w:rFonts w:ascii="Palatino Linotype" w:eastAsia="Palatino Linotype" w:hAnsi="Palatino Linotype" w:cs="Palatino Linotype"/>
          <w:color w:val="000000"/>
          <w:sz w:val="22"/>
          <w:szCs w:val="22"/>
        </w:rPr>
      </w:pPr>
    </w:p>
    <w:p w:rsidR="00113D2A" w:rsidRDefault="0059445E">
      <w:pP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113D2A" w:rsidRDefault="00113D2A">
      <w:pPr>
        <w:spacing w:line="360" w:lineRule="auto"/>
        <w:ind w:right="-93"/>
        <w:jc w:val="both"/>
        <w:rPr>
          <w:rFonts w:ascii="Palatino Linotype" w:eastAsia="Palatino Linotype" w:hAnsi="Palatino Linotype" w:cs="Palatino Linotype"/>
          <w:color w:val="000000"/>
          <w:sz w:val="22"/>
          <w:szCs w:val="22"/>
        </w:rPr>
      </w:pPr>
    </w:p>
    <w:p w:rsidR="00113D2A" w:rsidRDefault="0059445E">
      <w:pPr>
        <w:pStyle w:val="Ttulo1"/>
        <w:spacing w:before="0" w:after="0" w:line="360" w:lineRule="auto"/>
        <w:jc w:val="center"/>
        <w:rPr>
          <w:rFonts w:ascii="Palatino Linotype" w:eastAsia="Palatino Linotype" w:hAnsi="Palatino Linotype" w:cs="Palatino Linotype"/>
          <w:b/>
          <w:bCs/>
          <w:color w:val="000000"/>
          <w:sz w:val="22"/>
          <w:szCs w:val="22"/>
        </w:rPr>
      </w:pPr>
      <w:bookmarkStart w:id="18" w:name="_Toc219990914"/>
      <w:r>
        <w:rPr>
          <w:rFonts w:ascii="Palatino Linotype" w:eastAsia="Palatino Linotype" w:hAnsi="Palatino Linotype" w:cs="Palatino Linotype"/>
          <w:b/>
          <w:bCs/>
          <w:color w:val="000000"/>
          <w:sz w:val="22"/>
          <w:szCs w:val="22"/>
        </w:rPr>
        <w:t>R E S U E L V E</w:t>
      </w:r>
      <w:bookmarkEnd w:id="18"/>
    </w:p>
    <w:p w:rsidR="00113D2A" w:rsidRDefault="00113D2A">
      <w:pPr>
        <w:spacing w:line="360" w:lineRule="auto"/>
        <w:ind w:right="-28"/>
        <w:jc w:val="both"/>
        <w:rPr>
          <w:rFonts w:ascii="Palatino Linotype" w:eastAsia="Palatino Linotype" w:hAnsi="Palatino Linotype" w:cs="Palatino Linotype"/>
          <w:b/>
          <w:bCs/>
          <w:sz w:val="22"/>
          <w:szCs w:val="22"/>
        </w:rPr>
      </w:pPr>
    </w:p>
    <w:p w:rsidR="00113D2A" w:rsidRDefault="0059445E">
      <w:pPr>
        <w:widowControl w:val="0"/>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MODIFICA </w:t>
      </w:r>
      <w:r>
        <w:rPr>
          <w:rFonts w:ascii="Palatino Linotype" w:eastAsia="Palatino Linotype" w:hAnsi="Palatino Linotype" w:cs="Palatino Linotype"/>
          <w:sz w:val="22"/>
          <w:szCs w:val="22"/>
        </w:rPr>
        <w:t>la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respuesta entregada por el </w:t>
      </w:r>
      <w:r>
        <w:rPr>
          <w:rFonts w:ascii="Palatino Linotype" w:eastAsia="Palatino Linotype" w:hAnsi="Palatino Linotype" w:cs="Palatino Linotype"/>
          <w:color w:val="000000"/>
          <w:sz w:val="22"/>
          <w:szCs w:val="22"/>
        </w:rPr>
        <w:t>Organismo Público Descentralizado para la Prestación de los Servicios de Agua Potable y Alcantarillado y Saneamiento de Teoloyucan</w:t>
      </w:r>
      <w:r>
        <w:rPr>
          <w:rFonts w:ascii="Palatino Linotype" w:eastAsia="Palatino Linotype" w:hAnsi="Palatino Linotype" w:cs="Palatino Linotype"/>
          <w:sz w:val="22"/>
          <w:szCs w:val="22"/>
        </w:rPr>
        <w:t xml:space="preserve">, a la solicitud de información 00277/OPDTEOLOYUCAN/IP/2025, por resultar </w:t>
      </w:r>
      <w:r>
        <w:rPr>
          <w:rFonts w:ascii="Palatino Linotype" w:eastAsia="Palatino Linotype" w:hAnsi="Palatino Linotype" w:cs="Palatino Linotype"/>
          <w:b/>
          <w:bCs/>
          <w:smallCaps/>
          <w:sz w:val="22"/>
          <w:szCs w:val="22"/>
        </w:rPr>
        <w:t>FUNDADAS</w:t>
      </w:r>
      <w:r>
        <w:rPr>
          <w:rFonts w:ascii="Palatino Linotype" w:eastAsia="Palatino Linotype" w:hAnsi="Palatino Linotype" w:cs="Palatino Linotype"/>
          <w:sz w:val="22"/>
          <w:szCs w:val="22"/>
        </w:rPr>
        <w:t xml:space="preserve"> las razones o motivos de inconformidad hechos valer por el Recurrente, en términos de los considerandos QUINTO </w:t>
      </w:r>
      <w:r>
        <w:rPr>
          <w:rFonts w:ascii="Palatino Linotype" w:eastAsia="Palatino Linotype" w:hAnsi="Palatino Linotype" w:cs="Palatino Linotype"/>
          <w:sz w:val="22"/>
          <w:szCs w:val="22"/>
        </w:rPr>
        <w:lastRenderedPageBreak/>
        <w:t>y SEXTO de la presente Resolución.</w:t>
      </w:r>
    </w:p>
    <w:p w:rsidR="00113D2A" w:rsidRDefault="00113D2A">
      <w:pPr>
        <w:widowControl w:val="0"/>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al Ente Recurrido a efecto de que previa búsqueda exhaustiva y razonable en las unidades administrativas competentes, entregue a través del SAIMEX, en su caso en versión pública, respecto de la servidora pública Gabriela Mayen Martínez, adscrita al </w:t>
      </w:r>
      <w:r>
        <w:rPr>
          <w:rFonts w:ascii="Palatino Linotype" w:eastAsia="Palatino Linotype" w:hAnsi="Palatino Linotype" w:cs="Palatino Linotype"/>
          <w:color w:val="000000"/>
          <w:sz w:val="22"/>
          <w:szCs w:val="22"/>
        </w:rPr>
        <w:t xml:space="preserve">Organismo Público Descentralizado para la Prestación de los Servicios de Agua Potable y Alcantarillado y Saneamiento de Teoloyucan </w:t>
      </w:r>
      <w:r>
        <w:rPr>
          <w:rFonts w:ascii="Palatino Linotype" w:eastAsia="Palatino Linotype" w:hAnsi="Palatino Linotype" w:cs="Palatino Linotype"/>
          <w:sz w:val="22"/>
          <w:szCs w:val="22"/>
        </w:rPr>
        <w:t>lo siguiente: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Los recibos de nómina de la primera y segunda quincena del mes de junio de dos mil veinticinco.</w:t>
      </w:r>
    </w:p>
    <w:p w:rsidR="00113D2A" w:rsidRDefault="0059445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La información Curricular.</w:t>
      </w:r>
    </w:p>
    <w:p w:rsidR="00113D2A" w:rsidRDefault="0059445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El documento donde consten los reconocimientos o diplomas.</w:t>
      </w:r>
    </w:p>
    <w:p w:rsidR="00113D2A" w:rsidRDefault="0059445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El documento donde conste su cargo vigente</w:t>
      </w:r>
    </w:p>
    <w:p w:rsidR="00113D2A" w:rsidRDefault="00113D2A">
      <w:pPr>
        <w:spacing w:line="360" w:lineRule="auto"/>
        <w:jc w:val="both"/>
        <w:rPr>
          <w:rFonts w:ascii="Palatino Linotype" w:eastAsia="Palatino Linotype" w:hAnsi="Palatino Linotype" w:cs="Palatino Linotype"/>
          <w:color w:val="0D0D0D"/>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deberá proporcionar el Acuerdo de Clasificación donde el Comité de Transparencia, confirme la eliminación de los datos confidenciales en términos del Considerando QUINTO, en la versión pública, de conformidad con los artículos 49, fracciones II y VIII, 132, fracción II, 143, fracción I, y 149 de la Ley de Transparencia y Acceso a la Información Pública del Estado de México y Municipios. </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caso del numeral 3 por no haberse generado o estar en sus archivos bastará con que así lo informe de manera clara al recurrente.</w:t>
      </w: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TERCERO. NOTIFÍQUESE POR SAIMEX</w:t>
      </w:r>
      <w:r>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13D2A" w:rsidRDefault="00113D2A">
      <w:pPr>
        <w:spacing w:line="360" w:lineRule="auto"/>
        <w:jc w:val="both"/>
        <w:rPr>
          <w:rFonts w:ascii="Palatino Linotype" w:eastAsia="Palatino Linotype" w:hAnsi="Palatino Linotype" w:cs="Palatino Linotype"/>
          <w:sz w:val="22"/>
          <w:szCs w:val="22"/>
        </w:rPr>
      </w:pPr>
    </w:p>
    <w:p w:rsidR="00113D2A" w:rsidRDefault="00113D2A">
      <w:pPr>
        <w:spacing w:line="360" w:lineRule="auto"/>
        <w:jc w:val="both"/>
        <w:rPr>
          <w:rFonts w:ascii="Palatino Linotype" w:eastAsia="Palatino Linotype" w:hAnsi="Palatino Linotype" w:cs="Palatino Linotype"/>
          <w:sz w:val="22"/>
          <w:szCs w:val="22"/>
        </w:rPr>
      </w:pPr>
    </w:p>
    <w:p w:rsidR="00113D2A" w:rsidRDefault="0059445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w:t>
      </w:r>
      <w:r>
        <w:rPr>
          <w:rFonts w:ascii="Palatino Linotype" w:eastAsia="Palatino Linotype" w:hAnsi="Palatino Linotype" w:cs="Palatino Linotype"/>
          <w:sz w:val="22"/>
          <w:szCs w:val="22"/>
        </w:rPr>
        <w:lastRenderedPageBreak/>
        <w:t>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rPr>
          <w:rFonts w:ascii="Palatino Linotype" w:eastAsia="Palatino Linotype" w:hAnsi="Palatino Linotype" w:cs="Palatino Linotype"/>
        </w:rPr>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p w:rsidR="00113D2A" w:rsidRDefault="00113D2A">
      <w:pPr>
        <w:spacing w:line="360" w:lineRule="auto"/>
      </w:pPr>
    </w:p>
    <w:sectPr w:rsidR="00113D2A">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564" w:rsidRDefault="008C4564">
      <w:r>
        <w:separator/>
      </w:r>
    </w:p>
  </w:endnote>
  <w:endnote w:type="continuationSeparator" w:id="0">
    <w:p w:rsidR="008C4564" w:rsidRDefault="008C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71CECC8-DC95-46A2-9475-824716065C7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CED1EE8-6E47-43EC-841D-7F3474EF6444}"/>
    <w:embedBold r:id="rId3" w:fontKey="{27CF2DDD-E21B-43CA-BFAB-50DCB908710A}"/>
    <w:embedItalic r:id="rId4" w:fontKey="{097C1549-08EF-470B-ACAB-CA0791BC0542}"/>
    <w:embedBoldItalic r:id="rId5" w:fontKey="{D1479996-B756-49B0-B7AF-0B14D50964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3B670D7-6EA3-4619-9A52-5695396E3452}"/>
  </w:font>
  <w:font w:name="Calibri Light">
    <w:panose1 w:val="020F0302020204030204"/>
    <w:charset w:val="00"/>
    <w:family w:val="swiss"/>
    <w:pitch w:val="variable"/>
    <w:sig w:usb0="E4002EFF" w:usb1="C200247B" w:usb2="00000009" w:usb3="00000000" w:csb0="000001FF" w:csb1="00000000"/>
    <w:embedRegular r:id="rId7" w:fontKey="{7B4930DF-3EBA-4EF7-BB14-7B73536B0141}"/>
  </w:font>
  <w:font w:name="Garamond">
    <w:panose1 w:val="02020404030301010803"/>
    <w:charset w:val="00"/>
    <w:family w:val="roman"/>
    <w:pitch w:val="variable"/>
    <w:sig w:usb0="00000287" w:usb1="00000000" w:usb2="00000000" w:usb3="00000000" w:csb0="0000009F" w:csb1="00000000"/>
    <w:embedRegular r:id="rId8" w:fontKey="{B5163DF6-560B-4B09-BEFA-E656F6F025D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59445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C752E9">
      <w:rPr>
        <w:rFonts w:ascii="Palatino Linotype" w:eastAsia="Palatino Linotype" w:hAnsi="Palatino Linotype" w:cs="Palatino Linotype"/>
        <w:b/>
        <w:bCs/>
        <w:color w:val="000000"/>
        <w:sz w:val="22"/>
        <w:szCs w:val="22"/>
      </w:rPr>
      <w:fldChar w:fldCharType="separate"/>
    </w:r>
    <w:r w:rsidR="00C752E9">
      <w:rPr>
        <w:rFonts w:ascii="Palatino Linotype" w:eastAsia="Palatino Linotype" w:hAnsi="Palatino Linotype" w:cs="Palatino Linotype"/>
        <w:b/>
        <w:bCs/>
        <w:noProof/>
        <w:color w:val="000000"/>
        <w:sz w:val="22"/>
        <w:szCs w:val="22"/>
      </w:rPr>
      <w:t>54</w:t>
    </w:r>
    <w:r>
      <w:rPr>
        <w:rFonts w:ascii="Palatino Linotype" w:eastAsia="Palatino Linotype" w:hAnsi="Palatino Linotype" w:cs="Palatino Linotype"/>
        <w:b/>
        <w:bCs/>
        <w:color w:val="000000"/>
        <w:sz w:val="22"/>
        <w:szCs w:val="22"/>
      </w:rPr>
      <w:fldChar w:fldCharType="end"/>
    </w:r>
  </w:p>
  <w:p w:rsidR="00113D2A" w:rsidRDefault="00113D2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59445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C752E9">
      <w:rPr>
        <w:rFonts w:ascii="Palatino Linotype" w:eastAsia="Palatino Linotype" w:hAnsi="Palatino Linotype" w:cs="Palatino Linotype"/>
        <w:b/>
        <w:bCs/>
        <w:noProof/>
        <w:color w:val="000000"/>
        <w:sz w:val="22"/>
        <w:szCs w:val="22"/>
      </w:rPr>
      <w:t>53</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C752E9">
      <w:rPr>
        <w:rFonts w:ascii="Palatino Linotype" w:eastAsia="Palatino Linotype" w:hAnsi="Palatino Linotype" w:cs="Palatino Linotype"/>
        <w:b/>
        <w:bCs/>
        <w:noProof/>
        <w:color w:val="000000"/>
        <w:sz w:val="22"/>
        <w:szCs w:val="22"/>
      </w:rPr>
      <w:t>54</w:t>
    </w:r>
    <w:r>
      <w:rPr>
        <w:rFonts w:ascii="Palatino Linotype" w:eastAsia="Palatino Linotype" w:hAnsi="Palatino Linotype" w:cs="Palatino Linotype"/>
        <w:b/>
        <w:bCs/>
        <w:color w:val="000000"/>
        <w:sz w:val="22"/>
        <w:szCs w:val="22"/>
      </w:rPr>
      <w:fldChar w:fldCharType="end"/>
    </w:r>
  </w:p>
  <w:p w:rsidR="00113D2A" w:rsidRDefault="00113D2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59445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C752E9">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C752E9">
      <w:rPr>
        <w:rFonts w:ascii="Palatino Linotype" w:eastAsia="Palatino Linotype" w:hAnsi="Palatino Linotype" w:cs="Palatino Linotype"/>
        <w:b/>
        <w:bCs/>
        <w:noProof/>
        <w:color w:val="000000"/>
        <w:sz w:val="22"/>
        <w:szCs w:val="22"/>
      </w:rPr>
      <w:t>54</w:t>
    </w:r>
    <w:r>
      <w:rPr>
        <w:rFonts w:ascii="Palatino Linotype" w:eastAsia="Palatino Linotype" w:hAnsi="Palatino Linotype" w:cs="Palatino Linotype"/>
        <w:b/>
        <w:bCs/>
        <w:color w:val="000000"/>
        <w:sz w:val="22"/>
        <w:szCs w:val="22"/>
      </w:rPr>
      <w:fldChar w:fldCharType="end"/>
    </w:r>
  </w:p>
  <w:p w:rsidR="00113D2A" w:rsidRDefault="00113D2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564" w:rsidRDefault="008C4564">
      <w:r>
        <w:separator/>
      </w:r>
    </w:p>
  </w:footnote>
  <w:footnote w:type="continuationSeparator" w:id="0">
    <w:p w:rsidR="008C4564" w:rsidRDefault="008C4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113D2A">
    <w:pPr>
      <w:widowControl w:val="0"/>
      <w:pBdr>
        <w:top w:val="nil"/>
        <w:left w:val="nil"/>
        <w:bottom w:val="nil"/>
        <w:right w:val="nil"/>
        <w:between w:val="nil"/>
      </w:pBdr>
      <w:spacing w:line="276" w:lineRule="auto"/>
    </w:pPr>
  </w:p>
  <w:tbl>
    <w:tblPr>
      <w:tblStyle w:val="a"/>
      <w:tblW w:w="9705" w:type="dxa"/>
      <w:tblInd w:w="0" w:type="dxa"/>
      <w:tblLayout w:type="fixed"/>
      <w:tblLook w:val="0400" w:firstRow="0" w:lastRow="0" w:firstColumn="0" w:lastColumn="0" w:noHBand="0" w:noVBand="1"/>
    </w:tblPr>
    <w:tblGrid>
      <w:gridCol w:w="2972"/>
      <w:gridCol w:w="6733"/>
    </w:tblGrid>
    <w:tr w:rsidR="00113D2A">
      <w:trPr>
        <w:trHeight w:val="1435"/>
      </w:trPr>
      <w:tc>
        <w:tcPr>
          <w:tcW w:w="0" w:type="auto"/>
        </w:tcPr>
        <w:p w:rsidR="00113D2A" w:rsidRDefault="00113D2A">
          <w:pPr>
            <w:tabs>
              <w:tab w:val="right" w:pos="4273"/>
            </w:tabs>
            <w:spacing w:line="256" w:lineRule="auto"/>
            <w:rPr>
              <w:rFonts w:ascii="Garamond" w:eastAsia="Garamond" w:hAnsi="Garamond" w:cs="Garamond"/>
              <w:sz w:val="22"/>
              <w:szCs w:val="22"/>
            </w:rPr>
          </w:pPr>
        </w:p>
      </w:tc>
      <w:tc>
        <w:tcPr>
          <w:tcW w:w="0" w:type="auto"/>
        </w:tcPr>
        <w:p w:rsidR="00113D2A" w:rsidRDefault="00113D2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113D2A">
            <w:trPr>
              <w:trHeight w:val="144"/>
            </w:trPr>
            <w:tc>
              <w:tcPr>
                <w:tcW w:w="0" w:type="auto"/>
              </w:tcPr>
              <w:p w:rsidR="00113D2A" w:rsidRDefault="0059445E">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113D2A" w:rsidRDefault="0059445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113D2A">
            <w:trPr>
              <w:trHeight w:val="283"/>
            </w:trPr>
            <w:tc>
              <w:tcPr>
                <w:tcW w:w="0" w:type="auto"/>
              </w:tcPr>
              <w:p w:rsidR="00113D2A" w:rsidRDefault="0059445E">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113D2A" w:rsidRDefault="0059445E">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113D2A">
            <w:trPr>
              <w:trHeight w:val="283"/>
            </w:trPr>
            <w:tc>
              <w:tcPr>
                <w:tcW w:w="0" w:type="auto"/>
              </w:tcPr>
              <w:p w:rsidR="00113D2A" w:rsidRDefault="0059445E">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113D2A" w:rsidRDefault="0059445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113D2A" w:rsidRDefault="00113D2A">
                <w:pPr>
                  <w:tabs>
                    <w:tab w:val="right" w:pos="8838"/>
                  </w:tabs>
                  <w:ind w:left="-74" w:right="-105"/>
                  <w:jc w:val="both"/>
                  <w:rPr>
                    <w:rFonts w:ascii="Palatino Linotype" w:eastAsia="Palatino Linotype" w:hAnsi="Palatino Linotype" w:cs="Palatino Linotype"/>
                    <w:b/>
                    <w:bCs/>
                    <w:sz w:val="22"/>
                    <w:szCs w:val="22"/>
                  </w:rPr>
                </w:pPr>
              </w:p>
            </w:tc>
          </w:tr>
        </w:tbl>
        <w:p w:rsidR="00113D2A" w:rsidRDefault="00113D2A">
          <w:pPr>
            <w:tabs>
              <w:tab w:val="right" w:pos="8838"/>
            </w:tabs>
            <w:spacing w:line="256" w:lineRule="auto"/>
            <w:ind w:left="-28"/>
            <w:jc w:val="both"/>
            <w:rPr>
              <w:rFonts w:ascii="Arial" w:eastAsia="Arial" w:hAnsi="Arial" w:cs="Arial"/>
              <w:b/>
              <w:bCs/>
              <w:sz w:val="22"/>
              <w:szCs w:val="22"/>
            </w:rPr>
          </w:pPr>
        </w:p>
      </w:tc>
    </w:tr>
  </w:tbl>
  <w:p w:rsidR="00113D2A" w:rsidRDefault="0059445E">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-1381124</wp:posOffset>
          </wp:positionH>
          <wp:positionV relativeFrom="margin">
            <wp:posOffset>-1611629</wp:posOffset>
          </wp:positionV>
          <wp:extent cx="5612130" cy="730821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113D2A">
    <w:pPr>
      <w:widowControl w:val="0"/>
      <w:pBdr>
        <w:top w:val="nil"/>
        <w:left w:val="nil"/>
        <w:bottom w:val="nil"/>
        <w:right w:val="nil"/>
        <w:between w:val="nil"/>
      </w:pBdr>
      <w:spacing w:line="276" w:lineRule="auto"/>
      <w:rPr>
        <w:color w:val="000000"/>
      </w:rPr>
    </w:pPr>
  </w:p>
  <w:tbl>
    <w:tblPr>
      <w:tblStyle w:val="a1"/>
      <w:tblW w:w="9356" w:type="dxa"/>
      <w:tblInd w:w="0" w:type="dxa"/>
      <w:tblLayout w:type="fixed"/>
      <w:tblLook w:val="0400" w:firstRow="0" w:lastRow="0" w:firstColumn="0" w:lastColumn="0" w:noHBand="0" w:noVBand="1"/>
    </w:tblPr>
    <w:tblGrid>
      <w:gridCol w:w="1985"/>
      <w:gridCol w:w="7371"/>
    </w:tblGrid>
    <w:tr w:rsidR="00113D2A">
      <w:trPr>
        <w:trHeight w:val="1435"/>
      </w:trPr>
      <w:tc>
        <w:tcPr>
          <w:tcW w:w="1985" w:type="dxa"/>
        </w:tcPr>
        <w:p w:rsidR="00113D2A" w:rsidRDefault="00113D2A">
          <w:pPr>
            <w:tabs>
              <w:tab w:val="right" w:pos="4273"/>
            </w:tabs>
            <w:spacing w:line="256" w:lineRule="auto"/>
            <w:rPr>
              <w:rFonts w:ascii="Garamond" w:eastAsia="Garamond" w:hAnsi="Garamond" w:cs="Garamond"/>
              <w:sz w:val="22"/>
              <w:szCs w:val="22"/>
            </w:rPr>
          </w:pPr>
        </w:p>
      </w:tc>
      <w:tc>
        <w:tcPr>
          <w:tcW w:w="7371" w:type="dxa"/>
        </w:tcPr>
        <w:p w:rsidR="00113D2A" w:rsidRDefault="00113D2A">
          <w:pPr>
            <w:rPr>
              <w:sz w:val="28"/>
              <w:szCs w:val="28"/>
            </w:rPr>
          </w:pPr>
        </w:p>
        <w:tbl>
          <w:tblPr>
            <w:tblStyle w:val="a2"/>
            <w:tblW w:w="807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98"/>
            <w:gridCol w:w="2832"/>
            <w:gridCol w:w="1241"/>
          </w:tblGrid>
          <w:tr w:rsidR="00113D2A">
            <w:trPr>
              <w:trHeight w:val="194"/>
            </w:trPr>
            <w:tc>
              <w:tcPr>
                <w:tcW w:w="3999" w:type="dxa"/>
              </w:tcPr>
              <w:p w:rsidR="00113D2A" w:rsidRDefault="0059445E">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2" w:type="dxa"/>
              </w:tcPr>
              <w:p w:rsidR="00113D2A" w:rsidRDefault="0059445E">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12776/INFOEM/IP/RR/2025</w:t>
                </w:r>
              </w:p>
            </w:tc>
            <w:tc>
              <w:tcPr>
                <w:tcW w:w="1241" w:type="dxa"/>
              </w:tcPr>
              <w:p w:rsidR="00113D2A" w:rsidRDefault="00113D2A">
                <w:pPr>
                  <w:tabs>
                    <w:tab w:val="right" w:pos="8838"/>
                  </w:tabs>
                  <w:ind w:left="-114" w:right="-105"/>
                  <w:jc w:val="both"/>
                  <w:rPr>
                    <w:rFonts w:ascii="Palatino Linotype" w:eastAsia="Palatino Linotype" w:hAnsi="Palatino Linotype" w:cs="Palatino Linotype"/>
                    <w:sz w:val="22"/>
                    <w:szCs w:val="22"/>
                  </w:rPr>
                </w:pPr>
              </w:p>
            </w:tc>
          </w:tr>
          <w:tr w:rsidR="00113D2A">
            <w:trPr>
              <w:trHeight w:val="88"/>
            </w:trPr>
            <w:tc>
              <w:tcPr>
                <w:tcW w:w="3999" w:type="dxa"/>
              </w:tcPr>
              <w:p w:rsidR="00113D2A" w:rsidRDefault="0059445E">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2" w:type="dxa"/>
              </w:tcPr>
              <w:p w:rsidR="00113D2A" w:rsidRDefault="0059445E">
                <w:pPr>
                  <w:tabs>
                    <w:tab w:val="left" w:pos="2834"/>
                    <w:tab w:val="right" w:pos="8838"/>
                  </w:tabs>
                  <w:ind w:left="-114"/>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D0D0D"/>
                    <w:sz w:val="22"/>
                    <w:szCs w:val="22"/>
                  </w:rPr>
                  <w:t>Organismo Público Descentralizado para la Prestación de los Servicios de Agua Potable, Alcantarillado y Saneamiento de Teoloyucan</w:t>
                </w:r>
              </w:p>
            </w:tc>
            <w:tc>
              <w:tcPr>
                <w:tcW w:w="1241" w:type="dxa"/>
              </w:tcPr>
              <w:p w:rsidR="00113D2A" w:rsidRDefault="00113D2A">
                <w:pPr>
                  <w:tabs>
                    <w:tab w:val="left" w:pos="2834"/>
                    <w:tab w:val="right" w:pos="8838"/>
                  </w:tabs>
                  <w:ind w:left="-114"/>
                  <w:jc w:val="both"/>
                  <w:rPr>
                    <w:rFonts w:ascii="Palatino Linotype" w:eastAsia="Palatino Linotype" w:hAnsi="Palatino Linotype" w:cs="Palatino Linotype"/>
                    <w:sz w:val="22"/>
                    <w:szCs w:val="22"/>
                  </w:rPr>
                </w:pPr>
              </w:p>
            </w:tc>
          </w:tr>
          <w:tr w:rsidR="00113D2A">
            <w:trPr>
              <w:trHeight w:val="383"/>
            </w:trPr>
            <w:tc>
              <w:tcPr>
                <w:tcW w:w="3999" w:type="dxa"/>
              </w:tcPr>
              <w:p w:rsidR="00113D2A" w:rsidRDefault="0059445E">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832" w:type="dxa"/>
              </w:tcPr>
              <w:p w:rsidR="00113D2A" w:rsidRDefault="0059445E">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1241" w:type="dxa"/>
              </w:tcPr>
              <w:p w:rsidR="00113D2A" w:rsidRDefault="00113D2A">
                <w:pPr>
                  <w:tabs>
                    <w:tab w:val="right" w:pos="8838"/>
                  </w:tabs>
                  <w:ind w:left="-114" w:right="-105"/>
                  <w:jc w:val="both"/>
                  <w:rPr>
                    <w:rFonts w:ascii="Palatino Linotype" w:eastAsia="Palatino Linotype" w:hAnsi="Palatino Linotype" w:cs="Palatino Linotype"/>
                    <w:sz w:val="22"/>
                    <w:szCs w:val="22"/>
                  </w:rPr>
                </w:pPr>
              </w:p>
            </w:tc>
          </w:tr>
        </w:tbl>
        <w:p w:rsidR="00113D2A" w:rsidRDefault="00113D2A">
          <w:pPr>
            <w:tabs>
              <w:tab w:val="right" w:pos="8838"/>
            </w:tabs>
            <w:spacing w:line="256" w:lineRule="auto"/>
            <w:ind w:left="-28"/>
            <w:jc w:val="both"/>
            <w:rPr>
              <w:rFonts w:ascii="Arial" w:eastAsia="Arial" w:hAnsi="Arial" w:cs="Arial"/>
              <w:b/>
              <w:bCs/>
              <w:sz w:val="22"/>
              <w:szCs w:val="22"/>
            </w:rPr>
          </w:pPr>
        </w:p>
      </w:tc>
    </w:tr>
  </w:tbl>
  <w:p w:rsidR="00113D2A" w:rsidRDefault="0059445E">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-1153159</wp:posOffset>
          </wp:positionH>
          <wp:positionV relativeFrom="margin">
            <wp:posOffset>-1539239</wp:posOffset>
          </wp:positionV>
          <wp:extent cx="7835900" cy="10203815"/>
          <wp:effectExtent l="0" t="0" r="0" b="0"/>
          <wp:wrapNone/>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D2A" w:rsidRDefault="00113D2A">
    <w:pPr>
      <w:widowControl w:val="0"/>
      <w:pBdr>
        <w:top w:val="nil"/>
        <w:left w:val="nil"/>
        <w:bottom w:val="nil"/>
        <w:right w:val="nil"/>
        <w:between w:val="nil"/>
      </w:pBdr>
      <w:spacing w:line="276" w:lineRule="auto"/>
      <w:rPr>
        <w:color w:val="000000"/>
      </w:rPr>
    </w:pPr>
  </w:p>
  <w:tbl>
    <w:tblPr>
      <w:tblStyle w:val="a3"/>
      <w:tblW w:w="9214" w:type="dxa"/>
      <w:tblInd w:w="0" w:type="dxa"/>
      <w:tblLayout w:type="fixed"/>
      <w:tblLook w:val="0400" w:firstRow="0" w:lastRow="0" w:firstColumn="0" w:lastColumn="0" w:noHBand="0" w:noVBand="1"/>
    </w:tblPr>
    <w:tblGrid>
      <w:gridCol w:w="1560"/>
      <w:gridCol w:w="7654"/>
    </w:tblGrid>
    <w:tr w:rsidR="00113D2A">
      <w:trPr>
        <w:trHeight w:val="1435"/>
      </w:trPr>
      <w:tc>
        <w:tcPr>
          <w:tcW w:w="1560" w:type="dxa"/>
        </w:tcPr>
        <w:p w:rsidR="00113D2A" w:rsidRDefault="00113D2A">
          <w:pPr>
            <w:tabs>
              <w:tab w:val="right" w:pos="4273"/>
            </w:tabs>
            <w:spacing w:line="256" w:lineRule="auto"/>
            <w:rPr>
              <w:rFonts w:ascii="Garamond" w:eastAsia="Garamond" w:hAnsi="Garamond" w:cs="Garamond"/>
              <w:sz w:val="22"/>
              <w:szCs w:val="22"/>
            </w:rPr>
          </w:pPr>
        </w:p>
      </w:tc>
      <w:tc>
        <w:tcPr>
          <w:tcW w:w="7654" w:type="dxa"/>
        </w:tcPr>
        <w:p w:rsidR="00113D2A" w:rsidRDefault="00113D2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113D2A">
            <w:trPr>
              <w:gridAfter w:val="1"/>
              <w:wAfter w:w="459" w:type="dxa"/>
              <w:trHeight w:val="132"/>
            </w:trPr>
            <w:tc>
              <w:tcPr>
                <w:tcW w:w="3818" w:type="dxa"/>
              </w:tcPr>
              <w:p w:rsidR="00113D2A" w:rsidRDefault="0059445E">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5" w:type="dxa"/>
              </w:tcPr>
              <w:p w:rsidR="00113D2A" w:rsidRDefault="0059445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12776/INFOEM/IP/RR/2025 </w:t>
                </w:r>
              </w:p>
            </w:tc>
          </w:tr>
          <w:tr w:rsidR="00113D2A">
            <w:trPr>
              <w:gridAfter w:val="1"/>
              <w:wAfter w:w="459" w:type="dxa"/>
              <w:trHeight w:val="132"/>
            </w:trPr>
            <w:tc>
              <w:tcPr>
                <w:tcW w:w="3818" w:type="dxa"/>
              </w:tcPr>
              <w:p w:rsidR="00113D2A" w:rsidRDefault="0059445E">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5" w:type="dxa"/>
              </w:tcPr>
              <w:p w:rsidR="00113D2A" w:rsidRDefault="00113D2A">
                <w:pPr>
                  <w:tabs>
                    <w:tab w:val="left" w:pos="3122"/>
                    <w:tab w:val="right" w:pos="8838"/>
                  </w:tabs>
                  <w:ind w:left="-74" w:right="-105"/>
                  <w:jc w:val="both"/>
                  <w:rPr>
                    <w:rFonts w:ascii="Palatino Linotype" w:eastAsia="Palatino Linotype" w:hAnsi="Palatino Linotype" w:cs="Palatino Linotype"/>
                    <w:sz w:val="22"/>
                    <w:szCs w:val="22"/>
                  </w:rPr>
                </w:pPr>
              </w:p>
            </w:tc>
          </w:tr>
          <w:tr w:rsidR="00113D2A">
            <w:trPr>
              <w:gridAfter w:val="1"/>
              <w:wAfter w:w="459" w:type="dxa"/>
              <w:trHeight w:val="261"/>
            </w:trPr>
            <w:tc>
              <w:tcPr>
                <w:tcW w:w="3818" w:type="dxa"/>
              </w:tcPr>
              <w:p w:rsidR="00113D2A" w:rsidRDefault="0059445E">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5" w:type="dxa"/>
              </w:tcPr>
              <w:p w:rsidR="00113D2A" w:rsidRDefault="0059445E">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Organismo Público Descentralizado para la Prestación de los Servicios de Agua Potable, Alcantarillado y Saneamiento de Teoloyucan</w:t>
                </w:r>
              </w:p>
            </w:tc>
          </w:tr>
          <w:tr w:rsidR="00113D2A">
            <w:trPr>
              <w:trHeight w:val="261"/>
            </w:trPr>
            <w:tc>
              <w:tcPr>
                <w:tcW w:w="3818" w:type="dxa"/>
              </w:tcPr>
              <w:p w:rsidR="00113D2A" w:rsidRDefault="0059445E">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4" w:type="dxa"/>
                <w:gridSpan w:val="2"/>
              </w:tcPr>
              <w:p w:rsidR="00113D2A" w:rsidRDefault="0059445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113D2A" w:rsidRDefault="00113D2A">
          <w:pPr>
            <w:tabs>
              <w:tab w:val="right" w:pos="8838"/>
            </w:tabs>
            <w:spacing w:line="256" w:lineRule="auto"/>
            <w:ind w:left="-28"/>
            <w:jc w:val="both"/>
            <w:rPr>
              <w:rFonts w:ascii="Arial" w:eastAsia="Arial" w:hAnsi="Arial" w:cs="Arial"/>
              <w:b/>
              <w:bCs/>
              <w:sz w:val="22"/>
              <w:szCs w:val="22"/>
            </w:rPr>
          </w:pPr>
        </w:p>
      </w:tc>
    </w:tr>
  </w:tbl>
  <w:p w:rsidR="00113D2A" w:rsidRDefault="008C4564">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54.85pt;margin-top:-134.85pt;width:663.5pt;height:12in;z-index:-251657728;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245"/>
    <w:multiLevelType w:val="multilevel"/>
    <w:tmpl w:val="A224C7C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A64D06"/>
    <w:multiLevelType w:val="multilevel"/>
    <w:tmpl w:val="40127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BB4CD2"/>
    <w:multiLevelType w:val="multilevel"/>
    <w:tmpl w:val="B7ACE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43633"/>
    <w:multiLevelType w:val="multilevel"/>
    <w:tmpl w:val="2174DA6A"/>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31B6BFB"/>
    <w:multiLevelType w:val="multilevel"/>
    <w:tmpl w:val="A2E26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1A3D2C"/>
    <w:multiLevelType w:val="multilevel"/>
    <w:tmpl w:val="1E6C6B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075A64"/>
    <w:multiLevelType w:val="multilevel"/>
    <w:tmpl w:val="F320D61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3E0BB2"/>
    <w:multiLevelType w:val="multilevel"/>
    <w:tmpl w:val="A79C7F4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80254A"/>
    <w:multiLevelType w:val="multilevel"/>
    <w:tmpl w:val="6CE28FE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9A7709"/>
    <w:multiLevelType w:val="multilevel"/>
    <w:tmpl w:val="EC040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363AFB"/>
    <w:multiLevelType w:val="multilevel"/>
    <w:tmpl w:val="FF7869A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CE3F15"/>
    <w:multiLevelType w:val="multilevel"/>
    <w:tmpl w:val="8EF49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5F7AC1"/>
    <w:multiLevelType w:val="multilevel"/>
    <w:tmpl w:val="39E20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7B7BD9"/>
    <w:multiLevelType w:val="multilevel"/>
    <w:tmpl w:val="31E4465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DF76B1"/>
    <w:multiLevelType w:val="multilevel"/>
    <w:tmpl w:val="82E86878"/>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5" w15:restartNumberingAfterBreak="0">
    <w:nsid w:val="74C45416"/>
    <w:multiLevelType w:val="multilevel"/>
    <w:tmpl w:val="2FF072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F93FB6"/>
    <w:multiLevelType w:val="multilevel"/>
    <w:tmpl w:val="BCDCEEF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8170B1"/>
    <w:multiLevelType w:val="multilevel"/>
    <w:tmpl w:val="29680776"/>
    <w:lvl w:ilvl="0">
      <w:start w:val="1"/>
      <w:numFmt w:val="decimal"/>
      <w:lvlText w:val="%1."/>
      <w:lvlJc w:val="left"/>
      <w:pPr>
        <w:ind w:left="720" w:hanging="360"/>
      </w:pPr>
      <w:rPr>
        <w:rFonts w:ascii="Times New Roman" w:eastAsia="Times New Roman" w:hAnsi="Times New Roman" w:cs="Times New Roman"/>
        <w:b/>
        <w:bCs/>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ascii="Times New Roman" w:eastAsia="Times New Roman" w:hAnsi="Times New Roman" w:cs="Times New Roman"/>
      </w:rPr>
    </w:lvl>
    <w:lvl w:ilvl="8">
      <w:start w:val="1"/>
      <w:numFmt w:val="decimal"/>
      <w:lvlText w:val="%9."/>
      <w:lvlJc w:val="left"/>
      <w:pPr>
        <w:ind w:left="6480" w:hanging="360"/>
      </w:pPr>
      <w:rPr>
        <w:rFonts w:ascii="Times New Roman" w:eastAsia="Times New Roman" w:hAnsi="Times New Roman" w:cs="Times New Roman"/>
      </w:rPr>
    </w:lvl>
  </w:abstractNum>
  <w:abstractNum w:abstractNumId="18" w15:restartNumberingAfterBreak="0">
    <w:nsid w:val="7C757447"/>
    <w:multiLevelType w:val="multilevel"/>
    <w:tmpl w:val="2E36564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CA2723"/>
    <w:multiLevelType w:val="multilevel"/>
    <w:tmpl w:val="4C0E404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
  </w:num>
  <w:num w:numId="3">
    <w:abstractNumId w:val="1"/>
  </w:num>
  <w:num w:numId="4">
    <w:abstractNumId w:val="8"/>
  </w:num>
  <w:num w:numId="5">
    <w:abstractNumId w:val="17"/>
  </w:num>
  <w:num w:numId="6">
    <w:abstractNumId w:val="7"/>
  </w:num>
  <w:num w:numId="7">
    <w:abstractNumId w:val="19"/>
  </w:num>
  <w:num w:numId="8">
    <w:abstractNumId w:val="12"/>
  </w:num>
  <w:num w:numId="9">
    <w:abstractNumId w:val="5"/>
  </w:num>
  <w:num w:numId="10">
    <w:abstractNumId w:val="3"/>
  </w:num>
  <w:num w:numId="11">
    <w:abstractNumId w:val="11"/>
  </w:num>
  <w:num w:numId="12">
    <w:abstractNumId w:val="4"/>
  </w:num>
  <w:num w:numId="13">
    <w:abstractNumId w:val="13"/>
  </w:num>
  <w:num w:numId="14">
    <w:abstractNumId w:val="15"/>
  </w:num>
  <w:num w:numId="15">
    <w:abstractNumId w:val="16"/>
  </w:num>
  <w:num w:numId="16">
    <w:abstractNumId w:val="18"/>
  </w:num>
  <w:num w:numId="17">
    <w:abstractNumId w:val="6"/>
  </w:num>
  <w:num w:numId="18">
    <w:abstractNumId w:val="10"/>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2A"/>
    <w:rsid w:val="00113D2A"/>
    <w:rsid w:val="001C6557"/>
    <w:rsid w:val="002046A8"/>
    <w:rsid w:val="0059445E"/>
    <w:rsid w:val="008C4564"/>
    <w:rsid w:val="00B40F3D"/>
    <w:rsid w:val="00C0099D"/>
    <w:rsid w:val="00C752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D5099D1-DDC3-4650-A9F1-CC39362A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7535E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35E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35E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pPr>
    <w:rPr>
      <w:rFonts w:ascii="Calibri" w:eastAsia="Calibri" w:hAnsi="Calibri" w:cs="Calibri"/>
      <w:sz w:val="56"/>
      <w:szCs w:val="56"/>
    </w:rPr>
  </w:style>
  <w:style w:type="character" w:customStyle="1" w:styleId="Ttulo1Car">
    <w:name w:val="Título 1 Car"/>
    <w:basedOn w:val="Fuentedeprrafopredeter"/>
    <w:uiPriority w:val="9"/>
    <w:rsid w:val="007535E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rsid w:val="007535E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535E3"/>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535E3"/>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535E3"/>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535E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35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35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35E3"/>
    <w:rPr>
      <w:rFonts w:eastAsiaTheme="majorEastAsia" w:cstheme="majorBidi"/>
      <w:color w:val="272727" w:themeColor="text1" w:themeTint="D8"/>
    </w:rPr>
  </w:style>
  <w:style w:type="character" w:customStyle="1" w:styleId="PuestoCar">
    <w:name w:val="Puesto Car"/>
    <w:basedOn w:val="Fuentedeprrafopredeter"/>
    <w:uiPriority w:val="10"/>
    <w:rsid w:val="007535E3"/>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535E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35E3"/>
    <w:pPr>
      <w:spacing w:before="160"/>
      <w:jc w:val="center"/>
    </w:pPr>
    <w:rPr>
      <w:i/>
      <w:iCs/>
      <w:color w:val="404040" w:themeColor="text1" w:themeTint="BF"/>
    </w:rPr>
  </w:style>
  <w:style w:type="character" w:customStyle="1" w:styleId="CitaCar">
    <w:name w:val="Cita Car"/>
    <w:basedOn w:val="Fuentedeprrafopredeter"/>
    <w:link w:val="Cita"/>
    <w:uiPriority w:val="29"/>
    <w:rsid w:val="007535E3"/>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5E3"/>
    <w:pPr>
      <w:ind w:left="720"/>
      <w:contextualSpacing/>
    </w:pPr>
  </w:style>
  <w:style w:type="character" w:styleId="nfasisintenso">
    <w:name w:val="Intense Emphasis"/>
    <w:basedOn w:val="Fuentedeprrafopredeter"/>
    <w:uiPriority w:val="21"/>
    <w:qFormat/>
    <w:rsid w:val="007535E3"/>
    <w:rPr>
      <w:i/>
      <w:iCs/>
      <w:color w:val="2F5496" w:themeColor="accent1" w:themeShade="BF"/>
    </w:rPr>
  </w:style>
  <w:style w:type="paragraph" w:styleId="Citadestacada">
    <w:name w:val="Intense Quote"/>
    <w:basedOn w:val="Normal"/>
    <w:next w:val="Normal"/>
    <w:link w:val="CitadestacadaCar"/>
    <w:uiPriority w:val="30"/>
    <w:qFormat/>
    <w:rsid w:val="007535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535E3"/>
    <w:rPr>
      <w:i/>
      <w:iCs/>
      <w:color w:val="2F5496" w:themeColor="accent1" w:themeShade="BF"/>
    </w:rPr>
  </w:style>
  <w:style w:type="character" w:styleId="Referenciaintensa">
    <w:name w:val="Intense Reference"/>
    <w:basedOn w:val="Fuentedeprrafopredeter"/>
    <w:uiPriority w:val="32"/>
    <w:qFormat/>
    <w:rsid w:val="007535E3"/>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7535E3"/>
  </w:style>
  <w:style w:type="table" w:styleId="Tablaconcuadrcula">
    <w:name w:val="Table Grid"/>
    <w:basedOn w:val="Tablanormal"/>
    <w:uiPriority w:val="39"/>
    <w:rsid w:val="007535E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535E3"/>
    <w:pPr>
      <w:tabs>
        <w:tab w:val="center" w:pos="4419"/>
        <w:tab w:val="right" w:pos="8838"/>
      </w:tabs>
    </w:pPr>
  </w:style>
  <w:style w:type="character" w:customStyle="1" w:styleId="EncabezadoCar">
    <w:name w:val="Encabezado Car"/>
    <w:basedOn w:val="Fuentedeprrafopredeter"/>
    <w:link w:val="Encabezado"/>
    <w:uiPriority w:val="99"/>
    <w:rsid w:val="007535E3"/>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7535E3"/>
    <w:pPr>
      <w:tabs>
        <w:tab w:val="center" w:pos="4419"/>
        <w:tab w:val="right" w:pos="8838"/>
      </w:tabs>
    </w:pPr>
  </w:style>
  <w:style w:type="character" w:customStyle="1" w:styleId="PiedepginaCar">
    <w:name w:val="Pie de página Car"/>
    <w:basedOn w:val="Fuentedeprrafopredeter"/>
    <w:link w:val="Piedepgina"/>
    <w:uiPriority w:val="99"/>
    <w:rsid w:val="007535E3"/>
    <w:rPr>
      <w:rFonts w:ascii="Times New Roman" w:eastAsia="Times New Roman" w:hAnsi="Times New Roman" w:cs="Times New Roman"/>
      <w:kern w:val="0"/>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535E3"/>
    <w:rPr>
      <w:color w:val="0563C1" w:themeColor="hyperlink"/>
      <w:u w:val="single"/>
    </w:rPr>
  </w:style>
  <w:style w:type="paragraph" w:styleId="TtulodeTDC">
    <w:name w:val="TOC Heading"/>
    <w:next w:val="Normal"/>
    <w:uiPriority w:val="39"/>
    <w:unhideWhenUsed/>
    <w:qFormat/>
    <w:rsid w:val="007535E3"/>
    <w:pPr>
      <w:spacing w:before="240"/>
    </w:pPr>
    <w:rPr>
      <w:sz w:val="32"/>
      <w:szCs w:val="32"/>
    </w:rPr>
  </w:style>
  <w:style w:type="paragraph" w:styleId="TDC2">
    <w:name w:val="toc 2"/>
    <w:basedOn w:val="Normal"/>
    <w:next w:val="Normal"/>
    <w:autoRedefine/>
    <w:uiPriority w:val="39"/>
    <w:unhideWhenUsed/>
    <w:rsid w:val="001F4BBD"/>
    <w:pPr>
      <w:tabs>
        <w:tab w:val="right" w:leader="dot" w:pos="8828"/>
      </w:tabs>
      <w:spacing w:after="100" w:line="360" w:lineRule="auto"/>
      <w:ind w:left="220"/>
      <w:contextualSpacing/>
      <w:jc w:val="both"/>
    </w:pPr>
    <w:rPr>
      <w:rFonts w:asciiTheme="minorHAnsi" w:eastAsiaTheme="minorEastAsia" w:hAnsiTheme="minorHAnsi"/>
      <w:sz w:val="22"/>
      <w:szCs w:val="22"/>
    </w:rPr>
  </w:style>
  <w:style w:type="paragraph" w:styleId="TDC1">
    <w:name w:val="toc 1"/>
    <w:basedOn w:val="Normal"/>
    <w:next w:val="Normal"/>
    <w:autoRedefine/>
    <w:uiPriority w:val="39"/>
    <w:unhideWhenUsed/>
    <w:rsid w:val="007535E3"/>
    <w:pPr>
      <w:spacing w:after="100" w:line="259" w:lineRule="auto"/>
    </w:pPr>
    <w:rPr>
      <w:rFonts w:asciiTheme="minorHAnsi" w:eastAsiaTheme="minorEastAsia" w:hAnsiTheme="minorHAnsi"/>
      <w:sz w:val="22"/>
      <w:szCs w:val="22"/>
    </w:rPr>
  </w:style>
  <w:style w:type="paragraph" w:styleId="Listaconvietas2">
    <w:name w:val="List Bullet 2"/>
    <w:basedOn w:val="Normal"/>
    <w:uiPriority w:val="99"/>
    <w:unhideWhenUsed/>
    <w:rsid w:val="00F576EB"/>
    <w:pPr>
      <w:numPr>
        <w:numId w:val="20"/>
      </w:numPr>
      <w:contextualSpacing/>
    </w:p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f.gob.mx/nota_detalle.php?codigo=5492254&amp;fecha=28/07/2017" TargetMode="External"/><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iggItO/jtBrcF0LXCk3MW8c+A==">CgMxLjAyDWguczRzaHp1dWE0a3kyDWguN2ViZm43c20ybXQyDmgudG0zNDJhMmNjZTN4Mg5oLmZ4aXBmaWFxNXFsNTIOaC52Z2d6bXp1OGFwZzQyDmguMXpwOHpqZm9wZzl1Mg5oLmlnb2N2NHhvazdzeDIOaC5nejV0OWJiejQ0eDQyDmgubHNyb2MzZ2d5cmZnMg5oLjkweGFqMXI2NHdlcTIOaC52Zm8wYXp1bG10M2EyDmgucnFlNXF4bDJra245Mg5oLnUxa2lrNGhqMzRoaTIOaC45ZTJkbW1hcmprYjcyDmgucWg4MnA0a250Y3FzMg5oLndvazh3NTV6c3hrdDIOaC5waWRyand3Z3JhMzE4AHIhMVlzUkZUX2lwZjF4dkxkRnk4emRyUVRYMzhwNEk2ZGt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CF8B6E-E5AB-4D68-B6E8-F103EEAC5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11475</Words>
  <Characters>63113</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2026-01-23T16:00:00Z</cp:lastPrinted>
  <dcterms:created xsi:type="dcterms:W3CDTF">2026-01-23T16:00:00Z</dcterms:created>
  <dcterms:modified xsi:type="dcterms:W3CDTF">2026-01-23T16:00:00Z</dcterms:modified>
</cp:coreProperties>
</file>