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3E4959">
        <w:rPr>
          <w:rFonts w:ascii="Palatino Linotype" w:eastAsia="Palatino Linotype" w:hAnsi="Palatino Linotype" w:cs="Palatino Linotype"/>
          <w:b/>
          <w:sz w:val="24"/>
          <w:szCs w:val="24"/>
        </w:rPr>
        <w:t>3093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A125F6">
        <w:rPr>
          <w:rFonts w:ascii="Palatino Linotype" w:hAnsi="Palatino Linotype"/>
          <w:b/>
          <w:bCs/>
          <w:sz w:val="24"/>
        </w:rPr>
        <w:t>XXXX</w:t>
      </w:r>
      <w:r w:rsidRPr="00EF58AE">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EF58AE" w:rsidRPr="00EF58AE">
        <w:rPr>
          <w:rFonts w:ascii="Palatino Linotype" w:hAnsi="Palatino Linotype"/>
          <w:b/>
          <w:bCs/>
          <w:color w:val="000000"/>
          <w:sz w:val="24"/>
        </w:rPr>
        <w:t>Ixtapaluca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F58AE">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EF58A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3E4959">
        <w:rPr>
          <w:rFonts w:ascii="Palatino Linotype" w:eastAsia="Palatino Linotype" w:hAnsi="Palatino Linotype" w:cs="Palatino Linotype"/>
          <w:b/>
          <w:color w:val="000000"/>
          <w:sz w:val="24"/>
          <w:szCs w:val="24"/>
        </w:rPr>
        <w:t>0027</w:t>
      </w:r>
      <w:r w:rsidR="00654638">
        <w:rPr>
          <w:rFonts w:ascii="Palatino Linotype" w:eastAsia="Palatino Linotype" w:hAnsi="Palatino Linotype" w:cs="Palatino Linotype"/>
          <w:b/>
          <w:color w:val="000000"/>
          <w:sz w:val="24"/>
          <w:szCs w:val="24"/>
        </w:rPr>
        <w:t>/</w:t>
      </w:r>
      <w:r w:rsidR="00EF58AE">
        <w:rPr>
          <w:rFonts w:ascii="Palatino Linotype" w:eastAsia="Palatino Linotype" w:hAnsi="Palatino Linotype" w:cs="Palatino Linotype"/>
          <w:b/>
          <w:color w:val="000000"/>
          <w:sz w:val="24"/>
          <w:szCs w:val="24"/>
        </w:rPr>
        <w:t>IXTAPALU</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3E495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0027/IXTAPALU/IP/2026</w:t>
      </w:r>
      <w:r w:rsidR="00656D21" w:rsidRPr="00463865">
        <w:rPr>
          <w:rFonts w:ascii="Palatino Linotype" w:eastAsia="Palatino Linotype" w:hAnsi="Palatino Linotype" w:cs="Palatino Linotype"/>
          <w:b/>
          <w:color w:val="000000"/>
          <w:sz w:val="24"/>
          <w:szCs w:val="24"/>
        </w:rPr>
        <w:t>:</w:t>
      </w:r>
    </w:p>
    <w:p w:rsidR="009A0E57" w:rsidRPr="003E495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E4959">
        <w:rPr>
          <w:rFonts w:ascii="Palatino Linotype" w:eastAsia="Palatino Linotype" w:hAnsi="Palatino Linotype" w:cs="Palatino Linotype"/>
          <w:i/>
          <w:color w:val="000000"/>
          <w:sz w:val="24"/>
          <w:szCs w:val="24"/>
        </w:rPr>
        <w:t>“</w:t>
      </w:r>
      <w:r w:rsidR="003E4959" w:rsidRPr="003E4959">
        <w:rPr>
          <w:rFonts w:ascii="Palatino Linotype" w:hAnsi="Palatino Linotype"/>
          <w:i/>
          <w:color w:val="000000"/>
          <w:sz w:val="24"/>
          <w:szCs w:val="24"/>
        </w:rPr>
        <w:t>Solicito todos los oficios enviados y recibidos del Ejercicio Fiscal 2026 del Órgano Interno de Control</w:t>
      </w:r>
      <w:r w:rsidR="00F569B3" w:rsidRPr="003E4959">
        <w:rPr>
          <w:rFonts w:ascii="Palatino Linotype" w:hAnsi="Palatino Linotype"/>
          <w:i/>
          <w:color w:val="000000"/>
          <w:sz w:val="24"/>
          <w:szCs w:val="24"/>
        </w:rPr>
        <w:t>.</w:t>
      </w:r>
      <w:r w:rsidR="00FC3C5B" w:rsidRPr="003E4959">
        <w:rPr>
          <w:rFonts w:ascii="Palatino Linotype" w:hAnsi="Palatino Linotype"/>
          <w:i/>
          <w:color w:val="000000"/>
          <w:sz w:val="24"/>
          <w:szCs w:val="24"/>
        </w:rPr>
        <w:t xml:space="preserve">” </w:t>
      </w:r>
      <w:r w:rsidR="003B3AF6" w:rsidRPr="003E4959">
        <w:rPr>
          <w:rFonts w:ascii="Palatino Linotype" w:hAnsi="Palatino Linotype"/>
          <w:i/>
          <w:color w:val="000000"/>
          <w:sz w:val="24"/>
          <w:szCs w:val="24"/>
        </w:rPr>
        <w:t>(</w:t>
      </w:r>
      <w:r w:rsidRPr="003E4959">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6E4DC2" w:rsidRPr="00EF58AE" w:rsidRDefault="000E16F8" w:rsidP="00EF58AE">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EF58AE">
        <w:rPr>
          <w:rFonts w:ascii="Palatino Linotype" w:eastAsia="Palatino Linotype" w:hAnsi="Palatino Linotype" w:cs="Palatino Linotype"/>
          <w:b/>
          <w:color w:val="000000"/>
          <w:sz w:val="24"/>
          <w:szCs w:val="24"/>
        </w:rPr>
        <w:t>once</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3E4959">
        <w:rPr>
          <w:rFonts w:ascii="Palatino Linotype" w:eastAsia="Palatino Linotype" w:hAnsi="Palatino Linotype" w:cs="Palatino Linotype"/>
          <w:b/>
          <w:sz w:val="24"/>
          <w:szCs w:val="24"/>
        </w:rPr>
        <w:t>3093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F58AE" w:rsidRDefault="00331433" w:rsidP="006B375B">
      <w:pPr>
        <w:ind w:left="633"/>
        <w:jc w:val="both"/>
        <w:rPr>
          <w:rFonts w:ascii="Palatino Linotype" w:eastAsia="Times New Roman" w:hAnsi="Palatino Linotype" w:cs="Times New Roman"/>
          <w:i/>
          <w:sz w:val="24"/>
          <w:szCs w:val="24"/>
          <w:lang w:val="es-MX"/>
        </w:rPr>
      </w:pPr>
      <w:r w:rsidRPr="00EF58AE">
        <w:rPr>
          <w:rFonts w:ascii="Palatino Linotype" w:eastAsia="Palatino Linotype" w:hAnsi="Palatino Linotype" w:cs="Palatino Linotype"/>
          <w:i/>
          <w:color w:val="000000"/>
          <w:sz w:val="24"/>
          <w:szCs w:val="24"/>
        </w:rPr>
        <w:t>“</w:t>
      </w:r>
      <w:r w:rsidR="00EF58AE" w:rsidRPr="00EF58AE">
        <w:rPr>
          <w:rFonts w:ascii="Palatino Linotype" w:hAnsi="Palatino Linotype"/>
          <w:i/>
          <w:color w:val="000000"/>
          <w:sz w:val="24"/>
          <w:szCs w:val="24"/>
        </w:rPr>
        <w:t>Negativa de la Información solicitada</w:t>
      </w:r>
      <w:r w:rsidR="006E4DC2" w:rsidRPr="00EF58AE">
        <w:rPr>
          <w:rFonts w:ascii="Palatino Linotype" w:hAnsi="Palatino Linotype"/>
          <w:i/>
          <w:color w:val="000000"/>
          <w:sz w:val="24"/>
          <w:szCs w:val="24"/>
        </w:rPr>
        <w:t>”</w:t>
      </w:r>
      <w:r w:rsidR="00071A60" w:rsidRPr="00EF58AE">
        <w:rPr>
          <w:rFonts w:ascii="Palatino Linotype" w:hAnsi="Palatino Linotype"/>
          <w:i/>
          <w:color w:val="000000"/>
          <w:sz w:val="24"/>
          <w:szCs w:val="24"/>
        </w:rPr>
        <w:t xml:space="preserve">. </w:t>
      </w:r>
      <w:r w:rsidR="009D2402" w:rsidRPr="00EF58AE">
        <w:rPr>
          <w:rFonts w:ascii="Palatino Linotype" w:hAnsi="Palatino Linotype"/>
          <w:i/>
          <w:color w:val="000000"/>
          <w:sz w:val="24"/>
          <w:szCs w:val="24"/>
        </w:rPr>
        <w:t>(</w:t>
      </w:r>
      <w:r w:rsidRPr="00EF58A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EF58AE" w:rsidRPr="00EF58AE" w:rsidRDefault="00EF58AE" w:rsidP="00EF58AE">
      <w:pPr>
        <w:pStyle w:val="Prrafodelista"/>
        <w:ind w:left="720"/>
        <w:jc w:val="both"/>
        <w:rPr>
          <w:rFonts w:ascii="Palatino Linotype" w:hAnsi="Palatino Linotype"/>
          <w:i/>
          <w:lang w:val="es-MX"/>
        </w:rPr>
      </w:pPr>
      <w:r w:rsidRPr="00EF58AE">
        <w:rPr>
          <w:rFonts w:ascii="Palatino Linotype" w:eastAsia="Palatino Linotype" w:hAnsi="Palatino Linotype" w:cs="Palatino Linotype"/>
          <w:i/>
          <w:color w:val="000000"/>
        </w:rPr>
        <w:t>“</w:t>
      </w:r>
      <w:r w:rsidRPr="00EF58AE">
        <w:rPr>
          <w:rFonts w:ascii="Palatino Linotype" w:hAnsi="Palatino Linotype"/>
          <w:i/>
          <w:color w:val="000000"/>
        </w:rPr>
        <w:t>Negativa de la Información solicitada”. (</w:t>
      </w:r>
      <w:r w:rsidRPr="00EF58A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569B3">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569B3">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63865">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B2F54" w:rsidRPr="00463865" w:rsidRDefault="007B2F54" w:rsidP="007B2F5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E4959" w:rsidRPr="00463865">
        <w:rPr>
          <w:rFonts w:ascii="Palatino Linotype" w:eastAsia="Palatino Linotype" w:hAnsi="Palatino Linotype" w:cs="Palatino Linotype"/>
          <w:b/>
          <w:color w:val="000000"/>
          <w:sz w:val="24"/>
          <w:szCs w:val="24"/>
        </w:rPr>
        <w:t>0</w:t>
      </w:r>
      <w:r w:rsidR="003E4959">
        <w:rPr>
          <w:rFonts w:ascii="Palatino Linotype" w:eastAsia="Palatino Linotype" w:hAnsi="Palatino Linotype" w:cs="Palatino Linotype"/>
          <w:b/>
          <w:color w:val="000000"/>
          <w:sz w:val="24"/>
          <w:szCs w:val="24"/>
        </w:rPr>
        <w:t>0027/IXTAPALU/IP/2026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E4959" w:rsidRPr="00463865">
        <w:rPr>
          <w:rFonts w:ascii="Palatino Linotype" w:eastAsia="Palatino Linotype" w:hAnsi="Palatino Linotype" w:cs="Palatino Linotype"/>
          <w:b/>
          <w:color w:val="000000"/>
          <w:sz w:val="24"/>
          <w:szCs w:val="24"/>
        </w:rPr>
        <w:t>0</w:t>
      </w:r>
      <w:r w:rsidR="003E4959">
        <w:rPr>
          <w:rFonts w:ascii="Palatino Linotype" w:eastAsia="Palatino Linotype" w:hAnsi="Palatino Linotype" w:cs="Palatino Linotype"/>
          <w:b/>
          <w:color w:val="000000"/>
          <w:sz w:val="24"/>
          <w:szCs w:val="24"/>
        </w:rPr>
        <w:t>0027/IXTAPALU/IP/2026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w:t>
      </w:r>
      <w:r w:rsidR="006E4DC2">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B2F54">
      <w:headerReference w:type="default" r:id="rId9"/>
      <w:footerReference w:type="default" r:id="rId10"/>
      <w:headerReference w:type="first" r:id="rId11"/>
      <w:footerReference w:type="first" r:id="rId12"/>
      <w:pgSz w:w="12240" w:h="15840"/>
      <w:pgMar w:top="2835"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83" w:rsidRDefault="00A11F83">
      <w:pPr>
        <w:spacing w:after="0" w:line="240" w:lineRule="auto"/>
      </w:pPr>
      <w:r>
        <w:separator/>
      </w:r>
    </w:p>
  </w:endnote>
  <w:endnote w:type="continuationSeparator" w:id="0">
    <w:p w:rsidR="00A11F83" w:rsidRDefault="00A1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125F6">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125F6">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125F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125F6">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83" w:rsidRDefault="00A11F83">
      <w:pPr>
        <w:spacing w:after="0" w:line="240" w:lineRule="auto"/>
      </w:pPr>
      <w:r>
        <w:separator/>
      </w:r>
    </w:p>
  </w:footnote>
  <w:footnote w:type="continuationSeparator" w:id="0">
    <w:p w:rsidR="00A11F83" w:rsidRDefault="00A11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3E4959"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3093/INFOEM/IP/RR/2026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EF58AE"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Ixtapaluca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3E4959"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3093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EF58AE"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Ixtapaluca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A125F6"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7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413A"/>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1807"/>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E4959"/>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1639"/>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49AB"/>
    <w:rsid w:val="00787CCB"/>
    <w:rsid w:val="00791329"/>
    <w:rsid w:val="00792AC3"/>
    <w:rsid w:val="007A1B10"/>
    <w:rsid w:val="007A55E1"/>
    <w:rsid w:val="007B11F7"/>
    <w:rsid w:val="007B1BE9"/>
    <w:rsid w:val="007B2F54"/>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30C2"/>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1F83"/>
    <w:rsid w:val="00A125F6"/>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87266"/>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0C21"/>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E368B"/>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EF58AE"/>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E2C426-46FE-4461-AE63-0656BF1B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14</Pages>
  <Words>2948</Words>
  <Characters>16216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590</cp:revision>
  <cp:lastPrinted>2026-04-10T16:11:00Z</cp:lastPrinted>
  <dcterms:created xsi:type="dcterms:W3CDTF">2025-04-24T19:37:00Z</dcterms:created>
  <dcterms:modified xsi:type="dcterms:W3CDTF">2026-04-16T23:39:00Z</dcterms:modified>
</cp:coreProperties>
</file>