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7FE3F" w14:textId="26819B7A"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w:t>
      </w:r>
      <w:r w:rsidR="00CF4F0B" w:rsidRPr="005C3A9D">
        <w:rPr>
          <w:rFonts w:ascii="Palatino Linotype" w:eastAsia="Palatino Linotype" w:hAnsi="Palatino Linotype" w:cs="Palatino Linotype"/>
          <w:sz w:val="22"/>
          <w:szCs w:val="22"/>
        </w:rPr>
        <w:t xml:space="preserve">fecha </w:t>
      </w:r>
      <w:r w:rsidR="004C1AFB" w:rsidRPr="005C3A9D">
        <w:rPr>
          <w:rFonts w:ascii="Palatino Linotype" w:eastAsia="Palatino Linotype" w:hAnsi="Palatino Linotype" w:cs="Palatino Linotype"/>
          <w:sz w:val="22"/>
          <w:szCs w:val="22"/>
        </w:rPr>
        <w:t>cinco de marzo</w:t>
      </w:r>
      <w:r w:rsidR="00194EDE" w:rsidRPr="005C3A9D">
        <w:rPr>
          <w:rFonts w:ascii="Palatino Linotype" w:eastAsia="Palatino Linotype" w:hAnsi="Palatino Linotype" w:cs="Palatino Linotype"/>
          <w:sz w:val="22"/>
          <w:szCs w:val="22"/>
        </w:rPr>
        <w:t xml:space="preserve"> de dos mil veintiséis</w:t>
      </w:r>
      <w:r w:rsidR="00D8337B" w:rsidRPr="005C3A9D">
        <w:rPr>
          <w:rFonts w:ascii="Palatino Linotype" w:eastAsia="Palatino Linotype" w:hAnsi="Palatino Linotype" w:cs="Palatino Linotype"/>
          <w:sz w:val="22"/>
          <w:szCs w:val="22"/>
        </w:rPr>
        <w:t xml:space="preserve">. </w:t>
      </w:r>
    </w:p>
    <w:p w14:paraId="0641B12C" w14:textId="77777777" w:rsidR="00397333" w:rsidRPr="005C3A9D" w:rsidRDefault="00397333" w:rsidP="00AC2786">
      <w:pPr>
        <w:spacing w:line="360" w:lineRule="auto"/>
        <w:jc w:val="both"/>
        <w:rPr>
          <w:rFonts w:ascii="Palatino Linotype" w:eastAsia="Palatino Linotype" w:hAnsi="Palatino Linotype" w:cs="Palatino Linotype"/>
          <w:sz w:val="22"/>
          <w:szCs w:val="22"/>
        </w:rPr>
      </w:pPr>
    </w:p>
    <w:p w14:paraId="2136A93F" w14:textId="378B2AA8"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Visto</w:t>
      </w:r>
      <w:r w:rsidRPr="005C3A9D">
        <w:rPr>
          <w:rFonts w:ascii="Palatino Linotype" w:eastAsia="Palatino Linotype" w:hAnsi="Palatino Linotype" w:cs="Palatino Linotype"/>
          <w:sz w:val="22"/>
          <w:szCs w:val="22"/>
        </w:rPr>
        <w:t xml:space="preserve"> el expediente relativo al recurso de revisión </w:t>
      </w:r>
      <w:r w:rsidR="00194EDE" w:rsidRPr="005C3A9D">
        <w:rPr>
          <w:rFonts w:ascii="Palatino Linotype" w:eastAsia="Palatino Linotype" w:hAnsi="Palatino Linotype" w:cs="Palatino Linotype"/>
          <w:b/>
          <w:sz w:val="22"/>
          <w:szCs w:val="22"/>
        </w:rPr>
        <w:t>13</w:t>
      </w:r>
      <w:r w:rsidR="004C1AFB" w:rsidRPr="005C3A9D">
        <w:rPr>
          <w:rFonts w:ascii="Palatino Linotype" w:eastAsia="Palatino Linotype" w:hAnsi="Palatino Linotype" w:cs="Palatino Linotype"/>
          <w:b/>
          <w:sz w:val="22"/>
          <w:szCs w:val="22"/>
        </w:rPr>
        <w:t>264</w:t>
      </w:r>
      <w:r w:rsidRPr="005C3A9D">
        <w:rPr>
          <w:rFonts w:ascii="Palatino Linotype" w:eastAsia="Palatino Linotype" w:hAnsi="Palatino Linotype" w:cs="Palatino Linotype"/>
          <w:b/>
          <w:sz w:val="22"/>
          <w:szCs w:val="22"/>
        </w:rPr>
        <w:t>/INFOEM/IP/</w:t>
      </w:r>
      <w:r w:rsidR="00CF4F0B" w:rsidRPr="005C3A9D">
        <w:rPr>
          <w:rFonts w:ascii="Palatino Linotype" w:eastAsia="Palatino Linotype" w:hAnsi="Palatino Linotype" w:cs="Palatino Linotype"/>
          <w:b/>
          <w:sz w:val="22"/>
          <w:szCs w:val="22"/>
        </w:rPr>
        <w:t>RR/202</w:t>
      </w:r>
      <w:r w:rsidR="00340E0D" w:rsidRPr="005C3A9D">
        <w:rPr>
          <w:rFonts w:ascii="Palatino Linotype" w:eastAsia="Palatino Linotype" w:hAnsi="Palatino Linotype" w:cs="Palatino Linotype"/>
          <w:b/>
          <w:sz w:val="22"/>
          <w:szCs w:val="22"/>
        </w:rPr>
        <w:t>5</w:t>
      </w:r>
      <w:r w:rsidRPr="005C3A9D">
        <w:rPr>
          <w:rFonts w:ascii="Palatino Linotype" w:eastAsia="Palatino Linotype" w:hAnsi="Palatino Linotype" w:cs="Palatino Linotype"/>
          <w:sz w:val="22"/>
          <w:szCs w:val="22"/>
        </w:rPr>
        <w:t xml:space="preserve">, interpuesto </w:t>
      </w:r>
      <w:r w:rsidR="00CF4F0B" w:rsidRPr="005C3A9D">
        <w:rPr>
          <w:rFonts w:ascii="Palatino Linotype" w:eastAsia="Palatino Linotype" w:hAnsi="Palatino Linotype" w:cs="Palatino Linotype"/>
          <w:sz w:val="22"/>
          <w:szCs w:val="22"/>
        </w:rPr>
        <w:t>por</w:t>
      </w:r>
      <w:r w:rsidR="00D36A8C" w:rsidRPr="005C3A9D">
        <w:rPr>
          <w:rFonts w:ascii="Palatino Linotype" w:eastAsia="Palatino Linotype" w:hAnsi="Palatino Linotype" w:cs="Palatino Linotype"/>
          <w:sz w:val="22"/>
          <w:szCs w:val="22"/>
        </w:rPr>
        <w:t xml:space="preserve"> </w:t>
      </w:r>
      <w:r w:rsidR="004E0C10" w:rsidRPr="004E0C10">
        <w:rPr>
          <w:rFonts w:ascii="Palatino Linotype" w:eastAsia="Palatino Linotype" w:hAnsi="Palatino Linotype" w:cs="Palatino Linotype"/>
          <w:b/>
          <w:sz w:val="22"/>
          <w:szCs w:val="22"/>
        </w:rPr>
        <w:t>XXXXXXXXXX XXXXXXXXX XXXXXXXXXXXX</w:t>
      </w:r>
      <w:r w:rsidR="00F12AF5" w:rsidRPr="005C3A9D">
        <w:rPr>
          <w:rFonts w:ascii="Palatino Linotype" w:eastAsia="Palatino Linotype" w:hAnsi="Palatino Linotype" w:cs="Palatino Linotype"/>
          <w:b/>
          <w:sz w:val="22"/>
          <w:szCs w:val="22"/>
        </w:rPr>
        <w:t xml:space="preserve">, </w:t>
      </w:r>
      <w:r w:rsidR="008D7E32" w:rsidRPr="005C3A9D">
        <w:rPr>
          <w:rFonts w:ascii="Palatino Linotype" w:eastAsia="Palatino Linotype" w:hAnsi="Palatino Linotype" w:cs="Palatino Linotype"/>
          <w:sz w:val="22"/>
          <w:szCs w:val="22"/>
        </w:rPr>
        <w:t xml:space="preserve">en </w:t>
      </w:r>
      <w:r w:rsidR="00111D33" w:rsidRPr="005C3A9D">
        <w:rPr>
          <w:rFonts w:ascii="Palatino Linotype" w:eastAsia="Palatino Linotype" w:hAnsi="Palatino Linotype" w:cs="Palatino Linotype"/>
          <w:sz w:val="22"/>
          <w:szCs w:val="22"/>
        </w:rPr>
        <w:t>lo sucesivo se le denominará la parte</w:t>
      </w:r>
      <w:r w:rsidRPr="005C3A9D">
        <w:rPr>
          <w:rFonts w:ascii="Palatino Linotype" w:eastAsia="Palatino Linotype" w:hAnsi="Palatino Linotype" w:cs="Palatino Linotype"/>
          <w:b/>
          <w:sz w:val="22"/>
          <w:szCs w:val="22"/>
        </w:rPr>
        <w:t xml:space="preserve"> </w:t>
      </w:r>
      <w:r w:rsidR="007B262E" w:rsidRPr="005C3A9D">
        <w:rPr>
          <w:rFonts w:ascii="Palatino Linotype" w:eastAsia="Palatino Linotype" w:hAnsi="Palatino Linotype" w:cs="Palatino Linotype"/>
          <w:b/>
          <w:sz w:val="22"/>
          <w:szCs w:val="22"/>
        </w:rPr>
        <w:t>Recurrente</w:t>
      </w:r>
      <w:r w:rsidRPr="005C3A9D">
        <w:rPr>
          <w:rFonts w:ascii="Palatino Linotype" w:eastAsia="Palatino Linotype" w:hAnsi="Palatino Linotype" w:cs="Palatino Linotype"/>
          <w:sz w:val="22"/>
          <w:szCs w:val="22"/>
        </w:rPr>
        <w:t>, en contra de la respuesta a su solicitud de información con número de folio</w:t>
      </w:r>
      <w:r w:rsidR="00496DCD" w:rsidRPr="005C3A9D">
        <w:rPr>
          <w:rFonts w:ascii="Palatino Linotype" w:eastAsia="Palatino Linotype" w:hAnsi="Palatino Linotype" w:cs="Palatino Linotype"/>
          <w:b/>
          <w:sz w:val="22"/>
          <w:szCs w:val="22"/>
        </w:rPr>
        <w:t xml:space="preserve"> </w:t>
      </w:r>
      <w:r w:rsidR="004C1AFB" w:rsidRPr="005C3A9D">
        <w:rPr>
          <w:rFonts w:ascii="Palatino Linotype" w:eastAsia="Palatino Linotype" w:hAnsi="Palatino Linotype" w:cs="Palatino Linotype"/>
          <w:b/>
          <w:sz w:val="22"/>
          <w:szCs w:val="22"/>
        </w:rPr>
        <w:t>00133/CHICONCU/IP/2025</w:t>
      </w:r>
      <w:r w:rsidRPr="005C3A9D">
        <w:rPr>
          <w:rFonts w:ascii="Palatino Linotype" w:eastAsia="Palatino Linotype" w:hAnsi="Palatino Linotype" w:cs="Palatino Linotype"/>
          <w:sz w:val="22"/>
          <w:szCs w:val="22"/>
        </w:rPr>
        <w:t>, por parte de</w:t>
      </w:r>
      <w:r w:rsidR="007B262E" w:rsidRPr="005C3A9D">
        <w:rPr>
          <w:rFonts w:ascii="Palatino Linotype" w:eastAsia="Palatino Linotype" w:hAnsi="Palatino Linotype" w:cs="Palatino Linotype"/>
          <w:sz w:val="22"/>
          <w:szCs w:val="22"/>
        </w:rPr>
        <w:t xml:space="preserve">l </w:t>
      </w:r>
      <w:r w:rsidR="004C1AFB" w:rsidRPr="005C3A9D">
        <w:rPr>
          <w:rFonts w:ascii="Palatino Linotype" w:eastAsia="Palatino Linotype" w:hAnsi="Palatino Linotype" w:cs="Palatino Linotype"/>
          <w:b/>
          <w:sz w:val="22"/>
          <w:szCs w:val="22"/>
        </w:rPr>
        <w:t xml:space="preserve">Ayuntamiento de Chiconcuac </w:t>
      </w:r>
      <w:r w:rsidRPr="005C3A9D">
        <w:rPr>
          <w:rFonts w:ascii="Palatino Linotype" w:eastAsia="Palatino Linotype" w:hAnsi="Palatino Linotype" w:cs="Palatino Linotype"/>
          <w:sz w:val="22"/>
          <w:szCs w:val="22"/>
        </w:rPr>
        <w:t xml:space="preserve">en lo sucesivo el </w:t>
      </w:r>
      <w:r w:rsidR="007B262E" w:rsidRPr="005C3A9D">
        <w:rPr>
          <w:rFonts w:ascii="Palatino Linotype" w:eastAsia="Palatino Linotype" w:hAnsi="Palatino Linotype" w:cs="Palatino Linotype"/>
          <w:b/>
          <w:sz w:val="22"/>
          <w:szCs w:val="22"/>
        </w:rPr>
        <w:t>Sujeto Obligado</w:t>
      </w:r>
      <w:r w:rsidRPr="005C3A9D">
        <w:rPr>
          <w:rFonts w:ascii="Palatino Linotype" w:eastAsia="Palatino Linotype" w:hAnsi="Palatino Linotype" w:cs="Palatino Linotype"/>
          <w:sz w:val="22"/>
          <w:szCs w:val="22"/>
        </w:rPr>
        <w:t>;</w:t>
      </w:r>
      <w:r w:rsidRPr="005C3A9D">
        <w:rPr>
          <w:rFonts w:ascii="Palatino Linotype" w:eastAsia="Palatino Linotype" w:hAnsi="Palatino Linotype" w:cs="Palatino Linotype"/>
          <w:b/>
          <w:sz w:val="22"/>
          <w:szCs w:val="22"/>
        </w:rPr>
        <w:t xml:space="preserve"> </w:t>
      </w:r>
      <w:r w:rsidRPr="005C3A9D">
        <w:rPr>
          <w:rFonts w:ascii="Palatino Linotype" w:eastAsia="Palatino Linotype" w:hAnsi="Palatino Linotype" w:cs="Palatino Linotype"/>
          <w:sz w:val="22"/>
          <w:szCs w:val="22"/>
        </w:rPr>
        <w:t>se procede a dictar la presente resolución, con base en los siguientes:</w:t>
      </w:r>
    </w:p>
    <w:p w14:paraId="6256CF72" w14:textId="77777777" w:rsidR="00AC2786" w:rsidRPr="005C3A9D" w:rsidRDefault="00AC2786" w:rsidP="00AC2786">
      <w:pPr>
        <w:spacing w:line="360" w:lineRule="auto"/>
        <w:jc w:val="both"/>
        <w:rPr>
          <w:rFonts w:ascii="Palatino Linotype" w:eastAsia="Palatino Linotype" w:hAnsi="Palatino Linotype" w:cs="Palatino Linotype"/>
          <w:sz w:val="22"/>
          <w:szCs w:val="22"/>
        </w:rPr>
      </w:pPr>
    </w:p>
    <w:p w14:paraId="43E80708" w14:textId="77777777" w:rsidR="00397333" w:rsidRPr="005C3A9D" w:rsidRDefault="00B16908" w:rsidP="00AC2786">
      <w:pPr>
        <w:numPr>
          <w:ilvl w:val="0"/>
          <w:numId w:val="2"/>
        </w:numPr>
        <w:pBdr>
          <w:top w:val="nil"/>
          <w:left w:val="nil"/>
          <w:bottom w:val="nil"/>
          <w:right w:val="nil"/>
          <w:between w:val="nil"/>
        </w:pBdr>
        <w:spacing w:line="360" w:lineRule="auto"/>
        <w:ind w:left="993" w:hanging="276"/>
        <w:jc w:val="center"/>
        <w:rPr>
          <w:rFonts w:ascii="Palatino Linotype" w:eastAsia="Palatino Linotype" w:hAnsi="Palatino Linotype" w:cs="Palatino Linotype"/>
          <w:b/>
          <w:sz w:val="22"/>
          <w:szCs w:val="22"/>
        </w:rPr>
      </w:pPr>
      <w:r w:rsidRPr="005C3A9D">
        <w:rPr>
          <w:rFonts w:ascii="Palatino Linotype" w:eastAsia="Palatino Linotype" w:hAnsi="Palatino Linotype" w:cs="Palatino Linotype"/>
          <w:b/>
          <w:sz w:val="22"/>
          <w:szCs w:val="22"/>
        </w:rPr>
        <w:t>A N T E C E D E N T E S:</w:t>
      </w:r>
    </w:p>
    <w:p w14:paraId="37629353" w14:textId="77777777" w:rsidR="00397333" w:rsidRPr="005C3A9D" w:rsidRDefault="00397333" w:rsidP="00AC2786">
      <w:p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p>
    <w:p w14:paraId="5BBAB3B0" w14:textId="76CD0B61" w:rsidR="00397333" w:rsidRPr="005C3A9D" w:rsidRDefault="00B16908" w:rsidP="00AC2786">
      <w:pPr>
        <w:numPr>
          <w:ilvl w:val="1"/>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b/>
          <w:sz w:val="22"/>
          <w:szCs w:val="22"/>
        </w:rPr>
        <w:t xml:space="preserve">Solicitud de acceso a la información. </w:t>
      </w:r>
      <w:r w:rsidRPr="005C3A9D">
        <w:rPr>
          <w:rFonts w:ascii="Palatino Linotype" w:eastAsia="Palatino Linotype" w:hAnsi="Palatino Linotype" w:cs="Palatino Linotype"/>
          <w:sz w:val="22"/>
          <w:szCs w:val="22"/>
        </w:rPr>
        <w:t>Con fecha</w:t>
      </w:r>
      <w:r w:rsidR="004C1AFB" w:rsidRPr="005C3A9D">
        <w:rPr>
          <w:rFonts w:ascii="Palatino Linotype" w:eastAsia="Palatino Linotype" w:hAnsi="Palatino Linotype" w:cs="Palatino Linotype"/>
          <w:sz w:val="22"/>
          <w:szCs w:val="22"/>
        </w:rPr>
        <w:t xml:space="preserve"> </w:t>
      </w:r>
      <w:r w:rsidR="004C1AFB" w:rsidRPr="005C3A9D">
        <w:rPr>
          <w:rFonts w:ascii="Palatino Linotype" w:eastAsia="Palatino Linotype" w:hAnsi="Palatino Linotype" w:cs="Palatino Linotype"/>
          <w:b/>
          <w:bCs/>
          <w:sz w:val="22"/>
          <w:szCs w:val="22"/>
        </w:rPr>
        <w:t>cinco</w:t>
      </w:r>
      <w:r w:rsidR="00194EDE" w:rsidRPr="005C3A9D">
        <w:rPr>
          <w:rFonts w:ascii="Palatino Linotype" w:eastAsia="Palatino Linotype" w:hAnsi="Palatino Linotype" w:cs="Palatino Linotype"/>
          <w:b/>
          <w:sz w:val="22"/>
          <w:szCs w:val="22"/>
        </w:rPr>
        <w:t xml:space="preserve"> de noviembre</w:t>
      </w:r>
      <w:r w:rsidR="00340E0D" w:rsidRPr="005C3A9D">
        <w:rPr>
          <w:rFonts w:ascii="Palatino Linotype" w:eastAsia="Palatino Linotype" w:hAnsi="Palatino Linotype" w:cs="Palatino Linotype"/>
          <w:b/>
          <w:sz w:val="22"/>
          <w:szCs w:val="22"/>
        </w:rPr>
        <w:t xml:space="preserve"> de dos mil veinticinco</w:t>
      </w:r>
      <w:r w:rsidRPr="005C3A9D">
        <w:rPr>
          <w:rFonts w:ascii="Palatino Linotype" w:eastAsia="Palatino Linotype" w:hAnsi="Palatino Linotype" w:cs="Palatino Linotype"/>
          <w:sz w:val="22"/>
          <w:szCs w:val="22"/>
        </w:rPr>
        <w:t xml:space="preserve">, la parte </w:t>
      </w:r>
      <w:r w:rsidR="007B262E" w:rsidRPr="005C3A9D">
        <w:rPr>
          <w:rFonts w:ascii="Palatino Linotype" w:eastAsia="Palatino Linotype" w:hAnsi="Palatino Linotype" w:cs="Palatino Linotype"/>
          <w:b/>
          <w:sz w:val="22"/>
          <w:szCs w:val="22"/>
        </w:rPr>
        <w:t>Recurrente</w:t>
      </w:r>
      <w:r w:rsidR="007B262E"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 xml:space="preserve">formuló solicitud de acceso a información pública al </w:t>
      </w:r>
      <w:r w:rsidR="007B262E" w:rsidRPr="005C3A9D">
        <w:rPr>
          <w:rFonts w:ascii="Palatino Linotype" w:eastAsia="Palatino Linotype" w:hAnsi="Palatino Linotype" w:cs="Palatino Linotype"/>
          <w:b/>
          <w:sz w:val="22"/>
          <w:szCs w:val="22"/>
        </w:rPr>
        <w:t>Sujeto Obligado</w:t>
      </w:r>
      <w:r w:rsidR="007B262E"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a través</w:t>
      </w:r>
      <w:r w:rsidR="00F12AF5" w:rsidRPr="005C3A9D">
        <w:rPr>
          <w:rFonts w:ascii="Palatino Linotype" w:eastAsia="Palatino Linotype" w:hAnsi="Palatino Linotype" w:cs="Palatino Linotype"/>
          <w:sz w:val="22"/>
          <w:szCs w:val="22"/>
        </w:rPr>
        <w:t xml:space="preserve"> d</w:t>
      </w:r>
      <w:r w:rsidR="00EE05BB" w:rsidRPr="005C3A9D">
        <w:rPr>
          <w:rFonts w:ascii="Palatino Linotype" w:eastAsia="Palatino Linotype" w:hAnsi="Palatino Linotype" w:cs="Palatino Linotype"/>
          <w:sz w:val="22"/>
          <w:szCs w:val="22"/>
        </w:rPr>
        <w:t xml:space="preserve">el </w:t>
      </w:r>
      <w:r w:rsidRPr="005C3A9D">
        <w:rPr>
          <w:rFonts w:ascii="Palatino Linotype" w:eastAsia="Palatino Linotype" w:hAnsi="Palatino Linotype" w:cs="Palatino Linotype"/>
          <w:sz w:val="22"/>
          <w:szCs w:val="22"/>
        </w:rPr>
        <w:t xml:space="preserve">Sistema de Acceso a la Información Mexiquense, en adelante </w:t>
      </w:r>
      <w:r w:rsidRPr="005C3A9D">
        <w:rPr>
          <w:rFonts w:ascii="Palatino Linotype" w:eastAsia="Palatino Linotype" w:hAnsi="Palatino Linotype" w:cs="Palatino Linotype"/>
          <w:b/>
          <w:sz w:val="22"/>
          <w:szCs w:val="22"/>
        </w:rPr>
        <w:t>SAIMEX</w:t>
      </w:r>
      <w:r w:rsidRPr="005C3A9D">
        <w:rPr>
          <w:rFonts w:ascii="Palatino Linotype" w:eastAsia="Palatino Linotype" w:hAnsi="Palatino Linotype" w:cs="Palatino Linotype"/>
          <w:sz w:val="22"/>
          <w:szCs w:val="22"/>
        </w:rPr>
        <w:t>, requiriéndole lo siguiente:</w:t>
      </w:r>
    </w:p>
    <w:p w14:paraId="248C4D4B" w14:textId="77777777" w:rsidR="00397333" w:rsidRPr="005C3A9D" w:rsidRDefault="00397333" w:rsidP="00AC2786">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357DEE5E" w14:textId="2FD8FA73" w:rsidR="00397333" w:rsidRPr="005C3A9D" w:rsidRDefault="00C33785" w:rsidP="00AC2786">
      <w:pPr>
        <w:spacing w:line="276" w:lineRule="auto"/>
        <w:ind w:left="851" w:right="616"/>
        <w:jc w:val="both"/>
        <w:rPr>
          <w:rFonts w:ascii="Palatino Linotype" w:hAnsi="Palatino Linotype"/>
          <w:i/>
          <w:sz w:val="22"/>
          <w:szCs w:val="22"/>
        </w:rPr>
      </w:pPr>
      <w:r w:rsidRPr="005C3A9D">
        <w:rPr>
          <w:rFonts w:ascii="Palatino Linotype" w:hAnsi="Palatino Linotype"/>
          <w:i/>
          <w:sz w:val="22"/>
          <w:szCs w:val="22"/>
        </w:rPr>
        <w:t>“</w:t>
      </w:r>
      <w:r w:rsidR="004C1AFB" w:rsidRPr="005C3A9D">
        <w:rPr>
          <w:rFonts w:ascii="Palatino Linotype" w:hAnsi="Palatino Linotype"/>
          <w:i/>
          <w:sz w:val="22"/>
          <w:szCs w:val="22"/>
        </w:rPr>
        <w:t xml:space="preserve">Por medio de la presente tengo a bien solicitar la siguiente información. En relación a los permisos, licencias y/o cualquier tipo de autorización relativa a los puestos semifijos y aquellos considerados como ambulantes que se establecen en calles y/o vialidades del municipio de Chiconcuac se indique: 1.- Fundamento jurídico para el </w:t>
      </w:r>
      <w:proofErr w:type="gramStart"/>
      <w:r w:rsidR="004C1AFB" w:rsidRPr="005C3A9D">
        <w:rPr>
          <w:rFonts w:ascii="Palatino Linotype" w:hAnsi="Palatino Linotype"/>
          <w:i/>
          <w:sz w:val="22"/>
          <w:szCs w:val="22"/>
        </w:rPr>
        <w:t>cobro</w:t>
      </w:r>
      <w:proofErr w:type="gramEnd"/>
      <w:r w:rsidR="004C1AFB" w:rsidRPr="005C3A9D">
        <w:rPr>
          <w:rFonts w:ascii="Palatino Linotype" w:hAnsi="Palatino Linotype"/>
          <w:i/>
          <w:sz w:val="22"/>
          <w:szCs w:val="22"/>
        </w:rPr>
        <w:t xml:space="preserve"> así como indicar la tasa, referencia o método de cálculo para el cobro de dichos permisos, licencias y/o autorizaciones de acuerdo a su tipo. 2.- Fundamento jurídico respecto al cobro mencionado en el numero anterior sobre la temporalidad de dichos permisos, licencias y/o autorizaciones. 3.- Fundamento jurídico para la disminución y/o exención del cobro de licencias, permisos y/o </w:t>
      </w:r>
      <w:proofErr w:type="gramStart"/>
      <w:r w:rsidR="004C1AFB" w:rsidRPr="005C3A9D">
        <w:rPr>
          <w:rFonts w:ascii="Palatino Linotype" w:hAnsi="Palatino Linotype"/>
          <w:i/>
          <w:sz w:val="22"/>
          <w:szCs w:val="22"/>
        </w:rPr>
        <w:t>autorizaciones</w:t>
      </w:r>
      <w:proofErr w:type="gramEnd"/>
      <w:r w:rsidR="004C1AFB" w:rsidRPr="005C3A9D">
        <w:rPr>
          <w:rFonts w:ascii="Palatino Linotype" w:hAnsi="Palatino Linotype"/>
          <w:i/>
          <w:sz w:val="22"/>
          <w:szCs w:val="22"/>
        </w:rPr>
        <w:t xml:space="preserve"> así como sus criterios </w:t>
      </w:r>
      <w:r w:rsidR="004C1AFB" w:rsidRPr="005C3A9D">
        <w:rPr>
          <w:rFonts w:ascii="Palatino Linotype" w:hAnsi="Palatino Linotype"/>
          <w:i/>
          <w:sz w:val="22"/>
          <w:szCs w:val="22"/>
        </w:rPr>
        <w:lastRenderedPageBreak/>
        <w:t>de aplicación. 4.- Fundamento jurídico sobre multas, penalizaciones y/</w:t>
      </w:r>
      <w:proofErr w:type="spellStart"/>
      <w:r w:rsidR="004C1AFB" w:rsidRPr="005C3A9D">
        <w:rPr>
          <w:rFonts w:ascii="Palatino Linotype" w:hAnsi="Palatino Linotype"/>
          <w:i/>
          <w:sz w:val="22"/>
          <w:szCs w:val="22"/>
        </w:rPr>
        <w:t>o</w:t>
      </w:r>
      <w:proofErr w:type="spellEnd"/>
      <w:r w:rsidR="004C1AFB" w:rsidRPr="005C3A9D">
        <w:rPr>
          <w:rFonts w:ascii="Palatino Linotype" w:hAnsi="Palatino Linotype"/>
          <w:i/>
          <w:sz w:val="22"/>
          <w:szCs w:val="22"/>
        </w:rPr>
        <w:t xml:space="preserve"> otros tipos de actos aplicables a permisionarios en caso de incumplimiento del pago de permisos, licencias y/o autorizaciones. 5.- Calles y/o </w:t>
      </w:r>
      <w:proofErr w:type="gramStart"/>
      <w:r w:rsidR="004C1AFB" w:rsidRPr="005C3A9D">
        <w:rPr>
          <w:rFonts w:ascii="Palatino Linotype" w:hAnsi="Palatino Linotype"/>
          <w:i/>
          <w:sz w:val="22"/>
          <w:szCs w:val="22"/>
        </w:rPr>
        <w:t>vialidades</w:t>
      </w:r>
      <w:proofErr w:type="gramEnd"/>
      <w:r w:rsidR="004C1AFB" w:rsidRPr="005C3A9D">
        <w:rPr>
          <w:rFonts w:ascii="Palatino Linotype" w:hAnsi="Palatino Linotype"/>
          <w:i/>
          <w:sz w:val="22"/>
          <w:szCs w:val="22"/>
        </w:rPr>
        <w:t xml:space="preserve"> así como pueblo o colonia sobre las cuales actualmente se realiza el cobro de dichas licencias, permisos y/o autorizaciones desglosando por tipo de permiso (semifijos o ambulantes) 6.- Número de licencias, permisos y/o autorizaciones (semifijos o ambulantes) por cada una de las calles o vialidades mencionadas anteriormente y su avance de cobro en porcentaje con fecha de corte al mes de octubre del 2025.</w:t>
      </w:r>
      <w:r w:rsidR="005532C7" w:rsidRPr="005C3A9D">
        <w:rPr>
          <w:rFonts w:ascii="Palatino Linotype" w:hAnsi="Palatino Linotype"/>
          <w:i/>
          <w:sz w:val="22"/>
          <w:szCs w:val="22"/>
        </w:rPr>
        <w:t>”</w:t>
      </w:r>
    </w:p>
    <w:p w14:paraId="3B2E67DC" w14:textId="77777777" w:rsidR="00C33785" w:rsidRPr="005C3A9D" w:rsidRDefault="00C33785" w:rsidP="00AC2786">
      <w:pPr>
        <w:spacing w:line="360" w:lineRule="auto"/>
        <w:ind w:left="709" w:right="900"/>
        <w:jc w:val="both"/>
        <w:rPr>
          <w:rFonts w:ascii="Palatino Linotype" w:eastAsia="Palatino Linotype" w:hAnsi="Palatino Linotype" w:cs="Palatino Linotype"/>
          <w:b/>
          <w:i/>
          <w:sz w:val="22"/>
          <w:szCs w:val="22"/>
        </w:rPr>
      </w:pPr>
    </w:p>
    <w:p w14:paraId="7E534958" w14:textId="464824C4"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Modalidad elegida para la entrega de la información: </w:t>
      </w:r>
      <w:r w:rsidRPr="005C3A9D">
        <w:rPr>
          <w:rFonts w:ascii="Palatino Linotype" w:eastAsia="Palatino Linotype" w:hAnsi="Palatino Linotype" w:cs="Palatino Linotype"/>
          <w:sz w:val="22"/>
          <w:szCs w:val="22"/>
        </w:rPr>
        <w:t>a través del Sistema de Acce</w:t>
      </w:r>
      <w:r w:rsidR="00D524D6" w:rsidRPr="005C3A9D">
        <w:rPr>
          <w:rFonts w:ascii="Palatino Linotype" w:eastAsia="Palatino Linotype" w:hAnsi="Palatino Linotype" w:cs="Palatino Linotype"/>
          <w:sz w:val="22"/>
          <w:szCs w:val="22"/>
        </w:rPr>
        <w:t xml:space="preserve">so a la Información Mexiquense. </w:t>
      </w:r>
    </w:p>
    <w:p w14:paraId="1F00FE6D" w14:textId="77777777" w:rsidR="00B0008F" w:rsidRPr="005C3A9D" w:rsidRDefault="00B0008F" w:rsidP="00AC278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BBDB6C2" w14:textId="1C08D00E" w:rsidR="00397333" w:rsidRPr="005C3A9D" w:rsidRDefault="00B16908" w:rsidP="00AC2786">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Respuesta. </w:t>
      </w:r>
      <w:r w:rsidRPr="005C3A9D">
        <w:rPr>
          <w:rFonts w:ascii="Palatino Linotype" w:eastAsia="Palatino Linotype" w:hAnsi="Palatino Linotype" w:cs="Palatino Linotype"/>
          <w:sz w:val="22"/>
          <w:szCs w:val="22"/>
        </w:rPr>
        <w:t xml:space="preserve">Con fecha </w:t>
      </w:r>
      <w:r w:rsidR="00194EDE" w:rsidRPr="005C3A9D">
        <w:rPr>
          <w:rFonts w:ascii="Palatino Linotype" w:eastAsia="Palatino Linotype" w:hAnsi="Palatino Linotype" w:cs="Palatino Linotype"/>
          <w:b/>
          <w:sz w:val="22"/>
          <w:szCs w:val="22"/>
        </w:rPr>
        <w:t>d</w:t>
      </w:r>
      <w:r w:rsidR="004C1AFB" w:rsidRPr="005C3A9D">
        <w:rPr>
          <w:rFonts w:ascii="Palatino Linotype" w:eastAsia="Palatino Linotype" w:hAnsi="Palatino Linotype" w:cs="Palatino Linotype"/>
          <w:b/>
          <w:sz w:val="22"/>
          <w:szCs w:val="22"/>
        </w:rPr>
        <w:t xml:space="preserve">ieciocho de noviembre </w:t>
      </w:r>
      <w:r w:rsidR="00340E0D" w:rsidRPr="005C3A9D">
        <w:rPr>
          <w:rFonts w:ascii="Palatino Linotype" w:eastAsia="Palatino Linotype" w:hAnsi="Palatino Linotype" w:cs="Palatino Linotype"/>
          <w:b/>
          <w:sz w:val="22"/>
          <w:szCs w:val="22"/>
        </w:rPr>
        <w:t>de dos mil veinticinco</w:t>
      </w:r>
      <w:r w:rsidRPr="005C3A9D">
        <w:rPr>
          <w:rFonts w:ascii="Palatino Linotype" w:eastAsia="Palatino Linotype" w:hAnsi="Palatino Linotype" w:cs="Palatino Linotype"/>
          <w:sz w:val="22"/>
          <w:szCs w:val="22"/>
        </w:rPr>
        <w:t xml:space="preserve">, el </w:t>
      </w:r>
      <w:r w:rsidR="00931613" w:rsidRPr="005C3A9D">
        <w:rPr>
          <w:rFonts w:ascii="Palatino Linotype" w:eastAsia="Palatino Linotype" w:hAnsi="Palatino Linotype" w:cs="Palatino Linotype"/>
          <w:b/>
          <w:sz w:val="22"/>
          <w:szCs w:val="22"/>
        </w:rPr>
        <w:t>Sujeto Obligado</w:t>
      </w:r>
      <w:r w:rsidR="00931613"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 xml:space="preserve">envió su respuesta a la solicitud de acceso a la información a través del SAIMEX, la cual versa como sigue: </w:t>
      </w:r>
    </w:p>
    <w:p w14:paraId="38192537" w14:textId="77777777" w:rsidR="00C33785" w:rsidRPr="005C3A9D" w:rsidRDefault="00C33785" w:rsidP="00AC2786">
      <w:pPr>
        <w:tabs>
          <w:tab w:val="left" w:pos="7371"/>
        </w:tabs>
        <w:spacing w:line="360" w:lineRule="auto"/>
        <w:ind w:left="567" w:right="616"/>
        <w:jc w:val="both"/>
        <w:rPr>
          <w:rFonts w:ascii="Palatino Linotype" w:eastAsia="Palatino Linotype" w:hAnsi="Palatino Linotype" w:cs="Palatino Linotype"/>
          <w:i/>
          <w:sz w:val="22"/>
          <w:szCs w:val="22"/>
        </w:rPr>
      </w:pPr>
      <w:bookmarkStart w:id="0" w:name="_heading=h.3znysh7" w:colFirst="0" w:colLast="0"/>
      <w:bookmarkEnd w:id="0"/>
    </w:p>
    <w:p w14:paraId="65F8BD7F" w14:textId="77777777" w:rsidR="004C1AFB" w:rsidRPr="005C3A9D" w:rsidRDefault="00BA3021" w:rsidP="00AC2786">
      <w:pPr>
        <w:tabs>
          <w:tab w:val="left" w:pos="7371"/>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004C1AFB" w:rsidRPr="005C3A9D">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28A9DB6" w14:textId="06A26C64" w:rsidR="004C1AFB" w:rsidRPr="005C3A9D" w:rsidRDefault="004E0C10" w:rsidP="00AC2786">
      <w:pPr>
        <w:tabs>
          <w:tab w:val="left" w:pos="7371"/>
        </w:tabs>
        <w:spacing w:line="276" w:lineRule="auto"/>
        <w:ind w:left="851" w:right="616"/>
        <w:jc w:val="both"/>
        <w:rPr>
          <w:rFonts w:ascii="Palatino Linotype" w:eastAsia="Palatino Linotype" w:hAnsi="Palatino Linotype" w:cs="Palatino Linotype"/>
          <w:i/>
          <w:sz w:val="22"/>
          <w:szCs w:val="22"/>
        </w:rPr>
      </w:pPr>
      <w:r>
        <w:rPr>
          <w:rFonts w:ascii="Palatino Linotype" w:eastAsia="Palatino Linotype" w:hAnsi="Palatino Linotype" w:cs="Palatino Linotype"/>
          <w:i/>
          <w:sz w:val="22"/>
          <w:szCs w:val="22"/>
        </w:rPr>
        <w:t>X XXXXX XXXXXXXXXX</w:t>
      </w:r>
      <w:r w:rsidR="004C1AFB" w:rsidRPr="005C3A9D">
        <w:rPr>
          <w:rFonts w:ascii="Palatino Linotype" w:eastAsia="Palatino Linotype" w:hAnsi="Palatino Linotype" w:cs="Palatino Linotype"/>
          <w:i/>
          <w:sz w:val="22"/>
          <w:szCs w:val="22"/>
        </w:rPr>
        <w:t xml:space="preserve"> P R E S E N T E: Me dirijo a usted respetuosamente enviándole un cordial saludo y, al mismo tiempo, me permito distraer su amable atención para remitirle la respuesta de este Sujeto Obligado referente a la Solicitud de Información con número 00133/CHICONCU/IP/2025, presentada a través de la Plataforma SAIMEX. Al respecto le remito la siguiente respuesta adjunta en archivo PDF. Sin otro particular, le reitero mis atentas consideraciones. ATENTAMENTE: Unidad de Transparencia, Acceso a la Información Pública y Protección de Datos Personales, del Municipio de Chiconcuac, Edo. de Méx.</w:t>
      </w:r>
    </w:p>
    <w:p w14:paraId="6AD10A29" w14:textId="77777777" w:rsidR="004C1AFB" w:rsidRPr="005C3A9D" w:rsidRDefault="004C1AFB" w:rsidP="00AC2786">
      <w:pPr>
        <w:tabs>
          <w:tab w:val="left" w:pos="7371"/>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ATENTAMENTE</w:t>
      </w:r>
    </w:p>
    <w:p w14:paraId="14A83764" w14:textId="707FA5D3" w:rsidR="00EE05BB" w:rsidRPr="005C3A9D" w:rsidRDefault="004C1AFB" w:rsidP="00AC2786">
      <w:pPr>
        <w:tabs>
          <w:tab w:val="left" w:pos="7371"/>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AIDEE MONSERRAT VELAZQUEZ CRUZ</w:t>
      </w:r>
      <w:r w:rsidR="00BA3021" w:rsidRPr="005C3A9D">
        <w:rPr>
          <w:rFonts w:ascii="Palatino Linotype" w:eastAsia="Palatino Linotype" w:hAnsi="Palatino Linotype" w:cs="Palatino Linotype"/>
          <w:i/>
          <w:sz w:val="22"/>
          <w:szCs w:val="22"/>
        </w:rPr>
        <w:t>” (Sic)</w:t>
      </w:r>
    </w:p>
    <w:p w14:paraId="2FE8BEC2" w14:textId="77777777" w:rsidR="004F14D4" w:rsidRPr="005C3A9D" w:rsidRDefault="004F14D4" w:rsidP="00AC2786">
      <w:pPr>
        <w:spacing w:line="360" w:lineRule="auto"/>
        <w:ind w:right="49"/>
        <w:jc w:val="both"/>
        <w:rPr>
          <w:rFonts w:ascii="Palatino Linotype" w:eastAsia="Palatino Linotype" w:hAnsi="Palatino Linotype" w:cs="Palatino Linotype"/>
          <w:sz w:val="22"/>
          <w:szCs w:val="22"/>
        </w:rPr>
      </w:pPr>
    </w:p>
    <w:p w14:paraId="5CB2F7B3" w14:textId="77777777" w:rsidR="00397333" w:rsidRPr="005C3A9D" w:rsidRDefault="00B16908"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lastRenderedPageBreak/>
        <w:t xml:space="preserve">Del mismo modo, el </w:t>
      </w:r>
      <w:r w:rsidRPr="005C3A9D">
        <w:rPr>
          <w:rFonts w:ascii="Palatino Linotype" w:eastAsia="Palatino Linotype" w:hAnsi="Palatino Linotype" w:cs="Palatino Linotype"/>
          <w:b/>
          <w:sz w:val="22"/>
          <w:szCs w:val="22"/>
        </w:rPr>
        <w:t>Sujeto Obligado</w:t>
      </w:r>
      <w:r w:rsidRPr="005C3A9D">
        <w:rPr>
          <w:rFonts w:ascii="Palatino Linotype" w:eastAsia="Palatino Linotype" w:hAnsi="Palatino Linotype" w:cs="Palatino Linotype"/>
          <w:sz w:val="22"/>
          <w:szCs w:val="22"/>
        </w:rPr>
        <w:t xml:space="preserve"> adjuntó a su respuesta lo siguiente: </w:t>
      </w:r>
    </w:p>
    <w:p w14:paraId="46AF8CFE" w14:textId="77777777" w:rsidR="004C1AFB" w:rsidRPr="005C3A9D" w:rsidRDefault="004C1AFB" w:rsidP="00AC2786">
      <w:pPr>
        <w:spacing w:line="360" w:lineRule="auto"/>
        <w:ind w:right="49"/>
        <w:jc w:val="both"/>
        <w:rPr>
          <w:rFonts w:ascii="Palatino Linotype" w:eastAsia="Palatino Linotype" w:hAnsi="Palatino Linotype" w:cs="Palatino Linotype"/>
          <w:sz w:val="22"/>
          <w:szCs w:val="22"/>
        </w:rPr>
      </w:pPr>
    </w:p>
    <w:p w14:paraId="444E0D5D" w14:textId="24B3E01C" w:rsidR="004C1AFB" w:rsidRPr="005C3A9D" w:rsidRDefault="004C1AFB" w:rsidP="00AC2786">
      <w:pPr>
        <w:pStyle w:val="Prrafodelista"/>
        <w:numPr>
          <w:ilvl w:val="0"/>
          <w:numId w:val="10"/>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b/>
          <w:bCs/>
          <w:i/>
          <w:iCs/>
        </w:rPr>
        <w:t>00133CHICONCUIP2025.pdf</w:t>
      </w:r>
      <w:r w:rsidRPr="005C3A9D">
        <w:rPr>
          <w:rFonts w:ascii="Palatino Linotype" w:eastAsia="Palatino Linotype" w:hAnsi="Palatino Linotype" w:cs="Palatino Linotype"/>
        </w:rPr>
        <w:t xml:space="preserve">: </w:t>
      </w:r>
      <w:r w:rsidRPr="005C3A9D">
        <w:rPr>
          <w:rFonts w:ascii="Palatino Linotype" w:eastAsia="Palatino Linotype" w:hAnsi="Palatino Linotype" w:cs="Palatino Linotype"/>
          <w:iCs/>
        </w:rPr>
        <w:t xml:space="preserve">Oficio suscrito por la Titular de la Unidad de Transparencia, mediante el cual informó la entrega de la </w:t>
      </w:r>
      <w:r w:rsidR="0003122D" w:rsidRPr="005C3A9D">
        <w:rPr>
          <w:rFonts w:ascii="Palatino Linotype" w:eastAsia="Palatino Linotype" w:hAnsi="Palatino Linotype" w:cs="Palatino Linotype"/>
          <w:iCs/>
        </w:rPr>
        <w:t xml:space="preserve">respuesta emitida por la Unidad de Comercio. </w:t>
      </w:r>
    </w:p>
    <w:p w14:paraId="01637B96" w14:textId="4171C421" w:rsidR="004C1AFB" w:rsidRPr="005C3A9D" w:rsidRDefault="004C1AFB" w:rsidP="00AC2786">
      <w:pPr>
        <w:pStyle w:val="Prrafodelista"/>
        <w:numPr>
          <w:ilvl w:val="0"/>
          <w:numId w:val="25"/>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b/>
          <w:bCs/>
          <w:i/>
          <w:iCs/>
        </w:rPr>
        <w:t>Transparencia 2.pdf</w:t>
      </w:r>
      <w:r w:rsidRPr="005C3A9D">
        <w:rPr>
          <w:rFonts w:ascii="Palatino Linotype" w:eastAsia="Palatino Linotype" w:hAnsi="Palatino Linotype" w:cs="Palatino Linotype"/>
        </w:rPr>
        <w:t xml:space="preserve">: </w:t>
      </w:r>
      <w:r w:rsidR="0003122D" w:rsidRPr="005C3A9D">
        <w:rPr>
          <w:rFonts w:ascii="Palatino Linotype" w:eastAsia="Palatino Linotype" w:hAnsi="Palatino Linotype" w:cs="Palatino Linotype"/>
        </w:rPr>
        <w:t xml:space="preserve">Documento que contiene lo siguiente: </w:t>
      </w:r>
    </w:p>
    <w:p w14:paraId="7F33E1ED" w14:textId="53AE218F" w:rsidR="0003122D" w:rsidRPr="005C3A9D" w:rsidRDefault="00A81BA8" w:rsidP="00AC2786">
      <w:pPr>
        <w:pStyle w:val="Prrafodelista"/>
        <w:spacing w:line="276" w:lineRule="auto"/>
        <w:ind w:left="993" w:right="616"/>
        <w:jc w:val="both"/>
        <w:rPr>
          <w:rFonts w:ascii="Palatino Linotype" w:eastAsia="Palatino Linotype" w:hAnsi="Palatino Linotype" w:cs="Palatino Linotype"/>
          <w:b/>
          <w:bCs/>
          <w:i/>
          <w:iCs/>
        </w:rPr>
      </w:pPr>
      <w:r w:rsidRPr="005C3A9D">
        <w:rPr>
          <w:rFonts w:ascii="Palatino Linotype" w:eastAsia="Palatino Linotype" w:hAnsi="Palatino Linotype" w:cs="Palatino Linotype"/>
          <w:i/>
          <w:iCs/>
        </w:rPr>
        <w:t>“</w:t>
      </w:r>
      <w:r w:rsidR="0003122D" w:rsidRPr="005C3A9D">
        <w:rPr>
          <w:rFonts w:ascii="Palatino Linotype" w:eastAsia="Palatino Linotype" w:hAnsi="Palatino Linotype" w:cs="Palatino Linotype"/>
          <w:b/>
          <w:bCs/>
          <w:i/>
          <w:iCs/>
        </w:rPr>
        <w:t xml:space="preserve">1.- Fundamento jurídico para el </w:t>
      </w:r>
      <w:proofErr w:type="gramStart"/>
      <w:r w:rsidR="0003122D" w:rsidRPr="005C3A9D">
        <w:rPr>
          <w:rFonts w:ascii="Palatino Linotype" w:eastAsia="Palatino Linotype" w:hAnsi="Palatino Linotype" w:cs="Palatino Linotype"/>
          <w:b/>
          <w:bCs/>
          <w:i/>
          <w:iCs/>
        </w:rPr>
        <w:t>cobro</w:t>
      </w:r>
      <w:proofErr w:type="gramEnd"/>
      <w:r w:rsidR="0003122D" w:rsidRPr="005C3A9D">
        <w:rPr>
          <w:rFonts w:ascii="Palatino Linotype" w:eastAsia="Palatino Linotype" w:hAnsi="Palatino Linotype" w:cs="Palatino Linotype"/>
          <w:b/>
          <w:bCs/>
          <w:i/>
          <w:iCs/>
        </w:rPr>
        <w:t xml:space="preserve"> así como indicar la tasa, referencia o método de cálculo para el cobro de dichos permisos, licencias y/o autorizaciones de acuerdo a su tipo. </w:t>
      </w:r>
    </w:p>
    <w:p w14:paraId="56B3DB44" w14:textId="08EFA9B5" w:rsidR="0003122D" w:rsidRPr="005C3A9D" w:rsidRDefault="0003122D"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 xml:space="preserve">El fundamento jurídico aplicable al cobro de derechos por la expedición de permisos, licencias y/o autorizaciones en el </w:t>
      </w:r>
      <w:r w:rsidR="00A81BA8" w:rsidRPr="005C3A9D">
        <w:rPr>
          <w:rFonts w:ascii="Palatino Linotype" w:eastAsia="Palatino Linotype" w:hAnsi="Palatino Linotype" w:cs="Palatino Linotype"/>
          <w:i/>
          <w:iCs/>
        </w:rPr>
        <w:t>Municipios</w:t>
      </w:r>
      <w:r w:rsidRPr="005C3A9D">
        <w:rPr>
          <w:rFonts w:ascii="Palatino Linotype" w:eastAsia="Palatino Linotype" w:hAnsi="Palatino Linotype" w:cs="Palatino Linotype"/>
          <w:i/>
          <w:iCs/>
        </w:rPr>
        <w:t xml:space="preserve"> de Chiconcuac</w:t>
      </w:r>
      <w:r w:rsidR="00A81BA8" w:rsidRPr="005C3A9D">
        <w:rPr>
          <w:rFonts w:ascii="Palatino Linotype" w:eastAsia="Palatino Linotype" w:hAnsi="Palatino Linotype" w:cs="Palatino Linotype"/>
          <w:i/>
          <w:iCs/>
        </w:rPr>
        <w:t>, Estado de México, se encuentra establecido en el artículo 154 Bis del Código Financiero del Estado de México y Municipios, el cual establece…</w:t>
      </w:r>
    </w:p>
    <w:p w14:paraId="31DB2829" w14:textId="77777777" w:rsidR="00A81BA8" w:rsidRPr="005C3A9D" w:rsidRDefault="00A81BA8" w:rsidP="00AC2786">
      <w:pPr>
        <w:pStyle w:val="Prrafodelista"/>
        <w:spacing w:line="276" w:lineRule="auto"/>
        <w:ind w:left="993" w:right="616"/>
        <w:jc w:val="both"/>
        <w:rPr>
          <w:rFonts w:ascii="Palatino Linotype" w:eastAsia="Palatino Linotype" w:hAnsi="Palatino Linotype" w:cs="Palatino Linotype"/>
          <w:i/>
          <w:iCs/>
        </w:rPr>
      </w:pPr>
    </w:p>
    <w:p w14:paraId="3BDB30B4" w14:textId="07FCE21B" w:rsidR="0003122D" w:rsidRPr="005C3A9D" w:rsidRDefault="0003122D" w:rsidP="00AC2786">
      <w:pPr>
        <w:pStyle w:val="Prrafodelista"/>
        <w:spacing w:line="276" w:lineRule="auto"/>
        <w:ind w:left="993" w:right="616"/>
        <w:jc w:val="both"/>
        <w:rPr>
          <w:rFonts w:ascii="Palatino Linotype" w:eastAsia="Palatino Linotype" w:hAnsi="Palatino Linotype" w:cs="Palatino Linotype"/>
          <w:b/>
          <w:bCs/>
          <w:i/>
          <w:iCs/>
        </w:rPr>
      </w:pPr>
      <w:r w:rsidRPr="005C3A9D">
        <w:rPr>
          <w:rFonts w:ascii="Palatino Linotype" w:eastAsia="Palatino Linotype" w:hAnsi="Palatino Linotype" w:cs="Palatino Linotype"/>
          <w:b/>
          <w:bCs/>
          <w:i/>
          <w:iCs/>
        </w:rPr>
        <w:t xml:space="preserve">2.- Fundamento jurídico respecto al cobro mencionado en el </w:t>
      </w:r>
      <w:r w:rsidR="00A81BA8" w:rsidRPr="005C3A9D">
        <w:rPr>
          <w:rFonts w:ascii="Palatino Linotype" w:eastAsia="Palatino Linotype" w:hAnsi="Palatino Linotype" w:cs="Palatino Linotype"/>
          <w:b/>
          <w:bCs/>
          <w:i/>
          <w:iCs/>
        </w:rPr>
        <w:t>número</w:t>
      </w:r>
      <w:r w:rsidRPr="005C3A9D">
        <w:rPr>
          <w:rFonts w:ascii="Palatino Linotype" w:eastAsia="Palatino Linotype" w:hAnsi="Palatino Linotype" w:cs="Palatino Linotype"/>
          <w:b/>
          <w:bCs/>
          <w:i/>
          <w:iCs/>
        </w:rPr>
        <w:t xml:space="preserve"> anterior sobre la temporalidad de dichos permisos, licencias y/o autorizaciones</w:t>
      </w:r>
      <w:r w:rsidR="00A81BA8" w:rsidRPr="005C3A9D">
        <w:rPr>
          <w:rFonts w:ascii="Palatino Linotype" w:eastAsia="Palatino Linotype" w:hAnsi="Palatino Linotype" w:cs="Palatino Linotype"/>
          <w:b/>
          <w:bCs/>
          <w:i/>
          <w:iCs/>
        </w:rPr>
        <w:t xml:space="preserve"> lo estipula el artículo 3 del Reglamento para el Ejercicio del comercio, industria y Prestación de Servicios del Municipios de Chiconcuac </w:t>
      </w:r>
    </w:p>
    <w:p w14:paraId="210A2257" w14:textId="2DC63CDC" w:rsidR="0003122D" w:rsidRPr="005C3A9D" w:rsidRDefault="00A81BA8"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La temporalidad y vigencia de los permisos, licencias y/o autorizaciones otorgadas por el Ayuntamiento se encuentra regulada en el Reglamento para el Ejercicio del Comercio, la Industria y Prestación de Servicios del Municipios de Chiconcuac, Estado de México, el cual establece que los permisos otorgados tienen carácter temporal y renovable, de acuerdo con los periodos fijados por la autoridad competente y conforme a la naturaleza de la actividad comercial…</w:t>
      </w:r>
    </w:p>
    <w:p w14:paraId="058B03EF" w14:textId="77777777" w:rsidR="00A81BA8" w:rsidRPr="005C3A9D" w:rsidRDefault="00A81BA8" w:rsidP="00AC2786">
      <w:pPr>
        <w:pStyle w:val="Prrafodelista"/>
        <w:spacing w:line="276" w:lineRule="auto"/>
        <w:ind w:left="993" w:right="616"/>
        <w:jc w:val="both"/>
        <w:rPr>
          <w:rFonts w:ascii="Palatino Linotype" w:eastAsia="Palatino Linotype" w:hAnsi="Palatino Linotype" w:cs="Palatino Linotype"/>
          <w:i/>
          <w:iCs/>
        </w:rPr>
      </w:pPr>
    </w:p>
    <w:p w14:paraId="00968092" w14:textId="77777777" w:rsidR="0003122D" w:rsidRPr="005C3A9D" w:rsidRDefault="0003122D" w:rsidP="00AC2786">
      <w:pPr>
        <w:pStyle w:val="Prrafodelista"/>
        <w:spacing w:line="276" w:lineRule="auto"/>
        <w:ind w:left="993" w:right="616"/>
        <w:jc w:val="both"/>
        <w:rPr>
          <w:rFonts w:ascii="Palatino Linotype" w:eastAsia="Palatino Linotype" w:hAnsi="Palatino Linotype" w:cs="Palatino Linotype"/>
          <w:b/>
          <w:bCs/>
          <w:i/>
          <w:iCs/>
        </w:rPr>
      </w:pPr>
      <w:r w:rsidRPr="005C3A9D">
        <w:rPr>
          <w:rFonts w:ascii="Palatino Linotype" w:eastAsia="Palatino Linotype" w:hAnsi="Palatino Linotype" w:cs="Palatino Linotype"/>
          <w:b/>
          <w:bCs/>
          <w:i/>
          <w:iCs/>
        </w:rPr>
        <w:t xml:space="preserve">3.- Fundamento jurídico para la disminución y/o exención del cobro de licencias, permisos y/o </w:t>
      </w:r>
      <w:proofErr w:type="gramStart"/>
      <w:r w:rsidRPr="005C3A9D">
        <w:rPr>
          <w:rFonts w:ascii="Palatino Linotype" w:eastAsia="Palatino Linotype" w:hAnsi="Palatino Linotype" w:cs="Palatino Linotype"/>
          <w:b/>
          <w:bCs/>
          <w:i/>
          <w:iCs/>
        </w:rPr>
        <w:t>autorizaciones</w:t>
      </w:r>
      <w:proofErr w:type="gramEnd"/>
      <w:r w:rsidRPr="005C3A9D">
        <w:rPr>
          <w:rFonts w:ascii="Palatino Linotype" w:eastAsia="Palatino Linotype" w:hAnsi="Palatino Linotype" w:cs="Palatino Linotype"/>
          <w:b/>
          <w:bCs/>
          <w:i/>
          <w:iCs/>
        </w:rPr>
        <w:t xml:space="preserve"> así como sus criterios de aplicación. </w:t>
      </w:r>
    </w:p>
    <w:p w14:paraId="119CFA40" w14:textId="37C85A63" w:rsidR="0003122D" w:rsidRPr="005C3A9D" w:rsidRDefault="00A81BA8"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 xml:space="preserve">El Código Financiero del Estado de México </w:t>
      </w:r>
      <w:r w:rsidR="00220550" w:rsidRPr="005C3A9D">
        <w:rPr>
          <w:rFonts w:ascii="Palatino Linotype" w:eastAsia="Palatino Linotype" w:hAnsi="Palatino Linotype" w:cs="Palatino Linotype"/>
          <w:i/>
          <w:iCs/>
        </w:rPr>
        <w:t xml:space="preserve">y Municipios establece la posibilidad de otorgar exenciones, reducciones o condonaciones en el pago de derechos municipales, de manera general o individual, cuando exista causa de interés </w:t>
      </w:r>
      <w:r w:rsidR="00220550" w:rsidRPr="005C3A9D">
        <w:rPr>
          <w:rFonts w:ascii="Palatino Linotype" w:eastAsia="Palatino Linotype" w:hAnsi="Palatino Linotype" w:cs="Palatino Linotype"/>
          <w:i/>
          <w:iCs/>
        </w:rPr>
        <w:lastRenderedPageBreak/>
        <w:t>público o social, conforme a lo dispuesto por la Ley de Ingresos Municipal vigente y los acuerdos de cabildo emitidos para tal efecto.</w:t>
      </w:r>
    </w:p>
    <w:p w14:paraId="6D67E855" w14:textId="40F3AD57" w:rsidR="00220550" w:rsidRPr="005C3A9D" w:rsidRDefault="00220550"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 xml:space="preserve">Dichas reducciones o exenciones son aplicables conforme a criterios previamente aprobados por el H. Cabildo Municipal, mismos que consideran la situación económica del contribuyente o el impacto social de la actividad desarrollada. </w:t>
      </w:r>
    </w:p>
    <w:p w14:paraId="1B7A1CB3" w14:textId="77777777" w:rsidR="002B360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p>
    <w:p w14:paraId="2B0B00DC" w14:textId="77777777" w:rsidR="0003122D" w:rsidRPr="005C3A9D" w:rsidRDefault="0003122D" w:rsidP="00AC2786">
      <w:pPr>
        <w:pStyle w:val="Prrafodelista"/>
        <w:spacing w:line="276" w:lineRule="auto"/>
        <w:ind w:left="993" w:right="616"/>
        <w:jc w:val="both"/>
        <w:rPr>
          <w:rFonts w:ascii="Palatino Linotype" w:eastAsia="Palatino Linotype" w:hAnsi="Palatino Linotype" w:cs="Palatino Linotype"/>
          <w:b/>
          <w:bCs/>
          <w:i/>
          <w:iCs/>
        </w:rPr>
      </w:pPr>
      <w:r w:rsidRPr="005C3A9D">
        <w:rPr>
          <w:rFonts w:ascii="Palatino Linotype" w:eastAsia="Palatino Linotype" w:hAnsi="Palatino Linotype" w:cs="Palatino Linotype"/>
          <w:b/>
          <w:bCs/>
          <w:i/>
          <w:iCs/>
        </w:rPr>
        <w:t>4.- Fundamento jurídico sobre multas, penalizaciones y/</w:t>
      </w:r>
      <w:proofErr w:type="spellStart"/>
      <w:r w:rsidRPr="005C3A9D">
        <w:rPr>
          <w:rFonts w:ascii="Palatino Linotype" w:eastAsia="Palatino Linotype" w:hAnsi="Palatino Linotype" w:cs="Palatino Linotype"/>
          <w:b/>
          <w:bCs/>
          <w:i/>
          <w:iCs/>
        </w:rPr>
        <w:t>o</w:t>
      </w:r>
      <w:proofErr w:type="spellEnd"/>
      <w:r w:rsidRPr="005C3A9D">
        <w:rPr>
          <w:rFonts w:ascii="Palatino Linotype" w:eastAsia="Palatino Linotype" w:hAnsi="Palatino Linotype" w:cs="Palatino Linotype"/>
          <w:b/>
          <w:bCs/>
          <w:i/>
          <w:iCs/>
        </w:rPr>
        <w:t xml:space="preserve"> otros tipos de actos aplicables a permisionarios en caso de incumplimiento del pago de permisos, licencias y/o autorizaciones. </w:t>
      </w:r>
    </w:p>
    <w:p w14:paraId="001B5CBB" w14:textId="05CCF7F3" w:rsidR="0003122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Este se encuentra en el Titulo Octavo del Reglamento para el Ejercicio del Comercio, la Industria y Prestación de Servicios del Municipios de Chiconcuac…</w:t>
      </w:r>
    </w:p>
    <w:p w14:paraId="6E3F454D" w14:textId="77777777" w:rsidR="002B360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p>
    <w:p w14:paraId="32512942" w14:textId="77777777" w:rsidR="0003122D" w:rsidRPr="005C3A9D" w:rsidRDefault="0003122D" w:rsidP="00AC2786">
      <w:pPr>
        <w:pStyle w:val="Prrafodelista"/>
        <w:spacing w:line="276" w:lineRule="auto"/>
        <w:ind w:left="993" w:right="616"/>
        <w:jc w:val="both"/>
        <w:rPr>
          <w:rFonts w:ascii="Palatino Linotype" w:eastAsia="Palatino Linotype" w:hAnsi="Palatino Linotype" w:cs="Palatino Linotype"/>
          <w:b/>
          <w:bCs/>
          <w:i/>
          <w:iCs/>
        </w:rPr>
      </w:pPr>
      <w:r w:rsidRPr="005C3A9D">
        <w:rPr>
          <w:rFonts w:ascii="Palatino Linotype" w:eastAsia="Palatino Linotype" w:hAnsi="Palatino Linotype" w:cs="Palatino Linotype"/>
          <w:b/>
          <w:bCs/>
          <w:i/>
          <w:iCs/>
        </w:rPr>
        <w:t xml:space="preserve">5.- Calles y/o </w:t>
      </w:r>
      <w:proofErr w:type="gramStart"/>
      <w:r w:rsidRPr="005C3A9D">
        <w:rPr>
          <w:rFonts w:ascii="Palatino Linotype" w:eastAsia="Palatino Linotype" w:hAnsi="Palatino Linotype" w:cs="Palatino Linotype"/>
          <w:b/>
          <w:bCs/>
          <w:i/>
          <w:iCs/>
        </w:rPr>
        <w:t>vialidades</w:t>
      </w:r>
      <w:proofErr w:type="gramEnd"/>
      <w:r w:rsidRPr="005C3A9D">
        <w:rPr>
          <w:rFonts w:ascii="Palatino Linotype" w:eastAsia="Palatino Linotype" w:hAnsi="Palatino Linotype" w:cs="Palatino Linotype"/>
          <w:b/>
          <w:bCs/>
          <w:i/>
          <w:iCs/>
        </w:rPr>
        <w:t xml:space="preserve"> así como pueblo o colonia sobre las cuales actualmente se realiza el cobro de dichas licencias, permisos y/o autorizaciones desglosando por tipo de permiso (semifijos o ambulantes) </w:t>
      </w:r>
    </w:p>
    <w:p w14:paraId="5621E19B" w14:textId="20A6B233" w:rsidR="0003122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 xml:space="preserve">Es el artículo 107 del Reglamento para el Ejercicio del Comercio, la Industria y Prestación de Servicios del Municipios de Chiconcuac… </w:t>
      </w:r>
    </w:p>
    <w:p w14:paraId="798D605F" w14:textId="77777777" w:rsidR="002B360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p>
    <w:p w14:paraId="7905D0C7" w14:textId="6EA8A07E" w:rsidR="0003122D" w:rsidRPr="005C3A9D" w:rsidRDefault="0003122D" w:rsidP="00AC2786">
      <w:pPr>
        <w:pStyle w:val="Prrafodelista"/>
        <w:spacing w:line="276" w:lineRule="auto"/>
        <w:ind w:left="993" w:right="616"/>
        <w:jc w:val="both"/>
        <w:rPr>
          <w:rFonts w:ascii="Palatino Linotype" w:eastAsia="Palatino Linotype" w:hAnsi="Palatino Linotype" w:cs="Palatino Linotype"/>
          <w:b/>
          <w:bCs/>
          <w:i/>
          <w:iCs/>
        </w:rPr>
      </w:pPr>
      <w:r w:rsidRPr="005C3A9D">
        <w:rPr>
          <w:rFonts w:ascii="Palatino Linotype" w:eastAsia="Palatino Linotype" w:hAnsi="Palatino Linotype" w:cs="Palatino Linotype"/>
          <w:b/>
          <w:bCs/>
          <w:i/>
          <w:iCs/>
        </w:rPr>
        <w:t>6.- Número de licencias, permisos y/o autorizaciones (semifijos o ambulantes) por cada una de las calles o vialidades mencionadas anteriormente y su avance de cobro en porcentaje con fecha de corte al mes de octubre del 2025.</w:t>
      </w:r>
    </w:p>
    <w:p w14:paraId="5381E4C0" w14:textId="72A1119E" w:rsidR="0003122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 xml:space="preserve">Respecto al número de licencias o permisos vigentes por vialidad y su avance de cobro, se señala que dicha información no puede proporcionarse en su totalidad al estar vinculada con datos personales de los titulares, los cuales se encuentran protegidos en términos </w:t>
      </w:r>
      <w:r w:rsidR="003B3B4B" w:rsidRPr="005C3A9D">
        <w:rPr>
          <w:rFonts w:ascii="Palatino Linotype" w:eastAsia="Palatino Linotype" w:hAnsi="Palatino Linotype" w:cs="Palatino Linotype"/>
          <w:i/>
          <w:iCs/>
        </w:rPr>
        <w:t>de los artículos</w:t>
      </w:r>
      <w:r w:rsidRPr="005C3A9D">
        <w:rPr>
          <w:rFonts w:ascii="Palatino Linotype" w:eastAsia="Palatino Linotype" w:hAnsi="Palatino Linotype" w:cs="Palatino Linotype"/>
          <w:i/>
          <w:iCs/>
        </w:rPr>
        <w:t xml:space="preserve"> 169 y 170 de la Ley de Transparencia y Acceso a la Información Pública del Estado de México y Municipios. </w:t>
      </w:r>
    </w:p>
    <w:p w14:paraId="62211E36" w14:textId="168E86D2" w:rsidR="002B360D" w:rsidRPr="005C3A9D" w:rsidRDefault="002B360D" w:rsidP="00AC2786">
      <w:pPr>
        <w:pStyle w:val="Prrafodelista"/>
        <w:spacing w:line="276" w:lineRule="auto"/>
        <w:ind w:left="993" w:right="616"/>
        <w:jc w:val="both"/>
        <w:rPr>
          <w:rFonts w:ascii="Palatino Linotype" w:eastAsia="Palatino Linotype" w:hAnsi="Palatino Linotype" w:cs="Palatino Linotype"/>
          <w:i/>
          <w:iCs/>
        </w:rPr>
      </w:pPr>
      <w:r w:rsidRPr="005C3A9D">
        <w:rPr>
          <w:rFonts w:ascii="Palatino Linotype" w:eastAsia="Palatino Linotype" w:hAnsi="Palatino Linotype" w:cs="Palatino Linotype"/>
          <w:i/>
          <w:iCs/>
        </w:rPr>
        <w:t xml:space="preserve">No </w:t>
      </w:r>
      <w:r w:rsidR="003B3B4B" w:rsidRPr="005C3A9D">
        <w:rPr>
          <w:rFonts w:ascii="Palatino Linotype" w:eastAsia="Palatino Linotype" w:hAnsi="Palatino Linotype" w:cs="Palatino Linotype"/>
          <w:i/>
          <w:iCs/>
        </w:rPr>
        <w:t>obstante,</w:t>
      </w:r>
      <w:r w:rsidRPr="005C3A9D">
        <w:rPr>
          <w:rFonts w:ascii="Palatino Linotype" w:eastAsia="Palatino Linotype" w:hAnsi="Palatino Linotype" w:cs="Palatino Linotype"/>
          <w:i/>
          <w:iCs/>
        </w:rPr>
        <w:t xml:space="preserve"> de manera estadística y general se informa </w:t>
      </w:r>
      <w:r w:rsidR="003B3B4B" w:rsidRPr="005C3A9D">
        <w:rPr>
          <w:rFonts w:ascii="Palatino Linotype" w:eastAsia="Palatino Linotype" w:hAnsi="Palatino Linotype" w:cs="Palatino Linotype"/>
          <w:i/>
          <w:iCs/>
        </w:rPr>
        <w:t>que,</w:t>
      </w:r>
      <w:r w:rsidRPr="005C3A9D">
        <w:rPr>
          <w:rFonts w:ascii="Palatino Linotype" w:eastAsia="Palatino Linotype" w:hAnsi="Palatino Linotype" w:cs="Palatino Linotype"/>
          <w:i/>
          <w:iCs/>
        </w:rPr>
        <w:t xml:space="preserve"> en el mes de octubre de 2025, el avance global en el cobro de derechos municipales por permisos y licencias </w:t>
      </w:r>
      <w:r w:rsidR="003B3B4B" w:rsidRPr="005C3A9D">
        <w:rPr>
          <w:rFonts w:ascii="Palatino Linotype" w:eastAsia="Palatino Linotype" w:hAnsi="Palatino Linotype" w:cs="Palatino Linotype"/>
          <w:i/>
          <w:iCs/>
        </w:rPr>
        <w:t xml:space="preserve">comerciales asciende aproximadamente al 30.28 %, conforme a los registros de la Unidad de Comercio. </w:t>
      </w:r>
    </w:p>
    <w:p w14:paraId="59717C09" w14:textId="5A83F1E9" w:rsidR="0003122D" w:rsidRPr="005C3A9D" w:rsidRDefault="003B3B4B" w:rsidP="00AC2786">
      <w:pPr>
        <w:pStyle w:val="Prrafodelista"/>
        <w:spacing w:line="276" w:lineRule="auto"/>
        <w:ind w:left="993" w:right="616"/>
        <w:jc w:val="both"/>
        <w:rPr>
          <w:rFonts w:ascii="Palatino Linotype" w:eastAsia="Palatino Linotype" w:hAnsi="Palatino Linotype" w:cs="Palatino Linotype"/>
        </w:rPr>
      </w:pPr>
      <w:r w:rsidRPr="005C3A9D">
        <w:rPr>
          <w:rFonts w:ascii="Palatino Linotype" w:eastAsia="Palatino Linotype" w:hAnsi="Palatino Linotype" w:cs="Palatino Linotype"/>
          <w:i/>
          <w:iCs/>
        </w:rPr>
        <w:t>En virtud de lo anterior, se da por atendida la solicitud en los términos establecidos, proporcionando la información disponible sin vulnerar los derechos de protección de datos personales, conforme la normatividad vigente. “</w:t>
      </w:r>
    </w:p>
    <w:p w14:paraId="2DF7DA47" w14:textId="77777777" w:rsidR="0003122D" w:rsidRPr="005C3A9D" w:rsidRDefault="0003122D" w:rsidP="00AC2786">
      <w:pPr>
        <w:spacing w:line="360" w:lineRule="auto"/>
        <w:ind w:right="49"/>
        <w:jc w:val="both"/>
        <w:rPr>
          <w:rFonts w:ascii="Palatino Linotype" w:eastAsia="Palatino Linotype" w:hAnsi="Palatino Linotype" w:cs="Palatino Linotype"/>
          <w:sz w:val="22"/>
          <w:szCs w:val="22"/>
        </w:rPr>
      </w:pPr>
    </w:p>
    <w:p w14:paraId="1C00FB3E" w14:textId="6F0DA6A5" w:rsidR="004C1AFB" w:rsidRPr="005C3A9D" w:rsidRDefault="004C1AFB" w:rsidP="00AC2786">
      <w:pPr>
        <w:pStyle w:val="Prrafodelista"/>
        <w:numPr>
          <w:ilvl w:val="0"/>
          <w:numId w:val="25"/>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b/>
          <w:bCs/>
          <w:i/>
          <w:iCs/>
        </w:rPr>
        <w:t>oficio Transparencia 2.pdf</w:t>
      </w:r>
      <w:r w:rsidRPr="005C3A9D">
        <w:rPr>
          <w:rFonts w:ascii="Palatino Linotype" w:eastAsia="Palatino Linotype" w:hAnsi="Palatino Linotype" w:cs="Palatino Linotype"/>
        </w:rPr>
        <w:t xml:space="preserve">: </w:t>
      </w:r>
      <w:r w:rsidR="0003122D" w:rsidRPr="005C3A9D">
        <w:rPr>
          <w:rFonts w:ascii="Palatino Linotype" w:eastAsia="Palatino Linotype" w:hAnsi="Palatino Linotype" w:cs="Palatino Linotype"/>
        </w:rPr>
        <w:t xml:space="preserve">Oficio número HACHI/UDC/053/2025 de fecha doce de noviembre de dos mil veinticinco, suscrito por la Titular de la Unidad de Comercio, en el que informó la entrega de la información requerida para los fines a que haya lugar. </w:t>
      </w:r>
    </w:p>
    <w:p w14:paraId="65762439" w14:textId="77777777" w:rsidR="00C473FF" w:rsidRPr="005C3A9D" w:rsidRDefault="00C473FF" w:rsidP="00AC278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6B84D34A" w14:textId="5412B830" w:rsidR="00397333" w:rsidRPr="005C3A9D" w:rsidRDefault="00B16908" w:rsidP="00AC2786">
      <w:pPr>
        <w:numPr>
          <w:ilvl w:val="0"/>
          <w:numId w:val="1"/>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Interposición del recurso de revisión. </w:t>
      </w:r>
      <w:r w:rsidRPr="005C3A9D">
        <w:rPr>
          <w:rFonts w:ascii="Palatino Linotype" w:eastAsia="Palatino Linotype" w:hAnsi="Palatino Linotype" w:cs="Palatino Linotype"/>
          <w:sz w:val="22"/>
          <w:szCs w:val="22"/>
        </w:rPr>
        <w:t xml:space="preserve">Inconforme con la respuesta del </w:t>
      </w:r>
      <w:r w:rsidR="00B5531E" w:rsidRPr="005C3A9D">
        <w:rPr>
          <w:rFonts w:ascii="Palatino Linotype" w:eastAsia="Palatino Linotype" w:hAnsi="Palatino Linotype" w:cs="Palatino Linotype"/>
          <w:b/>
          <w:sz w:val="22"/>
          <w:szCs w:val="22"/>
        </w:rPr>
        <w:t>Sujeto Obligado</w:t>
      </w:r>
      <w:r w:rsidR="00484B25" w:rsidRPr="005C3A9D">
        <w:rPr>
          <w:rFonts w:ascii="Palatino Linotype" w:eastAsia="Palatino Linotype" w:hAnsi="Palatino Linotype" w:cs="Palatino Linotype"/>
          <w:b/>
          <w:sz w:val="22"/>
          <w:szCs w:val="22"/>
        </w:rPr>
        <w:t>,</w:t>
      </w:r>
      <w:r w:rsidRPr="005C3A9D">
        <w:rPr>
          <w:rFonts w:ascii="Palatino Linotype" w:eastAsia="Palatino Linotype" w:hAnsi="Palatino Linotype" w:cs="Palatino Linotype"/>
          <w:b/>
          <w:sz w:val="22"/>
          <w:szCs w:val="22"/>
        </w:rPr>
        <w:t xml:space="preserve"> </w:t>
      </w:r>
      <w:r w:rsidR="00111D33" w:rsidRPr="005C3A9D">
        <w:rPr>
          <w:rFonts w:ascii="Palatino Linotype" w:eastAsia="Palatino Linotype" w:hAnsi="Palatino Linotype" w:cs="Palatino Linotype"/>
          <w:sz w:val="22"/>
          <w:szCs w:val="22"/>
        </w:rPr>
        <w:t>la parte</w:t>
      </w:r>
      <w:r w:rsidRPr="005C3A9D">
        <w:rPr>
          <w:rFonts w:ascii="Palatino Linotype" w:eastAsia="Palatino Linotype" w:hAnsi="Palatino Linotype" w:cs="Palatino Linotype"/>
          <w:b/>
          <w:sz w:val="22"/>
          <w:szCs w:val="22"/>
        </w:rPr>
        <w:t xml:space="preserve"> </w:t>
      </w:r>
      <w:r w:rsidR="00B5531E" w:rsidRPr="005C3A9D">
        <w:rPr>
          <w:rFonts w:ascii="Palatino Linotype" w:eastAsia="Palatino Linotype" w:hAnsi="Palatino Linotype" w:cs="Palatino Linotype"/>
          <w:b/>
          <w:sz w:val="22"/>
          <w:szCs w:val="22"/>
        </w:rPr>
        <w:t>Recurrente</w:t>
      </w:r>
      <w:r w:rsidR="00B5531E"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 xml:space="preserve">interpuso recurso de revisión a través del SAIMEX en fecha </w:t>
      </w:r>
      <w:r w:rsidR="003B3B4B" w:rsidRPr="005C3A9D">
        <w:rPr>
          <w:rFonts w:ascii="Palatino Linotype" w:eastAsia="Palatino Linotype" w:hAnsi="Palatino Linotype" w:cs="Palatino Linotype"/>
          <w:b/>
          <w:sz w:val="22"/>
          <w:szCs w:val="22"/>
        </w:rPr>
        <w:t>veinticinco de noviembre</w:t>
      </w:r>
      <w:r w:rsidR="00340E0D" w:rsidRPr="005C3A9D">
        <w:rPr>
          <w:rFonts w:ascii="Palatino Linotype" w:eastAsia="Palatino Linotype" w:hAnsi="Palatino Linotype" w:cs="Palatino Linotype"/>
          <w:b/>
          <w:sz w:val="22"/>
          <w:szCs w:val="22"/>
        </w:rPr>
        <w:t xml:space="preserve"> de dos mil veinticinco</w:t>
      </w:r>
      <w:r w:rsidRPr="005C3A9D">
        <w:rPr>
          <w:rFonts w:ascii="Palatino Linotype" w:eastAsia="Palatino Linotype" w:hAnsi="Palatino Linotype" w:cs="Palatino Linotype"/>
          <w:sz w:val="22"/>
          <w:szCs w:val="22"/>
        </w:rPr>
        <w:t>, a través del cual expresó lo siguiente:</w:t>
      </w:r>
    </w:p>
    <w:p w14:paraId="1F6CC3E6" w14:textId="77777777" w:rsidR="00111D33" w:rsidRPr="005C3A9D" w:rsidRDefault="00111D33" w:rsidP="00AC2786">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sz w:val="22"/>
          <w:szCs w:val="22"/>
        </w:rPr>
      </w:pPr>
    </w:p>
    <w:p w14:paraId="067A5C53" w14:textId="77777777" w:rsidR="00216308" w:rsidRPr="005C3A9D" w:rsidRDefault="00B16908" w:rsidP="00AC2786">
      <w:pPr>
        <w:spacing w:line="360" w:lineRule="auto"/>
        <w:ind w:left="851" w:right="616"/>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b/>
          <w:sz w:val="22"/>
          <w:szCs w:val="22"/>
        </w:rPr>
        <w:t xml:space="preserve">Acto impugnado. </w:t>
      </w:r>
    </w:p>
    <w:p w14:paraId="61AA9ED7" w14:textId="53512E6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003B3B4B" w:rsidRPr="005C3A9D">
        <w:rPr>
          <w:rFonts w:ascii="Palatino Linotype" w:eastAsia="Palatino Linotype" w:hAnsi="Palatino Linotype" w:cs="Palatino Linotype"/>
          <w:i/>
          <w:sz w:val="22"/>
          <w:szCs w:val="22"/>
        </w:rPr>
        <w:t xml:space="preserve">La información solicitada no </w:t>
      </w:r>
      <w:proofErr w:type="spellStart"/>
      <w:r w:rsidR="003B3B4B" w:rsidRPr="005C3A9D">
        <w:rPr>
          <w:rFonts w:ascii="Palatino Linotype" w:eastAsia="Palatino Linotype" w:hAnsi="Palatino Linotype" w:cs="Palatino Linotype"/>
          <w:i/>
          <w:sz w:val="22"/>
          <w:szCs w:val="22"/>
        </w:rPr>
        <w:t>esta</w:t>
      </w:r>
      <w:proofErr w:type="spellEnd"/>
      <w:r w:rsidR="003B3B4B" w:rsidRPr="005C3A9D">
        <w:rPr>
          <w:rFonts w:ascii="Palatino Linotype" w:eastAsia="Palatino Linotype" w:hAnsi="Palatino Linotype" w:cs="Palatino Linotype"/>
          <w:i/>
          <w:sz w:val="22"/>
          <w:szCs w:val="22"/>
        </w:rPr>
        <w:t xml:space="preserve"> completa y manifiesto inconformidad.</w:t>
      </w:r>
      <w:r w:rsidRPr="005C3A9D">
        <w:rPr>
          <w:rFonts w:ascii="Palatino Linotype" w:eastAsia="Palatino Linotype" w:hAnsi="Palatino Linotype" w:cs="Palatino Linotype"/>
          <w:i/>
          <w:sz w:val="22"/>
          <w:szCs w:val="22"/>
        </w:rPr>
        <w:t xml:space="preserve">” </w:t>
      </w:r>
    </w:p>
    <w:p w14:paraId="66910C6E" w14:textId="77777777" w:rsidR="008C5C02" w:rsidRPr="005C3A9D" w:rsidRDefault="008C5C02" w:rsidP="00AC2786">
      <w:pPr>
        <w:spacing w:line="276" w:lineRule="auto"/>
        <w:ind w:left="851" w:right="616"/>
        <w:rPr>
          <w:rFonts w:ascii="Palatino Linotype" w:hAnsi="Palatino Linotype"/>
          <w:sz w:val="22"/>
          <w:szCs w:val="22"/>
          <w:lang w:eastAsia="es-MX"/>
        </w:rPr>
      </w:pPr>
    </w:p>
    <w:p w14:paraId="3BF8C1DF" w14:textId="77777777" w:rsidR="00216308" w:rsidRPr="005C3A9D" w:rsidRDefault="00B16908" w:rsidP="00AC2786">
      <w:pPr>
        <w:pBdr>
          <w:top w:val="nil"/>
          <w:left w:val="nil"/>
          <w:bottom w:val="nil"/>
          <w:right w:val="nil"/>
          <w:between w:val="nil"/>
        </w:pBdr>
        <w:spacing w:line="360" w:lineRule="auto"/>
        <w:ind w:left="851" w:right="616"/>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b/>
          <w:sz w:val="22"/>
          <w:szCs w:val="22"/>
        </w:rPr>
        <w:t xml:space="preserve">Motivos de inconformidad. </w:t>
      </w:r>
    </w:p>
    <w:p w14:paraId="64B1EF90" w14:textId="38B4D22E" w:rsidR="00A94A15" w:rsidRPr="005C3A9D" w:rsidRDefault="000854F0" w:rsidP="00AC2786">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u w:val="single"/>
        </w:rPr>
      </w:pPr>
      <w:r w:rsidRPr="005C3A9D">
        <w:rPr>
          <w:rFonts w:ascii="Palatino Linotype" w:eastAsia="Palatino Linotype" w:hAnsi="Palatino Linotype" w:cs="Palatino Linotype"/>
          <w:sz w:val="22"/>
          <w:szCs w:val="22"/>
        </w:rPr>
        <w:t>“</w:t>
      </w:r>
      <w:r w:rsidR="003B3B4B" w:rsidRPr="005C3A9D">
        <w:rPr>
          <w:rFonts w:ascii="Palatino Linotype" w:eastAsia="Palatino Linotype" w:hAnsi="Palatino Linotype" w:cs="Palatino Linotype"/>
          <w:i/>
          <w:sz w:val="22"/>
          <w:szCs w:val="22"/>
        </w:rPr>
        <w:t>Por medio de la presente manifiesto mi inconformidad solo con la respuesta al numeral 6 de la solicitud de información original toda vez que solicito lo siguiente: "6. Número de licencias, permisos y/o autorizaciones (semifijos y/o ambulantes) por cada una de las calles o vialidades mencionadas anteriormente y su avance de cobro en porcentaje con fecha de corte al mes de octubre del 2025" La inconformidad deriva que como se menciona únicamente estoy solicitando el número de licencias, no se pide de ninguna manera datos particulares o personales de cada licencia tales como titular, dirección, etc. La respuesta del Ayuntamiento menciona "... no puede proporcionarse en su totalidad al estar vinculada con datos personales de los titulares, los cuales se encuentran protegidos en términos de los artículos 169 y 170 de la Ley de Transparencia y Acceso a la Información Pública del Estado de México y Municipios".... Ahora si bien, el municipio menciona que</w:t>
      </w:r>
      <w:proofErr w:type="gramStart"/>
      <w:r w:rsidR="003B3B4B" w:rsidRPr="005C3A9D">
        <w:rPr>
          <w:rFonts w:ascii="Palatino Linotype" w:eastAsia="Palatino Linotype" w:hAnsi="Palatino Linotype" w:cs="Palatino Linotype"/>
          <w:i/>
          <w:sz w:val="22"/>
          <w:szCs w:val="22"/>
        </w:rPr>
        <w:t xml:space="preserve"> ....</w:t>
      </w:r>
      <w:proofErr w:type="gramEnd"/>
      <w:r w:rsidR="003B3B4B" w:rsidRPr="005C3A9D">
        <w:rPr>
          <w:rFonts w:ascii="Palatino Linotype" w:eastAsia="Palatino Linotype" w:hAnsi="Palatino Linotype" w:cs="Palatino Linotype"/>
          <w:i/>
          <w:sz w:val="22"/>
          <w:szCs w:val="22"/>
        </w:rPr>
        <w:t xml:space="preserve">"el avance global en el cobro de derechos municipales por permisos y licencias comerciales asciende aproximadamente al 30.28% conforme a los registros de la Unidad de Comercio"..... no </w:t>
      </w:r>
      <w:proofErr w:type="spellStart"/>
      <w:r w:rsidR="003B3B4B" w:rsidRPr="005C3A9D">
        <w:rPr>
          <w:rFonts w:ascii="Palatino Linotype" w:eastAsia="Palatino Linotype" w:hAnsi="Palatino Linotype" w:cs="Palatino Linotype"/>
          <w:i/>
          <w:sz w:val="22"/>
          <w:szCs w:val="22"/>
        </w:rPr>
        <w:t>esta</w:t>
      </w:r>
      <w:proofErr w:type="spellEnd"/>
      <w:r w:rsidR="003B3B4B" w:rsidRPr="005C3A9D">
        <w:rPr>
          <w:rFonts w:ascii="Palatino Linotype" w:eastAsia="Palatino Linotype" w:hAnsi="Palatino Linotype" w:cs="Palatino Linotype"/>
          <w:i/>
          <w:sz w:val="22"/>
          <w:szCs w:val="22"/>
        </w:rPr>
        <w:t xml:space="preserve"> siendo precisos en cuanto a mi petición original que indica solamente por semifijos y/o ambulantes, por lo cual, solicito se haga la precisión concreta a lo </w:t>
      </w:r>
      <w:r w:rsidR="003B3B4B" w:rsidRPr="005C3A9D">
        <w:rPr>
          <w:rFonts w:ascii="Palatino Linotype" w:eastAsia="Palatino Linotype" w:hAnsi="Palatino Linotype" w:cs="Palatino Linotype"/>
          <w:i/>
          <w:sz w:val="22"/>
          <w:szCs w:val="22"/>
        </w:rPr>
        <w:lastRenderedPageBreak/>
        <w:t xml:space="preserve">solicitado el cual es por calle o vialidades </w:t>
      </w:r>
      <w:proofErr w:type="spellStart"/>
      <w:r w:rsidR="003B3B4B" w:rsidRPr="005C3A9D">
        <w:rPr>
          <w:rFonts w:ascii="Palatino Linotype" w:eastAsia="Palatino Linotype" w:hAnsi="Palatino Linotype" w:cs="Palatino Linotype"/>
          <w:i/>
          <w:sz w:val="22"/>
          <w:szCs w:val="22"/>
        </w:rPr>
        <w:t>segun</w:t>
      </w:r>
      <w:proofErr w:type="spellEnd"/>
      <w:r w:rsidR="003B3B4B" w:rsidRPr="005C3A9D">
        <w:rPr>
          <w:rFonts w:ascii="Palatino Linotype" w:eastAsia="Palatino Linotype" w:hAnsi="Palatino Linotype" w:cs="Palatino Linotype"/>
          <w:i/>
          <w:sz w:val="22"/>
          <w:szCs w:val="22"/>
        </w:rPr>
        <w:t xml:space="preserve"> el numeral cinco de la petición de </w:t>
      </w:r>
      <w:proofErr w:type="spellStart"/>
      <w:r w:rsidR="003B3B4B" w:rsidRPr="005C3A9D">
        <w:rPr>
          <w:rFonts w:ascii="Palatino Linotype" w:eastAsia="Palatino Linotype" w:hAnsi="Palatino Linotype" w:cs="Palatino Linotype"/>
          <w:i/>
          <w:sz w:val="22"/>
          <w:szCs w:val="22"/>
        </w:rPr>
        <w:t>infomación</w:t>
      </w:r>
      <w:proofErr w:type="spellEnd"/>
      <w:r w:rsidR="003B3B4B" w:rsidRPr="005C3A9D">
        <w:rPr>
          <w:rFonts w:ascii="Palatino Linotype" w:eastAsia="Palatino Linotype" w:hAnsi="Palatino Linotype" w:cs="Palatino Linotype"/>
          <w:i/>
          <w:sz w:val="22"/>
          <w:szCs w:val="22"/>
        </w:rPr>
        <w:t xml:space="preserve"> original.</w:t>
      </w:r>
      <w:r w:rsidR="0072058A" w:rsidRPr="005C3A9D">
        <w:rPr>
          <w:rFonts w:ascii="Palatino Linotype" w:eastAsia="Palatino Linotype" w:hAnsi="Palatino Linotype" w:cs="Palatino Linotype"/>
          <w:i/>
          <w:sz w:val="22"/>
          <w:szCs w:val="22"/>
        </w:rPr>
        <w:t>”</w:t>
      </w:r>
    </w:p>
    <w:p w14:paraId="54785E50" w14:textId="77777777" w:rsidR="00166C60" w:rsidRPr="005C3A9D" w:rsidRDefault="00166C60" w:rsidP="00AC2786">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p>
    <w:p w14:paraId="7BFA1E0C" w14:textId="6E507E27" w:rsidR="003B3B4B" w:rsidRPr="005C3A9D" w:rsidRDefault="003B3B4B" w:rsidP="00AC2786">
      <w:pPr>
        <w:pBdr>
          <w:top w:val="nil"/>
          <w:left w:val="nil"/>
          <w:bottom w:val="nil"/>
          <w:right w:val="nil"/>
          <w:between w:val="nil"/>
        </w:pBdr>
        <w:spacing w:line="360" w:lineRule="auto"/>
        <w:jc w:val="both"/>
        <w:rPr>
          <w:rFonts w:ascii="Palatino Linotype" w:eastAsia="Palatino Linotype" w:hAnsi="Palatino Linotype" w:cs="Palatino Linotype"/>
          <w:iCs/>
          <w:sz w:val="22"/>
          <w:szCs w:val="22"/>
        </w:rPr>
      </w:pPr>
      <w:r w:rsidRPr="005C3A9D">
        <w:rPr>
          <w:rFonts w:ascii="Palatino Linotype" w:eastAsia="Palatino Linotype" w:hAnsi="Palatino Linotype" w:cs="Palatino Linotype"/>
          <w:iCs/>
          <w:sz w:val="22"/>
          <w:szCs w:val="22"/>
        </w:rPr>
        <w:t xml:space="preserve">Adjuntando el archivo electrónico denominado </w:t>
      </w:r>
      <w:r w:rsidRPr="005C3A9D">
        <w:rPr>
          <w:rFonts w:ascii="Palatino Linotype" w:eastAsia="Palatino Linotype" w:hAnsi="Palatino Linotype" w:cs="Palatino Linotype"/>
          <w:b/>
          <w:bCs/>
          <w:i/>
          <w:sz w:val="22"/>
          <w:szCs w:val="22"/>
        </w:rPr>
        <w:t>“Transparencia 2.pdf”</w:t>
      </w:r>
      <w:r w:rsidRPr="005C3A9D">
        <w:rPr>
          <w:rFonts w:ascii="Palatino Linotype" w:eastAsia="Palatino Linotype" w:hAnsi="Palatino Linotype" w:cs="Palatino Linotype"/>
          <w:iCs/>
          <w:sz w:val="22"/>
          <w:szCs w:val="22"/>
        </w:rPr>
        <w:t xml:space="preserve">, sin embargo, se omite su inserción por ser del conocimiento de las partes. </w:t>
      </w:r>
    </w:p>
    <w:p w14:paraId="01BCC260" w14:textId="77777777" w:rsidR="003B3B4B" w:rsidRPr="005C3A9D" w:rsidRDefault="003B3B4B" w:rsidP="00AC2786">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p>
    <w:p w14:paraId="54645142" w14:textId="4CADC6A1" w:rsidR="00397333" w:rsidRPr="005C3A9D" w:rsidRDefault="00B16908" w:rsidP="00AC2786">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Turno. </w:t>
      </w:r>
      <w:r w:rsidRPr="005C3A9D">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62391E" w:rsidRPr="005C3A9D">
        <w:rPr>
          <w:rFonts w:ascii="Palatino Linotype" w:eastAsia="Palatino Linotype" w:hAnsi="Palatino Linotype" w:cs="Palatino Linotype"/>
          <w:b/>
          <w:sz w:val="22"/>
          <w:szCs w:val="22"/>
        </w:rPr>
        <w:t>13</w:t>
      </w:r>
      <w:r w:rsidR="003B3B4B" w:rsidRPr="005C3A9D">
        <w:rPr>
          <w:rFonts w:ascii="Palatino Linotype" w:eastAsia="Palatino Linotype" w:hAnsi="Palatino Linotype" w:cs="Palatino Linotype"/>
          <w:b/>
          <w:sz w:val="22"/>
          <w:szCs w:val="22"/>
        </w:rPr>
        <w:t>264</w:t>
      </w:r>
      <w:r w:rsidRPr="005C3A9D">
        <w:rPr>
          <w:rFonts w:ascii="Palatino Linotype" w:eastAsia="Palatino Linotype" w:hAnsi="Palatino Linotype" w:cs="Palatino Linotype"/>
          <w:b/>
          <w:sz w:val="22"/>
          <w:szCs w:val="22"/>
        </w:rPr>
        <w:t>/INFOEM/IP/RR/202</w:t>
      </w:r>
      <w:r w:rsidR="00AD7406" w:rsidRPr="005C3A9D">
        <w:rPr>
          <w:rFonts w:ascii="Palatino Linotype" w:eastAsia="Palatino Linotype" w:hAnsi="Palatino Linotype" w:cs="Palatino Linotype"/>
          <w:b/>
          <w:sz w:val="22"/>
          <w:szCs w:val="22"/>
        </w:rPr>
        <w:t>5</w:t>
      </w:r>
      <w:r w:rsidRPr="005C3A9D">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5C3A9D">
        <w:rPr>
          <w:rFonts w:ascii="Palatino Linotype" w:eastAsia="Palatino Linotype" w:hAnsi="Palatino Linotype" w:cs="Palatino Linotype"/>
          <w:b/>
          <w:sz w:val="22"/>
          <w:szCs w:val="22"/>
        </w:rPr>
        <w:t>Guadalupe Ramírez Peña</w:t>
      </w:r>
      <w:r w:rsidRPr="005C3A9D">
        <w:rPr>
          <w:rFonts w:ascii="Palatino Linotype" w:eastAsia="Palatino Linotype" w:hAnsi="Palatino Linotype" w:cs="Palatino Linotype"/>
          <w:sz w:val="22"/>
          <w:szCs w:val="22"/>
        </w:rPr>
        <w:t>, para su análisis, estudio, elaboración del proyecto y presentación ante el Pleno de este Instituto.</w:t>
      </w:r>
    </w:p>
    <w:p w14:paraId="581AB42E" w14:textId="77777777" w:rsidR="00D8337B" w:rsidRPr="005C3A9D" w:rsidRDefault="00D8337B" w:rsidP="00AC278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278E2832" w14:textId="7246F4DD" w:rsidR="00397333" w:rsidRPr="005C3A9D" w:rsidRDefault="00B16908" w:rsidP="00AC2786">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sz w:val="22"/>
          <w:szCs w:val="22"/>
        </w:rPr>
      </w:pPr>
      <w:bookmarkStart w:id="1" w:name="_heading=h.gjdgxs" w:colFirst="0" w:colLast="0"/>
      <w:bookmarkEnd w:id="1"/>
      <w:r w:rsidRPr="005C3A9D">
        <w:rPr>
          <w:rFonts w:ascii="Palatino Linotype" w:eastAsia="Palatino Linotype" w:hAnsi="Palatino Linotype" w:cs="Palatino Linotype"/>
          <w:b/>
          <w:sz w:val="22"/>
          <w:szCs w:val="22"/>
        </w:rPr>
        <w:t xml:space="preserve">Admisión del recurso de revisión: </w:t>
      </w:r>
      <w:r w:rsidRPr="005C3A9D">
        <w:rPr>
          <w:rFonts w:ascii="Palatino Linotype" w:eastAsia="Palatino Linotype" w:hAnsi="Palatino Linotype" w:cs="Palatino Linotype"/>
          <w:sz w:val="22"/>
          <w:szCs w:val="22"/>
        </w:rPr>
        <w:t xml:space="preserve">En fecha </w:t>
      </w:r>
      <w:r w:rsidR="003B3B4B" w:rsidRPr="005C3A9D">
        <w:rPr>
          <w:rFonts w:ascii="Palatino Linotype" w:eastAsia="Palatino Linotype" w:hAnsi="Palatino Linotype" w:cs="Palatino Linotype"/>
          <w:b/>
          <w:sz w:val="22"/>
          <w:szCs w:val="22"/>
        </w:rPr>
        <w:t>veintiocho de noviembre</w:t>
      </w:r>
      <w:r w:rsidR="00AD7406" w:rsidRPr="005C3A9D">
        <w:rPr>
          <w:rFonts w:ascii="Palatino Linotype" w:eastAsia="Palatino Linotype" w:hAnsi="Palatino Linotype" w:cs="Palatino Linotype"/>
          <w:b/>
          <w:sz w:val="22"/>
          <w:szCs w:val="22"/>
        </w:rPr>
        <w:t xml:space="preserve"> de dos mil veinticinco</w:t>
      </w:r>
      <w:r w:rsidRPr="005C3A9D">
        <w:rPr>
          <w:rFonts w:ascii="Palatino Linotype" w:eastAsia="Palatino Linotype" w:hAnsi="Palatino Linotype" w:cs="Palatino Linotype"/>
          <w:sz w:val="22"/>
          <w:szCs w:val="22"/>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w:t>
      </w:r>
      <w:r w:rsidR="00C16852" w:rsidRPr="005C3A9D">
        <w:rPr>
          <w:rFonts w:ascii="Palatino Linotype" w:eastAsia="Palatino Linotype" w:hAnsi="Palatino Linotype" w:cs="Palatino Linotype"/>
          <w:b/>
          <w:sz w:val="22"/>
          <w:szCs w:val="22"/>
        </w:rPr>
        <w:t>Sujeto Obligado</w:t>
      </w:r>
      <w:r w:rsidR="00C16852"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presentara su informe justificado.</w:t>
      </w:r>
    </w:p>
    <w:p w14:paraId="13A8CA21" w14:textId="77777777" w:rsidR="00397333" w:rsidRPr="005C3A9D" w:rsidRDefault="00397333" w:rsidP="00AC278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20E01039" w14:textId="50028FEA" w:rsidR="003B3B4B" w:rsidRPr="005C3A9D" w:rsidRDefault="005532C7" w:rsidP="00AC2786">
      <w:pPr>
        <w:numPr>
          <w:ilvl w:val="0"/>
          <w:numId w:val="7"/>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Manifestacione</w:t>
      </w:r>
      <w:r w:rsidR="00B16908" w:rsidRPr="005C3A9D">
        <w:rPr>
          <w:rFonts w:ascii="Palatino Linotype" w:eastAsia="Palatino Linotype" w:hAnsi="Palatino Linotype" w:cs="Palatino Linotype"/>
          <w:b/>
          <w:sz w:val="22"/>
          <w:szCs w:val="22"/>
        </w:rPr>
        <w:t>s</w:t>
      </w:r>
      <w:r w:rsidR="00B16908" w:rsidRPr="005C3A9D">
        <w:rPr>
          <w:rFonts w:ascii="Palatino Linotype" w:eastAsia="Palatino Linotype" w:hAnsi="Palatino Linotype" w:cs="Palatino Linotype"/>
          <w:sz w:val="22"/>
          <w:szCs w:val="22"/>
        </w:rPr>
        <w:t xml:space="preserve">: </w:t>
      </w:r>
      <w:r w:rsidR="00D705EC" w:rsidRPr="005C3A9D">
        <w:rPr>
          <w:rFonts w:ascii="Palatino Linotype" w:eastAsia="Palatino Linotype" w:hAnsi="Palatino Linotype" w:cs="Palatino Linotype"/>
          <w:sz w:val="22"/>
          <w:szCs w:val="22"/>
        </w:rPr>
        <w:t xml:space="preserve">De las constancias que obran en el expediente electrónico del </w:t>
      </w:r>
      <w:r w:rsidR="00D705EC" w:rsidRPr="005C3A9D">
        <w:rPr>
          <w:rFonts w:ascii="Palatino Linotype" w:eastAsia="Palatino Linotype" w:hAnsi="Palatino Linotype" w:cs="Palatino Linotype"/>
          <w:b/>
          <w:bCs/>
          <w:sz w:val="22"/>
          <w:szCs w:val="22"/>
        </w:rPr>
        <w:t>SAIMEX</w:t>
      </w:r>
      <w:r w:rsidR="00D705EC" w:rsidRPr="005C3A9D">
        <w:rPr>
          <w:rFonts w:ascii="Palatino Linotype" w:eastAsia="Palatino Linotype" w:hAnsi="Palatino Linotype" w:cs="Palatino Linotype"/>
          <w:sz w:val="22"/>
          <w:szCs w:val="22"/>
        </w:rPr>
        <w:t xml:space="preserve">, se advierte que, tanto el </w:t>
      </w:r>
      <w:r w:rsidR="00D705EC" w:rsidRPr="005C3A9D">
        <w:rPr>
          <w:rFonts w:ascii="Palatino Linotype" w:eastAsia="Palatino Linotype" w:hAnsi="Palatino Linotype" w:cs="Palatino Linotype"/>
          <w:b/>
          <w:bCs/>
          <w:sz w:val="22"/>
          <w:szCs w:val="22"/>
        </w:rPr>
        <w:t>Sujeto Obligado</w:t>
      </w:r>
      <w:r w:rsidR="00D705EC" w:rsidRPr="005C3A9D">
        <w:rPr>
          <w:rFonts w:ascii="Palatino Linotype" w:eastAsia="Palatino Linotype" w:hAnsi="Palatino Linotype" w:cs="Palatino Linotype"/>
          <w:sz w:val="22"/>
          <w:szCs w:val="22"/>
        </w:rPr>
        <w:t xml:space="preserve"> como la parte </w:t>
      </w:r>
      <w:r w:rsidR="00D705EC" w:rsidRPr="005C3A9D">
        <w:rPr>
          <w:rFonts w:ascii="Palatino Linotype" w:eastAsia="Palatino Linotype" w:hAnsi="Palatino Linotype" w:cs="Palatino Linotype"/>
          <w:b/>
          <w:bCs/>
          <w:sz w:val="22"/>
          <w:szCs w:val="22"/>
        </w:rPr>
        <w:t>Recurrente</w:t>
      </w:r>
      <w:r w:rsidR="00D705EC" w:rsidRPr="005C3A9D">
        <w:rPr>
          <w:rFonts w:ascii="Palatino Linotype" w:eastAsia="Palatino Linotype" w:hAnsi="Palatino Linotype" w:cs="Palatino Linotype"/>
          <w:sz w:val="22"/>
          <w:szCs w:val="22"/>
        </w:rPr>
        <w:t xml:space="preserve"> fueron omisos en realizar manifestaciones; se inserta imagen de referencia</w:t>
      </w:r>
    </w:p>
    <w:p w14:paraId="487C130D" w14:textId="77777777" w:rsidR="003B3B4B" w:rsidRPr="005C3A9D" w:rsidRDefault="003B3B4B" w:rsidP="00AC2786">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p>
    <w:p w14:paraId="49C0AE4F" w14:textId="4EDB2736" w:rsidR="003B3B4B" w:rsidRPr="005C3A9D" w:rsidRDefault="003B3B4B" w:rsidP="00AC278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noProof/>
          <w:sz w:val="22"/>
          <w:szCs w:val="22"/>
          <w:lang w:val="es-MX" w:eastAsia="es-MX"/>
        </w:rPr>
        <w:drawing>
          <wp:inline distT="0" distB="0" distL="0" distR="0" wp14:anchorId="656EF7B6" wp14:editId="28B85681">
            <wp:extent cx="5612130" cy="916305"/>
            <wp:effectExtent l="0" t="0" r="7620" b="0"/>
            <wp:docPr id="1503540678" name="Imagen 1" descr="Una captura de pantalla de una red soc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40678" name="Imagen 1" descr="Una captura de pantalla de una red social&#10;&#10;El contenido generado por IA puede ser incorrecto."/>
                    <pic:cNvPicPr/>
                  </pic:nvPicPr>
                  <pic:blipFill>
                    <a:blip r:embed="rId9"/>
                    <a:stretch>
                      <a:fillRect/>
                    </a:stretch>
                  </pic:blipFill>
                  <pic:spPr>
                    <a:xfrm>
                      <a:off x="0" y="0"/>
                      <a:ext cx="5612130" cy="916305"/>
                    </a:xfrm>
                    <a:prstGeom prst="rect">
                      <a:avLst/>
                    </a:prstGeom>
                  </pic:spPr>
                </pic:pic>
              </a:graphicData>
            </a:graphic>
          </wp:inline>
        </w:drawing>
      </w:r>
    </w:p>
    <w:p w14:paraId="0B66A966" w14:textId="77777777" w:rsidR="00E063EC" w:rsidRPr="005C3A9D" w:rsidRDefault="00E063EC" w:rsidP="00AC278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765D5834" w14:textId="5EE1932F" w:rsidR="00D705EC" w:rsidRPr="005C3A9D" w:rsidRDefault="00E063EC" w:rsidP="00AC2786">
      <w:pPr>
        <w:numPr>
          <w:ilvl w:val="0"/>
          <w:numId w:val="7"/>
        </w:numPr>
        <w:pBdr>
          <w:top w:val="nil"/>
          <w:left w:val="nil"/>
          <w:bottom w:val="nil"/>
          <w:right w:val="nil"/>
          <w:between w:val="nil"/>
        </w:pBdr>
        <w:tabs>
          <w:tab w:val="left" w:pos="360"/>
        </w:tabs>
        <w:spacing w:line="360" w:lineRule="auto"/>
        <w:ind w:left="0" w:right="49" w:firstLine="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Ampliación de plazo:</w:t>
      </w:r>
      <w:r w:rsidRPr="005C3A9D">
        <w:rPr>
          <w:rFonts w:ascii="Palatino Linotype" w:eastAsia="Palatino Linotype" w:hAnsi="Palatino Linotype" w:cs="Palatino Linotype"/>
          <w:sz w:val="22"/>
          <w:szCs w:val="22"/>
        </w:rPr>
        <w:t xml:space="preserve"> </w:t>
      </w:r>
      <w:r w:rsidR="00D705EC" w:rsidRPr="005C3A9D">
        <w:rPr>
          <w:rFonts w:ascii="Palatino Linotype" w:eastAsia="Palatino Linotype" w:hAnsi="Palatino Linotype" w:cs="Palatino Linotype"/>
          <w:bCs/>
          <w:sz w:val="22"/>
          <w:szCs w:val="22"/>
        </w:rPr>
        <w:t xml:space="preserve">En fecha </w:t>
      </w:r>
      <w:r w:rsidR="005C3A9D" w:rsidRPr="005C3A9D">
        <w:rPr>
          <w:rFonts w:ascii="Palatino Linotype" w:eastAsia="Palatino Linotype" w:hAnsi="Palatino Linotype" w:cs="Palatino Linotype"/>
          <w:b/>
          <w:bCs/>
          <w:sz w:val="22"/>
          <w:szCs w:val="22"/>
        </w:rPr>
        <w:t>cinco de marzo</w:t>
      </w:r>
      <w:r w:rsidR="00D705EC" w:rsidRPr="005C3A9D">
        <w:rPr>
          <w:rFonts w:ascii="Palatino Linotype" w:eastAsia="Palatino Linotype" w:hAnsi="Palatino Linotype" w:cs="Palatino Linotype"/>
          <w:b/>
          <w:bCs/>
          <w:sz w:val="22"/>
          <w:szCs w:val="22"/>
        </w:rPr>
        <w:t xml:space="preserve"> de dos mil veintiséis</w:t>
      </w:r>
      <w:r w:rsidR="00D705EC" w:rsidRPr="005C3A9D">
        <w:rPr>
          <w:rFonts w:ascii="Palatino Linotype" w:eastAsia="Palatino Linotype" w:hAnsi="Palatino Linotype" w:cs="Palatino Linotype"/>
          <w:bCs/>
          <w:sz w:val="22"/>
          <w:szCs w:val="22"/>
        </w:rPr>
        <w:t>, con fundamento en el artículo 181, párrafo tercero de la Ley de Transparencia y Acceso a la Información Pública del Estado de México y Municipios, se acordó la ampliación del plazo para su resolución.</w:t>
      </w:r>
    </w:p>
    <w:p w14:paraId="760DC231"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08DFC305"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0B495BFB"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185A5266"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5C17DEF5"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1AD136EC"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734AE02"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6B047E5B"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26705E06"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3FD3D47C"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3C8B7DC0"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4E640D62" w14:textId="77777777" w:rsidR="00D705EC" w:rsidRPr="005C3A9D" w:rsidRDefault="00D705EC" w:rsidP="00AC2786">
      <w:pPr>
        <w:numPr>
          <w:ilvl w:val="0"/>
          <w:numId w:val="27"/>
        </w:num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
          <w:bCs/>
          <w:sz w:val="22"/>
          <w:szCs w:val="22"/>
        </w:rPr>
        <w:t>Complejidad del Asunto:</w:t>
      </w:r>
      <w:r w:rsidRPr="005C3A9D">
        <w:rPr>
          <w:rFonts w:ascii="Palatino Linotype" w:eastAsia="Palatino Linotype" w:hAnsi="Palatino Linotype" w:cs="Palatino Linotype"/>
          <w:bCs/>
          <w:sz w:val="22"/>
          <w:szCs w:val="22"/>
        </w:rPr>
        <w:t xml:space="preserve"> La complejidad de la prueba, la pluralidad de sujetos procesales, el tiempo transcurrido, las características y contexto del recurso. </w:t>
      </w:r>
    </w:p>
    <w:p w14:paraId="6F62523F"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29FA3F70" w14:textId="77777777" w:rsidR="00D705EC" w:rsidRPr="005C3A9D" w:rsidRDefault="00D705EC" w:rsidP="00AC2786">
      <w:pPr>
        <w:numPr>
          <w:ilvl w:val="0"/>
          <w:numId w:val="27"/>
        </w:num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
          <w:bCs/>
          <w:sz w:val="22"/>
          <w:szCs w:val="22"/>
        </w:rPr>
        <w:t>Actividad Procesal del interesado.</w:t>
      </w:r>
      <w:r w:rsidRPr="005C3A9D">
        <w:rPr>
          <w:rFonts w:ascii="Palatino Linotype" w:eastAsia="Palatino Linotype" w:hAnsi="Palatino Linotype" w:cs="Palatino Linotype"/>
          <w:bCs/>
          <w:sz w:val="22"/>
          <w:szCs w:val="22"/>
        </w:rPr>
        <w:t xml:space="preserve"> Acciones u omisiones del interesado.</w:t>
      </w:r>
    </w:p>
    <w:p w14:paraId="00606B9B"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0E0CCA77" w14:textId="77777777" w:rsidR="00D705EC" w:rsidRPr="005C3A9D" w:rsidRDefault="00D705EC" w:rsidP="00AC2786">
      <w:pPr>
        <w:numPr>
          <w:ilvl w:val="0"/>
          <w:numId w:val="27"/>
        </w:num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
          <w:bCs/>
          <w:sz w:val="22"/>
          <w:szCs w:val="22"/>
        </w:rPr>
        <w:t>Conducta de la Autoridad:</w:t>
      </w:r>
      <w:r w:rsidRPr="005C3A9D">
        <w:rPr>
          <w:rFonts w:ascii="Palatino Linotype" w:eastAsia="Palatino Linotype" w:hAnsi="Palatino Linotype" w:cs="Palatino Linotype"/>
          <w:bCs/>
          <w:sz w:val="22"/>
          <w:szCs w:val="22"/>
        </w:rPr>
        <w:t xml:space="preserve"> Las Acciones u omisiones realizadas en el procedimiento. Así como si la autoridad actuó con la debida diligencia.</w:t>
      </w:r>
    </w:p>
    <w:p w14:paraId="1BBFF0B4"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2D81F773" w14:textId="77777777" w:rsidR="00D705EC" w:rsidRPr="005C3A9D" w:rsidRDefault="00D705EC" w:rsidP="00AC2786">
      <w:pPr>
        <w:numPr>
          <w:ilvl w:val="0"/>
          <w:numId w:val="27"/>
        </w:num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 xml:space="preserve"> </w:t>
      </w:r>
      <w:r w:rsidRPr="005C3A9D">
        <w:rPr>
          <w:rFonts w:ascii="Palatino Linotype" w:eastAsia="Palatino Linotype" w:hAnsi="Palatino Linotype" w:cs="Palatino Linotype"/>
          <w:b/>
          <w:bCs/>
          <w:sz w:val="22"/>
          <w:szCs w:val="22"/>
        </w:rPr>
        <w:t xml:space="preserve">La afectación generada en la situación jurídica de la persona involucrada en el proceso: </w:t>
      </w:r>
      <w:r w:rsidRPr="005C3A9D">
        <w:rPr>
          <w:rFonts w:ascii="Palatino Linotype" w:eastAsia="Palatino Linotype" w:hAnsi="Palatino Linotype" w:cs="Palatino Linotype"/>
          <w:bCs/>
          <w:sz w:val="22"/>
          <w:szCs w:val="22"/>
        </w:rPr>
        <w:t>Violación a sus derechos humanos.</w:t>
      </w:r>
    </w:p>
    <w:p w14:paraId="6DFEBC75"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6090D1DB"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ECFBA6B"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722F5803"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r w:rsidRPr="005C3A9D">
        <w:rPr>
          <w:rFonts w:ascii="Palatino Linotype" w:eastAsia="Palatino Linotype" w:hAnsi="Palatino Linotype" w:cs="Palatino Linotype"/>
          <w:bCs/>
          <w:sz w:val="22"/>
          <w:szCs w:val="22"/>
        </w:rPr>
        <w:t xml:space="preserve">Argumento que encuentra sustento en la jurisprudencia P./J. 32/92 emitida por el Pleno de la Suprema Corte de Justicia de la Nación de rubro </w:t>
      </w:r>
      <w:r w:rsidRPr="005C3A9D">
        <w:rPr>
          <w:rFonts w:ascii="Palatino Linotype" w:eastAsia="Palatino Linotype" w:hAnsi="Palatino Linotype" w:cs="Palatino Linotype"/>
          <w:bCs/>
          <w:i/>
          <w:sz w:val="22"/>
          <w:szCs w:val="22"/>
        </w:rPr>
        <w:t xml:space="preserve">“TÉRMINOS PROCESALES. PARA DETERMINAR SI UN FUNCIONARIO JUDICIAL ACTUÓ INDEBIDAMENTE POR NO RESPETARLOS SE DEBE ATENDER AL PRESUPUESTO QUE CONSIDERÓ EL </w:t>
      </w:r>
      <w:r w:rsidRPr="005C3A9D">
        <w:rPr>
          <w:rFonts w:ascii="Palatino Linotype" w:eastAsia="Palatino Linotype" w:hAnsi="Palatino Linotype" w:cs="Palatino Linotype"/>
          <w:bCs/>
          <w:i/>
          <w:sz w:val="22"/>
          <w:szCs w:val="22"/>
        </w:rPr>
        <w:lastRenderedPageBreak/>
        <w:t>LEGISLADOR AL FIJARLOS Y LAS CARACTERÍSTICAS DEL CASO.”</w:t>
      </w:r>
      <w:r w:rsidRPr="005C3A9D">
        <w:rPr>
          <w:rFonts w:ascii="Palatino Linotype" w:eastAsia="Palatino Linotype" w:hAnsi="Palatino Linotype" w:cs="Palatino Linotype"/>
          <w:bCs/>
          <w:sz w:val="22"/>
          <w:szCs w:val="22"/>
        </w:rPr>
        <w:t>, visible en la Gaceta del Seminario Judicial de la Federación con el registro digital 205635.</w:t>
      </w:r>
    </w:p>
    <w:p w14:paraId="1D504D53"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2CB321BA"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F21955D"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766C04D9"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Al respecto, también son de considerar los criterios sostenidos por el Cuarto Tribunal Colegiado en Materia Administrativa del Primer Circuito, cuyos rubros y datos de identificación son los siguientes:</w:t>
      </w:r>
    </w:p>
    <w:p w14:paraId="2902E09C"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6E6F8A2D"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t xml:space="preserve"> </w:t>
      </w:r>
      <w:r w:rsidRPr="005C3A9D">
        <w:rPr>
          <w:rFonts w:ascii="Palatino Linotype" w:eastAsia="Palatino Linotype" w:hAnsi="Palatino Linotype" w:cs="Palatino Linotype"/>
          <w:bCs/>
          <w:i/>
          <w:sz w:val="22"/>
          <w:szCs w:val="22"/>
        </w:rPr>
        <w:t>“PLAZO RAZONABLE PARA RESOLVER. DIMENSIÓN Y EFECTOS DE ESTE CONCEPTO CUANDO SE ADUCE EXCESIVA CARGA DE TRABAJO.”</w:t>
      </w:r>
      <w:r w:rsidRPr="005C3A9D">
        <w:rPr>
          <w:rFonts w:ascii="Palatino Linotype" w:eastAsia="Palatino Linotype" w:hAnsi="Palatino Linotype" w:cs="Palatino Linotype"/>
          <w:bCs/>
          <w:sz w:val="22"/>
          <w:szCs w:val="22"/>
        </w:rPr>
        <w:t xml:space="preserve"> consultable en el Seminario Judicial de la Federación y su gaceta, con el registro digital 2002351.</w:t>
      </w:r>
    </w:p>
    <w:p w14:paraId="4814C174"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5F4E6890"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i/>
          <w:sz w:val="22"/>
          <w:szCs w:val="22"/>
        </w:rPr>
        <w:t>“PLAZO RAZONABLE PARA RESOLVER. CONCEPTO Y ELEMENTOS QUE LO INTEGRAN A LA LUZ DEL DERECHO INTERNACIONAL DE LOS DERECHOS HUMANOS.”</w:t>
      </w:r>
      <w:r w:rsidRPr="005C3A9D">
        <w:rPr>
          <w:rFonts w:ascii="Palatino Linotype" w:eastAsia="Palatino Linotype" w:hAnsi="Palatino Linotype" w:cs="Palatino Linotype"/>
          <w:bCs/>
          <w:sz w:val="22"/>
          <w:szCs w:val="22"/>
        </w:rPr>
        <w:t>, visible en el Seminario Judicial de la Federación y su gaceta, con el registro digital 2002350.</w:t>
      </w:r>
    </w:p>
    <w:p w14:paraId="5E0E4BF4"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p>
    <w:p w14:paraId="6584C234"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Cs/>
          <w:sz w:val="22"/>
          <w:szCs w:val="22"/>
        </w:rPr>
      </w:pPr>
      <w:r w:rsidRPr="005C3A9D">
        <w:rPr>
          <w:rFonts w:ascii="Palatino Linotype" w:eastAsia="Palatino Linotype" w:hAnsi="Palatino Linotype" w:cs="Palatino Linotype"/>
          <w:bCs/>
          <w:sz w:val="22"/>
          <w:szCs w:val="22"/>
        </w:rPr>
        <w:lastRenderedPageBreak/>
        <w:t>Por ello, este organismo garante comprometido con la tutela de los derechos humanos confiados, señala que este exceso de plazo legal para resolver el presente asunto, resulta de carácter excepcional.</w:t>
      </w:r>
    </w:p>
    <w:p w14:paraId="67EF427D" w14:textId="77777777" w:rsidR="00D705EC" w:rsidRPr="005C3A9D" w:rsidRDefault="00D705EC" w:rsidP="00AC278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p>
    <w:p w14:paraId="530874FF" w14:textId="667FEBCA" w:rsidR="00215DEF" w:rsidRPr="005C3A9D" w:rsidRDefault="00B16908" w:rsidP="00AC2786">
      <w:pPr>
        <w:numPr>
          <w:ilvl w:val="0"/>
          <w:numId w:val="8"/>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Cierre de instrucción. </w:t>
      </w:r>
      <w:r w:rsidRPr="005C3A9D">
        <w:rPr>
          <w:rFonts w:ascii="Palatino Linotype" w:eastAsia="Palatino Linotype" w:hAnsi="Palatino Linotype" w:cs="Palatino Linotype"/>
          <w:sz w:val="22"/>
          <w:szCs w:val="22"/>
        </w:rPr>
        <w:t xml:space="preserve">El </w:t>
      </w:r>
      <w:r w:rsidR="005C3A9D" w:rsidRPr="005C3A9D">
        <w:rPr>
          <w:rFonts w:ascii="Palatino Linotype" w:eastAsia="Palatino Linotype" w:hAnsi="Palatino Linotype" w:cs="Palatino Linotype"/>
          <w:b/>
          <w:sz w:val="22"/>
          <w:szCs w:val="22"/>
        </w:rPr>
        <w:t>cinco de marzo</w:t>
      </w:r>
      <w:r w:rsidR="000A380E" w:rsidRPr="005C3A9D">
        <w:rPr>
          <w:rFonts w:ascii="Palatino Linotype" w:eastAsia="Palatino Linotype" w:hAnsi="Palatino Linotype" w:cs="Palatino Linotype"/>
          <w:b/>
          <w:sz w:val="22"/>
          <w:szCs w:val="22"/>
        </w:rPr>
        <w:t xml:space="preserve"> de dos mil veintiséis</w:t>
      </w:r>
      <w:r w:rsidRPr="005C3A9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A3AB45A" w14:textId="77777777" w:rsidR="00DA55A9" w:rsidRPr="005C3A9D" w:rsidRDefault="00DA55A9" w:rsidP="00AC278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38122F24" w14:textId="6B9D468D" w:rsidR="00505D52"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A4B7790" w14:textId="77777777" w:rsidR="00397333" w:rsidRPr="005C3A9D" w:rsidRDefault="00B16908" w:rsidP="00AC2786">
      <w:pPr>
        <w:numPr>
          <w:ilvl w:val="0"/>
          <w:numId w:val="2"/>
        </w:num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2" w:name="_heading=h.30j0zll" w:colFirst="0" w:colLast="0"/>
      <w:bookmarkEnd w:id="2"/>
      <w:r w:rsidRPr="005C3A9D">
        <w:rPr>
          <w:rFonts w:ascii="Palatino Linotype" w:eastAsia="Palatino Linotype" w:hAnsi="Palatino Linotype" w:cs="Palatino Linotype"/>
          <w:b/>
          <w:sz w:val="22"/>
          <w:szCs w:val="22"/>
        </w:rPr>
        <w:t>C O N S I D E R A N D O:</w:t>
      </w:r>
    </w:p>
    <w:p w14:paraId="5C36930C" w14:textId="77777777" w:rsidR="00397333" w:rsidRPr="005C3A9D" w:rsidRDefault="00397333" w:rsidP="00AC2786">
      <w:p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p>
    <w:p w14:paraId="34B414FE" w14:textId="43898526"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Primero. Competencia. </w:t>
      </w:r>
      <w:r w:rsidR="00505D52" w:rsidRPr="005C3A9D">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w:t>
      </w:r>
      <w:r w:rsidR="00B357A6" w:rsidRPr="005C3A9D">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00505D52" w:rsidRPr="005C3A9D">
        <w:rPr>
          <w:rFonts w:ascii="Palatino Linotype" w:eastAsia="Palatino Linotype" w:hAnsi="Palatino Linotype" w:cs="Palatino Linotype"/>
          <w:sz w:val="22"/>
          <w:szCs w:val="22"/>
        </w:rPr>
        <w:t>;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B9621BF" w14:textId="77777777" w:rsidR="00397333" w:rsidRPr="005C3A9D" w:rsidRDefault="00397333" w:rsidP="00AC2786">
      <w:pPr>
        <w:spacing w:line="360" w:lineRule="auto"/>
        <w:jc w:val="both"/>
        <w:rPr>
          <w:rFonts w:ascii="Palatino Linotype" w:eastAsia="Palatino Linotype" w:hAnsi="Palatino Linotype" w:cs="Palatino Linotype"/>
          <w:b/>
          <w:sz w:val="22"/>
          <w:szCs w:val="22"/>
        </w:rPr>
      </w:pPr>
    </w:p>
    <w:p w14:paraId="4999958C" w14:textId="77777777"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lastRenderedPageBreak/>
        <w:t>Segundo. Oportunidad y Procedibilidad del Recurso de Revisión</w:t>
      </w:r>
      <w:r w:rsidRPr="005C3A9D">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240AEAC3" w14:textId="77777777" w:rsidR="00397333" w:rsidRPr="005C3A9D" w:rsidRDefault="00397333" w:rsidP="00AC2786">
      <w:pPr>
        <w:spacing w:line="360" w:lineRule="auto"/>
        <w:jc w:val="both"/>
        <w:rPr>
          <w:rFonts w:ascii="Palatino Linotype" w:eastAsia="Palatino Linotype" w:hAnsi="Palatino Linotype" w:cs="Palatino Linotype"/>
          <w:sz w:val="22"/>
          <w:szCs w:val="22"/>
        </w:rPr>
      </w:pPr>
    </w:p>
    <w:p w14:paraId="51DCF894" w14:textId="5840FEDF" w:rsidR="00397333" w:rsidRPr="005C3A9D" w:rsidRDefault="00B16908"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ya que el </w:t>
      </w:r>
      <w:r w:rsidR="009D5A9E" w:rsidRPr="005C3A9D">
        <w:rPr>
          <w:rFonts w:ascii="Palatino Linotype" w:eastAsia="Palatino Linotype" w:hAnsi="Palatino Linotype" w:cs="Palatino Linotype"/>
          <w:b/>
          <w:sz w:val="22"/>
          <w:szCs w:val="22"/>
        </w:rPr>
        <w:t>Sujeto Obligado</w:t>
      </w:r>
      <w:r w:rsidR="009D5A9E"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 xml:space="preserve">proporcionó su respuesta a la solicitud de información el </w:t>
      </w:r>
      <w:r w:rsidR="00B357A6" w:rsidRPr="005C3A9D">
        <w:rPr>
          <w:rFonts w:ascii="Palatino Linotype" w:eastAsia="Palatino Linotype" w:hAnsi="Palatino Linotype" w:cs="Palatino Linotype"/>
          <w:b/>
          <w:sz w:val="22"/>
          <w:szCs w:val="22"/>
        </w:rPr>
        <w:t>d</w:t>
      </w:r>
      <w:r w:rsidR="00E03E38" w:rsidRPr="005C3A9D">
        <w:rPr>
          <w:rFonts w:ascii="Palatino Linotype" w:eastAsia="Palatino Linotype" w:hAnsi="Palatino Linotype" w:cs="Palatino Linotype"/>
          <w:b/>
          <w:sz w:val="22"/>
          <w:szCs w:val="22"/>
        </w:rPr>
        <w:t xml:space="preserve">ieciocho de noviembre de </w:t>
      </w:r>
      <w:r w:rsidR="00942751" w:rsidRPr="005C3A9D">
        <w:rPr>
          <w:rFonts w:ascii="Palatino Linotype" w:eastAsia="Palatino Linotype" w:hAnsi="Palatino Linotype" w:cs="Palatino Linotype"/>
          <w:b/>
          <w:sz w:val="22"/>
          <w:szCs w:val="22"/>
        </w:rPr>
        <w:t>dos mil veinticinco</w:t>
      </w:r>
      <w:r w:rsidR="00505D52" w:rsidRPr="005C3A9D">
        <w:rPr>
          <w:rFonts w:ascii="Palatino Linotype" w:eastAsia="Palatino Linotype" w:hAnsi="Palatino Linotype" w:cs="Palatino Linotype"/>
          <w:sz w:val="22"/>
          <w:szCs w:val="22"/>
        </w:rPr>
        <w:t>, y la parte</w:t>
      </w:r>
      <w:r w:rsidRPr="005C3A9D">
        <w:rPr>
          <w:rFonts w:ascii="Palatino Linotype" w:eastAsia="Palatino Linotype" w:hAnsi="Palatino Linotype" w:cs="Palatino Linotype"/>
          <w:sz w:val="22"/>
          <w:szCs w:val="22"/>
        </w:rPr>
        <w:t xml:space="preserve"> </w:t>
      </w:r>
      <w:r w:rsidR="009D5A9E" w:rsidRPr="005C3A9D">
        <w:rPr>
          <w:rFonts w:ascii="Palatino Linotype" w:eastAsia="Palatino Linotype" w:hAnsi="Palatino Linotype" w:cs="Palatino Linotype"/>
          <w:b/>
          <w:sz w:val="22"/>
          <w:szCs w:val="22"/>
        </w:rPr>
        <w:t>Recurrente</w:t>
      </w:r>
      <w:r w:rsidR="009D5A9E"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presentó su recurso de revisión el</w:t>
      </w:r>
      <w:r w:rsidR="00A94A15" w:rsidRPr="005C3A9D">
        <w:rPr>
          <w:rFonts w:ascii="Palatino Linotype" w:eastAsia="Palatino Linotype" w:hAnsi="Palatino Linotype" w:cs="Palatino Linotype"/>
          <w:sz w:val="22"/>
          <w:szCs w:val="22"/>
        </w:rPr>
        <w:t xml:space="preserve"> </w:t>
      </w:r>
      <w:r w:rsidR="00E03E38" w:rsidRPr="005C3A9D">
        <w:rPr>
          <w:rFonts w:ascii="Palatino Linotype" w:eastAsia="Palatino Linotype" w:hAnsi="Palatino Linotype" w:cs="Palatino Linotype"/>
          <w:b/>
          <w:sz w:val="22"/>
          <w:szCs w:val="22"/>
        </w:rPr>
        <w:t xml:space="preserve">veinticinco de noviembre </w:t>
      </w:r>
      <w:r w:rsidR="00942751" w:rsidRPr="005C3A9D">
        <w:rPr>
          <w:rFonts w:ascii="Palatino Linotype" w:eastAsia="Palatino Linotype" w:hAnsi="Palatino Linotype" w:cs="Palatino Linotype"/>
          <w:b/>
          <w:sz w:val="22"/>
          <w:szCs w:val="22"/>
        </w:rPr>
        <w:t>de dos mil veinticinco</w:t>
      </w:r>
      <w:r w:rsidRPr="005C3A9D">
        <w:rPr>
          <w:rFonts w:ascii="Palatino Linotype" w:eastAsia="Palatino Linotype" w:hAnsi="Palatino Linotype" w:cs="Palatino Linotype"/>
          <w:sz w:val="22"/>
          <w:szCs w:val="22"/>
        </w:rPr>
        <w:t>;</w:t>
      </w:r>
      <w:r w:rsidRPr="005C3A9D">
        <w:rPr>
          <w:rFonts w:ascii="Palatino Linotype" w:eastAsia="Palatino Linotype" w:hAnsi="Palatino Linotype" w:cs="Palatino Linotype"/>
          <w:b/>
          <w:sz w:val="22"/>
          <w:szCs w:val="22"/>
        </w:rPr>
        <w:t xml:space="preserve"> </w:t>
      </w:r>
      <w:r w:rsidRPr="005C3A9D">
        <w:rPr>
          <w:rFonts w:ascii="Palatino Linotype" w:eastAsia="Palatino Linotype" w:hAnsi="Palatino Linotype" w:cs="Palatino Linotype"/>
          <w:sz w:val="22"/>
          <w:szCs w:val="22"/>
        </w:rPr>
        <w:t xml:space="preserve">esto es </w:t>
      </w:r>
      <w:r w:rsidR="00942751" w:rsidRPr="005C3A9D">
        <w:rPr>
          <w:rFonts w:ascii="Palatino Linotype" w:eastAsia="Palatino Linotype" w:hAnsi="Palatino Linotype" w:cs="Palatino Linotype"/>
          <w:sz w:val="22"/>
          <w:szCs w:val="22"/>
        </w:rPr>
        <w:t>a</w:t>
      </w:r>
      <w:r w:rsidR="0047699C" w:rsidRPr="005C3A9D">
        <w:rPr>
          <w:rFonts w:ascii="Palatino Linotype" w:eastAsia="Palatino Linotype" w:hAnsi="Palatino Linotype" w:cs="Palatino Linotype"/>
          <w:sz w:val="22"/>
          <w:szCs w:val="22"/>
        </w:rPr>
        <w:t xml:space="preserve">l </w:t>
      </w:r>
      <w:r w:rsidR="00E03E38" w:rsidRPr="005C3A9D">
        <w:rPr>
          <w:rFonts w:ascii="Palatino Linotype" w:eastAsia="Palatino Linotype" w:hAnsi="Palatino Linotype" w:cs="Palatino Linotype"/>
          <w:sz w:val="22"/>
          <w:szCs w:val="22"/>
        </w:rPr>
        <w:t xml:space="preserve">quinto </w:t>
      </w:r>
      <w:r w:rsidR="0047699C" w:rsidRPr="005C3A9D">
        <w:rPr>
          <w:rFonts w:ascii="Palatino Linotype" w:eastAsia="Palatino Linotype" w:hAnsi="Palatino Linotype" w:cs="Palatino Linotype"/>
          <w:sz w:val="22"/>
          <w:szCs w:val="22"/>
        </w:rPr>
        <w:t>día hábil</w:t>
      </w:r>
      <w:r w:rsidR="00E06B79" w:rsidRPr="005C3A9D">
        <w:rPr>
          <w:rFonts w:ascii="Palatino Linotype" w:eastAsia="Palatino Linotype" w:hAnsi="Palatino Linotype" w:cs="Palatino Linotype"/>
          <w:sz w:val="22"/>
          <w:szCs w:val="22"/>
        </w:rPr>
        <w:t xml:space="preserve"> </w:t>
      </w:r>
      <w:r w:rsidR="005532C7" w:rsidRPr="005C3A9D">
        <w:rPr>
          <w:rFonts w:ascii="Palatino Linotype" w:eastAsia="Palatino Linotype" w:hAnsi="Palatino Linotype" w:cs="Palatino Linotype"/>
          <w:sz w:val="22"/>
          <w:szCs w:val="22"/>
        </w:rPr>
        <w:t>en</w:t>
      </w:r>
      <w:r w:rsidRPr="005C3A9D">
        <w:rPr>
          <w:rFonts w:ascii="Palatino Linotype" w:eastAsia="Palatino Linotype" w:hAnsi="Palatino Linotype" w:cs="Palatino Linotype"/>
          <w:sz w:val="22"/>
          <w:szCs w:val="22"/>
        </w:rPr>
        <w:t xml:space="preserve"> que tuvo conocimiento de la respuesta. </w:t>
      </w:r>
    </w:p>
    <w:p w14:paraId="68BA529A" w14:textId="77777777" w:rsidR="00D90883" w:rsidRPr="005C3A9D" w:rsidRDefault="00D90883" w:rsidP="00AC2786">
      <w:pPr>
        <w:spacing w:line="360" w:lineRule="auto"/>
        <w:ind w:right="49"/>
        <w:jc w:val="both"/>
        <w:rPr>
          <w:rFonts w:ascii="Palatino Linotype" w:eastAsia="Palatino Linotype" w:hAnsi="Palatino Linotype" w:cs="Palatino Linotype"/>
          <w:sz w:val="22"/>
          <w:szCs w:val="22"/>
        </w:rPr>
      </w:pPr>
    </w:p>
    <w:p w14:paraId="1CD42774" w14:textId="4940415E" w:rsidR="00942751" w:rsidRPr="005C3A9D" w:rsidRDefault="00942751"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Asimismo, por cuanto hace a la procedibilidad del recurso de revisión, es de suma importancia señalar que la parte</w:t>
      </w:r>
      <w:r w:rsidRPr="005C3A9D">
        <w:rPr>
          <w:rFonts w:ascii="Palatino Linotype" w:eastAsia="Palatino Linotype" w:hAnsi="Palatino Linotype" w:cs="Palatino Linotype"/>
          <w:b/>
          <w:sz w:val="22"/>
          <w:szCs w:val="22"/>
        </w:rPr>
        <w:t xml:space="preserve"> Recurrente</w:t>
      </w:r>
      <w:r w:rsidRPr="005C3A9D">
        <w:rPr>
          <w:rFonts w:ascii="Palatino Linotype" w:eastAsia="Palatino Linotype" w:hAnsi="Palatino Linotype" w:cs="Palatino Linotype"/>
          <w:sz w:val="22"/>
          <w:szCs w:val="22"/>
        </w:rPr>
        <w:t xml:space="preserve">, señaló un </w:t>
      </w:r>
      <w:r w:rsidR="00E03E38" w:rsidRPr="005C3A9D">
        <w:rPr>
          <w:rFonts w:ascii="Palatino Linotype" w:eastAsia="Palatino Linotype" w:hAnsi="Palatino Linotype" w:cs="Palatino Linotype"/>
          <w:sz w:val="22"/>
          <w:szCs w:val="22"/>
        </w:rPr>
        <w:t xml:space="preserve">seudónimo </w:t>
      </w:r>
      <w:r w:rsidRPr="005C3A9D">
        <w:rPr>
          <w:rFonts w:ascii="Palatino Linotype" w:eastAsia="Palatino Linotype" w:hAnsi="Palatino Linotype" w:cs="Palatino Linotype"/>
          <w:sz w:val="22"/>
          <w:szCs w:val="22"/>
        </w:rPr>
        <w:t xml:space="preserve">con el que </w:t>
      </w:r>
      <w:r w:rsidR="00E03E38" w:rsidRPr="005C3A9D">
        <w:rPr>
          <w:rFonts w:ascii="Palatino Linotype" w:eastAsia="Palatino Linotype" w:hAnsi="Palatino Linotype" w:cs="Palatino Linotype"/>
          <w:sz w:val="22"/>
          <w:szCs w:val="22"/>
        </w:rPr>
        <w:t xml:space="preserve">pretende </w:t>
      </w:r>
      <w:r w:rsidRPr="005C3A9D">
        <w:rPr>
          <w:rFonts w:ascii="Palatino Linotype" w:eastAsia="Palatino Linotype" w:hAnsi="Palatino Linotype" w:cs="Palatino Linotype"/>
          <w:sz w:val="22"/>
          <w:szCs w:val="22"/>
        </w:rPr>
        <w:t xml:space="preserve">ser identificado, tal como se advierte en el detalle de seguimiento del SAIMEX, no obstante, no proporcionar </w:t>
      </w:r>
      <w:r w:rsidR="00E03E38" w:rsidRPr="005C3A9D">
        <w:rPr>
          <w:rFonts w:ascii="Palatino Linotype" w:eastAsia="Palatino Linotype" w:hAnsi="Palatino Linotype" w:cs="Palatino Linotype"/>
          <w:sz w:val="22"/>
          <w:szCs w:val="22"/>
        </w:rPr>
        <w:t xml:space="preserve">un seudónimo </w:t>
      </w:r>
      <w:r w:rsidRPr="005C3A9D">
        <w:rPr>
          <w:rFonts w:ascii="Palatino Linotype" w:eastAsia="Palatino Linotype" w:hAnsi="Palatino Linotype" w:cs="Palatino Linotype"/>
          <w:sz w:val="22"/>
          <w:szCs w:val="22"/>
        </w:rPr>
        <w:t>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7E7E41C" w14:textId="77777777" w:rsidR="007B42F4" w:rsidRPr="005C3A9D" w:rsidRDefault="007B42F4" w:rsidP="00AC2786">
      <w:pPr>
        <w:spacing w:line="360" w:lineRule="auto"/>
        <w:jc w:val="both"/>
        <w:rPr>
          <w:rFonts w:ascii="Palatino Linotype" w:eastAsia="Palatino Linotype" w:hAnsi="Palatino Linotype" w:cs="Palatino Linotype"/>
          <w:sz w:val="22"/>
          <w:szCs w:val="22"/>
        </w:rPr>
      </w:pPr>
    </w:p>
    <w:p w14:paraId="11FA55F9" w14:textId="77777777" w:rsidR="00942751" w:rsidRPr="005C3A9D" w:rsidRDefault="00942751" w:rsidP="00AC278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bCs/>
          <w:i/>
          <w:sz w:val="22"/>
          <w:szCs w:val="22"/>
        </w:rPr>
        <w:t xml:space="preserve">Las solicitudes </w:t>
      </w:r>
      <w:r w:rsidRPr="005C3A9D">
        <w:rPr>
          <w:rFonts w:ascii="Palatino Linotype" w:eastAsia="Palatino Linotype" w:hAnsi="Palatino Linotype" w:cs="Palatino Linotype"/>
          <w:i/>
          <w:sz w:val="22"/>
          <w:szCs w:val="22"/>
        </w:rPr>
        <w:t>anónimas</w:t>
      </w:r>
      <w:r w:rsidRPr="005C3A9D">
        <w:rPr>
          <w:rFonts w:ascii="Palatino Linotype" w:eastAsia="Palatino Linotype" w:hAnsi="Palatino Linotype" w:cs="Palatino Linotype"/>
          <w:bCs/>
          <w:i/>
          <w:sz w:val="22"/>
          <w:szCs w:val="22"/>
        </w:rPr>
        <w:t xml:space="preserve">, </w:t>
      </w:r>
      <w:r w:rsidRPr="005C3A9D">
        <w:rPr>
          <w:rFonts w:ascii="Palatino Linotype" w:eastAsia="Palatino Linotype" w:hAnsi="Palatino Linotype" w:cs="Palatino Linotype"/>
          <w:b/>
          <w:i/>
          <w:sz w:val="22"/>
          <w:szCs w:val="22"/>
        </w:rPr>
        <w:t xml:space="preserve">con </w:t>
      </w:r>
      <w:r w:rsidRPr="005C3A9D">
        <w:rPr>
          <w:rFonts w:ascii="Palatino Linotype" w:eastAsia="Palatino Linotype" w:hAnsi="Palatino Linotype" w:cs="Palatino Linotype"/>
          <w:bCs/>
          <w:i/>
          <w:sz w:val="22"/>
          <w:szCs w:val="22"/>
        </w:rPr>
        <w:t xml:space="preserve">nombre incompleto </w:t>
      </w:r>
      <w:r w:rsidRPr="005C3A9D">
        <w:rPr>
          <w:rFonts w:ascii="Palatino Linotype" w:eastAsia="Palatino Linotype" w:hAnsi="Palatino Linotype" w:cs="Palatino Linotype"/>
          <w:b/>
          <w:i/>
          <w:sz w:val="22"/>
          <w:szCs w:val="22"/>
        </w:rPr>
        <w:t>o seudónimo</w:t>
      </w:r>
      <w:r w:rsidRPr="005C3A9D">
        <w:rPr>
          <w:rFonts w:ascii="Palatino Linotype" w:eastAsia="Palatino Linotype" w:hAnsi="Palatino Linotype" w:cs="Palatino Linotype"/>
          <w:bCs/>
          <w:i/>
          <w:sz w:val="22"/>
          <w:szCs w:val="22"/>
        </w:rPr>
        <w:t xml:space="preserve"> serán procedentes para su trámite por parte del sujeto obligado ante quien se presente. No podrá requerirse información</w:t>
      </w:r>
      <w:r w:rsidRPr="005C3A9D">
        <w:rPr>
          <w:rFonts w:ascii="Palatino Linotype" w:eastAsia="Palatino Linotype" w:hAnsi="Palatino Linotype" w:cs="Palatino Linotype"/>
          <w:i/>
          <w:sz w:val="22"/>
          <w:szCs w:val="22"/>
        </w:rPr>
        <w:t xml:space="preserve"> adicional con motivo del nombre proporcionado por el solicitante."</w:t>
      </w:r>
    </w:p>
    <w:p w14:paraId="0D3C7BD5" w14:textId="77777777" w:rsidR="00D90883" w:rsidRPr="005C3A9D" w:rsidRDefault="00D90883" w:rsidP="00AC278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7E0851C6" w14:textId="6A4ADA6B" w:rsidR="00E22C26" w:rsidRPr="005C3A9D" w:rsidRDefault="00942751"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De acuerdo al análisis efectuado se advierte que resulta procedente la interposición del recurso y se concluye la acreditación plena de todos y cada uno de los elementos formales </w:t>
      </w:r>
      <w:r w:rsidRPr="005C3A9D">
        <w:rPr>
          <w:rFonts w:ascii="Palatino Linotype" w:eastAsia="Palatino Linotype" w:hAnsi="Palatino Linotype" w:cs="Palatino Linotype"/>
          <w:sz w:val="22"/>
          <w:szCs w:val="22"/>
        </w:rPr>
        <w:lastRenderedPageBreak/>
        <w:t xml:space="preserve">exigidos por el artículo 180 de la Ley de Transparencia y Acceso a la Información Pública del Estado de México y Municipios en vigor, en atención a que fue presentado mediante el formato visible </w:t>
      </w:r>
      <w:r w:rsidR="00D90883" w:rsidRPr="005C3A9D">
        <w:rPr>
          <w:rFonts w:ascii="Palatino Linotype" w:eastAsia="Palatino Linotype" w:hAnsi="Palatino Linotype" w:cs="Palatino Linotype"/>
          <w:sz w:val="22"/>
          <w:szCs w:val="22"/>
        </w:rPr>
        <w:t xml:space="preserve">el </w:t>
      </w:r>
      <w:r w:rsidRPr="005C3A9D">
        <w:rPr>
          <w:rFonts w:ascii="Palatino Linotype" w:eastAsia="Palatino Linotype" w:hAnsi="Palatino Linotype" w:cs="Palatino Linotype"/>
          <w:b/>
          <w:sz w:val="22"/>
          <w:szCs w:val="22"/>
        </w:rPr>
        <w:t>SAIMEX.</w:t>
      </w:r>
    </w:p>
    <w:p w14:paraId="0B96E1A0" w14:textId="77777777" w:rsidR="00DA55A9" w:rsidRPr="005C3A9D" w:rsidRDefault="00DA55A9" w:rsidP="00AC2786">
      <w:pPr>
        <w:spacing w:line="360" w:lineRule="auto"/>
        <w:jc w:val="both"/>
        <w:rPr>
          <w:rFonts w:ascii="Palatino Linotype" w:eastAsia="Palatino Linotype" w:hAnsi="Palatino Linotype" w:cs="Palatino Linotype"/>
          <w:sz w:val="22"/>
          <w:szCs w:val="22"/>
        </w:rPr>
      </w:pPr>
    </w:p>
    <w:p w14:paraId="7048B760" w14:textId="106F4075"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Asimismo, resulta procedente la interposición del recurso de revisión al rubro anotado, toda vez que se actualiza las hipótesis previstas</w:t>
      </w:r>
      <w:r w:rsidR="007D2E4A" w:rsidRPr="005C3A9D">
        <w:rPr>
          <w:rFonts w:ascii="Palatino Linotype" w:eastAsia="Palatino Linotype" w:hAnsi="Palatino Linotype" w:cs="Palatino Linotype"/>
          <w:sz w:val="22"/>
          <w:szCs w:val="22"/>
        </w:rPr>
        <w:t xml:space="preserve"> en el artículo 179, fracción </w:t>
      </w:r>
      <w:r w:rsidR="00E03E38" w:rsidRPr="005C3A9D">
        <w:rPr>
          <w:rFonts w:ascii="Palatino Linotype" w:eastAsia="Palatino Linotype" w:hAnsi="Palatino Linotype" w:cs="Palatino Linotype"/>
          <w:sz w:val="22"/>
          <w:szCs w:val="22"/>
        </w:rPr>
        <w:t>V</w:t>
      </w:r>
      <w:r w:rsidR="007D2E4A"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de la ley de la materia, que a la letra dice:</w:t>
      </w:r>
    </w:p>
    <w:p w14:paraId="54AA274B" w14:textId="77777777" w:rsidR="00D90883" w:rsidRPr="005C3A9D" w:rsidRDefault="00D90883" w:rsidP="00AC2786">
      <w:pPr>
        <w:spacing w:line="276" w:lineRule="auto"/>
        <w:ind w:left="851" w:right="616"/>
        <w:jc w:val="both"/>
        <w:rPr>
          <w:rFonts w:ascii="Palatino Linotype" w:eastAsia="Palatino Linotype" w:hAnsi="Palatino Linotype" w:cs="Palatino Linotype"/>
          <w:i/>
          <w:sz w:val="22"/>
          <w:szCs w:val="22"/>
        </w:rPr>
      </w:pPr>
    </w:p>
    <w:p w14:paraId="6637F364"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 xml:space="preserve">Artículo 179. </w:t>
      </w:r>
      <w:r w:rsidRPr="005C3A9D">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0B812364" w14:textId="1A97EAF4" w:rsidR="00397333" w:rsidRPr="005C3A9D" w:rsidRDefault="00E03E3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 </w:t>
      </w:r>
    </w:p>
    <w:p w14:paraId="0BA68790" w14:textId="08E97D79" w:rsidR="00397333" w:rsidRPr="005C3A9D" w:rsidRDefault="00E03E38" w:rsidP="00AC2786">
      <w:pPr>
        <w:tabs>
          <w:tab w:val="left" w:pos="1134"/>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V. La entrega de información incompleta</w:t>
      </w:r>
      <w:r w:rsidR="007D2E4A"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i/>
          <w:sz w:val="22"/>
          <w:szCs w:val="22"/>
        </w:rPr>
        <w:t xml:space="preserve"> </w:t>
      </w:r>
      <w:r w:rsidR="000E3910" w:rsidRPr="005C3A9D">
        <w:rPr>
          <w:rFonts w:ascii="Palatino Linotype" w:eastAsia="Palatino Linotype" w:hAnsi="Palatino Linotype" w:cs="Palatino Linotype"/>
          <w:i/>
          <w:sz w:val="22"/>
          <w:szCs w:val="22"/>
        </w:rPr>
        <w:t xml:space="preserve">…” </w:t>
      </w:r>
    </w:p>
    <w:p w14:paraId="41F4483B" w14:textId="77777777" w:rsidR="007B2993" w:rsidRPr="005C3A9D" w:rsidRDefault="007B2993" w:rsidP="00AC2786">
      <w:pPr>
        <w:spacing w:line="360" w:lineRule="auto"/>
        <w:ind w:left="567" w:right="616"/>
        <w:jc w:val="both"/>
        <w:rPr>
          <w:rFonts w:ascii="Palatino Linotype" w:eastAsia="Palatino Linotype" w:hAnsi="Palatino Linotype" w:cs="Palatino Linotype"/>
          <w:i/>
          <w:sz w:val="22"/>
          <w:szCs w:val="22"/>
        </w:rPr>
      </w:pPr>
    </w:p>
    <w:p w14:paraId="607F3F6E" w14:textId="6B8219C8"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Tercero. Materia de Revisión</w:t>
      </w:r>
      <w:r w:rsidRPr="005C3A9D">
        <w:rPr>
          <w:rFonts w:ascii="Palatino Linotype" w:eastAsia="Palatino Linotype" w:hAnsi="Palatino Linotype" w:cs="Palatino Linotype"/>
          <w:sz w:val="22"/>
          <w:szCs w:val="22"/>
        </w:rPr>
        <w:t xml:space="preserve">: De las constancias que integran el expediente electrónico se advierte que el tema sobre el que este Instituto se pronunciará será en determinar si se actualiza la fracción </w:t>
      </w:r>
      <w:r w:rsidR="00E03E38" w:rsidRPr="005C3A9D">
        <w:rPr>
          <w:rFonts w:ascii="Palatino Linotype" w:eastAsia="Palatino Linotype" w:hAnsi="Palatino Linotype" w:cs="Palatino Linotype"/>
          <w:sz w:val="22"/>
          <w:szCs w:val="22"/>
        </w:rPr>
        <w:t>V</w:t>
      </w:r>
      <w:r w:rsidR="00DA55A9"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sz w:val="22"/>
          <w:szCs w:val="22"/>
        </w:rPr>
        <w:t xml:space="preserve">del artículo 179 de la Ley de Transparencia y Acceso a la Información Pública del Estado de México y Municipios.  </w:t>
      </w:r>
    </w:p>
    <w:p w14:paraId="20361371" w14:textId="77777777" w:rsidR="00E22C26" w:rsidRPr="005C3A9D" w:rsidRDefault="00E22C26" w:rsidP="00AC2786">
      <w:pPr>
        <w:spacing w:line="360" w:lineRule="auto"/>
        <w:jc w:val="both"/>
        <w:rPr>
          <w:rFonts w:ascii="Palatino Linotype" w:eastAsia="Palatino Linotype" w:hAnsi="Palatino Linotype" w:cs="Palatino Linotype"/>
          <w:sz w:val="22"/>
          <w:szCs w:val="22"/>
        </w:rPr>
      </w:pPr>
    </w:p>
    <w:p w14:paraId="06331E45" w14:textId="6DEA9ADD"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Cuarto. Estudio de fondo del asunto. </w:t>
      </w:r>
      <w:r w:rsidRPr="005C3A9D">
        <w:rPr>
          <w:rFonts w:ascii="Palatino Linotype" w:eastAsia="Palatino Linotype" w:hAnsi="Palatino Linotype" w:cs="Palatino Linotype"/>
          <w:sz w:val="22"/>
          <w:szCs w:val="22"/>
        </w:rPr>
        <w:t>Es conveniente analizar si la respuesta del Sujeto Obligado</w:t>
      </w:r>
      <w:r w:rsidRPr="005C3A9D">
        <w:rPr>
          <w:rFonts w:ascii="Palatino Linotype" w:eastAsia="Palatino Linotype" w:hAnsi="Palatino Linotype" w:cs="Palatino Linotype"/>
          <w:b/>
          <w:sz w:val="22"/>
          <w:szCs w:val="22"/>
        </w:rPr>
        <w:t xml:space="preserve"> </w:t>
      </w:r>
      <w:r w:rsidRPr="005C3A9D">
        <w:rPr>
          <w:rFonts w:ascii="Palatino Linotype" w:eastAsia="Palatino Linotype" w:hAnsi="Palatino Linotype" w:cs="Palatino Linotype"/>
          <w:sz w:val="22"/>
          <w:szCs w:val="22"/>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72E80A9" w14:textId="77777777" w:rsidR="00DA55A9" w:rsidRPr="005C3A9D" w:rsidRDefault="00DA55A9" w:rsidP="00AC2786">
      <w:pPr>
        <w:spacing w:line="360" w:lineRule="auto"/>
        <w:jc w:val="both"/>
        <w:rPr>
          <w:rFonts w:ascii="Palatino Linotype" w:eastAsia="Palatino Linotype" w:hAnsi="Palatino Linotype" w:cs="Palatino Linotype"/>
          <w:sz w:val="22"/>
          <w:szCs w:val="22"/>
        </w:rPr>
      </w:pPr>
    </w:p>
    <w:p w14:paraId="721CE78C" w14:textId="77777777" w:rsidR="00397333" w:rsidRPr="005C3A9D" w:rsidRDefault="00B16908" w:rsidP="00AC2786">
      <w:pPr>
        <w:tabs>
          <w:tab w:val="left" w:pos="851"/>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Artículo 4</w:t>
      </w:r>
      <w:r w:rsidRPr="005C3A9D">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59EBE5B0" w14:textId="77777777" w:rsidR="00397333" w:rsidRPr="005C3A9D" w:rsidRDefault="00B16908" w:rsidP="00AC2786">
      <w:pPr>
        <w:tabs>
          <w:tab w:val="left" w:pos="851"/>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5C3A9D">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49D76648" w14:textId="77777777" w:rsidR="00397333" w:rsidRPr="005C3A9D" w:rsidRDefault="00B16908" w:rsidP="00AC2786">
      <w:pPr>
        <w:tabs>
          <w:tab w:val="left" w:pos="851"/>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proofErr w:type="gramStart"/>
      <w:r w:rsidRPr="005C3A9D">
        <w:rPr>
          <w:rFonts w:ascii="Palatino Linotype" w:eastAsia="Palatino Linotype" w:hAnsi="Palatino Linotype" w:cs="Palatino Linotype"/>
          <w:i/>
          <w:sz w:val="22"/>
          <w:szCs w:val="22"/>
        </w:rPr>
        <w:t>.”(</w:t>
      </w:r>
      <w:proofErr w:type="gramEnd"/>
      <w:r w:rsidRPr="005C3A9D">
        <w:rPr>
          <w:rFonts w:ascii="Palatino Linotype" w:eastAsia="Palatino Linotype" w:hAnsi="Palatino Linotype" w:cs="Palatino Linotype"/>
          <w:i/>
          <w:sz w:val="22"/>
          <w:szCs w:val="22"/>
        </w:rPr>
        <w:t>Sic)</w:t>
      </w:r>
    </w:p>
    <w:p w14:paraId="677BADB9" w14:textId="77777777" w:rsidR="00397333" w:rsidRPr="005C3A9D" w:rsidRDefault="00397333" w:rsidP="00AC2786">
      <w:pPr>
        <w:spacing w:line="360" w:lineRule="auto"/>
        <w:jc w:val="both"/>
        <w:rPr>
          <w:rFonts w:ascii="Palatino Linotype" w:eastAsia="Palatino Linotype" w:hAnsi="Palatino Linotype" w:cs="Palatino Linotype"/>
          <w:sz w:val="22"/>
          <w:szCs w:val="22"/>
        </w:rPr>
      </w:pPr>
    </w:p>
    <w:p w14:paraId="0EC47CAF" w14:textId="756BD735"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Esto es, que los Sujetos Obligados tiene </w:t>
      </w:r>
      <w:r w:rsidR="00A44D5C" w:rsidRPr="005C3A9D">
        <w:rPr>
          <w:rFonts w:ascii="Palatino Linotype" w:eastAsia="Palatino Linotype" w:hAnsi="Palatino Linotype" w:cs="Palatino Linotype"/>
          <w:sz w:val="22"/>
          <w:szCs w:val="22"/>
        </w:rPr>
        <w:t>el</w:t>
      </w:r>
      <w:r w:rsidRPr="005C3A9D">
        <w:rPr>
          <w:rFonts w:ascii="Palatino Linotype" w:eastAsia="Palatino Linotype" w:hAnsi="Palatino Linotype" w:cs="Palatino Linotype"/>
          <w:sz w:val="22"/>
          <w:szCs w:val="22"/>
        </w:rPr>
        <w:t xml:space="preserve">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22EFFD53" w14:textId="77777777" w:rsidR="00397333" w:rsidRPr="005C3A9D" w:rsidRDefault="00397333" w:rsidP="00AC2786">
      <w:pPr>
        <w:spacing w:line="276" w:lineRule="auto"/>
        <w:ind w:left="567" w:right="616"/>
        <w:jc w:val="both"/>
        <w:rPr>
          <w:rFonts w:ascii="Palatino Linotype" w:eastAsia="Palatino Linotype" w:hAnsi="Palatino Linotype" w:cs="Palatino Linotype"/>
          <w:sz w:val="22"/>
          <w:szCs w:val="22"/>
        </w:rPr>
      </w:pPr>
    </w:p>
    <w:p w14:paraId="6BD61205"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Artículo 12.-</w:t>
      </w:r>
      <w:r w:rsidRPr="005C3A9D">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0E7E44DA" w14:textId="77777777" w:rsidR="00397333" w:rsidRPr="005C3A9D" w:rsidRDefault="00397333" w:rsidP="00AC2786">
      <w:pPr>
        <w:spacing w:line="276" w:lineRule="auto"/>
        <w:ind w:left="851" w:right="616"/>
        <w:jc w:val="both"/>
        <w:rPr>
          <w:rFonts w:ascii="Palatino Linotype" w:eastAsia="Palatino Linotype" w:hAnsi="Palatino Linotype" w:cs="Palatino Linotype"/>
          <w:i/>
          <w:sz w:val="22"/>
          <w:szCs w:val="22"/>
        </w:rPr>
      </w:pPr>
    </w:p>
    <w:p w14:paraId="1D241C90" w14:textId="3E0A8FDD"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5C3A9D">
        <w:rPr>
          <w:rFonts w:ascii="Palatino Linotype" w:eastAsia="Palatino Linotype" w:hAnsi="Palatino Linotype" w:cs="Palatino Linotype"/>
          <w:i/>
          <w:sz w:val="22"/>
          <w:szCs w:val="22"/>
        </w:rPr>
        <w:t xml:space="preserve">. </w:t>
      </w:r>
      <w:r w:rsidRPr="005C3A9D">
        <w:rPr>
          <w:rFonts w:ascii="Palatino Linotype" w:eastAsia="Palatino Linotype" w:hAnsi="Palatino Linotype" w:cs="Palatino Linotype"/>
          <w:b/>
          <w:i/>
          <w:sz w:val="22"/>
          <w:szCs w:val="22"/>
        </w:rPr>
        <w:lastRenderedPageBreak/>
        <w:t>La obligación de proporcionar información no comprende el procesamiento de la misma, ni el presentarla conforme al interés del solicitante; no estarán obligados a generarla, resumirla, efectuar cálculos o practicar investigaciones</w:t>
      </w:r>
      <w:r w:rsidRPr="005C3A9D">
        <w:rPr>
          <w:rFonts w:ascii="Palatino Linotype" w:eastAsia="Palatino Linotype" w:hAnsi="Palatino Linotype" w:cs="Palatino Linotype"/>
          <w:i/>
          <w:sz w:val="22"/>
          <w:szCs w:val="22"/>
        </w:rPr>
        <w:t xml:space="preserve">.” </w:t>
      </w:r>
    </w:p>
    <w:p w14:paraId="0D689117" w14:textId="77777777" w:rsidR="00397333" w:rsidRPr="005C3A9D" w:rsidRDefault="00397333" w:rsidP="00AC2786">
      <w:pPr>
        <w:spacing w:line="360" w:lineRule="auto"/>
        <w:ind w:right="-93"/>
        <w:jc w:val="both"/>
        <w:rPr>
          <w:rFonts w:ascii="Palatino Linotype" w:eastAsia="Palatino Linotype" w:hAnsi="Palatino Linotype" w:cs="Palatino Linotype"/>
          <w:sz w:val="22"/>
          <w:szCs w:val="22"/>
        </w:rPr>
      </w:pPr>
    </w:p>
    <w:p w14:paraId="7F92CB7C" w14:textId="77777777" w:rsidR="00397333" w:rsidRPr="005C3A9D" w:rsidRDefault="00B16908" w:rsidP="00AC2786">
      <w:pPr>
        <w:spacing w:line="360" w:lineRule="auto"/>
        <w:ind w:right="-93"/>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14:paraId="3D9553BA" w14:textId="77777777" w:rsidR="00397333" w:rsidRPr="005C3A9D" w:rsidRDefault="00397333" w:rsidP="00AC2786">
      <w:pPr>
        <w:spacing w:line="360" w:lineRule="auto"/>
        <w:ind w:right="-93"/>
        <w:jc w:val="both"/>
        <w:rPr>
          <w:rFonts w:ascii="Palatino Linotype" w:eastAsia="Palatino Linotype" w:hAnsi="Palatino Linotype" w:cs="Palatino Linotype"/>
          <w:sz w:val="22"/>
          <w:szCs w:val="22"/>
        </w:rPr>
      </w:pPr>
    </w:p>
    <w:p w14:paraId="24B9CDD4" w14:textId="0A3B7C86" w:rsidR="00397333" w:rsidRPr="005C3A9D" w:rsidRDefault="00B16908" w:rsidP="00AC2786">
      <w:pPr>
        <w:spacing w:line="360" w:lineRule="auto"/>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sz w:val="22"/>
          <w:szCs w:val="22"/>
        </w:rPr>
        <w:t>Sirve de apoyo a lo anterior, el criterio</w:t>
      </w:r>
      <w:r w:rsidR="00942751" w:rsidRPr="005C3A9D">
        <w:rPr>
          <w:rFonts w:ascii="Palatino Linotype" w:eastAsia="Palatino Linotype" w:hAnsi="Palatino Linotype" w:cs="Palatino Linotype"/>
          <w:sz w:val="22"/>
          <w:szCs w:val="22"/>
        </w:rPr>
        <w:t xml:space="preserve"> orientador</w:t>
      </w:r>
      <w:r w:rsidRPr="005C3A9D">
        <w:rPr>
          <w:rFonts w:ascii="Palatino Linotype" w:eastAsia="Palatino Linotype" w:hAnsi="Palatino Linotype" w:cs="Palatino Linotype"/>
          <w:sz w:val="22"/>
          <w:szCs w:val="22"/>
        </w:rPr>
        <w:t xml:space="preserve"> 03-17, expuesto por el </w:t>
      </w:r>
      <w:r w:rsidR="00942751" w:rsidRPr="005C3A9D">
        <w:rPr>
          <w:rFonts w:ascii="Palatino Linotype" w:eastAsia="Palatino Linotype" w:hAnsi="Palatino Linotype" w:cs="Palatino Linotype"/>
          <w:sz w:val="22"/>
          <w:szCs w:val="22"/>
        </w:rPr>
        <w:t xml:space="preserve">entonces </w:t>
      </w:r>
      <w:r w:rsidRPr="005C3A9D">
        <w:rPr>
          <w:rFonts w:ascii="Palatino Linotype" w:eastAsia="Palatino Linotype" w:hAnsi="Palatino Linotype" w:cs="Palatino Linotype"/>
          <w:sz w:val="22"/>
          <w:szCs w:val="22"/>
        </w:rPr>
        <w:t>Instituto Nacional de Transparencia, Acceso a la Información y Protección de Datos Personales, que dice:</w:t>
      </w:r>
      <w:r w:rsidRPr="005C3A9D">
        <w:rPr>
          <w:rFonts w:ascii="Palatino Linotype" w:eastAsia="Palatino Linotype" w:hAnsi="Palatino Linotype" w:cs="Palatino Linotype"/>
          <w:b/>
          <w:sz w:val="22"/>
          <w:szCs w:val="22"/>
        </w:rPr>
        <w:t xml:space="preserve"> </w:t>
      </w:r>
    </w:p>
    <w:p w14:paraId="75BDF35D" w14:textId="5C440758"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No existe obligación de elaborar documentos ad hoc para atender las solicitudes de acceso a la información.</w:t>
      </w:r>
      <w:r w:rsidRPr="005C3A9D">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63DDB2A" w14:textId="77777777" w:rsidR="00DA55A9" w:rsidRPr="005C3A9D" w:rsidRDefault="00DA55A9" w:rsidP="00AC2786">
      <w:pPr>
        <w:spacing w:line="276" w:lineRule="auto"/>
        <w:ind w:left="567" w:right="616"/>
        <w:jc w:val="both"/>
        <w:rPr>
          <w:rFonts w:ascii="Palatino Linotype" w:eastAsia="Palatino Linotype" w:hAnsi="Palatino Linotype" w:cs="Palatino Linotype"/>
          <w:i/>
          <w:sz w:val="22"/>
          <w:szCs w:val="22"/>
        </w:rPr>
      </w:pPr>
    </w:p>
    <w:p w14:paraId="132E1FEA" w14:textId="77777777"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esa tesitura, el artículo 24 en su último párrafo de la Ley de la Materia, dispone que los Sujetos Obligados sólo proporcionarán la información pública que generen, administren o </w:t>
      </w:r>
      <w:r w:rsidRPr="005C3A9D">
        <w:rPr>
          <w:rFonts w:ascii="Palatino Linotype" w:eastAsia="Palatino Linotype" w:hAnsi="Palatino Linotype" w:cs="Palatino Linotype"/>
          <w:sz w:val="22"/>
          <w:szCs w:val="22"/>
        </w:rPr>
        <w:lastRenderedPageBreak/>
        <w:t>posean en el ejercicio de sus atribuciones; por consiguiente, la información pública se encuentra a disposición de cualquier persona, lo que implica que es deber de los Sujetos Obligados, garantizar el Derecho de Acceso a la Información Pública.</w:t>
      </w:r>
    </w:p>
    <w:p w14:paraId="6B8B017D" w14:textId="77777777" w:rsidR="00397333" w:rsidRPr="005C3A9D" w:rsidRDefault="00397333" w:rsidP="00AC2786">
      <w:pPr>
        <w:spacing w:line="360" w:lineRule="auto"/>
        <w:jc w:val="both"/>
        <w:rPr>
          <w:rFonts w:ascii="Palatino Linotype" w:eastAsia="Palatino Linotype" w:hAnsi="Palatino Linotype" w:cs="Palatino Linotype"/>
          <w:sz w:val="22"/>
          <w:szCs w:val="22"/>
        </w:rPr>
      </w:pPr>
    </w:p>
    <w:p w14:paraId="74A1D557" w14:textId="38DAACEF"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E0DB7D7" w14:textId="77777777" w:rsidR="00DA55A9" w:rsidRPr="005C3A9D" w:rsidRDefault="00DA55A9" w:rsidP="00AC2786">
      <w:pPr>
        <w:spacing w:line="360" w:lineRule="auto"/>
        <w:jc w:val="both"/>
        <w:rPr>
          <w:rFonts w:ascii="Palatino Linotype" w:eastAsia="Palatino Linotype" w:hAnsi="Palatino Linotype" w:cs="Palatino Linotype"/>
          <w:sz w:val="22"/>
          <w:szCs w:val="22"/>
        </w:rPr>
      </w:pPr>
    </w:p>
    <w:p w14:paraId="7F826A6E"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 xml:space="preserve">Artículo 3. </w:t>
      </w:r>
      <w:r w:rsidRPr="005C3A9D">
        <w:rPr>
          <w:rFonts w:ascii="Palatino Linotype" w:eastAsia="Palatino Linotype" w:hAnsi="Palatino Linotype" w:cs="Palatino Linotype"/>
          <w:i/>
          <w:sz w:val="22"/>
          <w:szCs w:val="22"/>
        </w:rPr>
        <w:t>Para los efectos de la presente Ley se entenderá por:</w:t>
      </w:r>
    </w:p>
    <w:p w14:paraId="493A050E"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51E0D71B"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XI. Documento:</w:t>
      </w:r>
      <w:r w:rsidRPr="005C3A9D">
        <w:rPr>
          <w:rFonts w:ascii="Palatino Linotype" w:eastAsia="Palatino Linotype" w:hAnsi="Palatino Linotype" w:cs="Palatino Linotype"/>
          <w:i/>
          <w:sz w:val="22"/>
          <w:szCs w:val="22"/>
        </w:rPr>
        <w:t xml:space="preserve"> Los expedientes, reportes, estudios, actas</w:t>
      </w:r>
      <w:r w:rsidRPr="005C3A9D">
        <w:rPr>
          <w:rFonts w:ascii="Palatino Linotype" w:eastAsia="Palatino Linotype" w:hAnsi="Palatino Linotype" w:cs="Palatino Linotype"/>
          <w:b/>
          <w:i/>
          <w:sz w:val="22"/>
          <w:szCs w:val="22"/>
        </w:rPr>
        <w:t>,</w:t>
      </w:r>
      <w:r w:rsidRPr="005C3A9D">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39A90BAA" w14:textId="77777777" w:rsidR="00397333" w:rsidRPr="005C3A9D" w:rsidRDefault="00397333" w:rsidP="00AC2786">
      <w:pPr>
        <w:spacing w:line="360" w:lineRule="auto"/>
        <w:ind w:left="851" w:right="899"/>
        <w:jc w:val="both"/>
        <w:rPr>
          <w:rFonts w:ascii="Palatino Linotype" w:eastAsia="Palatino Linotype" w:hAnsi="Palatino Linotype" w:cs="Palatino Linotype"/>
          <w:sz w:val="22"/>
          <w:szCs w:val="22"/>
        </w:rPr>
      </w:pPr>
    </w:p>
    <w:p w14:paraId="25313EF8" w14:textId="77777777" w:rsidR="00397333" w:rsidRPr="005C3A9D" w:rsidRDefault="00B16908"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41DFCB7" w14:textId="77777777" w:rsidR="004A6331" w:rsidRPr="005C3A9D" w:rsidRDefault="004A6331" w:rsidP="00AC2786">
      <w:pPr>
        <w:spacing w:line="360" w:lineRule="auto"/>
        <w:ind w:left="851" w:right="899"/>
        <w:jc w:val="both"/>
        <w:rPr>
          <w:rFonts w:ascii="Palatino Linotype" w:eastAsia="Palatino Linotype" w:hAnsi="Palatino Linotype" w:cs="Palatino Linotype"/>
          <w:sz w:val="22"/>
          <w:szCs w:val="22"/>
        </w:rPr>
      </w:pPr>
    </w:p>
    <w:p w14:paraId="78AC4B89" w14:textId="4DE4BF79" w:rsidR="00397333" w:rsidRPr="005C3A9D" w:rsidRDefault="00B16908" w:rsidP="00AC2786">
      <w:pPr>
        <w:spacing w:line="276" w:lineRule="auto"/>
        <w:ind w:left="851" w:right="616"/>
        <w:jc w:val="both"/>
        <w:rPr>
          <w:rFonts w:ascii="Palatino Linotype" w:eastAsia="Palatino Linotype" w:hAnsi="Palatino Linotype" w:cs="Palatino Linotype"/>
          <w:b/>
          <w:i/>
          <w:sz w:val="22"/>
          <w:szCs w:val="22"/>
        </w:rPr>
      </w:pPr>
      <w:r w:rsidRPr="005C3A9D">
        <w:rPr>
          <w:rFonts w:ascii="Palatino Linotype" w:eastAsia="Palatino Linotype" w:hAnsi="Palatino Linotype" w:cs="Palatino Linotype"/>
          <w:b/>
          <w:sz w:val="22"/>
          <w:szCs w:val="22"/>
        </w:rPr>
        <w:t>“</w:t>
      </w:r>
      <w:r w:rsidRPr="005C3A9D">
        <w:rPr>
          <w:rFonts w:ascii="Palatino Linotype" w:eastAsia="Palatino Linotype" w:hAnsi="Palatino Linotype" w:cs="Palatino Linotype"/>
          <w:b/>
          <w:i/>
          <w:sz w:val="22"/>
          <w:szCs w:val="22"/>
        </w:rPr>
        <w:t>CRITERIO 0002-11</w:t>
      </w:r>
      <w:r w:rsidR="004A6331" w:rsidRPr="005C3A9D">
        <w:rPr>
          <w:rFonts w:ascii="Palatino Linotype" w:eastAsia="Palatino Linotype" w:hAnsi="Palatino Linotype" w:cs="Palatino Linotype"/>
          <w:b/>
          <w:i/>
          <w:sz w:val="22"/>
          <w:szCs w:val="22"/>
        </w:rPr>
        <w:t xml:space="preserve">. </w:t>
      </w:r>
      <w:r w:rsidRPr="005C3A9D">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5C3A9D">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4DAC1CE"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En </w:t>
      </w:r>
      <w:proofErr w:type="gramStart"/>
      <w:r w:rsidRPr="005C3A9D">
        <w:rPr>
          <w:rFonts w:ascii="Palatino Linotype" w:eastAsia="Palatino Linotype" w:hAnsi="Palatino Linotype" w:cs="Palatino Linotype"/>
          <w:i/>
          <w:sz w:val="22"/>
          <w:szCs w:val="22"/>
        </w:rPr>
        <w:t>consecuencia</w:t>
      </w:r>
      <w:proofErr w:type="gramEnd"/>
      <w:r w:rsidRPr="005C3A9D">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5749B933" w14:textId="77777777" w:rsidR="00397333" w:rsidRPr="005C3A9D" w:rsidRDefault="00B16908"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1) Que se trate de información registrada en cualquier soporte documental, </w:t>
      </w:r>
      <w:proofErr w:type="gramStart"/>
      <w:r w:rsidRPr="005C3A9D">
        <w:rPr>
          <w:rFonts w:ascii="Palatino Linotype" w:eastAsia="Palatino Linotype" w:hAnsi="Palatino Linotype" w:cs="Palatino Linotype"/>
          <w:i/>
          <w:sz w:val="22"/>
          <w:szCs w:val="22"/>
        </w:rPr>
        <w:t>que</w:t>
      </w:r>
      <w:proofErr w:type="gramEnd"/>
      <w:r w:rsidRPr="005C3A9D">
        <w:rPr>
          <w:rFonts w:ascii="Palatino Linotype" w:eastAsia="Palatino Linotype" w:hAnsi="Palatino Linotype" w:cs="Palatino Linotype"/>
          <w:i/>
          <w:sz w:val="22"/>
          <w:szCs w:val="22"/>
        </w:rPr>
        <w:t xml:space="preserve"> en ejercicio de las atribuciones conferidas, sea generada por los Sujetos Obligados;</w:t>
      </w:r>
    </w:p>
    <w:p w14:paraId="4252D0AA" w14:textId="77777777" w:rsidR="00397333" w:rsidRPr="005C3A9D" w:rsidRDefault="00B16908" w:rsidP="00AC2786">
      <w:pPr>
        <w:spacing w:line="276" w:lineRule="auto"/>
        <w:ind w:left="851" w:right="616"/>
        <w:jc w:val="both"/>
        <w:rPr>
          <w:rFonts w:ascii="Palatino Linotype" w:eastAsia="Palatino Linotype" w:hAnsi="Palatino Linotype" w:cs="Palatino Linotype"/>
          <w:b/>
          <w:i/>
          <w:sz w:val="22"/>
          <w:szCs w:val="22"/>
        </w:rPr>
      </w:pPr>
      <w:r w:rsidRPr="005C3A9D">
        <w:rPr>
          <w:rFonts w:ascii="Palatino Linotype" w:eastAsia="Palatino Linotype" w:hAnsi="Palatino Linotype" w:cs="Palatino Linotype"/>
          <w:b/>
          <w:i/>
          <w:sz w:val="22"/>
          <w:szCs w:val="22"/>
        </w:rPr>
        <w:t xml:space="preserve">2) Que se trate de información registrada en cualquier soporte documental, </w:t>
      </w:r>
      <w:proofErr w:type="gramStart"/>
      <w:r w:rsidRPr="005C3A9D">
        <w:rPr>
          <w:rFonts w:ascii="Palatino Linotype" w:eastAsia="Palatino Linotype" w:hAnsi="Palatino Linotype" w:cs="Palatino Linotype"/>
          <w:b/>
          <w:i/>
          <w:sz w:val="22"/>
          <w:szCs w:val="22"/>
        </w:rPr>
        <w:t>que</w:t>
      </w:r>
      <w:proofErr w:type="gramEnd"/>
      <w:r w:rsidRPr="005C3A9D">
        <w:rPr>
          <w:rFonts w:ascii="Palatino Linotype" w:eastAsia="Palatino Linotype" w:hAnsi="Palatino Linotype" w:cs="Palatino Linotype"/>
          <w:b/>
          <w:i/>
          <w:sz w:val="22"/>
          <w:szCs w:val="22"/>
        </w:rPr>
        <w:t xml:space="preserve"> en ejercicio de las atribuciones conferidas, sea administrada por los Sujetos Obligados, y</w:t>
      </w:r>
    </w:p>
    <w:p w14:paraId="7E1BDC40" w14:textId="77777777" w:rsidR="00397333" w:rsidRPr="005C3A9D" w:rsidRDefault="00B16908" w:rsidP="00AC2786">
      <w:pPr>
        <w:spacing w:line="276" w:lineRule="auto"/>
        <w:ind w:left="851" w:right="616"/>
        <w:jc w:val="both"/>
        <w:rPr>
          <w:rFonts w:ascii="Palatino Linotype" w:eastAsia="Palatino Linotype" w:hAnsi="Palatino Linotype" w:cs="Palatino Linotype"/>
          <w:b/>
          <w:i/>
          <w:sz w:val="22"/>
          <w:szCs w:val="22"/>
        </w:rPr>
      </w:pPr>
      <w:r w:rsidRPr="005C3A9D">
        <w:rPr>
          <w:rFonts w:ascii="Palatino Linotype" w:eastAsia="Palatino Linotype" w:hAnsi="Palatino Linotype" w:cs="Palatino Linotype"/>
          <w:b/>
          <w:i/>
          <w:sz w:val="22"/>
          <w:szCs w:val="22"/>
        </w:rPr>
        <w:t xml:space="preserve">3) Que se trate de información registrada en cualquier soporte documental, </w:t>
      </w:r>
      <w:proofErr w:type="gramStart"/>
      <w:r w:rsidRPr="005C3A9D">
        <w:rPr>
          <w:rFonts w:ascii="Palatino Linotype" w:eastAsia="Palatino Linotype" w:hAnsi="Palatino Linotype" w:cs="Palatino Linotype"/>
          <w:b/>
          <w:i/>
          <w:sz w:val="22"/>
          <w:szCs w:val="22"/>
        </w:rPr>
        <w:t>que</w:t>
      </w:r>
      <w:proofErr w:type="gramEnd"/>
      <w:r w:rsidRPr="005C3A9D">
        <w:rPr>
          <w:rFonts w:ascii="Palatino Linotype" w:eastAsia="Palatino Linotype" w:hAnsi="Palatino Linotype" w:cs="Palatino Linotype"/>
          <w:b/>
          <w:i/>
          <w:sz w:val="22"/>
          <w:szCs w:val="22"/>
        </w:rPr>
        <w:t xml:space="preserve"> en ejercicio de las atribuciones conferidas, se encuentre en posesión de los Sujetos Obligados.” (Sic)</w:t>
      </w:r>
    </w:p>
    <w:p w14:paraId="0DDD82EE" w14:textId="77777777" w:rsidR="00397333" w:rsidRPr="005C3A9D" w:rsidRDefault="00397333" w:rsidP="00AC2786">
      <w:pPr>
        <w:spacing w:line="360" w:lineRule="auto"/>
        <w:jc w:val="both"/>
        <w:rPr>
          <w:rFonts w:ascii="Palatino Linotype" w:eastAsia="Palatino Linotype" w:hAnsi="Palatino Linotype" w:cs="Palatino Linotype"/>
          <w:sz w:val="22"/>
          <w:szCs w:val="22"/>
        </w:rPr>
      </w:pPr>
    </w:p>
    <w:p w14:paraId="42D568D2" w14:textId="1B8CC804" w:rsidR="00A27355" w:rsidRPr="005C3A9D" w:rsidRDefault="00A27355"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Lo anterior, siempre y cuando no se trate de información clasificada como reservada o confidencial, cuya difusión pueda lesionar en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22F220E7" w14:textId="77777777" w:rsidR="00E41ED1" w:rsidRPr="005C3A9D" w:rsidRDefault="00E41ED1" w:rsidP="00AC2786">
      <w:pPr>
        <w:spacing w:line="360" w:lineRule="auto"/>
        <w:jc w:val="both"/>
        <w:rPr>
          <w:rFonts w:ascii="Palatino Linotype" w:eastAsia="Palatino Linotype" w:hAnsi="Palatino Linotype" w:cs="Palatino Linotype"/>
          <w:sz w:val="22"/>
          <w:szCs w:val="22"/>
        </w:rPr>
      </w:pPr>
    </w:p>
    <w:p w14:paraId="21977C27" w14:textId="709251FA" w:rsidR="00A27355" w:rsidRPr="005C3A9D" w:rsidRDefault="00A27355"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lastRenderedPageBreak/>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30B69772" w14:textId="77777777" w:rsidR="00D90883" w:rsidRPr="005C3A9D" w:rsidRDefault="00D90883" w:rsidP="00AC2786">
      <w:pPr>
        <w:spacing w:line="360" w:lineRule="auto"/>
        <w:jc w:val="both"/>
        <w:rPr>
          <w:rFonts w:ascii="Palatino Linotype" w:eastAsia="Palatino Linotype" w:hAnsi="Palatino Linotype" w:cs="Palatino Linotype"/>
          <w:sz w:val="22"/>
          <w:szCs w:val="22"/>
        </w:rPr>
      </w:pPr>
    </w:p>
    <w:p w14:paraId="5C7A491F" w14:textId="17E2F08A" w:rsidR="004402DC" w:rsidRPr="005C3A9D" w:rsidRDefault="008D4156" w:rsidP="00AC2786">
      <w:pPr>
        <w:spacing w:line="360" w:lineRule="auto"/>
        <w:ind w:right="51"/>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Ahora bien, del análisis a</w:t>
      </w:r>
      <w:r w:rsidR="00A27355" w:rsidRPr="005C3A9D">
        <w:rPr>
          <w:rFonts w:ascii="Palatino Linotype" w:eastAsia="Palatino Linotype" w:hAnsi="Palatino Linotype" w:cs="Palatino Linotype"/>
          <w:sz w:val="22"/>
          <w:szCs w:val="22"/>
        </w:rPr>
        <w:t xml:space="preserve"> la solicitud de información, motivo del recurso de revisión que ahora se resuelve, se advierte que la parte </w:t>
      </w:r>
      <w:r w:rsidR="00A27355" w:rsidRPr="005C3A9D">
        <w:rPr>
          <w:rFonts w:ascii="Palatino Linotype" w:eastAsia="Palatino Linotype" w:hAnsi="Palatino Linotype" w:cs="Palatino Linotype"/>
          <w:b/>
          <w:sz w:val="22"/>
          <w:szCs w:val="22"/>
        </w:rPr>
        <w:t>Recurrente</w:t>
      </w:r>
      <w:r w:rsidR="00A27355" w:rsidRPr="005C3A9D">
        <w:rPr>
          <w:rFonts w:ascii="Palatino Linotype" w:eastAsia="Palatino Linotype" w:hAnsi="Palatino Linotype" w:cs="Palatino Linotype"/>
          <w:sz w:val="22"/>
          <w:szCs w:val="22"/>
        </w:rPr>
        <w:t xml:space="preserve"> requirió al </w:t>
      </w:r>
      <w:r w:rsidR="00834383" w:rsidRPr="005C3A9D">
        <w:rPr>
          <w:rFonts w:ascii="Palatino Linotype" w:eastAsia="Palatino Linotype" w:hAnsi="Palatino Linotype" w:cs="Palatino Linotype"/>
          <w:b/>
          <w:sz w:val="22"/>
          <w:szCs w:val="22"/>
        </w:rPr>
        <w:t>Sujeto Obligado</w:t>
      </w:r>
      <w:r w:rsidR="007F6077" w:rsidRPr="005C3A9D">
        <w:rPr>
          <w:rFonts w:ascii="Palatino Linotype" w:eastAsia="Palatino Linotype" w:hAnsi="Palatino Linotype" w:cs="Palatino Linotype"/>
          <w:sz w:val="22"/>
          <w:szCs w:val="22"/>
        </w:rPr>
        <w:t xml:space="preserve">: </w:t>
      </w:r>
    </w:p>
    <w:p w14:paraId="67DCD081" w14:textId="77777777" w:rsidR="00D90883" w:rsidRPr="005C3A9D" w:rsidRDefault="00D90883" w:rsidP="00AC2786">
      <w:pPr>
        <w:spacing w:line="360" w:lineRule="auto"/>
        <w:ind w:right="51"/>
        <w:jc w:val="both"/>
        <w:rPr>
          <w:rFonts w:ascii="Palatino Linotype" w:eastAsia="Palatino Linotype" w:hAnsi="Palatino Linotype" w:cs="Palatino Linotype"/>
          <w:sz w:val="22"/>
          <w:szCs w:val="22"/>
        </w:rPr>
      </w:pPr>
    </w:p>
    <w:p w14:paraId="041730CB" w14:textId="77777777" w:rsidR="00E03E38" w:rsidRPr="005C3A9D" w:rsidRDefault="00E03E38" w:rsidP="00AC2786">
      <w:pPr>
        <w:pStyle w:val="Prrafodelista"/>
        <w:numPr>
          <w:ilvl w:val="0"/>
          <w:numId w:val="4"/>
        </w:numPr>
        <w:spacing w:line="360" w:lineRule="auto"/>
        <w:ind w:right="616"/>
        <w:jc w:val="both"/>
        <w:rPr>
          <w:rFonts w:ascii="Palatino Linotype" w:eastAsia="Palatino Linotype" w:hAnsi="Palatino Linotype" w:cs="Palatino Linotype"/>
          <w:b/>
        </w:rPr>
      </w:pPr>
      <w:bookmarkStart w:id="3" w:name="_Hlk205458092"/>
      <w:r w:rsidRPr="005C3A9D">
        <w:rPr>
          <w:rFonts w:ascii="Palatino Linotype" w:eastAsia="Palatino Linotype" w:hAnsi="Palatino Linotype" w:cs="Palatino Linotype"/>
          <w:b/>
        </w:rPr>
        <w:t xml:space="preserve">Con relación a los permisos, licencias y/o cualquier tipo de autorización relativa a los puestos semifijos y aquellos considerados como ambulantes que se establecen en calles y/o vialidades del municipio, se indique: </w:t>
      </w:r>
    </w:p>
    <w:p w14:paraId="02B6C9A3" w14:textId="69756B85" w:rsidR="00E03E38" w:rsidRPr="005C3A9D" w:rsidRDefault="00E03E38" w:rsidP="00AC2786">
      <w:pPr>
        <w:pStyle w:val="Prrafodelista"/>
        <w:numPr>
          <w:ilvl w:val="0"/>
          <w:numId w:val="28"/>
        </w:numPr>
        <w:spacing w:line="360" w:lineRule="auto"/>
        <w:ind w:left="1134" w:right="616"/>
        <w:jc w:val="both"/>
        <w:rPr>
          <w:rFonts w:ascii="Palatino Linotype" w:eastAsia="Palatino Linotype" w:hAnsi="Palatino Linotype" w:cs="Palatino Linotype"/>
          <w:bCs/>
        </w:rPr>
      </w:pPr>
      <w:r w:rsidRPr="005C3A9D">
        <w:rPr>
          <w:rFonts w:ascii="Palatino Linotype" w:eastAsia="Palatino Linotype" w:hAnsi="Palatino Linotype" w:cs="Palatino Linotype"/>
          <w:bCs/>
        </w:rPr>
        <w:t xml:space="preserve">Fundamento jurídico para el </w:t>
      </w:r>
      <w:r w:rsidR="00AC2786" w:rsidRPr="005C3A9D">
        <w:rPr>
          <w:rFonts w:ascii="Palatino Linotype" w:eastAsia="Palatino Linotype" w:hAnsi="Palatino Linotype" w:cs="Palatino Linotype"/>
          <w:bCs/>
        </w:rPr>
        <w:t>cobro,</w:t>
      </w:r>
      <w:r w:rsidRPr="005C3A9D">
        <w:rPr>
          <w:rFonts w:ascii="Palatino Linotype" w:eastAsia="Palatino Linotype" w:hAnsi="Palatino Linotype" w:cs="Palatino Linotype"/>
          <w:bCs/>
        </w:rPr>
        <w:t xml:space="preserve"> así como indicar la tasa, referencia o método de cálculo para el cobro de dichos permisos, licencias y/o autorizaciones de acuerdo a su tipo. </w:t>
      </w:r>
    </w:p>
    <w:p w14:paraId="041EF68F" w14:textId="297071F3" w:rsidR="00E03E38" w:rsidRPr="005C3A9D" w:rsidRDefault="00E03E38" w:rsidP="00AC2786">
      <w:pPr>
        <w:pStyle w:val="Prrafodelista"/>
        <w:numPr>
          <w:ilvl w:val="0"/>
          <w:numId w:val="28"/>
        </w:numPr>
        <w:spacing w:line="360" w:lineRule="auto"/>
        <w:ind w:left="1134" w:right="616"/>
        <w:jc w:val="both"/>
        <w:rPr>
          <w:rFonts w:ascii="Palatino Linotype" w:eastAsia="Palatino Linotype" w:hAnsi="Palatino Linotype" w:cs="Palatino Linotype"/>
          <w:bCs/>
        </w:rPr>
      </w:pPr>
      <w:r w:rsidRPr="005C3A9D">
        <w:rPr>
          <w:rFonts w:ascii="Palatino Linotype" w:eastAsia="Palatino Linotype" w:hAnsi="Palatino Linotype" w:cs="Palatino Linotype"/>
          <w:bCs/>
        </w:rPr>
        <w:t xml:space="preserve">Fundamento jurídico respecto al cobro mencionado en el </w:t>
      </w:r>
      <w:r w:rsidR="00AC2786" w:rsidRPr="005C3A9D">
        <w:rPr>
          <w:rFonts w:ascii="Palatino Linotype" w:eastAsia="Palatino Linotype" w:hAnsi="Palatino Linotype" w:cs="Palatino Linotype"/>
          <w:bCs/>
        </w:rPr>
        <w:t>número</w:t>
      </w:r>
      <w:r w:rsidRPr="005C3A9D">
        <w:rPr>
          <w:rFonts w:ascii="Palatino Linotype" w:eastAsia="Palatino Linotype" w:hAnsi="Palatino Linotype" w:cs="Palatino Linotype"/>
          <w:bCs/>
        </w:rPr>
        <w:t xml:space="preserve"> anterior sobre la temporalidad de dichos permisos, licencias y/o autorizaciones. </w:t>
      </w:r>
    </w:p>
    <w:p w14:paraId="2892D311" w14:textId="28543D11" w:rsidR="00E03E38" w:rsidRPr="005C3A9D" w:rsidRDefault="00E03E38" w:rsidP="00AC2786">
      <w:pPr>
        <w:pStyle w:val="Prrafodelista"/>
        <w:numPr>
          <w:ilvl w:val="0"/>
          <w:numId w:val="28"/>
        </w:numPr>
        <w:spacing w:line="360" w:lineRule="auto"/>
        <w:ind w:left="1134" w:right="616"/>
        <w:jc w:val="both"/>
        <w:rPr>
          <w:rFonts w:ascii="Palatino Linotype" w:eastAsia="Palatino Linotype" w:hAnsi="Palatino Linotype" w:cs="Palatino Linotype"/>
          <w:bCs/>
        </w:rPr>
      </w:pPr>
      <w:r w:rsidRPr="005C3A9D">
        <w:rPr>
          <w:rFonts w:ascii="Palatino Linotype" w:eastAsia="Palatino Linotype" w:hAnsi="Palatino Linotype" w:cs="Palatino Linotype"/>
          <w:bCs/>
        </w:rPr>
        <w:t xml:space="preserve">Fundamento jurídico para la disminución y/o exención del cobro de licencias, permisos y/o </w:t>
      </w:r>
      <w:r w:rsidR="00AC2786" w:rsidRPr="005C3A9D">
        <w:rPr>
          <w:rFonts w:ascii="Palatino Linotype" w:eastAsia="Palatino Linotype" w:hAnsi="Palatino Linotype" w:cs="Palatino Linotype"/>
          <w:bCs/>
        </w:rPr>
        <w:t>autorizaciones,</w:t>
      </w:r>
      <w:r w:rsidRPr="005C3A9D">
        <w:rPr>
          <w:rFonts w:ascii="Palatino Linotype" w:eastAsia="Palatino Linotype" w:hAnsi="Palatino Linotype" w:cs="Palatino Linotype"/>
          <w:bCs/>
        </w:rPr>
        <w:t xml:space="preserve"> así como sus criterios de aplicación. </w:t>
      </w:r>
    </w:p>
    <w:p w14:paraId="62C792F0" w14:textId="31C96822" w:rsidR="00E03E38" w:rsidRPr="005C3A9D" w:rsidRDefault="00E03E38" w:rsidP="00AC2786">
      <w:pPr>
        <w:pStyle w:val="Prrafodelista"/>
        <w:numPr>
          <w:ilvl w:val="0"/>
          <w:numId w:val="28"/>
        </w:numPr>
        <w:spacing w:line="360" w:lineRule="auto"/>
        <w:ind w:left="1134" w:right="616"/>
        <w:jc w:val="both"/>
        <w:rPr>
          <w:rFonts w:ascii="Palatino Linotype" w:eastAsia="Palatino Linotype" w:hAnsi="Palatino Linotype" w:cs="Palatino Linotype"/>
          <w:bCs/>
        </w:rPr>
      </w:pPr>
      <w:r w:rsidRPr="005C3A9D">
        <w:rPr>
          <w:rFonts w:ascii="Palatino Linotype" w:eastAsia="Palatino Linotype" w:hAnsi="Palatino Linotype" w:cs="Palatino Linotype"/>
          <w:bCs/>
        </w:rPr>
        <w:lastRenderedPageBreak/>
        <w:t>Fundamento jurídico sobre multas, penalizaciones y/</w:t>
      </w:r>
      <w:proofErr w:type="spellStart"/>
      <w:r w:rsidRPr="005C3A9D">
        <w:rPr>
          <w:rFonts w:ascii="Palatino Linotype" w:eastAsia="Palatino Linotype" w:hAnsi="Palatino Linotype" w:cs="Palatino Linotype"/>
          <w:bCs/>
        </w:rPr>
        <w:t>o</w:t>
      </w:r>
      <w:proofErr w:type="spellEnd"/>
      <w:r w:rsidRPr="005C3A9D">
        <w:rPr>
          <w:rFonts w:ascii="Palatino Linotype" w:eastAsia="Palatino Linotype" w:hAnsi="Palatino Linotype" w:cs="Palatino Linotype"/>
          <w:bCs/>
        </w:rPr>
        <w:t xml:space="preserve"> otros tipos de actos aplicables a permisionarios en caso de incumplimiento del pago de permisos, licencias y/o autorizaciones. </w:t>
      </w:r>
    </w:p>
    <w:p w14:paraId="13533348" w14:textId="4E0DB628" w:rsidR="00E03E38" w:rsidRPr="005C3A9D" w:rsidRDefault="00E03E38" w:rsidP="00AC2786">
      <w:pPr>
        <w:pStyle w:val="Prrafodelista"/>
        <w:numPr>
          <w:ilvl w:val="0"/>
          <w:numId w:val="28"/>
        </w:numPr>
        <w:spacing w:line="360" w:lineRule="auto"/>
        <w:ind w:left="1134" w:right="616"/>
        <w:jc w:val="both"/>
        <w:rPr>
          <w:rFonts w:ascii="Palatino Linotype" w:eastAsia="Palatino Linotype" w:hAnsi="Palatino Linotype" w:cs="Palatino Linotype"/>
          <w:bCs/>
        </w:rPr>
      </w:pPr>
      <w:r w:rsidRPr="005C3A9D">
        <w:rPr>
          <w:rFonts w:ascii="Palatino Linotype" w:eastAsia="Palatino Linotype" w:hAnsi="Palatino Linotype" w:cs="Palatino Linotype"/>
          <w:bCs/>
        </w:rPr>
        <w:t xml:space="preserve">Calles y/o </w:t>
      </w:r>
      <w:r w:rsidR="00AC2786" w:rsidRPr="005C3A9D">
        <w:rPr>
          <w:rFonts w:ascii="Palatino Linotype" w:eastAsia="Palatino Linotype" w:hAnsi="Palatino Linotype" w:cs="Palatino Linotype"/>
          <w:bCs/>
        </w:rPr>
        <w:t>vialidades,</w:t>
      </w:r>
      <w:r w:rsidRPr="005C3A9D">
        <w:rPr>
          <w:rFonts w:ascii="Palatino Linotype" w:eastAsia="Palatino Linotype" w:hAnsi="Palatino Linotype" w:cs="Palatino Linotype"/>
          <w:bCs/>
        </w:rPr>
        <w:t xml:space="preserve"> así como pueblo o colonia sobre las cuales actualmente se realiza el cobro de dichas licencias, permisos y/o autorizaciones desglosando por tipo de permiso (semifijos o ambulantes) </w:t>
      </w:r>
    </w:p>
    <w:p w14:paraId="36058D3A" w14:textId="6D0E108B" w:rsidR="007B42F4" w:rsidRPr="005C3A9D" w:rsidRDefault="00E03E38" w:rsidP="00AC2786">
      <w:pPr>
        <w:pStyle w:val="Prrafodelista"/>
        <w:numPr>
          <w:ilvl w:val="0"/>
          <w:numId w:val="28"/>
        </w:numPr>
        <w:spacing w:line="360" w:lineRule="auto"/>
        <w:ind w:left="1134" w:right="616"/>
        <w:jc w:val="both"/>
        <w:rPr>
          <w:rFonts w:ascii="Palatino Linotype" w:eastAsia="Palatino Linotype" w:hAnsi="Palatino Linotype" w:cs="Palatino Linotype"/>
          <w:bCs/>
        </w:rPr>
      </w:pPr>
      <w:r w:rsidRPr="005C3A9D">
        <w:rPr>
          <w:rFonts w:ascii="Palatino Linotype" w:eastAsia="Palatino Linotype" w:hAnsi="Palatino Linotype" w:cs="Palatino Linotype"/>
          <w:bCs/>
        </w:rPr>
        <w:t>Número de licencias, permisos y/o autorizaciones (semifijos o ambulantes) por cada una de las calles o vialidades mencionadas anteriormente y su avance de cobro en porcentaje con fecha de corte al mes de octubre del 2025.</w:t>
      </w:r>
    </w:p>
    <w:p w14:paraId="1D37C87C" w14:textId="77777777" w:rsidR="00D90883" w:rsidRPr="005C3A9D" w:rsidRDefault="00D90883" w:rsidP="00AC2786">
      <w:pPr>
        <w:pStyle w:val="Prrafodelista"/>
        <w:spacing w:line="360" w:lineRule="auto"/>
        <w:ind w:left="720" w:right="616"/>
        <w:jc w:val="both"/>
        <w:rPr>
          <w:rFonts w:ascii="Palatino Linotype" w:eastAsia="Palatino Linotype" w:hAnsi="Palatino Linotype" w:cs="Palatino Linotype"/>
          <w:b/>
        </w:rPr>
      </w:pPr>
    </w:p>
    <w:bookmarkEnd w:id="3"/>
    <w:p w14:paraId="333CB65F" w14:textId="07DD892C" w:rsidR="00E03E38" w:rsidRPr="005C3A9D" w:rsidRDefault="00D6232B"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En</w:t>
      </w:r>
      <w:r w:rsidR="00A27355" w:rsidRPr="005C3A9D">
        <w:rPr>
          <w:rFonts w:ascii="Palatino Linotype" w:eastAsia="Palatino Linotype" w:hAnsi="Palatino Linotype" w:cs="Palatino Linotype"/>
          <w:sz w:val="22"/>
          <w:szCs w:val="22"/>
        </w:rPr>
        <w:t xml:space="preserve"> </w:t>
      </w:r>
      <w:r w:rsidR="00232656" w:rsidRPr="005C3A9D">
        <w:rPr>
          <w:rFonts w:ascii="Palatino Linotype" w:eastAsia="Palatino Linotype" w:hAnsi="Palatino Linotype" w:cs="Palatino Linotype"/>
          <w:sz w:val="22"/>
          <w:szCs w:val="22"/>
        </w:rPr>
        <w:t>respuesta</w:t>
      </w:r>
      <w:r w:rsidR="00A27355" w:rsidRPr="005C3A9D">
        <w:rPr>
          <w:rFonts w:ascii="Palatino Linotype" w:eastAsia="Palatino Linotype" w:hAnsi="Palatino Linotype" w:cs="Palatino Linotype"/>
          <w:sz w:val="22"/>
          <w:szCs w:val="22"/>
        </w:rPr>
        <w:t xml:space="preserve">, el </w:t>
      </w:r>
      <w:r w:rsidR="007F6077" w:rsidRPr="005C3A9D">
        <w:rPr>
          <w:rFonts w:ascii="Palatino Linotype" w:eastAsia="Palatino Linotype" w:hAnsi="Palatino Linotype" w:cs="Palatino Linotype"/>
          <w:b/>
          <w:sz w:val="22"/>
          <w:szCs w:val="22"/>
        </w:rPr>
        <w:t>Sujeto Obligado</w:t>
      </w:r>
      <w:r w:rsidR="00316034" w:rsidRPr="005C3A9D">
        <w:rPr>
          <w:rFonts w:ascii="Palatino Linotype" w:eastAsia="Palatino Linotype" w:hAnsi="Palatino Linotype" w:cs="Palatino Linotype"/>
          <w:b/>
          <w:sz w:val="22"/>
          <w:szCs w:val="22"/>
        </w:rPr>
        <w:t xml:space="preserve"> </w:t>
      </w:r>
      <w:r w:rsidR="00AC6576" w:rsidRPr="005C3A9D">
        <w:rPr>
          <w:rFonts w:ascii="Palatino Linotype" w:eastAsia="Palatino Linotype" w:hAnsi="Palatino Linotype" w:cs="Palatino Linotype"/>
          <w:sz w:val="22"/>
          <w:szCs w:val="22"/>
        </w:rPr>
        <w:t>a través de</w:t>
      </w:r>
      <w:r w:rsidR="00232656" w:rsidRPr="005C3A9D">
        <w:rPr>
          <w:rFonts w:ascii="Palatino Linotype" w:eastAsia="Palatino Linotype" w:hAnsi="Palatino Linotype" w:cs="Palatino Linotype"/>
          <w:sz w:val="22"/>
          <w:szCs w:val="22"/>
        </w:rPr>
        <w:t xml:space="preserve"> la </w:t>
      </w:r>
      <w:r w:rsidR="00E03E38" w:rsidRPr="005C3A9D">
        <w:rPr>
          <w:rFonts w:ascii="Palatino Linotype" w:eastAsia="Palatino Linotype" w:hAnsi="Palatino Linotype" w:cs="Palatino Linotype"/>
          <w:sz w:val="22"/>
          <w:szCs w:val="22"/>
        </w:rPr>
        <w:t>Unidad de</w:t>
      </w:r>
      <w:r w:rsidR="000C786F" w:rsidRPr="005C3A9D">
        <w:rPr>
          <w:rFonts w:ascii="Palatino Linotype" w:eastAsia="Palatino Linotype" w:hAnsi="Palatino Linotype" w:cs="Palatino Linotype"/>
          <w:sz w:val="22"/>
          <w:szCs w:val="22"/>
        </w:rPr>
        <w:t xml:space="preserve"> Comercio</w:t>
      </w:r>
      <w:r w:rsidR="00FF7A82" w:rsidRPr="005C3A9D">
        <w:rPr>
          <w:rFonts w:ascii="Palatino Linotype" w:eastAsia="Palatino Linotype" w:hAnsi="Palatino Linotype" w:cs="Palatino Linotype"/>
          <w:sz w:val="22"/>
          <w:szCs w:val="22"/>
        </w:rPr>
        <w:t xml:space="preserve"> informó lo siguiente: </w:t>
      </w:r>
    </w:p>
    <w:p w14:paraId="417203DE" w14:textId="77777777" w:rsidR="00FF7A82" w:rsidRPr="005C3A9D" w:rsidRDefault="00FF7A82" w:rsidP="00AC2786">
      <w:pPr>
        <w:spacing w:line="360" w:lineRule="auto"/>
        <w:ind w:right="49"/>
        <w:jc w:val="both"/>
        <w:rPr>
          <w:rFonts w:ascii="Palatino Linotype" w:eastAsia="Palatino Linotype" w:hAnsi="Palatino Linotype" w:cs="Palatino Linotype"/>
          <w:sz w:val="22"/>
          <w:szCs w:val="22"/>
        </w:rPr>
      </w:pPr>
    </w:p>
    <w:p w14:paraId="3AC609F1" w14:textId="6A38557B" w:rsidR="00FF7A82" w:rsidRPr="005C3A9D" w:rsidRDefault="00FF7A82" w:rsidP="00AC2786">
      <w:pPr>
        <w:pStyle w:val="Prrafodelista"/>
        <w:numPr>
          <w:ilvl w:val="0"/>
          <w:numId w:val="29"/>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rPr>
        <w:t>Del punto 1.- El fundamento jurídico aplicable al cobro de derechos por la expedición de permisos, licencias y/o autorizaciones en el Municipios de Chiconcuac, Estado de México, se encuentra establecido en el artículo 154 Bis del Código Financiero del Estado de México y Municipios, el cual establece…</w:t>
      </w:r>
    </w:p>
    <w:p w14:paraId="669F77A2" w14:textId="06A797A0" w:rsidR="00FF7A82" w:rsidRPr="005C3A9D" w:rsidRDefault="00FF7A82" w:rsidP="00AC2786">
      <w:pPr>
        <w:pStyle w:val="Prrafodelista"/>
        <w:numPr>
          <w:ilvl w:val="0"/>
          <w:numId w:val="29"/>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rPr>
        <w:t>Del punto 2.- La temporalidad y vigencia de los permisos, licencias y/o autorizaciones otorgadas por el Ayuntamiento se encuentra regulada en el Reglamento para el Ejercicio del Comercio, la Industria y Prestación de Servicios del Municipios de Chiconcuac, Estado de México, el cual establece que los permisos otorgados tienen carácter temporal y renovable, de acuerdo con los periodos fijados por la autoridad competente y conforme a la naturaleza de la actividad comercial…</w:t>
      </w:r>
    </w:p>
    <w:p w14:paraId="2E400810" w14:textId="653D9741" w:rsidR="00FF7A82" w:rsidRPr="005C3A9D" w:rsidRDefault="00FF7A82" w:rsidP="00AC2786">
      <w:pPr>
        <w:pStyle w:val="Prrafodelista"/>
        <w:numPr>
          <w:ilvl w:val="0"/>
          <w:numId w:val="29"/>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rPr>
        <w:t xml:space="preserve">Del punto 3.- El Código Financiero del Estado de México y Municipios establece la posibilidad de otorgar exenciones, reducciones o condonaciones en el pago de derechos municipales, de manera general o individual, cuando exista causa de </w:t>
      </w:r>
      <w:r w:rsidRPr="005C3A9D">
        <w:rPr>
          <w:rFonts w:ascii="Palatino Linotype" w:eastAsia="Palatino Linotype" w:hAnsi="Palatino Linotype" w:cs="Palatino Linotype"/>
        </w:rPr>
        <w:lastRenderedPageBreak/>
        <w:t>interés público o social, conforme a lo dispuesto por la Ley de Ingresos Municipal vigente y los acuerdos de cabildo emitidos para tal efecto.</w:t>
      </w:r>
    </w:p>
    <w:p w14:paraId="69821CB6" w14:textId="77777777" w:rsidR="00FF7A82" w:rsidRPr="005C3A9D" w:rsidRDefault="00FF7A82" w:rsidP="00AC2786">
      <w:pPr>
        <w:pStyle w:val="Prrafodelista"/>
        <w:spacing w:line="360" w:lineRule="auto"/>
        <w:ind w:left="720" w:right="49"/>
        <w:jc w:val="both"/>
        <w:rPr>
          <w:rFonts w:ascii="Palatino Linotype" w:eastAsia="Palatino Linotype" w:hAnsi="Palatino Linotype" w:cs="Palatino Linotype"/>
        </w:rPr>
      </w:pPr>
      <w:r w:rsidRPr="005C3A9D">
        <w:rPr>
          <w:rFonts w:ascii="Palatino Linotype" w:eastAsia="Palatino Linotype" w:hAnsi="Palatino Linotype" w:cs="Palatino Linotype"/>
        </w:rPr>
        <w:t xml:space="preserve">Dichas reducciones o exenciones son aplicables conforme a criterios previamente aprobados por el H. Cabildo Municipal, mismos que consideran la situación económica del contribuyente o el impacto social de la actividad desarrollada. </w:t>
      </w:r>
    </w:p>
    <w:p w14:paraId="35D1BC42" w14:textId="3A47FFDA" w:rsidR="00FF7A82" w:rsidRPr="005C3A9D" w:rsidRDefault="00FF7A82" w:rsidP="00AC2786">
      <w:pPr>
        <w:pStyle w:val="Prrafodelista"/>
        <w:numPr>
          <w:ilvl w:val="0"/>
          <w:numId w:val="29"/>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rPr>
        <w:t>Del punto 4.- Este se encuentra en el Titulo Octavo del Reglamento para el Ejercicio del Comercio, la Industria y Prestación de Servicios del Municipios de Chiconcuac.</w:t>
      </w:r>
    </w:p>
    <w:p w14:paraId="35AE0101" w14:textId="0C940CC5" w:rsidR="00FF7A82" w:rsidRPr="005C3A9D" w:rsidRDefault="00FF7A82" w:rsidP="00AC2786">
      <w:pPr>
        <w:pStyle w:val="Prrafodelista"/>
        <w:numPr>
          <w:ilvl w:val="0"/>
          <w:numId w:val="29"/>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rPr>
        <w:t>Del punto 5.- Es el artículo 107 del Reglamento para el Ejercicio del Comercio, la Industria y Prestación de Servicios del Municipios de Chiconcuac.</w:t>
      </w:r>
    </w:p>
    <w:p w14:paraId="27493BE3" w14:textId="452347BA" w:rsidR="00FF7A82" w:rsidRPr="005C3A9D" w:rsidRDefault="00FF7A82" w:rsidP="00AC2786">
      <w:pPr>
        <w:pStyle w:val="Prrafodelista"/>
        <w:numPr>
          <w:ilvl w:val="0"/>
          <w:numId w:val="29"/>
        </w:numPr>
        <w:spacing w:line="360" w:lineRule="auto"/>
        <w:ind w:right="49"/>
        <w:jc w:val="both"/>
        <w:rPr>
          <w:rFonts w:ascii="Palatino Linotype" w:eastAsia="Palatino Linotype" w:hAnsi="Palatino Linotype" w:cs="Palatino Linotype"/>
        </w:rPr>
      </w:pPr>
      <w:r w:rsidRPr="005C3A9D">
        <w:rPr>
          <w:rFonts w:ascii="Palatino Linotype" w:eastAsia="Palatino Linotype" w:hAnsi="Palatino Linotype" w:cs="Palatino Linotype"/>
        </w:rPr>
        <w:t xml:space="preserve">Del punto 6.- Respecto al número de licencias o permisos vigentes por vialidad y su avance de cobro, se señala que dicha información no puede proporcionarse en su totalidad al estar vinculada con datos personales de los titulares, los cuales se encuentran protegidos en términos de los artículos 169 y 170 de la Ley de Transparencia y Acceso a la Información Pública del Estado de México y Municipios. </w:t>
      </w:r>
    </w:p>
    <w:p w14:paraId="3F8B304F" w14:textId="77777777" w:rsidR="00FF7A82" w:rsidRPr="005C3A9D" w:rsidRDefault="00FF7A82" w:rsidP="00AC2786">
      <w:pPr>
        <w:pStyle w:val="Prrafodelista"/>
        <w:spacing w:line="360" w:lineRule="auto"/>
        <w:ind w:left="720" w:right="49"/>
        <w:jc w:val="both"/>
        <w:rPr>
          <w:rFonts w:ascii="Palatino Linotype" w:eastAsia="Palatino Linotype" w:hAnsi="Palatino Linotype" w:cs="Palatino Linotype"/>
        </w:rPr>
      </w:pPr>
      <w:r w:rsidRPr="005C3A9D">
        <w:rPr>
          <w:rFonts w:ascii="Palatino Linotype" w:eastAsia="Palatino Linotype" w:hAnsi="Palatino Linotype" w:cs="Palatino Linotype"/>
        </w:rPr>
        <w:t xml:space="preserve">No obstante, de manera estadística y general se informa que, en el mes de octubre de 2025, el avance global en el cobro de derechos municipales por permisos y licencias comerciales asciende aproximadamente al 30.28 %, conforme a los registros de la Unidad de Comercio. </w:t>
      </w:r>
    </w:p>
    <w:p w14:paraId="01EF7715" w14:textId="77777777" w:rsidR="00FF7A82" w:rsidRPr="005C3A9D" w:rsidRDefault="00FF7A82" w:rsidP="00AC2786">
      <w:pPr>
        <w:spacing w:line="360" w:lineRule="auto"/>
        <w:ind w:right="49"/>
        <w:jc w:val="both"/>
        <w:rPr>
          <w:rFonts w:ascii="Palatino Linotype" w:eastAsia="Palatino Linotype" w:hAnsi="Palatino Linotype" w:cs="Palatino Linotype"/>
          <w:sz w:val="22"/>
          <w:szCs w:val="22"/>
        </w:rPr>
      </w:pPr>
    </w:p>
    <w:p w14:paraId="2ADB6C65" w14:textId="52A7A5E2" w:rsidR="00EA530D" w:rsidRPr="005C3A9D" w:rsidRDefault="00E90DBD" w:rsidP="00AC2786">
      <w:pPr>
        <w:spacing w:line="360" w:lineRule="auto"/>
        <w:contextualSpacing/>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Conocida la respuesta por el particular</w:t>
      </w:r>
      <w:r w:rsidR="00DB0B40" w:rsidRPr="005C3A9D">
        <w:rPr>
          <w:rFonts w:ascii="Palatino Linotype" w:eastAsia="Palatino Linotype" w:hAnsi="Palatino Linotype" w:cs="Palatino Linotype"/>
          <w:sz w:val="22"/>
          <w:szCs w:val="22"/>
        </w:rPr>
        <w:t xml:space="preserve"> y </w:t>
      </w:r>
      <w:r w:rsidRPr="005C3A9D">
        <w:rPr>
          <w:rFonts w:ascii="Palatino Linotype" w:eastAsia="Palatino Linotype" w:hAnsi="Palatino Linotype" w:cs="Palatino Linotype"/>
          <w:sz w:val="22"/>
          <w:szCs w:val="22"/>
        </w:rPr>
        <w:t xml:space="preserve">al no estar conforme con los términos de la misma, presentó el recurso de revisión que nos ocupa, mediante el cual </w:t>
      </w:r>
      <w:r w:rsidR="00156471" w:rsidRPr="005C3A9D">
        <w:rPr>
          <w:rFonts w:ascii="Palatino Linotype" w:eastAsia="Palatino Linotype" w:hAnsi="Palatino Linotype" w:cs="Palatino Linotype"/>
          <w:sz w:val="22"/>
          <w:szCs w:val="22"/>
        </w:rPr>
        <w:t>se inconform</w:t>
      </w:r>
      <w:r w:rsidR="001F4E7D" w:rsidRPr="005C3A9D">
        <w:rPr>
          <w:rFonts w:ascii="Palatino Linotype" w:eastAsia="Palatino Linotype" w:hAnsi="Palatino Linotype" w:cs="Palatino Linotype"/>
          <w:sz w:val="22"/>
          <w:szCs w:val="22"/>
        </w:rPr>
        <w:t>ó</w:t>
      </w:r>
      <w:r w:rsidR="00156471" w:rsidRPr="005C3A9D">
        <w:rPr>
          <w:rFonts w:ascii="Palatino Linotype" w:eastAsia="Palatino Linotype" w:hAnsi="Palatino Linotype" w:cs="Palatino Linotype"/>
          <w:sz w:val="22"/>
          <w:szCs w:val="22"/>
        </w:rPr>
        <w:t xml:space="preserve"> medularmente por</w:t>
      </w:r>
      <w:r w:rsidR="001F7225" w:rsidRPr="005C3A9D">
        <w:rPr>
          <w:rFonts w:ascii="Palatino Linotype" w:eastAsia="Palatino Linotype" w:hAnsi="Palatino Linotype" w:cs="Palatino Linotype"/>
          <w:sz w:val="22"/>
          <w:szCs w:val="22"/>
        </w:rPr>
        <w:t xml:space="preserve"> </w:t>
      </w:r>
      <w:r w:rsidR="00FF7A82" w:rsidRPr="005C3A9D">
        <w:rPr>
          <w:rFonts w:ascii="Palatino Linotype" w:eastAsia="Palatino Linotype" w:hAnsi="Palatino Linotype" w:cs="Palatino Linotype"/>
          <w:sz w:val="22"/>
          <w:szCs w:val="22"/>
        </w:rPr>
        <w:t>la entrega de información incompleta</w:t>
      </w:r>
      <w:r w:rsidR="00BA7DE3" w:rsidRPr="005C3A9D">
        <w:rPr>
          <w:rFonts w:ascii="Palatino Linotype" w:eastAsia="Palatino Linotype" w:hAnsi="Palatino Linotype" w:cs="Palatino Linotype"/>
          <w:sz w:val="22"/>
          <w:szCs w:val="22"/>
        </w:rPr>
        <w:t xml:space="preserve">. </w:t>
      </w:r>
    </w:p>
    <w:p w14:paraId="29B44BFE" w14:textId="77777777" w:rsidR="00BA7DE3" w:rsidRPr="005C3A9D" w:rsidRDefault="00BA7DE3" w:rsidP="00AC2786">
      <w:pPr>
        <w:spacing w:line="360" w:lineRule="auto"/>
        <w:contextualSpacing/>
        <w:jc w:val="both"/>
        <w:rPr>
          <w:rFonts w:ascii="Palatino Linotype" w:eastAsia="Palatino Linotype" w:hAnsi="Palatino Linotype" w:cs="Palatino Linotype"/>
          <w:sz w:val="22"/>
          <w:szCs w:val="22"/>
        </w:rPr>
      </w:pPr>
    </w:p>
    <w:p w14:paraId="2FBA0C1C" w14:textId="26EF47D2" w:rsidR="00FF7A82" w:rsidRPr="005C3A9D" w:rsidRDefault="00D6232B"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Es así que</w:t>
      </w:r>
      <w:r w:rsidR="00DF2496" w:rsidRPr="005C3A9D">
        <w:rPr>
          <w:rFonts w:ascii="Palatino Linotype" w:eastAsia="Palatino Linotype" w:hAnsi="Palatino Linotype" w:cs="Palatino Linotype"/>
          <w:sz w:val="22"/>
          <w:szCs w:val="22"/>
        </w:rPr>
        <w:t xml:space="preserve">, el </w:t>
      </w:r>
      <w:r w:rsidR="00DF2496" w:rsidRPr="005C3A9D">
        <w:rPr>
          <w:rFonts w:ascii="Palatino Linotype" w:eastAsia="Palatino Linotype" w:hAnsi="Palatino Linotype" w:cs="Palatino Linotype"/>
          <w:b/>
          <w:sz w:val="22"/>
          <w:szCs w:val="22"/>
        </w:rPr>
        <w:t>Recurrente</w:t>
      </w:r>
      <w:r w:rsidR="00DF2496" w:rsidRPr="005C3A9D">
        <w:rPr>
          <w:rFonts w:ascii="Palatino Linotype" w:eastAsia="Palatino Linotype" w:hAnsi="Palatino Linotype" w:cs="Palatino Linotype"/>
          <w:sz w:val="22"/>
          <w:szCs w:val="22"/>
        </w:rPr>
        <w:t xml:space="preserve"> </w:t>
      </w:r>
      <w:r w:rsidR="001F7225" w:rsidRPr="005C3A9D">
        <w:rPr>
          <w:rFonts w:ascii="Palatino Linotype" w:eastAsia="Palatino Linotype" w:hAnsi="Palatino Linotype" w:cs="Palatino Linotype"/>
          <w:sz w:val="22"/>
          <w:szCs w:val="22"/>
        </w:rPr>
        <w:t xml:space="preserve">no </w:t>
      </w:r>
      <w:r w:rsidR="00DF2496" w:rsidRPr="005C3A9D">
        <w:rPr>
          <w:rFonts w:ascii="Palatino Linotype" w:eastAsia="Palatino Linotype" w:hAnsi="Palatino Linotype" w:cs="Palatino Linotype"/>
          <w:sz w:val="22"/>
          <w:szCs w:val="22"/>
        </w:rPr>
        <w:t>realizó manifestaciones, alegatos o pruebas</w:t>
      </w:r>
      <w:r w:rsidR="00DB14CB" w:rsidRPr="005C3A9D">
        <w:rPr>
          <w:rFonts w:ascii="Palatino Linotype" w:eastAsia="Palatino Linotype" w:hAnsi="Palatino Linotype" w:cs="Palatino Linotype"/>
          <w:sz w:val="22"/>
          <w:szCs w:val="22"/>
        </w:rPr>
        <w:t xml:space="preserve"> que a su derecho conviniera</w:t>
      </w:r>
      <w:r w:rsidR="001F7225" w:rsidRPr="005C3A9D">
        <w:rPr>
          <w:rFonts w:ascii="Palatino Linotype" w:eastAsia="Palatino Linotype" w:hAnsi="Palatino Linotype" w:cs="Palatino Linotype"/>
          <w:sz w:val="22"/>
          <w:szCs w:val="22"/>
        </w:rPr>
        <w:t xml:space="preserve">n; </w:t>
      </w:r>
      <w:r w:rsidR="00DF2496" w:rsidRPr="005C3A9D">
        <w:rPr>
          <w:rFonts w:ascii="Palatino Linotype" w:eastAsia="Palatino Linotype" w:hAnsi="Palatino Linotype" w:cs="Palatino Linotype"/>
          <w:sz w:val="22"/>
          <w:szCs w:val="22"/>
        </w:rPr>
        <w:t xml:space="preserve">por su parte el </w:t>
      </w:r>
      <w:r w:rsidR="00DF2496" w:rsidRPr="005C3A9D">
        <w:rPr>
          <w:rFonts w:ascii="Palatino Linotype" w:eastAsia="Palatino Linotype" w:hAnsi="Palatino Linotype" w:cs="Palatino Linotype"/>
          <w:b/>
          <w:sz w:val="22"/>
          <w:szCs w:val="22"/>
        </w:rPr>
        <w:t>Sujeto Obligado</w:t>
      </w:r>
      <w:r w:rsidR="00103742" w:rsidRPr="005C3A9D">
        <w:rPr>
          <w:rFonts w:ascii="Palatino Linotype" w:eastAsia="Palatino Linotype" w:hAnsi="Palatino Linotype" w:cs="Palatino Linotype"/>
          <w:b/>
          <w:sz w:val="22"/>
          <w:szCs w:val="22"/>
        </w:rPr>
        <w:t xml:space="preserve"> </w:t>
      </w:r>
      <w:r w:rsidR="00FF7A82" w:rsidRPr="005C3A9D">
        <w:rPr>
          <w:rFonts w:ascii="Palatino Linotype" w:eastAsia="Palatino Linotype" w:hAnsi="Palatino Linotype" w:cs="Palatino Linotype"/>
          <w:sz w:val="22"/>
          <w:szCs w:val="22"/>
        </w:rPr>
        <w:t>fue omiso en rendir su informe justificado.</w:t>
      </w:r>
    </w:p>
    <w:p w14:paraId="3861D4BB" w14:textId="77777777" w:rsidR="00FF7A82" w:rsidRPr="005C3A9D" w:rsidRDefault="00FF7A82" w:rsidP="00AC2786">
      <w:pPr>
        <w:spacing w:line="360" w:lineRule="auto"/>
        <w:contextualSpacing/>
        <w:jc w:val="both"/>
        <w:rPr>
          <w:rFonts w:ascii="Palatino Linotype" w:eastAsia="Palatino Linotype" w:hAnsi="Palatino Linotype" w:cs="Palatino Linotype"/>
          <w:sz w:val="22"/>
          <w:szCs w:val="22"/>
        </w:rPr>
      </w:pPr>
    </w:p>
    <w:p w14:paraId="107E7A7E" w14:textId="7F11FE16" w:rsidR="002E4FA2" w:rsidRPr="005C3A9D" w:rsidRDefault="00462106" w:rsidP="00AC2786">
      <w:pPr>
        <w:spacing w:line="360" w:lineRule="auto"/>
        <w:jc w:val="both"/>
        <w:rPr>
          <w:rFonts w:ascii="Palatino Linotype" w:hAnsi="Palatino Linotype" w:cs="Tahoma"/>
          <w:bCs/>
          <w:iCs/>
          <w:sz w:val="22"/>
          <w:szCs w:val="22"/>
          <w:lang w:val="es-MX"/>
        </w:rPr>
      </w:pPr>
      <w:r w:rsidRPr="005C3A9D">
        <w:rPr>
          <w:rFonts w:ascii="Palatino Linotype" w:hAnsi="Palatino Linotype" w:cs="Tahoma"/>
          <w:bCs/>
          <w:iCs/>
          <w:sz w:val="22"/>
          <w:szCs w:val="22"/>
          <w:lang w:val="es-MX"/>
        </w:rPr>
        <w:t>Expuesto lo anterior</w:t>
      </w:r>
      <w:r w:rsidR="002E4FA2" w:rsidRPr="005C3A9D">
        <w:rPr>
          <w:rFonts w:ascii="Palatino Linotype" w:hAnsi="Palatino Linotype" w:cs="Tahoma"/>
          <w:bCs/>
          <w:iCs/>
          <w:sz w:val="22"/>
          <w:szCs w:val="22"/>
          <w:lang w:val="es-MX"/>
        </w:rPr>
        <w:t xml:space="preserve">, no pasa inadvertido para este Organismo Garante que, los motivos de inconformidad aducidos en el recurso de </w:t>
      </w:r>
      <w:r w:rsidRPr="005C3A9D">
        <w:rPr>
          <w:rFonts w:ascii="Palatino Linotype" w:hAnsi="Palatino Linotype" w:cs="Tahoma"/>
          <w:bCs/>
          <w:iCs/>
          <w:sz w:val="22"/>
          <w:szCs w:val="22"/>
          <w:lang w:val="es-MX"/>
        </w:rPr>
        <w:t>revisión</w:t>
      </w:r>
      <w:r w:rsidR="002E4FA2" w:rsidRPr="005C3A9D">
        <w:rPr>
          <w:rFonts w:ascii="Palatino Linotype" w:hAnsi="Palatino Linotype" w:cs="Tahoma"/>
          <w:bCs/>
          <w:iCs/>
          <w:sz w:val="22"/>
          <w:szCs w:val="22"/>
          <w:lang w:val="es-MX"/>
        </w:rPr>
        <w:t xml:space="preserve"> no versan sobre la totalidad de la información proporcionada por el </w:t>
      </w:r>
      <w:r w:rsidR="002E4FA2" w:rsidRPr="005C3A9D">
        <w:rPr>
          <w:rFonts w:ascii="Palatino Linotype" w:hAnsi="Palatino Linotype" w:cs="Tahoma"/>
          <w:b/>
          <w:bCs/>
          <w:iCs/>
          <w:sz w:val="22"/>
          <w:szCs w:val="22"/>
          <w:lang w:val="es-MX"/>
        </w:rPr>
        <w:t>Sujeto Obligado</w:t>
      </w:r>
      <w:r w:rsidR="002E4FA2" w:rsidRPr="005C3A9D">
        <w:rPr>
          <w:rFonts w:ascii="Palatino Linotype" w:hAnsi="Palatino Linotype" w:cs="Tahoma"/>
          <w:bCs/>
          <w:iCs/>
          <w:sz w:val="22"/>
          <w:szCs w:val="22"/>
          <w:lang w:val="es-MX"/>
        </w:rPr>
        <w:t xml:space="preserve">, pues la parte </w:t>
      </w:r>
      <w:r w:rsidR="002E4FA2" w:rsidRPr="005C3A9D">
        <w:rPr>
          <w:rFonts w:ascii="Palatino Linotype" w:hAnsi="Palatino Linotype" w:cs="Tahoma"/>
          <w:b/>
          <w:bCs/>
          <w:iCs/>
          <w:sz w:val="22"/>
          <w:szCs w:val="22"/>
          <w:lang w:val="es-MX"/>
        </w:rPr>
        <w:t>Recurrente</w:t>
      </w:r>
      <w:r w:rsidR="002E4FA2" w:rsidRPr="005C3A9D">
        <w:rPr>
          <w:rFonts w:ascii="Palatino Linotype" w:hAnsi="Palatino Linotype" w:cs="Tahoma"/>
          <w:bCs/>
          <w:iCs/>
          <w:sz w:val="22"/>
          <w:szCs w:val="22"/>
          <w:lang w:val="es-MX"/>
        </w:rPr>
        <w:t xml:space="preserve"> se inconformó de manera expresa “</w:t>
      </w:r>
      <w:r w:rsidRPr="005C3A9D">
        <w:rPr>
          <w:rFonts w:ascii="Palatino Linotype" w:hAnsi="Palatino Linotype" w:cs="Tahoma"/>
          <w:bCs/>
          <w:i/>
          <w:sz w:val="22"/>
          <w:szCs w:val="22"/>
          <w:lang w:val="es-MX"/>
        </w:rPr>
        <w:t>P</w:t>
      </w:r>
      <w:r w:rsidRPr="005C3A9D">
        <w:rPr>
          <w:rFonts w:ascii="Palatino Linotype" w:hAnsi="Palatino Linotype" w:cs="Tahoma"/>
          <w:bCs/>
          <w:i/>
          <w:iCs/>
          <w:sz w:val="22"/>
          <w:szCs w:val="22"/>
          <w:lang w:val="es-MX"/>
        </w:rPr>
        <w:t xml:space="preserve">or medio de la presente </w:t>
      </w:r>
      <w:r w:rsidRPr="005C3A9D">
        <w:rPr>
          <w:rFonts w:ascii="Palatino Linotype" w:hAnsi="Palatino Linotype" w:cs="Tahoma"/>
          <w:b/>
          <w:i/>
          <w:iCs/>
          <w:sz w:val="22"/>
          <w:szCs w:val="22"/>
          <w:lang w:val="es-MX"/>
        </w:rPr>
        <w:t>manifiesto mi inconformidad</w:t>
      </w:r>
      <w:r w:rsidRPr="005C3A9D">
        <w:rPr>
          <w:rFonts w:ascii="Palatino Linotype" w:hAnsi="Palatino Linotype" w:cs="Tahoma"/>
          <w:b/>
          <w:i/>
          <w:iCs/>
          <w:sz w:val="22"/>
          <w:szCs w:val="22"/>
          <w:u w:val="single"/>
          <w:lang w:val="es-MX"/>
        </w:rPr>
        <w:t xml:space="preserve"> solo con la respuesta al numeral 6 </w:t>
      </w:r>
      <w:r w:rsidRPr="005C3A9D">
        <w:rPr>
          <w:rFonts w:ascii="Palatino Linotype" w:hAnsi="Palatino Linotype" w:cs="Tahoma"/>
          <w:b/>
          <w:i/>
          <w:iCs/>
          <w:sz w:val="22"/>
          <w:szCs w:val="22"/>
          <w:lang w:val="es-MX"/>
        </w:rPr>
        <w:t>de la solicitud de información</w:t>
      </w:r>
      <w:r w:rsidRPr="005C3A9D">
        <w:rPr>
          <w:rFonts w:ascii="Palatino Linotype" w:hAnsi="Palatino Linotype" w:cs="Tahoma"/>
          <w:bCs/>
          <w:i/>
          <w:iCs/>
          <w:sz w:val="22"/>
          <w:szCs w:val="22"/>
          <w:lang w:val="es-MX"/>
        </w:rPr>
        <w:t xml:space="preserve"> </w:t>
      </w:r>
      <w:r w:rsidRPr="005C3A9D">
        <w:rPr>
          <w:rFonts w:ascii="Palatino Linotype" w:hAnsi="Palatino Linotype" w:cs="Tahoma"/>
          <w:b/>
          <w:i/>
          <w:iCs/>
          <w:sz w:val="22"/>
          <w:szCs w:val="22"/>
          <w:lang w:val="es-MX"/>
        </w:rPr>
        <w:t>original t</w:t>
      </w:r>
      <w:r w:rsidRPr="005C3A9D">
        <w:rPr>
          <w:rFonts w:ascii="Palatino Linotype" w:hAnsi="Palatino Linotype" w:cs="Tahoma"/>
          <w:bCs/>
          <w:i/>
          <w:iCs/>
          <w:sz w:val="22"/>
          <w:szCs w:val="22"/>
          <w:lang w:val="es-MX"/>
        </w:rPr>
        <w:t>oda vez que solicito lo siguiente: "6. Número de licencias, permisos y/o autorizaciones (semifijos y/o ambulantes) por cada una de las calles o vialidades mencionadas anteriormente y su avance de cobro en porcentaje con fecha de corte al mes de octubre del 2025…"</w:t>
      </w:r>
      <w:r w:rsidR="002E4FA2" w:rsidRPr="005C3A9D">
        <w:rPr>
          <w:rFonts w:ascii="Palatino Linotype" w:hAnsi="Palatino Linotype" w:cs="Tahoma"/>
          <w:bCs/>
          <w:i/>
          <w:iCs/>
          <w:sz w:val="22"/>
          <w:szCs w:val="22"/>
          <w:lang w:val="es-MX"/>
        </w:rPr>
        <w:t xml:space="preserve">, </w:t>
      </w:r>
      <w:r w:rsidR="002E4FA2" w:rsidRPr="005C3A9D">
        <w:rPr>
          <w:rFonts w:ascii="Palatino Linotype" w:hAnsi="Palatino Linotype" w:cs="Tahoma"/>
          <w:bCs/>
          <w:iCs/>
          <w:sz w:val="22"/>
          <w:szCs w:val="22"/>
          <w:lang w:val="es-MX"/>
        </w:rPr>
        <w:t xml:space="preserve">por lo que se colige que, la parte de la respuesta que no fue impugnada debe declararse </w:t>
      </w:r>
      <w:r w:rsidR="00A22B20" w:rsidRPr="005C3A9D">
        <w:rPr>
          <w:rFonts w:ascii="Palatino Linotype" w:hAnsi="Palatino Linotype" w:cs="Tahoma"/>
          <w:bCs/>
          <w:iCs/>
          <w:sz w:val="22"/>
          <w:szCs w:val="22"/>
          <w:lang w:val="es-MX"/>
        </w:rPr>
        <w:t xml:space="preserve">consentida, </w:t>
      </w:r>
      <w:r w:rsidR="002E4FA2" w:rsidRPr="005C3A9D">
        <w:rPr>
          <w:rFonts w:ascii="Palatino Linotype" w:hAnsi="Palatino Linotype" w:cs="Tahoma"/>
          <w:bCs/>
          <w:iCs/>
          <w:sz w:val="22"/>
          <w:szCs w:val="22"/>
          <w:lang w:val="es-MX"/>
        </w:rPr>
        <w:t>esto es respecto a</w:t>
      </w:r>
      <w:r w:rsidRPr="005C3A9D">
        <w:rPr>
          <w:rFonts w:ascii="Palatino Linotype" w:hAnsi="Palatino Linotype" w:cs="Tahoma"/>
          <w:bCs/>
          <w:iCs/>
          <w:sz w:val="22"/>
          <w:szCs w:val="22"/>
          <w:lang w:val="es-MX"/>
        </w:rPr>
        <w:t xml:space="preserve"> los numerales 1, 2, 3, 4 y 5</w:t>
      </w:r>
      <w:r w:rsidR="002E4FA2" w:rsidRPr="005C3A9D">
        <w:rPr>
          <w:rFonts w:ascii="Palatino Linotype" w:hAnsi="Palatino Linotype" w:cs="Tahoma"/>
          <w:bCs/>
          <w:iCs/>
          <w:sz w:val="22"/>
          <w:szCs w:val="22"/>
          <w:lang w:val="es-MX"/>
        </w:rPr>
        <w:t xml:space="preserve">, toda vez que, al no haber realizado manifestaciones de inconformidad al respecto, no pueden producirse efectos jurídicos tendentes a revocar, confirmar o modificar el acto reclamado, ya que, en el caso concreto se infiere que la información proporcionada por el </w:t>
      </w:r>
      <w:r w:rsidR="002E4FA2" w:rsidRPr="005C3A9D">
        <w:rPr>
          <w:rFonts w:ascii="Palatino Linotype" w:hAnsi="Palatino Linotype" w:cs="Tahoma"/>
          <w:b/>
          <w:bCs/>
          <w:iCs/>
          <w:sz w:val="22"/>
          <w:szCs w:val="22"/>
          <w:lang w:val="es-MX"/>
        </w:rPr>
        <w:t>Sujeto Obligado</w:t>
      </w:r>
      <w:r w:rsidR="002E4FA2" w:rsidRPr="005C3A9D">
        <w:rPr>
          <w:rFonts w:ascii="Palatino Linotype" w:hAnsi="Palatino Linotype" w:cs="Tahoma"/>
          <w:bCs/>
          <w:iCs/>
          <w:sz w:val="22"/>
          <w:szCs w:val="22"/>
          <w:lang w:val="es-MX"/>
        </w:rPr>
        <w:t>, satisface la solicitud presentada.</w:t>
      </w:r>
    </w:p>
    <w:p w14:paraId="5F2DE60C" w14:textId="77777777" w:rsidR="002E4FA2" w:rsidRPr="005C3A9D" w:rsidRDefault="002E4FA2" w:rsidP="00AC2786">
      <w:pPr>
        <w:spacing w:line="360" w:lineRule="auto"/>
        <w:jc w:val="both"/>
        <w:rPr>
          <w:rFonts w:ascii="Palatino Linotype" w:hAnsi="Palatino Linotype" w:cs="Tahoma"/>
          <w:bCs/>
          <w:iCs/>
          <w:sz w:val="22"/>
          <w:szCs w:val="22"/>
          <w:lang w:val="es-MX"/>
        </w:rPr>
      </w:pPr>
    </w:p>
    <w:p w14:paraId="7EDF55FD" w14:textId="77777777" w:rsidR="002E4FA2" w:rsidRPr="005C3A9D" w:rsidRDefault="002E4FA2" w:rsidP="00AC2786">
      <w:pPr>
        <w:spacing w:line="360" w:lineRule="auto"/>
        <w:jc w:val="both"/>
        <w:rPr>
          <w:rFonts w:ascii="Palatino Linotype" w:hAnsi="Palatino Linotype" w:cs="Tahoma"/>
          <w:bCs/>
          <w:iCs/>
          <w:sz w:val="22"/>
          <w:szCs w:val="22"/>
          <w:lang w:val="es-MX"/>
        </w:rPr>
      </w:pPr>
      <w:r w:rsidRPr="005C3A9D">
        <w:rPr>
          <w:rFonts w:ascii="Palatino Linotype" w:hAnsi="Palatino Linotype" w:cs="Tahoma"/>
          <w:bCs/>
          <w:iCs/>
          <w:sz w:val="22"/>
          <w:szCs w:val="22"/>
          <w:lang w:val="es-MX"/>
        </w:rPr>
        <w:t xml:space="preserve">Lo anterior es así, debido a que cuando la parte </w:t>
      </w:r>
      <w:r w:rsidRPr="005C3A9D">
        <w:rPr>
          <w:rFonts w:ascii="Palatino Linotype" w:hAnsi="Palatino Linotype" w:cs="Tahoma"/>
          <w:b/>
          <w:bCs/>
          <w:iCs/>
          <w:sz w:val="22"/>
          <w:szCs w:val="22"/>
          <w:lang w:val="es-MX"/>
        </w:rPr>
        <w:t>Recurrente</w:t>
      </w:r>
      <w:r w:rsidRPr="005C3A9D">
        <w:rPr>
          <w:rFonts w:ascii="Palatino Linotype" w:hAnsi="Palatino Linotype" w:cs="Tahoma"/>
          <w:bCs/>
          <w:iCs/>
          <w:sz w:val="22"/>
          <w:szCs w:val="22"/>
          <w:lang w:val="es-MX"/>
        </w:rPr>
        <w:t xml:space="preserve"> impugna la respuesta del </w:t>
      </w:r>
      <w:r w:rsidRPr="005C3A9D">
        <w:rPr>
          <w:rFonts w:ascii="Palatino Linotype" w:hAnsi="Palatino Linotype" w:cs="Tahoma"/>
          <w:b/>
          <w:bCs/>
          <w:iCs/>
          <w:sz w:val="22"/>
          <w:szCs w:val="22"/>
          <w:lang w:val="es-MX"/>
        </w:rPr>
        <w:t>Sujeto Obligado</w:t>
      </w:r>
      <w:r w:rsidRPr="005C3A9D">
        <w:rPr>
          <w:rFonts w:ascii="Palatino Linotype" w:hAnsi="Palatino Linotype" w:cs="Tahoma"/>
          <w:bCs/>
          <w:iCs/>
          <w:sz w:val="22"/>
          <w:szCs w:val="22"/>
          <w:lang w:val="es-MX"/>
        </w:rPr>
        <w:t xml:space="preserve">, y éste no expresa Razón o Motivo de Inconformidad en contra de todos los rubros solicitados, dichos rubros deben declararse atendidos, pues se entiende que la parte </w:t>
      </w:r>
      <w:r w:rsidRPr="005C3A9D">
        <w:rPr>
          <w:rFonts w:ascii="Palatino Linotype" w:hAnsi="Palatino Linotype" w:cs="Tahoma"/>
          <w:b/>
          <w:bCs/>
          <w:iCs/>
          <w:sz w:val="22"/>
          <w:szCs w:val="22"/>
          <w:lang w:val="es-MX"/>
        </w:rPr>
        <w:t>Recurrente</w:t>
      </w:r>
      <w:r w:rsidRPr="005C3A9D">
        <w:rPr>
          <w:rFonts w:ascii="Palatino Linotype" w:hAnsi="Palatino Linotype" w:cs="Tahoma"/>
          <w:bCs/>
          <w:iCs/>
          <w:sz w:val="22"/>
          <w:szCs w:val="22"/>
          <w:lang w:val="es-MX"/>
        </w:rPr>
        <w:t xml:space="preserv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58F2BFDF" w14:textId="77777777" w:rsidR="002E4FA2" w:rsidRPr="005C3A9D" w:rsidRDefault="002E4FA2" w:rsidP="00AC2786">
      <w:pPr>
        <w:spacing w:line="360" w:lineRule="auto"/>
        <w:jc w:val="both"/>
        <w:rPr>
          <w:rFonts w:ascii="Palatino Linotype" w:hAnsi="Palatino Linotype" w:cs="Tahoma"/>
          <w:b/>
          <w:bCs/>
          <w:i/>
          <w:iCs/>
          <w:sz w:val="22"/>
          <w:szCs w:val="22"/>
          <w:lang w:val="es-MX"/>
        </w:rPr>
      </w:pPr>
    </w:p>
    <w:p w14:paraId="73B7BCAE" w14:textId="77777777" w:rsidR="002E4FA2" w:rsidRPr="005C3A9D" w:rsidRDefault="002E4FA2" w:rsidP="00AC2786">
      <w:pPr>
        <w:spacing w:line="276" w:lineRule="auto"/>
        <w:ind w:left="851" w:right="616"/>
        <w:jc w:val="both"/>
        <w:rPr>
          <w:rFonts w:ascii="Palatino Linotype" w:hAnsi="Palatino Linotype" w:cs="Tahoma"/>
          <w:bCs/>
          <w:i/>
          <w:iCs/>
          <w:sz w:val="22"/>
          <w:szCs w:val="22"/>
          <w:lang w:val="es-MX"/>
        </w:rPr>
      </w:pPr>
      <w:r w:rsidRPr="005C3A9D">
        <w:rPr>
          <w:rFonts w:ascii="Palatino Linotype" w:hAnsi="Palatino Linotype" w:cs="Tahoma"/>
          <w:b/>
          <w:bCs/>
          <w:i/>
          <w:iCs/>
          <w:sz w:val="22"/>
          <w:szCs w:val="22"/>
          <w:lang w:val="es-MX"/>
        </w:rPr>
        <w:t xml:space="preserve">“REVISIÓN EN AMPARO. LOS RESOLUTIVOS NO COMBATIDOS DEBEN DECLARARSE FIRMES. </w:t>
      </w:r>
      <w:r w:rsidRPr="005C3A9D">
        <w:rPr>
          <w:rFonts w:ascii="Palatino Linotype" w:hAnsi="Palatino Linotype" w:cs="Tahoma"/>
          <w:bCs/>
          <w:i/>
          <w:iCs/>
          <w:sz w:val="22"/>
          <w:szCs w:val="22"/>
          <w:lang w:val="es-MX"/>
        </w:rPr>
        <w:t xml:space="preserve">Cuando algún resolutivo de la sentencia impugnada afecta a la recurrente, y ésta no expresa agravio en contra de las consideraciones que le sirven de base, dicho resolutivo debe declararse firme. Esto es, </w:t>
      </w:r>
      <w:r w:rsidRPr="005C3A9D">
        <w:rPr>
          <w:rFonts w:ascii="Palatino Linotype" w:hAnsi="Palatino Linotype" w:cs="Tahoma"/>
          <w:bCs/>
          <w:i/>
          <w:iCs/>
          <w:sz w:val="22"/>
          <w:szCs w:val="22"/>
          <w:lang w:val="es-MX"/>
        </w:rPr>
        <w:lastRenderedPageBreak/>
        <w:t>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6ACE43EA" w14:textId="77777777" w:rsidR="002E4FA2" w:rsidRPr="005C3A9D" w:rsidRDefault="002E4FA2" w:rsidP="00AC2786">
      <w:pPr>
        <w:spacing w:line="360" w:lineRule="auto"/>
        <w:jc w:val="both"/>
        <w:rPr>
          <w:rFonts w:ascii="Palatino Linotype" w:hAnsi="Palatino Linotype" w:cs="Tahoma"/>
          <w:bCs/>
          <w:iCs/>
          <w:sz w:val="22"/>
          <w:szCs w:val="22"/>
          <w:lang w:val="es-MX"/>
        </w:rPr>
      </w:pPr>
    </w:p>
    <w:p w14:paraId="061046A5" w14:textId="77777777" w:rsidR="002E4FA2" w:rsidRPr="005C3A9D" w:rsidRDefault="002E4FA2" w:rsidP="00AC2786">
      <w:pPr>
        <w:spacing w:line="360" w:lineRule="auto"/>
        <w:jc w:val="both"/>
        <w:rPr>
          <w:rFonts w:ascii="Palatino Linotype" w:hAnsi="Palatino Linotype" w:cs="Tahoma"/>
          <w:bCs/>
          <w:iCs/>
          <w:sz w:val="22"/>
          <w:szCs w:val="22"/>
          <w:lang w:val="es-MX"/>
        </w:rPr>
      </w:pPr>
      <w:r w:rsidRPr="005C3A9D">
        <w:rPr>
          <w:rFonts w:ascii="Palatino Linotype" w:hAnsi="Palatino Linotype" w:cs="Tahoma"/>
          <w:bCs/>
          <w:iCs/>
          <w:sz w:val="22"/>
          <w:szCs w:val="22"/>
          <w:lang w:val="es-MX"/>
        </w:rPr>
        <w:t>Consecuentemente, se insiste, ante la falta de impugnación eficaz, la respuesta entregada debe declararse consentida por la persona solicitante.</w:t>
      </w:r>
    </w:p>
    <w:p w14:paraId="3972EB4D" w14:textId="77777777" w:rsidR="002E4FA2" w:rsidRPr="005C3A9D" w:rsidRDefault="002E4FA2" w:rsidP="00AC2786">
      <w:pPr>
        <w:spacing w:line="360" w:lineRule="auto"/>
        <w:jc w:val="both"/>
        <w:rPr>
          <w:rFonts w:ascii="Palatino Linotype" w:hAnsi="Palatino Linotype" w:cs="Tahoma"/>
          <w:bCs/>
          <w:iCs/>
          <w:sz w:val="22"/>
          <w:szCs w:val="22"/>
          <w:lang w:val="es-MX"/>
        </w:rPr>
      </w:pPr>
    </w:p>
    <w:p w14:paraId="08B9CE21" w14:textId="77777777" w:rsidR="002E4FA2" w:rsidRPr="005C3A9D" w:rsidRDefault="002E4FA2" w:rsidP="00AC2786">
      <w:pPr>
        <w:spacing w:line="360" w:lineRule="auto"/>
        <w:jc w:val="both"/>
        <w:rPr>
          <w:rFonts w:ascii="Palatino Linotype" w:hAnsi="Palatino Linotype" w:cs="Tahoma"/>
          <w:bCs/>
          <w:iCs/>
          <w:sz w:val="22"/>
          <w:szCs w:val="22"/>
          <w:lang w:val="es-MX"/>
        </w:rPr>
      </w:pPr>
      <w:r w:rsidRPr="005C3A9D">
        <w:rPr>
          <w:rFonts w:ascii="Palatino Linotype" w:hAnsi="Palatino Linotype" w:cs="Tahoma"/>
          <w:bCs/>
          <w:iCs/>
          <w:sz w:val="22"/>
          <w:szCs w:val="22"/>
          <w:lang w:val="es-MX"/>
        </w:rPr>
        <w:t xml:space="preserve">Sirve de sustento lo plasmado en el Criterio de interpretación con clave de control SO/001/2020, emitido por el entonces Pleno del Instituto Nacional de Transparencia, Acceso a la Información, y Protección de Datos Personales, INAI, que lleva por rubro y texto, lo siguiente: </w:t>
      </w:r>
    </w:p>
    <w:p w14:paraId="5B2583B4" w14:textId="77777777" w:rsidR="002E4FA2" w:rsidRPr="005C3A9D" w:rsidRDefault="002E4FA2" w:rsidP="00AC2786">
      <w:pPr>
        <w:spacing w:line="276" w:lineRule="auto"/>
        <w:ind w:left="851" w:right="616"/>
        <w:jc w:val="both"/>
        <w:rPr>
          <w:rFonts w:ascii="Palatino Linotype" w:hAnsi="Palatino Linotype" w:cs="Tahoma"/>
          <w:bCs/>
          <w:i/>
          <w:iCs/>
          <w:sz w:val="22"/>
          <w:szCs w:val="22"/>
          <w:lang w:val="es-MX"/>
        </w:rPr>
      </w:pPr>
      <w:r w:rsidRPr="005C3A9D">
        <w:rPr>
          <w:rFonts w:ascii="Palatino Linotype" w:hAnsi="Palatino Linotype" w:cs="Tahoma"/>
          <w:bCs/>
          <w:i/>
          <w:iCs/>
          <w:sz w:val="22"/>
          <w:szCs w:val="22"/>
          <w:lang w:val="es-MX"/>
        </w:rPr>
        <w:t>“</w:t>
      </w:r>
      <w:r w:rsidRPr="005C3A9D">
        <w:rPr>
          <w:rFonts w:ascii="Palatino Linotype" w:hAnsi="Palatino Linotype" w:cs="Tahoma"/>
          <w:b/>
          <w:bCs/>
          <w:i/>
          <w:iCs/>
          <w:sz w:val="22"/>
          <w:szCs w:val="22"/>
          <w:lang w:val="es-MX"/>
        </w:rPr>
        <w:t xml:space="preserve">Actos consentidos tácitamente. Improcedencia de su análisis. </w:t>
      </w:r>
      <w:r w:rsidRPr="005C3A9D">
        <w:rPr>
          <w:rFonts w:ascii="Palatino Linotype" w:hAnsi="Palatino Linotype" w:cs="Tahoma"/>
          <w:bCs/>
          <w:i/>
          <w:iCs/>
          <w:sz w:val="22"/>
          <w:szCs w:val="22"/>
          <w:lang w:val="es-MX"/>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93A87AD" w14:textId="77777777" w:rsidR="002E4FA2" w:rsidRPr="005C3A9D" w:rsidRDefault="002E4FA2" w:rsidP="00AC2786">
      <w:pPr>
        <w:spacing w:line="360" w:lineRule="auto"/>
        <w:jc w:val="both"/>
        <w:rPr>
          <w:rFonts w:ascii="Palatino Linotype" w:hAnsi="Palatino Linotype" w:cs="Tahoma"/>
          <w:bCs/>
          <w:iCs/>
          <w:sz w:val="22"/>
          <w:szCs w:val="22"/>
          <w:lang w:val="es-MX"/>
        </w:rPr>
      </w:pPr>
    </w:p>
    <w:p w14:paraId="6573D847" w14:textId="77777777" w:rsidR="002E4FA2" w:rsidRPr="005C3A9D" w:rsidRDefault="002E4FA2" w:rsidP="00AC2786">
      <w:pPr>
        <w:spacing w:line="360" w:lineRule="auto"/>
        <w:jc w:val="both"/>
        <w:rPr>
          <w:rFonts w:ascii="Palatino Linotype" w:hAnsi="Palatino Linotype" w:cs="Tahoma"/>
          <w:bCs/>
          <w:iCs/>
          <w:sz w:val="22"/>
          <w:szCs w:val="22"/>
          <w:lang w:val="es-MX"/>
        </w:rPr>
      </w:pPr>
      <w:r w:rsidRPr="005C3A9D">
        <w:rPr>
          <w:rFonts w:ascii="Palatino Linotype" w:hAnsi="Palatino Linotype" w:cs="Tahoma"/>
          <w:bCs/>
          <w:iCs/>
          <w:sz w:val="22"/>
          <w:szCs w:val="22"/>
          <w:lang w:val="es-MX"/>
        </w:rPr>
        <w:t>Asimismo, resulta aplicable por analogía la tesis jurisprudencial número VI.3o.C. J/60, publicada en el Semanario Judicial de la Federación y su Gaceta bajo el número de registro 176,608 que a la letra dice:</w:t>
      </w:r>
    </w:p>
    <w:p w14:paraId="283D133B" w14:textId="77777777" w:rsidR="002E4FA2" w:rsidRPr="005C3A9D" w:rsidRDefault="002E4FA2" w:rsidP="00AC2786">
      <w:pPr>
        <w:spacing w:line="360" w:lineRule="auto"/>
        <w:jc w:val="both"/>
        <w:rPr>
          <w:rFonts w:ascii="Palatino Linotype" w:hAnsi="Palatino Linotype" w:cs="Tahoma"/>
          <w:bCs/>
          <w:i/>
          <w:iCs/>
          <w:sz w:val="22"/>
          <w:szCs w:val="22"/>
          <w:lang w:val="es-MX"/>
        </w:rPr>
      </w:pPr>
    </w:p>
    <w:p w14:paraId="4A178670" w14:textId="77777777" w:rsidR="002E4FA2" w:rsidRPr="005C3A9D" w:rsidRDefault="002E4FA2" w:rsidP="00AC2786">
      <w:pPr>
        <w:spacing w:line="276" w:lineRule="auto"/>
        <w:ind w:left="851" w:right="616"/>
        <w:jc w:val="both"/>
        <w:rPr>
          <w:rFonts w:ascii="Palatino Linotype" w:hAnsi="Palatino Linotype" w:cs="Tahoma"/>
          <w:bCs/>
          <w:i/>
          <w:iCs/>
          <w:sz w:val="22"/>
          <w:szCs w:val="22"/>
          <w:lang w:val="es-MX"/>
        </w:rPr>
      </w:pPr>
      <w:r w:rsidRPr="005C3A9D">
        <w:rPr>
          <w:rFonts w:ascii="Palatino Linotype" w:hAnsi="Palatino Linotype" w:cs="Tahoma"/>
          <w:bCs/>
          <w:i/>
          <w:iCs/>
          <w:sz w:val="22"/>
          <w:szCs w:val="22"/>
          <w:lang w:val="es-MX"/>
        </w:rPr>
        <w:t>“</w:t>
      </w:r>
      <w:r w:rsidRPr="005C3A9D">
        <w:rPr>
          <w:rFonts w:ascii="Palatino Linotype" w:hAnsi="Palatino Linotype" w:cs="Tahoma"/>
          <w:b/>
          <w:bCs/>
          <w:i/>
          <w:iCs/>
          <w:sz w:val="22"/>
          <w:szCs w:val="22"/>
          <w:lang w:val="es-MX"/>
        </w:rPr>
        <w:t xml:space="preserve">ACTOS CONSENTIDOS. SON LOS QUE NO SE IMPUGNAN MEDIANTE EL RECURSO IDÓNEO. </w:t>
      </w:r>
      <w:r w:rsidRPr="005C3A9D">
        <w:rPr>
          <w:rFonts w:ascii="Palatino Linotype" w:hAnsi="Palatino Linotype" w:cs="Tahoma"/>
          <w:bCs/>
          <w:i/>
          <w:iCs/>
          <w:sz w:val="22"/>
          <w:szCs w:val="22"/>
          <w:lang w:val="es-MX"/>
        </w:rPr>
        <w:t xml:space="preserve">Debe reputarse como consentido el acto que no se impugnó por el medio establecido por la ley, </w:t>
      </w:r>
      <w:proofErr w:type="gramStart"/>
      <w:r w:rsidRPr="005C3A9D">
        <w:rPr>
          <w:rFonts w:ascii="Palatino Linotype" w:hAnsi="Palatino Linotype" w:cs="Tahoma"/>
          <w:bCs/>
          <w:i/>
          <w:iCs/>
          <w:sz w:val="22"/>
          <w:szCs w:val="22"/>
          <w:lang w:val="es-MX"/>
        </w:rPr>
        <w:t>ya que</w:t>
      </w:r>
      <w:proofErr w:type="gramEnd"/>
      <w:r w:rsidRPr="005C3A9D">
        <w:rPr>
          <w:rFonts w:ascii="Palatino Linotype" w:hAnsi="Palatino Linotype" w:cs="Tahoma"/>
          <w:bCs/>
          <w:i/>
          <w:iCs/>
          <w:sz w:val="22"/>
          <w:szCs w:val="22"/>
          <w:lang w:val="es-MX"/>
        </w:rPr>
        <w:t xml:space="preserv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38D65E3" w14:textId="77777777" w:rsidR="002E4FA2" w:rsidRPr="005C3A9D" w:rsidRDefault="002E4FA2" w:rsidP="00AC2786">
      <w:pPr>
        <w:spacing w:line="360" w:lineRule="auto"/>
        <w:jc w:val="both"/>
        <w:rPr>
          <w:rFonts w:ascii="Palatino Linotype" w:hAnsi="Palatino Linotype" w:cs="Tahoma"/>
          <w:bCs/>
          <w:iCs/>
          <w:sz w:val="22"/>
          <w:szCs w:val="22"/>
          <w:lang w:val="es-MX"/>
        </w:rPr>
      </w:pPr>
    </w:p>
    <w:p w14:paraId="628A57DB" w14:textId="16EB5D8D" w:rsidR="002E4FA2" w:rsidRPr="005C3A9D" w:rsidRDefault="002E4FA2" w:rsidP="00AC2786">
      <w:pPr>
        <w:spacing w:line="360" w:lineRule="auto"/>
        <w:jc w:val="both"/>
        <w:rPr>
          <w:rFonts w:ascii="Palatino Linotype" w:hAnsi="Palatino Linotype" w:cs="Tahoma"/>
          <w:bCs/>
          <w:iCs/>
          <w:sz w:val="22"/>
          <w:szCs w:val="22"/>
          <w:lang w:val="es-MX"/>
        </w:rPr>
      </w:pPr>
      <w:r w:rsidRPr="005C3A9D">
        <w:rPr>
          <w:rFonts w:ascii="Palatino Linotype" w:hAnsi="Palatino Linotype" w:cs="Tahoma"/>
          <w:bCs/>
          <w:iCs/>
          <w:sz w:val="22"/>
          <w:szCs w:val="22"/>
          <w:lang w:val="es-MX"/>
        </w:rPr>
        <w:t>Acotado lo anterior, se procede al análisis del requerimiento combatido</w:t>
      </w:r>
      <w:r w:rsidR="00AB4BDB" w:rsidRPr="005C3A9D">
        <w:rPr>
          <w:rFonts w:ascii="Palatino Linotype" w:hAnsi="Palatino Linotype" w:cs="Tahoma"/>
          <w:bCs/>
          <w:iCs/>
          <w:sz w:val="22"/>
          <w:szCs w:val="22"/>
          <w:lang w:val="es-MX"/>
        </w:rPr>
        <w:t xml:space="preserve">, es decir, el </w:t>
      </w:r>
      <w:r w:rsidR="00AB4BDB" w:rsidRPr="005C3A9D">
        <w:rPr>
          <w:rFonts w:ascii="Palatino Linotype" w:hAnsi="Palatino Linotype" w:cs="Tahoma"/>
          <w:b/>
          <w:i/>
          <w:sz w:val="22"/>
          <w:szCs w:val="22"/>
          <w:lang w:val="es-MX"/>
        </w:rPr>
        <w:t xml:space="preserve">Número de licencias, permisos y/o autorizaciones (semifijos o ambulantes) por cada una de las calles o vialidades y su avance de cobro en porcentaje con fecha de corte al mes de octubre del 2025, </w:t>
      </w:r>
      <w:r w:rsidRPr="005C3A9D">
        <w:rPr>
          <w:rFonts w:ascii="Palatino Linotype" w:hAnsi="Palatino Linotype" w:cs="Tahoma"/>
          <w:bCs/>
          <w:iCs/>
          <w:sz w:val="22"/>
          <w:szCs w:val="22"/>
          <w:lang w:val="es-MX"/>
        </w:rPr>
        <w:t xml:space="preserve">así como la información proporcionada por el </w:t>
      </w:r>
      <w:r w:rsidRPr="005C3A9D">
        <w:rPr>
          <w:rFonts w:ascii="Palatino Linotype" w:hAnsi="Palatino Linotype" w:cs="Tahoma"/>
          <w:b/>
          <w:bCs/>
          <w:iCs/>
          <w:sz w:val="22"/>
          <w:szCs w:val="22"/>
          <w:lang w:val="es-MX"/>
        </w:rPr>
        <w:t xml:space="preserve">Sujeto Obligado, </w:t>
      </w:r>
      <w:r w:rsidRPr="005C3A9D">
        <w:rPr>
          <w:rFonts w:ascii="Palatino Linotype" w:hAnsi="Palatino Linotype" w:cs="Tahoma"/>
          <w:bCs/>
          <w:iCs/>
          <w:sz w:val="22"/>
          <w:szCs w:val="22"/>
          <w:lang w:val="es-MX"/>
        </w:rPr>
        <w:t>en contraposición con el motivo de inconformidad alegado por la parte</w:t>
      </w:r>
      <w:r w:rsidRPr="005C3A9D">
        <w:rPr>
          <w:rFonts w:ascii="Palatino Linotype" w:hAnsi="Palatino Linotype" w:cs="Tahoma"/>
          <w:b/>
          <w:bCs/>
          <w:iCs/>
          <w:sz w:val="22"/>
          <w:szCs w:val="22"/>
          <w:lang w:val="es-MX"/>
        </w:rPr>
        <w:t xml:space="preserve"> Recurrente, </w:t>
      </w:r>
      <w:r w:rsidRPr="005C3A9D">
        <w:rPr>
          <w:rFonts w:ascii="Palatino Linotype" w:hAnsi="Palatino Linotype" w:cs="Tahoma"/>
          <w:bCs/>
          <w:iCs/>
          <w:sz w:val="22"/>
          <w:szCs w:val="22"/>
          <w:lang w:val="es-MX"/>
        </w:rPr>
        <w:t xml:space="preserve">con la finalidad de determinar si su derecho de acceso se satisfizo o en su defecto ordenar las documentales correspondientes, en caso de ser procedente. </w:t>
      </w:r>
    </w:p>
    <w:p w14:paraId="705954B5" w14:textId="77777777" w:rsidR="002E4FA2" w:rsidRPr="005C3A9D" w:rsidRDefault="002E4FA2" w:rsidP="00AC2786">
      <w:pPr>
        <w:spacing w:line="360" w:lineRule="auto"/>
        <w:jc w:val="both"/>
        <w:rPr>
          <w:rFonts w:ascii="Palatino Linotype" w:hAnsi="Palatino Linotype" w:cs="Tahoma"/>
          <w:bCs/>
          <w:iCs/>
          <w:sz w:val="22"/>
          <w:szCs w:val="22"/>
          <w:lang w:val="es-MX"/>
        </w:rPr>
      </w:pPr>
    </w:p>
    <w:p w14:paraId="5820A29B" w14:textId="58A2A1D8" w:rsidR="009D1871" w:rsidRPr="005C3A9D" w:rsidRDefault="00AB4BDB" w:rsidP="00AC2786">
      <w:pPr>
        <w:spacing w:line="360" w:lineRule="auto"/>
        <w:jc w:val="both"/>
        <w:rPr>
          <w:rFonts w:ascii="Palatino Linotype" w:eastAsia="Palatino Linotype" w:hAnsi="Palatino Linotype" w:cs="Palatino Linotype"/>
          <w:sz w:val="22"/>
          <w:szCs w:val="22"/>
        </w:rPr>
      </w:pPr>
      <w:r w:rsidRPr="005C3A9D">
        <w:rPr>
          <w:rFonts w:ascii="Palatino Linotype" w:hAnsi="Palatino Linotype" w:cs="Tahoma"/>
          <w:bCs/>
          <w:iCs/>
          <w:sz w:val="22"/>
          <w:szCs w:val="22"/>
        </w:rPr>
        <w:t>Sobre el tema</w:t>
      </w:r>
      <w:r w:rsidR="00BF1264" w:rsidRPr="005C3A9D">
        <w:rPr>
          <w:rFonts w:ascii="Palatino Linotype" w:hAnsi="Palatino Linotype" w:cs="Tahoma"/>
          <w:bCs/>
          <w:iCs/>
          <w:sz w:val="22"/>
          <w:szCs w:val="22"/>
        </w:rPr>
        <w:t xml:space="preserve"> y derivado de la naturaleza de la información solicitada es necesario traer a contexto lo que dispone el </w:t>
      </w:r>
      <w:r w:rsidR="009D1871" w:rsidRPr="005C3A9D">
        <w:rPr>
          <w:rFonts w:ascii="Palatino Linotype" w:eastAsia="Palatino Linotype" w:hAnsi="Palatino Linotype" w:cs="Palatino Linotype"/>
          <w:sz w:val="22"/>
          <w:szCs w:val="22"/>
        </w:rPr>
        <w:t xml:space="preserve">artículo 31, fracciones XXIV </w:t>
      </w:r>
      <w:proofErr w:type="spellStart"/>
      <w:r w:rsidR="009D1871" w:rsidRPr="005C3A9D">
        <w:rPr>
          <w:rFonts w:ascii="Palatino Linotype" w:eastAsia="Palatino Linotype" w:hAnsi="Palatino Linotype" w:cs="Palatino Linotype"/>
          <w:sz w:val="22"/>
          <w:szCs w:val="22"/>
        </w:rPr>
        <w:t>Quáter</w:t>
      </w:r>
      <w:proofErr w:type="spellEnd"/>
      <w:r w:rsidR="009D1871" w:rsidRPr="005C3A9D">
        <w:rPr>
          <w:rFonts w:ascii="Palatino Linotype" w:eastAsia="Palatino Linotype" w:hAnsi="Palatino Linotype" w:cs="Palatino Linotype"/>
          <w:sz w:val="22"/>
          <w:szCs w:val="22"/>
        </w:rPr>
        <w:t xml:space="preserve"> y XLIV, de la Ley Orgánica Municipal del Estado de México, la cual establece lo siguiente:</w:t>
      </w:r>
    </w:p>
    <w:p w14:paraId="72A5560F" w14:textId="77777777" w:rsidR="00AC2786" w:rsidRPr="005C3A9D" w:rsidRDefault="00AC2786" w:rsidP="00AC2786">
      <w:pPr>
        <w:spacing w:line="276" w:lineRule="auto"/>
        <w:ind w:left="851" w:right="616"/>
        <w:jc w:val="both"/>
        <w:rPr>
          <w:rFonts w:ascii="Palatino Linotype" w:eastAsia="Palatino Linotype" w:hAnsi="Palatino Linotype" w:cs="Palatino Linotype"/>
          <w:i/>
          <w:sz w:val="22"/>
          <w:szCs w:val="22"/>
        </w:rPr>
      </w:pPr>
    </w:p>
    <w:p w14:paraId="770AFAE2" w14:textId="72CE627D" w:rsidR="009D1871" w:rsidRPr="005C3A9D" w:rsidRDefault="009D1871"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Artículo 31.- Son atribuciones de los ayuntamientos:</w:t>
      </w:r>
    </w:p>
    <w:p w14:paraId="7B47A37D" w14:textId="77777777" w:rsidR="009D1871" w:rsidRPr="005C3A9D" w:rsidRDefault="009D1871"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0657E820" w14:textId="77777777" w:rsidR="009D1871" w:rsidRPr="005C3A9D" w:rsidRDefault="009D1871" w:rsidP="00AC2786">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u w:val="single"/>
        </w:rPr>
        <w:t xml:space="preserve">XXIV </w:t>
      </w:r>
      <w:proofErr w:type="spellStart"/>
      <w:r w:rsidRPr="005C3A9D">
        <w:rPr>
          <w:rFonts w:ascii="Palatino Linotype" w:eastAsia="Palatino Linotype" w:hAnsi="Palatino Linotype" w:cs="Palatino Linotype"/>
          <w:b/>
          <w:i/>
          <w:sz w:val="22"/>
          <w:szCs w:val="22"/>
          <w:u w:val="single"/>
        </w:rPr>
        <w:t>Quáter</w:t>
      </w:r>
      <w:proofErr w:type="spellEnd"/>
      <w:r w:rsidRPr="005C3A9D">
        <w:rPr>
          <w:rFonts w:ascii="Palatino Linotype" w:eastAsia="Palatino Linotype" w:hAnsi="Palatino Linotype" w:cs="Palatino Linotype"/>
          <w:b/>
          <w:i/>
          <w:sz w:val="22"/>
          <w:szCs w:val="22"/>
          <w:u w:val="single"/>
        </w:rPr>
        <w:t>. Otorgar</w:t>
      </w:r>
      <w:r w:rsidRPr="005C3A9D">
        <w:rPr>
          <w:rFonts w:ascii="Palatino Linotype" w:eastAsia="Palatino Linotype" w:hAnsi="Palatino Linotype" w:cs="Palatino Linotype"/>
          <w:i/>
          <w:sz w:val="22"/>
          <w:szCs w:val="22"/>
        </w:rPr>
        <w:t xml:space="preserve"> licencias de construcción y </w:t>
      </w:r>
      <w:r w:rsidRPr="005C3A9D">
        <w:rPr>
          <w:rFonts w:ascii="Palatino Linotype" w:eastAsia="Palatino Linotype" w:hAnsi="Palatino Linotype" w:cs="Palatino Linotype"/>
          <w:b/>
          <w:i/>
          <w:sz w:val="22"/>
          <w:szCs w:val="22"/>
          <w:u w:val="single"/>
        </w:rPr>
        <w:t>permisos de funcionamiento de unidades económicas</w:t>
      </w:r>
      <w:r w:rsidRPr="005C3A9D">
        <w:rPr>
          <w:rFonts w:ascii="Palatino Linotype" w:eastAsia="Palatino Linotype" w:hAnsi="Palatino Linotype" w:cs="Palatino Linotype"/>
          <w:i/>
          <w:sz w:val="22"/>
          <w:szCs w:val="22"/>
        </w:rPr>
        <w:t xml:space="preserve"> o establecimientos destinados a la enajenación, reparación o mantenimiento de vehículos automotores usados y autopartes nuevas y usadas, así como de parques y desarrollos industriales, urbanos y de servicios de conformidad con la Evaluación de Impacto Estatal.</w:t>
      </w:r>
    </w:p>
    <w:p w14:paraId="7570D4E2"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Para los efectos de la presente fracción, la licencia o permiso correspondiente se expedirá en un plazo no mayor a diez días hábiles contados a partir de la presentación del Dictamen de Giro aprobado.</w:t>
      </w:r>
    </w:p>
    <w:p w14:paraId="04A3EA53"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Tratándose de obras, unidades económicas, inversiones o proyectos que requieran Evaluación de Impacto Estatal la licencia o permiso correspondiente deberá otorgarse, en un plazo no mayor a veinte días hábiles, contados a partir de que le sea presentada la Evaluación de Impacto Estatal correspondiente, y cuando el solicitante presente el acuerdo de aceptación a la solicitud de Evaluación de Impacto Estatal.</w:t>
      </w:r>
    </w:p>
    <w:p w14:paraId="1F612E52"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6E3AD428"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b/>
          <w:i/>
          <w:sz w:val="22"/>
          <w:szCs w:val="22"/>
          <w:u w:val="single"/>
        </w:rPr>
      </w:pPr>
      <w:r w:rsidRPr="005C3A9D">
        <w:rPr>
          <w:rFonts w:ascii="Palatino Linotype" w:eastAsia="Palatino Linotype" w:hAnsi="Palatino Linotype" w:cs="Palatino Linotype"/>
          <w:b/>
          <w:i/>
          <w:sz w:val="22"/>
          <w:szCs w:val="22"/>
          <w:u w:val="single"/>
        </w:rPr>
        <w:lastRenderedPageBreak/>
        <w:t>XLIV. Crear el Registro Municipal de Unidades Económicas, donde se especifique la licencia de funcionamiento con la actividad de la unidad económica e impacto que generen, así como las demás características que se determinen;</w:t>
      </w:r>
    </w:p>
    <w:p w14:paraId="61E9F099"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b/>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 xml:space="preserve"> </w:t>
      </w:r>
    </w:p>
    <w:p w14:paraId="66C01757"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b/>
          <w:i/>
          <w:sz w:val="22"/>
          <w:szCs w:val="22"/>
        </w:rPr>
      </w:pPr>
      <w:r w:rsidRPr="005C3A9D">
        <w:rPr>
          <w:rFonts w:ascii="Palatino Linotype" w:eastAsia="Palatino Linotype" w:hAnsi="Palatino Linotype" w:cs="Palatino Linotype"/>
          <w:b/>
          <w:i/>
          <w:sz w:val="22"/>
          <w:szCs w:val="22"/>
        </w:rPr>
        <w:t>XLVI. Promover la ejecución municipal de programas de dignificación, calidad y mejora permanente del servicio público de los mercados, así como del comercio semifijo, con el objeto de impulsar su rentabilidad y desarrollo digno en beneficio de las y los habitantes del Municipio, y (…)”</w:t>
      </w:r>
    </w:p>
    <w:p w14:paraId="724C44D0" w14:textId="77777777" w:rsidR="009D1871" w:rsidRPr="005C3A9D" w:rsidRDefault="009D1871" w:rsidP="00AC2786">
      <w:pPr>
        <w:tabs>
          <w:tab w:val="left" w:pos="7938"/>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(Énfasis añadido)</w:t>
      </w:r>
    </w:p>
    <w:p w14:paraId="0BE0F84E" w14:textId="77777777" w:rsidR="00BF1264" w:rsidRPr="005C3A9D" w:rsidRDefault="00BF1264" w:rsidP="00AC2786">
      <w:pPr>
        <w:tabs>
          <w:tab w:val="left" w:pos="7938"/>
        </w:tabs>
        <w:spacing w:line="276" w:lineRule="auto"/>
        <w:ind w:right="900"/>
        <w:jc w:val="both"/>
        <w:rPr>
          <w:rFonts w:ascii="Palatino Linotype" w:eastAsia="Palatino Linotype" w:hAnsi="Palatino Linotype" w:cs="Palatino Linotype"/>
          <w:sz w:val="22"/>
          <w:szCs w:val="22"/>
        </w:rPr>
      </w:pPr>
    </w:p>
    <w:p w14:paraId="72F8C217" w14:textId="05E3B69A" w:rsidR="009D1871" w:rsidRPr="005C3A9D" w:rsidRDefault="009D1871" w:rsidP="00AC2786">
      <w:pPr>
        <w:tabs>
          <w:tab w:val="left" w:pos="7938"/>
        </w:tabs>
        <w:spacing w:line="276" w:lineRule="auto"/>
        <w:ind w:right="90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De lo anteriormente citado, se colige lo siguiente:</w:t>
      </w:r>
    </w:p>
    <w:p w14:paraId="4C3AE72A" w14:textId="77777777" w:rsidR="009D1871" w:rsidRPr="005C3A9D" w:rsidRDefault="009D1871" w:rsidP="00AC2786">
      <w:pPr>
        <w:tabs>
          <w:tab w:val="left" w:pos="7938"/>
        </w:tabs>
        <w:spacing w:line="276" w:lineRule="auto"/>
        <w:ind w:right="900"/>
        <w:jc w:val="both"/>
        <w:rPr>
          <w:rFonts w:ascii="Palatino Linotype" w:eastAsia="Palatino Linotype" w:hAnsi="Palatino Linotype" w:cs="Palatino Linotype"/>
          <w:sz w:val="22"/>
          <w:szCs w:val="22"/>
        </w:rPr>
      </w:pPr>
    </w:p>
    <w:p w14:paraId="0AC30503" w14:textId="046E6128" w:rsidR="009D1871" w:rsidRPr="005C3A9D" w:rsidRDefault="009D1871" w:rsidP="00AC2786">
      <w:pPr>
        <w:numPr>
          <w:ilvl w:val="0"/>
          <w:numId w:val="32"/>
        </w:numPr>
        <w:pBdr>
          <w:top w:val="nil"/>
          <w:left w:val="nil"/>
          <w:bottom w:val="nil"/>
          <w:right w:val="nil"/>
          <w:between w:val="nil"/>
        </w:pBdr>
        <w:tabs>
          <w:tab w:val="left" w:pos="7938"/>
        </w:tabs>
        <w:spacing w:line="360" w:lineRule="auto"/>
        <w:ind w:right="-7"/>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Los Ayuntamientos, entre los que se encuentra el de C</w:t>
      </w:r>
      <w:r w:rsidR="00BF1264" w:rsidRPr="005C3A9D">
        <w:rPr>
          <w:rFonts w:ascii="Palatino Linotype" w:eastAsia="Palatino Linotype" w:hAnsi="Palatino Linotype" w:cs="Palatino Linotype"/>
          <w:sz w:val="22"/>
          <w:szCs w:val="22"/>
        </w:rPr>
        <w:t>hiconcuac</w:t>
      </w:r>
      <w:r w:rsidRPr="005C3A9D">
        <w:rPr>
          <w:rFonts w:ascii="Palatino Linotype" w:eastAsia="Palatino Linotype" w:hAnsi="Palatino Linotype" w:cs="Palatino Linotype"/>
          <w:sz w:val="22"/>
          <w:szCs w:val="22"/>
        </w:rPr>
        <w:t xml:space="preserve">, son los encargados de otorgar licencias o permisos para el funcionamiento de unidades económicas; así como, de crear el Registro Municipal de Unidades Económicas, donde se especifique el permiso de funcionamiento y las características que se determinen convenientes. </w:t>
      </w:r>
    </w:p>
    <w:p w14:paraId="76A3F3E4" w14:textId="77777777" w:rsidR="009D1871" w:rsidRPr="005C3A9D" w:rsidRDefault="009D1871" w:rsidP="00AC2786">
      <w:pPr>
        <w:pBdr>
          <w:top w:val="nil"/>
          <w:left w:val="nil"/>
          <w:bottom w:val="nil"/>
          <w:right w:val="nil"/>
          <w:between w:val="nil"/>
        </w:pBdr>
        <w:tabs>
          <w:tab w:val="left" w:pos="7938"/>
        </w:tabs>
        <w:spacing w:line="360" w:lineRule="auto"/>
        <w:ind w:left="360" w:right="-7"/>
        <w:jc w:val="both"/>
        <w:rPr>
          <w:rFonts w:ascii="Palatino Linotype" w:eastAsia="Palatino Linotype" w:hAnsi="Palatino Linotype" w:cs="Palatino Linotype"/>
          <w:sz w:val="22"/>
          <w:szCs w:val="22"/>
        </w:rPr>
      </w:pPr>
    </w:p>
    <w:p w14:paraId="0AD06DB0" w14:textId="77777777" w:rsidR="009D1871" w:rsidRPr="005C3A9D" w:rsidRDefault="009D1871" w:rsidP="00AC2786">
      <w:pPr>
        <w:numPr>
          <w:ilvl w:val="0"/>
          <w:numId w:val="32"/>
        </w:numPr>
        <w:pBdr>
          <w:top w:val="nil"/>
          <w:left w:val="nil"/>
          <w:bottom w:val="nil"/>
          <w:right w:val="nil"/>
          <w:between w:val="nil"/>
        </w:pBdr>
        <w:tabs>
          <w:tab w:val="left" w:pos="7938"/>
        </w:tabs>
        <w:spacing w:line="360" w:lineRule="auto"/>
        <w:ind w:right="-7"/>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sz w:val="22"/>
          <w:szCs w:val="22"/>
        </w:rPr>
        <w:t>Asimismo, se establece que es una facultad de los Ayuntamientos, promover la ejecución municipal de programas de dignificación, calidad y mejora permanente del servicio público</w:t>
      </w:r>
      <w:r w:rsidRPr="005C3A9D">
        <w:rPr>
          <w:rFonts w:ascii="Palatino Linotype" w:hAnsi="Palatino Linotype"/>
          <w:sz w:val="22"/>
          <w:szCs w:val="22"/>
        </w:rPr>
        <w:t xml:space="preserve"> </w:t>
      </w:r>
      <w:r w:rsidRPr="005C3A9D">
        <w:rPr>
          <w:rFonts w:ascii="Palatino Linotype" w:eastAsia="Palatino Linotype" w:hAnsi="Palatino Linotype" w:cs="Palatino Linotype"/>
          <w:sz w:val="22"/>
          <w:szCs w:val="22"/>
        </w:rPr>
        <w:t xml:space="preserve">de los mercados, </w:t>
      </w:r>
      <w:r w:rsidRPr="005C3A9D">
        <w:rPr>
          <w:rFonts w:ascii="Palatino Linotype" w:eastAsia="Palatino Linotype" w:hAnsi="Palatino Linotype" w:cs="Palatino Linotype"/>
          <w:b/>
          <w:sz w:val="22"/>
          <w:szCs w:val="22"/>
        </w:rPr>
        <w:t>así como del comercio semifijo, con el objeto de impulsar su rentabilidad y desarrollo digno en beneficio de las y los habitantes del Municipio.</w:t>
      </w:r>
    </w:p>
    <w:p w14:paraId="790CB627" w14:textId="77777777" w:rsidR="009D1871" w:rsidRPr="005C3A9D" w:rsidRDefault="009D1871" w:rsidP="00AC2786">
      <w:pPr>
        <w:pBdr>
          <w:top w:val="nil"/>
          <w:left w:val="nil"/>
          <w:bottom w:val="nil"/>
          <w:right w:val="nil"/>
          <w:between w:val="nil"/>
        </w:pBdr>
        <w:ind w:left="720"/>
        <w:rPr>
          <w:rFonts w:ascii="Palatino Linotype" w:eastAsia="Palatino Linotype" w:hAnsi="Palatino Linotype" w:cs="Palatino Linotype"/>
          <w:sz w:val="22"/>
          <w:szCs w:val="22"/>
        </w:rPr>
      </w:pPr>
    </w:p>
    <w:p w14:paraId="77B4DF5D"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Para lograr lo anterior, los Ayuntamientos contarán con un Director de Desarrollo Económico o equivalente que impulsa la simplificación de trámites y reducción de plazos para el otorgamiento de permisos, licencias y autorizaciones del orden municipal, de conformidad con la Ley para la Mejora Regulatoria del Estado de México y Municipios, la Ley de Competitividad y Ordenamiento Comercial del Estado de México, la Ley de Fomento Económico del Estado de México, sus respectivos reglamentos y demás </w:t>
      </w:r>
      <w:r w:rsidRPr="005C3A9D">
        <w:rPr>
          <w:rFonts w:ascii="Palatino Linotype" w:eastAsia="Palatino Linotype" w:hAnsi="Palatino Linotype" w:cs="Palatino Linotype"/>
          <w:sz w:val="22"/>
          <w:szCs w:val="22"/>
        </w:rPr>
        <w:lastRenderedPageBreak/>
        <w:t xml:space="preserve">disposiciones jurídicas aplicables; </w:t>
      </w:r>
      <w:r w:rsidRPr="005C3A9D">
        <w:rPr>
          <w:rFonts w:ascii="Palatino Linotype" w:eastAsia="Palatino Linotype" w:hAnsi="Palatino Linotype" w:cs="Palatino Linotype"/>
          <w:b/>
          <w:sz w:val="22"/>
          <w:szCs w:val="22"/>
        </w:rPr>
        <w:t>así como, de operar y actualizar el Registro Municipal de Unidades Económicas de los permisos o licencias de funcionamiento otorgadas</w:t>
      </w:r>
      <w:r w:rsidRPr="005C3A9D">
        <w:rPr>
          <w:rFonts w:ascii="Palatino Linotype" w:eastAsia="Palatino Linotype" w:hAnsi="Palatino Linotype" w:cs="Palatino Linotype"/>
          <w:sz w:val="22"/>
          <w:szCs w:val="22"/>
        </w:rPr>
        <w:t xml:space="preserve">, de conformidad con el artículo 96 </w:t>
      </w:r>
      <w:proofErr w:type="spellStart"/>
      <w:r w:rsidRPr="005C3A9D">
        <w:rPr>
          <w:rFonts w:ascii="Palatino Linotype" w:eastAsia="Palatino Linotype" w:hAnsi="Palatino Linotype" w:cs="Palatino Linotype"/>
          <w:sz w:val="22"/>
          <w:szCs w:val="22"/>
        </w:rPr>
        <w:t>Quáter</w:t>
      </w:r>
      <w:proofErr w:type="spellEnd"/>
      <w:r w:rsidRPr="005C3A9D">
        <w:rPr>
          <w:rFonts w:ascii="Palatino Linotype" w:eastAsia="Palatino Linotype" w:hAnsi="Palatino Linotype" w:cs="Palatino Linotype"/>
          <w:sz w:val="22"/>
          <w:szCs w:val="22"/>
        </w:rPr>
        <w:t xml:space="preserve"> de la Ley Orgánica Municipal del Estado de México.</w:t>
      </w:r>
    </w:p>
    <w:p w14:paraId="70E9F3E2"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p>
    <w:p w14:paraId="5A3E241B" w14:textId="4215D9D2"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Particularmente en cuanto a los permisos de funcionamiento, los artículos 2, fracciones XIX, XX y XXXVIII, así como el 16, fracción I, de la Ley de Competitividad y Ordenamiento Comercial del Estado de México, disponen que </w:t>
      </w:r>
      <w:r w:rsidR="00AC2786" w:rsidRPr="005C3A9D">
        <w:rPr>
          <w:rFonts w:ascii="Palatino Linotype" w:eastAsia="Palatino Linotype" w:hAnsi="Palatino Linotype" w:cs="Palatino Linotype"/>
          <w:sz w:val="22"/>
          <w:szCs w:val="22"/>
        </w:rPr>
        <w:t xml:space="preserve">la licencia </w:t>
      </w:r>
      <w:r w:rsidRPr="005C3A9D">
        <w:rPr>
          <w:rFonts w:ascii="Palatino Linotype" w:eastAsia="Palatino Linotype" w:hAnsi="Palatino Linotype" w:cs="Palatino Linotype"/>
          <w:sz w:val="22"/>
          <w:szCs w:val="22"/>
        </w:rPr>
        <w:t xml:space="preserve">o el permiso para colocar enseres, consiste en el acto administrativo expedido por la autoridad al solicitante para que pueda ocupar y/o colocar en la vía pública, enseres o instalaciones de la unidad económica en donde se desarrollen actividades relativas a la intermediación, compraventa, arrendamiento, distribución de bienes o prestación de servicios comerciales; mismo que es gestionado en la ventanilla única del Municipio. </w:t>
      </w:r>
    </w:p>
    <w:p w14:paraId="1CFBF528"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p>
    <w:p w14:paraId="08F8AEBD"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Adicional a lo anterior, de una interpretación sistemática y armónica de los artículos 27, fracción I y 29 de la Ley de Competitividad y Ordenamiento Comercial del Estado de México, se desprende que el permiso para la colocación en vía pública de los enseres o instalaciones que no se encuentran sujetos o fijos a la vía pública, tendrá vigencia de un año y podrá ser revalidado por períodos iguales, con la sola manifestación que el titular ingrese al Sistema que las condiciones no han variado y el pago de derechos que establezca el Código Financiero; y en caso de vencimiento del permiso el titular estará obligado a retirar los enseres o instalaciones por su propia cuenta.</w:t>
      </w:r>
    </w:p>
    <w:p w14:paraId="47544CC5"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p>
    <w:p w14:paraId="0811FFAE"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ese contexto, la operación de la Ventanilla Única y la expedición de las licencias o permisos de funcionamiento, le corresponde a los Ayuntamientos, al coordinar la gestión de trámites para la recepción, integración y verificación de los expedientes que presentan los particulares; por tales circunstancias, cada Municipio deberá apegarse a las </w:t>
      </w:r>
      <w:r w:rsidRPr="005C3A9D">
        <w:rPr>
          <w:rFonts w:ascii="Palatino Linotype" w:eastAsia="Palatino Linotype" w:hAnsi="Palatino Linotype" w:cs="Palatino Linotype"/>
          <w:sz w:val="22"/>
          <w:szCs w:val="22"/>
        </w:rPr>
        <w:lastRenderedPageBreak/>
        <w:t>disposiciones legales que emita, ello conforme a los artículos 16 y 22, fracción I, del Reglamento de la Ley de Competitividad y Ordenamiento Comercial del Estado de México.</w:t>
      </w:r>
    </w:p>
    <w:p w14:paraId="358A6F15" w14:textId="77777777" w:rsidR="009D1871" w:rsidRPr="005C3A9D" w:rsidRDefault="009D1871" w:rsidP="00AC2786">
      <w:pPr>
        <w:tabs>
          <w:tab w:val="left" w:pos="7371"/>
        </w:tabs>
        <w:spacing w:line="360" w:lineRule="auto"/>
        <w:ind w:right="49"/>
        <w:jc w:val="both"/>
        <w:rPr>
          <w:rFonts w:ascii="Palatino Linotype" w:eastAsia="Palatino Linotype" w:hAnsi="Palatino Linotype" w:cs="Palatino Linotype"/>
          <w:sz w:val="22"/>
          <w:szCs w:val="22"/>
        </w:rPr>
      </w:pPr>
    </w:p>
    <w:p w14:paraId="204B199F" w14:textId="77777777" w:rsidR="00BC4BBE" w:rsidRPr="005C3A9D" w:rsidRDefault="00BC4BBE" w:rsidP="00AC2786">
      <w:pPr>
        <w:tabs>
          <w:tab w:val="left" w:pos="7371"/>
        </w:tabs>
        <w:spacing w:line="360" w:lineRule="auto"/>
        <w:ind w:right="49"/>
        <w:jc w:val="both"/>
        <w:rPr>
          <w:rFonts w:ascii="Palatino Linotype" w:eastAsia="Palatino Linotype" w:hAnsi="Palatino Linotype" w:cs="Palatino Linotype"/>
          <w:sz w:val="22"/>
          <w:szCs w:val="22"/>
          <w:lang w:val="es-MX"/>
        </w:rPr>
      </w:pPr>
      <w:r w:rsidRPr="005C3A9D">
        <w:rPr>
          <w:rFonts w:ascii="Palatino Linotype" w:eastAsia="Palatino Linotype" w:hAnsi="Palatino Linotype" w:cs="Palatino Linotype"/>
          <w:sz w:val="22"/>
          <w:szCs w:val="22"/>
          <w:lang w:val="es-MX"/>
        </w:rPr>
        <w:t xml:space="preserve">Además, los artículos 10 y 11 de la </w:t>
      </w:r>
      <w:r w:rsidRPr="005C3A9D">
        <w:rPr>
          <w:rFonts w:ascii="Palatino Linotype" w:eastAsia="Palatino Linotype" w:hAnsi="Palatino Linotype" w:cs="Palatino Linotype"/>
          <w:iCs/>
          <w:sz w:val="22"/>
          <w:szCs w:val="22"/>
        </w:rPr>
        <w:t>Ley de Competitividad y Ordenamiento Comercial del Estado de México</w:t>
      </w:r>
      <w:r w:rsidRPr="005C3A9D">
        <w:rPr>
          <w:rFonts w:ascii="Palatino Linotype" w:eastAsia="Palatino Linotype" w:hAnsi="Palatino Linotype" w:cs="Palatino Linotype"/>
          <w:sz w:val="22"/>
          <w:szCs w:val="22"/>
          <w:lang w:val="es-MX"/>
        </w:rPr>
        <w:t xml:space="preserve">, mencionan que los registros tienen como finalidad crear una base de datos confiable, actualizada e integrada a nivel municipal de las unidades económicas que se apertura en el territorio, e incluirá al menos los datos siguientes: </w:t>
      </w:r>
    </w:p>
    <w:p w14:paraId="7C229A5C" w14:textId="77777777" w:rsidR="00BC4BBE" w:rsidRPr="005C3A9D" w:rsidRDefault="00BC4BBE" w:rsidP="00AC2786">
      <w:pPr>
        <w:tabs>
          <w:tab w:val="left" w:pos="7371"/>
        </w:tabs>
        <w:spacing w:line="360" w:lineRule="auto"/>
        <w:ind w:right="49"/>
        <w:jc w:val="both"/>
        <w:rPr>
          <w:rFonts w:ascii="Palatino Linotype" w:eastAsia="Palatino Linotype" w:hAnsi="Palatino Linotype" w:cs="Palatino Linotype"/>
          <w:b/>
          <w:bCs/>
          <w:sz w:val="22"/>
          <w:szCs w:val="22"/>
          <w:lang w:val="es-MX"/>
        </w:rPr>
      </w:pPr>
    </w:p>
    <w:p w14:paraId="5688C510"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Clave única, que se integrará de una serie alfanumérica. </w:t>
      </w:r>
    </w:p>
    <w:p w14:paraId="57FCEA93"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Nombre del municipio. </w:t>
      </w:r>
    </w:p>
    <w:p w14:paraId="1CBFFB98"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Nombre del titular.</w:t>
      </w:r>
    </w:p>
    <w:p w14:paraId="0C23C92B"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Actividad económica. </w:t>
      </w:r>
    </w:p>
    <w:p w14:paraId="53E92D05"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Fecha de inicio de actividades. </w:t>
      </w:r>
    </w:p>
    <w:p w14:paraId="3370EDB6"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Tipo de impacto. </w:t>
      </w:r>
    </w:p>
    <w:p w14:paraId="0E5C313E"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Domicilio de la unidad económica. </w:t>
      </w:r>
    </w:p>
    <w:p w14:paraId="01D9CE00"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Visitas y procedimientos de verificación en su caso. </w:t>
      </w:r>
    </w:p>
    <w:p w14:paraId="1BC08B80" w14:textId="77777777" w:rsidR="00BC4BBE" w:rsidRPr="005C3A9D" w:rsidRDefault="00BC4BBE" w:rsidP="00AC2786">
      <w:pPr>
        <w:numPr>
          <w:ilvl w:val="0"/>
          <w:numId w:val="34"/>
        </w:numPr>
        <w:tabs>
          <w:tab w:val="left" w:pos="7371"/>
        </w:tabs>
        <w:spacing w:line="360" w:lineRule="auto"/>
        <w:ind w:right="49"/>
        <w:jc w:val="both"/>
        <w:rPr>
          <w:rFonts w:ascii="Palatino Linotype" w:eastAsia="Palatino Linotype" w:hAnsi="Palatino Linotype" w:cs="Palatino Linotype"/>
          <w:bCs/>
          <w:sz w:val="22"/>
          <w:szCs w:val="22"/>
          <w:lang w:val="es-MX"/>
        </w:rPr>
      </w:pPr>
      <w:r w:rsidRPr="005C3A9D">
        <w:rPr>
          <w:rFonts w:ascii="Palatino Linotype" w:eastAsia="Palatino Linotype" w:hAnsi="Palatino Linotype" w:cs="Palatino Linotype"/>
          <w:bCs/>
          <w:sz w:val="22"/>
          <w:szCs w:val="22"/>
          <w:lang w:val="es-MX"/>
        </w:rPr>
        <w:t xml:space="preserve">Sanciones en su caso. </w:t>
      </w:r>
    </w:p>
    <w:p w14:paraId="44B47B81" w14:textId="77777777" w:rsidR="00BC4BBE" w:rsidRPr="005C3A9D" w:rsidRDefault="00BC4BBE" w:rsidP="00AC2786">
      <w:pPr>
        <w:tabs>
          <w:tab w:val="left" w:pos="7371"/>
        </w:tabs>
        <w:spacing w:line="360" w:lineRule="auto"/>
        <w:ind w:right="49"/>
        <w:jc w:val="both"/>
        <w:rPr>
          <w:rFonts w:ascii="Palatino Linotype" w:eastAsia="Palatino Linotype" w:hAnsi="Palatino Linotype" w:cs="Palatino Linotype"/>
          <w:bCs/>
          <w:sz w:val="22"/>
          <w:szCs w:val="22"/>
          <w:lang w:val="es-MX"/>
        </w:rPr>
      </w:pPr>
    </w:p>
    <w:p w14:paraId="0DE2111E" w14:textId="1E48DC41" w:rsidR="00E8055B" w:rsidRPr="005C3A9D" w:rsidRDefault="009D1871"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Conforme a lo anterior, se logra vislumbrar que la información que requiere </w:t>
      </w:r>
      <w:r w:rsidR="00BC4BBE" w:rsidRPr="005C3A9D">
        <w:rPr>
          <w:rFonts w:ascii="Palatino Linotype" w:eastAsia="Palatino Linotype" w:hAnsi="Palatino Linotype" w:cs="Palatino Linotype"/>
          <w:sz w:val="22"/>
          <w:szCs w:val="22"/>
        </w:rPr>
        <w:t xml:space="preserve">conocer </w:t>
      </w:r>
      <w:r w:rsidRPr="005C3A9D">
        <w:rPr>
          <w:rFonts w:ascii="Palatino Linotype" w:eastAsia="Palatino Linotype" w:hAnsi="Palatino Linotype" w:cs="Palatino Linotype"/>
          <w:sz w:val="22"/>
          <w:szCs w:val="22"/>
        </w:rPr>
        <w:t xml:space="preserve">la parte </w:t>
      </w:r>
      <w:r w:rsidRPr="005C3A9D">
        <w:rPr>
          <w:rFonts w:ascii="Palatino Linotype" w:eastAsia="Palatino Linotype" w:hAnsi="Palatino Linotype" w:cs="Palatino Linotype"/>
          <w:b/>
          <w:sz w:val="22"/>
          <w:szCs w:val="22"/>
        </w:rPr>
        <w:t>Recurrente</w:t>
      </w:r>
      <w:r w:rsidRPr="005C3A9D">
        <w:rPr>
          <w:rFonts w:ascii="Palatino Linotype" w:eastAsia="Palatino Linotype" w:hAnsi="Palatino Linotype" w:cs="Palatino Linotype"/>
          <w:sz w:val="22"/>
          <w:szCs w:val="22"/>
        </w:rPr>
        <w:t xml:space="preserve">, puede ser satisfecha con </w:t>
      </w:r>
      <w:r w:rsidR="00BC4BBE" w:rsidRPr="005C3A9D">
        <w:rPr>
          <w:rFonts w:ascii="Palatino Linotype" w:eastAsia="Palatino Linotype" w:hAnsi="Palatino Linotype" w:cs="Palatino Linotype"/>
          <w:sz w:val="22"/>
          <w:szCs w:val="22"/>
        </w:rPr>
        <w:t xml:space="preserve">el Registro Municipal de Unidades Económicas que crea el ayuntamiento, pues de este se puede advertir el número de permisos o licencias de funcionamiento autorizadas </w:t>
      </w:r>
      <w:r w:rsidR="00E8055B" w:rsidRPr="005C3A9D">
        <w:rPr>
          <w:rFonts w:ascii="Palatino Linotype" w:eastAsia="Palatino Linotype" w:hAnsi="Palatino Linotype" w:cs="Palatino Linotype"/>
          <w:sz w:val="22"/>
          <w:szCs w:val="22"/>
        </w:rPr>
        <w:t xml:space="preserve">por el Ayuntamiento de Chiconcuac </w:t>
      </w:r>
      <w:r w:rsidR="00BC4BBE" w:rsidRPr="005C3A9D">
        <w:rPr>
          <w:rFonts w:ascii="Palatino Linotype" w:eastAsia="Palatino Linotype" w:hAnsi="Palatino Linotype" w:cs="Palatino Linotype"/>
          <w:sz w:val="22"/>
          <w:szCs w:val="22"/>
        </w:rPr>
        <w:t xml:space="preserve">para el ejercicio del comercio y/o actividades comerciales en puestos semifijos, en la vía o área pública </w:t>
      </w:r>
      <w:r w:rsidR="00E8055B" w:rsidRPr="005C3A9D">
        <w:rPr>
          <w:rFonts w:ascii="Palatino Linotype" w:eastAsia="Palatino Linotype" w:hAnsi="Palatino Linotype" w:cs="Palatino Linotype"/>
          <w:sz w:val="22"/>
          <w:szCs w:val="22"/>
        </w:rPr>
        <w:t xml:space="preserve">al mes de octubre de dos mil veinticinco. </w:t>
      </w:r>
    </w:p>
    <w:p w14:paraId="3B69BF05" w14:textId="77777777" w:rsidR="009D1871" w:rsidRPr="005C3A9D" w:rsidRDefault="009D1871" w:rsidP="00AC2786">
      <w:pPr>
        <w:spacing w:line="360" w:lineRule="auto"/>
        <w:ind w:right="49"/>
        <w:jc w:val="both"/>
        <w:rPr>
          <w:rFonts w:ascii="Palatino Linotype" w:eastAsia="Palatino Linotype" w:hAnsi="Palatino Linotype" w:cs="Palatino Linotype"/>
          <w:sz w:val="22"/>
          <w:szCs w:val="22"/>
        </w:rPr>
      </w:pPr>
    </w:p>
    <w:p w14:paraId="62D1F037" w14:textId="1C1A1C68" w:rsidR="009D1871" w:rsidRPr="005C3A9D" w:rsidRDefault="009D1871"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lastRenderedPageBreak/>
        <w:t xml:space="preserve">Se afirma lo anterior, pues de dichos documentos la persona solicitante puede obtener, de manera enunciativa más no limitativa, los datos relativos </w:t>
      </w:r>
      <w:r w:rsidR="00E8055B" w:rsidRPr="005C3A9D">
        <w:rPr>
          <w:rFonts w:ascii="Palatino Linotype" w:eastAsia="Palatino Linotype" w:hAnsi="Palatino Linotype" w:cs="Palatino Linotype"/>
          <w:sz w:val="22"/>
          <w:szCs w:val="22"/>
        </w:rPr>
        <w:t xml:space="preserve">al número de permisos o licencias </w:t>
      </w:r>
      <w:r w:rsidRPr="005C3A9D">
        <w:rPr>
          <w:rFonts w:ascii="Palatino Linotype" w:eastAsia="Palatino Linotype" w:hAnsi="Palatino Linotype" w:cs="Palatino Linotype"/>
          <w:sz w:val="22"/>
          <w:szCs w:val="22"/>
        </w:rPr>
        <w:t>concedido</w:t>
      </w:r>
      <w:r w:rsidR="00E8055B" w:rsidRPr="005C3A9D">
        <w:rPr>
          <w:rFonts w:ascii="Palatino Linotype" w:eastAsia="Palatino Linotype" w:hAnsi="Palatino Linotype" w:cs="Palatino Linotype"/>
          <w:sz w:val="22"/>
          <w:szCs w:val="22"/>
        </w:rPr>
        <w:t>s</w:t>
      </w:r>
      <w:r w:rsidRPr="005C3A9D">
        <w:rPr>
          <w:rFonts w:ascii="Palatino Linotype" w:eastAsia="Palatino Linotype" w:hAnsi="Palatino Linotype" w:cs="Palatino Linotype"/>
          <w:sz w:val="22"/>
          <w:szCs w:val="22"/>
        </w:rPr>
        <w:t xml:space="preserve"> a los puestos semifijos que refiere que ejercen comercio en </w:t>
      </w:r>
      <w:r w:rsidR="00E8055B" w:rsidRPr="005C3A9D">
        <w:rPr>
          <w:rFonts w:ascii="Palatino Linotype" w:eastAsia="Palatino Linotype" w:hAnsi="Palatino Linotype" w:cs="Palatino Linotype"/>
          <w:sz w:val="22"/>
          <w:szCs w:val="22"/>
        </w:rPr>
        <w:t>las calles y/o vialidades del ayuntamiento</w:t>
      </w:r>
      <w:r w:rsidRPr="005C3A9D">
        <w:rPr>
          <w:rFonts w:ascii="Palatino Linotype" w:eastAsia="Palatino Linotype" w:hAnsi="Palatino Linotype" w:cs="Palatino Linotype"/>
          <w:sz w:val="22"/>
          <w:szCs w:val="22"/>
        </w:rPr>
        <w:t>.</w:t>
      </w:r>
    </w:p>
    <w:p w14:paraId="2AF9602C" w14:textId="77777777" w:rsidR="009D1871" w:rsidRPr="005C3A9D" w:rsidRDefault="009D1871" w:rsidP="00AC2786">
      <w:pPr>
        <w:spacing w:line="360" w:lineRule="auto"/>
        <w:ind w:right="49"/>
        <w:jc w:val="both"/>
        <w:rPr>
          <w:rFonts w:ascii="Palatino Linotype" w:eastAsia="Palatino Linotype" w:hAnsi="Palatino Linotype" w:cs="Palatino Linotype"/>
          <w:sz w:val="22"/>
          <w:szCs w:val="22"/>
        </w:rPr>
      </w:pPr>
    </w:p>
    <w:p w14:paraId="3BEB4AEE" w14:textId="336F6582" w:rsidR="009D1871" w:rsidRPr="005C3A9D" w:rsidRDefault="009D1871"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tal sentido, es de indicar que conforme los artículos </w:t>
      </w:r>
      <w:r w:rsidR="009C5EB3" w:rsidRPr="005C3A9D">
        <w:rPr>
          <w:rFonts w:ascii="Palatino Linotype" w:eastAsia="Palatino Linotype" w:hAnsi="Palatino Linotype" w:cs="Palatino Linotype"/>
          <w:sz w:val="22"/>
          <w:szCs w:val="22"/>
        </w:rPr>
        <w:t xml:space="preserve">49, </w:t>
      </w:r>
      <w:r w:rsidR="00E8055B" w:rsidRPr="005C3A9D">
        <w:rPr>
          <w:rFonts w:ascii="Palatino Linotype" w:eastAsia="Palatino Linotype" w:hAnsi="Palatino Linotype" w:cs="Palatino Linotype"/>
          <w:sz w:val="22"/>
          <w:szCs w:val="22"/>
        </w:rPr>
        <w:t>87, 88, 89</w:t>
      </w:r>
      <w:r w:rsidR="009C5EB3" w:rsidRPr="005C3A9D">
        <w:rPr>
          <w:rFonts w:ascii="Palatino Linotype" w:eastAsia="Palatino Linotype" w:hAnsi="Palatino Linotype" w:cs="Palatino Linotype"/>
          <w:sz w:val="22"/>
          <w:szCs w:val="22"/>
        </w:rPr>
        <w:t xml:space="preserve">, </w:t>
      </w:r>
      <w:r w:rsidR="00E8055B" w:rsidRPr="005C3A9D">
        <w:rPr>
          <w:rFonts w:ascii="Palatino Linotype" w:eastAsia="Palatino Linotype" w:hAnsi="Palatino Linotype" w:cs="Palatino Linotype"/>
          <w:sz w:val="22"/>
          <w:szCs w:val="22"/>
        </w:rPr>
        <w:t>90</w:t>
      </w:r>
      <w:r w:rsidR="009C5EB3" w:rsidRPr="005C3A9D">
        <w:rPr>
          <w:rFonts w:ascii="Palatino Linotype" w:eastAsia="Palatino Linotype" w:hAnsi="Palatino Linotype" w:cs="Palatino Linotype"/>
          <w:sz w:val="22"/>
          <w:szCs w:val="22"/>
        </w:rPr>
        <w:t xml:space="preserve"> y 94</w:t>
      </w:r>
      <w:r w:rsidRPr="005C3A9D">
        <w:rPr>
          <w:rFonts w:ascii="Palatino Linotype" w:eastAsia="Palatino Linotype" w:hAnsi="Palatino Linotype" w:cs="Palatino Linotype"/>
          <w:sz w:val="22"/>
          <w:szCs w:val="22"/>
        </w:rPr>
        <w:t xml:space="preserve"> del Bando </w:t>
      </w:r>
      <w:r w:rsidR="00E8055B" w:rsidRPr="005C3A9D">
        <w:rPr>
          <w:rFonts w:ascii="Palatino Linotype" w:eastAsia="Palatino Linotype" w:hAnsi="Palatino Linotype" w:cs="Palatino Linotype"/>
          <w:sz w:val="22"/>
          <w:szCs w:val="22"/>
        </w:rPr>
        <w:t xml:space="preserve">Municipal de </w:t>
      </w:r>
      <w:r w:rsidRPr="005C3A9D">
        <w:rPr>
          <w:rFonts w:ascii="Palatino Linotype" w:eastAsia="Palatino Linotype" w:hAnsi="Palatino Linotype" w:cs="Palatino Linotype"/>
          <w:sz w:val="22"/>
          <w:szCs w:val="22"/>
        </w:rPr>
        <w:t>C</w:t>
      </w:r>
      <w:r w:rsidR="00E8055B" w:rsidRPr="005C3A9D">
        <w:rPr>
          <w:rFonts w:ascii="Palatino Linotype" w:eastAsia="Palatino Linotype" w:hAnsi="Palatino Linotype" w:cs="Palatino Linotype"/>
          <w:sz w:val="22"/>
          <w:szCs w:val="22"/>
        </w:rPr>
        <w:t>hiconcuac</w:t>
      </w:r>
      <w:r w:rsidRPr="005C3A9D">
        <w:rPr>
          <w:rFonts w:ascii="Palatino Linotype" w:eastAsia="Palatino Linotype" w:hAnsi="Palatino Linotype" w:cs="Palatino Linotype"/>
          <w:sz w:val="22"/>
          <w:szCs w:val="22"/>
        </w:rPr>
        <w:t xml:space="preserve">, con relación a las atribuciones que tiene la </w:t>
      </w:r>
      <w:r w:rsidR="009C5EB3" w:rsidRPr="005C3A9D">
        <w:rPr>
          <w:rFonts w:ascii="Palatino Linotype" w:eastAsia="Palatino Linotype" w:hAnsi="Palatino Linotype" w:cs="Palatino Linotype"/>
          <w:sz w:val="22"/>
          <w:szCs w:val="22"/>
        </w:rPr>
        <w:t>Unidad de Comercio</w:t>
      </w:r>
      <w:r w:rsidRPr="005C3A9D">
        <w:rPr>
          <w:rFonts w:ascii="Palatino Linotype" w:eastAsia="Palatino Linotype" w:hAnsi="Palatino Linotype" w:cs="Palatino Linotype"/>
          <w:sz w:val="22"/>
          <w:szCs w:val="22"/>
        </w:rPr>
        <w:t>, señala</w:t>
      </w:r>
      <w:r w:rsidR="009C5EB3" w:rsidRPr="005C3A9D">
        <w:rPr>
          <w:rFonts w:ascii="Palatino Linotype" w:eastAsia="Palatino Linotype" w:hAnsi="Palatino Linotype" w:cs="Palatino Linotype"/>
          <w:sz w:val="22"/>
          <w:szCs w:val="22"/>
        </w:rPr>
        <w:t>n</w:t>
      </w:r>
      <w:r w:rsidRPr="005C3A9D">
        <w:rPr>
          <w:rFonts w:ascii="Palatino Linotype" w:eastAsia="Palatino Linotype" w:hAnsi="Palatino Linotype" w:cs="Palatino Linotype"/>
          <w:sz w:val="22"/>
          <w:szCs w:val="22"/>
        </w:rPr>
        <w:t xml:space="preserve"> lo siguiente: </w:t>
      </w:r>
    </w:p>
    <w:p w14:paraId="4CA66939" w14:textId="77777777" w:rsidR="009D1871" w:rsidRPr="005C3A9D" w:rsidRDefault="009D1871" w:rsidP="00AC2786">
      <w:pPr>
        <w:widowControl w:val="0"/>
        <w:tabs>
          <w:tab w:val="left" w:pos="1701"/>
          <w:tab w:val="left" w:pos="1843"/>
        </w:tabs>
        <w:spacing w:line="360" w:lineRule="auto"/>
        <w:ind w:right="49"/>
        <w:jc w:val="both"/>
        <w:rPr>
          <w:rFonts w:ascii="Palatino Linotype" w:eastAsia="Palatino Linotype" w:hAnsi="Palatino Linotype" w:cs="Palatino Linotype"/>
          <w:sz w:val="22"/>
          <w:szCs w:val="22"/>
        </w:rPr>
      </w:pPr>
    </w:p>
    <w:p w14:paraId="4F5AD025" w14:textId="5A8A600B" w:rsidR="009C5EB3" w:rsidRPr="005C3A9D" w:rsidRDefault="009C5EB3" w:rsidP="009C5EB3">
      <w:pPr>
        <w:spacing w:line="276" w:lineRule="auto"/>
        <w:ind w:left="567" w:right="560"/>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w:t>
      </w:r>
      <w:r w:rsidRPr="005C3A9D">
        <w:rPr>
          <w:rFonts w:ascii="Palatino Linotype" w:eastAsia="Palatino Linotype" w:hAnsi="Palatino Linotype" w:cs="Palatino Linotype"/>
          <w:b/>
          <w:i/>
          <w:sz w:val="22"/>
          <w:szCs w:val="22"/>
        </w:rPr>
        <w:t>ARTÍCULO 49.</w:t>
      </w:r>
      <w:r w:rsidRPr="005C3A9D">
        <w:rPr>
          <w:rFonts w:ascii="Palatino Linotype" w:eastAsia="Palatino Linotype" w:hAnsi="Palatino Linotype" w:cs="Palatino Linotype"/>
          <w:bCs/>
          <w:i/>
          <w:sz w:val="22"/>
          <w:szCs w:val="22"/>
        </w:rPr>
        <w:t xml:space="preserve"> Para el estudio, planeación, despacho y ejecución de los diversos asuntos, el Ayuntamiento podrá auxiliarse de las dependencias que conforman la Administración Pública Municipal, las cuales estarán subordinados al Presidente Municipal y se organizarán administrativa y funcionalmente de la siguiente forma:</w:t>
      </w:r>
    </w:p>
    <w:p w14:paraId="48363283" w14:textId="35423ACA" w:rsidR="009C5EB3" w:rsidRPr="005C3A9D" w:rsidRDefault="009C5EB3" w:rsidP="009C5EB3">
      <w:pPr>
        <w:spacing w:line="276" w:lineRule="auto"/>
        <w:ind w:left="567" w:right="560"/>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w:t>
      </w:r>
    </w:p>
    <w:p w14:paraId="18947F7E" w14:textId="7A793DA1" w:rsidR="009C5EB3" w:rsidRPr="005C3A9D" w:rsidRDefault="009C5EB3" w:rsidP="009C5EB3">
      <w:pPr>
        <w:spacing w:line="276" w:lineRule="auto"/>
        <w:ind w:left="567" w:right="560"/>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 xml:space="preserve">F. Tesorería Municipal: </w:t>
      </w:r>
    </w:p>
    <w:p w14:paraId="13EBB149" w14:textId="77777777" w:rsidR="009C5EB3" w:rsidRPr="005C3A9D" w:rsidRDefault="009C5EB3" w:rsidP="009C5EB3">
      <w:pPr>
        <w:spacing w:line="276" w:lineRule="auto"/>
        <w:ind w:left="567" w:right="560"/>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 xml:space="preserve">a) Unidad de Recursos Humanos. </w:t>
      </w:r>
    </w:p>
    <w:p w14:paraId="53FCECF3" w14:textId="77777777" w:rsidR="009C5EB3" w:rsidRPr="005C3A9D" w:rsidRDefault="009C5EB3" w:rsidP="009C5EB3">
      <w:pPr>
        <w:spacing w:line="276" w:lineRule="auto"/>
        <w:ind w:left="567" w:right="560"/>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 xml:space="preserve">b) Unidad de Ingresos. </w:t>
      </w:r>
    </w:p>
    <w:p w14:paraId="291AFF4B" w14:textId="77777777" w:rsidR="009C5EB3" w:rsidRPr="005C3A9D" w:rsidRDefault="009C5EB3" w:rsidP="009C5EB3">
      <w:pPr>
        <w:spacing w:line="276" w:lineRule="auto"/>
        <w:ind w:left="567" w:right="560"/>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 xml:space="preserve">c) Unidad de Catastro. </w:t>
      </w:r>
    </w:p>
    <w:p w14:paraId="5B61F26E" w14:textId="0BC0B1FF" w:rsidR="009C5EB3" w:rsidRPr="005C3A9D" w:rsidRDefault="009C5EB3" w:rsidP="009C5EB3">
      <w:pPr>
        <w:spacing w:line="276" w:lineRule="auto"/>
        <w:ind w:left="567" w:right="560"/>
        <w:jc w:val="both"/>
        <w:rPr>
          <w:rFonts w:ascii="Palatino Linotype" w:eastAsia="Palatino Linotype" w:hAnsi="Palatino Linotype" w:cs="Palatino Linotype"/>
          <w:b/>
          <w:i/>
          <w:sz w:val="22"/>
          <w:szCs w:val="22"/>
          <w:u w:val="single"/>
        </w:rPr>
      </w:pPr>
      <w:r w:rsidRPr="005C3A9D">
        <w:rPr>
          <w:rFonts w:ascii="Palatino Linotype" w:eastAsia="Palatino Linotype" w:hAnsi="Palatino Linotype" w:cs="Palatino Linotype"/>
          <w:b/>
          <w:i/>
          <w:sz w:val="22"/>
          <w:szCs w:val="22"/>
          <w:u w:val="single"/>
        </w:rPr>
        <w:t>d) Unidad de Comercio.</w:t>
      </w:r>
    </w:p>
    <w:p w14:paraId="77D8AF01" w14:textId="77777777" w:rsidR="009C5EB3" w:rsidRPr="005C3A9D" w:rsidRDefault="009C5EB3" w:rsidP="00AC2786">
      <w:pPr>
        <w:spacing w:line="276" w:lineRule="auto"/>
        <w:ind w:left="567" w:right="560"/>
        <w:jc w:val="center"/>
        <w:rPr>
          <w:rFonts w:ascii="Palatino Linotype" w:eastAsia="Palatino Linotype" w:hAnsi="Palatino Linotype" w:cs="Palatino Linotype"/>
          <w:b/>
          <w:i/>
          <w:sz w:val="22"/>
          <w:szCs w:val="22"/>
        </w:rPr>
      </w:pPr>
    </w:p>
    <w:p w14:paraId="5D2B51CC" w14:textId="09936D67" w:rsidR="00E8055B" w:rsidRPr="005C3A9D" w:rsidRDefault="00E8055B" w:rsidP="00AC2786">
      <w:pPr>
        <w:spacing w:line="276" w:lineRule="auto"/>
        <w:ind w:left="567" w:right="560"/>
        <w:jc w:val="center"/>
        <w:rPr>
          <w:rFonts w:ascii="Palatino Linotype" w:eastAsia="Palatino Linotype" w:hAnsi="Palatino Linotype" w:cs="Palatino Linotype"/>
          <w:b/>
          <w:i/>
          <w:sz w:val="22"/>
          <w:szCs w:val="22"/>
        </w:rPr>
      </w:pPr>
      <w:r w:rsidRPr="005C3A9D">
        <w:rPr>
          <w:rFonts w:ascii="Palatino Linotype" w:eastAsia="Palatino Linotype" w:hAnsi="Palatino Linotype" w:cs="Palatino Linotype"/>
          <w:b/>
          <w:i/>
          <w:sz w:val="22"/>
          <w:szCs w:val="22"/>
        </w:rPr>
        <w:t>Del Comercio en la Vía Pública o Lugares de Uso Común</w:t>
      </w:r>
    </w:p>
    <w:p w14:paraId="7DF06534"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87.</w:t>
      </w:r>
      <w:r w:rsidRPr="005C3A9D">
        <w:rPr>
          <w:rFonts w:ascii="Palatino Linotype" w:eastAsia="Palatino Linotype" w:hAnsi="Palatino Linotype" w:cs="Palatino Linotype"/>
          <w:i/>
          <w:sz w:val="22"/>
          <w:szCs w:val="22"/>
        </w:rPr>
        <w:t xml:space="preserve"> El Ayuntamiento, </w:t>
      </w:r>
      <w:r w:rsidRPr="005C3A9D">
        <w:rPr>
          <w:rFonts w:ascii="Palatino Linotype" w:eastAsia="Palatino Linotype" w:hAnsi="Palatino Linotype" w:cs="Palatino Linotype"/>
          <w:b/>
          <w:bCs/>
          <w:i/>
          <w:sz w:val="22"/>
          <w:szCs w:val="22"/>
        </w:rPr>
        <w:t>por conducto de la Unidad de Comercio, ejercerá el control y regulación del comercio en la vía pública y/o áreas de uso común</w:t>
      </w:r>
      <w:r w:rsidRPr="005C3A9D">
        <w:rPr>
          <w:rFonts w:ascii="Palatino Linotype" w:eastAsia="Palatino Linotype" w:hAnsi="Palatino Linotype" w:cs="Palatino Linotype"/>
          <w:i/>
          <w:sz w:val="22"/>
          <w:szCs w:val="22"/>
        </w:rPr>
        <w:t xml:space="preserve">, dentro del territorio municipal, </w:t>
      </w:r>
      <w:r w:rsidRPr="005C3A9D">
        <w:rPr>
          <w:rFonts w:ascii="Palatino Linotype" w:eastAsia="Palatino Linotype" w:hAnsi="Palatino Linotype" w:cs="Palatino Linotype"/>
          <w:b/>
          <w:bCs/>
          <w:i/>
          <w:sz w:val="22"/>
          <w:szCs w:val="22"/>
        </w:rPr>
        <w:t>incluyendo el que se realice a través de puestos fijos, semifijos, temporales, permanentes u otro tipo de puestos, tianguistas, vendedores ambulantes, expendedores de periódicos</w:t>
      </w:r>
      <w:r w:rsidRPr="005C3A9D">
        <w:rPr>
          <w:rFonts w:ascii="Palatino Linotype" w:eastAsia="Palatino Linotype" w:hAnsi="Palatino Linotype" w:cs="Palatino Linotype"/>
          <w:i/>
          <w:sz w:val="22"/>
          <w:szCs w:val="22"/>
        </w:rPr>
        <w:t xml:space="preserve">, revistas, el que se realice a través de vehículos automotores; así como otorgar el permiso de perifoneo, volanteo y publicidad, estando sujeto, entre otras, a las disposiciones de la Ley de Bienes del Estado de México y sus Municipios, el presente Bando, la reglamentación de Comercio municipal, demás reglamentos y disposiciones administrativas relacionadas a </w:t>
      </w:r>
      <w:r w:rsidRPr="005C3A9D">
        <w:rPr>
          <w:rFonts w:ascii="Palatino Linotype" w:eastAsia="Palatino Linotype" w:hAnsi="Palatino Linotype" w:cs="Palatino Linotype"/>
          <w:i/>
          <w:sz w:val="22"/>
          <w:szCs w:val="22"/>
        </w:rPr>
        <w:lastRenderedPageBreak/>
        <w:t>dicha actividad; así como a los acuerdos y circulares, emitidos ante cualquier declaratoria de emergencia.</w:t>
      </w:r>
    </w:p>
    <w:p w14:paraId="3EC044BD" w14:textId="77777777" w:rsidR="00EE46A1" w:rsidRPr="005C3A9D" w:rsidRDefault="00EE46A1" w:rsidP="00AC2786">
      <w:pPr>
        <w:spacing w:line="276" w:lineRule="auto"/>
        <w:ind w:left="567" w:right="560"/>
        <w:jc w:val="both"/>
        <w:rPr>
          <w:rFonts w:ascii="Palatino Linotype" w:eastAsia="Palatino Linotype" w:hAnsi="Palatino Linotype" w:cs="Palatino Linotype"/>
          <w:i/>
          <w:sz w:val="22"/>
          <w:szCs w:val="22"/>
        </w:rPr>
      </w:pPr>
    </w:p>
    <w:p w14:paraId="0A677235"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88.</w:t>
      </w:r>
      <w:r w:rsidRPr="005C3A9D">
        <w:rPr>
          <w:rFonts w:ascii="Palatino Linotype" w:eastAsia="Palatino Linotype" w:hAnsi="Palatino Linotype" w:cs="Palatino Linotype"/>
          <w:i/>
          <w:sz w:val="22"/>
          <w:szCs w:val="22"/>
        </w:rPr>
        <w:t xml:space="preserve"> El uso y explotación de la vía pública, áreas de uso común, y/o vialidades de intenso flujo vehicular para el ejercicio del comercio, se sujetará al permiso, licencia, cédula, o autorización respectivos, causando el pago de los derechos que establezca el Código Financiero, la Ley de Ingresos del Estado de México y demás contribuciones correspondientes, previa solicitud que se formule por escrito a la autoridad competente, conforme a la normatividad aplicable. </w:t>
      </w:r>
    </w:p>
    <w:p w14:paraId="3D950789"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p>
    <w:p w14:paraId="194EFA06"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89.</w:t>
      </w:r>
      <w:r w:rsidRPr="005C3A9D">
        <w:rPr>
          <w:rFonts w:ascii="Palatino Linotype" w:eastAsia="Palatino Linotype" w:hAnsi="Palatino Linotype" w:cs="Palatino Linotype"/>
          <w:i/>
          <w:sz w:val="22"/>
          <w:szCs w:val="22"/>
        </w:rPr>
        <w:t xml:space="preserve"> La distribución y disposición de los espacios comerciales, sea cual sea su giro comercial, serán determinados por la Unidad de Comercio, previo acuerdo con la Presidencia Municipal, atendiendo las necesidades del Municipio y anteponiendo el bienestar social. La Unidad de Comercio y la Tesorería Municipal podrán contar con un censo de las personas locatarias y un archivo administrativo de los expedientes en los que se sustenten el cumplimiento de los requisitos de ley, los cuales deberán mantenerse actualizados. </w:t>
      </w:r>
    </w:p>
    <w:p w14:paraId="05DA7733"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p>
    <w:p w14:paraId="291B89CA"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90.</w:t>
      </w:r>
      <w:r w:rsidRPr="005C3A9D">
        <w:rPr>
          <w:rFonts w:ascii="Palatino Linotype" w:eastAsia="Palatino Linotype" w:hAnsi="Palatino Linotype" w:cs="Palatino Linotype"/>
          <w:i/>
          <w:sz w:val="22"/>
          <w:szCs w:val="22"/>
        </w:rPr>
        <w:t xml:space="preserve"> Dentro del territorio municipal está prohibido el ejercicio del comercio en vías públicas, áreas de uso común y en vialidades principales y primarias, limitando su ejercicio en las áreas y lugares específicos señalados por el Ayuntamiento mediante las formalidades requeridas y por la reglamentación municipal que al respecto se emita. </w:t>
      </w:r>
    </w:p>
    <w:p w14:paraId="2081CEF2" w14:textId="77777777" w:rsidR="00E8055B" w:rsidRPr="005C3A9D" w:rsidRDefault="00E8055B"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El ejercicio del comercio deberá procurar la libre circulación de peatones, en la infraestructura vial y áreas verdes. </w:t>
      </w:r>
    </w:p>
    <w:p w14:paraId="3AE42956" w14:textId="77777777" w:rsidR="009C5EB3" w:rsidRPr="005C3A9D" w:rsidRDefault="00E8055B"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En los sitios que el Ayuntamiento califique como de riesgo y/o saturación, quedará estrictamente prohibido, así como en aquellas áreas de infraestructura urbana en que se afecte el interés social. Corresponde a la Unidad de Comercio, determinar las dimensiones máximas para los puestos fijos, semifijos y ambulantes, la densidad de vendedores en las áreas determinadas y autorizar el giro de los mismos.</w:t>
      </w:r>
    </w:p>
    <w:p w14:paraId="08E433B5" w14:textId="77777777" w:rsidR="009C5EB3" w:rsidRPr="005C3A9D" w:rsidRDefault="009C5EB3" w:rsidP="00AC2786">
      <w:pPr>
        <w:spacing w:line="276" w:lineRule="auto"/>
        <w:ind w:left="567" w:right="560"/>
        <w:jc w:val="both"/>
        <w:rPr>
          <w:rFonts w:ascii="Palatino Linotype" w:eastAsia="Palatino Linotype" w:hAnsi="Palatino Linotype" w:cs="Palatino Linotype"/>
          <w:i/>
          <w:sz w:val="22"/>
          <w:szCs w:val="22"/>
        </w:rPr>
      </w:pPr>
    </w:p>
    <w:p w14:paraId="67041CA7" w14:textId="3AA41E82" w:rsidR="009C5EB3" w:rsidRPr="005C3A9D" w:rsidRDefault="009C5EB3" w:rsidP="009C5EB3">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bCs/>
          <w:i/>
          <w:sz w:val="22"/>
          <w:szCs w:val="22"/>
        </w:rPr>
        <w:t>ARTÍCULO 94</w:t>
      </w:r>
      <w:r w:rsidRPr="005C3A9D">
        <w:rPr>
          <w:rFonts w:ascii="Palatino Linotype" w:eastAsia="Palatino Linotype" w:hAnsi="Palatino Linotype" w:cs="Palatino Linotype"/>
          <w:i/>
          <w:sz w:val="22"/>
          <w:szCs w:val="22"/>
        </w:rPr>
        <w:t xml:space="preserve">. Las personas que ejerzan el comercio en mercados, vías públicas y/o áreas de uso común deberán: </w:t>
      </w:r>
    </w:p>
    <w:p w14:paraId="612E7813" w14:textId="3408DAD1" w:rsidR="009C5EB3" w:rsidRPr="005C3A9D" w:rsidRDefault="009C5EB3" w:rsidP="009C5EB3">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bCs/>
          <w:i/>
          <w:sz w:val="22"/>
          <w:szCs w:val="22"/>
        </w:rPr>
        <w:t>I. Contar con la autorización, cedula y/o permiso correspondiente, que para tal efecto expida la Unidad de Comercio</w:t>
      </w:r>
      <w:r w:rsidRPr="005C3A9D">
        <w:rPr>
          <w:rFonts w:ascii="Palatino Linotype" w:eastAsia="Palatino Linotype" w:hAnsi="Palatino Linotype" w:cs="Palatino Linotype"/>
          <w:i/>
          <w:sz w:val="22"/>
          <w:szCs w:val="22"/>
        </w:rPr>
        <w:t>, misma que tendrá el carácter de intransferible;</w:t>
      </w:r>
    </w:p>
    <w:p w14:paraId="45E2FA44" w14:textId="130114D4" w:rsidR="009C5EB3" w:rsidRPr="005C3A9D" w:rsidRDefault="009C5EB3" w:rsidP="009C5EB3">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lastRenderedPageBreak/>
        <w:t xml:space="preserve">II. Comercializar únicamente mediante las medidas y tipo de estructura y características del espacio que en su caso le autorice la Unidad de Comercio; </w:t>
      </w:r>
    </w:p>
    <w:p w14:paraId="2EECD51C" w14:textId="26C45C0A" w:rsidR="00E8055B" w:rsidRPr="005C3A9D" w:rsidRDefault="009C5EB3" w:rsidP="00AC2786">
      <w:pPr>
        <w:spacing w:line="276" w:lineRule="auto"/>
        <w:ind w:left="567" w:right="560"/>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III. Estar registrados individualmente en el censo y/o registro que al efecto lleve la Unidad Comercio y la Tesorería Municipal; …</w:t>
      </w:r>
      <w:r w:rsidR="00EE46A1" w:rsidRPr="005C3A9D">
        <w:rPr>
          <w:rFonts w:ascii="Palatino Linotype" w:eastAsia="Palatino Linotype" w:hAnsi="Palatino Linotype" w:cs="Palatino Linotype"/>
          <w:i/>
          <w:sz w:val="22"/>
          <w:szCs w:val="22"/>
        </w:rPr>
        <w:t>”</w:t>
      </w:r>
    </w:p>
    <w:p w14:paraId="4EB859AE" w14:textId="77777777" w:rsidR="00E8055B" w:rsidRPr="005C3A9D" w:rsidRDefault="00E8055B" w:rsidP="00AC2786">
      <w:pPr>
        <w:spacing w:line="360" w:lineRule="auto"/>
        <w:ind w:right="49"/>
        <w:jc w:val="both"/>
        <w:rPr>
          <w:rFonts w:ascii="Palatino Linotype" w:eastAsia="Palatino Linotype" w:hAnsi="Palatino Linotype" w:cs="Palatino Linotype"/>
          <w:sz w:val="22"/>
          <w:szCs w:val="22"/>
        </w:rPr>
      </w:pPr>
    </w:p>
    <w:p w14:paraId="1B8DD777" w14:textId="1D4B73BF" w:rsidR="009D1871" w:rsidRPr="005C3A9D" w:rsidRDefault="00E8055B"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ese sentido, se considera que el </w:t>
      </w:r>
      <w:r w:rsidRPr="005C3A9D">
        <w:rPr>
          <w:rFonts w:ascii="Palatino Linotype" w:eastAsia="Palatino Linotype" w:hAnsi="Palatino Linotype" w:cs="Palatino Linotype"/>
          <w:b/>
          <w:bCs/>
          <w:sz w:val="22"/>
          <w:szCs w:val="22"/>
        </w:rPr>
        <w:t>Sujeto Obligado</w:t>
      </w:r>
      <w:r w:rsidRPr="005C3A9D">
        <w:rPr>
          <w:rFonts w:ascii="Palatino Linotype" w:eastAsia="Palatino Linotype" w:hAnsi="Palatino Linotype" w:cs="Palatino Linotype"/>
          <w:sz w:val="22"/>
          <w:szCs w:val="22"/>
        </w:rPr>
        <w:t xml:space="preserve"> tiene competencia para generar, administrar y poseer la información solicitada, al contar con una unidad denominada Unidad de Comercio, la cual ejercerá el control y regulación del comercio en la vía pública y/o áreas de uso común</w:t>
      </w:r>
      <w:r w:rsidR="009D1871" w:rsidRPr="005C3A9D">
        <w:rPr>
          <w:rFonts w:ascii="Palatino Linotype" w:eastAsia="Palatino Linotype" w:hAnsi="Palatino Linotype" w:cs="Palatino Linotype"/>
          <w:sz w:val="22"/>
          <w:szCs w:val="22"/>
        </w:rPr>
        <w:t xml:space="preserve">; por lo que, atendiendo que en el caso que nos ocupa el </w:t>
      </w:r>
      <w:r w:rsidR="009D1871" w:rsidRPr="005C3A9D">
        <w:rPr>
          <w:rFonts w:ascii="Palatino Linotype" w:eastAsia="Palatino Linotype" w:hAnsi="Palatino Linotype" w:cs="Palatino Linotype"/>
          <w:b/>
          <w:sz w:val="22"/>
          <w:szCs w:val="22"/>
        </w:rPr>
        <w:t xml:space="preserve">Sujeto Obligado </w:t>
      </w:r>
      <w:r w:rsidR="009D1871" w:rsidRPr="005C3A9D">
        <w:rPr>
          <w:rFonts w:ascii="Palatino Linotype" w:eastAsia="Palatino Linotype" w:hAnsi="Palatino Linotype" w:cs="Palatino Linotype"/>
          <w:sz w:val="22"/>
          <w:szCs w:val="22"/>
        </w:rPr>
        <w:t>dio respuesta por conducto de</w:t>
      </w:r>
      <w:r w:rsidR="00EE46A1" w:rsidRPr="005C3A9D">
        <w:rPr>
          <w:rFonts w:ascii="Palatino Linotype" w:eastAsia="Palatino Linotype" w:hAnsi="Palatino Linotype" w:cs="Palatino Linotype"/>
          <w:sz w:val="22"/>
          <w:szCs w:val="22"/>
        </w:rPr>
        <w:t xml:space="preserve"> la</w:t>
      </w:r>
      <w:r w:rsidR="009D1871" w:rsidRPr="005C3A9D">
        <w:rPr>
          <w:rFonts w:ascii="Palatino Linotype" w:eastAsia="Palatino Linotype" w:hAnsi="Palatino Linotype" w:cs="Palatino Linotype"/>
          <w:sz w:val="22"/>
          <w:szCs w:val="22"/>
        </w:rPr>
        <w:t xml:space="preserve"> </w:t>
      </w:r>
      <w:r w:rsidR="00EE46A1" w:rsidRPr="005C3A9D">
        <w:rPr>
          <w:rFonts w:ascii="Palatino Linotype" w:eastAsia="Palatino Linotype" w:hAnsi="Palatino Linotype" w:cs="Palatino Linotype"/>
          <w:sz w:val="22"/>
          <w:szCs w:val="22"/>
        </w:rPr>
        <w:t>Unidad de Comercio</w:t>
      </w:r>
      <w:r w:rsidR="009D1871" w:rsidRPr="005C3A9D">
        <w:rPr>
          <w:rFonts w:ascii="Palatino Linotype" w:eastAsia="Palatino Linotype" w:hAnsi="Palatino Linotype" w:cs="Palatino Linotype"/>
          <w:sz w:val="22"/>
          <w:szCs w:val="22"/>
        </w:rPr>
        <w:t>; se colige que quien dio atención a la solicitud de información, fue la unidad administrativa competente, cumpliéndose a cabalidad con el requisito de turnar la solicitud de información a las áreas competentes que puedan poseer, generar y/o administrar la información requerida.</w:t>
      </w:r>
    </w:p>
    <w:p w14:paraId="2B8FB039" w14:textId="77777777" w:rsidR="009D1871" w:rsidRPr="005C3A9D" w:rsidRDefault="009D1871" w:rsidP="00AC2786">
      <w:pPr>
        <w:widowControl w:val="0"/>
        <w:tabs>
          <w:tab w:val="left" w:pos="1701"/>
          <w:tab w:val="left" w:pos="1843"/>
        </w:tabs>
        <w:spacing w:line="360" w:lineRule="auto"/>
        <w:ind w:right="49"/>
        <w:jc w:val="both"/>
        <w:rPr>
          <w:rFonts w:ascii="Palatino Linotype" w:eastAsia="Palatino Linotype" w:hAnsi="Palatino Linotype" w:cs="Palatino Linotype"/>
          <w:sz w:val="22"/>
          <w:szCs w:val="22"/>
        </w:rPr>
      </w:pPr>
    </w:p>
    <w:p w14:paraId="426832D4" w14:textId="77777777" w:rsidR="009D1871" w:rsidRPr="005C3A9D" w:rsidRDefault="009D1871" w:rsidP="00AC2786">
      <w:pPr>
        <w:pBdr>
          <w:top w:val="nil"/>
          <w:left w:val="nil"/>
          <w:bottom w:val="nil"/>
          <w:right w:val="nil"/>
          <w:between w:val="nil"/>
        </w:pBdr>
        <w:spacing w:line="360" w:lineRule="auto"/>
        <w:jc w:val="both"/>
        <w:rPr>
          <w:rFonts w:ascii="Palatino Linotype" w:hAnsi="Palatino Linotype"/>
          <w:sz w:val="22"/>
          <w:szCs w:val="22"/>
        </w:rPr>
      </w:pPr>
      <w:r w:rsidRPr="005C3A9D">
        <w:rPr>
          <w:rFonts w:ascii="Palatino Linotype" w:eastAsia="Palatino Linotype" w:hAnsi="Palatino Linotype" w:cs="Palatino Linotype"/>
          <w:sz w:val="22"/>
          <w:szCs w:val="22"/>
        </w:rPr>
        <w:t>A mayor abundamiento,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3272CABB" w14:textId="77777777" w:rsidR="009D1871" w:rsidRPr="005C3A9D" w:rsidRDefault="009D1871" w:rsidP="00AC2786">
      <w:pPr>
        <w:spacing w:line="360" w:lineRule="auto"/>
        <w:rPr>
          <w:rFonts w:ascii="Palatino Linotype" w:hAnsi="Palatino Linotype"/>
          <w:sz w:val="22"/>
          <w:szCs w:val="22"/>
        </w:rPr>
      </w:pPr>
    </w:p>
    <w:p w14:paraId="78D827FF" w14:textId="77777777" w:rsidR="009D1871" w:rsidRPr="005C3A9D" w:rsidRDefault="009D1871" w:rsidP="00AC2786">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17834718" w14:textId="77777777" w:rsidR="009D1871" w:rsidRPr="005C3A9D" w:rsidRDefault="009D1871" w:rsidP="00AC2786">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224B1519" w14:textId="77777777" w:rsidR="009D1871" w:rsidRPr="005C3A9D" w:rsidRDefault="009D1871" w:rsidP="00AC2786">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Los Sujetos Obligados podrán requerirle a los Solicitantes, que complementen, corrijan o amplíen su solicitud de información, cuando resulten los datos proporcionados </w:t>
      </w:r>
      <w:r w:rsidRPr="005C3A9D">
        <w:rPr>
          <w:rFonts w:ascii="Palatino Linotype" w:eastAsia="Palatino Linotype" w:hAnsi="Palatino Linotype" w:cs="Palatino Linotype"/>
          <w:sz w:val="22"/>
          <w:szCs w:val="22"/>
        </w:rPr>
        <w:lastRenderedPageBreak/>
        <w:t>insuficientes, incorrectos, incompletos o erróneos; solicitar dicha aclaración, interrumpirá el plazo para dar respuesta y comenzará a computarse el día siguiente al desahogo de esta;</w:t>
      </w:r>
    </w:p>
    <w:p w14:paraId="35752E75" w14:textId="77777777" w:rsidR="009D1871" w:rsidRPr="005C3A9D" w:rsidRDefault="009D1871" w:rsidP="00AC2786">
      <w:pPr>
        <w:pBdr>
          <w:top w:val="nil"/>
          <w:left w:val="nil"/>
          <w:bottom w:val="nil"/>
          <w:right w:val="nil"/>
          <w:between w:val="nil"/>
        </w:pBdr>
        <w:ind w:left="720"/>
        <w:rPr>
          <w:rFonts w:ascii="Palatino Linotype" w:eastAsia="Palatino Linotype" w:hAnsi="Palatino Linotype" w:cs="Palatino Linotype"/>
          <w:sz w:val="22"/>
          <w:szCs w:val="22"/>
        </w:rPr>
      </w:pPr>
    </w:p>
    <w:p w14:paraId="6B841831" w14:textId="77777777" w:rsidR="009D1871" w:rsidRPr="005C3A9D" w:rsidRDefault="009D1871" w:rsidP="00AC2786">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Las respuestas a los requerimientos informativos deberán notificarse al interesado en el menor tiempo posible, que no podrá exceder </w:t>
      </w:r>
      <w:r w:rsidRPr="005C3A9D">
        <w:rPr>
          <w:rFonts w:ascii="Palatino Linotype" w:eastAsia="Palatino Linotype" w:hAnsi="Palatino Linotype" w:cs="Palatino Linotype"/>
          <w:b/>
          <w:sz w:val="22"/>
          <w:szCs w:val="22"/>
        </w:rPr>
        <w:t>quince días, contados a partir del día siguiente a la presentación de ésta.</w:t>
      </w:r>
      <w:r w:rsidRPr="005C3A9D">
        <w:rPr>
          <w:rFonts w:ascii="Palatino Linotype" w:eastAsia="Palatino Linotype" w:hAnsi="Palatino Linotype" w:cs="Palatino Linotype"/>
          <w:sz w:val="22"/>
          <w:szCs w:val="22"/>
        </w:rPr>
        <w:t xml:space="preserve"> Excepcionalmente, el plazo referido podrá ampliarse por siete días hábiles más, cuando existan razones fundadas y motivadas, a través del Comité de Transparencia;</w:t>
      </w:r>
    </w:p>
    <w:p w14:paraId="45A0F9E6" w14:textId="77777777" w:rsidR="009D1871" w:rsidRPr="005C3A9D" w:rsidRDefault="009D1871" w:rsidP="00AC2786">
      <w:pPr>
        <w:pBdr>
          <w:top w:val="nil"/>
          <w:left w:val="nil"/>
          <w:bottom w:val="nil"/>
          <w:right w:val="nil"/>
          <w:between w:val="nil"/>
        </w:pBdr>
        <w:ind w:left="720"/>
        <w:rPr>
          <w:rFonts w:ascii="Palatino Linotype" w:eastAsia="Palatino Linotype" w:hAnsi="Palatino Linotype" w:cs="Palatino Linotype"/>
          <w:sz w:val="22"/>
          <w:szCs w:val="22"/>
        </w:rPr>
      </w:pPr>
    </w:p>
    <w:p w14:paraId="4B9FCE30" w14:textId="77777777" w:rsidR="009D1871" w:rsidRPr="005C3A9D" w:rsidRDefault="009D1871" w:rsidP="00AC2786">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b/>
          <w:sz w:val="22"/>
          <w:szCs w:val="22"/>
          <w:u w:val="single"/>
        </w:rPr>
      </w:pPr>
      <w:r w:rsidRPr="005C3A9D">
        <w:rPr>
          <w:rFonts w:ascii="Palatino Linotype" w:eastAsia="Palatino Linotype" w:hAnsi="Palatino Linotype" w:cs="Palatino Linotype"/>
          <w:b/>
          <w:sz w:val="22"/>
          <w:szCs w:val="22"/>
          <w:u w:val="single"/>
        </w:rPr>
        <w:t>Las Unidades de Transparencia garantizarán que las solicitudes se turnen a todas las áreas competentes que cuenten con la información o deban tenerla de acuerdo con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4CB5D4EA" w14:textId="77777777" w:rsidR="009D1871" w:rsidRPr="005C3A9D" w:rsidRDefault="009D1871" w:rsidP="00AC2786">
      <w:pPr>
        <w:pBdr>
          <w:top w:val="nil"/>
          <w:left w:val="nil"/>
          <w:bottom w:val="nil"/>
          <w:right w:val="nil"/>
          <w:between w:val="nil"/>
        </w:pBdr>
        <w:ind w:left="720"/>
        <w:rPr>
          <w:rFonts w:ascii="Palatino Linotype" w:eastAsia="Palatino Linotype" w:hAnsi="Palatino Linotype" w:cs="Palatino Linotype"/>
          <w:b/>
          <w:sz w:val="22"/>
          <w:szCs w:val="22"/>
          <w:u w:val="single"/>
        </w:rPr>
      </w:pPr>
    </w:p>
    <w:p w14:paraId="76B5E7CD" w14:textId="77777777" w:rsidR="009D1871" w:rsidRPr="005C3A9D" w:rsidRDefault="009D1871" w:rsidP="00AC2786">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3B8A98A9" w14:textId="77777777" w:rsidR="009D1871" w:rsidRPr="005C3A9D" w:rsidRDefault="009D1871" w:rsidP="00AC2786">
      <w:pPr>
        <w:pBdr>
          <w:top w:val="nil"/>
          <w:left w:val="nil"/>
          <w:bottom w:val="nil"/>
          <w:right w:val="nil"/>
          <w:between w:val="nil"/>
        </w:pBdr>
        <w:spacing w:line="360" w:lineRule="auto"/>
        <w:ind w:left="360"/>
        <w:jc w:val="both"/>
        <w:rPr>
          <w:rFonts w:ascii="Palatino Linotype" w:eastAsia="Palatino Linotype" w:hAnsi="Palatino Linotype" w:cs="Palatino Linotype"/>
          <w:b/>
          <w:sz w:val="22"/>
          <w:szCs w:val="22"/>
        </w:rPr>
      </w:pPr>
    </w:p>
    <w:p w14:paraId="4F0F6888" w14:textId="77777777" w:rsidR="009D1871" w:rsidRPr="005C3A9D" w:rsidRDefault="009D1871" w:rsidP="00AC2786">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sz w:val="22"/>
          <w:szCs w:val="22"/>
        </w:rPr>
        <w:t xml:space="preserve">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transcurrida dicha temporalidad, los Sujetos </w:t>
      </w:r>
      <w:r w:rsidRPr="005C3A9D">
        <w:rPr>
          <w:rFonts w:ascii="Palatino Linotype" w:eastAsia="Palatino Linotype" w:hAnsi="Palatino Linotype" w:cs="Palatino Linotype"/>
          <w:sz w:val="22"/>
          <w:szCs w:val="22"/>
        </w:rPr>
        <w:lastRenderedPageBreak/>
        <w:t>Obligados darán por concluida la solicitud y procederán de ser el caso, a la destrucción del material.</w:t>
      </w:r>
    </w:p>
    <w:p w14:paraId="1D29FAC8" w14:textId="77777777" w:rsidR="009D1871" w:rsidRPr="005C3A9D" w:rsidRDefault="009D1871" w:rsidP="00AC2786">
      <w:pPr>
        <w:spacing w:line="360" w:lineRule="auto"/>
        <w:rPr>
          <w:rFonts w:ascii="Palatino Linotype" w:hAnsi="Palatino Linotype"/>
          <w:sz w:val="22"/>
          <w:szCs w:val="22"/>
        </w:rPr>
      </w:pPr>
    </w:p>
    <w:p w14:paraId="6E86882B" w14:textId="77777777" w:rsidR="009D1871" w:rsidRPr="005C3A9D" w:rsidRDefault="009D1871" w:rsidP="00AC2786">
      <w:pPr>
        <w:pBdr>
          <w:top w:val="nil"/>
          <w:left w:val="nil"/>
          <w:bottom w:val="nil"/>
          <w:right w:val="nil"/>
          <w:between w:val="nil"/>
        </w:pBdr>
        <w:spacing w:line="360" w:lineRule="auto"/>
        <w:ind w:right="49"/>
        <w:jc w:val="both"/>
        <w:rPr>
          <w:rFonts w:ascii="Palatino Linotype" w:hAnsi="Palatino Linotype"/>
          <w:sz w:val="22"/>
          <w:szCs w:val="22"/>
        </w:rPr>
      </w:pPr>
      <w:r w:rsidRPr="005C3A9D">
        <w:rPr>
          <w:rFonts w:ascii="Palatino Linotype" w:eastAsia="Palatino Linotype" w:hAnsi="Palatino Linotype" w:cs="Palatino Linotype"/>
          <w:sz w:val="22"/>
          <w:szCs w:val="22"/>
        </w:rPr>
        <w:t xml:space="preserve">En el caso se desprende que la Unidad de Transparencia turnó la solicitud de información al área competente que cuenta con la información de acuerdo con sus facultades, funciones y atribuciones, y esta una vez realizada la búsqueda exhaustiva y razonable de la documentación solicitada, se pronunció respecto de la misma y que no obstante que la clasificó asumió contar con ella; por lo que, </w:t>
      </w:r>
      <w:r w:rsidRPr="005C3A9D">
        <w:rPr>
          <w:rFonts w:ascii="Palatino Linotype" w:eastAsia="Palatino Linotype" w:hAnsi="Palatino Linotype" w:cs="Palatino Linotype"/>
          <w:b/>
          <w:sz w:val="22"/>
          <w:szCs w:val="22"/>
          <w:u w:val="single"/>
        </w:rPr>
        <w:t>el procedimiento de búsqueda de la información se tiene por atendido. </w:t>
      </w:r>
    </w:p>
    <w:p w14:paraId="3A22DEB2" w14:textId="77777777" w:rsidR="009D1871" w:rsidRPr="005C3A9D" w:rsidRDefault="009D1871" w:rsidP="00AC2786">
      <w:pPr>
        <w:spacing w:line="360" w:lineRule="auto"/>
        <w:jc w:val="both"/>
        <w:rPr>
          <w:rFonts w:ascii="Palatino Linotype" w:eastAsia="Palatino Linotype" w:hAnsi="Palatino Linotype" w:cs="Palatino Linotype"/>
          <w:b/>
          <w:sz w:val="22"/>
          <w:szCs w:val="22"/>
        </w:rPr>
      </w:pPr>
    </w:p>
    <w:p w14:paraId="4647CCC6" w14:textId="4F273D32" w:rsidR="002964E5" w:rsidRPr="005C3A9D" w:rsidRDefault="00EE46A1"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Establecido lo anterior, conviene recordar que en respuesta el </w:t>
      </w:r>
      <w:r w:rsidRPr="005C3A9D">
        <w:rPr>
          <w:rFonts w:ascii="Palatino Linotype" w:eastAsia="Palatino Linotype" w:hAnsi="Palatino Linotype" w:cs="Palatino Linotype"/>
          <w:b/>
          <w:bCs/>
          <w:sz w:val="22"/>
          <w:szCs w:val="22"/>
        </w:rPr>
        <w:t>Sujeto Obligado</w:t>
      </w:r>
      <w:r w:rsidRPr="005C3A9D">
        <w:rPr>
          <w:rFonts w:ascii="Palatino Linotype" w:eastAsia="Palatino Linotype" w:hAnsi="Palatino Linotype" w:cs="Palatino Linotype"/>
          <w:sz w:val="22"/>
          <w:szCs w:val="22"/>
        </w:rPr>
        <w:t xml:space="preserve"> informó que respecto al número de licencias o permisos vigentes por vialidad y su avance de cobro, dicha información no puede proporcionarse en su totalidad al estar vinculada con datos personales de los titulares, los cuales se encuentran protegidos en términos de los artículos 169 y 170 de la Ley de Transparencia y Acceso a la Información Pública del Estado de México y Municipios; sin embargo, tal y como lo manifestó la parte </w:t>
      </w:r>
      <w:r w:rsidRPr="005C3A9D">
        <w:rPr>
          <w:rFonts w:ascii="Palatino Linotype" w:eastAsia="Palatino Linotype" w:hAnsi="Palatino Linotype" w:cs="Palatino Linotype"/>
          <w:b/>
          <w:bCs/>
          <w:sz w:val="22"/>
          <w:szCs w:val="22"/>
        </w:rPr>
        <w:t>Recurrente</w:t>
      </w:r>
      <w:r w:rsidRPr="005C3A9D">
        <w:rPr>
          <w:rFonts w:ascii="Palatino Linotype" w:eastAsia="Palatino Linotype" w:hAnsi="Palatino Linotype" w:cs="Palatino Linotype"/>
          <w:sz w:val="22"/>
          <w:szCs w:val="22"/>
        </w:rPr>
        <w:t xml:space="preserve"> en la interposición del recurso revisión, este únicamente desea conocer el número de permisos o licencias autorizada</w:t>
      </w:r>
      <w:r w:rsidR="004B07F5" w:rsidRPr="005C3A9D">
        <w:rPr>
          <w:rFonts w:ascii="Palatino Linotype" w:eastAsia="Palatino Linotype" w:hAnsi="Palatino Linotype" w:cs="Palatino Linotype"/>
          <w:sz w:val="22"/>
          <w:szCs w:val="22"/>
        </w:rPr>
        <w:t>s</w:t>
      </w:r>
      <w:r w:rsidRPr="005C3A9D">
        <w:rPr>
          <w:rFonts w:ascii="Palatino Linotype" w:eastAsia="Palatino Linotype" w:hAnsi="Palatino Linotype" w:cs="Palatino Linotype"/>
          <w:sz w:val="22"/>
          <w:szCs w:val="22"/>
        </w:rPr>
        <w:t>, es decir información estadística</w:t>
      </w:r>
      <w:r w:rsidR="002964E5" w:rsidRPr="005C3A9D">
        <w:rPr>
          <w:rFonts w:ascii="Palatino Linotype" w:eastAsia="Palatino Linotype" w:hAnsi="Palatino Linotype" w:cs="Palatino Linotype"/>
          <w:sz w:val="22"/>
          <w:szCs w:val="22"/>
        </w:rPr>
        <w:t>; por lo que resulta procedente ordenar la entrega del documento que dé cuenta del Número de Licencias de Funcionamiento otorgadas a los puestos semifijos o comercio ambulante en las calles y vialidades del Ayuntamiento de Chic</w:t>
      </w:r>
      <w:r w:rsidR="009C5EB3" w:rsidRPr="005C3A9D">
        <w:rPr>
          <w:rFonts w:ascii="Palatino Linotype" w:eastAsia="Palatino Linotype" w:hAnsi="Palatino Linotype" w:cs="Palatino Linotype"/>
          <w:sz w:val="22"/>
          <w:szCs w:val="22"/>
        </w:rPr>
        <w:t>oncuac</w:t>
      </w:r>
      <w:r w:rsidR="002964E5" w:rsidRPr="005C3A9D">
        <w:rPr>
          <w:rFonts w:ascii="Palatino Linotype" w:eastAsia="Palatino Linotype" w:hAnsi="Palatino Linotype" w:cs="Palatino Linotype"/>
          <w:sz w:val="22"/>
          <w:szCs w:val="22"/>
        </w:rPr>
        <w:t>, del uno de enero al treinta y uno de octubre de dos mil veinticinco, en versión pública de ser procedente.</w:t>
      </w:r>
    </w:p>
    <w:p w14:paraId="176800E6" w14:textId="77777777" w:rsidR="009C5EB3" w:rsidRPr="005C3A9D" w:rsidRDefault="009C5EB3" w:rsidP="00AC2786">
      <w:pPr>
        <w:spacing w:line="360" w:lineRule="auto"/>
        <w:jc w:val="both"/>
        <w:rPr>
          <w:rFonts w:ascii="Palatino Linotype" w:eastAsia="Palatino Linotype" w:hAnsi="Palatino Linotype" w:cs="Palatino Linotype"/>
          <w:sz w:val="22"/>
          <w:szCs w:val="22"/>
        </w:rPr>
      </w:pPr>
    </w:p>
    <w:p w14:paraId="4B878FEF" w14:textId="77777777" w:rsidR="002964E5" w:rsidRPr="005C3A9D" w:rsidRDefault="002964E5" w:rsidP="00AC2786">
      <w:pPr>
        <w:spacing w:line="360" w:lineRule="auto"/>
        <w:ind w:right="51"/>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Sirve de apoyo a lo anterior, el Criterio orientador con clave de control SO/008/2023, emitido por el entonces Instituto Nacional de Transparencia y Acceso a la Información y Protección de Datos Personales, INAI, de rubro y texto siguientes:</w:t>
      </w:r>
    </w:p>
    <w:p w14:paraId="2AA9B305" w14:textId="77777777" w:rsidR="002964E5" w:rsidRPr="005C3A9D" w:rsidRDefault="002964E5" w:rsidP="00AC278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lastRenderedPageBreak/>
        <w:t>“</w:t>
      </w:r>
      <w:r w:rsidRPr="005C3A9D">
        <w:rPr>
          <w:rFonts w:ascii="Palatino Linotype" w:eastAsia="Palatino Linotype" w:hAnsi="Palatino Linotype" w:cs="Palatino Linotype"/>
          <w:b/>
          <w:i/>
          <w:sz w:val="22"/>
          <w:szCs w:val="22"/>
        </w:rPr>
        <w:t xml:space="preserve">Ejercicio del derecho de Acceso a la Información Pública. La información estadística es de naturaleza pública, independientemente de la materia con la que se encuentre vinculada. </w:t>
      </w:r>
      <w:r w:rsidRPr="005C3A9D">
        <w:rPr>
          <w:rFonts w:ascii="Palatino Linotype" w:eastAsia="Palatino Linotype" w:hAnsi="Palatino Linotype" w:cs="Palatino Linotype"/>
          <w:i/>
          <w:sz w:val="22"/>
          <w:szCs w:val="22"/>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w:t>
      </w:r>
      <w:r w:rsidRPr="005C3A9D">
        <w:rPr>
          <w:rFonts w:ascii="Palatino Linotype" w:eastAsia="Palatino Linotype" w:hAnsi="Palatino Linotype" w:cs="Palatino Linotype"/>
          <w:b/>
          <w:i/>
          <w:sz w:val="22"/>
          <w:szCs w:val="22"/>
        </w:rPr>
        <w:t>los sujetos obligados deberán poner a disposición del público, entre otra, la relativa a la que con base en la información estadística</w:t>
      </w:r>
      <w:r w:rsidRPr="005C3A9D">
        <w:rPr>
          <w:rFonts w:ascii="Palatino Linotype" w:eastAsia="Palatino Linotype" w:hAnsi="Palatino Linotype" w:cs="Palatino Linotype"/>
          <w:i/>
          <w:sz w:val="22"/>
          <w:szCs w:val="22"/>
        </w:rPr>
        <w:t xml:space="preserve">, responda a las preguntas hechas con más frecuencia por el público, por lo que es posible afirmar que la información estadística es de naturaleza pública, </w:t>
      </w:r>
      <w:r w:rsidRPr="005C3A9D">
        <w:rPr>
          <w:rFonts w:ascii="Palatino Linotype" w:eastAsia="Palatino Linotype" w:hAnsi="Palatino Linotype" w:cs="Palatino Linotype"/>
          <w:b/>
          <w:i/>
          <w:sz w:val="22"/>
          <w:szCs w:val="22"/>
        </w:rPr>
        <w:t>siempre y cuando los datos estadísticos no se encuentren individualizados o personalizados a casos o situaciones específicas,</w:t>
      </w:r>
      <w:r w:rsidRPr="005C3A9D">
        <w:rPr>
          <w:rFonts w:ascii="Palatino Linotype" w:eastAsia="Palatino Linotype" w:hAnsi="Palatino Linotype" w:cs="Palatino Linotype"/>
          <w:i/>
          <w:sz w:val="22"/>
          <w:szCs w:val="22"/>
        </w:rPr>
        <w:t xml:space="preserve"> que pudieran llegar a justificar su clasificación.”</w:t>
      </w:r>
    </w:p>
    <w:p w14:paraId="472492A2" w14:textId="77777777" w:rsidR="00EE46A1" w:rsidRPr="005C3A9D" w:rsidRDefault="00EE46A1" w:rsidP="00AC2786">
      <w:pPr>
        <w:spacing w:line="360" w:lineRule="auto"/>
        <w:jc w:val="both"/>
        <w:rPr>
          <w:rFonts w:ascii="Palatino Linotype" w:eastAsia="Palatino Linotype" w:hAnsi="Palatino Linotype" w:cs="Palatino Linotype"/>
          <w:sz w:val="22"/>
          <w:szCs w:val="22"/>
        </w:rPr>
      </w:pPr>
    </w:p>
    <w:p w14:paraId="52EC855D" w14:textId="527292D6" w:rsidR="00027421" w:rsidRPr="005C3A9D" w:rsidRDefault="00027421" w:rsidP="00027421">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No obstante, para caso de que no cuente con la información que se ordena, referente a los permisos otorgados al comercio ambulante, por no haberse generado, bastará con que así lo haga del conocimiento de la parte </w:t>
      </w:r>
      <w:r w:rsidRPr="005C3A9D">
        <w:rPr>
          <w:rFonts w:ascii="Palatino Linotype" w:eastAsia="Palatino Linotype" w:hAnsi="Palatino Linotype" w:cs="Palatino Linotype"/>
          <w:b/>
          <w:sz w:val="22"/>
          <w:szCs w:val="22"/>
        </w:rPr>
        <w:t>Recurrente</w:t>
      </w:r>
      <w:r w:rsidRPr="005C3A9D">
        <w:rPr>
          <w:rFonts w:ascii="Palatino Linotype" w:eastAsia="Palatino Linotype" w:hAnsi="Palatino Linotype" w:cs="Palatino Linotype"/>
          <w:sz w:val="22"/>
          <w:szCs w:val="22"/>
        </w:rPr>
        <w:t>, de manera fundada y motivada, en términos del artículo 19, párrafo segundo de la Ley de Transparencia y Acceso a la Información Pública del Estado de México y Municipios, para tener por colmado el requerimiento de información.</w:t>
      </w:r>
    </w:p>
    <w:p w14:paraId="6282FA3A" w14:textId="77777777" w:rsidR="00027421" w:rsidRPr="005C3A9D" w:rsidRDefault="00027421" w:rsidP="00AC2786">
      <w:pPr>
        <w:spacing w:line="360" w:lineRule="auto"/>
        <w:jc w:val="both"/>
        <w:rPr>
          <w:rFonts w:ascii="Palatino Linotype" w:eastAsia="Palatino Linotype" w:hAnsi="Palatino Linotype" w:cs="Palatino Linotype"/>
          <w:sz w:val="22"/>
          <w:szCs w:val="22"/>
        </w:rPr>
      </w:pPr>
    </w:p>
    <w:p w14:paraId="1906C549" w14:textId="7E796B5C" w:rsidR="003A71CA" w:rsidRPr="005C3A9D" w:rsidRDefault="004B07F5"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Finalmente, y respecto al avance de cobro en porcentaje con corte al mes de octubre de dos mil veinticinco, el servidor público habilitado competente informó que a</w:t>
      </w:r>
      <w:r w:rsidR="00EE46A1" w:rsidRPr="005C3A9D">
        <w:rPr>
          <w:rFonts w:ascii="Palatino Linotype" w:eastAsia="Palatino Linotype" w:hAnsi="Palatino Linotype" w:cs="Palatino Linotype"/>
          <w:sz w:val="22"/>
          <w:szCs w:val="22"/>
        </w:rPr>
        <w:t xml:space="preserve">l mes de octubre de </w:t>
      </w:r>
      <w:r w:rsidR="009C5EB3" w:rsidRPr="005C3A9D">
        <w:rPr>
          <w:rFonts w:ascii="Palatino Linotype" w:eastAsia="Palatino Linotype" w:hAnsi="Palatino Linotype" w:cs="Palatino Linotype"/>
          <w:sz w:val="22"/>
          <w:szCs w:val="22"/>
        </w:rPr>
        <w:t>dos mil veinticinco</w:t>
      </w:r>
      <w:r w:rsidR="00EE46A1" w:rsidRPr="005C3A9D">
        <w:rPr>
          <w:rFonts w:ascii="Palatino Linotype" w:eastAsia="Palatino Linotype" w:hAnsi="Palatino Linotype" w:cs="Palatino Linotype"/>
          <w:sz w:val="22"/>
          <w:szCs w:val="22"/>
        </w:rPr>
        <w:t>, el avance global en el cobro de derechos municipales por permisos y licencias comerciales asciende aproximadamente al 30.28%, conforme a los registros de la Unidad de Comercio</w:t>
      </w:r>
      <w:r w:rsidRPr="005C3A9D">
        <w:rPr>
          <w:rFonts w:ascii="Palatino Linotype" w:eastAsia="Palatino Linotype" w:hAnsi="Palatino Linotype" w:cs="Palatino Linotype"/>
          <w:sz w:val="22"/>
          <w:szCs w:val="22"/>
        </w:rPr>
        <w:t>, razón por la que</w:t>
      </w:r>
      <w:r w:rsidR="00763E81" w:rsidRPr="005C3A9D">
        <w:rPr>
          <w:rFonts w:ascii="Palatino Linotype" w:eastAsia="Palatino Linotype" w:hAnsi="Palatino Linotype" w:cs="Palatino Linotype"/>
          <w:sz w:val="22"/>
          <w:szCs w:val="22"/>
        </w:rPr>
        <w:t>, la</w:t>
      </w:r>
      <w:r w:rsidRPr="005C3A9D">
        <w:rPr>
          <w:rFonts w:ascii="Palatino Linotype" w:eastAsia="Palatino Linotype" w:hAnsi="Palatino Linotype" w:cs="Palatino Linotype"/>
          <w:sz w:val="22"/>
          <w:szCs w:val="22"/>
        </w:rPr>
        <w:t xml:space="preserve"> parte </w:t>
      </w:r>
      <w:r w:rsidRPr="005C3A9D">
        <w:rPr>
          <w:rFonts w:ascii="Palatino Linotype" w:eastAsia="Palatino Linotype" w:hAnsi="Palatino Linotype" w:cs="Palatino Linotype"/>
          <w:b/>
          <w:bCs/>
          <w:sz w:val="22"/>
          <w:szCs w:val="22"/>
        </w:rPr>
        <w:t>Recurrente</w:t>
      </w:r>
      <w:r w:rsidRPr="005C3A9D">
        <w:rPr>
          <w:rFonts w:ascii="Palatino Linotype" w:eastAsia="Palatino Linotype" w:hAnsi="Palatino Linotype" w:cs="Palatino Linotype"/>
          <w:sz w:val="22"/>
          <w:szCs w:val="22"/>
        </w:rPr>
        <w:t xml:space="preserve"> manifestó su inconformidad al señalar que la respuesta no era precisa</w:t>
      </w:r>
      <w:r w:rsidR="003A71CA" w:rsidRPr="005C3A9D">
        <w:rPr>
          <w:rFonts w:ascii="Palatino Linotype" w:eastAsia="Palatino Linotype" w:hAnsi="Palatino Linotype" w:cs="Palatino Linotype"/>
          <w:sz w:val="22"/>
          <w:szCs w:val="22"/>
        </w:rPr>
        <w:t xml:space="preserve">, toda vez que lo solicitado es por </w:t>
      </w:r>
      <w:r w:rsidRPr="005C3A9D">
        <w:rPr>
          <w:rFonts w:ascii="Palatino Linotype" w:eastAsia="Palatino Linotype" w:hAnsi="Palatino Linotype" w:cs="Palatino Linotype"/>
          <w:sz w:val="22"/>
          <w:szCs w:val="22"/>
        </w:rPr>
        <w:t>calle o vialidades</w:t>
      </w:r>
      <w:r w:rsidR="003A71CA" w:rsidRPr="005C3A9D">
        <w:rPr>
          <w:rFonts w:ascii="Palatino Linotype" w:eastAsia="Palatino Linotype" w:hAnsi="Palatino Linotype" w:cs="Palatino Linotype"/>
          <w:sz w:val="22"/>
          <w:szCs w:val="22"/>
        </w:rPr>
        <w:t xml:space="preserve">; sin embargo, este Organismo Garante no advierte fundamento jurídico que obligue al </w:t>
      </w:r>
      <w:r w:rsidR="003A71CA" w:rsidRPr="005C3A9D">
        <w:rPr>
          <w:rFonts w:ascii="Palatino Linotype" w:eastAsia="Palatino Linotype" w:hAnsi="Palatino Linotype" w:cs="Palatino Linotype"/>
          <w:b/>
          <w:bCs/>
          <w:sz w:val="22"/>
          <w:szCs w:val="22"/>
        </w:rPr>
        <w:lastRenderedPageBreak/>
        <w:t>Sujeto Obligado</w:t>
      </w:r>
      <w:r w:rsidR="003A71CA" w:rsidRPr="005C3A9D">
        <w:rPr>
          <w:rFonts w:ascii="Palatino Linotype" w:eastAsia="Palatino Linotype" w:hAnsi="Palatino Linotype" w:cs="Palatino Linotype"/>
          <w:sz w:val="22"/>
          <w:szCs w:val="22"/>
        </w:rPr>
        <w:t xml:space="preserve"> a contar con un avance de cobro en porcentaje por calle, por lo que se presume </w:t>
      </w:r>
      <w:r w:rsidR="00763E81" w:rsidRPr="005C3A9D">
        <w:rPr>
          <w:rFonts w:ascii="Palatino Linotype" w:eastAsia="Palatino Linotype" w:hAnsi="Palatino Linotype" w:cs="Palatino Linotype"/>
          <w:sz w:val="22"/>
          <w:szCs w:val="22"/>
        </w:rPr>
        <w:t xml:space="preserve">que </w:t>
      </w:r>
      <w:r w:rsidR="003A71CA" w:rsidRPr="005C3A9D">
        <w:rPr>
          <w:rFonts w:ascii="Palatino Linotype" w:eastAsia="Palatino Linotype" w:hAnsi="Palatino Linotype" w:cs="Palatino Linotype"/>
          <w:sz w:val="22"/>
          <w:szCs w:val="22"/>
        </w:rPr>
        <w:t xml:space="preserve">con lo manifestado en respuesta, atiende el derecho de acceso a la información de la parte </w:t>
      </w:r>
      <w:r w:rsidR="003A71CA" w:rsidRPr="005C3A9D">
        <w:rPr>
          <w:rFonts w:ascii="Palatino Linotype" w:eastAsia="Palatino Linotype" w:hAnsi="Palatino Linotype" w:cs="Palatino Linotype"/>
          <w:b/>
          <w:bCs/>
          <w:sz w:val="22"/>
          <w:szCs w:val="22"/>
        </w:rPr>
        <w:t>Recurrente</w:t>
      </w:r>
      <w:r w:rsidR="003A71CA" w:rsidRPr="005C3A9D">
        <w:rPr>
          <w:rFonts w:ascii="Palatino Linotype" w:eastAsia="Palatino Linotype" w:hAnsi="Palatino Linotype" w:cs="Palatino Linotype"/>
          <w:sz w:val="22"/>
          <w:szCs w:val="22"/>
        </w:rPr>
        <w:t>, al hacerle del conocimiento el porcentaje global en el cobro de permisos y licencias comerciales</w:t>
      </w:r>
      <w:r w:rsidR="00763E81" w:rsidRPr="005C3A9D">
        <w:rPr>
          <w:rFonts w:ascii="Palatino Linotype" w:eastAsia="Palatino Linotype" w:hAnsi="Palatino Linotype" w:cs="Palatino Linotype"/>
          <w:sz w:val="22"/>
          <w:szCs w:val="22"/>
        </w:rPr>
        <w:t xml:space="preserve">. </w:t>
      </w:r>
    </w:p>
    <w:p w14:paraId="05F27FA0" w14:textId="77777777" w:rsidR="003A71CA" w:rsidRPr="005C3A9D" w:rsidRDefault="003A71CA" w:rsidP="00AC2786">
      <w:pPr>
        <w:spacing w:line="360" w:lineRule="auto"/>
        <w:jc w:val="both"/>
        <w:rPr>
          <w:rFonts w:ascii="Palatino Linotype" w:eastAsia="Palatino Linotype" w:hAnsi="Palatino Linotype" w:cs="Palatino Linotype"/>
          <w:b/>
          <w:sz w:val="22"/>
          <w:szCs w:val="22"/>
          <w:lang w:val="es-MX"/>
        </w:rPr>
      </w:pPr>
    </w:p>
    <w:p w14:paraId="56F528E6" w14:textId="77777777" w:rsidR="00763E81" w:rsidRPr="005C3A9D" w:rsidRDefault="00763E81" w:rsidP="00AC2786">
      <w:pPr>
        <w:spacing w:line="360" w:lineRule="auto"/>
        <w:jc w:val="both"/>
        <w:rPr>
          <w:rFonts w:ascii="Palatino Linotype" w:eastAsia="Palatino Linotype" w:hAnsi="Palatino Linotype" w:cs="Palatino Linotype"/>
          <w:sz w:val="22"/>
          <w:szCs w:val="22"/>
          <w:lang w:val="es-MX"/>
        </w:rPr>
      </w:pPr>
      <w:r w:rsidRPr="005C3A9D">
        <w:rPr>
          <w:rFonts w:ascii="Palatino Linotype" w:eastAsia="Palatino Linotype" w:hAnsi="Palatino Linotype" w:cs="Palatino Linotype"/>
          <w:sz w:val="22"/>
          <w:szCs w:val="22"/>
          <w:lang w:val="es-MX"/>
        </w:rPr>
        <w:t>En este sentido conviene señalar que los sujetos obligados deben atender las solicitudes de información en términos de lo establecido en los artículos 12, segundo párrafo, y 24, último párrafo, de la Ley de Transparencia y Acceso a la Información Pública del Estado de México y Municipios, que son del tenor siguiente:</w:t>
      </w:r>
    </w:p>
    <w:p w14:paraId="162EF498" w14:textId="77777777" w:rsidR="00763E81" w:rsidRPr="005C3A9D" w:rsidRDefault="00763E81" w:rsidP="00AC2786">
      <w:pPr>
        <w:spacing w:line="360" w:lineRule="auto"/>
        <w:jc w:val="both"/>
        <w:rPr>
          <w:rFonts w:ascii="Palatino Linotype" w:eastAsia="Palatino Linotype" w:hAnsi="Palatino Linotype" w:cs="Palatino Linotype"/>
          <w:sz w:val="22"/>
          <w:szCs w:val="22"/>
          <w:lang w:val="es-MX"/>
        </w:rPr>
      </w:pPr>
    </w:p>
    <w:p w14:paraId="226A3A6C" w14:textId="71A9C22D" w:rsidR="00763E81" w:rsidRPr="005C3A9D" w:rsidRDefault="00763E81" w:rsidP="00AC2786">
      <w:pPr>
        <w:spacing w:line="276" w:lineRule="auto"/>
        <w:ind w:left="851" w:right="616"/>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Cs/>
          <w:i/>
          <w:sz w:val="22"/>
          <w:szCs w:val="22"/>
          <w:lang w:val="es-MX"/>
        </w:rPr>
        <w:t>“</w:t>
      </w:r>
      <w:r w:rsidRPr="005C3A9D">
        <w:rPr>
          <w:rFonts w:ascii="Palatino Linotype" w:eastAsia="Palatino Linotype" w:hAnsi="Palatino Linotype" w:cs="Palatino Linotype"/>
          <w:b/>
          <w:i/>
          <w:sz w:val="22"/>
          <w:szCs w:val="22"/>
          <w:lang w:val="es-MX"/>
        </w:rPr>
        <w:t>Artículo 12.</w:t>
      </w:r>
      <w:r w:rsidRPr="005C3A9D">
        <w:rPr>
          <w:rFonts w:ascii="Palatino Linotype" w:eastAsia="Palatino Linotype" w:hAnsi="Palatino Linotype" w:cs="Palatino Linotype"/>
          <w:i/>
          <w:sz w:val="22"/>
          <w:szCs w:val="22"/>
          <w:lang w:val="es-MX"/>
        </w:rPr>
        <w:t xml:space="preserve"> Quienes generen, recopilen, administren, manejen, procesen, archiven o conserven información pública serán responsables de la misma en los términos de las disposiciones jurídicas aplicables.</w:t>
      </w:r>
    </w:p>
    <w:p w14:paraId="604FF47C" w14:textId="77777777" w:rsidR="00763E81" w:rsidRPr="005C3A9D" w:rsidRDefault="00763E81" w:rsidP="00AC2786">
      <w:pPr>
        <w:spacing w:line="276" w:lineRule="auto"/>
        <w:ind w:left="851" w:right="616"/>
        <w:jc w:val="both"/>
        <w:rPr>
          <w:rFonts w:ascii="Palatino Linotype" w:eastAsia="Palatino Linotype" w:hAnsi="Palatino Linotype" w:cs="Palatino Linotype"/>
          <w:i/>
          <w:sz w:val="22"/>
          <w:szCs w:val="22"/>
          <w:lang w:val="es-MX"/>
        </w:rPr>
      </w:pPr>
    </w:p>
    <w:p w14:paraId="76631C2D" w14:textId="77777777" w:rsidR="00763E81" w:rsidRPr="005C3A9D" w:rsidRDefault="00763E81" w:rsidP="00AC2786">
      <w:pPr>
        <w:spacing w:line="276" w:lineRule="auto"/>
        <w:ind w:left="851" w:right="616"/>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
          <w:i/>
          <w:sz w:val="22"/>
          <w:szCs w:val="22"/>
          <w:u w:val="single"/>
          <w:lang w:val="es-MX"/>
        </w:rPr>
        <w:t xml:space="preserve">Los sujetos obligados sólo proporcionarán la información pública que se les requiera y que obre en sus archivos </w:t>
      </w:r>
      <w:r w:rsidRPr="005C3A9D">
        <w:rPr>
          <w:rFonts w:ascii="Palatino Linotype" w:eastAsia="Palatino Linotype" w:hAnsi="Palatino Linotype" w:cs="Palatino Linotype"/>
          <w:i/>
          <w:sz w:val="22"/>
          <w:szCs w:val="22"/>
          <w:u w:val="single"/>
          <w:lang w:val="es-MX"/>
        </w:rPr>
        <w:t>y en el estado en que ésta se encuentre.</w:t>
      </w:r>
      <w:r w:rsidRPr="005C3A9D">
        <w:rPr>
          <w:rFonts w:ascii="Palatino Linotype" w:eastAsia="Palatino Linotype" w:hAnsi="Palatino Linotype" w:cs="Palatino Linotype"/>
          <w:i/>
          <w:sz w:val="22"/>
          <w:szCs w:val="22"/>
          <w:lang w:val="es-MX"/>
        </w:rPr>
        <w:t xml:space="preserve"> La obligación de proporcionar información </w:t>
      </w:r>
      <w:r w:rsidRPr="005C3A9D">
        <w:rPr>
          <w:rFonts w:ascii="Palatino Linotype" w:eastAsia="Palatino Linotype" w:hAnsi="Palatino Linotype" w:cs="Palatino Linotype"/>
          <w:b/>
          <w:i/>
          <w:sz w:val="22"/>
          <w:szCs w:val="22"/>
          <w:u w:val="single"/>
          <w:lang w:val="es-MX"/>
        </w:rPr>
        <w:t>no comprende el procesamiento de la misma, ni el presentarla conforme al interés del solicitante; no estarán obligados a generarla,</w:t>
      </w:r>
      <w:r w:rsidRPr="005C3A9D">
        <w:rPr>
          <w:rFonts w:ascii="Palatino Linotype" w:eastAsia="Palatino Linotype" w:hAnsi="Palatino Linotype" w:cs="Palatino Linotype"/>
          <w:i/>
          <w:sz w:val="22"/>
          <w:szCs w:val="22"/>
          <w:lang w:val="es-MX"/>
        </w:rPr>
        <w:t xml:space="preserve"> resumirla, efectuar cálculos o practicar investigaciones.</w:t>
      </w:r>
    </w:p>
    <w:p w14:paraId="533CD019" w14:textId="77777777" w:rsidR="00763E81" w:rsidRPr="005C3A9D" w:rsidRDefault="00763E81" w:rsidP="00AC2786">
      <w:pPr>
        <w:spacing w:line="276" w:lineRule="auto"/>
        <w:ind w:left="851" w:right="616"/>
        <w:jc w:val="both"/>
        <w:rPr>
          <w:rFonts w:ascii="Palatino Linotype" w:eastAsia="Palatino Linotype" w:hAnsi="Palatino Linotype" w:cs="Palatino Linotype"/>
          <w:b/>
          <w:i/>
          <w:sz w:val="22"/>
          <w:szCs w:val="22"/>
          <w:lang w:val="es-MX"/>
        </w:rPr>
      </w:pPr>
    </w:p>
    <w:p w14:paraId="5F0842B2" w14:textId="77777777" w:rsidR="00763E81" w:rsidRPr="005C3A9D" w:rsidRDefault="00763E81" w:rsidP="00AC2786">
      <w:pPr>
        <w:spacing w:line="276" w:lineRule="auto"/>
        <w:ind w:left="851" w:right="616"/>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
          <w:i/>
          <w:sz w:val="22"/>
          <w:szCs w:val="22"/>
          <w:lang w:val="es-MX"/>
        </w:rPr>
        <w:t>Artículo 24.</w:t>
      </w:r>
      <w:r w:rsidRPr="005C3A9D">
        <w:rPr>
          <w:rFonts w:ascii="Palatino Linotype" w:eastAsia="Palatino Linotype" w:hAnsi="Palatino Linotype" w:cs="Palatino Linotype"/>
          <w:i/>
          <w:sz w:val="22"/>
          <w:szCs w:val="22"/>
          <w:lang w:val="es-MX"/>
        </w:rPr>
        <w:t xml:space="preserve"> Para el cumplimiento de los objetivos de esta Ley, los sujetos obligados deberán cumplir con las siguientes obligaciones, según corresponda, de acuerdo a su naturaleza:</w:t>
      </w:r>
    </w:p>
    <w:p w14:paraId="5AF38AEB" w14:textId="77777777" w:rsidR="00763E81" w:rsidRPr="005C3A9D" w:rsidRDefault="00763E81" w:rsidP="00AC2786">
      <w:pPr>
        <w:spacing w:line="276" w:lineRule="auto"/>
        <w:ind w:left="851" w:right="616"/>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i/>
          <w:sz w:val="22"/>
          <w:szCs w:val="22"/>
          <w:lang w:val="es-MX"/>
        </w:rPr>
        <w:t>….</w:t>
      </w:r>
    </w:p>
    <w:p w14:paraId="4C25348F" w14:textId="64DB032B" w:rsidR="00763E81" w:rsidRPr="005C3A9D" w:rsidRDefault="00763E81" w:rsidP="00AC2786">
      <w:pPr>
        <w:spacing w:line="276" w:lineRule="auto"/>
        <w:ind w:left="851" w:right="616"/>
        <w:jc w:val="both"/>
        <w:rPr>
          <w:rFonts w:ascii="Palatino Linotype" w:eastAsia="Palatino Linotype" w:hAnsi="Palatino Linotype" w:cs="Palatino Linotype"/>
          <w:b/>
          <w:i/>
          <w:sz w:val="22"/>
          <w:szCs w:val="22"/>
          <w:u w:val="single"/>
          <w:lang w:val="es-MX"/>
        </w:rPr>
      </w:pPr>
      <w:r w:rsidRPr="005C3A9D">
        <w:rPr>
          <w:rFonts w:ascii="Palatino Linotype" w:eastAsia="Palatino Linotype" w:hAnsi="Palatino Linotype" w:cs="Palatino Linotype"/>
          <w:i/>
          <w:sz w:val="22"/>
          <w:szCs w:val="22"/>
          <w:lang w:val="es-MX"/>
        </w:rPr>
        <w:t xml:space="preserve">Los sujetos obligados </w:t>
      </w:r>
      <w:r w:rsidRPr="005C3A9D">
        <w:rPr>
          <w:rFonts w:ascii="Palatino Linotype" w:eastAsia="Palatino Linotype" w:hAnsi="Palatino Linotype" w:cs="Palatino Linotype"/>
          <w:b/>
          <w:i/>
          <w:sz w:val="22"/>
          <w:szCs w:val="22"/>
          <w:u w:val="single"/>
          <w:lang w:val="es-MX"/>
        </w:rPr>
        <w:t>solo proporcionarán la información pública que generen, administren o posean en el ejercicio de sus atribuciones</w:t>
      </w:r>
      <w:proofErr w:type="gramStart"/>
      <w:r w:rsidRPr="005C3A9D">
        <w:rPr>
          <w:rFonts w:ascii="Palatino Linotype" w:eastAsia="Palatino Linotype" w:hAnsi="Palatino Linotype" w:cs="Palatino Linotype"/>
          <w:b/>
          <w:i/>
          <w:sz w:val="22"/>
          <w:szCs w:val="22"/>
          <w:u w:val="single"/>
          <w:lang w:val="es-MX"/>
        </w:rPr>
        <w:t>. ”</w:t>
      </w:r>
      <w:proofErr w:type="gramEnd"/>
    </w:p>
    <w:p w14:paraId="4A5E2DF6" w14:textId="77777777" w:rsidR="00763E81" w:rsidRPr="005C3A9D" w:rsidRDefault="00763E81" w:rsidP="00AC2786">
      <w:pPr>
        <w:spacing w:line="360" w:lineRule="auto"/>
        <w:jc w:val="both"/>
        <w:rPr>
          <w:rFonts w:ascii="Palatino Linotype" w:eastAsia="Palatino Linotype" w:hAnsi="Palatino Linotype" w:cs="Palatino Linotype"/>
          <w:sz w:val="22"/>
          <w:szCs w:val="22"/>
          <w:lang w:val="es-MX"/>
        </w:rPr>
      </w:pPr>
    </w:p>
    <w:p w14:paraId="1A16124F" w14:textId="13F21E74" w:rsidR="00763E81" w:rsidRPr="005C3A9D" w:rsidRDefault="00763E81" w:rsidP="00AC2786">
      <w:pPr>
        <w:spacing w:line="360" w:lineRule="auto"/>
        <w:jc w:val="both"/>
        <w:rPr>
          <w:rFonts w:ascii="Palatino Linotype" w:eastAsia="Palatino Linotype" w:hAnsi="Palatino Linotype" w:cs="Palatino Linotype"/>
          <w:sz w:val="22"/>
          <w:szCs w:val="22"/>
          <w:lang w:val="es-MX"/>
        </w:rPr>
      </w:pPr>
      <w:r w:rsidRPr="005C3A9D">
        <w:rPr>
          <w:rFonts w:ascii="Palatino Linotype" w:eastAsia="Palatino Linotype" w:hAnsi="Palatino Linotype" w:cs="Palatino Linotype"/>
          <w:sz w:val="22"/>
          <w:szCs w:val="22"/>
          <w:lang w:val="es-MX"/>
        </w:rPr>
        <w:t>Lo anterior, tiene sustento y se robustece con el Criterio orientador número 03/17 emitido por el entonces Instituto Nacional de Transparencia, Acceso a la Información y Protección de Datos Personales (INAI), que se inserta a continuación:</w:t>
      </w:r>
    </w:p>
    <w:p w14:paraId="5BC90F4E" w14:textId="77777777" w:rsidR="00763E81" w:rsidRPr="005C3A9D" w:rsidRDefault="00763E81" w:rsidP="00AC2786">
      <w:pPr>
        <w:spacing w:line="360" w:lineRule="auto"/>
        <w:jc w:val="both"/>
        <w:rPr>
          <w:rFonts w:ascii="Palatino Linotype" w:eastAsia="Palatino Linotype" w:hAnsi="Palatino Linotype" w:cs="Palatino Linotype"/>
          <w:sz w:val="22"/>
          <w:szCs w:val="22"/>
          <w:lang w:val="es-MX"/>
        </w:rPr>
      </w:pPr>
    </w:p>
    <w:p w14:paraId="4B5CFC6D" w14:textId="7D92C92F" w:rsidR="00763E81" w:rsidRPr="005C3A9D" w:rsidRDefault="001507E5" w:rsidP="001507E5">
      <w:pPr>
        <w:tabs>
          <w:tab w:val="left" w:pos="993"/>
        </w:tabs>
        <w:spacing w:line="276" w:lineRule="auto"/>
        <w:ind w:left="851" w:right="616"/>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Cs/>
          <w:i/>
          <w:sz w:val="22"/>
          <w:szCs w:val="22"/>
          <w:lang w:val="es-MX"/>
        </w:rPr>
        <w:t>“</w:t>
      </w:r>
      <w:r w:rsidR="00763E81" w:rsidRPr="005C3A9D">
        <w:rPr>
          <w:rFonts w:ascii="Palatino Linotype" w:eastAsia="Palatino Linotype" w:hAnsi="Palatino Linotype" w:cs="Palatino Linotype"/>
          <w:b/>
          <w:i/>
          <w:sz w:val="22"/>
          <w:szCs w:val="22"/>
          <w:lang w:val="es-MX"/>
        </w:rPr>
        <w:t xml:space="preserve">No existe obligación de elaborar documentos ad hoc para atender las solicitudes de acceso a la información. </w:t>
      </w:r>
      <w:r w:rsidR="00763E81" w:rsidRPr="005C3A9D">
        <w:rPr>
          <w:rFonts w:ascii="Palatino Linotype" w:eastAsia="Palatino Linotype" w:hAnsi="Palatino Linotype" w:cs="Palatino Linotype"/>
          <w:i/>
          <w:sz w:val="22"/>
          <w:szCs w:val="22"/>
          <w:lang w:val="es-MX"/>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94CBA50" w14:textId="77777777" w:rsidR="00763E81" w:rsidRPr="005C3A9D" w:rsidRDefault="00763E81" w:rsidP="001507E5">
      <w:pPr>
        <w:tabs>
          <w:tab w:val="left" w:pos="993"/>
        </w:tabs>
        <w:spacing w:line="276" w:lineRule="auto"/>
        <w:ind w:left="851" w:right="616"/>
        <w:jc w:val="both"/>
        <w:rPr>
          <w:rFonts w:ascii="Palatino Linotype" w:eastAsia="Palatino Linotype" w:hAnsi="Palatino Linotype" w:cs="Palatino Linotype"/>
          <w:b/>
          <w:i/>
          <w:sz w:val="22"/>
          <w:szCs w:val="22"/>
          <w:lang w:val="es-MX"/>
        </w:rPr>
      </w:pPr>
    </w:p>
    <w:p w14:paraId="1F946B4D" w14:textId="77777777" w:rsidR="00763E81" w:rsidRPr="005C3A9D" w:rsidRDefault="00763E81" w:rsidP="001507E5">
      <w:pPr>
        <w:tabs>
          <w:tab w:val="left" w:pos="993"/>
        </w:tabs>
        <w:spacing w:line="276" w:lineRule="auto"/>
        <w:ind w:left="851" w:right="616"/>
        <w:jc w:val="both"/>
        <w:rPr>
          <w:rFonts w:ascii="Palatino Linotype" w:eastAsia="Palatino Linotype" w:hAnsi="Palatino Linotype" w:cs="Palatino Linotype"/>
          <w:b/>
          <w:i/>
          <w:sz w:val="22"/>
          <w:szCs w:val="22"/>
          <w:lang w:val="es-MX"/>
        </w:rPr>
      </w:pPr>
      <w:r w:rsidRPr="005C3A9D">
        <w:rPr>
          <w:rFonts w:ascii="Palatino Linotype" w:eastAsia="Palatino Linotype" w:hAnsi="Palatino Linotype" w:cs="Palatino Linotype"/>
          <w:b/>
          <w:i/>
          <w:sz w:val="22"/>
          <w:szCs w:val="22"/>
          <w:lang w:val="es-MX"/>
        </w:rPr>
        <w:t>Resoluciones:</w:t>
      </w:r>
    </w:p>
    <w:p w14:paraId="1BE53374" w14:textId="77777777" w:rsidR="00763E81" w:rsidRPr="005C3A9D" w:rsidRDefault="00763E81" w:rsidP="001507E5">
      <w:pPr>
        <w:numPr>
          <w:ilvl w:val="0"/>
          <w:numId w:val="35"/>
        </w:numPr>
        <w:tabs>
          <w:tab w:val="left" w:pos="993"/>
        </w:tabs>
        <w:spacing w:line="276" w:lineRule="auto"/>
        <w:ind w:left="851" w:right="616" w:firstLine="0"/>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
          <w:i/>
          <w:sz w:val="22"/>
          <w:szCs w:val="22"/>
          <w:lang w:val="es-MX"/>
        </w:rPr>
        <w:t>RRA 0050/16.</w:t>
      </w:r>
      <w:r w:rsidRPr="005C3A9D">
        <w:rPr>
          <w:rFonts w:ascii="Palatino Linotype" w:eastAsia="Palatino Linotype" w:hAnsi="Palatino Linotype" w:cs="Palatino Linotype"/>
          <w:i/>
          <w:sz w:val="22"/>
          <w:szCs w:val="22"/>
          <w:lang w:val="es-MX"/>
        </w:rPr>
        <w:t xml:space="preserve"> Instituto Nacional para la Evaluación de la Educación. 13 julio de 2016. Por unanimidad. Comisionado Ponente: Francisco Javier Acuña Llamas.</w:t>
      </w:r>
    </w:p>
    <w:p w14:paraId="42F3B1BF" w14:textId="77777777" w:rsidR="00763E81" w:rsidRPr="005C3A9D" w:rsidRDefault="00763E81" w:rsidP="001507E5">
      <w:pPr>
        <w:numPr>
          <w:ilvl w:val="0"/>
          <w:numId w:val="35"/>
        </w:numPr>
        <w:tabs>
          <w:tab w:val="left" w:pos="993"/>
        </w:tabs>
        <w:spacing w:line="276" w:lineRule="auto"/>
        <w:ind w:left="851" w:right="616" w:firstLine="0"/>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
          <w:i/>
          <w:sz w:val="22"/>
          <w:szCs w:val="22"/>
          <w:lang w:val="es-MX"/>
        </w:rPr>
        <w:t xml:space="preserve">RRA 0310/16. </w:t>
      </w:r>
      <w:r w:rsidRPr="005C3A9D">
        <w:rPr>
          <w:rFonts w:ascii="Palatino Linotype" w:eastAsia="Palatino Linotype" w:hAnsi="Palatino Linotype" w:cs="Palatino Linotype"/>
          <w:i/>
          <w:sz w:val="22"/>
          <w:szCs w:val="22"/>
          <w:lang w:val="es-MX"/>
        </w:rPr>
        <w:t>Instituto Nacional de Transparencia, Acceso a la Información y Protección de Datos Personales. 10 de agosto de 2016. Por unanimidad. Comisionada Ponente. Areli Cano Guadiana.</w:t>
      </w:r>
    </w:p>
    <w:p w14:paraId="19F6C69A" w14:textId="44E314D7" w:rsidR="00763E81" w:rsidRPr="005C3A9D" w:rsidRDefault="00763E81" w:rsidP="001507E5">
      <w:pPr>
        <w:numPr>
          <w:ilvl w:val="0"/>
          <w:numId w:val="35"/>
        </w:numPr>
        <w:tabs>
          <w:tab w:val="left" w:pos="993"/>
        </w:tabs>
        <w:spacing w:line="276" w:lineRule="auto"/>
        <w:ind w:left="851" w:right="616" w:firstLine="0"/>
        <w:jc w:val="both"/>
        <w:rPr>
          <w:rFonts w:ascii="Palatino Linotype" w:eastAsia="Palatino Linotype" w:hAnsi="Palatino Linotype" w:cs="Palatino Linotype"/>
          <w:i/>
          <w:sz w:val="22"/>
          <w:szCs w:val="22"/>
          <w:lang w:val="es-MX"/>
        </w:rPr>
      </w:pPr>
      <w:r w:rsidRPr="005C3A9D">
        <w:rPr>
          <w:rFonts w:ascii="Palatino Linotype" w:eastAsia="Palatino Linotype" w:hAnsi="Palatino Linotype" w:cs="Palatino Linotype"/>
          <w:b/>
          <w:i/>
          <w:sz w:val="22"/>
          <w:szCs w:val="22"/>
          <w:lang w:val="es-MX"/>
        </w:rPr>
        <w:t xml:space="preserve">RRA 1889/16. </w:t>
      </w:r>
      <w:r w:rsidRPr="005C3A9D">
        <w:rPr>
          <w:rFonts w:ascii="Palatino Linotype" w:eastAsia="Palatino Linotype" w:hAnsi="Palatino Linotype" w:cs="Palatino Linotype"/>
          <w:i/>
          <w:sz w:val="22"/>
          <w:szCs w:val="22"/>
          <w:lang w:val="es-MX"/>
        </w:rPr>
        <w:t>Secretaría de Hacienda y Crédito Público. 05 de octubre de 2016. Por unanimidad. Comisionada Ponente. Ximena Puente de la Mora.</w:t>
      </w:r>
      <w:r w:rsidR="001507E5" w:rsidRPr="005C3A9D">
        <w:rPr>
          <w:rFonts w:ascii="Palatino Linotype" w:eastAsia="Palatino Linotype" w:hAnsi="Palatino Linotype" w:cs="Palatino Linotype"/>
          <w:i/>
          <w:sz w:val="22"/>
          <w:szCs w:val="22"/>
          <w:lang w:val="es-MX"/>
        </w:rPr>
        <w:t>”</w:t>
      </w:r>
    </w:p>
    <w:p w14:paraId="1B5AB530" w14:textId="77777777" w:rsidR="00763E81" w:rsidRPr="005C3A9D" w:rsidRDefault="00763E81" w:rsidP="001507E5">
      <w:pPr>
        <w:tabs>
          <w:tab w:val="left" w:pos="993"/>
        </w:tabs>
        <w:spacing w:line="276" w:lineRule="auto"/>
        <w:ind w:left="851" w:right="616"/>
        <w:jc w:val="both"/>
        <w:rPr>
          <w:rFonts w:ascii="Palatino Linotype" w:eastAsia="Palatino Linotype" w:hAnsi="Palatino Linotype" w:cs="Palatino Linotype"/>
          <w:sz w:val="22"/>
          <w:szCs w:val="22"/>
          <w:lang w:val="es-MX"/>
        </w:rPr>
      </w:pPr>
    </w:p>
    <w:p w14:paraId="2B2DD019" w14:textId="3D1C9BFC" w:rsidR="00763E81" w:rsidRPr="005C3A9D" w:rsidRDefault="00763E81" w:rsidP="00AC2786">
      <w:pPr>
        <w:spacing w:line="360" w:lineRule="auto"/>
        <w:jc w:val="both"/>
        <w:rPr>
          <w:rFonts w:ascii="Palatino Linotype" w:eastAsia="Palatino Linotype" w:hAnsi="Palatino Linotype" w:cs="Palatino Linotype"/>
          <w:sz w:val="22"/>
          <w:szCs w:val="22"/>
          <w:lang w:val="es-MX"/>
        </w:rPr>
      </w:pPr>
      <w:r w:rsidRPr="005C3A9D">
        <w:rPr>
          <w:rFonts w:ascii="Palatino Linotype" w:eastAsia="Palatino Linotype" w:hAnsi="Palatino Linotype" w:cs="Palatino Linotype"/>
          <w:sz w:val="22"/>
          <w:szCs w:val="22"/>
          <w:lang w:val="es-MX"/>
        </w:rPr>
        <w:t xml:space="preserve">Así, y de conformidad con lo antes señalado, </w:t>
      </w:r>
      <w:r w:rsidRPr="005C3A9D">
        <w:rPr>
          <w:rFonts w:ascii="Palatino Linotype" w:eastAsia="Palatino Linotype" w:hAnsi="Palatino Linotype" w:cs="Palatino Linotype"/>
          <w:bCs/>
          <w:sz w:val="22"/>
          <w:szCs w:val="22"/>
          <w:lang w:val="es-MX"/>
        </w:rPr>
        <w:t xml:space="preserve">el </w:t>
      </w:r>
      <w:r w:rsidRPr="005C3A9D">
        <w:rPr>
          <w:rFonts w:ascii="Palatino Linotype" w:eastAsia="Palatino Linotype" w:hAnsi="Palatino Linotype" w:cs="Palatino Linotype"/>
          <w:b/>
          <w:sz w:val="22"/>
          <w:szCs w:val="22"/>
          <w:lang w:val="es-MX"/>
        </w:rPr>
        <w:t xml:space="preserve">Sujeto Obligado </w:t>
      </w:r>
      <w:r w:rsidRPr="005C3A9D">
        <w:rPr>
          <w:rFonts w:ascii="Palatino Linotype" w:eastAsia="Palatino Linotype" w:hAnsi="Palatino Linotype" w:cs="Palatino Linotype"/>
          <w:sz w:val="22"/>
          <w:szCs w:val="22"/>
          <w:lang w:val="es-MX"/>
        </w:rPr>
        <w:t xml:space="preserve">sólo proporcionará la información que obra en sus archivos, lo que a </w:t>
      </w:r>
      <w:r w:rsidRPr="005C3A9D">
        <w:rPr>
          <w:rFonts w:ascii="Palatino Linotype" w:eastAsia="Palatino Linotype" w:hAnsi="Palatino Linotype" w:cs="Palatino Linotype"/>
          <w:i/>
          <w:sz w:val="22"/>
          <w:szCs w:val="22"/>
          <w:lang w:val="es-MX"/>
        </w:rPr>
        <w:t>contrario sensu</w:t>
      </w:r>
      <w:r w:rsidRPr="005C3A9D">
        <w:rPr>
          <w:rFonts w:ascii="Palatino Linotype" w:eastAsia="Palatino Linotype" w:hAnsi="Palatino Linotype" w:cs="Palatino Linotype"/>
          <w:sz w:val="22"/>
          <w:szCs w:val="22"/>
          <w:lang w:val="es-MX"/>
        </w:rPr>
        <w:t xml:space="preserve"> significa que no se está obligado a proporcionar lo que no obre en sus archivos, situación que se actualiza en el presente asunto, motivo por el cual se colma el derecho de acceso a la información pública del particular</w:t>
      </w:r>
      <w:r w:rsidR="001507E5" w:rsidRPr="005C3A9D">
        <w:rPr>
          <w:rFonts w:ascii="Palatino Linotype" w:eastAsia="Palatino Linotype" w:hAnsi="Palatino Linotype" w:cs="Palatino Linotype"/>
          <w:sz w:val="22"/>
          <w:szCs w:val="22"/>
          <w:lang w:val="es-MX"/>
        </w:rPr>
        <w:t xml:space="preserve"> del presente requerimiento. </w:t>
      </w:r>
    </w:p>
    <w:p w14:paraId="6AC5E65E" w14:textId="45238A33" w:rsidR="000901C0" w:rsidRPr="005C3A9D" w:rsidRDefault="000901C0" w:rsidP="00AC2786">
      <w:pPr>
        <w:spacing w:line="360" w:lineRule="auto"/>
        <w:jc w:val="both"/>
        <w:rPr>
          <w:rFonts w:ascii="Palatino Linotype" w:eastAsia="Palatino Linotype" w:hAnsi="Palatino Linotype" w:cs="Palatino Linotype"/>
          <w:sz w:val="22"/>
          <w:szCs w:val="22"/>
        </w:rPr>
      </w:pPr>
    </w:p>
    <w:p w14:paraId="1A8F2495"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Quinto. Versión Pública. </w:t>
      </w:r>
      <w:r w:rsidRPr="005C3A9D">
        <w:rPr>
          <w:rFonts w:ascii="Palatino Linotype" w:eastAsia="Palatino Linotype" w:hAnsi="Palatino Linotype" w:cs="Palatino Linotype"/>
          <w:sz w:val="22"/>
          <w:szCs w:val="22"/>
        </w:rPr>
        <w:t xml:space="preserve">Finalmente, para la entrega de la información que se determina ordenar, el </w:t>
      </w:r>
      <w:r w:rsidRPr="005C3A9D">
        <w:rPr>
          <w:rFonts w:ascii="Palatino Linotype" w:eastAsia="Palatino Linotype" w:hAnsi="Palatino Linotype" w:cs="Palatino Linotype"/>
          <w:b/>
          <w:bCs/>
          <w:sz w:val="22"/>
          <w:szCs w:val="22"/>
        </w:rPr>
        <w:t>Sujeto Obligado</w:t>
      </w:r>
      <w:r w:rsidRPr="005C3A9D">
        <w:rPr>
          <w:rFonts w:ascii="Palatino Linotype" w:eastAsia="Palatino Linotype" w:hAnsi="Palatino Linotype" w:cs="Palatino Linotype"/>
          <w:sz w:val="22"/>
          <w:szCs w:val="22"/>
        </w:rPr>
        <w:t xml:space="preserve"> deberá realizar un análisis con la finalidad de advertir si esta </w:t>
      </w:r>
      <w:r w:rsidRPr="005C3A9D">
        <w:rPr>
          <w:rFonts w:ascii="Palatino Linotype" w:eastAsia="Palatino Linotype" w:hAnsi="Palatino Linotype" w:cs="Palatino Linotype"/>
          <w:sz w:val="22"/>
          <w:szCs w:val="22"/>
        </w:rPr>
        <w:lastRenderedPageBreak/>
        <w:t xml:space="preserve">contiene datos que deben ser clasificados en los términos que la misma Ley en la materia señala. </w:t>
      </w:r>
    </w:p>
    <w:p w14:paraId="007B16E3"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0D29C322"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14:paraId="162F9977"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3B1F2C5B"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Ahora bien, es de destacar que, la información que se determina ordenar puede contener los siguientes datos: </w:t>
      </w:r>
    </w:p>
    <w:p w14:paraId="35F57125"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24025E94" w14:textId="77777777" w:rsidR="004B3BD4" w:rsidRPr="005C3A9D" w:rsidRDefault="004B3BD4" w:rsidP="001507E5">
      <w:pPr>
        <w:spacing w:line="360" w:lineRule="auto"/>
        <w:ind w:right="51"/>
        <w:contextualSpacing/>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Clave catastral</w:t>
      </w:r>
      <w:r w:rsidRPr="005C3A9D">
        <w:rPr>
          <w:rFonts w:ascii="Palatino Linotype" w:eastAsia="Palatino Linotype" w:hAnsi="Palatino Linotype" w:cs="Palatino Linotype"/>
          <w:sz w:val="22"/>
          <w:szCs w:val="22"/>
        </w:rPr>
        <w:t xml:space="preserve">. En lo que respecta a este dato artículo 179, fracción I del </w:t>
      </w:r>
      <w:r w:rsidRPr="005C3A9D">
        <w:rPr>
          <w:rFonts w:ascii="Palatino Linotype" w:eastAsia="Palatino Linotype" w:hAnsi="Palatino Linotype" w:cs="Palatino Linotype"/>
          <w:i/>
          <w:sz w:val="22"/>
          <w:szCs w:val="22"/>
        </w:rPr>
        <w:t>Código Financiero del Estado de México y Municipios,</w:t>
      </w:r>
      <w:r w:rsidRPr="005C3A9D">
        <w:rPr>
          <w:rFonts w:ascii="Palatino Linotype" w:eastAsia="Palatino Linotype" w:hAnsi="Palatino Linotype" w:cs="Palatino Linotype"/>
          <w:sz w:val="22"/>
          <w:szCs w:val="22"/>
        </w:rPr>
        <w:t xml:space="preserve">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78DAB8FF" w14:textId="77777777" w:rsidR="001507E5" w:rsidRPr="005C3A9D" w:rsidRDefault="001507E5" w:rsidP="001507E5">
      <w:pPr>
        <w:spacing w:line="360" w:lineRule="auto"/>
        <w:ind w:right="51"/>
        <w:jc w:val="both"/>
        <w:rPr>
          <w:rFonts w:ascii="Palatino Linotype" w:eastAsia="Palatino Linotype" w:hAnsi="Palatino Linotype" w:cs="Palatino Linotype"/>
          <w:sz w:val="22"/>
          <w:szCs w:val="22"/>
        </w:rPr>
      </w:pPr>
    </w:p>
    <w:p w14:paraId="09F307D8" w14:textId="55C16F61" w:rsidR="004B3BD4" w:rsidRPr="005C3A9D" w:rsidRDefault="004B3BD4" w:rsidP="001507E5">
      <w:pPr>
        <w:spacing w:line="360" w:lineRule="auto"/>
        <w:ind w:right="51"/>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Conforme a lo descrito, se advierte que el dato en comento hace referencia a un predio determinado.</w:t>
      </w:r>
    </w:p>
    <w:p w14:paraId="3BA06863" w14:textId="77777777" w:rsidR="001507E5" w:rsidRPr="005C3A9D" w:rsidRDefault="001507E5" w:rsidP="001507E5">
      <w:pPr>
        <w:spacing w:line="360" w:lineRule="auto"/>
        <w:ind w:right="51"/>
        <w:jc w:val="both"/>
        <w:rPr>
          <w:rFonts w:ascii="Palatino Linotype" w:eastAsia="Palatino Linotype" w:hAnsi="Palatino Linotype" w:cs="Palatino Linotype"/>
          <w:sz w:val="22"/>
          <w:szCs w:val="22"/>
        </w:rPr>
      </w:pPr>
    </w:p>
    <w:p w14:paraId="4B80A629" w14:textId="77777777" w:rsidR="004B3BD4" w:rsidRPr="005C3A9D" w:rsidRDefault="004B3BD4" w:rsidP="001507E5">
      <w:pPr>
        <w:spacing w:line="360" w:lineRule="auto"/>
        <w:ind w:right="51"/>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El “Diccionario de Datos catastrales Escala 1:1000” del Instituto Nacional de Estadística y Geografía (INEGI), contempla en su Glosario la definición de la Clave Catastral, la cual, apunta lo siguiente:</w:t>
      </w:r>
    </w:p>
    <w:p w14:paraId="217351AE" w14:textId="77777777" w:rsidR="004B3BD4" w:rsidRPr="005C3A9D" w:rsidRDefault="004B3BD4" w:rsidP="00AC2786">
      <w:pPr>
        <w:pStyle w:val="Prrafodelista"/>
        <w:spacing w:line="360" w:lineRule="auto"/>
        <w:ind w:right="51"/>
        <w:jc w:val="both"/>
        <w:rPr>
          <w:rFonts w:ascii="Palatino Linotype" w:eastAsia="Palatino Linotype" w:hAnsi="Palatino Linotype" w:cs="Palatino Linotype"/>
        </w:rPr>
      </w:pPr>
    </w:p>
    <w:p w14:paraId="6011516E"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lastRenderedPageBreak/>
        <w:t>“</w:t>
      </w:r>
      <w:r w:rsidRPr="005C3A9D">
        <w:rPr>
          <w:rFonts w:ascii="Palatino Linotype" w:eastAsia="Palatino Linotype" w:hAnsi="Palatino Linotype" w:cs="Palatino Linotype"/>
          <w:b/>
          <w:i/>
          <w:sz w:val="22"/>
          <w:szCs w:val="22"/>
        </w:rPr>
        <w:t>Clave Catastral</w:t>
      </w:r>
      <w:r w:rsidRPr="005C3A9D">
        <w:rPr>
          <w:rFonts w:ascii="Palatino Linotype" w:eastAsia="Palatino Linotype" w:hAnsi="Palatino Linotype" w:cs="Palatino Linotype"/>
          <w:i/>
          <w:sz w:val="22"/>
          <w:szCs w:val="22"/>
        </w:rPr>
        <w:t>: El código que identifica al predio de forma única para su localización geográfica, mismo que es asignado a cada uno de ellos en el momento de su inscripción en el padrón catastral por las Unidades del Estado con atribuciones catastrales.”</w:t>
      </w:r>
    </w:p>
    <w:p w14:paraId="136DE545" w14:textId="77777777" w:rsidR="004B3BD4" w:rsidRPr="005C3A9D" w:rsidRDefault="004B3BD4" w:rsidP="00AC2786">
      <w:pPr>
        <w:ind w:right="616"/>
        <w:jc w:val="both"/>
        <w:rPr>
          <w:rFonts w:ascii="Palatino Linotype" w:eastAsia="Palatino Linotype" w:hAnsi="Palatino Linotype" w:cs="Palatino Linotype"/>
          <w:i/>
          <w:sz w:val="22"/>
          <w:szCs w:val="22"/>
        </w:rPr>
      </w:pPr>
    </w:p>
    <w:p w14:paraId="7A0148A7" w14:textId="77777777" w:rsidR="004B3BD4" w:rsidRPr="005C3A9D" w:rsidRDefault="004B3BD4" w:rsidP="001507E5">
      <w:pPr>
        <w:spacing w:line="360" w:lineRule="auto"/>
        <w:ind w:right="134"/>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De los conceptos antepuestos, se advierte que la Clave Catastral es una serie de elementos que hacen identificable un inmueble para su localización geográfica y posterior inscripción al padrón catastral de cada Entidad Federativa y, quizá hasta podría revelar información inherente al patrimonio del propietario de dicho predio o inmueble, lo que no otorga ni certeza jurídica ni abona a la transparencia, ya que no se trata de actos de autoridad que ayuden a hacer público el quehacer de los servidores, por lo cual se considera que no es procedente la entrega de dicho dato.</w:t>
      </w:r>
    </w:p>
    <w:p w14:paraId="42E01A55" w14:textId="77777777" w:rsidR="001507E5" w:rsidRPr="005C3A9D" w:rsidRDefault="001507E5" w:rsidP="00AC2786">
      <w:pPr>
        <w:spacing w:line="360" w:lineRule="auto"/>
        <w:ind w:left="709" w:right="134"/>
        <w:jc w:val="both"/>
        <w:rPr>
          <w:rFonts w:ascii="Palatino Linotype" w:eastAsia="Palatino Linotype" w:hAnsi="Palatino Linotype" w:cs="Palatino Linotype"/>
          <w:sz w:val="22"/>
          <w:szCs w:val="22"/>
        </w:rPr>
      </w:pPr>
    </w:p>
    <w:p w14:paraId="1E4D1E8A" w14:textId="77777777" w:rsidR="004B3BD4" w:rsidRPr="005C3A9D" w:rsidRDefault="004B3BD4" w:rsidP="001507E5">
      <w:pPr>
        <w:spacing w:line="360" w:lineRule="auto"/>
        <w:contextualSpacing/>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Nombre de representante legal</w:t>
      </w:r>
      <w:r w:rsidRPr="005C3A9D">
        <w:rPr>
          <w:rFonts w:ascii="Palatino Linotype" w:eastAsia="Palatino Linotype" w:hAnsi="Palatino Linotype" w:cs="Palatino Linotype"/>
          <w:sz w:val="22"/>
          <w:szCs w:val="22"/>
        </w:rPr>
        <w:t>. Resulta necesario señalar que las personas jurídico colectivas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y recibir diversas Licencias de Funcionamiento.</w:t>
      </w:r>
    </w:p>
    <w:p w14:paraId="17DECF0C" w14:textId="77777777" w:rsidR="001507E5" w:rsidRPr="005C3A9D" w:rsidRDefault="001507E5" w:rsidP="001507E5">
      <w:pPr>
        <w:pStyle w:val="Prrafodelista"/>
        <w:spacing w:line="360" w:lineRule="auto"/>
        <w:ind w:left="720"/>
        <w:contextualSpacing/>
        <w:jc w:val="both"/>
        <w:rPr>
          <w:rFonts w:ascii="Palatino Linotype" w:eastAsia="Palatino Linotype" w:hAnsi="Palatino Linotype" w:cs="Palatino Linotype"/>
        </w:rPr>
      </w:pPr>
    </w:p>
    <w:p w14:paraId="0F994EF4"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47E8810E" w14:textId="77777777" w:rsidR="001507E5" w:rsidRPr="005C3A9D" w:rsidRDefault="001507E5" w:rsidP="00AC2786">
      <w:pPr>
        <w:pStyle w:val="Prrafodelista"/>
        <w:spacing w:line="360" w:lineRule="auto"/>
        <w:jc w:val="both"/>
        <w:rPr>
          <w:rFonts w:ascii="Palatino Linotype" w:eastAsia="Palatino Linotype" w:hAnsi="Palatino Linotype" w:cs="Palatino Linotype"/>
        </w:rPr>
      </w:pPr>
    </w:p>
    <w:p w14:paraId="0776B0AC"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lastRenderedPageBreak/>
        <w:t>En esa tesitura, la representación de las personas morales se realizará por medio de representantes o apoderados, y en el caso específico de las sociedades mercantiles, dicha representación se otorgará mediante instrumento público.</w:t>
      </w:r>
    </w:p>
    <w:p w14:paraId="04265F55" w14:textId="77777777" w:rsidR="001507E5" w:rsidRPr="005C3A9D" w:rsidRDefault="001507E5" w:rsidP="00AC2786">
      <w:pPr>
        <w:pStyle w:val="Prrafodelista"/>
        <w:spacing w:line="360" w:lineRule="auto"/>
        <w:jc w:val="both"/>
        <w:rPr>
          <w:rFonts w:ascii="Palatino Linotype" w:eastAsia="Palatino Linotype" w:hAnsi="Palatino Linotype" w:cs="Palatino Linotype"/>
        </w:rPr>
      </w:pPr>
    </w:p>
    <w:p w14:paraId="6F647BA4"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Ello, toda vez que la representación legal debe ser conocida para surtir efectos ante terceros; es decir, la publicidad de la misma tiene por objeto dar certeza a quienes se relacionan con la persona jurídico-colectiva representada, que las actuaciones de su representante están previamente autorizadas y que surtirán efectos legales a que constriñe cada acto.</w:t>
      </w:r>
    </w:p>
    <w:p w14:paraId="32135208" w14:textId="77777777" w:rsidR="001507E5" w:rsidRPr="005C3A9D" w:rsidRDefault="001507E5" w:rsidP="00AC2786">
      <w:pPr>
        <w:pStyle w:val="Prrafodelista"/>
        <w:spacing w:line="360" w:lineRule="auto"/>
        <w:jc w:val="both"/>
        <w:rPr>
          <w:rFonts w:ascii="Palatino Linotype" w:eastAsia="Palatino Linotype" w:hAnsi="Palatino Linotype" w:cs="Palatino Linotype"/>
        </w:rPr>
      </w:pPr>
    </w:p>
    <w:p w14:paraId="7CE83584"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5C3A9D">
        <w:rPr>
          <w:rFonts w:ascii="Palatino Linotype" w:eastAsia="Palatino Linotype" w:hAnsi="Palatino Linotype" w:cs="Palatino Linotype"/>
          <w:b/>
          <w:sz w:val="22"/>
          <w:szCs w:val="22"/>
        </w:rPr>
        <w:t xml:space="preserve">es público, </w:t>
      </w:r>
      <w:r w:rsidRPr="005C3A9D">
        <w:rPr>
          <w:rFonts w:ascii="Palatino Linotype" w:eastAsia="Palatino Linotype" w:hAnsi="Palatino Linotype" w:cs="Palatino Linotype"/>
          <w:sz w:val="22"/>
          <w:szCs w:val="22"/>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475C9396" w14:textId="77777777" w:rsidR="001507E5" w:rsidRPr="005C3A9D" w:rsidRDefault="001507E5" w:rsidP="00AC2786">
      <w:pPr>
        <w:pStyle w:val="Prrafodelista"/>
        <w:spacing w:line="360" w:lineRule="auto"/>
        <w:jc w:val="both"/>
        <w:rPr>
          <w:rFonts w:ascii="Palatino Linotype" w:eastAsia="Palatino Linotype" w:hAnsi="Palatino Linotype" w:cs="Palatino Linotype"/>
        </w:rPr>
      </w:pPr>
    </w:p>
    <w:p w14:paraId="7359FB5E"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Lo anterior, se robustece con el criterio 01/19, emitido por el Instituto Nacional de Transparencia, Acceso a la Información Pública y Protección de Datos Personales, que establece lo siguiente:</w:t>
      </w:r>
    </w:p>
    <w:p w14:paraId="5E0D2D13" w14:textId="77777777" w:rsidR="004B3BD4" w:rsidRPr="005C3A9D" w:rsidRDefault="004B3BD4" w:rsidP="00AC2786">
      <w:pPr>
        <w:spacing w:line="360" w:lineRule="auto"/>
        <w:ind w:left="567" w:right="567"/>
        <w:jc w:val="both"/>
        <w:rPr>
          <w:rFonts w:ascii="Palatino Linotype" w:eastAsia="Palatino Linotype" w:hAnsi="Palatino Linotype" w:cs="Palatino Linotype"/>
          <w:b/>
          <w:i/>
          <w:sz w:val="22"/>
          <w:szCs w:val="22"/>
        </w:rPr>
      </w:pPr>
    </w:p>
    <w:p w14:paraId="3A870958" w14:textId="77777777" w:rsidR="004B3BD4" w:rsidRPr="005C3A9D" w:rsidRDefault="004B3BD4" w:rsidP="00AC2786">
      <w:pPr>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“Datos de identificación del representante o apoderado legal.</w:t>
      </w:r>
      <w:r w:rsidRPr="005C3A9D">
        <w:rPr>
          <w:rFonts w:ascii="Palatino Linotype" w:eastAsia="Palatino Linotype" w:hAnsi="Palatino Linotype" w:cs="Palatino Linotype"/>
          <w:i/>
          <w:sz w:val="22"/>
          <w:szCs w:val="22"/>
        </w:rPr>
        <w:t xml:space="preserve"> </w:t>
      </w:r>
      <w:r w:rsidRPr="005C3A9D">
        <w:rPr>
          <w:rFonts w:ascii="Palatino Linotype" w:eastAsia="Palatino Linotype" w:hAnsi="Palatino Linotype" w:cs="Palatino Linotype"/>
          <w:b/>
          <w:i/>
          <w:sz w:val="22"/>
          <w:szCs w:val="22"/>
        </w:rPr>
        <w:t xml:space="preserve">Naturaleza jurídica. </w:t>
      </w:r>
      <w:r w:rsidRPr="005C3A9D">
        <w:rPr>
          <w:rFonts w:ascii="Palatino Linotype" w:eastAsia="Palatino Linotype" w:hAnsi="Palatino Linotype" w:cs="Palatino Linotype"/>
          <w:i/>
          <w:sz w:val="22"/>
          <w:szCs w:val="22"/>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roofErr w:type="gramStart"/>
      <w:r w:rsidRPr="005C3A9D">
        <w:rPr>
          <w:rFonts w:ascii="Palatino Linotype" w:eastAsia="Palatino Linotype" w:hAnsi="Palatino Linotype" w:cs="Palatino Linotype"/>
          <w:i/>
          <w:sz w:val="22"/>
          <w:szCs w:val="22"/>
        </w:rPr>
        <w:t>.”(</w:t>
      </w:r>
      <w:proofErr w:type="gramEnd"/>
      <w:r w:rsidRPr="005C3A9D">
        <w:rPr>
          <w:rFonts w:ascii="Palatino Linotype" w:eastAsia="Palatino Linotype" w:hAnsi="Palatino Linotype" w:cs="Palatino Linotype"/>
          <w:i/>
          <w:sz w:val="22"/>
          <w:szCs w:val="22"/>
        </w:rPr>
        <w:t>Sic)</w:t>
      </w:r>
    </w:p>
    <w:p w14:paraId="697E4DD5"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2D7CCE8E"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Ante tales situaciones, el nombre del representante legal, de una persona jurídica colectiva que solicito una Licencia de Funcionamiento, no es susceptible de ser clasificado como confidencial, en términos del artículo 143, fracción I de la Ley Federal de Transparencia y Acceso a la Información Pública; inclusive ayuda a rendir cuentas, de que dicha autorización fue entregada a la persona adecuada.</w:t>
      </w:r>
    </w:p>
    <w:p w14:paraId="280CDFD3" w14:textId="77777777" w:rsidR="004B3BD4" w:rsidRPr="005C3A9D" w:rsidRDefault="004B3BD4" w:rsidP="00AC2786">
      <w:pPr>
        <w:spacing w:line="360" w:lineRule="auto"/>
        <w:ind w:right="51"/>
        <w:jc w:val="both"/>
        <w:rPr>
          <w:rFonts w:ascii="Palatino Linotype" w:eastAsia="Palatino Linotype" w:hAnsi="Palatino Linotype" w:cs="Palatino Linotype"/>
          <w:sz w:val="22"/>
          <w:szCs w:val="22"/>
        </w:rPr>
      </w:pPr>
    </w:p>
    <w:p w14:paraId="10F36B03" w14:textId="77777777" w:rsidR="004B3BD4" w:rsidRPr="005C3A9D" w:rsidRDefault="004B3BD4" w:rsidP="001507E5">
      <w:pPr>
        <w:spacing w:line="360" w:lineRule="auto"/>
        <w:contextualSpacing/>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Domicilio particular del titular de la licencia de funcionamiento y el domicilio del local o establecimiento comercial</w:t>
      </w:r>
      <w:r w:rsidRPr="005C3A9D">
        <w:rPr>
          <w:rFonts w:ascii="Palatino Linotype" w:eastAsia="Palatino Linotype" w:hAnsi="Palatino Linotype" w:cs="Palatino Linotype"/>
          <w:sz w:val="22"/>
          <w:szCs w:val="22"/>
        </w:rPr>
        <w:t>, es dable precisar que el código civil, lo define de la siguiente manera:</w:t>
      </w:r>
    </w:p>
    <w:p w14:paraId="655CFEE5"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3BAB88DC" w14:textId="77777777" w:rsidR="004B3BD4" w:rsidRPr="005C3A9D" w:rsidRDefault="004B3BD4" w:rsidP="00AC2786">
      <w:pPr>
        <w:ind w:left="851" w:right="618"/>
        <w:jc w:val="both"/>
        <w:rPr>
          <w:rFonts w:ascii="Palatino Linotype" w:hAnsi="Palatino Linotype"/>
          <w:sz w:val="22"/>
          <w:szCs w:val="22"/>
        </w:rPr>
      </w:pPr>
      <w:r w:rsidRPr="005C3A9D">
        <w:rPr>
          <w:rFonts w:ascii="Palatino Linotype" w:eastAsia="Palatino Linotype" w:hAnsi="Palatino Linotype" w:cs="Palatino Linotype"/>
          <w:i/>
          <w:sz w:val="22"/>
          <w:szCs w:val="22"/>
        </w:rPr>
        <w:t>“Concepto de domicilio de las personas físicas Artículo 2.17.- El domicilio de una persona física es el lugar donde reside con el propósito de establecerse en él; a falta de éste, el lugar en que tiene el principal asiento de sus negocios; y a falta de uno y otro, el lugar en que se halle.”</w:t>
      </w:r>
      <w:r w:rsidRPr="005C3A9D">
        <w:rPr>
          <w:rFonts w:ascii="Palatino Linotype" w:hAnsi="Palatino Linotype"/>
          <w:sz w:val="22"/>
          <w:szCs w:val="22"/>
        </w:rPr>
        <w:t xml:space="preserve"> </w:t>
      </w:r>
    </w:p>
    <w:p w14:paraId="3EAE2874" w14:textId="77777777" w:rsidR="004B3BD4" w:rsidRPr="005C3A9D" w:rsidRDefault="004B3BD4" w:rsidP="00AC2786">
      <w:pPr>
        <w:spacing w:line="360" w:lineRule="auto"/>
        <w:jc w:val="both"/>
        <w:rPr>
          <w:rFonts w:ascii="Palatino Linotype" w:hAnsi="Palatino Linotype"/>
          <w:sz w:val="22"/>
          <w:szCs w:val="22"/>
        </w:rPr>
      </w:pPr>
    </w:p>
    <w:p w14:paraId="3A52BD63"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Entonces se identifica que el domicilio no solamente permite identificar a una persona, sino que la hace localizable de manera física. </w:t>
      </w:r>
    </w:p>
    <w:p w14:paraId="1338513D" w14:textId="77777777" w:rsidR="004B3BD4" w:rsidRPr="005C3A9D" w:rsidRDefault="004B3BD4" w:rsidP="00AC2786">
      <w:pPr>
        <w:spacing w:line="360" w:lineRule="auto"/>
        <w:ind w:left="567"/>
        <w:jc w:val="both"/>
        <w:rPr>
          <w:rFonts w:ascii="Palatino Linotype" w:eastAsia="Palatino Linotype" w:hAnsi="Palatino Linotype" w:cs="Palatino Linotype"/>
          <w:sz w:val="22"/>
          <w:szCs w:val="22"/>
        </w:rPr>
      </w:pPr>
    </w:p>
    <w:p w14:paraId="72915591"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Ahora bien, en el caso que nos ocupa, el domicilio particular del titular de la licencia de funcionamiento, este dato se clasifica, en términos al criterio 01/18, del Instituto de Transparencia y Acceso a la Información Pública del Estado de México, ya señalado.</w:t>
      </w:r>
    </w:p>
    <w:p w14:paraId="4C8C95A9" w14:textId="77777777" w:rsidR="004B3BD4" w:rsidRPr="005C3A9D" w:rsidRDefault="004B3BD4" w:rsidP="00AC2786">
      <w:pPr>
        <w:spacing w:line="360" w:lineRule="auto"/>
        <w:ind w:left="567"/>
        <w:jc w:val="both"/>
        <w:rPr>
          <w:rFonts w:ascii="Palatino Linotype" w:eastAsia="Palatino Linotype" w:hAnsi="Palatino Linotype" w:cs="Palatino Linotype"/>
          <w:sz w:val="22"/>
          <w:szCs w:val="22"/>
        </w:rPr>
      </w:pPr>
    </w:p>
    <w:p w14:paraId="48564325" w14:textId="77777777" w:rsidR="004B3BD4" w:rsidRPr="005C3A9D" w:rsidRDefault="004B3BD4" w:rsidP="001507E5">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No así en cuanto al domicilio del local o establecimiento comercial, ya que se identifica que el domicilio sobre el cual versa la licencia de funcionamiento es información de naturaleza pública.</w:t>
      </w:r>
    </w:p>
    <w:p w14:paraId="305AB89C" w14:textId="77777777" w:rsidR="004B3BD4" w:rsidRPr="005C3A9D" w:rsidRDefault="004B3BD4" w:rsidP="00AC2786">
      <w:pPr>
        <w:spacing w:line="360" w:lineRule="auto"/>
        <w:ind w:left="567"/>
        <w:jc w:val="both"/>
        <w:rPr>
          <w:rFonts w:ascii="Palatino Linotype" w:eastAsia="Palatino Linotype" w:hAnsi="Palatino Linotype" w:cs="Palatino Linotype"/>
          <w:sz w:val="22"/>
          <w:szCs w:val="22"/>
        </w:rPr>
      </w:pPr>
    </w:p>
    <w:p w14:paraId="23690E2B" w14:textId="77777777" w:rsidR="004B3BD4" w:rsidRPr="005C3A9D" w:rsidRDefault="004B3BD4" w:rsidP="001507E5">
      <w:pPr>
        <w:spacing w:line="360" w:lineRule="auto"/>
        <w:contextualSpacing/>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lastRenderedPageBreak/>
        <w:t xml:space="preserve"> </w:t>
      </w:r>
      <w:r w:rsidRPr="005C3A9D">
        <w:rPr>
          <w:rFonts w:ascii="Palatino Linotype" w:eastAsia="Palatino Linotype" w:hAnsi="Palatino Linotype" w:cs="Palatino Linotype"/>
          <w:b/>
          <w:sz w:val="22"/>
          <w:szCs w:val="22"/>
        </w:rPr>
        <w:t>Registro Federal de Contribuyentes (RFC)</w:t>
      </w:r>
      <w:r w:rsidRPr="005C3A9D">
        <w:rPr>
          <w:rFonts w:ascii="Palatino Linotype" w:eastAsia="Palatino Linotype" w:hAnsi="Palatino Linotype" w:cs="Palatino Linotype"/>
          <w:sz w:val="22"/>
          <w:szCs w:val="22"/>
        </w:rPr>
        <w:t>, en las licencias de funcionamiento, puede ser de personas físicas y morales. El Registro Federal de Contribuyentes de personas físicas,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w:t>
      </w:r>
    </w:p>
    <w:p w14:paraId="26265FCD" w14:textId="77777777" w:rsidR="001507E5" w:rsidRPr="005C3A9D" w:rsidRDefault="001507E5" w:rsidP="001507E5">
      <w:pPr>
        <w:pStyle w:val="Prrafodelista"/>
        <w:spacing w:line="360" w:lineRule="auto"/>
        <w:ind w:left="567"/>
        <w:contextualSpacing/>
        <w:jc w:val="both"/>
        <w:rPr>
          <w:rFonts w:ascii="Palatino Linotype" w:eastAsia="Palatino Linotype" w:hAnsi="Palatino Linotype" w:cs="Palatino Linotype"/>
        </w:rPr>
      </w:pPr>
    </w:p>
    <w:p w14:paraId="105144C4" w14:textId="77777777" w:rsidR="004B3BD4" w:rsidRPr="005C3A9D" w:rsidRDefault="004B3BD4" w:rsidP="001507E5">
      <w:pPr>
        <w:spacing w:line="360" w:lineRule="auto"/>
        <w:jc w:val="both"/>
        <w:rPr>
          <w:rFonts w:ascii="Palatino Linotype" w:eastAsia="Palatino Linotype" w:hAnsi="Palatino Linotype" w:cs="Palatino Linotype"/>
        </w:rPr>
      </w:pPr>
      <w:r w:rsidRPr="005C3A9D">
        <w:rPr>
          <w:rFonts w:ascii="Palatino Linotype" w:eastAsia="Palatino Linotype" w:hAnsi="Palatino Linotype" w:cs="Palatino Linotype"/>
        </w:rPr>
        <w:t>Lo anterior, resulta congruente con el Criterio 19/17 emitido por el Instituto Nacional de Transparencia, Acceso a la Información y Protección de Datos Personales, en el cual se señala lo siguiente:</w:t>
      </w:r>
    </w:p>
    <w:p w14:paraId="18C7CF13"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05FEA7A2" w14:textId="09206552" w:rsidR="004B3BD4" w:rsidRPr="005C3A9D" w:rsidRDefault="004B3BD4" w:rsidP="001507E5">
      <w:pPr>
        <w:ind w:left="851" w:right="618"/>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“Registro Federal de Contribuyentes (RFC) de personas físicas. El RFC es una clave de carácter fiscal, única e irrepetible, que permite identificar al titular, su edad y fecha de nacimiento, por lo que es un dato personal de carácter confidencial.”</w:t>
      </w:r>
    </w:p>
    <w:p w14:paraId="15719479"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41599649" w14:textId="77777777" w:rsidR="004B3BD4" w:rsidRPr="005C3A9D" w:rsidRDefault="004B3BD4" w:rsidP="00AC2786">
      <w:pPr>
        <w:spacing w:line="360" w:lineRule="auto"/>
        <w:ind w:right="50"/>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Lo anterior, de conformidad con lo que señalan los artículos 3 fracciones IX, XX, XXI y XLV, 91, 132 fracciones II y III, y 143 de la Ley de Transparencia y Acceso a la Información Pública del Estado de México y Municipios que establecen:</w:t>
      </w:r>
    </w:p>
    <w:p w14:paraId="24E74E6E" w14:textId="77777777" w:rsidR="004B3BD4" w:rsidRPr="005C3A9D" w:rsidRDefault="004B3BD4" w:rsidP="00AC2786">
      <w:pPr>
        <w:spacing w:line="360" w:lineRule="auto"/>
        <w:ind w:right="50"/>
        <w:jc w:val="both"/>
        <w:rPr>
          <w:rFonts w:ascii="Palatino Linotype" w:eastAsia="Palatino Linotype" w:hAnsi="Palatino Linotype" w:cs="Palatino Linotype"/>
          <w:sz w:val="22"/>
          <w:szCs w:val="22"/>
        </w:rPr>
      </w:pPr>
    </w:p>
    <w:p w14:paraId="58B8989E"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Artículo 3.</w:t>
      </w:r>
      <w:r w:rsidRPr="005C3A9D">
        <w:rPr>
          <w:rFonts w:ascii="Palatino Linotype" w:eastAsia="Palatino Linotype" w:hAnsi="Palatino Linotype" w:cs="Palatino Linotype"/>
          <w:i/>
          <w:sz w:val="22"/>
          <w:szCs w:val="22"/>
        </w:rPr>
        <w:t xml:space="preserve"> Para los efectos de la presente Ley se entenderá por:</w:t>
      </w:r>
    </w:p>
    <w:p w14:paraId="3CC3CA41"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3E32E5D2"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IX. Datos personales: La información concerniente a una persona, identificada o identificable según lo dispuesto por la Ley de Protección de Datos Personales del Estado de México; </w:t>
      </w:r>
    </w:p>
    <w:p w14:paraId="41A78AB2"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XX. Información clasificada: Aquella considerada por la presente Ley como reservada o confidencial;</w:t>
      </w:r>
    </w:p>
    <w:p w14:paraId="5380AD99"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XXI. Información confidencial: Se considera como información confidencial los secretos bancario, fiduciario, industrial, comercial, fiscal, bursátil y postal, cuya </w:t>
      </w:r>
      <w:r w:rsidRPr="005C3A9D">
        <w:rPr>
          <w:rFonts w:ascii="Palatino Linotype" w:eastAsia="Palatino Linotype" w:hAnsi="Palatino Linotype" w:cs="Palatino Linotype"/>
          <w:i/>
          <w:sz w:val="22"/>
          <w:szCs w:val="22"/>
        </w:rPr>
        <w:lastRenderedPageBreak/>
        <w:t>titularidad corresponda a particulares, sujetos de derecho internacional o a sujetos obligados cuando no involucren el ejercicio de recursos públicos;</w:t>
      </w:r>
    </w:p>
    <w:p w14:paraId="0A90A5BF"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XLV. Versión pública: Documento en el que se elimine, suprime o borra la información clasificada como reservada o confidencial para permitir su acceso.</w:t>
      </w:r>
    </w:p>
    <w:p w14:paraId="6A3337B9"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49ED9BE8"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91.</w:t>
      </w:r>
      <w:r w:rsidRPr="005C3A9D">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3B82FC1B"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132.</w:t>
      </w:r>
      <w:r w:rsidRPr="005C3A9D">
        <w:rPr>
          <w:rFonts w:ascii="Palatino Linotype" w:eastAsia="Palatino Linotype" w:hAnsi="Palatino Linotype" w:cs="Palatino Linotype"/>
          <w:i/>
          <w:sz w:val="22"/>
          <w:szCs w:val="22"/>
        </w:rPr>
        <w:t xml:space="preserve"> La clasificación de la información se llevará a cabo en el momento en que:</w:t>
      </w:r>
    </w:p>
    <w:p w14:paraId="2B0E7612" w14:textId="77777777" w:rsidR="004B3BD4" w:rsidRPr="005C3A9D" w:rsidRDefault="004B3BD4" w:rsidP="001507E5">
      <w:pPr>
        <w:tabs>
          <w:tab w:val="left" w:pos="1134"/>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 Se reciba una solicitud de acceso a la información;</w:t>
      </w:r>
    </w:p>
    <w:p w14:paraId="64D45758" w14:textId="77777777" w:rsidR="004B3BD4" w:rsidRPr="005C3A9D" w:rsidRDefault="004B3BD4" w:rsidP="001507E5">
      <w:pPr>
        <w:tabs>
          <w:tab w:val="left" w:pos="1134"/>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 Se determine mediante resolución de autoridad competente; o</w:t>
      </w:r>
    </w:p>
    <w:p w14:paraId="4127BDC2" w14:textId="77777777" w:rsidR="004B3BD4" w:rsidRPr="005C3A9D" w:rsidRDefault="004B3BD4" w:rsidP="001507E5">
      <w:pPr>
        <w:tabs>
          <w:tab w:val="left" w:pos="1134"/>
        </w:tabs>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III. Se generen versiones públicas para dar cumplimiento a las obligaciones de transparencia previstas en esta Ley.</w:t>
      </w:r>
    </w:p>
    <w:p w14:paraId="2CA79FCF"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35AA83FE"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Artículo 143</w:t>
      </w:r>
      <w:r w:rsidRPr="005C3A9D">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69967F2A"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 Se refiera a la información privada y los datos personales concernientes a una persona física o jurídico colectiva identificada o identificable;</w:t>
      </w:r>
    </w:p>
    <w:p w14:paraId="4D994A92"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0CCE947D"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w:t>
      </w:r>
    </w:p>
    <w:p w14:paraId="6C2343E4"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1FF082C8"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68D5FD5C" w14:textId="77777777" w:rsidR="004B3BD4" w:rsidRPr="005C3A9D" w:rsidRDefault="004B3BD4" w:rsidP="00AC2786">
      <w:pPr>
        <w:ind w:left="567" w:right="616"/>
        <w:jc w:val="both"/>
        <w:rPr>
          <w:rFonts w:ascii="Palatino Linotype" w:eastAsia="Palatino Linotype" w:hAnsi="Palatino Linotype" w:cs="Palatino Linotype"/>
          <w:i/>
          <w:sz w:val="22"/>
          <w:szCs w:val="22"/>
        </w:rPr>
      </w:pPr>
    </w:p>
    <w:p w14:paraId="74658FEE"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w:t>
      </w:r>
      <w:r w:rsidRPr="005C3A9D">
        <w:rPr>
          <w:rFonts w:ascii="Palatino Linotype" w:eastAsia="Palatino Linotype" w:hAnsi="Palatino Linotype" w:cs="Palatino Linotype"/>
          <w:sz w:val="22"/>
          <w:szCs w:val="22"/>
        </w:rPr>
        <w:lastRenderedPageBreak/>
        <w:t>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74F91AC" w14:textId="77777777" w:rsidR="004B3BD4" w:rsidRPr="005C3A9D" w:rsidRDefault="004B3BD4" w:rsidP="00AC2786">
      <w:pPr>
        <w:jc w:val="both"/>
        <w:rPr>
          <w:rFonts w:ascii="Palatino Linotype" w:eastAsia="Palatino Linotype" w:hAnsi="Palatino Linotype" w:cs="Palatino Linotype"/>
          <w:sz w:val="22"/>
          <w:szCs w:val="22"/>
        </w:rPr>
      </w:pPr>
    </w:p>
    <w:p w14:paraId="42946932"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14:paraId="52948ACA"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279D493E"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 “</w:t>
      </w:r>
      <w:r w:rsidRPr="005C3A9D">
        <w:rPr>
          <w:rFonts w:ascii="Palatino Linotype" w:eastAsia="Palatino Linotype" w:hAnsi="Palatino Linotype" w:cs="Palatino Linotype"/>
          <w:b/>
          <w:i/>
          <w:sz w:val="22"/>
          <w:szCs w:val="22"/>
        </w:rPr>
        <w:t>Quincuagésimo</w:t>
      </w:r>
      <w:r w:rsidRPr="005C3A9D">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580F8B8A"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Quincuagésimo primero.</w:t>
      </w:r>
      <w:r w:rsidRPr="005C3A9D">
        <w:rPr>
          <w:rFonts w:ascii="Palatino Linotype" w:eastAsia="Palatino Linotype" w:hAnsi="Palatino Linotype" w:cs="Palatino Linotype"/>
          <w:i/>
          <w:sz w:val="22"/>
          <w:szCs w:val="22"/>
        </w:rPr>
        <w:t xml:space="preserve"> Toda acta del Comité de Transparencia deberá contener: </w:t>
      </w:r>
    </w:p>
    <w:p w14:paraId="676919ED"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 El número de sesión y fecha; </w:t>
      </w:r>
    </w:p>
    <w:p w14:paraId="46148F69"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II. El nombre del área que solicitó la clasificación de información; </w:t>
      </w:r>
    </w:p>
    <w:p w14:paraId="1DCE81B8"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III. La fundamentación legal y motivación correspondiente; </w:t>
      </w:r>
    </w:p>
    <w:p w14:paraId="165329C4"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IV. La resolución o resoluciones aprobadas; y </w:t>
      </w:r>
    </w:p>
    <w:p w14:paraId="0F760758"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V. La rúbrica o firma digital de cada integrante del Comité de Transparencia. </w:t>
      </w:r>
    </w:p>
    <w:p w14:paraId="3E0464DB"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499DEDA4"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 Los motivos y razonamientos que sustenten la confirmación o modificación de la prueba de daño;</w:t>
      </w:r>
    </w:p>
    <w:p w14:paraId="4AB27C60"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II. Descripción de las partes o secciones reservadas, en caso de clasificación parcial; </w:t>
      </w:r>
    </w:p>
    <w:p w14:paraId="3C5A59E0"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III. El periodo por el que mantendrá su clasificación y fecha de expiración; y </w:t>
      </w:r>
    </w:p>
    <w:p w14:paraId="7136A889"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58EC7885"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02D85DC3"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lastRenderedPageBreak/>
        <w:t>En los casos de resoluciones del Comité de Transparencia en las que se confirme la clasificación de información confidencial solo se deberán de identificar los tipos de datos protegidos, de conformidad con el lineamiento trigésimo octavo.</w:t>
      </w:r>
    </w:p>
    <w:p w14:paraId="4191B457"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Quincuagésimo segundo.</w:t>
      </w:r>
      <w:r w:rsidRPr="005C3A9D">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0DC057C9"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26F46CE6"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0A0273D9"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1B22F977"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III. Señalar las personas o instancias autorizadas a acceder a la información clasificada.</w:t>
      </w:r>
    </w:p>
    <w:p w14:paraId="27C91576"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849116D"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562E8054"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De igual forma, deberá observar los Lineamientos Quincuagésimo cuarto, Quincuagésimo quinto, Quincuagésimo séptimo y Quincuagésimo octavo, establecen lo siguiente:</w:t>
      </w:r>
    </w:p>
    <w:p w14:paraId="50FDE869"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p>
    <w:p w14:paraId="37C9F271" w14:textId="77777777" w:rsidR="004B3BD4" w:rsidRPr="005C3A9D" w:rsidRDefault="004B3BD4" w:rsidP="001507E5">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r w:rsidRPr="005C3A9D">
        <w:rPr>
          <w:rFonts w:ascii="Palatino Linotype" w:eastAsia="Palatino Linotype" w:hAnsi="Palatino Linotype" w:cs="Palatino Linotype"/>
          <w:b/>
          <w:i/>
          <w:sz w:val="22"/>
          <w:szCs w:val="22"/>
        </w:rPr>
        <w:t>Quincuagésimo cuarto.</w:t>
      </w:r>
      <w:r w:rsidRPr="005C3A9D">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59669AE9"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Quincuagésimo quinto.</w:t>
      </w:r>
      <w:r w:rsidRPr="005C3A9D">
        <w:rPr>
          <w:rFonts w:ascii="Palatino Linotype" w:eastAsia="Palatino Linotype" w:hAnsi="Palatino Linotype" w:cs="Palatino Linotype"/>
          <w:i/>
          <w:sz w:val="22"/>
          <w:szCs w:val="22"/>
        </w:rPr>
        <w:t xml:space="preserve"> Cada área del sujeto obligado podrá designar formalmente a una o más personas como responsables del </w:t>
      </w:r>
      <w:proofErr w:type="spellStart"/>
      <w:r w:rsidRPr="005C3A9D">
        <w:rPr>
          <w:rFonts w:ascii="Palatino Linotype" w:eastAsia="Palatino Linotype" w:hAnsi="Palatino Linotype" w:cs="Palatino Linotype"/>
          <w:i/>
          <w:sz w:val="22"/>
          <w:szCs w:val="22"/>
        </w:rPr>
        <w:t>testado</w:t>
      </w:r>
      <w:proofErr w:type="spellEnd"/>
      <w:r w:rsidRPr="005C3A9D">
        <w:rPr>
          <w:rFonts w:ascii="Palatino Linotype" w:eastAsia="Palatino Linotype" w:hAnsi="Palatino Linotype" w:cs="Palatino Linotype"/>
          <w:i/>
          <w:sz w:val="22"/>
          <w:szCs w:val="22"/>
        </w:rPr>
        <w:t xml:space="preserve">, que sean encargadas de la adecuada elaboración o supervisión de las versiones públicas de los documentos o </w:t>
      </w:r>
      <w:r w:rsidRPr="005C3A9D">
        <w:rPr>
          <w:rFonts w:ascii="Palatino Linotype" w:eastAsia="Palatino Linotype" w:hAnsi="Palatino Linotype" w:cs="Palatino Linotype"/>
          <w:i/>
          <w:sz w:val="22"/>
          <w:szCs w:val="22"/>
        </w:rPr>
        <w:lastRenderedPageBreak/>
        <w:t>expedientes, verificando que cumplan con los requisitos señalados en las Leyes Generales, los presentes Lineamientos y demás normativa aplicable antes de su confirmación por el Comité de Transparencia.</w:t>
      </w:r>
    </w:p>
    <w:p w14:paraId="5051CFE2"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w:t>
      </w:r>
    </w:p>
    <w:p w14:paraId="6DA0F8E0"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b/>
          <w:i/>
          <w:sz w:val="22"/>
          <w:szCs w:val="22"/>
        </w:rPr>
        <w:t>Quincuagésimo séptimo.</w:t>
      </w:r>
      <w:r w:rsidRPr="005C3A9D">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5378992B"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5498E0C2"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07F36007"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EB78F16"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02F90EB8" w14:textId="77777777" w:rsidR="004B3BD4" w:rsidRPr="005C3A9D" w:rsidRDefault="004B3BD4" w:rsidP="001507E5">
      <w:pPr>
        <w:spacing w:line="276" w:lineRule="auto"/>
        <w:ind w:left="851" w:right="616"/>
        <w:jc w:val="both"/>
        <w:rPr>
          <w:rFonts w:ascii="Palatino Linotype" w:eastAsia="Palatino Linotype" w:hAnsi="Palatino Linotype" w:cs="Palatino Linotype"/>
          <w:i/>
          <w:sz w:val="22"/>
          <w:szCs w:val="22"/>
        </w:rPr>
      </w:pPr>
      <w:r w:rsidRPr="005C3A9D">
        <w:rPr>
          <w:rFonts w:ascii="Palatino Linotype" w:eastAsia="Palatino Linotype" w:hAnsi="Palatino Linotype" w:cs="Palatino Linotype"/>
          <w:i/>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27B66683" w14:textId="77777777" w:rsidR="004B3BD4" w:rsidRPr="005C3A9D" w:rsidRDefault="004B3BD4" w:rsidP="00AC2786">
      <w:pPr>
        <w:spacing w:line="360" w:lineRule="auto"/>
        <w:ind w:left="567" w:right="616"/>
        <w:jc w:val="both"/>
        <w:rPr>
          <w:rFonts w:ascii="Palatino Linotype" w:eastAsia="Palatino Linotype" w:hAnsi="Palatino Linotype" w:cs="Palatino Linotype"/>
          <w:i/>
          <w:sz w:val="22"/>
          <w:szCs w:val="22"/>
        </w:rPr>
      </w:pPr>
    </w:p>
    <w:p w14:paraId="1B8775E1"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36C1EB64" w14:textId="77777777" w:rsidR="004B3BD4" w:rsidRPr="005C3A9D" w:rsidRDefault="004B3BD4" w:rsidP="00AC2786">
      <w:pPr>
        <w:shd w:val="clear" w:color="auto" w:fill="FFFFFF"/>
        <w:spacing w:line="360" w:lineRule="auto"/>
        <w:ind w:right="51"/>
        <w:jc w:val="both"/>
        <w:rPr>
          <w:rFonts w:ascii="Palatino Linotype" w:eastAsia="Palatino Linotype" w:hAnsi="Palatino Linotype" w:cs="Palatino Linotype"/>
          <w:sz w:val="22"/>
          <w:szCs w:val="22"/>
        </w:rPr>
      </w:pPr>
    </w:p>
    <w:p w14:paraId="48702D13" w14:textId="77777777" w:rsidR="004B3BD4" w:rsidRPr="005C3A9D" w:rsidRDefault="004B3BD4"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sz w:val="22"/>
          <w:szCs w:val="22"/>
        </w:rPr>
        <w:lastRenderedPageBreak/>
        <w:t>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de la Ley de Transparencia y Acceso a la Información Pública del Estado de México y Municipios, este Pleno:</w:t>
      </w:r>
    </w:p>
    <w:p w14:paraId="35437105" w14:textId="77777777" w:rsidR="00521271" w:rsidRPr="005C3A9D" w:rsidRDefault="00521271" w:rsidP="00AC2786">
      <w:pPr>
        <w:spacing w:line="360" w:lineRule="auto"/>
        <w:jc w:val="both"/>
        <w:rPr>
          <w:rFonts w:ascii="Palatino Linotype" w:eastAsia="Palatino Linotype" w:hAnsi="Palatino Linotype" w:cs="Palatino Linotype"/>
          <w:sz w:val="22"/>
          <w:szCs w:val="22"/>
        </w:rPr>
      </w:pPr>
    </w:p>
    <w:p w14:paraId="4894A869" w14:textId="77777777" w:rsidR="0012289B" w:rsidRPr="005C3A9D" w:rsidRDefault="0012289B" w:rsidP="00AC2786">
      <w:pPr>
        <w:numPr>
          <w:ilvl w:val="0"/>
          <w:numId w:val="6"/>
        </w:numPr>
        <w:pBdr>
          <w:top w:val="nil"/>
          <w:left w:val="nil"/>
          <w:bottom w:val="nil"/>
          <w:right w:val="nil"/>
          <w:between w:val="nil"/>
        </w:pBdr>
        <w:spacing w:line="360" w:lineRule="auto"/>
        <w:ind w:left="567" w:hanging="141"/>
        <w:jc w:val="center"/>
        <w:rPr>
          <w:rFonts w:ascii="Palatino Linotype" w:eastAsia="Palatino Linotype" w:hAnsi="Palatino Linotype" w:cs="Palatino Linotype"/>
          <w:b/>
          <w:sz w:val="22"/>
          <w:szCs w:val="22"/>
        </w:rPr>
      </w:pPr>
      <w:r w:rsidRPr="005C3A9D">
        <w:rPr>
          <w:rFonts w:ascii="Palatino Linotype" w:eastAsia="Palatino Linotype" w:hAnsi="Palatino Linotype" w:cs="Palatino Linotype"/>
          <w:b/>
          <w:sz w:val="22"/>
          <w:szCs w:val="22"/>
        </w:rPr>
        <w:t>R E S U E L V E:</w:t>
      </w:r>
    </w:p>
    <w:p w14:paraId="51EFC6D6" w14:textId="77777777" w:rsidR="00E029CE" w:rsidRPr="005C3A9D" w:rsidRDefault="00E029CE" w:rsidP="00AC2786">
      <w:pPr>
        <w:spacing w:line="360" w:lineRule="auto"/>
        <w:jc w:val="both"/>
        <w:rPr>
          <w:rFonts w:ascii="Palatino Linotype" w:eastAsia="Palatino Linotype" w:hAnsi="Palatino Linotype" w:cs="Palatino Linotype"/>
          <w:b/>
          <w:sz w:val="22"/>
          <w:szCs w:val="22"/>
        </w:rPr>
      </w:pPr>
    </w:p>
    <w:p w14:paraId="0A0D8F3A" w14:textId="337D4502" w:rsidR="0012289B" w:rsidRPr="005C3A9D" w:rsidRDefault="0012289B" w:rsidP="00AC2786">
      <w:pPr>
        <w:spacing w:line="360" w:lineRule="auto"/>
        <w:jc w:val="both"/>
        <w:rPr>
          <w:rFonts w:ascii="Palatino Linotype" w:eastAsia="Palatino Linotype" w:hAnsi="Palatino Linotype" w:cs="Palatino Linotype"/>
          <w:b/>
          <w:sz w:val="22"/>
          <w:szCs w:val="22"/>
        </w:rPr>
      </w:pPr>
      <w:r w:rsidRPr="005C3A9D">
        <w:rPr>
          <w:rFonts w:ascii="Palatino Linotype" w:eastAsia="Palatino Linotype" w:hAnsi="Palatino Linotype" w:cs="Palatino Linotype"/>
          <w:b/>
          <w:sz w:val="22"/>
          <w:szCs w:val="22"/>
        </w:rPr>
        <w:t xml:space="preserve">Primero. </w:t>
      </w:r>
      <w:r w:rsidRPr="005C3A9D">
        <w:rPr>
          <w:rFonts w:ascii="Palatino Linotype" w:eastAsia="Palatino Linotype" w:hAnsi="Palatino Linotype" w:cs="Palatino Linotype"/>
          <w:sz w:val="22"/>
          <w:szCs w:val="22"/>
        </w:rPr>
        <w:t xml:space="preserve">Resultan </w:t>
      </w:r>
      <w:r w:rsidR="00D90883" w:rsidRPr="005C3A9D">
        <w:rPr>
          <w:rFonts w:ascii="Palatino Linotype" w:eastAsia="Palatino Linotype" w:hAnsi="Palatino Linotype" w:cs="Palatino Linotype"/>
          <w:b/>
          <w:sz w:val="22"/>
          <w:szCs w:val="22"/>
        </w:rPr>
        <w:t>parcialmente</w:t>
      </w:r>
      <w:r w:rsidR="00D90883"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b/>
          <w:sz w:val="22"/>
          <w:szCs w:val="22"/>
        </w:rPr>
        <w:t>fundadas</w:t>
      </w:r>
      <w:r w:rsidRPr="005C3A9D">
        <w:rPr>
          <w:rFonts w:ascii="Palatino Linotype" w:eastAsia="Palatino Linotype" w:hAnsi="Palatino Linotype" w:cs="Palatino Linotype"/>
          <w:sz w:val="22"/>
          <w:szCs w:val="22"/>
        </w:rPr>
        <w:t xml:space="preserve"> las razones o motivos de inconformidad hechos valer por la parte</w:t>
      </w:r>
      <w:r w:rsidRPr="005C3A9D">
        <w:rPr>
          <w:rFonts w:ascii="Palatino Linotype" w:eastAsia="Palatino Linotype" w:hAnsi="Palatino Linotype" w:cs="Palatino Linotype"/>
          <w:b/>
          <w:sz w:val="22"/>
          <w:szCs w:val="22"/>
        </w:rPr>
        <w:t xml:space="preserve"> Recurrente</w:t>
      </w:r>
      <w:r w:rsidRPr="005C3A9D">
        <w:rPr>
          <w:rFonts w:ascii="Palatino Linotype" w:eastAsia="Palatino Linotype" w:hAnsi="Palatino Linotype" w:cs="Palatino Linotype"/>
          <w:sz w:val="22"/>
          <w:szCs w:val="22"/>
        </w:rPr>
        <w:t xml:space="preserve"> en el recurso de revisión </w:t>
      </w:r>
      <w:r w:rsidR="00521271" w:rsidRPr="005C3A9D">
        <w:rPr>
          <w:rFonts w:ascii="Palatino Linotype" w:eastAsia="Palatino Linotype" w:hAnsi="Palatino Linotype" w:cs="Palatino Linotype"/>
          <w:b/>
          <w:sz w:val="22"/>
          <w:szCs w:val="22"/>
        </w:rPr>
        <w:t>13</w:t>
      </w:r>
      <w:r w:rsidR="004B3BD4" w:rsidRPr="005C3A9D">
        <w:rPr>
          <w:rFonts w:ascii="Palatino Linotype" w:eastAsia="Palatino Linotype" w:hAnsi="Palatino Linotype" w:cs="Palatino Linotype"/>
          <w:b/>
          <w:sz w:val="22"/>
          <w:szCs w:val="22"/>
        </w:rPr>
        <w:t>264</w:t>
      </w:r>
      <w:r w:rsidRPr="005C3A9D">
        <w:rPr>
          <w:rFonts w:ascii="Palatino Linotype" w:eastAsia="Palatino Linotype" w:hAnsi="Palatino Linotype" w:cs="Palatino Linotype"/>
          <w:b/>
          <w:sz w:val="22"/>
          <w:szCs w:val="22"/>
        </w:rPr>
        <w:t>/INFOEM/IP/RR/202</w:t>
      </w:r>
      <w:r w:rsidR="008A24D6" w:rsidRPr="005C3A9D">
        <w:rPr>
          <w:rFonts w:ascii="Palatino Linotype" w:eastAsia="Palatino Linotype" w:hAnsi="Palatino Linotype" w:cs="Palatino Linotype"/>
          <w:b/>
          <w:sz w:val="22"/>
          <w:szCs w:val="22"/>
        </w:rPr>
        <w:t>5</w:t>
      </w:r>
      <w:r w:rsidRPr="005C3A9D">
        <w:rPr>
          <w:rFonts w:ascii="Palatino Linotype" w:eastAsia="Palatino Linotype" w:hAnsi="Palatino Linotype" w:cs="Palatino Linotype"/>
          <w:sz w:val="22"/>
          <w:szCs w:val="22"/>
        </w:rPr>
        <w:t xml:space="preserve">; por lo que, en términos del </w:t>
      </w:r>
      <w:r w:rsidRPr="005C3A9D">
        <w:rPr>
          <w:rFonts w:ascii="Palatino Linotype" w:eastAsia="Palatino Linotype" w:hAnsi="Palatino Linotype" w:cs="Palatino Linotype"/>
          <w:b/>
          <w:sz w:val="22"/>
          <w:szCs w:val="22"/>
        </w:rPr>
        <w:t>Considerando</w:t>
      </w:r>
      <w:r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b/>
          <w:sz w:val="22"/>
          <w:szCs w:val="22"/>
        </w:rPr>
        <w:t>Cuarto</w:t>
      </w:r>
      <w:r w:rsidR="00F26311" w:rsidRPr="005C3A9D">
        <w:rPr>
          <w:rFonts w:ascii="Palatino Linotype" w:eastAsia="Palatino Linotype" w:hAnsi="Palatino Linotype" w:cs="Palatino Linotype"/>
          <w:b/>
          <w:sz w:val="22"/>
          <w:szCs w:val="22"/>
        </w:rPr>
        <w:t xml:space="preserve"> </w:t>
      </w:r>
      <w:r w:rsidRPr="005C3A9D">
        <w:rPr>
          <w:rFonts w:ascii="Palatino Linotype" w:eastAsia="Palatino Linotype" w:hAnsi="Palatino Linotype" w:cs="Palatino Linotype"/>
          <w:sz w:val="22"/>
          <w:szCs w:val="22"/>
        </w:rPr>
        <w:t xml:space="preserve">de esta resolución, se </w:t>
      </w:r>
      <w:r w:rsidR="00C37168" w:rsidRPr="005C3A9D">
        <w:rPr>
          <w:rFonts w:ascii="Palatino Linotype" w:eastAsia="Palatino Linotype" w:hAnsi="Palatino Linotype" w:cs="Palatino Linotype"/>
          <w:b/>
          <w:sz w:val="22"/>
          <w:szCs w:val="22"/>
        </w:rPr>
        <w:t>Modifica</w:t>
      </w:r>
      <w:r w:rsidR="00CC4C62" w:rsidRPr="005C3A9D">
        <w:rPr>
          <w:rFonts w:ascii="Palatino Linotype" w:eastAsia="Palatino Linotype" w:hAnsi="Palatino Linotype" w:cs="Palatino Linotype"/>
          <w:b/>
          <w:sz w:val="22"/>
          <w:szCs w:val="22"/>
        </w:rPr>
        <w:t xml:space="preserve"> </w:t>
      </w:r>
      <w:r w:rsidRPr="005C3A9D">
        <w:rPr>
          <w:rFonts w:ascii="Palatino Linotype" w:eastAsia="Palatino Linotype" w:hAnsi="Palatino Linotype" w:cs="Palatino Linotype"/>
          <w:sz w:val="22"/>
          <w:szCs w:val="22"/>
        </w:rPr>
        <w:t xml:space="preserve">la respuesta emitida por el </w:t>
      </w:r>
      <w:r w:rsidRPr="005C3A9D">
        <w:rPr>
          <w:rFonts w:ascii="Palatino Linotype" w:eastAsia="Palatino Linotype" w:hAnsi="Palatino Linotype" w:cs="Palatino Linotype"/>
          <w:b/>
          <w:sz w:val="22"/>
          <w:szCs w:val="22"/>
        </w:rPr>
        <w:t>Sujeto Obligado.</w:t>
      </w:r>
    </w:p>
    <w:p w14:paraId="6036B117" w14:textId="77777777" w:rsidR="00D90883" w:rsidRPr="005C3A9D" w:rsidRDefault="00D90883" w:rsidP="00AC2786">
      <w:pPr>
        <w:spacing w:line="360" w:lineRule="auto"/>
        <w:jc w:val="both"/>
        <w:rPr>
          <w:rFonts w:ascii="Palatino Linotype" w:eastAsia="Palatino Linotype" w:hAnsi="Palatino Linotype" w:cs="Palatino Linotype"/>
          <w:sz w:val="22"/>
          <w:szCs w:val="22"/>
        </w:rPr>
      </w:pPr>
    </w:p>
    <w:p w14:paraId="7D00424F" w14:textId="1DAEDF87" w:rsidR="00827D87" w:rsidRPr="005C3A9D" w:rsidRDefault="0012289B" w:rsidP="00AC2786">
      <w:pPr>
        <w:spacing w:line="360" w:lineRule="auto"/>
        <w:ind w:right="49"/>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Segundo. </w:t>
      </w:r>
      <w:r w:rsidRPr="005C3A9D">
        <w:rPr>
          <w:rFonts w:ascii="Palatino Linotype" w:eastAsia="Palatino Linotype" w:hAnsi="Palatino Linotype" w:cs="Palatino Linotype"/>
          <w:sz w:val="22"/>
          <w:szCs w:val="22"/>
        </w:rPr>
        <w:t xml:space="preserve">Se </w:t>
      </w:r>
      <w:r w:rsidR="00827D87" w:rsidRPr="005C3A9D">
        <w:rPr>
          <w:rFonts w:ascii="Palatino Linotype" w:eastAsia="Palatino Linotype" w:hAnsi="Palatino Linotype" w:cs="Palatino Linotype"/>
          <w:b/>
          <w:sz w:val="22"/>
          <w:szCs w:val="22"/>
        </w:rPr>
        <w:t>o</w:t>
      </w:r>
      <w:r w:rsidRPr="005C3A9D">
        <w:rPr>
          <w:rFonts w:ascii="Palatino Linotype" w:eastAsia="Palatino Linotype" w:hAnsi="Palatino Linotype" w:cs="Palatino Linotype"/>
          <w:b/>
          <w:sz w:val="22"/>
          <w:szCs w:val="22"/>
        </w:rPr>
        <w:t xml:space="preserve">rdena </w:t>
      </w:r>
      <w:r w:rsidRPr="005C3A9D">
        <w:rPr>
          <w:rFonts w:ascii="Palatino Linotype" w:eastAsia="Palatino Linotype" w:hAnsi="Palatino Linotype" w:cs="Palatino Linotype"/>
          <w:sz w:val="22"/>
          <w:szCs w:val="22"/>
        </w:rPr>
        <w:t xml:space="preserve">al </w:t>
      </w:r>
      <w:r w:rsidRPr="005C3A9D">
        <w:rPr>
          <w:rFonts w:ascii="Palatino Linotype" w:eastAsia="Palatino Linotype" w:hAnsi="Palatino Linotype" w:cs="Palatino Linotype"/>
          <w:b/>
          <w:sz w:val="22"/>
          <w:szCs w:val="22"/>
        </w:rPr>
        <w:t>Sujeto Obligado</w:t>
      </w:r>
      <w:r w:rsidRPr="005C3A9D">
        <w:rPr>
          <w:rFonts w:ascii="Palatino Linotype" w:eastAsia="Palatino Linotype" w:hAnsi="Palatino Linotype" w:cs="Palatino Linotype"/>
          <w:sz w:val="22"/>
          <w:szCs w:val="22"/>
        </w:rPr>
        <w:t xml:space="preserve"> entregue, a</w:t>
      </w:r>
      <w:r w:rsidRPr="005C3A9D">
        <w:rPr>
          <w:rFonts w:ascii="Palatino Linotype" w:eastAsia="Palatino Linotype" w:hAnsi="Palatino Linotype" w:cs="Palatino Linotype"/>
          <w:b/>
          <w:sz w:val="22"/>
          <w:szCs w:val="22"/>
        </w:rPr>
        <w:t xml:space="preserve"> </w:t>
      </w:r>
      <w:r w:rsidRPr="005C3A9D">
        <w:rPr>
          <w:rFonts w:ascii="Palatino Linotype" w:eastAsia="Palatino Linotype" w:hAnsi="Palatino Linotype" w:cs="Palatino Linotype"/>
          <w:sz w:val="22"/>
          <w:szCs w:val="22"/>
        </w:rPr>
        <w:t xml:space="preserve">la parte </w:t>
      </w:r>
      <w:r w:rsidRPr="005C3A9D">
        <w:rPr>
          <w:rFonts w:ascii="Palatino Linotype" w:eastAsia="Palatino Linotype" w:hAnsi="Palatino Linotype" w:cs="Palatino Linotype"/>
          <w:b/>
          <w:sz w:val="22"/>
          <w:szCs w:val="22"/>
        </w:rPr>
        <w:t>Recurrente</w:t>
      </w:r>
      <w:r w:rsidRPr="005C3A9D">
        <w:rPr>
          <w:rFonts w:ascii="Palatino Linotype" w:eastAsia="Palatino Linotype" w:hAnsi="Palatino Linotype" w:cs="Palatino Linotype"/>
          <w:sz w:val="22"/>
          <w:szCs w:val="22"/>
        </w:rPr>
        <w:t xml:space="preserve">, </w:t>
      </w:r>
      <w:r w:rsidRPr="005C3A9D">
        <w:rPr>
          <w:rFonts w:ascii="Palatino Linotype" w:eastAsia="Palatino Linotype" w:hAnsi="Palatino Linotype" w:cs="Palatino Linotype"/>
          <w:b/>
          <w:sz w:val="22"/>
          <w:szCs w:val="22"/>
        </w:rPr>
        <w:t xml:space="preserve">vía SAIMEX, </w:t>
      </w:r>
      <w:r w:rsidRPr="005C3A9D">
        <w:rPr>
          <w:rFonts w:ascii="Palatino Linotype" w:eastAsia="Palatino Linotype" w:hAnsi="Palatino Linotype" w:cs="Palatino Linotype"/>
          <w:sz w:val="22"/>
          <w:szCs w:val="22"/>
        </w:rPr>
        <w:t>en términos de</w:t>
      </w:r>
      <w:r w:rsidRPr="005C3A9D">
        <w:rPr>
          <w:rFonts w:ascii="Palatino Linotype" w:eastAsia="Palatino Linotype" w:hAnsi="Palatino Linotype" w:cs="Palatino Linotype"/>
          <w:b/>
          <w:sz w:val="22"/>
          <w:szCs w:val="22"/>
        </w:rPr>
        <w:t>l Considerando</w:t>
      </w:r>
      <w:r w:rsidRPr="005C3A9D">
        <w:rPr>
          <w:rFonts w:ascii="Palatino Linotype" w:eastAsia="Palatino Linotype" w:hAnsi="Palatino Linotype" w:cs="Palatino Linotype"/>
          <w:sz w:val="22"/>
          <w:szCs w:val="22"/>
        </w:rPr>
        <w:t xml:space="preserve"> </w:t>
      </w:r>
      <w:r w:rsidR="006A783B" w:rsidRPr="005C3A9D">
        <w:rPr>
          <w:rFonts w:ascii="Palatino Linotype" w:eastAsia="Palatino Linotype" w:hAnsi="Palatino Linotype" w:cs="Palatino Linotype"/>
          <w:b/>
          <w:sz w:val="22"/>
          <w:szCs w:val="22"/>
        </w:rPr>
        <w:t>Cuarto</w:t>
      </w:r>
      <w:r w:rsidR="008A24D6" w:rsidRPr="005C3A9D">
        <w:rPr>
          <w:rFonts w:ascii="Palatino Linotype" w:eastAsia="Palatino Linotype" w:hAnsi="Palatino Linotype" w:cs="Palatino Linotype"/>
          <w:b/>
          <w:sz w:val="22"/>
          <w:szCs w:val="22"/>
        </w:rPr>
        <w:t xml:space="preserve"> y Quinto</w:t>
      </w:r>
      <w:r w:rsidR="008B2985" w:rsidRPr="005C3A9D">
        <w:rPr>
          <w:rFonts w:ascii="Palatino Linotype" w:eastAsia="Palatino Linotype" w:hAnsi="Palatino Linotype" w:cs="Palatino Linotype"/>
          <w:sz w:val="22"/>
          <w:szCs w:val="22"/>
        </w:rPr>
        <w:t xml:space="preserve">, </w:t>
      </w:r>
      <w:r w:rsidR="00D90883" w:rsidRPr="005C3A9D">
        <w:rPr>
          <w:rFonts w:ascii="Palatino Linotype" w:eastAsia="Palatino Linotype" w:hAnsi="Palatino Linotype" w:cs="Palatino Linotype"/>
          <w:sz w:val="22"/>
          <w:szCs w:val="22"/>
        </w:rPr>
        <w:t xml:space="preserve">de ser procedente </w:t>
      </w:r>
      <w:r w:rsidR="008A24D6" w:rsidRPr="005C3A9D">
        <w:rPr>
          <w:rFonts w:ascii="Palatino Linotype" w:eastAsia="Palatino Linotype" w:hAnsi="Palatino Linotype" w:cs="Palatino Linotype"/>
          <w:sz w:val="22"/>
          <w:szCs w:val="22"/>
        </w:rPr>
        <w:t xml:space="preserve">en versión pública, de </w:t>
      </w:r>
      <w:r w:rsidRPr="005C3A9D">
        <w:rPr>
          <w:rFonts w:ascii="Palatino Linotype" w:eastAsia="Palatino Linotype" w:hAnsi="Palatino Linotype" w:cs="Palatino Linotype"/>
          <w:sz w:val="22"/>
          <w:szCs w:val="22"/>
        </w:rPr>
        <w:t>lo siguiente:</w:t>
      </w:r>
      <w:bookmarkStart w:id="4" w:name="_heading=h.1fob9te" w:colFirst="0" w:colLast="0"/>
      <w:bookmarkEnd w:id="4"/>
    </w:p>
    <w:p w14:paraId="1CB8F4BB" w14:textId="77777777" w:rsidR="001507E5" w:rsidRPr="005C3A9D" w:rsidRDefault="001507E5" w:rsidP="00AC2786">
      <w:pPr>
        <w:spacing w:line="360" w:lineRule="auto"/>
        <w:ind w:right="49"/>
        <w:jc w:val="both"/>
        <w:rPr>
          <w:rFonts w:ascii="Palatino Linotype" w:eastAsia="Palatino Linotype" w:hAnsi="Palatino Linotype" w:cs="Palatino Linotype"/>
          <w:bCs/>
          <w:i/>
          <w:sz w:val="22"/>
          <w:szCs w:val="22"/>
        </w:rPr>
      </w:pPr>
    </w:p>
    <w:p w14:paraId="652CF956" w14:textId="4E62A0BC" w:rsidR="00EC28B8" w:rsidRPr="005C3A9D" w:rsidRDefault="004B3BD4" w:rsidP="00247A25">
      <w:pPr>
        <w:numPr>
          <w:ilvl w:val="0"/>
          <w:numId w:val="24"/>
        </w:numPr>
        <w:pBdr>
          <w:top w:val="nil"/>
          <w:left w:val="nil"/>
          <w:bottom w:val="nil"/>
          <w:right w:val="nil"/>
          <w:between w:val="nil"/>
        </w:pBdr>
        <w:tabs>
          <w:tab w:val="left" w:pos="709"/>
        </w:tabs>
        <w:spacing w:line="360" w:lineRule="auto"/>
        <w:ind w:left="851" w:right="616" w:firstLine="0"/>
        <w:jc w:val="both"/>
        <w:rPr>
          <w:rFonts w:ascii="Palatino Linotype" w:eastAsia="Palatino Linotype" w:hAnsi="Palatino Linotype" w:cs="Palatino Linotype"/>
          <w:b/>
          <w:bCs/>
          <w:i/>
          <w:sz w:val="22"/>
          <w:szCs w:val="22"/>
        </w:rPr>
      </w:pPr>
      <w:r w:rsidRPr="005C3A9D">
        <w:rPr>
          <w:rFonts w:ascii="Palatino Linotype" w:eastAsia="Palatino Linotype" w:hAnsi="Palatino Linotype" w:cs="Palatino Linotype"/>
          <w:b/>
          <w:bCs/>
          <w:iCs/>
          <w:sz w:val="22"/>
          <w:szCs w:val="22"/>
        </w:rPr>
        <w:t>El docume</w:t>
      </w:r>
      <w:r w:rsidR="0099037D" w:rsidRPr="005C3A9D">
        <w:rPr>
          <w:rFonts w:ascii="Palatino Linotype" w:eastAsia="Palatino Linotype" w:hAnsi="Palatino Linotype" w:cs="Palatino Linotype"/>
          <w:b/>
          <w:bCs/>
          <w:iCs/>
          <w:sz w:val="22"/>
          <w:szCs w:val="22"/>
        </w:rPr>
        <w:t>nto que dé cuenta del número de licencia</w:t>
      </w:r>
      <w:r w:rsidR="00511BD8" w:rsidRPr="005C3A9D">
        <w:rPr>
          <w:rFonts w:ascii="Palatino Linotype" w:eastAsia="Palatino Linotype" w:hAnsi="Palatino Linotype" w:cs="Palatino Linotype"/>
          <w:b/>
          <w:bCs/>
          <w:iCs/>
          <w:sz w:val="22"/>
          <w:szCs w:val="22"/>
        </w:rPr>
        <w:t xml:space="preserve">s, permisos y </w:t>
      </w:r>
      <w:r w:rsidR="0099037D" w:rsidRPr="005C3A9D">
        <w:rPr>
          <w:rFonts w:ascii="Palatino Linotype" w:eastAsia="Palatino Linotype" w:hAnsi="Palatino Linotype" w:cs="Palatino Linotype"/>
          <w:b/>
          <w:bCs/>
          <w:iCs/>
          <w:sz w:val="22"/>
          <w:szCs w:val="22"/>
        </w:rPr>
        <w:t xml:space="preserve">autorizaciones </w:t>
      </w:r>
      <w:r w:rsidRPr="005C3A9D">
        <w:rPr>
          <w:rFonts w:ascii="Palatino Linotype" w:eastAsia="Palatino Linotype" w:hAnsi="Palatino Linotype" w:cs="Palatino Linotype"/>
          <w:b/>
          <w:bCs/>
          <w:iCs/>
          <w:sz w:val="22"/>
          <w:szCs w:val="22"/>
        </w:rPr>
        <w:t xml:space="preserve">otorgadas a los puestos semifijos o comercio ambulante en las calles y vialidades del </w:t>
      </w:r>
      <w:r w:rsidR="00D81C79" w:rsidRPr="005C3A9D">
        <w:rPr>
          <w:rFonts w:ascii="Palatino Linotype" w:eastAsia="Palatino Linotype" w:hAnsi="Palatino Linotype" w:cs="Palatino Linotype"/>
          <w:b/>
          <w:bCs/>
          <w:iCs/>
          <w:sz w:val="22"/>
          <w:szCs w:val="22"/>
        </w:rPr>
        <w:t xml:space="preserve">Municipio </w:t>
      </w:r>
      <w:r w:rsidRPr="005C3A9D">
        <w:rPr>
          <w:rFonts w:ascii="Palatino Linotype" w:eastAsia="Palatino Linotype" w:hAnsi="Palatino Linotype" w:cs="Palatino Linotype"/>
          <w:b/>
          <w:bCs/>
          <w:iCs/>
          <w:sz w:val="22"/>
          <w:szCs w:val="22"/>
        </w:rPr>
        <w:t>de Chico</w:t>
      </w:r>
      <w:r w:rsidR="00D81C79" w:rsidRPr="005C3A9D">
        <w:rPr>
          <w:rFonts w:ascii="Palatino Linotype" w:eastAsia="Palatino Linotype" w:hAnsi="Palatino Linotype" w:cs="Palatino Linotype"/>
          <w:b/>
          <w:bCs/>
          <w:iCs/>
          <w:sz w:val="22"/>
          <w:szCs w:val="22"/>
        </w:rPr>
        <w:t>ncuac</w:t>
      </w:r>
      <w:r w:rsidRPr="005C3A9D">
        <w:rPr>
          <w:rFonts w:ascii="Palatino Linotype" w:eastAsia="Palatino Linotype" w:hAnsi="Palatino Linotype" w:cs="Palatino Linotype"/>
          <w:b/>
          <w:bCs/>
          <w:iCs/>
          <w:sz w:val="22"/>
          <w:szCs w:val="22"/>
        </w:rPr>
        <w:t>, del uno de enero al treinta y uno de octubre de dos mil veinticinco</w:t>
      </w:r>
      <w:r w:rsidR="00EC28B8" w:rsidRPr="005C3A9D">
        <w:rPr>
          <w:rFonts w:ascii="Palatino Linotype" w:eastAsia="Palatino Linotype" w:hAnsi="Palatino Linotype" w:cs="Palatino Linotype"/>
          <w:b/>
          <w:bCs/>
          <w:iCs/>
          <w:sz w:val="22"/>
          <w:szCs w:val="22"/>
        </w:rPr>
        <w:t>.</w:t>
      </w:r>
    </w:p>
    <w:p w14:paraId="4525F074" w14:textId="77777777" w:rsidR="000901C0" w:rsidRPr="005C3A9D" w:rsidRDefault="000901C0" w:rsidP="00AC2786">
      <w:pPr>
        <w:pBdr>
          <w:top w:val="nil"/>
          <w:left w:val="nil"/>
          <w:bottom w:val="nil"/>
          <w:right w:val="nil"/>
          <w:between w:val="nil"/>
        </w:pBdr>
        <w:tabs>
          <w:tab w:val="left" w:pos="851"/>
        </w:tabs>
        <w:spacing w:line="276" w:lineRule="auto"/>
        <w:ind w:left="851" w:right="616"/>
        <w:jc w:val="both"/>
        <w:rPr>
          <w:rFonts w:ascii="Palatino Linotype" w:eastAsia="Palatino Linotype" w:hAnsi="Palatino Linotype" w:cs="Palatino Linotype"/>
          <w:bCs/>
          <w:i/>
          <w:sz w:val="22"/>
          <w:szCs w:val="22"/>
        </w:rPr>
      </w:pPr>
    </w:p>
    <w:p w14:paraId="28FF7835" w14:textId="441F4B0A" w:rsidR="00821BCF" w:rsidRPr="005C3A9D" w:rsidRDefault="00942C2D" w:rsidP="00AC2786">
      <w:pPr>
        <w:tabs>
          <w:tab w:val="left" w:pos="851"/>
        </w:tabs>
        <w:spacing w:line="276" w:lineRule="auto"/>
        <w:ind w:left="851" w:right="616"/>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 xml:space="preserve">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 </w:t>
      </w:r>
      <w:r w:rsidRPr="005C3A9D">
        <w:rPr>
          <w:rFonts w:ascii="Palatino Linotype" w:eastAsia="Palatino Linotype" w:hAnsi="Palatino Linotype" w:cs="Palatino Linotype"/>
          <w:b/>
          <w:i/>
          <w:sz w:val="22"/>
          <w:szCs w:val="22"/>
        </w:rPr>
        <w:t>Recurrente</w:t>
      </w:r>
      <w:r w:rsidRPr="005C3A9D">
        <w:rPr>
          <w:rFonts w:ascii="Palatino Linotype" w:eastAsia="Palatino Linotype" w:hAnsi="Palatino Linotype" w:cs="Palatino Linotype"/>
          <w:bCs/>
          <w:i/>
          <w:sz w:val="22"/>
          <w:szCs w:val="22"/>
        </w:rPr>
        <w:t>.</w:t>
      </w:r>
    </w:p>
    <w:p w14:paraId="216803AC" w14:textId="77777777" w:rsidR="006A20CB" w:rsidRPr="005C3A9D" w:rsidRDefault="006A20CB" w:rsidP="00AC2786">
      <w:pPr>
        <w:tabs>
          <w:tab w:val="left" w:pos="851"/>
        </w:tabs>
        <w:spacing w:line="276" w:lineRule="auto"/>
        <w:ind w:left="851" w:right="616"/>
        <w:jc w:val="both"/>
        <w:rPr>
          <w:rFonts w:ascii="Palatino Linotype" w:eastAsia="Palatino Linotype" w:hAnsi="Palatino Linotype" w:cs="Palatino Linotype"/>
          <w:bCs/>
          <w:i/>
          <w:sz w:val="22"/>
          <w:szCs w:val="22"/>
        </w:rPr>
      </w:pPr>
    </w:p>
    <w:p w14:paraId="0D57FF82" w14:textId="3889F575" w:rsidR="006A20CB" w:rsidRPr="005C3A9D" w:rsidRDefault="006A20CB" w:rsidP="006A20CB">
      <w:pPr>
        <w:tabs>
          <w:tab w:val="left" w:pos="851"/>
        </w:tabs>
        <w:spacing w:line="276" w:lineRule="auto"/>
        <w:ind w:left="851" w:right="616"/>
        <w:jc w:val="both"/>
        <w:rPr>
          <w:rFonts w:ascii="Palatino Linotype" w:eastAsia="Palatino Linotype" w:hAnsi="Palatino Linotype" w:cs="Palatino Linotype"/>
          <w:bCs/>
          <w:i/>
          <w:sz w:val="22"/>
          <w:szCs w:val="22"/>
        </w:rPr>
      </w:pPr>
      <w:r w:rsidRPr="005C3A9D">
        <w:rPr>
          <w:rFonts w:ascii="Palatino Linotype" w:eastAsia="Palatino Linotype" w:hAnsi="Palatino Linotype" w:cs="Palatino Linotype"/>
          <w:bCs/>
          <w:i/>
          <w:sz w:val="22"/>
          <w:szCs w:val="22"/>
        </w:rPr>
        <w:t xml:space="preserve">En el supuesto que no cuente con la información que se ordena, referente a los permisos otorgados al comercio ambulante, por no haberse generado, bastará con que así lo haga del conocimiento de la parte </w:t>
      </w:r>
      <w:r w:rsidRPr="005C3A9D">
        <w:rPr>
          <w:rFonts w:ascii="Palatino Linotype" w:eastAsia="Palatino Linotype" w:hAnsi="Palatino Linotype" w:cs="Palatino Linotype"/>
          <w:b/>
          <w:bCs/>
          <w:i/>
          <w:sz w:val="22"/>
          <w:szCs w:val="22"/>
        </w:rPr>
        <w:t>Recurrente</w:t>
      </w:r>
      <w:r w:rsidRPr="005C3A9D">
        <w:rPr>
          <w:rFonts w:ascii="Palatino Linotype" w:eastAsia="Palatino Linotype" w:hAnsi="Palatino Linotype" w:cs="Palatino Linotype"/>
          <w:bCs/>
          <w:i/>
          <w:sz w:val="22"/>
          <w:szCs w:val="22"/>
        </w:rPr>
        <w:t>, de manera fundada y motivada, en términos del artículo 19, párrafo segundo de la Ley de Transparencia y Acceso a la Información Pública del Estado de México y Municipios, para tener por colmado el requerimiento de información.</w:t>
      </w:r>
    </w:p>
    <w:p w14:paraId="346CC468" w14:textId="77777777" w:rsidR="006A20CB" w:rsidRPr="005C3A9D" w:rsidRDefault="006A20CB" w:rsidP="006A20CB">
      <w:pPr>
        <w:tabs>
          <w:tab w:val="left" w:pos="851"/>
        </w:tabs>
        <w:spacing w:line="276" w:lineRule="auto"/>
        <w:ind w:left="851" w:right="616"/>
        <w:jc w:val="both"/>
        <w:rPr>
          <w:rFonts w:ascii="Palatino Linotype" w:eastAsia="Palatino Linotype" w:hAnsi="Palatino Linotype" w:cs="Palatino Linotype"/>
          <w:b/>
          <w:sz w:val="22"/>
          <w:szCs w:val="22"/>
        </w:rPr>
      </w:pPr>
    </w:p>
    <w:p w14:paraId="13BCF1BE" w14:textId="7E916473" w:rsidR="0012289B" w:rsidRPr="005C3A9D" w:rsidRDefault="00855A0A"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Tercero. </w:t>
      </w:r>
      <w:r w:rsidR="0012289B" w:rsidRPr="005C3A9D">
        <w:rPr>
          <w:rFonts w:ascii="Palatino Linotype" w:eastAsia="Palatino Linotype" w:hAnsi="Palatino Linotype" w:cs="Palatino Linotype"/>
          <w:b/>
          <w:sz w:val="22"/>
          <w:szCs w:val="22"/>
        </w:rPr>
        <w:t xml:space="preserve">Notifíquese </w:t>
      </w:r>
      <w:r w:rsidR="0012289B" w:rsidRPr="005C3A9D">
        <w:rPr>
          <w:rFonts w:ascii="Palatino Linotype" w:eastAsia="Palatino Linotype" w:hAnsi="Palatino Linotype" w:cs="Palatino Linotype"/>
          <w:sz w:val="22"/>
          <w:szCs w:val="22"/>
        </w:rPr>
        <w:t>vía</w:t>
      </w:r>
      <w:r w:rsidR="0012289B" w:rsidRPr="005C3A9D">
        <w:rPr>
          <w:rFonts w:ascii="Palatino Linotype" w:eastAsia="Palatino Linotype" w:hAnsi="Palatino Linotype" w:cs="Palatino Linotype"/>
          <w:b/>
          <w:sz w:val="22"/>
          <w:szCs w:val="22"/>
        </w:rPr>
        <w:t xml:space="preserve"> SAIMEX, </w:t>
      </w:r>
      <w:r w:rsidR="0012289B" w:rsidRPr="005C3A9D">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A7312C" w14:textId="77777777" w:rsidR="00D90883" w:rsidRPr="005C3A9D" w:rsidRDefault="00D90883" w:rsidP="00AC2786">
      <w:pPr>
        <w:spacing w:line="360" w:lineRule="auto"/>
        <w:jc w:val="both"/>
        <w:rPr>
          <w:rFonts w:ascii="Palatino Linotype" w:eastAsia="Palatino Linotype" w:hAnsi="Palatino Linotype" w:cs="Palatino Linotype"/>
          <w:sz w:val="22"/>
          <w:szCs w:val="22"/>
        </w:rPr>
      </w:pPr>
    </w:p>
    <w:p w14:paraId="5292CABB" w14:textId="77777777" w:rsidR="0012289B" w:rsidRPr="005C3A9D" w:rsidRDefault="0012289B" w:rsidP="00AC2786">
      <w:pP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Cuarto. </w:t>
      </w:r>
      <w:r w:rsidRPr="005C3A9D">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5C3A9D">
        <w:rPr>
          <w:rFonts w:ascii="Palatino Linotype" w:eastAsia="Palatino Linotype" w:hAnsi="Palatino Linotype" w:cs="Palatino Linotype"/>
          <w:b/>
          <w:sz w:val="22"/>
          <w:szCs w:val="22"/>
        </w:rPr>
        <w:t>Sujeto Obligado</w:t>
      </w:r>
      <w:r w:rsidRPr="005C3A9D">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4716280C" w14:textId="77777777" w:rsidR="00D90883" w:rsidRPr="005C3A9D" w:rsidRDefault="00D90883" w:rsidP="00AC2786">
      <w:pPr>
        <w:spacing w:line="360" w:lineRule="auto"/>
        <w:jc w:val="both"/>
        <w:rPr>
          <w:rFonts w:ascii="Palatino Linotype" w:eastAsia="Palatino Linotype" w:hAnsi="Palatino Linotype" w:cs="Palatino Linotype"/>
          <w:sz w:val="22"/>
          <w:szCs w:val="22"/>
        </w:rPr>
      </w:pPr>
    </w:p>
    <w:p w14:paraId="5F8EF6C9" w14:textId="12FD6930" w:rsidR="00521271" w:rsidRPr="005C3A9D" w:rsidRDefault="0012289B" w:rsidP="00AC278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C3A9D">
        <w:rPr>
          <w:rFonts w:ascii="Palatino Linotype" w:eastAsia="Palatino Linotype" w:hAnsi="Palatino Linotype" w:cs="Palatino Linotype"/>
          <w:b/>
          <w:sz w:val="22"/>
          <w:szCs w:val="22"/>
        </w:rPr>
        <w:t xml:space="preserve">Quinto. Notifíquese, </w:t>
      </w:r>
      <w:r w:rsidRPr="005C3A9D">
        <w:rPr>
          <w:rFonts w:ascii="Palatino Linotype" w:eastAsia="Palatino Linotype" w:hAnsi="Palatino Linotype" w:cs="Palatino Linotype"/>
          <w:sz w:val="22"/>
          <w:szCs w:val="22"/>
        </w:rPr>
        <w:t xml:space="preserve">vía </w:t>
      </w:r>
      <w:r w:rsidRPr="005C3A9D">
        <w:rPr>
          <w:rFonts w:ascii="Palatino Linotype" w:eastAsia="Palatino Linotype" w:hAnsi="Palatino Linotype" w:cs="Palatino Linotype"/>
          <w:b/>
          <w:sz w:val="22"/>
          <w:szCs w:val="22"/>
        </w:rPr>
        <w:t>SAIMEX</w:t>
      </w:r>
      <w:r w:rsidRPr="005C3A9D">
        <w:rPr>
          <w:rFonts w:ascii="Palatino Linotype" w:eastAsia="Palatino Linotype" w:hAnsi="Palatino Linotype" w:cs="Palatino Linotype"/>
          <w:sz w:val="22"/>
          <w:szCs w:val="22"/>
        </w:rPr>
        <w:t>, a la parte</w:t>
      </w:r>
      <w:r w:rsidRPr="005C3A9D">
        <w:rPr>
          <w:rFonts w:ascii="Palatino Linotype" w:eastAsia="Palatino Linotype" w:hAnsi="Palatino Linotype" w:cs="Palatino Linotype"/>
          <w:b/>
          <w:sz w:val="22"/>
          <w:szCs w:val="22"/>
        </w:rPr>
        <w:t xml:space="preserve"> Recurrente</w:t>
      </w:r>
      <w:r w:rsidRPr="005C3A9D">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3AAD13F7" w14:textId="77777777" w:rsidR="00E029CE" w:rsidRPr="005C3A9D" w:rsidRDefault="00E029CE" w:rsidP="00AC278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A1357A5" w14:textId="3041E6E5" w:rsidR="00397333" w:rsidRPr="005C3A9D" w:rsidRDefault="00B16908" w:rsidP="00AC2786">
      <w:pPr>
        <w:spacing w:line="360" w:lineRule="auto"/>
        <w:jc w:val="both"/>
        <w:rPr>
          <w:rFonts w:ascii="Palatino Linotype" w:eastAsia="Palatino Linotype" w:hAnsi="Palatino Linotype" w:cs="Palatino Linotype"/>
          <w:sz w:val="22"/>
          <w:szCs w:val="22"/>
        </w:rPr>
        <w:sectPr w:rsidR="00397333" w:rsidRPr="005C3A9D">
          <w:headerReference w:type="default" r:id="rId10"/>
          <w:footerReference w:type="default" r:id="rId11"/>
          <w:headerReference w:type="first" r:id="rId12"/>
          <w:footerReference w:type="first" r:id="rId13"/>
          <w:pgSz w:w="12240" w:h="15840"/>
          <w:pgMar w:top="2041" w:right="1701" w:bottom="1701" w:left="1701" w:header="709" w:footer="709" w:gutter="0"/>
          <w:pgNumType w:start="1"/>
          <w:cols w:space="720"/>
          <w:titlePg/>
        </w:sectPr>
      </w:pPr>
      <w:r w:rsidRPr="005C3A9D">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w:t>
      </w:r>
      <w:r w:rsidR="00E22C26" w:rsidRPr="005C3A9D">
        <w:rPr>
          <w:rFonts w:ascii="Palatino Linotype" w:eastAsia="Palatino Linotype" w:hAnsi="Palatino Linotype" w:cs="Palatino Linotype"/>
          <w:sz w:val="22"/>
          <w:szCs w:val="22"/>
        </w:rPr>
        <w:t xml:space="preserve"> GUADALUPE RAMÍREZ PEÑA; EN LA </w:t>
      </w:r>
      <w:r w:rsidR="004B3BD4" w:rsidRPr="005C3A9D">
        <w:rPr>
          <w:rFonts w:ascii="Palatino Linotype" w:eastAsia="Palatino Linotype" w:hAnsi="Palatino Linotype" w:cs="Palatino Linotype"/>
          <w:sz w:val="22"/>
          <w:szCs w:val="22"/>
        </w:rPr>
        <w:t>OCTAVA</w:t>
      </w:r>
      <w:r w:rsidR="00521271" w:rsidRPr="005C3A9D">
        <w:rPr>
          <w:rFonts w:ascii="Palatino Linotype" w:eastAsia="Palatino Linotype" w:hAnsi="Palatino Linotype" w:cs="Palatino Linotype"/>
          <w:sz w:val="22"/>
          <w:szCs w:val="22"/>
        </w:rPr>
        <w:t xml:space="preserve"> </w:t>
      </w:r>
      <w:r w:rsidR="00CF4F0B" w:rsidRPr="005C3A9D">
        <w:rPr>
          <w:rFonts w:ascii="Palatino Linotype" w:eastAsia="Palatino Linotype" w:hAnsi="Palatino Linotype" w:cs="Palatino Linotype"/>
          <w:sz w:val="22"/>
          <w:szCs w:val="22"/>
        </w:rPr>
        <w:t xml:space="preserve">SESIÓN ORDINARIA CELEBRADA EL </w:t>
      </w:r>
      <w:r w:rsidR="004B3BD4" w:rsidRPr="005C3A9D">
        <w:rPr>
          <w:rFonts w:ascii="Palatino Linotype" w:eastAsia="Palatino Linotype" w:hAnsi="Palatino Linotype" w:cs="Palatino Linotype"/>
          <w:sz w:val="22"/>
          <w:szCs w:val="22"/>
        </w:rPr>
        <w:t>CINCO DE MARZO</w:t>
      </w:r>
      <w:r w:rsidR="00521271" w:rsidRPr="005C3A9D">
        <w:rPr>
          <w:rFonts w:ascii="Palatino Linotype" w:eastAsia="Palatino Linotype" w:hAnsi="Palatino Linotype" w:cs="Palatino Linotype"/>
          <w:sz w:val="22"/>
          <w:szCs w:val="22"/>
        </w:rPr>
        <w:t xml:space="preserve"> DE DOS MIL VEINTICINCO</w:t>
      </w:r>
      <w:r w:rsidRPr="005C3A9D">
        <w:rPr>
          <w:rFonts w:ascii="Palatino Linotype" w:eastAsia="Palatino Linotype" w:hAnsi="Palatino Linotype" w:cs="Palatino Linotype"/>
          <w:sz w:val="22"/>
          <w:szCs w:val="22"/>
        </w:rPr>
        <w:t>, ANTE EL SECRETARIO TÉCNICO DEL PLENO ALEXIS TAPIA RAMÍREZ</w:t>
      </w:r>
      <w:r w:rsidR="00E22C26" w:rsidRPr="005C3A9D">
        <w:rPr>
          <w:rFonts w:ascii="Palatino Linotype" w:eastAsia="Palatino Linotype" w:hAnsi="Palatino Linotype" w:cs="Palatino Linotype"/>
          <w:sz w:val="22"/>
          <w:szCs w:val="22"/>
        </w:rPr>
        <w:t xml:space="preserve">.                              </w:t>
      </w:r>
    </w:p>
    <w:p w14:paraId="731620FE" w14:textId="77777777" w:rsidR="00397333" w:rsidRPr="005C3A9D" w:rsidRDefault="00397333" w:rsidP="00AC2786">
      <w:pPr>
        <w:spacing w:line="360" w:lineRule="auto"/>
        <w:jc w:val="both"/>
        <w:rPr>
          <w:rFonts w:ascii="Palatino Linotype" w:eastAsia="Palatino Linotype" w:hAnsi="Palatino Linotype" w:cs="Palatino Linotype"/>
          <w:sz w:val="22"/>
          <w:szCs w:val="22"/>
        </w:rPr>
      </w:pPr>
    </w:p>
    <w:sectPr w:rsidR="00397333" w:rsidRPr="005C3A9D">
      <w:headerReference w:type="first" r:id="rId14"/>
      <w:pgSz w:w="12240" w:h="15840"/>
      <w:pgMar w:top="2041"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B6FBA" w14:textId="77777777" w:rsidR="00C10676" w:rsidRDefault="00C10676">
      <w:r>
        <w:separator/>
      </w:r>
    </w:p>
  </w:endnote>
  <w:endnote w:type="continuationSeparator" w:id="0">
    <w:p w14:paraId="2BD04C8A" w14:textId="77777777" w:rsidR="00C10676" w:rsidRDefault="00C1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5CAD" w14:textId="715D2FF1" w:rsidR="00E80440" w:rsidRDefault="00E8044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4E0C10">
      <w:rPr>
        <w:rFonts w:ascii="Arial" w:eastAsia="Arial" w:hAnsi="Arial" w:cs="Arial"/>
        <w:b/>
        <w:noProof/>
        <w:color w:val="000000"/>
        <w:sz w:val="20"/>
        <w:szCs w:val="20"/>
      </w:rPr>
      <w:t>16</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4E0C10">
      <w:rPr>
        <w:rFonts w:ascii="Arial" w:eastAsia="Arial" w:hAnsi="Arial" w:cs="Arial"/>
        <w:b/>
        <w:noProof/>
        <w:color w:val="000000"/>
        <w:sz w:val="20"/>
        <w:szCs w:val="20"/>
      </w:rPr>
      <w:t>46</w:t>
    </w:r>
    <w:r>
      <w:rPr>
        <w:rFonts w:ascii="Arial" w:eastAsia="Arial" w:hAnsi="Arial" w:cs="Arial"/>
        <w:b/>
        <w:color w:val="000000"/>
        <w:sz w:val="20"/>
        <w:szCs w:val="20"/>
      </w:rPr>
      <w:fldChar w:fldCharType="end"/>
    </w:r>
  </w:p>
  <w:p w14:paraId="74FD0940" w14:textId="77777777" w:rsidR="00E80440" w:rsidRDefault="00E80440">
    <w:pPr>
      <w:pBdr>
        <w:top w:val="nil"/>
        <w:left w:val="nil"/>
        <w:bottom w:val="nil"/>
        <w:right w:val="nil"/>
        <w:between w:val="nil"/>
      </w:pBdr>
      <w:tabs>
        <w:tab w:val="center" w:pos="4252"/>
        <w:tab w:val="right" w:pos="8504"/>
      </w:tabs>
      <w:rPr>
        <w:color w:val="000000"/>
      </w:rPr>
    </w:pPr>
  </w:p>
  <w:p w14:paraId="2A58C321" w14:textId="77777777" w:rsidR="00E80440" w:rsidRDefault="00E80440">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0492" w14:textId="35D3B58B" w:rsidR="00E80440" w:rsidRDefault="00E8044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4E0C10">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4E0C10">
      <w:rPr>
        <w:rFonts w:ascii="Arial" w:eastAsia="Arial" w:hAnsi="Arial" w:cs="Arial"/>
        <w:b/>
        <w:noProof/>
        <w:color w:val="000000"/>
        <w:sz w:val="20"/>
        <w:szCs w:val="20"/>
      </w:rPr>
      <w:t>46</w:t>
    </w:r>
    <w:r>
      <w:rPr>
        <w:rFonts w:ascii="Arial" w:eastAsia="Arial" w:hAnsi="Arial" w:cs="Arial"/>
        <w:b/>
        <w:color w:val="000000"/>
        <w:sz w:val="20"/>
        <w:szCs w:val="20"/>
      </w:rPr>
      <w:fldChar w:fldCharType="end"/>
    </w:r>
  </w:p>
  <w:p w14:paraId="086B091E" w14:textId="77777777" w:rsidR="00E80440" w:rsidRDefault="00E8044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3D001" w14:textId="77777777" w:rsidR="00C10676" w:rsidRDefault="00C10676">
      <w:r>
        <w:separator/>
      </w:r>
    </w:p>
  </w:footnote>
  <w:footnote w:type="continuationSeparator" w:id="0">
    <w:p w14:paraId="72645202" w14:textId="77777777" w:rsidR="00C10676" w:rsidRDefault="00C10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A884" w14:textId="00E0108E" w:rsidR="00E80440" w:rsidRDefault="00E80440">
    <w:pPr>
      <w:widowControl w:val="0"/>
      <w:pBdr>
        <w:top w:val="nil"/>
        <w:left w:val="nil"/>
        <w:bottom w:val="nil"/>
        <w:right w:val="nil"/>
        <w:between w:val="nil"/>
      </w:pBdr>
      <w:spacing w:line="276" w:lineRule="auto"/>
      <w:rPr>
        <w:rFonts w:ascii="Calibri" w:eastAsia="Calibri" w:hAnsi="Calibri" w:cs="Calibri"/>
        <w:color w:val="000000"/>
      </w:rPr>
    </w:pPr>
    <w:r>
      <w:rPr>
        <w:noProof/>
        <w:lang w:val="es-MX" w:eastAsia="es-MX"/>
      </w:rPr>
      <w:drawing>
        <wp:anchor distT="0" distB="0" distL="0" distR="0" simplePos="0" relativeHeight="251658240" behindDoc="1" locked="0" layoutInCell="1" hidden="0" allowOverlap="1" wp14:anchorId="6A6EFE51" wp14:editId="034A774B">
          <wp:simplePos x="0" y="0"/>
          <wp:positionH relativeFrom="column">
            <wp:posOffset>-638175</wp:posOffset>
          </wp:positionH>
          <wp:positionV relativeFrom="paragraph">
            <wp:posOffset>-450215</wp:posOffset>
          </wp:positionV>
          <wp:extent cx="7809876" cy="10165823"/>
          <wp:effectExtent l="0" t="0" r="0" b="0"/>
          <wp:wrapNone/>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1"/>
      <w:tblW w:w="5528" w:type="dxa"/>
      <w:tblInd w:w="3261" w:type="dxa"/>
      <w:tblLayout w:type="fixed"/>
      <w:tblLook w:val="0400" w:firstRow="0" w:lastRow="0" w:firstColumn="0" w:lastColumn="0" w:noHBand="0" w:noVBand="1"/>
    </w:tblPr>
    <w:tblGrid>
      <w:gridCol w:w="2551"/>
      <w:gridCol w:w="2977"/>
    </w:tblGrid>
    <w:tr w:rsidR="00E80440" w14:paraId="410F6866" w14:textId="77777777">
      <w:tc>
        <w:tcPr>
          <w:tcW w:w="2551" w:type="dxa"/>
          <w:vAlign w:val="center"/>
        </w:tcPr>
        <w:p w14:paraId="4F3EC25E" w14:textId="77777777" w:rsidR="00E80440" w:rsidRDefault="00E8044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2977" w:type="dxa"/>
          <w:vAlign w:val="center"/>
        </w:tcPr>
        <w:p w14:paraId="35B37800" w14:textId="6F34BC13" w:rsidR="00E80440" w:rsidRDefault="00E80440" w:rsidP="00C937A1">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w:t>
          </w:r>
          <w:r w:rsidR="004C1AFB">
            <w:rPr>
              <w:rFonts w:ascii="Palatino Linotype" w:eastAsia="Palatino Linotype" w:hAnsi="Palatino Linotype" w:cs="Palatino Linotype"/>
              <w:b/>
              <w:sz w:val="22"/>
              <w:szCs w:val="22"/>
            </w:rPr>
            <w:t>264</w:t>
          </w:r>
          <w:r>
            <w:rPr>
              <w:rFonts w:ascii="Palatino Linotype" w:eastAsia="Palatino Linotype" w:hAnsi="Palatino Linotype" w:cs="Palatino Linotype"/>
              <w:b/>
              <w:sz w:val="22"/>
              <w:szCs w:val="22"/>
            </w:rPr>
            <w:t>/INFOEM/IP/RR/2025</w:t>
          </w:r>
        </w:p>
      </w:tc>
    </w:tr>
    <w:tr w:rsidR="00E80440" w14:paraId="7FF3BFBA" w14:textId="77777777">
      <w:trPr>
        <w:trHeight w:val="228"/>
      </w:trPr>
      <w:tc>
        <w:tcPr>
          <w:tcW w:w="2551" w:type="dxa"/>
          <w:vAlign w:val="center"/>
        </w:tcPr>
        <w:p w14:paraId="2DC18B76" w14:textId="3ED92A85" w:rsidR="00E80440" w:rsidRDefault="00E8044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2977" w:type="dxa"/>
          <w:vAlign w:val="center"/>
        </w:tcPr>
        <w:p w14:paraId="750FF33F" w14:textId="42E460DE" w:rsidR="00E80440" w:rsidRDefault="004C1AFB" w:rsidP="00EB7982">
          <w:pPr>
            <w:jc w:val="both"/>
            <w:rPr>
              <w:rFonts w:ascii="Palatino Linotype" w:eastAsia="Palatino Linotype" w:hAnsi="Palatino Linotype" w:cs="Palatino Linotype"/>
              <w:b/>
              <w:sz w:val="22"/>
              <w:szCs w:val="22"/>
            </w:rPr>
          </w:pPr>
          <w:r w:rsidRPr="004C1AFB">
            <w:rPr>
              <w:rFonts w:ascii="Palatino Linotype" w:eastAsia="Palatino Linotype" w:hAnsi="Palatino Linotype" w:cs="Palatino Linotype"/>
              <w:b/>
              <w:sz w:val="22"/>
              <w:szCs w:val="22"/>
            </w:rPr>
            <w:t>Ayuntamiento de Chiconcuac</w:t>
          </w:r>
        </w:p>
      </w:tc>
    </w:tr>
    <w:tr w:rsidR="00E80440" w14:paraId="4B680A7E" w14:textId="77777777">
      <w:tc>
        <w:tcPr>
          <w:tcW w:w="2551" w:type="dxa"/>
          <w:vAlign w:val="center"/>
        </w:tcPr>
        <w:p w14:paraId="450F4EE9" w14:textId="77777777" w:rsidR="00E80440" w:rsidRDefault="00E8044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2977" w:type="dxa"/>
          <w:vAlign w:val="center"/>
        </w:tcPr>
        <w:p w14:paraId="775322B9" w14:textId="77777777" w:rsidR="00E80440" w:rsidRDefault="00E80440">
          <w:pPr>
            <w:ind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1676434" w14:textId="13F3891E" w:rsidR="00E80440" w:rsidRDefault="00E80440">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04DC" w14:textId="77777777" w:rsidR="00E80440" w:rsidRDefault="00E80440">
    <w:pPr>
      <w:pBdr>
        <w:top w:val="nil"/>
        <w:left w:val="nil"/>
        <w:bottom w:val="nil"/>
        <w:right w:val="nil"/>
        <w:between w:val="nil"/>
      </w:pBdr>
      <w:tabs>
        <w:tab w:val="center" w:pos="4252"/>
        <w:tab w:val="right" w:pos="8504"/>
      </w:tabs>
      <w:jc w:val="both"/>
      <w:rPr>
        <w:rFonts w:ascii="Calibri" w:eastAsia="Calibri" w:hAnsi="Calibri" w:cs="Calibri"/>
        <w:color w:val="000000"/>
      </w:rPr>
    </w:pPr>
    <w:r>
      <w:rPr>
        <w:noProof/>
        <w:lang w:val="es-MX" w:eastAsia="es-MX"/>
      </w:rPr>
      <w:drawing>
        <wp:anchor distT="0" distB="0" distL="0" distR="0" simplePos="0" relativeHeight="251659264" behindDoc="1" locked="0" layoutInCell="1" hidden="0" allowOverlap="1" wp14:anchorId="2EE867EB" wp14:editId="40EE2D0C">
          <wp:simplePos x="0" y="0"/>
          <wp:positionH relativeFrom="column">
            <wp:posOffset>-798194</wp:posOffset>
          </wp:positionH>
          <wp:positionV relativeFrom="paragraph">
            <wp:posOffset>-399414</wp:posOffset>
          </wp:positionV>
          <wp:extent cx="7809876" cy="10165823"/>
          <wp:effectExtent l="0" t="0" r="0" b="0"/>
          <wp:wrapNone/>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809876" cy="10165823"/>
                  </a:xfrm>
                  <a:prstGeom prst="rect">
                    <a:avLst/>
                  </a:prstGeom>
                  <a:ln/>
                </pic:spPr>
              </pic:pic>
            </a:graphicData>
          </a:graphic>
          <wp14:sizeRelH relativeFrom="margin">
            <wp14:pctWidth>0</wp14:pctWidth>
          </wp14:sizeRelH>
          <wp14:sizeRelV relativeFrom="margin">
            <wp14:pctHeight>0</wp14:pctHeight>
          </wp14:sizeRelV>
        </wp:anchor>
      </w:drawing>
    </w:r>
  </w:p>
  <w:tbl>
    <w:tblPr>
      <w:tblStyle w:val="2"/>
      <w:tblW w:w="5670" w:type="dxa"/>
      <w:tblInd w:w="3119" w:type="dxa"/>
      <w:tblLayout w:type="fixed"/>
      <w:tblLook w:val="0400" w:firstRow="0" w:lastRow="0" w:firstColumn="0" w:lastColumn="0" w:noHBand="0" w:noVBand="1"/>
    </w:tblPr>
    <w:tblGrid>
      <w:gridCol w:w="2551"/>
      <w:gridCol w:w="3119"/>
    </w:tblGrid>
    <w:tr w:rsidR="00E80440" w14:paraId="0ABB4C37" w14:textId="77777777">
      <w:tc>
        <w:tcPr>
          <w:tcW w:w="2551" w:type="dxa"/>
          <w:vAlign w:val="center"/>
        </w:tcPr>
        <w:p w14:paraId="23A06263" w14:textId="77777777" w:rsidR="00E80440" w:rsidRDefault="00E8044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119" w:type="dxa"/>
          <w:vAlign w:val="center"/>
        </w:tcPr>
        <w:p w14:paraId="5AEB2A1C" w14:textId="60F487F0" w:rsidR="00E80440" w:rsidRDefault="00E80440" w:rsidP="00194EDE">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13</w:t>
          </w:r>
          <w:r w:rsidR="004C1AFB">
            <w:rPr>
              <w:rFonts w:ascii="Palatino Linotype" w:eastAsia="Palatino Linotype" w:hAnsi="Palatino Linotype" w:cs="Palatino Linotype"/>
              <w:b/>
              <w:sz w:val="22"/>
              <w:szCs w:val="22"/>
            </w:rPr>
            <w:t>264</w:t>
          </w:r>
          <w:r>
            <w:rPr>
              <w:rFonts w:ascii="Palatino Linotype" w:eastAsia="Palatino Linotype" w:hAnsi="Palatino Linotype" w:cs="Palatino Linotype"/>
              <w:b/>
              <w:sz w:val="22"/>
              <w:szCs w:val="22"/>
            </w:rPr>
            <w:t>/INFOEM/IP/RR/2025</w:t>
          </w:r>
        </w:p>
      </w:tc>
    </w:tr>
    <w:tr w:rsidR="00E80440" w14:paraId="021994CC" w14:textId="77777777">
      <w:tc>
        <w:tcPr>
          <w:tcW w:w="2551" w:type="dxa"/>
          <w:vAlign w:val="center"/>
        </w:tcPr>
        <w:p w14:paraId="4E679DDD" w14:textId="77777777" w:rsidR="00E80440" w:rsidRPr="00CF4F0B" w:rsidRDefault="00E80440">
          <w:pPr>
            <w:ind w:left="35" w:hanging="35"/>
            <w:rPr>
              <w:rFonts w:ascii="Palatino Linotype" w:eastAsia="Palatino Linotype" w:hAnsi="Palatino Linotype" w:cs="Palatino Linotype"/>
              <w:b/>
              <w:sz w:val="22"/>
              <w:szCs w:val="22"/>
            </w:rPr>
          </w:pPr>
          <w:r w:rsidRPr="00CF4F0B">
            <w:rPr>
              <w:rFonts w:ascii="Palatino Linotype" w:eastAsia="Palatino Linotype" w:hAnsi="Palatino Linotype" w:cs="Palatino Linotype"/>
              <w:b/>
              <w:sz w:val="22"/>
              <w:szCs w:val="22"/>
            </w:rPr>
            <w:t>Recurrente:</w:t>
          </w:r>
        </w:p>
      </w:tc>
      <w:tc>
        <w:tcPr>
          <w:tcW w:w="3119" w:type="dxa"/>
          <w:vAlign w:val="center"/>
        </w:tcPr>
        <w:p w14:paraId="782016DA" w14:textId="12FD6B26" w:rsidR="00E80440" w:rsidRPr="00CF4F0B" w:rsidRDefault="004E0C10" w:rsidP="004E0C10">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 XXXXXXXXX XXXXXXXXXXXX</w:t>
          </w:r>
        </w:p>
      </w:tc>
    </w:tr>
    <w:tr w:rsidR="00E80440" w14:paraId="491D29D6" w14:textId="77777777">
      <w:trPr>
        <w:trHeight w:val="228"/>
      </w:trPr>
      <w:tc>
        <w:tcPr>
          <w:tcW w:w="2551" w:type="dxa"/>
          <w:vAlign w:val="center"/>
        </w:tcPr>
        <w:p w14:paraId="2A6E034B" w14:textId="1A8E0197" w:rsidR="00E80440" w:rsidRDefault="00E8044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119" w:type="dxa"/>
          <w:vAlign w:val="center"/>
        </w:tcPr>
        <w:p w14:paraId="59811C07" w14:textId="2046BA50" w:rsidR="00E80440" w:rsidRDefault="004C1AFB" w:rsidP="00EB7982">
          <w:pPr>
            <w:ind w:right="27"/>
            <w:jc w:val="both"/>
            <w:rPr>
              <w:rFonts w:ascii="Palatino Linotype" w:eastAsia="Palatino Linotype" w:hAnsi="Palatino Linotype" w:cs="Palatino Linotype"/>
              <w:b/>
              <w:sz w:val="22"/>
              <w:szCs w:val="22"/>
            </w:rPr>
          </w:pPr>
          <w:r w:rsidRPr="004C1AFB">
            <w:rPr>
              <w:rFonts w:ascii="Palatino Linotype" w:eastAsia="Palatino Linotype" w:hAnsi="Palatino Linotype" w:cs="Palatino Linotype"/>
              <w:b/>
              <w:sz w:val="22"/>
              <w:szCs w:val="22"/>
            </w:rPr>
            <w:t>Ayuntamiento de Chiconcuac</w:t>
          </w:r>
        </w:p>
      </w:tc>
    </w:tr>
    <w:tr w:rsidR="00E80440" w14:paraId="412F3721" w14:textId="77777777">
      <w:tc>
        <w:tcPr>
          <w:tcW w:w="2551" w:type="dxa"/>
          <w:vAlign w:val="center"/>
        </w:tcPr>
        <w:p w14:paraId="7EDAC2CA" w14:textId="77777777" w:rsidR="00E80440" w:rsidRDefault="00E8044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119" w:type="dxa"/>
          <w:vAlign w:val="center"/>
        </w:tcPr>
        <w:p w14:paraId="296FCD99" w14:textId="77777777" w:rsidR="00E80440" w:rsidRDefault="00E80440">
          <w:pPr>
            <w:ind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B62D0F1" w14:textId="77777777" w:rsidR="00E80440" w:rsidRDefault="00E80440">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FFA3" w14:textId="77777777" w:rsidR="00E80440" w:rsidRDefault="00E80440">
    <w:pPr>
      <w:pBdr>
        <w:top w:val="nil"/>
        <w:left w:val="nil"/>
        <w:bottom w:val="nil"/>
        <w:right w:val="nil"/>
        <w:between w:val="nil"/>
      </w:pBdr>
      <w:tabs>
        <w:tab w:val="center" w:pos="4252"/>
        <w:tab w:val="right" w:pos="8504"/>
      </w:tabs>
      <w:jc w:val="both"/>
      <w:rPr>
        <w:rFonts w:ascii="Calibri" w:eastAsia="Calibri" w:hAnsi="Calibri" w:cs="Calibri"/>
        <w:color w:val="000000"/>
      </w:rPr>
    </w:pPr>
  </w:p>
  <w:p w14:paraId="6E1A07CC" w14:textId="77777777" w:rsidR="00E80440" w:rsidRDefault="00E80440">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C8C"/>
    <w:multiLevelType w:val="hybridMultilevel"/>
    <w:tmpl w:val="BC16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E26F4E"/>
    <w:multiLevelType w:val="multilevel"/>
    <w:tmpl w:val="C2A819E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8D6182A"/>
    <w:multiLevelType w:val="multilevel"/>
    <w:tmpl w:val="5B1462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AF87A82"/>
    <w:multiLevelType w:val="multilevel"/>
    <w:tmpl w:val="FA04F34E"/>
    <w:lvl w:ilvl="0">
      <w:start w:val="6"/>
      <w:numFmt w:val="decimal"/>
      <w:lvlText w:val="%1."/>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B47DCD"/>
    <w:multiLevelType w:val="hybridMultilevel"/>
    <w:tmpl w:val="1292E1F2"/>
    <w:lvl w:ilvl="0" w:tplc="6EF8B068">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14D5743D"/>
    <w:multiLevelType w:val="hybridMultilevel"/>
    <w:tmpl w:val="1722C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E11D3A"/>
    <w:multiLevelType w:val="hybridMultilevel"/>
    <w:tmpl w:val="FAAE7A4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77C1D4D"/>
    <w:multiLevelType w:val="hybridMultilevel"/>
    <w:tmpl w:val="83283C6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18B217F1"/>
    <w:multiLevelType w:val="hybridMultilevel"/>
    <w:tmpl w:val="75C8E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BA60E1"/>
    <w:multiLevelType w:val="hybridMultilevel"/>
    <w:tmpl w:val="145203D0"/>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594363"/>
    <w:multiLevelType w:val="hybridMultilevel"/>
    <w:tmpl w:val="ED603DF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2" w15:restartNumberingAfterBreak="0">
    <w:nsid w:val="31A413FC"/>
    <w:multiLevelType w:val="multilevel"/>
    <w:tmpl w:val="ADEA89AA"/>
    <w:lvl w:ilvl="0">
      <w:start w:val="5"/>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6326B76"/>
    <w:multiLevelType w:val="hybridMultilevel"/>
    <w:tmpl w:val="B9EAE274"/>
    <w:lvl w:ilvl="0" w:tplc="080A000B">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4" w15:restartNumberingAfterBreak="0">
    <w:nsid w:val="39A6654C"/>
    <w:multiLevelType w:val="hybridMultilevel"/>
    <w:tmpl w:val="E7B22E14"/>
    <w:lvl w:ilvl="0" w:tplc="58AAD3E8">
      <w:start w:val="5"/>
      <w:numFmt w:val="bullet"/>
      <w:lvlText w:val="-"/>
      <w:lvlJc w:val="left"/>
      <w:pPr>
        <w:ind w:left="1440" w:hanging="360"/>
      </w:pPr>
      <w:rPr>
        <w:rFonts w:ascii="Palatino Linotype" w:eastAsia="Times New Roman" w:hAnsi="Palatino Linotype" w:cs="Arial" w:hint="default"/>
        <w:b/>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3BC37737"/>
    <w:multiLevelType w:val="multilevel"/>
    <w:tmpl w:val="048AA12E"/>
    <w:lvl w:ilvl="0">
      <w:start w:val="8"/>
      <w:numFmt w:val="decimal"/>
      <w:lvlText w:val="%1."/>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E173B4B"/>
    <w:multiLevelType w:val="multilevel"/>
    <w:tmpl w:val="16480A62"/>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7" w15:restartNumberingAfterBreak="0">
    <w:nsid w:val="433E7352"/>
    <w:multiLevelType w:val="hybridMultilevel"/>
    <w:tmpl w:val="B7DA9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054F07"/>
    <w:multiLevelType w:val="hybridMultilevel"/>
    <w:tmpl w:val="E5F0D982"/>
    <w:lvl w:ilvl="0" w:tplc="080A0009">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9" w15:restartNumberingAfterBreak="0">
    <w:nsid w:val="4EC93B8D"/>
    <w:multiLevelType w:val="multilevel"/>
    <w:tmpl w:val="9C28532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EA5A3C"/>
    <w:multiLevelType w:val="multilevel"/>
    <w:tmpl w:val="FAE004B8"/>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D650BD"/>
    <w:multiLevelType w:val="multilevel"/>
    <w:tmpl w:val="7652B6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54D715BF"/>
    <w:multiLevelType w:val="hybridMultilevel"/>
    <w:tmpl w:val="CAB86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05644A"/>
    <w:multiLevelType w:val="multilevel"/>
    <w:tmpl w:val="56661A1C"/>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58E799A"/>
    <w:multiLevelType w:val="hybridMultilevel"/>
    <w:tmpl w:val="BEFA2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D8B775D"/>
    <w:multiLevelType w:val="hybridMultilevel"/>
    <w:tmpl w:val="1654F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1C16CBA"/>
    <w:multiLevelType w:val="hybridMultilevel"/>
    <w:tmpl w:val="B442CD16"/>
    <w:lvl w:ilvl="0" w:tplc="080A0009">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7" w15:restartNumberingAfterBreak="0">
    <w:nsid w:val="635D2BE2"/>
    <w:multiLevelType w:val="multilevel"/>
    <w:tmpl w:val="6FBABAF2"/>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3852D89"/>
    <w:multiLevelType w:val="hybridMultilevel"/>
    <w:tmpl w:val="417236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6267B50"/>
    <w:multiLevelType w:val="multilevel"/>
    <w:tmpl w:val="17F688E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0" w15:restartNumberingAfterBreak="0">
    <w:nsid w:val="69386201"/>
    <w:multiLevelType w:val="multilevel"/>
    <w:tmpl w:val="F9723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A465A45"/>
    <w:multiLevelType w:val="multilevel"/>
    <w:tmpl w:val="AF7CA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E921E37"/>
    <w:multiLevelType w:val="multilevel"/>
    <w:tmpl w:val="DBF28836"/>
    <w:lvl w:ilvl="0">
      <w:start w:val="1"/>
      <w:numFmt w:val="upp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3850F1A"/>
    <w:multiLevelType w:val="multilevel"/>
    <w:tmpl w:val="2C063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88D16D7"/>
    <w:multiLevelType w:val="hybridMultilevel"/>
    <w:tmpl w:val="0E5AD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962653A"/>
    <w:multiLevelType w:val="multilevel"/>
    <w:tmpl w:val="E6E6B7E4"/>
    <w:lvl w:ilvl="0">
      <w:start w:val="1"/>
      <w:numFmt w:val="decimal"/>
      <w:lvlText w:val="%1."/>
      <w:lvlJc w:val="left"/>
      <w:pPr>
        <w:ind w:left="927" w:hanging="360"/>
      </w:pPr>
      <w:rPr>
        <w:rFonts w:hint="default"/>
        <w:i w:val="0"/>
        <w:iC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6" w15:restartNumberingAfterBreak="0">
    <w:nsid w:val="79FD3168"/>
    <w:multiLevelType w:val="multilevel"/>
    <w:tmpl w:val="3F2CE62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747650084">
    <w:abstractNumId w:val="20"/>
  </w:num>
  <w:num w:numId="2" w16cid:durableId="1024281013">
    <w:abstractNumId w:val="29"/>
  </w:num>
  <w:num w:numId="3" w16cid:durableId="758335182">
    <w:abstractNumId w:val="27"/>
  </w:num>
  <w:num w:numId="4" w16cid:durableId="2000840251">
    <w:abstractNumId w:val="0"/>
  </w:num>
  <w:num w:numId="5" w16cid:durableId="460614118">
    <w:abstractNumId w:val="16"/>
  </w:num>
  <w:num w:numId="6" w16cid:durableId="1368677141">
    <w:abstractNumId w:val="32"/>
  </w:num>
  <w:num w:numId="7" w16cid:durableId="1658996627">
    <w:abstractNumId w:val="3"/>
  </w:num>
  <w:num w:numId="8" w16cid:durableId="298649718">
    <w:abstractNumId w:val="15"/>
  </w:num>
  <w:num w:numId="9" w16cid:durableId="921913847">
    <w:abstractNumId w:val="33"/>
  </w:num>
  <w:num w:numId="10" w16cid:durableId="1684823513">
    <w:abstractNumId w:val="6"/>
  </w:num>
  <w:num w:numId="11" w16cid:durableId="2063479541">
    <w:abstractNumId w:val="11"/>
  </w:num>
  <w:num w:numId="12" w16cid:durableId="1449541377">
    <w:abstractNumId w:val="8"/>
  </w:num>
  <w:num w:numId="13" w16cid:durableId="2076775411">
    <w:abstractNumId w:val="36"/>
  </w:num>
  <w:num w:numId="14" w16cid:durableId="470559069">
    <w:abstractNumId w:val="18"/>
  </w:num>
  <w:num w:numId="15" w16cid:durableId="197933396">
    <w:abstractNumId w:val="26"/>
  </w:num>
  <w:num w:numId="16" w16cid:durableId="957756790">
    <w:abstractNumId w:val="9"/>
  </w:num>
  <w:num w:numId="17" w16cid:durableId="191695145">
    <w:abstractNumId w:val="13"/>
  </w:num>
  <w:num w:numId="18" w16cid:durableId="1522012147">
    <w:abstractNumId w:val="30"/>
  </w:num>
  <w:num w:numId="19" w16cid:durableId="832913232">
    <w:abstractNumId w:val="34"/>
  </w:num>
  <w:num w:numId="20" w16cid:durableId="1659112864">
    <w:abstractNumId w:val="12"/>
  </w:num>
  <w:num w:numId="21" w16cid:durableId="172032640">
    <w:abstractNumId w:val="24"/>
  </w:num>
  <w:num w:numId="22" w16cid:durableId="1626043336">
    <w:abstractNumId w:val="10"/>
  </w:num>
  <w:num w:numId="23" w16cid:durableId="1711611133">
    <w:abstractNumId w:val="14"/>
  </w:num>
  <w:num w:numId="24" w16cid:durableId="237715404">
    <w:abstractNumId w:val="35"/>
  </w:num>
  <w:num w:numId="25" w16cid:durableId="550044624">
    <w:abstractNumId w:val="25"/>
  </w:num>
  <w:num w:numId="26" w16cid:durableId="13841414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39235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3130226">
    <w:abstractNumId w:val="7"/>
  </w:num>
  <w:num w:numId="29" w16cid:durableId="1941914168">
    <w:abstractNumId w:val="28"/>
  </w:num>
  <w:num w:numId="30" w16cid:durableId="872381115">
    <w:abstractNumId w:val="23"/>
  </w:num>
  <w:num w:numId="31" w16cid:durableId="747460967">
    <w:abstractNumId w:val="1"/>
  </w:num>
  <w:num w:numId="32" w16cid:durableId="800347444">
    <w:abstractNumId w:val="2"/>
  </w:num>
  <w:num w:numId="33" w16cid:durableId="1842504476">
    <w:abstractNumId w:val="21"/>
  </w:num>
  <w:num w:numId="34" w16cid:durableId="45185909">
    <w:abstractNumId w:val="17"/>
  </w:num>
  <w:num w:numId="35" w16cid:durableId="20330036">
    <w:abstractNumId w:val="31"/>
  </w:num>
  <w:num w:numId="36" w16cid:durableId="502621971">
    <w:abstractNumId w:val="22"/>
  </w:num>
  <w:num w:numId="37" w16cid:durableId="140248125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333"/>
    <w:rsid w:val="00007192"/>
    <w:rsid w:val="000117BB"/>
    <w:rsid w:val="000126E2"/>
    <w:rsid w:val="00013A91"/>
    <w:rsid w:val="000246FA"/>
    <w:rsid w:val="00025A12"/>
    <w:rsid w:val="00025FCE"/>
    <w:rsid w:val="00027421"/>
    <w:rsid w:val="000275DC"/>
    <w:rsid w:val="0003122D"/>
    <w:rsid w:val="0003555F"/>
    <w:rsid w:val="0004024A"/>
    <w:rsid w:val="00042166"/>
    <w:rsid w:val="00044564"/>
    <w:rsid w:val="000523BC"/>
    <w:rsid w:val="0005655C"/>
    <w:rsid w:val="000623CA"/>
    <w:rsid w:val="000679EF"/>
    <w:rsid w:val="00071508"/>
    <w:rsid w:val="00071CE6"/>
    <w:rsid w:val="000779A7"/>
    <w:rsid w:val="00082299"/>
    <w:rsid w:val="000854F0"/>
    <w:rsid w:val="00085616"/>
    <w:rsid w:val="00087276"/>
    <w:rsid w:val="000901C0"/>
    <w:rsid w:val="00094EDD"/>
    <w:rsid w:val="000A0DA5"/>
    <w:rsid w:val="000A380E"/>
    <w:rsid w:val="000B3C3B"/>
    <w:rsid w:val="000B3CA4"/>
    <w:rsid w:val="000B5FCD"/>
    <w:rsid w:val="000B61EE"/>
    <w:rsid w:val="000C147F"/>
    <w:rsid w:val="000C308A"/>
    <w:rsid w:val="000C786F"/>
    <w:rsid w:val="000D0D20"/>
    <w:rsid w:val="000D394F"/>
    <w:rsid w:val="000D3A23"/>
    <w:rsid w:val="000D4A9B"/>
    <w:rsid w:val="000D70A8"/>
    <w:rsid w:val="000E0174"/>
    <w:rsid w:val="000E167B"/>
    <w:rsid w:val="000E3910"/>
    <w:rsid w:val="000E4176"/>
    <w:rsid w:val="000E596C"/>
    <w:rsid w:val="000F3784"/>
    <w:rsid w:val="00100008"/>
    <w:rsid w:val="00100EE5"/>
    <w:rsid w:val="00103742"/>
    <w:rsid w:val="0010466E"/>
    <w:rsid w:val="00104B28"/>
    <w:rsid w:val="00105688"/>
    <w:rsid w:val="00107D5A"/>
    <w:rsid w:val="00107E0E"/>
    <w:rsid w:val="0011177E"/>
    <w:rsid w:val="00111D33"/>
    <w:rsid w:val="0012289B"/>
    <w:rsid w:val="00123C2A"/>
    <w:rsid w:val="00124E9F"/>
    <w:rsid w:val="00130035"/>
    <w:rsid w:val="00130ADB"/>
    <w:rsid w:val="00131EA3"/>
    <w:rsid w:val="00135DB6"/>
    <w:rsid w:val="00140B23"/>
    <w:rsid w:val="00140DCE"/>
    <w:rsid w:val="0014425E"/>
    <w:rsid w:val="001507E5"/>
    <w:rsid w:val="0015272B"/>
    <w:rsid w:val="00152E4F"/>
    <w:rsid w:val="0015352F"/>
    <w:rsid w:val="001562D2"/>
    <w:rsid w:val="00156471"/>
    <w:rsid w:val="00165EC1"/>
    <w:rsid w:val="00166C60"/>
    <w:rsid w:val="00171C0F"/>
    <w:rsid w:val="00171EB9"/>
    <w:rsid w:val="0017363A"/>
    <w:rsid w:val="0017586E"/>
    <w:rsid w:val="00182F33"/>
    <w:rsid w:val="00190709"/>
    <w:rsid w:val="00193025"/>
    <w:rsid w:val="001932CC"/>
    <w:rsid w:val="00194EDE"/>
    <w:rsid w:val="00195FA8"/>
    <w:rsid w:val="001A1606"/>
    <w:rsid w:val="001A2437"/>
    <w:rsid w:val="001A2789"/>
    <w:rsid w:val="001B0E75"/>
    <w:rsid w:val="001B2407"/>
    <w:rsid w:val="001B63BE"/>
    <w:rsid w:val="001B6BF6"/>
    <w:rsid w:val="001B6F03"/>
    <w:rsid w:val="001C0FF3"/>
    <w:rsid w:val="001C1D7D"/>
    <w:rsid w:val="001C5EC2"/>
    <w:rsid w:val="001C6807"/>
    <w:rsid w:val="001C7B16"/>
    <w:rsid w:val="001D1A3F"/>
    <w:rsid w:val="001D1D8B"/>
    <w:rsid w:val="001D33EF"/>
    <w:rsid w:val="001D39BA"/>
    <w:rsid w:val="001D7660"/>
    <w:rsid w:val="001E0464"/>
    <w:rsid w:val="001F0BAE"/>
    <w:rsid w:val="001F1DBC"/>
    <w:rsid w:val="001F4E7D"/>
    <w:rsid w:val="001F7225"/>
    <w:rsid w:val="002006CA"/>
    <w:rsid w:val="00207407"/>
    <w:rsid w:val="0021224F"/>
    <w:rsid w:val="00215DEF"/>
    <w:rsid w:val="00216308"/>
    <w:rsid w:val="00220550"/>
    <w:rsid w:val="00220997"/>
    <w:rsid w:val="00221B10"/>
    <w:rsid w:val="00221DB5"/>
    <w:rsid w:val="002238B3"/>
    <w:rsid w:val="00225AE4"/>
    <w:rsid w:val="002266AD"/>
    <w:rsid w:val="00227026"/>
    <w:rsid w:val="00227508"/>
    <w:rsid w:val="00227BF6"/>
    <w:rsid w:val="00231756"/>
    <w:rsid w:val="00231BE6"/>
    <w:rsid w:val="00232656"/>
    <w:rsid w:val="00234EA9"/>
    <w:rsid w:val="00237EBD"/>
    <w:rsid w:val="00241996"/>
    <w:rsid w:val="00241E82"/>
    <w:rsid w:val="0024674D"/>
    <w:rsid w:val="00250736"/>
    <w:rsid w:val="00252E63"/>
    <w:rsid w:val="00255DCA"/>
    <w:rsid w:val="00257119"/>
    <w:rsid w:val="00263C97"/>
    <w:rsid w:val="00264062"/>
    <w:rsid w:val="0027138A"/>
    <w:rsid w:val="00272A4B"/>
    <w:rsid w:val="00272FE8"/>
    <w:rsid w:val="00274708"/>
    <w:rsid w:val="00274A27"/>
    <w:rsid w:val="002770ED"/>
    <w:rsid w:val="0028112C"/>
    <w:rsid w:val="00286193"/>
    <w:rsid w:val="00287F79"/>
    <w:rsid w:val="002905D4"/>
    <w:rsid w:val="0029098C"/>
    <w:rsid w:val="00292217"/>
    <w:rsid w:val="002964E5"/>
    <w:rsid w:val="002A7304"/>
    <w:rsid w:val="002B360D"/>
    <w:rsid w:val="002B4CD6"/>
    <w:rsid w:val="002C4463"/>
    <w:rsid w:val="002C5263"/>
    <w:rsid w:val="002C59DD"/>
    <w:rsid w:val="002D1067"/>
    <w:rsid w:val="002D1EA9"/>
    <w:rsid w:val="002D466E"/>
    <w:rsid w:val="002D4EC8"/>
    <w:rsid w:val="002E0B8F"/>
    <w:rsid w:val="002E4FA2"/>
    <w:rsid w:val="002E7625"/>
    <w:rsid w:val="002E7D5E"/>
    <w:rsid w:val="002F3CFA"/>
    <w:rsid w:val="002F537B"/>
    <w:rsid w:val="002F5666"/>
    <w:rsid w:val="002F601B"/>
    <w:rsid w:val="0030202F"/>
    <w:rsid w:val="00304749"/>
    <w:rsid w:val="0030755C"/>
    <w:rsid w:val="00314971"/>
    <w:rsid w:val="00316034"/>
    <w:rsid w:val="0031782E"/>
    <w:rsid w:val="0032097D"/>
    <w:rsid w:val="00321C27"/>
    <w:rsid w:val="00322AE5"/>
    <w:rsid w:val="003251E5"/>
    <w:rsid w:val="00325415"/>
    <w:rsid w:val="00325732"/>
    <w:rsid w:val="003309D4"/>
    <w:rsid w:val="00332B1C"/>
    <w:rsid w:val="003343F6"/>
    <w:rsid w:val="00334DC9"/>
    <w:rsid w:val="00340E0D"/>
    <w:rsid w:val="00344842"/>
    <w:rsid w:val="0035240A"/>
    <w:rsid w:val="003537BC"/>
    <w:rsid w:val="00354447"/>
    <w:rsid w:val="00357C24"/>
    <w:rsid w:val="00361A82"/>
    <w:rsid w:val="003641D2"/>
    <w:rsid w:val="003658E9"/>
    <w:rsid w:val="003718E2"/>
    <w:rsid w:val="00372501"/>
    <w:rsid w:val="0037764F"/>
    <w:rsid w:val="003776E1"/>
    <w:rsid w:val="003804FB"/>
    <w:rsid w:val="003839B4"/>
    <w:rsid w:val="00383E66"/>
    <w:rsid w:val="0038461C"/>
    <w:rsid w:val="00384BA8"/>
    <w:rsid w:val="00385565"/>
    <w:rsid w:val="00385A18"/>
    <w:rsid w:val="00391036"/>
    <w:rsid w:val="00396EA9"/>
    <w:rsid w:val="00397333"/>
    <w:rsid w:val="003A3BEE"/>
    <w:rsid w:val="003A71CA"/>
    <w:rsid w:val="003B0782"/>
    <w:rsid w:val="003B108D"/>
    <w:rsid w:val="003B3B4B"/>
    <w:rsid w:val="003C0A84"/>
    <w:rsid w:val="003C3E8C"/>
    <w:rsid w:val="003C479D"/>
    <w:rsid w:val="003C5B40"/>
    <w:rsid w:val="003C78A1"/>
    <w:rsid w:val="003D0536"/>
    <w:rsid w:val="003D6D9E"/>
    <w:rsid w:val="003D770E"/>
    <w:rsid w:val="003E2AB0"/>
    <w:rsid w:val="003E4045"/>
    <w:rsid w:val="003F152F"/>
    <w:rsid w:val="003F407E"/>
    <w:rsid w:val="003F67C7"/>
    <w:rsid w:val="003F6A4E"/>
    <w:rsid w:val="003F6D1D"/>
    <w:rsid w:val="00400292"/>
    <w:rsid w:val="004007C9"/>
    <w:rsid w:val="00405840"/>
    <w:rsid w:val="004118B4"/>
    <w:rsid w:val="00432DDB"/>
    <w:rsid w:val="004346E8"/>
    <w:rsid w:val="004364A4"/>
    <w:rsid w:val="004402DC"/>
    <w:rsid w:val="0044410A"/>
    <w:rsid w:val="00450F17"/>
    <w:rsid w:val="0045248B"/>
    <w:rsid w:val="00452B2D"/>
    <w:rsid w:val="004601E2"/>
    <w:rsid w:val="00462106"/>
    <w:rsid w:val="00463BE0"/>
    <w:rsid w:val="004711FB"/>
    <w:rsid w:val="004715CF"/>
    <w:rsid w:val="0047162B"/>
    <w:rsid w:val="00474A81"/>
    <w:rsid w:val="00475DD7"/>
    <w:rsid w:val="0047699C"/>
    <w:rsid w:val="00477CB8"/>
    <w:rsid w:val="00477F5F"/>
    <w:rsid w:val="00484B25"/>
    <w:rsid w:val="00485BC1"/>
    <w:rsid w:val="00486ED6"/>
    <w:rsid w:val="004902E3"/>
    <w:rsid w:val="004948E3"/>
    <w:rsid w:val="0049591B"/>
    <w:rsid w:val="004967F9"/>
    <w:rsid w:val="00496DCD"/>
    <w:rsid w:val="00497DA0"/>
    <w:rsid w:val="004A1050"/>
    <w:rsid w:val="004A5D6F"/>
    <w:rsid w:val="004A6331"/>
    <w:rsid w:val="004A7AED"/>
    <w:rsid w:val="004B07F5"/>
    <w:rsid w:val="004B3BC5"/>
    <w:rsid w:val="004B3BD4"/>
    <w:rsid w:val="004B5706"/>
    <w:rsid w:val="004C1AFB"/>
    <w:rsid w:val="004C253B"/>
    <w:rsid w:val="004C2CF7"/>
    <w:rsid w:val="004D036D"/>
    <w:rsid w:val="004D639E"/>
    <w:rsid w:val="004E0179"/>
    <w:rsid w:val="004E0C10"/>
    <w:rsid w:val="004E1D11"/>
    <w:rsid w:val="004E54B5"/>
    <w:rsid w:val="004E63D6"/>
    <w:rsid w:val="004F14D4"/>
    <w:rsid w:val="004F3F67"/>
    <w:rsid w:val="004F631C"/>
    <w:rsid w:val="005022FB"/>
    <w:rsid w:val="00502C65"/>
    <w:rsid w:val="00505D52"/>
    <w:rsid w:val="005065F2"/>
    <w:rsid w:val="00507AAF"/>
    <w:rsid w:val="005100F1"/>
    <w:rsid w:val="00511BD8"/>
    <w:rsid w:val="00513E97"/>
    <w:rsid w:val="00517A34"/>
    <w:rsid w:val="00520791"/>
    <w:rsid w:val="00521271"/>
    <w:rsid w:val="00527423"/>
    <w:rsid w:val="00530576"/>
    <w:rsid w:val="0053215A"/>
    <w:rsid w:val="00532388"/>
    <w:rsid w:val="005325E7"/>
    <w:rsid w:val="005357CD"/>
    <w:rsid w:val="00536B4D"/>
    <w:rsid w:val="0054467E"/>
    <w:rsid w:val="0054689B"/>
    <w:rsid w:val="00550C9E"/>
    <w:rsid w:val="00550F0E"/>
    <w:rsid w:val="005515A5"/>
    <w:rsid w:val="005532C7"/>
    <w:rsid w:val="005546ED"/>
    <w:rsid w:val="00555EDD"/>
    <w:rsid w:val="00557942"/>
    <w:rsid w:val="00557F66"/>
    <w:rsid w:val="005610EA"/>
    <w:rsid w:val="00563DB4"/>
    <w:rsid w:val="005659A9"/>
    <w:rsid w:val="00565A5E"/>
    <w:rsid w:val="005669D3"/>
    <w:rsid w:val="005747A4"/>
    <w:rsid w:val="00575353"/>
    <w:rsid w:val="00576F02"/>
    <w:rsid w:val="00577F6A"/>
    <w:rsid w:val="005866FC"/>
    <w:rsid w:val="00592893"/>
    <w:rsid w:val="005A0412"/>
    <w:rsid w:val="005A1362"/>
    <w:rsid w:val="005A18AE"/>
    <w:rsid w:val="005A195A"/>
    <w:rsid w:val="005A3AAA"/>
    <w:rsid w:val="005A40B8"/>
    <w:rsid w:val="005B2E9F"/>
    <w:rsid w:val="005B3301"/>
    <w:rsid w:val="005B6D8F"/>
    <w:rsid w:val="005C3A9D"/>
    <w:rsid w:val="005C4884"/>
    <w:rsid w:val="005C4D62"/>
    <w:rsid w:val="005C5EA7"/>
    <w:rsid w:val="005D01D8"/>
    <w:rsid w:val="005D2C77"/>
    <w:rsid w:val="005D30AB"/>
    <w:rsid w:val="005D64F5"/>
    <w:rsid w:val="005E000B"/>
    <w:rsid w:val="005E2631"/>
    <w:rsid w:val="005E4438"/>
    <w:rsid w:val="005E5984"/>
    <w:rsid w:val="005F062B"/>
    <w:rsid w:val="005F2D26"/>
    <w:rsid w:val="005F320C"/>
    <w:rsid w:val="005F441E"/>
    <w:rsid w:val="005F560A"/>
    <w:rsid w:val="005F5D6B"/>
    <w:rsid w:val="005F6AA7"/>
    <w:rsid w:val="005F6D8C"/>
    <w:rsid w:val="005F7FC7"/>
    <w:rsid w:val="006001EF"/>
    <w:rsid w:val="00600BCF"/>
    <w:rsid w:val="006039B6"/>
    <w:rsid w:val="00604A4F"/>
    <w:rsid w:val="00606D77"/>
    <w:rsid w:val="00613B06"/>
    <w:rsid w:val="00622B90"/>
    <w:rsid w:val="0062391E"/>
    <w:rsid w:val="00634EF5"/>
    <w:rsid w:val="00644DB5"/>
    <w:rsid w:val="00646715"/>
    <w:rsid w:val="006523C6"/>
    <w:rsid w:val="00653580"/>
    <w:rsid w:val="006544F0"/>
    <w:rsid w:val="00655336"/>
    <w:rsid w:val="00656B51"/>
    <w:rsid w:val="00660079"/>
    <w:rsid w:val="00665574"/>
    <w:rsid w:val="00672E24"/>
    <w:rsid w:val="00675E43"/>
    <w:rsid w:val="00687FCA"/>
    <w:rsid w:val="00693116"/>
    <w:rsid w:val="00695BBB"/>
    <w:rsid w:val="00695E22"/>
    <w:rsid w:val="006A20CB"/>
    <w:rsid w:val="006A5484"/>
    <w:rsid w:val="006A6D8A"/>
    <w:rsid w:val="006A783B"/>
    <w:rsid w:val="006C1A43"/>
    <w:rsid w:val="006D7BB5"/>
    <w:rsid w:val="006E24A6"/>
    <w:rsid w:val="006E44C6"/>
    <w:rsid w:val="006E6281"/>
    <w:rsid w:val="006F069F"/>
    <w:rsid w:val="006F22FA"/>
    <w:rsid w:val="006F2E28"/>
    <w:rsid w:val="006F608F"/>
    <w:rsid w:val="007062B7"/>
    <w:rsid w:val="007063C1"/>
    <w:rsid w:val="00707551"/>
    <w:rsid w:val="00710762"/>
    <w:rsid w:val="0071181E"/>
    <w:rsid w:val="00711B94"/>
    <w:rsid w:val="00714EEE"/>
    <w:rsid w:val="00720119"/>
    <w:rsid w:val="0072058A"/>
    <w:rsid w:val="00721FEA"/>
    <w:rsid w:val="00726023"/>
    <w:rsid w:val="00726088"/>
    <w:rsid w:val="007305F5"/>
    <w:rsid w:val="00741043"/>
    <w:rsid w:val="00746FD2"/>
    <w:rsid w:val="00753E24"/>
    <w:rsid w:val="007613D5"/>
    <w:rsid w:val="00763E81"/>
    <w:rsid w:val="00770319"/>
    <w:rsid w:val="00770A6E"/>
    <w:rsid w:val="007729C9"/>
    <w:rsid w:val="00784D09"/>
    <w:rsid w:val="00785A9C"/>
    <w:rsid w:val="00786EF4"/>
    <w:rsid w:val="00791314"/>
    <w:rsid w:val="0079282A"/>
    <w:rsid w:val="00794074"/>
    <w:rsid w:val="00794BC8"/>
    <w:rsid w:val="007A09C7"/>
    <w:rsid w:val="007A52DC"/>
    <w:rsid w:val="007B262E"/>
    <w:rsid w:val="007B2993"/>
    <w:rsid w:val="007B4255"/>
    <w:rsid w:val="007B42F4"/>
    <w:rsid w:val="007B492E"/>
    <w:rsid w:val="007B65B2"/>
    <w:rsid w:val="007B7AA6"/>
    <w:rsid w:val="007C1BC1"/>
    <w:rsid w:val="007C1BFF"/>
    <w:rsid w:val="007C3806"/>
    <w:rsid w:val="007C6127"/>
    <w:rsid w:val="007C6ECD"/>
    <w:rsid w:val="007C7714"/>
    <w:rsid w:val="007D2E4A"/>
    <w:rsid w:val="007D2FD7"/>
    <w:rsid w:val="007D48BF"/>
    <w:rsid w:val="007E1638"/>
    <w:rsid w:val="007E1876"/>
    <w:rsid w:val="007E28ED"/>
    <w:rsid w:val="007E68EA"/>
    <w:rsid w:val="007E766D"/>
    <w:rsid w:val="007F034F"/>
    <w:rsid w:val="007F423F"/>
    <w:rsid w:val="007F6077"/>
    <w:rsid w:val="007F6767"/>
    <w:rsid w:val="007F7DB0"/>
    <w:rsid w:val="008011E9"/>
    <w:rsid w:val="008014E6"/>
    <w:rsid w:val="00801AAA"/>
    <w:rsid w:val="0080492F"/>
    <w:rsid w:val="00807BFF"/>
    <w:rsid w:val="00813356"/>
    <w:rsid w:val="00817EBA"/>
    <w:rsid w:val="008205C2"/>
    <w:rsid w:val="00821BCF"/>
    <w:rsid w:val="0082236C"/>
    <w:rsid w:val="00822CF7"/>
    <w:rsid w:val="008255FF"/>
    <w:rsid w:val="00827716"/>
    <w:rsid w:val="00827D87"/>
    <w:rsid w:val="008307DC"/>
    <w:rsid w:val="00831675"/>
    <w:rsid w:val="00834383"/>
    <w:rsid w:val="00834EE8"/>
    <w:rsid w:val="00836A8D"/>
    <w:rsid w:val="00837000"/>
    <w:rsid w:val="008373C1"/>
    <w:rsid w:val="0083792F"/>
    <w:rsid w:val="00840FD7"/>
    <w:rsid w:val="008430DD"/>
    <w:rsid w:val="00844839"/>
    <w:rsid w:val="00846B9D"/>
    <w:rsid w:val="008517D2"/>
    <w:rsid w:val="00855A0A"/>
    <w:rsid w:val="008648B2"/>
    <w:rsid w:val="00864F29"/>
    <w:rsid w:val="0086793A"/>
    <w:rsid w:val="00873C8F"/>
    <w:rsid w:val="0087513D"/>
    <w:rsid w:val="00875944"/>
    <w:rsid w:val="00883FEC"/>
    <w:rsid w:val="008851E7"/>
    <w:rsid w:val="00892D8D"/>
    <w:rsid w:val="00894575"/>
    <w:rsid w:val="008A0855"/>
    <w:rsid w:val="008A1F46"/>
    <w:rsid w:val="008A24D6"/>
    <w:rsid w:val="008A3588"/>
    <w:rsid w:val="008A5780"/>
    <w:rsid w:val="008A70A9"/>
    <w:rsid w:val="008B1733"/>
    <w:rsid w:val="008B2985"/>
    <w:rsid w:val="008B38EC"/>
    <w:rsid w:val="008B3DA6"/>
    <w:rsid w:val="008B5454"/>
    <w:rsid w:val="008B5DE9"/>
    <w:rsid w:val="008B7BDE"/>
    <w:rsid w:val="008C2BED"/>
    <w:rsid w:val="008C49D6"/>
    <w:rsid w:val="008C5183"/>
    <w:rsid w:val="008C58E1"/>
    <w:rsid w:val="008C5C02"/>
    <w:rsid w:val="008C7A0C"/>
    <w:rsid w:val="008C7C90"/>
    <w:rsid w:val="008D234D"/>
    <w:rsid w:val="008D3F76"/>
    <w:rsid w:val="008D4156"/>
    <w:rsid w:val="008D4B88"/>
    <w:rsid w:val="008D7E32"/>
    <w:rsid w:val="008E1CF7"/>
    <w:rsid w:val="008E39D1"/>
    <w:rsid w:val="008E4AD8"/>
    <w:rsid w:val="008E5233"/>
    <w:rsid w:val="008E5796"/>
    <w:rsid w:val="008E63DD"/>
    <w:rsid w:val="008F0FC6"/>
    <w:rsid w:val="008F4C0D"/>
    <w:rsid w:val="009046F4"/>
    <w:rsid w:val="00905471"/>
    <w:rsid w:val="009059D1"/>
    <w:rsid w:val="00907157"/>
    <w:rsid w:val="00921C12"/>
    <w:rsid w:val="00924DCD"/>
    <w:rsid w:val="009303DE"/>
    <w:rsid w:val="00931613"/>
    <w:rsid w:val="00935AC1"/>
    <w:rsid w:val="00935D0C"/>
    <w:rsid w:val="0093654B"/>
    <w:rsid w:val="00936C88"/>
    <w:rsid w:val="00936F92"/>
    <w:rsid w:val="0093719C"/>
    <w:rsid w:val="00941C0C"/>
    <w:rsid w:val="00942751"/>
    <w:rsid w:val="00942C2D"/>
    <w:rsid w:val="00943A22"/>
    <w:rsid w:val="0094563A"/>
    <w:rsid w:val="009563C9"/>
    <w:rsid w:val="00956B29"/>
    <w:rsid w:val="00957B0A"/>
    <w:rsid w:val="00960D6D"/>
    <w:rsid w:val="00961448"/>
    <w:rsid w:val="00963859"/>
    <w:rsid w:val="009663F8"/>
    <w:rsid w:val="00971E0F"/>
    <w:rsid w:val="009734D4"/>
    <w:rsid w:val="009748C8"/>
    <w:rsid w:val="0098021A"/>
    <w:rsid w:val="009807CD"/>
    <w:rsid w:val="0098260B"/>
    <w:rsid w:val="00984274"/>
    <w:rsid w:val="00987B18"/>
    <w:rsid w:val="00987FBD"/>
    <w:rsid w:val="0099037D"/>
    <w:rsid w:val="00993122"/>
    <w:rsid w:val="0099390D"/>
    <w:rsid w:val="00994BC1"/>
    <w:rsid w:val="00997C29"/>
    <w:rsid w:val="009A026A"/>
    <w:rsid w:val="009A05A3"/>
    <w:rsid w:val="009A52A2"/>
    <w:rsid w:val="009A5D26"/>
    <w:rsid w:val="009B35E6"/>
    <w:rsid w:val="009B51E1"/>
    <w:rsid w:val="009C2E15"/>
    <w:rsid w:val="009C48E2"/>
    <w:rsid w:val="009C5EB3"/>
    <w:rsid w:val="009C722B"/>
    <w:rsid w:val="009C793E"/>
    <w:rsid w:val="009D1871"/>
    <w:rsid w:val="009D1AB8"/>
    <w:rsid w:val="009D3345"/>
    <w:rsid w:val="009D40A7"/>
    <w:rsid w:val="009D5A9E"/>
    <w:rsid w:val="009E472E"/>
    <w:rsid w:val="009E54EE"/>
    <w:rsid w:val="009E7740"/>
    <w:rsid w:val="009F2325"/>
    <w:rsid w:val="009F23B1"/>
    <w:rsid w:val="00A1331A"/>
    <w:rsid w:val="00A22B20"/>
    <w:rsid w:val="00A256F2"/>
    <w:rsid w:val="00A27355"/>
    <w:rsid w:val="00A30B31"/>
    <w:rsid w:val="00A37015"/>
    <w:rsid w:val="00A435B3"/>
    <w:rsid w:val="00A445B5"/>
    <w:rsid w:val="00A44D5C"/>
    <w:rsid w:val="00A4534C"/>
    <w:rsid w:val="00A4559C"/>
    <w:rsid w:val="00A45FBD"/>
    <w:rsid w:val="00A461E5"/>
    <w:rsid w:val="00A515E7"/>
    <w:rsid w:val="00A51BBB"/>
    <w:rsid w:val="00A61961"/>
    <w:rsid w:val="00A62C18"/>
    <w:rsid w:val="00A62ED1"/>
    <w:rsid w:val="00A6555D"/>
    <w:rsid w:val="00A663F7"/>
    <w:rsid w:val="00A7320C"/>
    <w:rsid w:val="00A74271"/>
    <w:rsid w:val="00A74A95"/>
    <w:rsid w:val="00A74E35"/>
    <w:rsid w:val="00A76BC4"/>
    <w:rsid w:val="00A76D80"/>
    <w:rsid w:val="00A80DC1"/>
    <w:rsid w:val="00A81BA8"/>
    <w:rsid w:val="00A82033"/>
    <w:rsid w:val="00A86253"/>
    <w:rsid w:val="00A8679F"/>
    <w:rsid w:val="00A90D86"/>
    <w:rsid w:val="00A9475D"/>
    <w:rsid w:val="00A94A15"/>
    <w:rsid w:val="00A95952"/>
    <w:rsid w:val="00A978F6"/>
    <w:rsid w:val="00AA3287"/>
    <w:rsid w:val="00AA7A7E"/>
    <w:rsid w:val="00AB1E03"/>
    <w:rsid w:val="00AB374B"/>
    <w:rsid w:val="00AB4BDB"/>
    <w:rsid w:val="00AB6502"/>
    <w:rsid w:val="00AC2786"/>
    <w:rsid w:val="00AC6576"/>
    <w:rsid w:val="00AD1890"/>
    <w:rsid w:val="00AD7406"/>
    <w:rsid w:val="00AE2DCC"/>
    <w:rsid w:val="00AE3BA7"/>
    <w:rsid w:val="00AE6D18"/>
    <w:rsid w:val="00AF2B61"/>
    <w:rsid w:val="00AF370C"/>
    <w:rsid w:val="00B0004B"/>
    <w:rsid w:val="00B0008F"/>
    <w:rsid w:val="00B00311"/>
    <w:rsid w:val="00B0446D"/>
    <w:rsid w:val="00B06BF3"/>
    <w:rsid w:val="00B072B9"/>
    <w:rsid w:val="00B13E35"/>
    <w:rsid w:val="00B15AFE"/>
    <w:rsid w:val="00B16908"/>
    <w:rsid w:val="00B174AF"/>
    <w:rsid w:val="00B17DEA"/>
    <w:rsid w:val="00B265BB"/>
    <w:rsid w:val="00B2688B"/>
    <w:rsid w:val="00B303F9"/>
    <w:rsid w:val="00B3137A"/>
    <w:rsid w:val="00B3516B"/>
    <w:rsid w:val="00B357A6"/>
    <w:rsid w:val="00B368C3"/>
    <w:rsid w:val="00B404FA"/>
    <w:rsid w:val="00B4523B"/>
    <w:rsid w:val="00B47B61"/>
    <w:rsid w:val="00B54CB1"/>
    <w:rsid w:val="00B54DB3"/>
    <w:rsid w:val="00B5531E"/>
    <w:rsid w:val="00B56CE6"/>
    <w:rsid w:val="00B64787"/>
    <w:rsid w:val="00B67064"/>
    <w:rsid w:val="00B71149"/>
    <w:rsid w:val="00B75E54"/>
    <w:rsid w:val="00B82F0D"/>
    <w:rsid w:val="00B8744A"/>
    <w:rsid w:val="00B877A5"/>
    <w:rsid w:val="00B928F5"/>
    <w:rsid w:val="00BA0EC3"/>
    <w:rsid w:val="00BA259A"/>
    <w:rsid w:val="00BA3021"/>
    <w:rsid w:val="00BA562F"/>
    <w:rsid w:val="00BA5C49"/>
    <w:rsid w:val="00BA779B"/>
    <w:rsid w:val="00BA7DE3"/>
    <w:rsid w:val="00BB06FB"/>
    <w:rsid w:val="00BB0BC6"/>
    <w:rsid w:val="00BB11BD"/>
    <w:rsid w:val="00BB3E37"/>
    <w:rsid w:val="00BB3EFA"/>
    <w:rsid w:val="00BB7F0B"/>
    <w:rsid w:val="00BC4BBE"/>
    <w:rsid w:val="00BC7202"/>
    <w:rsid w:val="00BC7555"/>
    <w:rsid w:val="00BD5164"/>
    <w:rsid w:val="00BE0046"/>
    <w:rsid w:val="00BE47AB"/>
    <w:rsid w:val="00BE4862"/>
    <w:rsid w:val="00BF0251"/>
    <w:rsid w:val="00BF1264"/>
    <w:rsid w:val="00BF2BDB"/>
    <w:rsid w:val="00BF3D61"/>
    <w:rsid w:val="00C005F5"/>
    <w:rsid w:val="00C017E6"/>
    <w:rsid w:val="00C02820"/>
    <w:rsid w:val="00C03A78"/>
    <w:rsid w:val="00C0771A"/>
    <w:rsid w:val="00C10676"/>
    <w:rsid w:val="00C12140"/>
    <w:rsid w:val="00C12618"/>
    <w:rsid w:val="00C13B11"/>
    <w:rsid w:val="00C16852"/>
    <w:rsid w:val="00C20A1F"/>
    <w:rsid w:val="00C22BE9"/>
    <w:rsid w:val="00C2337C"/>
    <w:rsid w:val="00C24CD1"/>
    <w:rsid w:val="00C32761"/>
    <w:rsid w:val="00C33785"/>
    <w:rsid w:val="00C37168"/>
    <w:rsid w:val="00C42377"/>
    <w:rsid w:val="00C45371"/>
    <w:rsid w:val="00C473FF"/>
    <w:rsid w:val="00C47846"/>
    <w:rsid w:val="00C523B5"/>
    <w:rsid w:val="00C54DE3"/>
    <w:rsid w:val="00C55542"/>
    <w:rsid w:val="00C5603F"/>
    <w:rsid w:val="00C63CE1"/>
    <w:rsid w:val="00C63FAA"/>
    <w:rsid w:val="00C6780D"/>
    <w:rsid w:val="00C71F69"/>
    <w:rsid w:val="00C7410F"/>
    <w:rsid w:val="00C757D6"/>
    <w:rsid w:val="00C81AB2"/>
    <w:rsid w:val="00C849E7"/>
    <w:rsid w:val="00C917A0"/>
    <w:rsid w:val="00C92236"/>
    <w:rsid w:val="00C937A1"/>
    <w:rsid w:val="00C95C53"/>
    <w:rsid w:val="00C96224"/>
    <w:rsid w:val="00C963F2"/>
    <w:rsid w:val="00C9731A"/>
    <w:rsid w:val="00CA34D7"/>
    <w:rsid w:val="00CA3A14"/>
    <w:rsid w:val="00CA4B92"/>
    <w:rsid w:val="00CA573A"/>
    <w:rsid w:val="00CA657E"/>
    <w:rsid w:val="00CB06F7"/>
    <w:rsid w:val="00CB5C31"/>
    <w:rsid w:val="00CB78D3"/>
    <w:rsid w:val="00CC0053"/>
    <w:rsid w:val="00CC01E8"/>
    <w:rsid w:val="00CC25EF"/>
    <w:rsid w:val="00CC4A09"/>
    <w:rsid w:val="00CC4C62"/>
    <w:rsid w:val="00CC6666"/>
    <w:rsid w:val="00CD3E66"/>
    <w:rsid w:val="00CE00C1"/>
    <w:rsid w:val="00CE0B43"/>
    <w:rsid w:val="00CE0FF1"/>
    <w:rsid w:val="00CF3968"/>
    <w:rsid w:val="00CF4F0B"/>
    <w:rsid w:val="00CF5D6F"/>
    <w:rsid w:val="00D02185"/>
    <w:rsid w:val="00D02B7E"/>
    <w:rsid w:val="00D049E5"/>
    <w:rsid w:val="00D05E85"/>
    <w:rsid w:val="00D0611B"/>
    <w:rsid w:val="00D061DF"/>
    <w:rsid w:val="00D11AB3"/>
    <w:rsid w:val="00D126B9"/>
    <w:rsid w:val="00D13082"/>
    <w:rsid w:val="00D138B8"/>
    <w:rsid w:val="00D15337"/>
    <w:rsid w:val="00D155F3"/>
    <w:rsid w:val="00D22BAE"/>
    <w:rsid w:val="00D230D5"/>
    <w:rsid w:val="00D2775C"/>
    <w:rsid w:val="00D279C1"/>
    <w:rsid w:val="00D331A0"/>
    <w:rsid w:val="00D3619A"/>
    <w:rsid w:val="00D36A8C"/>
    <w:rsid w:val="00D461EB"/>
    <w:rsid w:val="00D524D6"/>
    <w:rsid w:val="00D52526"/>
    <w:rsid w:val="00D55CEB"/>
    <w:rsid w:val="00D55EE2"/>
    <w:rsid w:val="00D6232B"/>
    <w:rsid w:val="00D63CF7"/>
    <w:rsid w:val="00D705EC"/>
    <w:rsid w:val="00D71775"/>
    <w:rsid w:val="00D73947"/>
    <w:rsid w:val="00D756A6"/>
    <w:rsid w:val="00D76646"/>
    <w:rsid w:val="00D817F4"/>
    <w:rsid w:val="00D81C79"/>
    <w:rsid w:val="00D82BC7"/>
    <w:rsid w:val="00D8337B"/>
    <w:rsid w:val="00D83F3A"/>
    <w:rsid w:val="00D86C09"/>
    <w:rsid w:val="00D8774F"/>
    <w:rsid w:val="00D90883"/>
    <w:rsid w:val="00D9430A"/>
    <w:rsid w:val="00D94F48"/>
    <w:rsid w:val="00DA3F35"/>
    <w:rsid w:val="00DA55A9"/>
    <w:rsid w:val="00DA60DA"/>
    <w:rsid w:val="00DA7213"/>
    <w:rsid w:val="00DB0B40"/>
    <w:rsid w:val="00DB14CB"/>
    <w:rsid w:val="00DB3B8A"/>
    <w:rsid w:val="00DB46DD"/>
    <w:rsid w:val="00DB78DA"/>
    <w:rsid w:val="00DC0190"/>
    <w:rsid w:val="00DC1728"/>
    <w:rsid w:val="00DC496D"/>
    <w:rsid w:val="00DC5BA8"/>
    <w:rsid w:val="00DC61F0"/>
    <w:rsid w:val="00DC6D0A"/>
    <w:rsid w:val="00DD2AE7"/>
    <w:rsid w:val="00DD32B5"/>
    <w:rsid w:val="00DE26A4"/>
    <w:rsid w:val="00DE7C00"/>
    <w:rsid w:val="00DF0B65"/>
    <w:rsid w:val="00DF0EE7"/>
    <w:rsid w:val="00DF2496"/>
    <w:rsid w:val="00DF3C44"/>
    <w:rsid w:val="00DF48E9"/>
    <w:rsid w:val="00E029CE"/>
    <w:rsid w:val="00E03563"/>
    <w:rsid w:val="00E03E38"/>
    <w:rsid w:val="00E063EC"/>
    <w:rsid w:val="00E06B79"/>
    <w:rsid w:val="00E07A93"/>
    <w:rsid w:val="00E14366"/>
    <w:rsid w:val="00E15040"/>
    <w:rsid w:val="00E22C26"/>
    <w:rsid w:val="00E230F1"/>
    <w:rsid w:val="00E2581B"/>
    <w:rsid w:val="00E258F9"/>
    <w:rsid w:val="00E25A5C"/>
    <w:rsid w:val="00E3154F"/>
    <w:rsid w:val="00E31624"/>
    <w:rsid w:val="00E31A05"/>
    <w:rsid w:val="00E332A7"/>
    <w:rsid w:val="00E33453"/>
    <w:rsid w:val="00E34508"/>
    <w:rsid w:val="00E37309"/>
    <w:rsid w:val="00E3785B"/>
    <w:rsid w:val="00E41ED1"/>
    <w:rsid w:val="00E45040"/>
    <w:rsid w:val="00E45486"/>
    <w:rsid w:val="00E47A5A"/>
    <w:rsid w:val="00E47C7E"/>
    <w:rsid w:val="00E5019F"/>
    <w:rsid w:val="00E5158E"/>
    <w:rsid w:val="00E567CE"/>
    <w:rsid w:val="00E57BE8"/>
    <w:rsid w:val="00E63B4D"/>
    <w:rsid w:val="00E67092"/>
    <w:rsid w:val="00E71CDE"/>
    <w:rsid w:val="00E722A5"/>
    <w:rsid w:val="00E77807"/>
    <w:rsid w:val="00E80440"/>
    <w:rsid w:val="00E8055B"/>
    <w:rsid w:val="00E80ADB"/>
    <w:rsid w:val="00E814F4"/>
    <w:rsid w:val="00E84A6B"/>
    <w:rsid w:val="00E90DBD"/>
    <w:rsid w:val="00E92928"/>
    <w:rsid w:val="00EA1FD1"/>
    <w:rsid w:val="00EA4234"/>
    <w:rsid w:val="00EA43E2"/>
    <w:rsid w:val="00EA4893"/>
    <w:rsid w:val="00EA530D"/>
    <w:rsid w:val="00EB085F"/>
    <w:rsid w:val="00EB08B1"/>
    <w:rsid w:val="00EB315A"/>
    <w:rsid w:val="00EB36FF"/>
    <w:rsid w:val="00EB77CB"/>
    <w:rsid w:val="00EB7982"/>
    <w:rsid w:val="00EC1F9E"/>
    <w:rsid w:val="00EC28B8"/>
    <w:rsid w:val="00EC61DF"/>
    <w:rsid w:val="00ED2A27"/>
    <w:rsid w:val="00ED52C5"/>
    <w:rsid w:val="00ED6757"/>
    <w:rsid w:val="00ED7E38"/>
    <w:rsid w:val="00EE05BB"/>
    <w:rsid w:val="00EE46A1"/>
    <w:rsid w:val="00EE6FB1"/>
    <w:rsid w:val="00EF0C20"/>
    <w:rsid w:val="00EF2FC6"/>
    <w:rsid w:val="00F01A3B"/>
    <w:rsid w:val="00F03038"/>
    <w:rsid w:val="00F0317C"/>
    <w:rsid w:val="00F032AF"/>
    <w:rsid w:val="00F12AF5"/>
    <w:rsid w:val="00F20438"/>
    <w:rsid w:val="00F21D60"/>
    <w:rsid w:val="00F222C9"/>
    <w:rsid w:val="00F25AC2"/>
    <w:rsid w:val="00F26087"/>
    <w:rsid w:val="00F26311"/>
    <w:rsid w:val="00F30AB4"/>
    <w:rsid w:val="00F34A94"/>
    <w:rsid w:val="00F41906"/>
    <w:rsid w:val="00F41B7B"/>
    <w:rsid w:val="00F4456C"/>
    <w:rsid w:val="00F60280"/>
    <w:rsid w:val="00F66A1B"/>
    <w:rsid w:val="00F73737"/>
    <w:rsid w:val="00F74A33"/>
    <w:rsid w:val="00F775C6"/>
    <w:rsid w:val="00F82574"/>
    <w:rsid w:val="00F901C0"/>
    <w:rsid w:val="00F9130E"/>
    <w:rsid w:val="00F91B08"/>
    <w:rsid w:val="00F92955"/>
    <w:rsid w:val="00F93F3A"/>
    <w:rsid w:val="00FA360E"/>
    <w:rsid w:val="00FA6F09"/>
    <w:rsid w:val="00FB1FC3"/>
    <w:rsid w:val="00FB27FE"/>
    <w:rsid w:val="00FB436A"/>
    <w:rsid w:val="00FB54EE"/>
    <w:rsid w:val="00FB584B"/>
    <w:rsid w:val="00FC0CC5"/>
    <w:rsid w:val="00FC481A"/>
    <w:rsid w:val="00FC4A77"/>
    <w:rsid w:val="00FC4DC6"/>
    <w:rsid w:val="00FC6BD8"/>
    <w:rsid w:val="00FC75C0"/>
    <w:rsid w:val="00FD016E"/>
    <w:rsid w:val="00FD7D1E"/>
    <w:rsid w:val="00FE05BB"/>
    <w:rsid w:val="00FE199F"/>
    <w:rsid w:val="00FE2FF3"/>
    <w:rsid w:val="00FE53C5"/>
    <w:rsid w:val="00FF59DE"/>
    <w:rsid w:val="00FF6655"/>
    <w:rsid w:val="00FF7A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C2808"/>
  <w15:docId w15:val="{EDDD4BA3-5A00-4003-BA1D-5201BA5A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631"/>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link w:val="Ttulo3Car"/>
    <w:uiPriority w:val="9"/>
    <w:qFormat/>
    <w:rsid w:val="002D2EAC"/>
    <w:pPr>
      <w:spacing w:before="100" w:beforeAutospacing="1" w:after="100" w:afterAutospacing="1"/>
      <w:outlineLvl w:val="2"/>
    </w:pPr>
    <w:rPr>
      <w:b/>
      <w:bCs/>
      <w:sz w:val="27"/>
      <w:szCs w:val="27"/>
      <w:lang w:val="es-MX" w:eastAsia="es-MX"/>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C3C64"/>
    <w:rPr>
      <w:rFonts w:eastAsiaTheme="minorEastAsia"/>
      <w:sz w:val="24"/>
      <w:szCs w:val="24"/>
      <w:lang w:val="es-ES_tradnl" w:eastAsia="es-ES"/>
    </w:rPr>
  </w:style>
  <w:style w:type="paragraph" w:styleId="Piedepgina">
    <w:name w:val="footer"/>
    <w:basedOn w:val="Normal"/>
    <w:link w:val="Piedepgina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C3C64"/>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AC3C64"/>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AC3C64"/>
    <w:pPr>
      <w:ind w:left="708"/>
    </w:pPr>
    <w:rPr>
      <w:sz w:val="22"/>
      <w:szCs w:val="22"/>
      <w:lang w:eastAsia="en-US"/>
    </w:rPr>
  </w:style>
  <w:style w:type="table" w:styleId="Tablaconcuadrcula">
    <w:name w:val="Table Grid"/>
    <w:basedOn w:val="Tablanormal"/>
    <w:uiPriority w:val="39"/>
    <w:rsid w:val="00AC3C64"/>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AC3C64"/>
  </w:style>
  <w:style w:type="character" w:customStyle="1" w:styleId="apple-converted-space">
    <w:name w:val="apple-converted-space"/>
    <w:basedOn w:val="Fuentedeprrafopredeter"/>
    <w:rsid w:val="00AC3C64"/>
  </w:style>
  <w:style w:type="paragraph" w:customStyle="1" w:styleId="paragraph">
    <w:name w:val="paragraph"/>
    <w:basedOn w:val="Normal"/>
    <w:rsid w:val="00AC3C64"/>
    <w:pPr>
      <w:spacing w:before="100" w:beforeAutospacing="1" w:after="100" w:afterAutospacing="1"/>
    </w:pPr>
    <w:rPr>
      <w:lang w:val="es-MX" w:eastAsia="es-MX"/>
    </w:rPr>
  </w:style>
  <w:style w:type="character" w:customStyle="1" w:styleId="eop">
    <w:name w:val="eop"/>
    <w:basedOn w:val="Fuentedeprrafopredeter"/>
    <w:rsid w:val="00AC3C64"/>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AC3C64"/>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C3C6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AC3C64"/>
    <w:rPr>
      <w:vertAlign w:val="superscript"/>
    </w:rPr>
  </w:style>
  <w:style w:type="character" w:styleId="Hipervnculo">
    <w:name w:val="Hyperlink"/>
    <w:basedOn w:val="Fuentedeprrafopredeter"/>
    <w:uiPriority w:val="99"/>
    <w:unhideWhenUsed/>
    <w:rsid w:val="00AC3C64"/>
    <w:rPr>
      <w:color w:val="0563C1" w:themeColor="hyperlink"/>
      <w:u w:val="single"/>
    </w:rPr>
  </w:style>
  <w:style w:type="paragraph" w:styleId="NormalWeb">
    <w:name w:val="Normal (Web)"/>
    <w:basedOn w:val="Normal"/>
    <w:uiPriority w:val="99"/>
    <w:unhideWhenUsed/>
    <w:rsid w:val="00AC3C64"/>
    <w:pPr>
      <w:spacing w:before="100" w:beforeAutospacing="1" w:after="100" w:afterAutospacing="1"/>
    </w:pPr>
    <w:rPr>
      <w:lang w:val="es-MX" w:eastAsia="es-MX"/>
    </w:rPr>
  </w:style>
  <w:style w:type="character" w:customStyle="1" w:styleId="Ttulo3Car">
    <w:name w:val="Título 3 Car"/>
    <w:basedOn w:val="Fuentedeprrafopredeter"/>
    <w:link w:val="Ttulo3"/>
    <w:uiPriority w:val="9"/>
    <w:rsid w:val="002D2EAC"/>
    <w:rPr>
      <w:rFonts w:ascii="Times New Roman" w:eastAsia="Times New Roman" w:hAnsi="Times New Roman" w:cs="Times New Roman"/>
      <w:b/>
      <w:bCs/>
      <w:sz w:val="27"/>
      <w:szCs w:val="27"/>
      <w:lang w:eastAsia="es-MX"/>
    </w:rPr>
  </w:style>
  <w:style w:type="character" w:customStyle="1" w:styleId="titulorubro">
    <w:name w:val="titulorubro"/>
    <w:basedOn w:val="Fuentedeprrafopredeter"/>
    <w:rsid w:val="002D2EAC"/>
  </w:style>
  <w:style w:type="paragraph" w:styleId="Textoindependiente">
    <w:name w:val="Body Text"/>
    <w:basedOn w:val="Normal"/>
    <w:link w:val="TextoindependienteCar"/>
    <w:uiPriority w:val="1"/>
    <w:qFormat/>
    <w:rsid w:val="006F3C93"/>
    <w:pPr>
      <w:autoSpaceDE w:val="0"/>
      <w:autoSpaceDN w:val="0"/>
      <w:adjustRightInd w:val="0"/>
      <w:ind w:left="93"/>
    </w:pPr>
    <w:rPr>
      <w:rFonts w:eastAsiaTheme="minorHAnsi"/>
      <w:sz w:val="23"/>
      <w:szCs w:val="23"/>
      <w:lang w:val="es-MX" w:eastAsia="en-US"/>
    </w:rPr>
  </w:style>
  <w:style w:type="character" w:customStyle="1" w:styleId="TextoindependienteCar">
    <w:name w:val="Texto independiente Car"/>
    <w:basedOn w:val="Fuentedeprrafopredeter"/>
    <w:link w:val="Textoindependiente"/>
    <w:uiPriority w:val="1"/>
    <w:rsid w:val="006F3C93"/>
    <w:rPr>
      <w:rFonts w:ascii="Times New Roman" w:hAnsi="Times New Roman" w:cs="Times New Roman"/>
      <w:sz w:val="23"/>
      <w:szCs w:val="23"/>
    </w:rPr>
  </w:style>
  <w:style w:type="paragraph" w:styleId="Textodeglobo">
    <w:name w:val="Balloon Text"/>
    <w:basedOn w:val="Normal"/>
    <w:link w:val="TextodegloboCar"/>
    <w:uiPriority w:val="99"/>
    <w:semiHidden/>
    <w:unhideWhenUsed/>
    <w:rsid w:val="00A037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37B6"/>
    <w:rPr>
      <w:rFonts w:ascii="Segoe UI" w:eastAsia="Times New Roman" w:hAnsi="Segoe UI" w:cs="Segoe UI"/>
      <w:sz w:val="18"/>
      <w:szCs w:val="18"/>
      <w:lang w:val="es-ES" w:eastAsia="es-ES"/>
    </w:rPr>
  </w:style>
  <w:style w:type="paragraph" w:customStyle="1" w:styleId="Pa1">
    <w:name w:val="Pa1"/>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2">
    <w:name w:val="Pa2"/>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3">
    <w:name w:val="Pa3"/>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styleId="Sinespaciado">
    <w:name w:val="No Spacing"/>
    <w:aliases w:val="Francesa,INAI"/>
    <w:link w:val="SinespaciadoCar"/>
    <w:uiPriority w:val="1"/>
    <w:qFormat/>
    <w:rsid w:val="00CE2CFE"/>
  </w:style>
  <w:style w:type="character" w:customStyle="1" w:styleId="SinespaciadoCar">
    <w:name w:val="Sin espaciado Car"/>
    <w:aliases w:val="Francesa Car,INAI Car"/>
    <w:link w:val="Sinespaciado"/>
    <w:uiPriority w:val="1"/>
    <w:locked/>
    <w:rsid w:val="00CE2CFE"/>
  </w:style>
  <w:style w:type="table" w:styleId="Tabladelista1clara-nfasis1">
    <w:name w:val="List Table 1 Light Accent 1"/>
    <w:basedOn w:val="Tablanormal"/>
    <w:uiPriority w:val="46"/>
    <w:rsid w:val="00D30935"/>
    <w:rPr>
      <w:rFonts w:eastAsiaTheme="minorEastAsia"/>
      <w:lang w:val="es-ES_tradnl" w:eastAsia="es-ES"/>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8">
    <w:name w:val="18"/>
    <w:basedOn w:val="TableNormal1"/>
    <w:tblPr>
      <w:tblStyleRowBandSize w:val="1"/>
      <w:tblStyleColBandSize w:val="1"/>
      <w:tblCellMar>
        <w:left w:w="108" w:type="dxa"/>
        <w:right w:w="108" w:type="dxa"/>
      </w:tblCellMar>
    </w:tblPr>
  </w:style>
  <w:style w:type="table" w:customStyle="1" w:styleId="17">
    <w:name w:val="17"/>
    <w:basedOn w:val="TableNormal1"/>
    <w:tblPr>
      <w:tblStyleRowBandSize w:val="1"/>
      <w:tblStyleColBandSize w:val="1"/>
      <w:tblCellMar>
        <w:left w:w="115" w:type="dxa"/>
        <w:right w:w="115" w:type="dxa"/>
      </w:tblCellMar>
    </w:tblPr>
  </w:style>
  <w:style w:type="table" w:customStyle="1" w:styleId="16">
    <w:name w:val="16"/>
    <w:basedOn w:val="TableNormal1"/>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B93218"/>
    <w:rPr>
      <w:color w:val="954F72" w:themeColor="followedHyperlink"/>
      <w:u w:val="single"/>
    </w:rPr>
  </w:style>
  <w:style w:type="table" w:customStyle="1" w:styleId="15">
    <w:name w:val="15"/>
    <w:basedOn w:val="TableNormal1"/>
    <w:tblPr>
      <w:tblStyleRowBandSize w:val="1"/>
      <w:tblStyleColBandSize w:val="1"/>
      <w:tblCellMar>
        <w:left w:w="108" w:type="dxa"/>
        <w:right w:w="108" w:type="dxa"/>
      </w:tblCellMar>
    </w:tblPr>
  </w:style>
  <w:style w:type="table" w:customStyle="1" w:styleId="14">
    <w:name w:val="14"/>
    <w:basedOn w:val="TableNormal1"/>
    <w:tblPr>
      <w:tblStyleRowBandSize w:val="1"/>
      <w:tblStyleColBandSize w:val="1"/>
      <w:tblCellMar>
        <w:left w:w="108" w:type="dxa"/>
        <w:right w:w="108" w:type="dxa"/>
      </w:tblCellMar>
    </w:tblPr>
  </w:style>
  <w:style w:type="table" w:customStyle="1" w:styleId="13">
    <w:name w:val="13"/>
    <w:basedOn w:val="TableNormal1"/>
    <w:tblPr>
      <w:tblStyleRowBandSize w:val="1"/>
      <w:tblStyleColBandSize w:val="1"/>
      <w:tblCellMar>
        <w:left w:w="108" w:type="dxa"/>
        <w:right w:w="108" w:type="dxa"/>
      </w:tblCellMar>
    </w:tblPr>
  </w:style>
  <w:style w:type="table" w:customStyle="1" w:styleId="12">
    <w:name w:val="12"/>
    <w:basedOn w:val="TableNormal1"/>
    <w:tblPr>
      <w:tblStyleRowBandSize w:val="1"/>
      <w:tblStyleColBandSize w:val="1"/>
      <w:tblCellMar>
        <w:left w:w="108" w:type="dxa"/>
        <w:right w:w="108" w:type="dxa"/>
      </w:tblCellMar>
    </w:tblPr>
  </w:style>
  <w:style w:type="table" w:customStyle="1" w:styleId="11">
    <w:name w:val="11"/>
    <w:basedOn w:val="TableNormal1"/>
    <w:tblPr>
      <w:tblStyleRowBandSize w:val="1"/>
      <w:tblStyleColBandSize w:val="1"/>
      <w:tblCellMar>
        <w:left w:w="108" w:type="dxa"/>
        <w:right w:w="108" w:type="dxa"/>
      </w:tblCellMar>
    </w:tblPr>
  </w:style>
  <w:style w:type="table" w:customStyle="1" w:styleId="10">
    <w:name w:val="10"/>
    <w:basedOn w:val="TableNormal1"/>
    <w:tblPr>
      <w:tblStyleRowBandSize w:val="1"/>
      <w:tblStyleColBandSize w:val="1"/>
      <w:tblCellMar>
        <w:left w:w="108" w:type="dxa"/>
        <w:right w:w="108" w:type="dxa"/>
      </w:tblCellMar>
    </w:tblPr>
  </w:style>
  <w:style w:type="table" w:customStyle="1" w:styleId="9">
    <w:name w:val="9"/>
    <w:basedOn w:val="TableNormal1"/>
    <w:tblPr>
      <w:tblStyleRowBandSize w:val="1"/>
      <w:tblStyleColBandSize w:val="1"/>
      <w:tblCellMar>
        <w:left w:w="108" w:type="dxa"/>
        <w:right w:w="108" w:type="dxa"/>
      </w:tblCellMar>
    </w:tblPr>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2"/>
    <w:tblPr>
      <w:tblStyleRowBandSize w:val="1"/>
      <w:tblStyleColBandSize w:val="1"/>
      <w:tblCellMar>
        <w:left w:w="115" w:type="dxa"/>
        <w:right w:w="115" w:type="dxa"/>
      </w:tblCellMar>
    </w:tbl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character" w:styleId="Textoennegrita">
    <w:name w:val="Strong"/>
    <w:uiPriority w:val="22"/>
    <w:qFormat/>
    <w:rsid w:val="002B3D0A"/>
    <w:rPr>
      <w:b/>
      <w:bCs/>
    </w:rPr>
  </w:style>
  <w:style w:type="paragraph" w:customStyle="1" w:styleId="Texto">
    <w:name w:val="Texto"/>
    <w:basedOn w:val="Normal"/>
    <w:link w:val="TextoCar"/>
    <w:qFormat/>
    <w:rsid w:val="002B3D0A"/>
    <w:pPr>
      <w:spacing w:after="101" w:line="216" w:lineRule="exact"/>
      <w:ind w:firstLine="288"/>
      <w:jc w:val="both"/>
    </w:pPr>
    <w:rPr>
      <w:rFonts w:ascii="Arial" w:hAnsi="Arial" w:cs="Arial"/>
      <w:sz w:val="18"/>
      <w:szCs w:val="18"/>
      <w:lang w:val="es-MX"/>
    </w:rPr>
  </w:style>
  <w:style w:type="character" w:customStyle="1" w:styleId="apple-style-span">
    <w:name w:val="apple-style-span"/>
    <w:rsid w:val="002B3D0A"/>
  </w:style>
  <w:style w:type="character" w:customStyle="1" w:styleId="TextoCar">
    <w:name w:val="Texto Car"/>
    <w:link w:val="Texto"/>
    <w:locked/>
    <w:rsid w:val="002B3D0A"/>
    <w:rPr>
      <w:rFonts w:ascii="Arial" w:hAnsi="Arial" w:cs="Arial"/>
      <w:sz w:val="18"/>
      <w:szCs w:val="18"/>
      <w:lang w:val="es-MX" w:eastAsia="es-ES"/>
    </w:rPr>
  </w:style>
  <w:style w:type="paragraph" w:customStyle="1" w:styleId="Citas">
    <w:name w:val="Citas"/>
    <w:basedOn w:val="Normal"/>
    <w:qFormat/>
    <w:rsid w:val="009D3D69"/>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Listaconvietas3">
    <w:name w:val="List Bullet 3"/>
    <w:basedOn w:val="Normal"/>
    <w:uiPriority w:val="99"/>
    <w:unhideWhenUsed/>
    <w:rsid w:val="009E0405"/>
    <w:pPr>
      <w:numPr>
        <w:numId w:val="3"/>
      </w:numPr>
      <w:contextualSpacing/>
    </w:pPr>
    <w:rPr>
      <w:lang w:val="es-MX" w:eastAsia="es-MX"/>
    </w:rPr>
  </w:style>
  <w:style w:type="paragraph" w:styleId="Listaconvietas">
    <w:name w:val="List Bullet"/>
    <w:basedOn w:val="Normal"/>
    <w:uiPriority w:val="99"/>
    <w:unhideWhenUsed/>
    <w:rsid w:val="00E6231A"/>
    <w:pPr>
      <w:tabs>
        <w:tab w:val="num" w:pos="720"/>
      </w:tabs>
      <w:ind w:left="720" w:hanging="720"/>
      <w:contextualSpacing/>
    </w:pPr>
    <w:rPr>
      <w:lang w:val="es-MX" w:eastAsia="es-MX"/>
    </w:rPr>
  </w:style>
  <w:style w:type="character" w:customStyle="1" w:styleId="Mencinsinresolver1">
    <w:name w:val="Mención sin resolver1"/>
    <w:basedOn w:val="Fuentedeprrafopredeter"/>
    <w:uiPriority w:val="99"/>
    <w:semiHidden/>
    <w:unhideWhenUsed/>
    <w:rsid w:val="00582A33"/>
    <w:rPr>
      <w:color w:val="605E5C"/>
      <w:shd w:val="clear" w:color="auto" w:fill="E1DFDD"/>
    </w:rPr>
  </w:style>
  <w:style w:type="table" w:customStyle="1" w:styleId="2">
    <w:name w:val="2"/>
    <w:basedOn w:val="TableNormal3"/>
    <w:tblPr>
      <w:tblStyleRowBandSize w:val="1"/>
      <w:tblStyleColBandSize w:val="1"/>
      <w:tblCellMar>
        <w:left w:w="115" w:type="dxa"/>
        <w:right w:w="115" w:type="dxa"/>
      </w:tblCellMar>
    </w:tblPr>
  </w:style>
  <w:style w:type="table" w:customStyle="1" w:styleId="1">
    <w:name w:val="1"/>
    <w:basedOn w:val="TableNormal3"/>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836A8D"/>
    <w:rPr>
      <w:color w:val="605E5C"/>
      <w:shd w:val="clear" w:color="auto" w:fill="E1DFDD"/>
    </w:rPr>
  </w:style>
  <w:style w:type="character" w:customStyle="1" w:styleId="Mencinsinresolver3">
    <w:name w:val="Mención sin resolver3"/>
    <w:basedOn w:val="Fuentedeprrafopredeter"/>
    <w:uiPriority w:val="99"/>
    <w:semiHidden/>
    <w:unhideWhenUsed/>
    <w:rsid w:val="00FC4A77"/>
    <w:rPr>
      <w:color w:val="605E5C"/>
      <w:shd w:val="clear" w:color="auto" w:fill="E1DFDD"/>
    </w:rPr>
  </w:style>
  <w:style w:type="character" w:customStyle="1" w:styleId="Mencinsinresolver4">
    <w:name w:val="Mención sin resolver4"/>
    <w:basedOn w:val="Fuentedeprrafopredeter"/>
    <w:uiPriority w:val="99"/>
    <w:semiHidden/>
    <w:unhideWhenUsed/>
    <w:rsid w:val="004C1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2245">
      <w:bodyDiv w:val="1"/>
      <w:marLeft w:val="0"/>
      <w:marRight w:val="0"/>
      <w:marTop w:val="0"/>
      <w:marBottom w:val="0"/>
      <w:divBdr>
        <w:top w:val="none" w:sz="0" w:space="0" w:color="auto"/>
        <w:left w:val="none" w:sz="0" w:space="0" w:color="auto"/>
        <w:bottom w:val="none" w:sz="0" w:space="0" w:color="auto"/>
        <w:right w:val="none" w:sz="0" w:space="0" w:color="auto"/>
      </w:divBdr>
    </w:div>
    <w:div w:id="70809557">
      <w:bodyDiv w:val="1"/>
      <w:marLeft w:val="0"/>
      <w:marRight w:val="0"/>
      <w:marTop w:val="0"/>
      <w:marBottom w:val="0"/>
      <w:divBdr>
        <w:top w:val="none" w:sz="0" w:space="0" w:color="auto"/>
        <w:left w:val="none" w:sz="0" w:space="0" w:color="auto"/>
        <w:bottom w:val="none" w:sz="0" w:space="0" w:color="auto"/>
        <w:right w:val="none" w:sz="0" w:space="0" w:color="auto"/>
      </w:divBdr>
    </w:div>
    <w:div w:id="168065096">
      <w:bodyDiv w:val="1"/>
      <w:marLeft w:val="0"/>
      <w:marRight w:val="0"/>
      <w:marTop w:val="0"/>
      <w:marBottom w:val="0"/>
      <w:divBdr>
        <w:top w:val="none" w:sz="0" w:space="0" w:color="auto"/>
        <w:left w:val="none" w:sz="0" w:space="0" w:color="auto"/>
        <w:bottom w:val="none" w:sz="0" w:space="0" w:color="auto"/>
        <w:right w:val="none" w:sz="0" w:space="0" w:color="auto"/>
      </w:divBdr>
    </w:div>
    <w:div w:id="169223281">
      <w:bodyDiv w:val="1"/>
      <w:marLeft w:val="0"/>
      <w:marRight w:val="0"/>
      <w:marTop w:val="0"/>
      <w:marBottom w:val="0"/>
      <w:divBdr>
        <w:top w:val="none" w:sz="0" w:space="0" w:color="auto"/>
        <w:left w:val="none" w:sz="0" w:space="0" w:color="auto"/>
        <w:bottom w:val="none" w:sz="0" w:space="0" w:color="auto"/>
        <w:right w:val="none" w:sz="0" w:space="0" w:color="auto"/>
      </w:divBdr>
    </w:div>
    <w:div w:id="190073297">
      <w:bodyDiv w:val="1"/>
      <w:marLeft w:val="0"/>
      <w:marRight w:val="0"/>
      <w:marTop w:val="0"/>
      <w:marBottom w:val="0"/>
      <w:divBdr>
        <w:top w:val="none" w:sz="0" w:space="0" w:color="auto"/>
        <w:left w:val="none" w:sz="0" w:space="0" w:color="auto"/>
        <w:bottom w:val="none" w:sz="0" w:space="0" w:color="auto"/>
        <w:right w:val="none" w:sz="0" w:space="0" w:color="auto"/>
      </w:divBdr>
    </w:div>
    <w:div w:id="264460817">
      <w:bodyDiv w:val="1"/>
      <w:marLeft w:val="0"/>
      <w:marRight w:val="0"/>
      <w:marTop w:val="0"/>
      <w:marBottom w:val="0"/>
      <w:divBdr>
        <w:top w:val="none" w:sz="0" w:space="0" w:color="auto"/>
        <w:left w:val="none" w:sz="0" w:space="0" w:color="auto"/>
        <w:bottom w:val="none" w:sz="0" w:space="0" w:color="auto"/>
        <w:right w:val="none" w:sz="0" w:space="0" w:color="auto"/>
      </w:divBdr>
    </w:div>
    <w:div w:id="376783849">
      <w:bodyDiv w:val="1"/>
      <w:marLeft w:val="0"/>
      <w:marRight w:val="0"/>
      <w:marTop w:val="0"/>
      <w:marBottom w:val="0"/>
      <w:divBdr>
        <w:top w:val="none" w:sz="0" w:space="0" w:color="auto"/>
        <w:left w:val="none" w:sz="0" w:space="0" w:color="auto"/>
        <w:bottom w:val="none" w:sz="0" w:space="0" w:color="auto"/>
        <w:right w:val="none" w:sz="0" w:space="0" w:color="auto"/>
      </w:divBdr>
    </w:div>
    <w:div w:id="390272707">
      <w:bodyDiv w:val="1"/>
      <w:marLeft w:val="0"/>
      <w:marRight w:val="0"/>
      <w:marTop w:val="0"/>
      <w:marBottom w:val="0"/>
      <w:divBdr>
        <w:top w:val="none" w:sz="0" w:space="0" w:color="auto"/>
        <w:left w:val="none" w:sz="0" w:space="0" w:color="auto"/>
        <w:bottom w:val="none" w:sz="0" w:space="0" w:color="auto"/>
        <w:right w:val="none" w:sz="0" w:space="0" w:color="auto"/>
      </w:divBdr>
    </w:div>
    <w:div w:id="401832262">
      <w:bodyDiv w:val="1"/>
      <w:marLeft w:val="0"/>
      <w:marRight w:val="0"/>
      <w:marTop w:val="0"/>
      <w:marBottom w:val="0"/>
      <w:divBdr>
        <w:top w:val="none" w:sz="0" w:space="0" w:color="auto"/>
        <w:left w:val="none" w:sz="0" w:space="0" w:color="auto"/>
        <w:bottom w:val="none" w:sz="0" w:space="0" w:color="auto"/>
        <w:right w:val="none" w:sz="0" w:space="0" w:color="auto"/>
      </w:divBdr>
    </w:div>
    <w:div w:id="550074365">
      <w:bodyDiv w:val="1"/>
      <w:marLeft w:val="0"/>
      <w:marRight w:val="0"/>
      <w:marTop w:val="0"/>
      <w:marBottom w:val="0"/>
      <w:divBdr>
        <w:top w:val="none" w:sz="0" w:space="0" w:color="auto"/>
        <w:left w:val="none" w:sz="0" w:space="0" w:color="auto"/>
        <w:bottom w:val="none" w:sz="0" w:space="0" w:color="auto"/>
        <w:right w:val="none" w:sz="0" w:space="0" w:color="auto"/>
      </w:divBdr>
    </w:div>
    <w:div w:id="558172910">
      <w:bodyDiv w:val="1"/>
      <w:marLeft w:val="0"/>
      <w:marRight w:val="0"/>
      <w:marTop w:val="0"/>
      <w:marBottom w:val="0"/>
      <w:divBdr>
        <w:top w:val="none" w:sz="0" w:space="0" w:color="auto"/>
        <w:left w:val="none" w:sz="0" w:space="0" w:color="auto"/>
        <w:bottom w:val="none" w:sz="0" w:space="0" w:color="auto"/>
        <w:right w:val="none" w:sz="0" w:space="0" w:color="auto"/>
      </w:divBdr>
    </w:div>
    <w:div w:id="635837792">
      <w:bodyDiv w:val="1"/>
      <w:marLeft w:val="0"/>
      <w:marRight w:val="0"/>
      <w:marTop w:val="0"/>
      <w:marBottom w:val="0"/>
      <w:divBdr>
        <w:top w:val="none" w:sz="0" w:space="0" w:color="auto"/>
        <w:left w:val="none" w:sz="0" w:space="0" w:color="auto"/>
        <w:bottom w:val="none" w:sz="0" w:space="0" w:color="auto"/>
        <w:right w:val="none" w:sz="0" w:space="0" w:color="auto"/>
      </w:divBdr>
    </w:div>
    <w:div w:id="703016068">
      <w:bodyDiv w:val="1"/>
      <w:marLeft w:val="0"/>
      <w:marRight w:val="0"/>
      <w:marTop w:val="0"/>
      <w:marBottom w:val="0"/>
      <w:divBdr>
        <w:top w:val="none" w:sz="0" w:space="0" w:color="auto"/>
        <w:left w:val="none" w:sz="0" w:space="0" w:color="auto"/>
        <w:bottom w:val="none" w:sz="0" w:space="0" w:color="auto"/>
        <w:right w:val="none" w:sz="0" w:space="0" w:color="auto"/>
      </w:divBdr>
    </w:div>
    <w:div w:id="723867147">
      <w:bodyDiv w:val="1"/>
      <w:marLeft w:val="0"/>
      <w:marRight w:val="0"/>
      <w:marTop w:val="0"/>
      <w:marBottom w:val="0"/>
      <w:divBdr>
        <w:top w:val="none" w:sz="0" w:space="0" w:color="auto"/>
        <w:left w:val="none" w:sz="0" w:space="0" w:color="auto"/>
        <w:bottom w:val="none" w:sz="0" w:space="0" w:color="auto"/>
        <w:right w:val="none" w:sz="0" w:space="0" w:color="auto"/>
      </w:divBdr>
    </w:div>
    <w:div w:id="737215094">
      <w:bodyDiv w:val="1"/>
      <w:marLeft w:val="0"/>
      <w:marRight w:val="0"/>
      <w:marTop w:val="0"/>
      <w:marBottom w:val="0"/>
      <w:divBdr>
        <w:top w:val="none" w:sz="0" w:space="0" w:color="auto"/>
        <w:left w:val="none" w:sz="0" w:space="0" w:color="auto"/>
        <w:bottom w:val="none" w:sz="0" w:space="0" w:color="auto"/>
        <w:right w:val="none" w:sz="0" w:space="0" w:color="auto"/>
      </w:divBdr>
    </w:div>
    <w:div w:id="814570515">
      <w:bodyDiv w:val="1"/>
      <w:marLeft w:val="0"/>
      <w:marRight w:val="0"/>
      <w:marTop w:val="0"/>
      <w:marBottom w:val="0"/>
      <w:divBdr>
        <w:top w:val="none" w:sz="0" w:space="0" w:color="auto"/>
        <w:left w:val="none" w:sz="0" w:space="0" w:color="auto"/>
        <w:bottom w:val="none" w:sz="0" w:space="0" w:color="auto"/>
        <w:right w:val="none" w:sz="0" w:space="0" w:color="auto"/>
      </w:divBdr>
    </w:div>
    <w:div w:id="850484089">
      <w:bodyDiv w:val="1"/>
      <w:marLeft w:val="0"/>
      <w:marRight w:val="0"/>
      <w:marTop w:val="0"/>
      <w:marBottom w:val="0"/>
      <w:divBdr>
        <w:top w:val="none" w:sz="0" w:space="0" w:color="auto"/>
        <w:left w:val="none" w:sz="0" w:space="0" w:color="auto"/>
        <w:bottom w:val="none" w:sz="0" w:space="0" w:color="auto"/>
        <w:right w:val="none" w:sz="0" w:space="0" w:color="auto"/>
      </w:divBdr>
    </w:div>
    <w:div w:id="1089930554">
      <w:bodyDiv w:val="1"/>
      <w:marLeft w:val="0"/>
      <w:marRight w:val="0"/>
      <w:marTop w:val="0"/>
      <w:marBottom w:val="0"/>
      <w:divBdr>
        <w:top w:val="none" w:sz="0" w:space="0" w:color="auto"/>
        <w:left w:val="none" w:sz="0" w:space="0" w:color="auto"/>
        <w:bottom w:val="none" w:sz="0" w:space="0" w:color="auto"/>
        <w:right w:val="none" w:sz="0" w:space="0" w:color="auto"/>
      </w:divBdr>
    </w:div>
    <w:div w:id="1122504985">
      <w:bodyDiv w:val="1"/>
      <w:marLeft w:val="0"/>
      <w:marRight w:val="0"/>
      <w:marTop w:val="0"/>
      <w:marBottom w:val="0"/>
      <w:divBdr>
        <w:top w:val="none" w:sz="0" w:space="0" w:color="auto"/>
        <w:left w:val="none" w:sz="0" w:space="0" w:color="auto"/>
        <w:bottom w:val="none" w:sz="0" w:space="0" w:color="auto"/>
        <w:right w:val="none" w:sz="0" w:space="0" w:color="auto"/>
      </w:divBdr>
    </w:div>
    <w:div w:id="1126197363">
      <w:bodyDiv w:val="1"/>
      <w:marLeft w:val="0"/>
      <w:marRight w:val="0"/>
      <w:marTop w:val="0"/>
      <w:marBottom w:val="0"/>
      <w:divBdr>
        <w:top w:val="none" w:sz="0" w:space="0" w:color="auto"/>
        <w:left w:val="none" w:sz="0" w:space="0" w:color="auto"/>
        <w:bottom w:val="none" w:sz="0" w:space="0" w:color="auto"/>
        <w:right w:val="none" w:sz="0" w:space="0" w:color="auto"/>
      </w:divBdr>
    </w:div>
    <w:div w:id="1139614875">
      <w:bodyDiv w:val="1"/>
      <w:marLeft w:val="0"/>
      <w:marRight w:val="0"/>
      <w:marTop w:val="0"/>
      <w:marBottom w:val="0"/>
      <w:divBdr>
        <w:top w:val="none" w:sz="0" w:space="0" w:color="auto"/>
        <w:left w:val="none" w:sz="0" w:space="0" w:color="auto"/>
        <w:bottom w:val="none" w:sz="0" w:space="0" w:color="auto"/>
        <w:right w:val="none" w:sz="0" w:space="0" w:color="auto"/>
      </w:divBdr>
    </w:div>
    <w:div w:id="1149246574">
      <w:bodyDiv w:val="1"/>
      <w:marLeft w:val="0"/>
      <w:marRight w:val="0"/>
      <w:marTop w:val="0"/>
      <w:marBottom w:val="0"/>
      <w:divBdr>
        <w:top w:val="none" w:sz="0" w:space="0" w:color="auto"/>
        <w:left w:val="none" w:sz="0" w:space="0" w:color="auto"/>
        <w:bottom w:val="none" w:sz="0" w:space="0" w:color="auto"/>
        <w:right w:val="none" w:sz="0" w:space="0" w:color="auto"/>
      </w:divBdr>
    </w:div>
    <w:div w:id="1337884602">
      <w:bodyDiv w:val="1"/>
      <w:marLeft w:val="0"/>
      <w:marRight w:val="0"/>
      <w:marTop w:val="0"/>
      <w:marBottom w:val="0"/>
      <w:divBdr>
        <w:top w:val="none" w:sz="0" w:space="0" w:color="auto"/>
        <w:left w:val="none" w:sz="0" w:space="0" w:color="auto"/>
        <w:bottom w:val="none" w:sz="0" w:space="0" w:color="auto"/>
        <w:right w:val="none" w:sz="0" w:space="0" w:color="auto"/>
      </w:divBdr>
    </w:div>
    <w:div w:id="1356034440">
      <w:bodyDiv w:val="1"/>
      <w:marLeft w:val="0"/>
      <w:marRight w:val="0"/>
      <w:marTop w:val="0"/>
      <w:marBottom w:val="0"/>
      <w:divBdr>
        <w:top w:val="none" w:sz="0" w:space="0" w:color="auto"/>
        <w:left w:val="none" w:sz="0" w:space="0" w:color="auto"/>
        <w:bottom w:val="none" w:sz="0" w:space="0" w:color="auto"/>
        <w:right w:val="none" w:sz="0" w:space="0" w:color="auto"/>
      </w:divBdr>
    </w:div>
    <w:div w:id="1468889040">
      <w:bodyDiv w:val="1"/>
      <w:marLeft w:val="0"/>
      <w:marRight w:val="0"/>
      <w:marTop w:val="0"/>
      <w:marBottom w:val="0"/>
      <w:divBdr>
        <w:top w:val="none" w:sz="0" w:space="0" w:color="auto"/>
        <w:left w:val="none" w:sz="0" w:space="0" w:color="auto"/>
        <w:bottom w:val="none" w:sz="0" w:space="0" w:color="auto"/>
        <w:right w:val="none" w:sz="0" w:space="0" w:color="auto"/>
      </w:divBdr>
    </w:div>
    <w:div w:id="1568032878">
      <w:bodyDiv w:val="1"/>
      <w:marLeft w:val="0"/>
      <w:marRight w:val="0"/>
      <w:marTop w:val="0"/>
      <w:marBottom w:val="0"/>
      <w:divBdr>
        <w:top w:val="none" w:sz="0" w:space="0" w:color="auto"/>
        <w:left w:val="none" w:sz="0" w:space="0" w:color="auto"/>
        <w:bottom w:val="none" w:sz="0" w:space="0" w:color="auto"/>
        <w:right w:val="none" w:sz="0" w:space="0" w:color="auto"/>
      </w:divBdr>
    </w:div>
    <w:div w:id="1624997191">
      <w:bodyDiv w:val="1"/>
      <w:marLeft w:val="0"/>
      <w:marRight w:val="0"/>
      <w:marTop w:val="0"/>
      <w:marBottom w:val="0"/>
      <w:divBdr>
        <w:top w:val="none" w:sz="0" w:space="0" w:color="auto"/>
        <w:left w:val="none" w:sz="0" w:space="0" w:color="auto"/>
        <w:bottom w:val="none" w:sz="0" w:space="0" w:color="auto"/>
        <w:right w:val="none" w:sz="0" w:space="0" w:color="auto"/>
      </w:divBdr>
    </w:div>
    <w:div w:id="1710031747">
      <w:bodyDiv w:val="1"/>
      <w:marLeft w:val="0"/>
      <w:marRight w:val="0"/>
      <w:marTop w:val="0"/>
      <w:marBottom w:val="0"/>
      <w:divBdr>
        <w:top w:val="none" w:sz="0" w:space="0" w:color="auto"/>
        <w:left w:val="none" w:sz="0" w:space="0" w:color="auto"/>
        <w:bottom w:val="none" w:sz="0" w:space="0" w:color="auto"/>
        <w:right w:val="none" w:sz="0" w:space="0" w:color="auto"/>
      </w:divBdr>
    </w:div>
    <w:div w:id="1760713046">
      <w:bodyDiv w:val="1"/>
      <w:marLeft w:val="0"/>
      <w:marRight w:val="0"/>
      <w:marTop w:val="0"/>
      <w:marBottom w:val="0"/>
      <w:divBdr>
        <w:top w:val="none" w:sz="0" w:space="0" w:color="auto"/>
        <w:left w:val="none" w:sz="0" w:space="0" w:color="auto"/>
        <w:bottom w:val="none" w:sz="0" w:space="0" w:color="auto"/>
        <w:right w:val="none" w:sz="0" w:space="0" w:color="auto"/>
      </w:divBdr>
    </w:div>
    <w:div w:id="1955211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Des95</b:Tag>
    <b:SourceType>Report</b:SourceType>
    <b:Guid>{8CF39635-3466-46BF-B622-0D274889218D}</b:Guid>
    <b:Title>Políticas básicas y procedimientos de adquisiciones del BID</b:Title>
    <b:Year>1995</b:Year>
    <b:Author>
      <b:Author>
        <b:NameList>
          <b:Person>
            <b:Last>Desarrollo</b:Last>
            <b:First>Banco</b:First>
            <b:Middle>Interamericano de</b:Middle>
          </b:Person>
        </b:NameList>
      </b:Author>
    </b:Author>
    <b:RefOrder>1</b:RefOrder>
  </b:Source>
</b:Sourc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ljYDFJOlflV5KCS2pAb63pvpijQ==">AMUW2mXa3FqXrKpXIzQUA3jEIb683JR1w6KpMzUNOBF30pez84Qr9ATzkAZsrGhNZP/8AlAEB8vdf3E1Cfp2a5rwqXqa83VH0Gcqmar5a1bivJBtWKiwScdV4viuvDvRwnTOAaoMxmbaAOUNCqr8VDxEd4kmVr3kg8irGyd9NJigMlStLPnqJSM=</go:docsCustomData>
</go:gDocsCustomXmlDataStorage>
</file>

<file path=customXml/itemProps1.xml><?xml version="1.0" encoding="utf-8"?>
<ds:datastoreItem xmlns:ds="http://schemas.openxmlformats.org/officeDocument/2006/customXml" ds:itemID="{33949344-0F22-405A-BA8E-A177C2E2CD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12433</Words>
  <Characters>68385</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Infoem Soporte</cp:lastModifiedBy>
  <cp:revision>2</cp:revision>
  <dcterms:created xsi:type="dcterms:W3CDTF">2026-04-30T18:41:00Z</dcterms:created>
  <dcterms:modified xsi:type="dcterms:W3CDTF">2026-04-30T18:41:00Z</dcterms:modified>
</cp:coreProperties>
</file>