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3D3E76EB"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5773C2">
        <w:rPr>
          <w:rFonts w:ascii="Palatino Linotype" w:eastAsia="Times New Roman" w:hAnsi="Palatino Linotype" w:cs="Palatino Linotype"/>
          <w:b/>
          <w:color w:val="000000"/>
          <w:sz w:val="24"/>
          <w:szCs w:val="24"/>
          <w:lang w:val="es-ES_tradnl" w:eastAsia="es-MX"/>
        </w:rPr>
        <w:t xml:space="preserve">a </w:t>
      </w:r>
      <w:r w:rsidR="00816859" w:rsidRPr="005773C2">
        <w:rPr>
          <w:rFonts w:ascii="Palatino Linotype" w:eastAsia="Times New Roman" w:hAnsi="Palatino Linotype" w:cs="Palatino Linotype"/>
          <w:b/>
          <w:color w:val="000000"/>
          <w:sz w:val="24"/>
          <w:szCs w:val="24"/>
          <w:lang w:val="es-ES_tradnl" w:eastAsia="es-MX"/>
        </w:rPr>
        <w:t>quince de abril</w:t>
      </w:r>
      <w:r w:rsidR="00897B0E" w:rsidRPr="005773C2">
        <w:rPr>
          <w:rFonts w:ascii="Palatino Linotype" w:eastAsia="Times New Roman" w:hAnsi="Palatino Linotype" w:cs="Palatino Linotype"/>
          <w:b/>
          <w:color w:val="000000"/>
          <w:sz w:val="24"/>
          <w:szCs w:val="24"/>
          <w:lang w:val="es-ES_tradnl" w:eastAsia="es-MX"/>
        </w:rPr>
        <w:t xml:space="preserve"> de dos mil </w:t>
      </w:r>
      <w:r w:rsidR="003235A9" w:rsidRPr="005773C2">
        <w:rPr>
          <w:rFonts w:ascii="Palatino Linotype" w:eastAsia="Times New Roman" w:hAnsi="Palatino Linotype" w:cs="Palatino Linotype"/>
          <w:b/>
          <w:color w:val="000000"/>
          <w:sz w:val="24"/>
          <w:szCs w:val="24"/>
          <w:lang w:val="es-ES_tradnl" w:eastAsia="es-MX"/>
        </w:rPr>
        <w:t>veintiséis</w:t>
      </w:r>
      <w:r w:rsidRPr="005773C2">
        <w:rPr>
          <w:rFonts w:ascii="Palatino Linotype" w:eastAsia="Times New Roman" w:hAnsi="Palatino Linotype" w:cs="Palatino Linotype"/>
          <w:b/>
          <w:color w:val="000000"/>
          <w:sz w:val="24"/>
          <w:szCs w:val="24"/>
          <w:lang w:val="es-ES_tradnl" w:eastAsia="es-MX"/>
        </w:rPr>
        <w:t>.</w:t>
      </w:r>
    </w:p>
    <w:p w14:paraId="46CFF95D"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031C2B90"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b/>
          <w:color w:val="000000"/>
          <w:sz w:val="24"/>
          <w:szCs w:val="24"/>
          <w:lang w:val="es-ES_tradnl" w:eastAsia="es-MX"/>
        </w:rPr>
        <w:t>VISTO</w:t>
      </w:r>
      <w:r w:rsidRPr="005773C2">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97B0E" w:rsidRPr="005773C2">
        <w:rPr>
          <w:rFonts w:ascii="Palatino Linotype" w:eastAsia="Times New Roman" w:hAnsi="Palatino Linotype" w:cs="Palatino Linotype"/>
          <w:b/>
          <w:color w:val="000000"/>
          <w:sz w:val="24"/>
          <w:szCs w:val="24"/>
          <w:lang w:val="es-ES_tradnl" w:eastAsia="es-MX"/>
        </w:rPr>
        <w:t>0</w:t>
      </w:r>
      <w:r w:rsidR="00816859" w:rsidRPr="005773C2">
        <w:rPr>
          <w:rFonts w:ascii="Palatino Linotype" w:eastAsia="Times New Roman" w:hAnsi="Palatino Linotype" w:cs="Palatino Linotype"/>
          <w:b/>
          <w:color w:val="000000"/>
          <w:sz w:val="24"/>
          <w:szCs w:val="24"/>
          <w:lang w:val="es-ES_tradnl" w:eastAsia="es-MX"/>
        </w:rPr>
        <w:t>3220</w:t>
      </w:r>
      <w:r w:rsidRPr="005773C2">
        <w:rPr>
          <w:rFonts w:ascii="Palatino Linotype" w:eastAsia="Times New Roman" w:hAnsi="Palatino Linotype" w:cs="Palatino Linotype"/>
          <w:b/>
          <w:color w:val="000000"/>
          <w:sz w:val="24"/>
          <w:szCs w:val="24"/>
          <w:lang w:val="es-ES_tradnl" w:eastAsia="es-MX"/>
        </w:rPr>
        <w:t>/INFOEM/IP/RR/202</w:t>
      </w:r>
      <w:r w:rsidR="00816859" w:rsidRPr="005773C2">
        <w:rPr>
          <w:rFonts w:ascii="Palatino Linotype" w:eastAsia="Times New Roman" w:hAnsi="Palatino Linotype" w:cs="Palatino Linotype"/>
          <w:b/>
          <w:color w:val="000000"/>
          <w:sz w:val="24"/>
          <w:szCs w:val="24"/>
          <w:lang w:val="es-ES_tradnl" w:eastAsia="es-MX"/>
        </w:rPr>
        <w:t>6</w:t>
      </w:r>
      <w:bookmarkEnd w:id="0"/>
      <w:r w:rsidRPr="005773C2">
        <w:rPr>
          <w:rFonts w:ascii="Palatino Linotype" w:eastAsia="Times New Roman" w:hAnsi="Palatino Linotype" w:cs="Palatino Linotype"/>
          <w:color w:val="000000"/>
          <w:sz w:val="24"/>
          <w:szCs w:val="24"/>
          <w:lang w:val="es-ES_tradnl" w:eastAsia="es-MX"/>
        </w:rPr>
        <w:t xml:space="preserve">, interpuesto por </w:t>
      </w:r>
      <w:r w:rsidR="0092771D" w:rsidRPr="005773C2">
        <w:rPr>
          <w:rFonts w:ascii="Palatino Linotype" w:eastAsia="Times New Roman" w:hAnsi="Palatino Linotype" w:cs="Palatino Linotype"/>
          <w:color w:val="000000"/>
          <w:sz w:val="24"/>
          <w:szCs w:val="24"/>
          <w:lang w:val="es-ES_tradnl" w:eastAsia="es-MX"/>
        </w:rPr>
        <w:t>l</w:t>
      </w:r>
      <w:r w:rsidR="003339A2" w:rsidRPr="005773C2">
        <w:rPr>
          <w:rFonts w:ascii="Palatino Linotype" w:eastAsia="Times New Roman" w:hAnsi="Palatino Linotype" w:cs="Palatino Linotype"/>
          <w:color w:val="000000"/>
          <w:sz w:val="24"/>
          <w:szCs w:val="24"/>
          <w:lang w:val="es-ES_tradnl" w:eastAsia="es-MX"/>
        </w:rPr>
        <w:t>a</w:t>
      </w:r>
      <w:r w:rsidR="0092771D" w:rsidRPr="005773C2">
        <w:rPr>
          <w:rFonts w:ascii="Palatino Linotype" w:eastAsia="Times New Roman" w:hAnsi="Palatino Linotype" w:cs="Palatino Linotype"/>
          <w:color w:val="000000"/>
          <w:sz w:val="24"/>
          <w:szCs w:val="24"/>
          <w:lang w:val="es-ES_tradnl" w:eastAsia="es-MX"/>
        </w:rPr>
        <w:t xml:space="preserve"> C. </w:t>
      </w:r>
      <w:proofErr w:type="spellStart"/>
      <w:r w:rsidR="00E3681E">
        <w:rPr>
          <w:rFonts w:ascii="Palatino Linotype" w:hAnsi="Palatino Linotype" w:cs="Arial"/>
          <w:b/>
          <w:bCs/>
          <w:sz w:val="24"/>
          <w:szCs w:val="24"/>
        </w:rPr>
        <w:t>xxxxxxxxxxxxxxxxxxxxxxx</w:t>
      </w:r>
      <w:proofErr w:type="spellEnd"/>
      <w:r w:rsidRPr="005773C2">
        <w:rPr>
          <w:rFonts w:ascii="Palatino Linotype" w:eastAsia="Times New Roman" w:hAnsi="Palatino Linotype" w:cs="Arial"/>
          <w:sz w:val="24"/>
          <w:szCs w:val="24"/>
          <w:lang w:val="es-ES_tradnl" w:eastAsia="es-MX"/>
        </w:rPr>
        <w:t xml:space="preserve">, </w:t>
      </w:r>
      <w:r w:rsidRPr="005773C2">
        <w:rPr>
          <w:rFonts w:ascii="Palatino Linotype" w:eastAsia="Times New Roman" w:hAnsi="Palatino Linotype" w:cs="Palatino Linotype"/>
          <w:color w:val="000000"/>
          <w:sz w:val="24"/>
          <w:szCs w:val="24"/>
          <w:lang w:val="es-ES_tradnl" w:eastAsia="es-MX"/>
        </w:rPr>
        <w:t xml:space="preserve">en lo sucesivo el </w:t>
      </w:r>
      <w:r w:rsidRPr="005773C2">
        <w:rPr>
          <w:rFonts w:ascii="Palatino Linotype" w:eastAsia="Times New Roman" w:hAnsi="Palatino Linotype" w:cs="Palatino Linotype"/>
          <w:b/>
          <w:color w:val="000000"/>
          <w:sz w:val="24"/>
          <w:szCs w:val="24"/>
          <w:lang w:val="es-ES_tradnl" w:eastAsia="es-MX"/>
        </w:rPr>
        <w:t>Recurrente</w:t>
      </w:r>
      <w:r w:rsidRPr="005773C2">
        <w:rPr>
          <w:rFonts w:ascii="Palatino Linotype" w:eastAsia="Times New Roman" w:hAnsi="Palatino Linotype" w:cs="Palatino Linotype"/>
          <w:color w:val="000000"/>
          <w:sz w:val="24"/>
          <w:szCs w:val="24"/>
          <w:lang w:val="es-ES_tradnl" w:eastAsia="es-MX"/>
        </w:rPr>
        <w:t xml:space="preserve">, en contra de la </w:t>
      </w:r>
      <w:r w:rsidR="003339A2" w:rsidRPr="005773C2">
        <w:rPr>
          <w:rFonts w:ascii="Palatino Linotype" w:eastAsia="Times New Roman" w:hAnsi="Palatino Linotype" w:cs="Palatino Linotype"/>
          <w:color w:val="000000"/>
          <w:sz w:val="24"/>
          <w:szCs w:val="24"/>
          <w:lang w:val="es-ES_tradnl" w:eastAsia="es-MX"/>
        </w:rPr>
        <w:t xml:space="preserve">falta de </w:t>
      </w:r>
      <w:r w:rsidRPr="005773C2">
        <w:rPr>
          <w:rFonts w:ascii="Palatino Linotype" w:eastAsia="Times New Roman" w:hAnsi="Palatino Linotype" w:cs="Palatino Linotype"/>
          <w:color w:val="000000"/>
          <w:sz w:val="24"/>
          <w:szCs w:val="24"/>
          <w:lang w:val="es-ES_tradnl" w:eastAsia="es-MX"/>
        </w:rPr>
        <w:t xml:space="preserve">respuesta del </w:t>
      </w:r>
      <w:r w:rsidR="0092771D" w:rsidRPr="005773C2">
        <w:rPr>
          <w:rFonts w:ascii="Palatino Linotype" w:hAnsi="Palatino Linotype"/>
          <w:b/>
          <w:bCs/>
          <w:color w:val="000000"/>
          <w:sz w:val="24"/>
          <w:szCs w:val="24"/>
        </w:rPr>
        <w:t xml:space="preserve">Ayuntamiento de </w:t>
      </w:r>
      <w:r w:rsidR="00565940" w:rsidRPr="005773C2">
        <w:rPr>
          <w:rFonts w:ascii="Palatino Linotype" w:hAnsi="Palatino Linotype"/>
          <w:b/>
          <w:bCs/>
          <w:color w:val="000000"/>
          <w:sz w:val="24"/>
          <w:szCs w:val="24"/>
        </w:rPr>
        <w:t>Tepotzotlán</w:t>
      </w:r>
      <w:r w:rsidRPr="005773C2">
        <w:rPr>
          <w:rFonts w:ascii="Palatino Linotype" w:eastAsia="Times New Roman" w:hAnsi="Palatino Linotype" w:cs="Palatino Linotype"/>
          <w:color w:val="000000"/>
          <w:sz w:val="24"/>
          <w:szCs w:val="24"/>
          <w:lang w:val="es-ES_tradnl" w:eastAsia="es-MX"/>
        </w:rPr>
        <w:t>, en lo subsecuente</w:t>
      </w:r>
      <w:r w:rsidRPr="005773C2">
        <w:rPr>
          <w:rFonts w:ascii="Palatino Linotype" w:eastAsia="Times New Roman" w:hAnsi="Palatino Linotype" w:cs="Palatino Linotype"/>
          <w:b/>
          <w:color w:val="000000"/>
          <w:sz w:val="24"/>
          <w:szCs w:val="24"/>
          <w:lang w:val="es-ES_tradnl" w:eastAsia="es-MX"/>
        </w:rPr>
        <w:t xml:space="preserve"> </w:t>
      </w:r>
      <w:r w:rsidRPr="005773C2">
        <w:rPr>
          <w:rFonts w:ascii="Palatino Linotype" w:eastAsia="Times New Roman" w:hAnsi="Palatino Linotype" w:cs="Palatino Linotype"/>
          <w:color w:val="000000"/>
          <w:sz w:val="24"/>
          <w:szCs w:val="24"/>
          <w:lang w:val="es-ES_tradnl" w:eastAsia="es-MX"/>
        </w:rPr>
        <w:t>el</w:t>
      </w:r>
      <w:r w:rsidRPr="005773C2">
        <w:rPr>
          <w:rFonts w:ascii="Palatino Linotype" w:eastAsia="Times New Roman" w:hAnsi="Palatino Linotype" w:cs="Palatino Linotype"/>
          <w:b/>
          <w:color w:val="000000"/>
          <w:sz w:val="24"/>
          <w:szCs w:val="24"/>
          <w:lang w:val="es-ES_tradnl" w:eastAsia="es-MX"/>
        </w:rPr>
        <w:t xml:space="preserve"> Sujeto Obligado, </w:t>
      </w:r>
      <w:r w:rsidRPr="005773C2">
        <w:rPr>
          <w:rFonts w:ascii="Palatino Linotype" w:eastAsia="Times New Roman" w:hAnsi="Palatino Linotype" w:cs="Palatino Linotype"/>
          <w:color w:val="000000"/>
          <w:sz w:val="24"/>
          <w:szCs w:val="24"/>
          <w:lang w:val="es-ES_tradnl" w:eastAsia="es-MX"/>
        </w:rPr>
        <w:t>se procede a dictar la presente resolución.</w:t>
      </w:r>
    </w:p>
    <w:p w14:paraId="56A4CB04"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0D2FD3"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5773C2"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5773C2">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5773C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773C2">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73E5AEB0"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color w:val="000000"/>
          <w:sz w:val="24"/>
          <w:szCs w:val="24"/>
          <w:lang w:val="es-ES_tradnl" w:eastAsia="es-MX"/>
        </w:rPr>
        <w:t xml:space="preserve">Con fecha </w:t>
      </w:r>
      <w:r w:rsidR="00816859" w:rsidRPr="005773C2">
        <w:rPr>
          <w:rFonts w:ascii="Palatino Linotype" w:eastAsia="Times New Roman" w:hAnsi="Palatino Linotype" w:cs="Palatino Linotype"/>
          <w:color w:val="000000"/>
          <w:sz w:val="24"/>
          <w:szCs w:val="24"/>
          <w:lang w:val="es-ES_tradnl" w:eastAsia="es-MX"/>
        </w:rPr>
        <w:t>dieciséis de febrero de dos mil veintiséis</w:t>
      </w:r>
      <w:r w:rsidRPr="005773C2">
        <w:rPr>
          <w:rFonts w:ascii="Palatino Linotype" w:eastAsia="Times New Roman" w:hAnsi="Palatino Linotype" w:cs="Palatino Linotype"/>
          <w:color w:val="000000"/>
          <w:sz w:val="24"/>
          <w:szCs w:val="24"/>
          <w:lang w:val="es-ES_tradnl" w:eastAsia="es-MX"/>
        </w:rPr>
        <w:t>, l</w:t>
      </w:r>
      <w:r w:rsidR="00AD62A6" w:rsidRPr="005773C2">
        <w:rPr>
          <w:rFonts w:ascii="Palatino Linotype" w:eastAsia="Times New Roman" w:hAnsi="Palatino Linotype" w:cs="Palatino Linotype"/>
          <w:color w:val="000000"/>
          <w:sz w:val="24"/>
          <w:szCs w:val="24"/>
          <w:lang w:val="es-ES_tradnl" w:eastAsia="es-MX"/>
        </w:rPr>
        <w:t>a</w:t>
      </w:r>
      <w:r w:rsidRPr="005773C2">
        <w:rPr>
          <w:rFonts w:ascii="Palatino Linotype" w:eastAsia="Times New Roman" w:hAnsi="Palatino Linotype" w:cs="Palatino Linotype"/>
          <w:color w:val="000000"/>
          <w:sz w:val="24"/>
          <w:szCs w:val="24"/>
          <w:lang w:val="es-ES_tradnl" w:eastAsia="es-MX"/>
        </w:rPr>
        <w:t xml:space="preserve"> Recurrente presentó mediante el Sistema de Acceso a la Información Mexiquense (SAIMEX), solicitud de información registrada con el número de </w:t>
      </w:r>
      <w:r w:rsidRPr="005773C2">
        <w:rPr>
          <w:rFonts w:ascii="Palatino Linotype" w:eastAsia="Times New Roman" w:hAnsi="Palatino Linotype" w:cs="Palatino Linotype"/>
          <w:sz w:val="24"/>
          <w:szCs w:val="24"/>
          <w:lang w:val="es-ES_tradnl" w:eastAsia="es-MX"/>
        </w:rPr>
        <w:t>expediente</w:t>
      </w:r>
      <w:r w:rsidRPr="005773C2">
        <w:rPr>
          <w:rFonts w:ascii="Verdana" w:eastAsia="Times New Roman" w:hAnsi="Verdana" w:cs="Calibri"/>
          <w:b/>
          <w:bCs/>
          <w:color w:val="FF0000"/>
          <w:sz w:val="24"/>
          <w:lang w:val="es-ES_tradnl" w:eastAsia="es-MX"/>
        </w:rPr>
        <w:t> </w:t>
      </w:r>
      <w:r w:rsidRPr="005773C2">
        <w:rPr>
          <w:color w:val="000000"/>
          <w:sz w:val="27"/>
          <w:szCs w:val="27"/>
        </w:rPr>
        <w:t> </w:t>
      </w:r>
      <w:r w:rsidRPr="005773C2">
        <w:rPr>
          <w:rFonts w:ascii="Verdana" w:hAnsi="Verdana"/>
          <w:b/>
          <w:bCs/>
          <w:color w:val="FF0000"/>
          <w:sz w:val="20"/>
          <w:szCs w:val="20"/>
        </w:rPr>
        <w:t> </w:t>
      </w:r>
      <w:r w:rsidR="00816859" w:rsidRPr="005773C2">
        <w:rPr>
          <w:rFonts w:ascii="Palatino Linotype" w:hAnsi="Palatino Linotype"/>
          <w:b/>
          <w:bCs/>
          <w:sz w:val="24"/>
          <w:szCs w:val="24"/>
        </w:rPr>
        <w:t> 00649/TEPOTZOT/IP/2026</w:t>
      </w:r>
      <w:r w:rsidRPr="005773C2">
        <w:rPr>
          <w:rFonts w:ascii="Palatino Linotype" w:eastAsia="Times New Roman" w:hAnsi="Palatino Linotype" w:cs="Palatino Linotype"/>
          <w:b/>
          <w:sz w:val="24"/>
          <w:szCs w:val="24"/>
          <w:lang w:val="es-ES_tradnl" w:eastAsia="es-MX"/>
        </w:rPr>
        <w:t xml:space="preserve">, </w:t>
      </w:r>
      <w:r w:rsidRPr="005773C2">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5773C2"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24099FCB" w:rsidR="000D134C" w:rsidRPr="005773C2"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5773C2">
        <w:rPr>
          <w:rFonts w:ascii="Palatino Linotype" w:eastAsia="Times New Roman" w:hAnsi="Palatino Linotype" w:cs="Palatino Linotype"/>
          <w:i/>
          <w:iCs/>
          <w:color w:val="000000"/>
          <w:sz w:val="24"/>
          <w:szCs w:val="24"/>
          <w:lang w:val="es-ES_tradnl" w:eastAsia="es-MX"/>
        </w:rPr>
        <w:t>“</w:t>
      </w:r>
      <w:r w:rsidR="00816859" w:rsidRPr="005773C2">
        <w:rPr>
          <w:rFonts w:ascii="Palatino Linotype" w:hAnsi="Palatino Linotype"/>
          <w:i/>
          <w:color w:val="000000"/>
          <w:sz w:val="24"/>
          <w:szCs w:val="24"/>
        </w:rPr>
        <w:t>Solicito copia de dictámenes técnicos, visitas de inspección y reportes realizados para aprobar nuevas licencias en 2026, indicando fecha, inspector responsable y resultado. Anexo legal: Solicito actas firmadas y evidencia fotográfica. En caso de inexistencia, indicar responsabilidad administrativa por omitir inspecciones obligatorias</w:t>
      </w:r>
      <w:r w:rsidR="00565940" w:rsidRPr="005773C2">
        <w:rPr>
          <w:rFonts w:ascii="Palatino Linotype" w:hAnsi="Palatino Linotype"/>
          <w:i/>
          <w:color w:val="000000"/>
          <w:sz w:val="24"/>
          <w:szCs w:val="24"/>
        </w:rPr>
        <w:t>.</w:t>
      </w:r>
      <w:r w:rsidRPr="005773C2">
        <w:rPr>
          <w:rFonts w:ascii="Palatino Linotype" w:hAnsi="Palatino Linotype"/>
          <w:i/>
          <w:iCs/>
          <w:color w:val="000000"/>
          <w:sz w:val="24"/>
          <w:szCs w:val="24"/>
        </w:rPr>
        <w:t>”</w:t>
      </w:r>
      <w:r w:rsidRPr="005773C2">
        <w:rPr>
          <w:rFonts w:ascii="Verdana" w:hAnsi="Verdana"/>
          <w:color w:val="000000"/>
          <w:sz w:val="14"/>
          <w:szCs w:val="14"/>
        </w:rPr>
        <w:t xml:space="preserve"> </w:t>
      </w:r>
      <w:r w:rsidRPr="005773C2">
        <w:rPr>
          <w:rFonts w:ascii="Palatino Linotype" w:eastAsia="Times New Roman" w:hAnsi="Palatino Linotype" w:cs="Palatino Linotype"/>
          <w:i/>
          <w:color w:val="000000"/>
          <w:szCs w:val="24"/>
          <w:lang w:val="es-ES_tradnl" w:eastAsia="es-MX"/>
        </w:rPr>
        <w:t xml:space="preserve"> (Sic)</w:t>
      </w:r>
    </w:p>
    <w:p w14:paraId="50052818" w14:textId="77777777" w:rsidR="00273D73" w:rsidRPr="005773C2"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color w:val="000000"/>
          <w:sz w:val="24"/>
          <w:szCs w:val="24"/>
          <w:lang w:val="es-ES_tradnl" w:eastAsia="es-MX"/>
        </w:rPr>
        <w:t xml:space="preserve">Modalidad de entrega: </w:t>
      </w:r>
      <w:r w:rsidRPr="005773C2">
        <w:rPr>
          <w:rFonts w:ascii="Palatino Linotype" w:eastAsia="Times New Roman" w:hAnsi="Palatino Linotype" w:cs="Palatino Linotype"/>
          <w:b/>
          <w:color w:val="000000"/>
          <w:sz w:val="24"/>
          <w:szCs w:val="24"/>
          <w:lang w:val="es-ES_tradnl" w:eastAsia="es-MX"/>
        </w:rPr>
        <w:t>A través del SAIMEX</w:t>
      </w:r>
      <w:r w:rsidRPr="005773C2">
        <w:rPr>
          <w:rFonts w:ascii="Palatino Linotype" w:eastAsia="Times New Roman" w:hAnsi="Palatino Linotype" w:cs="Palatino Linotype"/>
          <w:color w:val="000000"/>
          <w:sz w:val="24"/>
          <w:szCs w:val="24"/>
          <w:lang w:val="es-ES_tradnl" w:eastAsia="es-MX"/>
        </w:rPr>
        <w:t>.</w:t>
      </w:r>
    </w:p>
    <w:p w14:paraId="5E901DFE" w14:textId="77777777" w:rsidR="000D134C" w:rsidRPr="005773C2" w:rsidRDefault="000D134C"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59DB8AA4" w14:textId="0053F0D5" w:rsidR="000D134C" w:rsidRPr="005773C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773C2">
        <w:rPr>
          <w:rFonts w:ascii="Palatino Linotype" w:eastAsia="Times New Roman" w:hAnsi="Palatino Linotype" w:cs="Times New Roman"/>
          <w:b/>
          <w:color w:val="000000" w:themeColor="text1"/>
          <w:sz w:val="28"/>
          <w:szCs w:val="28"/>
          <w:lang w:val="es-ES_tradnl" w:eastAsia="es-MX"/>
        </w:rPr>
        <w:t xml:space="preserve">SEGUNDO. De la </w:t>
      </w:r>
      <w:r w:rsidR="0031107D" w:rsidRPr="005773C2">
        <w:rPr>
          <w:rFonts w:ascii="Palatino Linotype" w:eastAsia="Times New Roman" w:hAnsi="Palatino Linotype" w:cs="Times New Roman"/>
          <w:b/>
          <w:color w:val="000000" w:themeColor="text1"/>
          <w:sz w:val="28"/>
          <w:szCs w:val="28"/>
          <w:lang w:val="es-ES_tradnl" w:eastAsia="es-MX"/>
        </w:rPr>
        <w:t xml:space="preserve">falta de </w:t>
      </w:r>
      <w:r w:rsidRPr="005773C2">
        <w:rPr>
          <w:rFonts w:ascii="Palatino Linotype" w:eastAsia="Times New Roman" w:hAnsi="Palatino Linotype" w:cs="Times New Roman"/>
          <w:b/>
          <w:color w:val="000000" w:themeColor="text1"/>
          <w:sz w:val="28"/>
          <w:szCs w:val="28"/>
          <w:lang w:val="es-ES_tradnl" w:eastAsia="es-MX"/>
        </w:rPr>
        <w:t>respuesta del Sujeto Obligado.</w:t>
      </w:r>
    </w:p>
    <w:p w14:paraId="10050049" w14:textId="77777777" w:rsidR="0031107D" w:rsidRPr="005773C2" w:rsidRDefault="0031107D" w:rsidP="0031107D">
      <w:pPr>
        <w:spacing w:before="240" w:line="360" w:lineRule="auto"/>
        <w:jc w:val="both"/>
        <w:rPr>
          <w:rFonts w:ascii="Palatino Linotype" w:hAnsi="Palatino Linotype" w:cs="Arial"/>
          <w:b/>
          <w:sz w:val="24"/>
          <w:szCs w:val="24"/>
        </w:rPr>
      </w:pPr>
      <w:r w:rsidRPr="005773C2">
        <w:rPr>
          <w:rFonts w:ascii="Palatino Linotype" w:hAnsi="Palatino Linotype" w:cs="Arial"/>
          <w:sz w:val="24"/>
          <w:szCs w:val="24"/>
        </w:rPr>
        <w:t xml:space="preserve">El </w:t>
      </w:r>
      <w:r w:rsidRPr="005773C2">
        <w:rPr>
          <w:rFonts w:ascii="Palatino Linotype" w:hAnsi="Palatino Linotype" w:cs="Arial"/>
          <w:b/>
          <w:sz w:val="24"/>
          <w:szCs w:val="24"/>
        </w:rPr>
        <w:t>Sujeto Obligado</w:t>
      </w:r>
      <w:r w:rsidRPr="005773C2">
        <w:rPr>
          <w:rFonts w:ascii="Palatino Linotype" w:hAnsi="Palatino Linotype" w:cs="Arial"/>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14:paraId="5B875FDE" w14:textId="77777777" w:rsidR="000D134C" w:rsidRPr="005773C2" w:rsidRDefault="000D134C" w:rsidP="005C2A3E">
      <w:pPr>
        <w:spacing w:after="0" w:line="360" w:lineRule="auto"/>
        <w:contextualSpacing/>
        <w:jc w:val="both"/>
        <w:rPr>
          <w:rFonts w:ascii="Palatino Linotype" w:hAnsi="Palatino Linotype"/>
          <w:sz w:val="24"/>
          <w:szCs w:val="24"/>
        </w:rPr>
      </w:pPr>
    </w:p>
    <w:p w14:paraId="7375AE13" w14:textId="77777777" w:rsidR="000D134C" w:rsidRPr="005773C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773C2">
        <w:rPr>
          <w:rFonts w:ascii="Palatino Linotype" w:eastAsia="Times New Roman" w:hAnsi="Palatino Linotype" w:cs="Times New Roman"/>
          <w:b/>
          <w:color w:val="000000" w:themeColor="text1"/>
          <w:sz w:val="28"/>
          <w:szCs w:val="28"/>
          <w:lang w:val="es-ES_tradnl" w:eastAsia="es-MX"/>
        </w:rPr>
        <w:t>TERCERO. Del recurso de revisión.</w:t>
      </w:r>
    </w:p>
    <w:p w14:paraId="7708EED1" w14:textId="0F842D03" w:rsidR="00D72AB2" w:rsidRPr="005773C2" w:rsidRDefault="00D72AB2" w:rsidP="00D72AB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color w:val="000000"/>
          <w:sz w:val="24"/>
          <w:szCs w:val="24"/>
          <w:lang w:eastAsia="es-MX"/>
        </w:rPr>
        <w:t>Ante la falta de respuesta</w:t>
      </w:r>
      <w:r w:rsidRPr="005773C2">
        <w:rPr>
          <w:rFonts w:ascii="Palatino Linotype" w:eastAsia="Times New Roman" w:hAnsi="Palatino Linotype" w:cs="Palatino Linotype"/>
          <w:b/>
          <w:color w:val="000000"/>
          <w:sz w:val="24"/>
          <w:szCs w:val="24"/>
          <w:lang w:eastAsia="es-MX"/>
        </w:rPr>
        <w:t xml:space="preserve"> </w:t>
      </w:r>
      <w:r w:rsidRPr="005773C2">
        <w:rPr>
          <w:rFonts w:ascii="Palatino Linotype" w:eastAsia="Times New Roman" w:hAnsi="Palatino Linotype" w:cs="Palatino Linotype"/>
          <w:color w:val="000000"/>
          <w:sz w:val="24"/>
          <w:szCs w:val="24"/>
          <w:lang w:eastAsia="es-MX"/>
        </w:rPr>
        <w:t xml:space="preserve">del </w:t>
      </w:r>
      <w:r w:rsidRPr="005773C2">
        <w:rPr>
          <w:rFonts w:ascii="Palatino Linotype" w:eastAsia="Times New Roman" w:hAnsi="Palatino Linotype" w:cs="Palatino Linotype"/>
          <w:b/>
          <w:color w:val="000000"/>
          <w:sz w:val="24"/>
          <w:szCs w:val="24"/>
          <w:lang w:eastAsia="es-MX"/>
        </w:rPr>
        <w:t>Sujeto Obligado</w:t>
      </w:r>
      <w:r w:rsidRPr="005773C2">
        <w:rPr>
          <w:rFonts w:ascii="Palatino Linotype" w:eastAsia="Times New Roman" w:hAnsi="Palatino Linotype" w:cs="Palatino Linotype"/>
          <w:color w:val="000000"/>
          <w:sz w:val="24"/>
          <w:szCs w:val="24"/>
          <w:lang w:eastAsia="es-MX"/>
        </w:rPr>
        <w:t xml:space="preserve">, la parte </w:t>
      </w:r>
      <w:r w:rsidRPr="005773C2">
        <w:rPr>
          <w:rFonts w:ascii="Palatino Linotype" w:eastAsia="Times New Roman" w:hAnsi="Palatino Linotype" w:cs="Palatino Linotype"/>
          <w:b/>
          <w:color w:val="000000"/>
          <w:sz w:val="24"/>
          <w:szCs w:val="24"/>
          <w:lang w:eastAsia="es-MX"/>
        </w:rPr>
        <w:t>Recurrente</w:t>
      </w:r>
      <w:r w:rsidRPr="005773C2">
        <w:rPr>
          <w:rFonts w:ascii="Palatino Linotype" w:eastAsia="Times New Roman" w:hAnsi="Palatino Linotype" w:cs="Palatino Linotype"/>
          <w:color w:val="000000"/>
          <w:sz w:val="24"/>
          <w:szCs w:val="24"/>
          <w:lang w:eastAsia="es-MX"/>
        </w:rPr>
        <w:t xml:space="preserve"> interpuso el recurso de revisión en fecha </w:t>
      </w:r>
      <w:r w:rsidRPr="005773C2">
        <w:rPr>
          <w:rFonts w:ascii="Palatino Linotype" w:eastAsia="Times New Roman" w:hAnsi="Palatino Linotype" w:cs="Palatino Linotype"/>
          <w:b/>
          <w:color w:val="000000"/>
          <w:sz w:val="24"/>
          <w:szCs w:val="24"/>
          <w:lang w:val="es-ES_tradnl" w:eastAsia="es-MX"/>
        </w:rPr>
        <w:t>doce de marzo de dos mil veintiséis</w:t>
      </w:r>
      <w:r w:rsidRPr="005773C2">
        <w:rPr>
          <w:rFonts w:ascii="Palatino Linotype" w:eastAsia="Times New Roman" w:hAnsi="Palatino Linotype" w:cs="Palatino Linotype"/>
          <w:color w:val="000000"/>
          <w:sz w:val="24"/>
          <w:szCs w:val="24"/>
          <w:lang w:eastAsia="es-MX"/>
        </w:rPr>
        <w:t>, registrado</w:t>
      </w:r>
      <w:r w:rsidRPr="005773C2">
        <w:rPr>
          <w:rFonts w:ascii="Palatino Linotype" w:eastAsia="Times New Roman" w:hAnsi="Palatino Linotype" w:cs="Palatino Linotype"/>
          <w:b/>
          <w:color w:val="000000"/>
          <w:sz w:val="24"/>
          <w:szCs w:val="24"/>
          <w:lang w:eastAsia="es-MX"/>
        </w:rPr>
        <w:t xml:space="preserve"> </w:t>
      </w:r>
      <w:r w:rsidRPr="005773C2">
        <w:rPr>
          <w:rFonts w:ascii="Palatino Linotype" w:eastAsia="Times New Roman" w:hAnsi="Palatino Linotype" w:cs="Palatino Linotype"/>
          <w:color w:val="000000"/>
          <w:sz w:val="24"/>
          <w:szCs w:val="24"/>
          <w:lang w:eastAsia="es-MX"/>
        </w:rPr>
        <w:t xml:space="preserve">en el </w:t>
      </w:r>
      <w:r w:rsidRPr="005773C2">
        <w:rPr>
          <w:rFonts w:ascii="Palatino Linotype" w:eastAsia="Times New Roman" w:hAnsi="Palatino Linotype" w:cs="Palatino Linotype"/>
          <w:b/>
          <w:color w:val="000000"/>
          <w:sz w:val="24"/>
          <w:szCs w:val="24"/>
          <w:lang w:eastAsia="es-MX"/>
        </w:rPr>
        <w:t xml:space="preserve">SAIMEX </w:t>
      </w:r>
      <w:r w:rsidRPr="005773C2">
        <w:rPr>
          <w:rFonts w:ascii="Palatino Linotype" w:eastAsia="Times New Roman" w:hAnsi="Palatino Linotype" w:cs="Palatino Linotype"/>
          <w:color w:val="000000"/>
          <w:sz w:val="24"/>
          <w:szCs w:val="24"/>
          <w:lang w:eastAsia="es-MX"/>
        </w:rPr>
        <w:t xml:space="preserve">con el número de expediente </w:t>
      </w:r>
      <w:r w:rsidRPr="005773C2">
        <w:rPr>
          <w:rFonts w:ascii="Palatino Linotype" w:eastAsia="Times New Roman" w:hAnsi="Palatino Linotype" w:cs="Palatino Linotype"/>
          <w:b/>
          <w:color w:val="000000"/>
          <w:sz w:val="24"/>
          <w:szCs w:val="24"/>
          <w:lang w:val="es-ES_tradnl" w:eastAsia="es-MX"/>
        </w:rPr>
        <w:t>03220/INFOEM/IP/RR/2026</w:t>
      </w:r>
      <w:r w:rsidRPr="005773C2">
        <w:rPr>
          <w:rFonts w:ascii="Palatino Linotype" w:eastAsia="Times New Roman" w:hAnsi="Palatino Linotype" w:cs="Palatino Linotype"/>
          <w:color w:val="000000"/>
          <w:sz w:val="24"/>
          <w:szCs w:val="24"/>
          <w:lang w:eastAsia="es-MX"/>
        </w:rPr>
        <w:t>, y señaló como acto impugnado y razones o motivos de inconformidad, lo siguiente:</w:t>
      </w:r>
    </w:p>
    <w:p w14:paraId="35959108" w14:textId="77777777" w:rsidR="00D72AB2" w:rsidRPr="005773C2" w:rsidRDefault="00D72AB2"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5773C2"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5773C2">
        <w:rPr>
          <w:rFonts w:ascii="Palatino Linotype" w:hAnsi="Palatino Linotype" w:cs="Palatino Linotype"/>
          <w:b/>
          <w:i/>
          <w:sz w:val="24"/>
          <w:szCs w:val="24"/>
          <w:lang w:val="es-ES_tradnl" w:eastAsia="es-MX"/>
        </w:rPr>
        <w:t xml:space="preserve">Acto Impugnado y </w:t>
      </w:r>
    </w:p>
    <w:p w14:paraId="1DC46CDA" w14:textId="2FEC797E" w:rsidR="000D134C" w:rsidRPr="005773C2" w:rsidRDefault="000D134C" w:rsidP="00782BAF">
      <w:pPr>
        <w:spacing w:after="0" w:line="360" w:lineRule="auto"/>
        <w:ind w:left="425" w:right="565"/>
        <w:jc w:val="both"/>
        <w:rPr>
          <w:rFonts w:ascii="Times New Roman" w:eastAsia="Times New Roman" w:hAnsi="Times New Roman" w:cs="Times New Roman"/>
          <w:sz w:val="24"/>
          <w:szCs w:val="24"/>
          <w:lang w:eastAsia="es-MX"/>
        </w:rPr>
      </w:pPr>
      <w:r w:rsidRPr="005773C2">
        <w:rPr>
          <w:rFonts w:ascii="Palatino Linotype" w:hAnsi="Palatino Linotype"/>
          <w:i/>
          <w:iCs/>
          <w:color w:val="000000"/>
          <w:sz w:val="24"/>
          <w:szCs w:val="24"/>
        </w:rPr>
        <w:t>“</w:t>
      </w:r>
      <w:r w:rsidR="00B06B14" w:rsidRPr="005773C2">
        <w:rPr>
          <w:rFonts w:ascii="Palatino Linotype" w:hAnsi="Palatino Linotype"/>
          <w:i/>
          <w:iCs/>
          <w:color w:val="000000"/>
          <w:sz w:val="24"/>
          <w:szCs w:val="24"/>
        </w:rPr>
        <w:t>Solicito copia de dictámenes técnicos, visitas de inspección y reportes realizados para aprobar nuevas licencias en 2026, indicando fecha, inspector responsable y resultado. Anexo legal: Solicito actas firmadas y evidencia fotográfica. En caso de inexistencia, indicar responsabilidad administrativa por omitir inspecciones obligatorias.</w:t>
      </w:r>
      <w:r w:rsidRPr="005773C2">
        <w:rPr>
          <w:rFonts w:ascii="Palatino Linotype" w:hAnsi="Palatino Linotype"/>
          <w:i/>
          <w:color w:val="000000"/>
          <w:sz w:val="24"/>
          <w:szCs w:val="24"/>
        </w:rPr>
        <w:t>” (Sic)</w:t>
      </w:r>
    </w:p>
    <w:p w14:paraId="13909A86" w14:textId="77777777" w:rsidR="000D134C" w:rsidRPr="005773C2"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0A32981F" w:rsidR="000D134C" w:rsidRPr="005773C2"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5773C2">
        <w:rPr>
          <w:rFonts w:ascii="Palatino Linotype" w:eastAsia="Times New Roman" w:hAnsi="Palatino Linotype" w:cs="Palatino Linotype"/>
          <w:b/>
          <w:i/>
          <w:sz w:val="24"/>
          <w:szCs w:val="24"/>
          <w:lang w:val="es-ES_tradnl" w:eastAsia="es-MX"/>
        </w:rPr>
        <w:t xml:space="preserve"> Motivos de Inconformidad</w:t>
      </w:r>
      <w:r w:rsidRPr="005773C2">
        <w:rPr>
          <w:rFonts w:ascii="Palatino Linotype" w:hAnsi="Palatino Linotype" w:cs="Palatino Linotype"/>
          <w:b/>
          <w:i/>
          <w:sz w:val="24"/>
          <w:szCs w:val="24"/>
          <w:lang w:val="es-ES_tradnl" w:eastAsia="es-MX"/>
        </w:rPr>
        <w:t xml:space="preserve">: </w:t>
      </w:r>
    </w:p>
    <w:p w14:paraId="5A562623" w14:textId="67C51543" w:rsidR="000D134C" w:rsidRPr="005773C2" w:rsidRDefault="000D134C" w:rsidP="005C2A3E">
      <w:pPr>
        <w:spacing w:after="0" w:line="360" w:lineRule="auto"/>
        <w:ind w:left="425" w:right="567"/>
        <w:contextualSpacing/>
        <w:jc w:val="both"/>
        <w:rPr>
          <w:rFonts w:ascii="Palatino Linotype" w:eastAsia="Times New Roman" w:hAnsi="Palatino Linotype" w:cs="Palatino Linotype"/>
          <w:bCs/>
          <w:i/>
          <w:color w:val="000000"/>
          <w:lang w:eastAsia="es-MX"/>
        </w:rPr>
      </w:pPr>
      <w:r w:rsidRPr="005773C2">
        <w:rPr>
          <w:rFonts w:ascii="Palatino Linotype" w:eastAsia="Times New Roman" w:hAnsi="Palatino Linotype" w:cs="Palatino Linotype"/>
          <w:bCs/>
          <w:i/>
          <w:color w:val="000000"/>
          <w:sz w:val="24"/>
          <w:szCs w:val="24"/>
          <w:lang w:eastAsia="es-MX"/>
        </w:rPr>
        <w:t>“</w:t>
      </w:r>
      <w:r w:rsidR="00B06B14" w:rsidRPr="005773C2">
        <w:rPr>
          <w:rFonts w:ascii="Palatino Linotype" w:hAnsi="Palatino Linotype"/>
          <w:i/>
          <w:color w:val="000000"/>
          <w:sz w:val="24"/>
          <w:szCs w:val="24"/>
        </w:rPr>
        <w:t xml:space="preserve">El H. Ayuntamiento de Tepotzotlán incurrió en una omisión total de respuesta dentro del plazo legal, vulnerando de manera directa, flagrante y continuada mi derecho </w:t>
      </w:r>
      <w:r w:rsidR="00B06B14" w:rsidRPr="005773C2">
        <w:rPr>
          <w:rFonts w:ascii="Palatino Linotype" w:hAnsi="Palatino Linotype"/>
          <w:i/>
          <w:color w:val="000000"/>
          <w:sz w:val="24"/>
          <w:szCs w:val="24"/>
        </w:rPr>
        <w:lastRenderedPageBreak/>
        <w:t xml:space="preserve">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w:t>
      </w:r>
      <w:r w:rsidR="00B06B14" w:rsidRPr="005773C2">
        <w:rPr>
          <w:rFonts w:ascii="Palatino Linotype" w:hAnsi="Palatino Linotype"/>
          <w:i/>
          <w:color w:val="000000"/>
          <w:sz w:val="24"/>
          <w:szCs w:val="24"/>
        </w:rPr>
        <w:lastRenderedPageBreak/>
        <w:t>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008C73BE" w:rsidRPr="005773C2">
        <w:rPr>
          <w:rFonts w:ascii="Palatino Linotype" w:hAnsi="Palatino Linotype"/>
          <w:i/>
          <w:color w:val="000000"/>
          <w:sz w:val="24"/>
          <w:szCs w:val="24"/>
        </w:rPr>
        <w:t>.</w:t>
      </w:r>
      <w:r w:rsidRPr="005773C2">
        <w:rPr>
          <w:rFonts w:ascii="Palatino Linotype" w:hAnsi="Palatino Linotype"/>
          <w:i/>
          <w:color w:val="000000"/>
          <w:sz w:val="24"/>
          <w:szCs w:val="24"/>
        </w:rPr>
        <w:t>” (Sic)</w:t>
      </w:r>
    </w:p>
    <w:p w14:paraId="3602008E" w14:textId="77777777" w:rsidR="000D134C" w:rsidRPr="005773C2" w:rsidRDefault="000D134C" w:rsidP="005C2A3E">
      <w:pPr>
        <w:spacing w:after="0" w:line="360" w:lineRule="auto"/>
        <w:ind w:right="567"/>
        <w:contextualSpacing/>
        <w:jc w:val="both"/>
        <w:rPr>
          <w:rFonts w:ascii="Palatino Linotype" w:eastAsia="Times New Roman" w:hAnsi="Palatino Linotype" w:cs="Palatino Linotype"/>
          <w:b/>
          <w:i/>
          <w:color w:val="000000"/>
          <w:lang w:eastAsia="es-MX"/>
        </w:rPr>
      </w:pPr>
    </w:p>
    <w:p w14:paraId="05DC1A63" w14:textId="77777777" w:rsidR="000D134C" w:rsidRPr="005773C2" w:rsidRDefault="000D134C" w:rsidP="005C2A3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CF06D" w14:textId="31D6E82A" w:rsidR="000D134C" w:rsidRPr="005773C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773C2">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07D062BD" w14:textId="7EF99455"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773C2">
        <w:rPr>
          <w:rFonts w:ascii="Palatino Linotype" w:eastAsia="Times New Roman" w:hAnsi="Palatino Linotype" w:cs="Palatino Linotype"/>
          <w:color w:val="000000"/>
          <w:sz w:val="24"/>
          <w:szCs w:val="24"/>
          <w:lang w:val="es-ES_tradnl" w:eastAsia="es-MX"/>
        </w:rPr>
        <w:t xml:space="preserve">Medio de impugnación que le fue turnado al </w:t>
      </w:r>
      <w:r w:rsidRPr="005773C2">
        <w:rPr>
          <w:rFonts w:ascii="Palatino Linotype" w:eastAsia="Times New Roman" w:hAnsi="Palatino Linotype" w:cs="Palatino Linotype"/>
          <w:b/>
          <w:color w:val="000000"/>
          <w:sz w:val="24"/>
          <w:szCs w:val="24"/>
          <w:lang w:val="es-ES_tradnl" w:eastAsia="es-MX"/>
        </w:rPr>
        <w:t>Comisionado Presidente José Martínez Vilchis</w:t>
      </w:r>
      <w:r w:rsidRPr="005773C2">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5773C2">
        <w:rPr>
          <w:rFonts w:ascii="Palatino Linotype" w:eastAsia="Times New Roman" w:hAnsi="Palatino Linotype" w:cs="Palatino Linotype"/>
          <w:b/>
          <w:color w:val="000000"/>
          <w:sz w:val="24"/>
          <w:szCs w:val="24"/>
          <w:lang w:val="es-ES_tradnl" w:eastAsia="es-MX"/>
        </w:rPr>
        <w:t xml:space="preserve"> </w:t>
      </w:r>
      <w:r w:rsidR="00EC30D5" w:rsidRPr="005773C2">
        <w:rPr>
          <w:rFonts w:ascii="Palatino Linotype" w:eastAsia="Times New Roman" w:hAnsi="Palatino Linotype" w:cs="Palatino Linotype"/>
          <w:b/>
          <w:color w:val="000000"/>
          <w:sz w:val="24"/>
          <w:szCs w:val="24"/>
          <w:lang w:val="es-ES_tradnl" w:eastAsia="es-MX"/>
        </w:rPr>
        <w:t>diecisiete de marzo de dos mil veintiséis</w:t>
      </w:r>
      <w:r w:rsidRPr="005773C2">
        <w:rPr>
          <w:rFonts w:ascii="Palatino Linotype" w:eastAsia="Times New Roman" w:hAnsi="Palatino Linotype" w:cs="Palatino Linotype"/>
          <w:color w:val="000000"/>
          <w:sz w:val="24"/>
          <w:szCs w:val="24"/>
          <w:lang w:val="es-ES_tradnl" w:eastAsia="es-MX"/>
        </w:rPr>
        <w:t xml:space="preserve">, </w:t>
      </w:r>
      <w:r w:rsidRPr="005773C2">
        <w:rPr>
          <w:rFonts w:ascii="Palatino Linotype" w:eastAsia="Times New Roman" w:hAnsi="Palatino Linotype" w:cs="Palatino Linotype"/>
          <w:sz w:val="24"/>
          <w:szCs w:val="24"/>
          <w:lang w:val="es-ES_tradnl" w:eastAsia="es-MX"/>
        </w:rPr>
        <w:t>otorgándose</w:t>
      </w:r>
      <w:r w:rsidRPr="005773C2">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5773C2"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5773C2"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773C2">
        <w:rPr>
          <w:rFonts w:ascii="Palatino Linotype" w:eastAsia="Times New Roman" w:hAnsi="Palatino Linotype" w:cs="Times New Roman"/>
          <w:b/>
          <w:color w:val="000000" w:themeColor="text1"/>
          <w:sz w:val="28"/>
          <w:szCs w:val="28"/>
          <w:lang w:val="es-ES_tradnl" w:eastAsia="es-MX"/>
        </w:rPr>
        <w:t>QUINTO. De la etapa de instrucción.</w:t>
      </w:r>
    </w:p>
    <w:p w14:paraId="3E6F8BB7" w14:textId="77777777" w:rsidR="00A416A0" w:rsidRPr="005773C2" w:rsidRDefault="00A416A0" w:rsidP="00A416A0">
      <w:pPr>
        <w:spacing w:after="0" w:line="360" w:lineRule="auto"/>
        <w:jc w:val="both"/>
        <w:rPr>
          <w:rFonts w:ascii="Palatino Linotype" w:eastAsia="Calibri" w:hAnsi="Palatino Linotype" w:cs="Calibri"/>
          <w:sz w:val="24"/>
          <w:szCs w:val="24"/>
          <w:lang w:eastAsia="es-MX"/>
        </w:rPr>
      </w:pPr>
      <w:r w:rsidRPr="005773C2">
        <w:rPr>
          <w:rFonts w:ascii="Palatino Linotype" w:eastAsia="Calibri" w:hAnsi="Palatino Linotype" w:cs="Arial"/>
          <w:sz w:val="24"/>
          <w:szCs w:val="24"/>
          <w:lang w:eastAsia="es-MX"/>
        </w:rPr>
        <w:t>De las constancias que obran en el expediente electrónico del SAIMEX, se advierte que el Sujeto Obligado fue omiso al rendir su informe justificado. De igual manera, se advierte que el Recurrente</w:t>
      </w:r>
      <w:r w:rsidRPr="005773C2">
        <w:rPr>
          <w:rFonts w:ascii="Palatino Linotype" w:eastAsia="Calibri" w:hAnsi="Palatino Linotype" w:cs="Arial"/>
          <w:b/>
          <w:sz w:val="24"/>
          <w:szCs w:val="24"/>
          <w:lang w:eastAsia="es-MX"/>
        </w:rPr>
        <w:t>,</w:t>
      </w:r>
      <w:r w:rsidRPr="005773C2">
        <w:rPr>
          <w:rFonts w:ascii="Palatino Linotype" w:eastAsia="Calibri" w:hAnsi="Palatino Linotype" w:cs="Arial"/>
          <w:sz w:val="24"/>
          <w:szCs w:val="24"/>
          <w:lang w:eastAsia="es-MX"/>
        </w:rPr>
        <w:t xml:space="preserve"> omitió rendir dentro del término de Ley, las manifestaciones que a sus intereses conviniera.</w:t>
      </w:r>
    </w:p>
    <w:p w14:paraId="584FC206" w14:textId="77777777" w:rsidR="00A416A0" w:rsidRPr="005773C2" w:rsidRDefault="00A416A0" w:rsidP="00A416A0">
      <w:pPr>
        <w:spacing w:after="0" w:line="360" w:lineRule="auto"/>
        <w:jc w:val="both"/>
        <w:rPr>
          <w:rFonts w:ascii="Palatino Linotype" w:eastAsia="Calibri" w:hAnsi="Palatino Linotype" w:cs="Arial"/>
          <w:sz w:val="24"/>
          <w:szCs w:val="24"/>
          <w:lang w:eastAsia="es-MX"/>
        </w:rPr>
      </w:pPr>
    </w:p>
    <w:p w14:paraId="06D33228" w14:textId="77777777" w:rsidR="00A416A0" w:rsidRPr="005773C2" w:rsidRDefault="00A416A0" w:rsidP="00A416A0">
      <w:pPr>
        <w:spacing w:after="0" w:line="360" w:lineRule="auto"/>
        <w:jc w:val="both"/>
        <w:rPr>
          <w:rFonts w:ascii="Palatino Linotype" w:eastAsia="Calibri" w:hAnsi="Palatino Linotype" w:cs="Arial"/>
          <w:sz w:val="24"/>
          <w:szCs w:val="24"/>
          <w:lang w:eastAsia="es-MX"/>
        </w:rPr>
      </w:pPr>
      <w:r w:rsidRPr="005773C2">
        <w:rPr>
          <w:rFonts w:ascii="Palatino Linotype" w:eastAsia="Calibri" w:hAnsi="Palatino Linotype" w:cs="Arial"/>
          <w:sz w:val="24"/>
          <w:szCs w:val="24"/>
          <w:lang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F37D111" w14:textId="77777777" w:rsidR="00A416A0" w:rsidRPr="005773C2" w:rsidRDefault="00A416A0" w:rsidP="00A416A0">
      <w:pPr>
        <w:spacing w:after="0" w:line="360" w:lineRule="auto"/>
        <w:jc w:val="both"/>
        <w:rPr>
          <w:rFonts w:ascii="Palatino Linotype" w:eastAsia="Calibri" w:hAnsi="Palatino Linotype" w:cs="Arial"/>
          <w:b/>
          <w:sz w:val="28"/>
          <w:szCs w:val="28"/>
          <w:lang w:eastAsia="es-MX"/>
        </w:rPr>
      </w:pPr>
    </w:p>
    <w:p w14:paraId="4B5C5D48" w14:textId="77777777" w:rsidR="00A416A0" w:rsidRPr="005773C2" w:rsidRDefault="00A416A0" w:rsidP="00A416A0">
      <w:pPr>
        <w:spacing w:after="0" w:line="360" w:lineRule="auto"/>
        <w:jc w:val="both"/>
        <w:rPr>
          <w:rFonts w:ascii="Palatino Linotype" w:eastAsia="Calibri" w:hAnsi="Palatino Linotype" w:cs="Arial"/>
          <w:b/>
          <w:sz w:val="28"/>
          <w:szCs w:val="28"/>
          <w:lang w:eastAsia="es-MX"/>
        </w:rPr>
      </w:pPr>
      <w:r w:rsidRPr="005773C2">
        <w:rPr>
          <w:rFonts w:ascii="Palatino Linotype" w:eastAsia="Calibri" w:hAnsi="Palatino Linotype" w:cs="Arial"/>
          <w:b/>
          <w:sz w:val="28"/>
          <w:szCs w:val="28"/>
          <w:lang w:eastAsia="es-MX"/>
        </w:rPr>
        <w:t>SEXTO. Del Cierre de Instrucción.</w:t>
      </w:r>
    </w:p>
    <w:p w14:paraId="31736069" w14:textId="3C1E9DC8" w:rsidR="00A416A0" w:rsidRPr="005773C2" w:rsidRDefault="00A416A0" w:rsidP="00A416A0">
      <w:pPr>
        <w:spacing w:after="0" w:line="360" w:lineRule="auto"/>
        <w:jc w:val="both"/>
        <w:rPr>
          <w:rFonts w:ascii="Palatino Linotype" w:eastAsia="Calibri" w:hAnsi="Palatino Linotype" w:cs="Arial"/>
          <w:sz w:val="24"/>
          <w:szCs w:val="24"/>
          <w:lang w:eastAsia="es-MX"/>
        </w:rPr>
      </w:pPr>
      <w:r w:rsidRPr="005773C2">
        <w:rPr>
          <w:rFonts w:ascii="Palatino Linotype" w:eastAsia="Calibri" w:hAnsi="Palatino Linotype" w:cs="Arial"/>
          <w:sz w:val="24"/>
          <w:szCs w:val="24"/>
          <w:lang w:eastAsia="es-MX"/>
        </w:rPr>
        <w:t xml:space="preserve">Por lo que una vez transcurrido el periodo otorgado a las partes de siete días hábiles para realizar sus manifestaciones en el acuerdo de admisión, y no habiendo prueba pendiente </w:t>
      </w:r>
      <w:r w:rsidRPr="005773C2">
        <w:rPr>
          <w:rFonts w:ascii="Palatino Linotype" w:eastAsia="Calibri" w:hAnsi="Palatino Linotype" w:cs="Arial"/>
          <w:sz w:val="24"/>
          <w:szCs w:val="24"/>
          <w:lang w:eastAsia="es-MX"/>
        </w:rPr>
        <w:lastRenderedPageBreak/>
        <w:t xml:space="preserve">por desahogar, ni que documentos que integrar al expediente electrónico, se decretó el cierre de instrucción en fecha </w:t>
      </w:r>
      <w:r w:rsidR="003A40D5" w:rsidRPr="005773C2">
        <w:rPr>
          <w:rFonts w:ascii="Palatino Linotype" w:eastAsia="Calibri" w:hAnsi="Palatino Linotype" w:cs="Arial"/>
          <w:b/>
          <w:sz w:val="24"/>
          <w:szCs w:val="24"/>
          <w:lang w:eastAsia="es-MX"/>
        </w:rPr>
        <w:t>nueve de abril</w:t>
      </w:r>
      <w:r w:rsidRPr="005773C2">
        <w:rPr>
          <w:rFonts w:ascii="Palatino Linotype" w:eastAsia="Calibri" w:hAnsi="Palatino Linotype" w:cs="Arial"/>
          <w:b/>
          <w:sz w:val="24"/>
          <w:szCs w:val="24"/>
          <w:lang w:eastAsia="es-MX"/>
        </w:rPr>
        <w:t xml:space="preserve"> de dos mil veintiséis</w:t>
      </w:r>
      <w:r w:rsidRPr="005773C2">
        <w:rPr>
          <w:rFonts w:ascii="Palatino Linotype" w:eastAsia="Calibri" w:hAnsi="Palatino Linotype" w:cs="Arial"/>
          <w:sz w:val="24"/>
          <w:szCs w:val="24"/>
          <w:lang w:eastAsia="es-MX"/>
        </w:rPr>
        <w:t>, en términos del artículo 185 fracción VI de la Ley de Transparencia y Acceso a la Información Pública del Estado de México y Municipios, ordenándose turnar el expediente a la resolución que en derecho proceda.</w:t>
      </w:r>
    </w:p>
    <w:p w14:paraId="32465A09"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4FF8E675" w14:textId="77777777" w:rsidR="00A416A0" w:rsidRPr="005773C2" w:rsidRDefault="00A416A0" w:rsidP="00A416A0">
      <w:pPr>
        <w:spacing w:after="0" w:line="360" w:lineRule="auto"/>
        <w:jc w:val="center"/>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b/>
          <w:sz w:val="28"/>
          <w:szCs w:val="28"/>
          <w:lang w:eastAsia="es-MX"/>
        </w:rPr>
        <w:t xml:space="preserve">C O N S I D E R A N D O </w:t>
      </w:r>
    </w:p>
    <w:p w14:paraId="1AADF285"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1E3D8DE4" w14:textId="77777777" w:rsidR="00A416A0" w:rsidRPr="005773C2" w:rsidRDefault="00A416A0" w:rsidP="00A416A0">
      <w:pPr>
        <w:spacing w:after="0" w:line="360" w:lineRule="auto"/>
        <w:jc w:val="both"/>
        <w:rPr>
          <w:rFonts w:ascii="Palatino Linotype" w:eastAsia="Palatino Linotype" w:hAnsi="Palatino Linotype" w:cs="Palatino Linotype"/>
          <w:sz w:val="28"/>
          <w:szCs w:val="24"/>
          <w:lang w:eastAsia="es-MX"/>
        </w:rPr>
      </w:pPr>
      <w:r w:rsidRPr="005773C2">
        <w:rPr>
          <w:rFonts w:ascii="Palatino Linotype" w:eastAsia="Palatino Linotype" w:hAnsi="Palatino Linotype" w:cs="Palatino Linotype"/>
          <w:b/>
          <w:sz w:val="28"/>
          <w:szCs w:val="24"/>
          <w:lang w:eastAsia="es-MX"/>
        </w:rPr>
        <w:t>PRIMERO. De la competencia</w:t>
      </w:r>
      <w:r w:rsidRPr="005773C2">
        <w:rPr>
          <w:rFonts w:ascii="Palatino Linotype" w:eastAsia="Palatino Linotype" w:hAnsi="Palatino Linotype" w:cs="Palatino Linotype"/>
          <w:sz w:val="28"/>
          <w:szCs w:val="24"/>
          <w:lang w:eastAsia="es-MX"/>
        </w:rPr>
        <w:t>.</w:t>
      </w:r>
    </w:p>
    <w:p w14:paraId="3A7938CC" w14:textId="77777777" w:rsidR="00A416A0" w:rsidRPr="005773C2" w:rsidRDefault="00A416A0" w:rsidP="00A416A0">
      <w:pPr>
        <w:spacing w:after="0" w:line="360" w:lineRule="auto"/>
        <w:jc w:val="both"/>
        <w:rPr>
          <w:rFonts w:ascii="Palatino Linotype" w:eastAsia="Calibri" w:hAnsi="Palatino Linotype" w:cs="Calibri"/>
          <w:sz w:val="24"/>
          <w:lang w:val="es-ES" w:eastAsia="es-MX"/>
        </w:rPr>
      </w:pPr>
      <w:r w:rsidRPr="005773C2">
        <w:rPr>
          <w:rFonts w:ascii="Palatino Linotype" w:eastAsia="Calibri" w:hAnsi="Palatino Linotype" w:cs="Calibri"/>
          <w:sz w:val="24"/>
          <w:lang w:val="es-ES"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84C333"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1B41543F" w14:textId="77777777" w:rsidR="00A416A0" w:rsidRPr="005773C2" w:rsidRDefault="00A416A0" w:rsidP="00A416A0">
      <w:pPr>
        <w:spacing w:after="0" w:line="360" w:lineRule="auto"/>
        <w:jc w:val="both"/>
        <w:rPr>
          <w:rFonts w:ascii="Palatino Linotype" w:eastAsia="Palatino Linotype" w:hAnsi="Palatino Linotype" w:cs="Palatino Linotype"/>
          <w:sz w:val="28"/>
          <w:szCs w:val="24"/>
          <w:lang w:eastAsia="es-MX"/>
        </w:rPr>
      </w:pPr>
      <w:r w:rsidRPr="005773C2">
        <w:rPr>
          <w:rFonts w:ascii="Palatino Linotype" w:eastAsia="Palatino Linotype" w:hAnsi="Palatino Linotype" w:cs="Palatino Linotype"/>
          <w:b/>
          <w:sz w:val="28"/>
          <w:szCs w:val="24"/>
          <w:lang w:eastAsia="es-MX"/>
        </w:rPr>
        <w:t>SEGUNDO. De la Oportunidad y Procedencia del Recurso de Revisión</w:t>
      </w:r>
      <w:r w:rsidRPr="005773C2">
        <w:rPr>
          <w:rFonts w:ascii="Palatino Linotype" w:eastAsia="Palatino Linotype" w:hAnsi="Palatino Linotype" w:cs="Palatino Linotype"/>
          <w:sz w:val="28"/>
          <w:szCs w:val="24"/>
          <w:lang w:eastAsia="es-MX"/>
        </w:rPr>
        <w:t>.</w:t>
      </w:r>
    </w:p>
    <w:p w14:paraId="3449AAC3" w14:textId="77777777" w:rsidR="00A416A0" w:rsidRPr="005773C2" w:rsidRDefault="00A416A0" w:rsidP="00A416A0">
      <w:pPr>
        <w:spacing w:after="0" w:line="360" w:lineRule="auto"/>
        <w:jc w:val="both"/>
        <w:rPr>
          <w:rFonts w:ascii="Palatino Linotype" w:eastAsia="Palatino Linotype" w:hAnsi="Palatino Linotype" w:cs="Palatino Linotype"/>
          <w:b/>
          <w:sz w:val="24"/>
          <w:szCs w:val="24"/>
          <w:lang w:eastAsia="es-MX"/>
        </w:rPr>
      </w:pPr>
      <w:r w:rsidRPr="005773C2">
        <w:rPr>
          <w:rFonts w:ascii="Palatino Linotype" w:eastAsia="Palatino Linotype" w:hAnsi="Palatino Linotype" w:cs="Palatino Linotype"/>
          <w:sz w:val="24"/>
          <w:szCs w:val="24"/>
          <w:lang w:eastAsia="es-MX"/>
        </w:rPr>
        <w:t xml:space="preserve">El artículo 178 de la Ley de Transparencia y Acceso a la Información Pública del Estado de México y Municipios establece que el solicitante podrá interponer, por sí mismo o a </w:t>
      </w:r>
      <w:r w:rsidRPr="005773C2">
        <w:rPr>
          <w:rFonts w:ascii="Palatino Linotype" w:eastAsia="Palatino Linotype" w:hAnsi="Palatino Linotype" w:cs="Palatino Linotype"/>
          <w:sz w:val="24"/>
          <w:szCs w:val="24"/>
          <w:lang w:eastAsia="es-MX"/>
        </w:rPr>
        <w:lastRenderedPageBreak/>
        <w:t>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928C552"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7C26A364"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5773C2">
        <w:rPr>
          <w:rFonts w:ascii="Palatino Linotype" w:eastAsia="Palatino Linotype" w:hAnsi="Palatino Linotype" w:cs="Palatino Linotype"/>
          <w:b/>
          <w:sz w:val="24"/>
          <w:szCs w:val="24"/>
          <w:lang w:eastAsia="es-MX"/>
        </w:rPr>
        <w:t>Recurrente</w:t>
      </w:r>
      <w:r w:rsidRPr="005773C2">
        <w:rPr>
          <w:rFonts w:ascii="Palatino Linotype" w:eastAsia="Palatino Linotype" w:hAnsi="Palatino Linotype" w:cs="Palatino Linotype"/>
          <w:sz w:val="24"/>
          <w:szCs w:val="24"/>
          <w:lang w:eastAsia="es-MX"/>
        </w:rPr>
        <w:t xml:space="preserve">, por lo que, en el presente caso, al haber sido presentado el recurso de revisión vía </w:t>
      </w:r>
      <w:r w:rsidRPr="005773C2">
        <w:rPr>
          <w:rFonts w:ascii="Palatino Linotype" w:eastAsia="Palatino Linotype" w:hAnsi="Palatino Linotype" w:cs="Palatino Linotype"/>
          <w:b/>
          <w:sz w:val="24"/>
          <w:szCs w:val="24"/>
          <w:lang w:eastAsia="es-MX"/>
        </w:rPr>
        <w:t>SAIMEX</w:t>
      </w:r>
      <w:r w:rsidRPr="005773C2">
        <w:rPr>
          <w:rFonts w:ascii="Palatino Linotype" w:eastAsia="Palatino Linotype" w:hAnsi="Palatino Linotype" w:cs="Palatino Linotype"/>
          <w:sz w:val="24"/>
          <w:szCs w:val="24"/>
          <w:lang w:eastAsia="es-MX"/>
        </w:rPr>
        <w:t>, dicho requisito resulta innecesario.</w:t>
      </w:r>
    </w:p>
    <w:p w14:paraId="715733E7"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396F196F" w14:textId="77777777" w:rsidR="00A416A0" w:rsidRPr="005773C2" w:rsidRDefault="00A416A0" w:rsidP="00A416A0">
      <w:pPr>
        <w:spacing w:before="240" w:after="240" w:line="360" w:lineRule="auto"/>
        <w:jc w:val="both"/>
        <w:rPr>
          <w:rFonts w:ascii="Palatino Linotype" w:eastAsia="Palatino Linotype" w:hAnsi="Palatino Linotype" w:cs="Palatino Linotype"/>
          <w:i/>
          <w:sz w:val="24"/>
          <w:szCs w:val="24"/>
          <w:lang w:eastAsia="es-MX"/>
        </w:rPr>
      </w:pPr>
      <w:r w:rsidRPr="005773C2">
        <w:rPr>
          <w:rFonts w:ascii="Palatino Linotype" w:eastAsia="Palatino Linotype" w:hAnsi="Palatino Linotype" w:cs="Palatino Linotype"/>
          <w:sz w:val="24"/>
          <w:szCs w:val="24"/>
          <w:lang w:eastAsia="es-MX"/>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hipótesis jurídica que se actualiza en este caso, aunado a que la parte </w:t>
      </w:r>
      <w:r w:rsidRPr="005773C2">
        <w:rPr>
          <w:rFonts w:ascii="Palatino Linotype" w:eastAsia="Palatino Linotype" w:hAnsi="Palatino Linotype" w:cs="Palatino Linotype"/>
          <w:b/>
          <w:sz w:val="24"/>
          <w:szCs w:val="24"/>
          <w:lang w:eastAsia="es-MX"/>
        </w:rPr>
        <w:t>Recurrente</w:t>
      </w:r>
      <w:r w:rsidRPr="005773C2">
        <w:rPr>
          <w:rFonts w:ascii="Palatino Linotype" w:eastAsia="Palatino Linotype" w:hAnsi="Palatino Linotype" w:cs="Palatino Linotype"/>
          <w:sz w:val="24"/>
          <w:szCs w:val="24"/>
          <w:lang w:eastAsia="es-MX"/>
        </w:rPr>
        <w:t xml:space="preserve"> combate falta de trámite por 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y expresa motivos de inconformidad en contra de dicha circunstancia.</w:t>
      </w:r>
    </w:p>
    <w:p w14:paraId="762F7C2E"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16BBEE25"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2ABB79D"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50AFE863" w14:textId="77777777" w:rsidR="00A416A0" w:rsidRPr="005773C2" w:rsidRDefault="00A416A0" w:rsidP="00A416A0">
      <w:pPr>
        <w:widowControl w:val="0"/>
        <w:spacing w:after="0" w:line="360" w:lineRule="auto"/>
        <w:jc w:val="both"/>
        <w:rPr>
          <w:rFonts w:ascii="Palatino Linotype" w:eastAsia="Palatino Linotype" w:hAnsi="Palatino Linotype" w:cs="Palatino Linotype"/>
          <w:b/>
          <w:sz w:val="28"/>
          <w:szCs w:val="28"/>
          <w:lang w:eastAsia="es-MX"/>
        </w:rPr>
      </w:pPr>
      <w:r w:rsidRPr="005773C2">
        <w:rPr>
          <w:rFonts w:ascii="Palatino Linotype" w:eastAsia="Palatino Linotype" w:hAnsi="Palatino Linotype" w:cs="Palatino Linotype"/>
          <w:b/>
          <w:sz w:val="28"/>
          <w:szCs w:val="28"/>
          <w:lang w:eastAsia="es-MX"/>
        </w:rPr>
        <w:t xml:space="preserve">TERCERO. Estudio y resolución del asunto. </w:t>
      </w:r>
    </w:p>
    <w:p w14:paraId="0772FC74" w14:textId="77777777" w:rsidR="00A416A0" w:rsidRPr="005773C2" w:rsidRDefault="00A416A0" w:rsidP="00A416A0">
      <w:pPr>
        <w:spacing w:after="0" w:line="360" w:lineRule="auto"/>
        <w:jc w:val="both"/>
        <w:rPr>
          <w:rFonts w:ascii="Palatino Linotype" w:eastAsia="Palatino Linotype" w:hAnsi="Palatino Linotype" w:cs="Palatino Linotype"/>
          <w:color w:val="000000"/>
          <w:sz w:val="24"/>
          <w:szCs w:val="24"/>
          <w:lang w:eastAsia="es-MX"/>
        </w:rPr>
      </w:pPr>
      <w:r w:rsidRPr="005773C2">
        <w:rPr>
          <w:rFonts w:ascii="Palatino Linotype" w:eastAsia="Palatino Linotype" w:hAnsi="Palatino Linotype" w:cs="Palatino Linotype"/>
          <w:sz w:val="24"/>
          <w:szCs w:val="24"/>
          <w:lang w:eastAsia="es-MX"/>
        </w:rPr>
        <w:t xml:space="preserve">El derecho de acceso a la información pública es un </w:t>
      </w:r>
      <w:r w:rsidRPr="005773C2">
        <w:rPr>
          <w:rFonts w:ascii="Palatino Linotype" w:eastAsia="Palatino Linotype" w:hAnsi="Palatino Linotype" w:cs="Palatino Linotype"/>
          <w:color w:val="000000"/>
          <w:sz w:val="24"/>
          <w:szCs w:val="24"/>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14BA37D"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2DCBD8D7"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Por lo que en cumplimiento a las obligaciones que establece nuestra Carta Magna, la Constitución Estatal y la Ley de la materia le imponen, 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fue omiso en dar respuesta a la solicitud de información dentro de los plazos establecidos en la Ley de Transparencia Loca.</w:t>
      </w:r>
    </w:p>
    <w:p w14:paraId="004A6F33"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4298A8C1"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lastRenderedPageBreak/>
        <w:t xml:space="preserve">Asimismo, los motivos o razones de inconformidad expuestos por la parte Recurrente, se adolece de la falta de respuesta a la solicitud de acceso a la información formulada, por lo que se actualiza la causal de procedencia establecida </w:t>
      </w:r>
      <w:r w:rsidRPr="005773C2">
        <w:rPr>
          <w:rFonts w:ascii="Palatino Linotype" w:eastAsia="Palatino Linotype" w:hAnsi="Palatino Linotype" w:cs="Palatino Linotype"/>
          <w:color w:val="000000"/>
          <w:sz w:val="24"/>
          <w:szCs w:val="24"/>
          <w:lang w:eastAsia="es-MX"/>
        </w:rPr>
        <w:t>en la fracción VII del artículo 179 de la Ley de Transparencia y Acceso a la Información Pública del Estado de México y Municipios,</w:t>
      </w:r>
      <w:r w:rsidRPr="005773C2">
        <w:rPr>
          <w:rFonts w:ascii="Palatino Linotype" w:eastAsia="Palatino Linotype" w:hAnsi="Palatino Linotype" w:cs="Palatino Linotype"/>
          <w:b/>
          <w:color w:val="000000"/>
          <w:sz w:val="24"/>
          <w:szCs w:val="24"/>
          <w:lang w:eastAsia="es-MX"/>
        </w:rPr>
        <w:t xml:space="preserve"> </w:t>
      </w:r>
      <w:r w:rsidRPr="005773C2">
        <w:rPr>
          <w:rFonts w:ascii="Palatino Linotype" w:eastAsia="Palatino Linotype" w:hAnsi="Palatino Linotype" w:cs="Palatino Linotype"/>
          <w:color w:val="000000"/>
          <w:sz w:val="24"/>
          <w:szCs w:val="24"/>
          <w:lang w:eastAsia="es-MX"/>
        </w:rPr>
        <w:t>y</w:t>
      </w:r>
      <w:r w:rsidRPr="005773C2">
        <w:rPr>
          <w:rFonts w:ascii="Palatino Linotype" w:eastAsia="Palatino Linotype" w:hAnsi="Palatino Linotype" w:cs="Palatino Linotype"/>
          <w:b/>
          <w:color w:val="000000"/>
          <w:sz w:val="24"/>
          <w:szCs w:val="24"/>
          <w:lang w:eastAsia="es-MX"/>
        </w:rPr>
        <w:t xml:space="preserve"> </w:t>
      </w:r>
      <w:r w:rsidRPr="005773C2">
        <w:rPr>
          <w:rFonts w:ascii="Palatino Linotype" w:eastAsia="Palatino Linotype" w:hAnsi="Palatino Linotype" w:cs="Palatino Linotype"/>
          <w:sz w:val="24"/>
          <w:szCs w:val="24"/>
          <w:lang w:eastAsia="es-MX"/>
        </w:rPr>
        <w:t>por tanto, procedente la interposición del recurso de revisión.</w:t>
      </w:r>
    </w:p>
    <w:p w14:paraId="758EDAEA"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04713354"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En consecuencia, las razones o motivos de inconformidad hechos valer, resultan </w:t>
      </w:r>
      <w:r w:rsidRPr="005773C2">
        <w:rPr>
          <w:rFonts w:ascii="Palatino Linotype" w:eastAsia="Palatino Linotype" w:hAnsi="Palatino Linotype" w:cs="Palatino Linotype"/>
          <w:b/>
          <w:sz w:val="24"/>
          <w:szCs w:val="24"/>
          <w:lang w:eastAsia="es-MX"/>
        </w:rPr>
        <w:t>fundadas y procedentes</w:t>
      </w:r>
      <w:r w:rsidRPr="005773C2">
        <w:rPr>
          <w:rFonts w:ascii="Palatino Linotype" w:eastAsia="Palatino Linotype" w:hAnsi="Palatino Linotype" w:cs="Palatino Linotype"/>
          <w:sz w:val="24"/>
          <w:szCs w:val="24"/>
          <w:lang w:eastAsia="es-MX"/>
        </w:rPr>
        <w:t xml:space="preserve">, en virtud de las constancias que obran en el expediente electrónico SAIMEX, se acredita que 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fue omiso en responder la solicitud de información hecha por la parte </w:t>
      </w:r>
      <w:r w:rsidRPr="005773C2">
        <w:rPr>
          <w:rFonts w:ascii="Palatino Linotype" w:eastAsia="Palatino Linotype" w:hAnsi="Palatino Linotype" w:cs="Palatino Linotype"/>
          <w:b/>
          <w:sz w:val="24"/>
          <w:szCs w:val="24"/>
          <w:lang w:eastAsia="es-MX"/>
        </w:rPr>
        <w:t>Recurrente</w:t>
      </w:r>
      <w:r w:rsidRPr="005773C2">
        <w:rPr>
          <w:rFonts w:ascii="Palatino Linotype" w:eastAsia="Palatino Linotype" w:hAnsi="Palatino Linotype" w:cs="Palatino Linotype"/>
          <w:sz w:val="24"/>
          <w:szCs w:val="24"/>
          <w:lang w:eastAsia="es-MX"/>
        </w:rPr>
        <w:t xml:space="preserve">, es decir, incumplió las obligaciones que se le imponen como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de conformidad con lo establecido en los artículos 4, 12, 23 fracción IV, 24 último párrafo y 160 de la Ley de Transparencia y Acceso a la Información Pública del Estado de México y Municipios.</w:t>
      </w:r>
    </w:p>
    <w:p w14:paraId="05CADBC9"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525E5F52" w14:textId="77777777" w:rsidR="00A416A0" w:rsidRPr="005773C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97BBA90" w14:textId="77777777" w:rsidR="00A416A0" w:rsidRPr="005773C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AB0DDC2" w14:textId="77777777" w:rsidR="00A416A0" w:rsidRPr="005773C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E384534" w14:textId="77777777" w:rsidR="00A416A0" w:rsidRPr="005773C2"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FC39AAE" w14:textId="77777777" w:rsidR="00A416A0" w:rsidRPr="005773C2" w:rsidRDefault="00A416A0" w:rsidP="00A416A0">
      <w:pPr>
        <w:spacing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E11E74B"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4FE2F93E" w14:textId="77777777" w:rsidR="00A416A0" w:rsidRPr="005773C2" w:rsidRDefault="00A416A0" w:rsidP="00A416A0">
      <w:pPr>
        <w:spacing w:after="0" w:line="360" w:lineRule="auto"/>
        <w:jc w:val="both"/>
        <w:rPr>
          <w:rFonts w:ascii="Palatino Linotype" w:eastAsia="Palatino Linotype" w:hAnsi="Palatino Linotype" w:cs="Palatino Linotype"/>
          <w:i/>
          <w:sz w:val="24"/>
          <w:szCs w:val="24"/>
          <w:lang w:eastAsia="es-MX"/>
        </w:rPr>
      </w:pPr>
      <w:r w:rsidRPr="005773C2">
        <w:rPr>
          <w:rFonts w:ascii="Palatino Linotype" w:eastAsia="Palatino Linotype" w:hAnsi="Palatino Linotype" w:cs="Palatino Linotype"/>
          <w:sz w:val="24"/>
          <w:szCs w:val="24"/>
          <w:lang w:eastAsia="es-MX"/>
        </w:rPr>
        <w:t xml:space="preserve">En consecuencia, según lo dispuesto por el artículo 150 de la Ley de Transparencia y Acceso a la Información Pública del Estado de México y Municipios, el </w:t>
      </w:r>
      <w:r w:rsidRPr="005773C2">
        <w:rPr>
          <w:rFonts w:ascii="Palatino Linotype" w:eastAsia="Palatino Linotype" w:hAnsi="Palatino Linotype" w:cs="Palatino Linotype"/>
          <w:i/>
          <w:sz w:val="24"/>
          <w:szCs w:val="24"/>
          <w:lang w:eastAsia="es-MX"/>
        </w:rPr>
        <w:t xml:space="preserve">procedimiento de acceso a la información es la garantía primaria del derecho en cuestión, </w:t>
      </w:r>
      <w:r w:rsidRPr="005773C2">
        <w:rPr>
          <w:rFonts w:ascii="Palatino Linotype" w:eastAsia="Palatino Linotype" w:hAnsi="Palatino Linotype" w:cs="Palatino Linotype"/>
          <w:sz w:val="24"/>
          <w:szCs w:val="24"/>
          <w:lang w:eastAsia="es-MX"/>
        </w:rPr>
        <w:t xml:space="preserve">por lo tanto, la falta de respuesta a una solicitud de acceso a la información constituye un incumplimiento del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a su deber de garantizar el derecho, lo que constituye una vulneración al mismo.</w:t>
      </w:r>
    </w:p>
    <w:p w14:paraId="5180A6EC"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4F909F0C"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lastRenderedPageBreak/>
        <w:t xml:space="preserve">Por lo que, en cumplimiento a esta resolución, el </w:t>
      </w:r>
      <w:r w:rsidRPr="005773C2">
        <w:rPr>
          <w:rFonts w:ascii="Palatino Linotype" w:eastAsia="Palatino Linotype" w:hAnsi="Palatino Linotype" w:cs="Palatino Linotype"/>
          <w:b/>
          <w:sz w:val="24"/>
          <w:szCs w:val="24"/>
          <w:lang w:eastAsia="es-MX"/>
        </w:rPr>
        <w:t xml:space="preserve">Sujeto Obligado </w:t>
      </w:r>
      <w:r w:rsidRPr="005773C2">
        <w:rPr>
          <w:rFonts w:ascii="Palatino Linotype" w:eastAsia="Palatino Linotype" w:hAnsi="Palatino Linotype" w:cs="Palatino Linotype"/>
          <w:sz w:val="24"/>
          <w:szCs w:val="24"/>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A327E1A"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7E1C971D"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29DE347D" w14:textId="77777777" w:rsidR="00A416A0" w:rsidRPr="005773C2" w:rsidRDefault="00A416A0" w:rsidP="00A416A0">
      <w:pPr>
        <w:numPr>
          <w:ilvl w:val="0"/>
          <w:numId w:val="29"/>
        </w:numPr>
        <w:spacing w:after="0" w:line="360" w:lineRule="auto"/>
        <w:jc w:val="both"/>
        <w:rPr>
          <w:rFonts w:ascii="Calibri" w:eastAsia="Calibri" w:hAnsi="Calibri" w:cs="Calibri"/>
          <w:b/>
          <w:sz w:val="28"/>
          <w:szCs w:val="28"/>
          <w:lang w:eastAsia="es-MX"/>
        </w:rPr>
      </w:pPr>
      <w:r w:rsidRPr="005773C2">
        <w:rPr>
          <w:rFonts w:ascii="Palatino Linotype" w:eastAsia="Palatino Linotype" w:hAnsi="Palatino Linotype" w:cs="Palatino Linotype"/>
          <w:b/>
          <w:sz w:val="28"/>
          <w:szCs w:val="28"/>
          <w:lang w:eastAsia="es-MX"/>
        </w:rPr>
        <w:t>De la clasificación de la información</w:t>
      </w:r>
    </w:p>
    <w:p w14:paraId="4C906A1D"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B43B80B" w14:textId="77777777" w:rsidR="00A416A0" w:rsidRPr="005773C2" w:rsidRDefault="00A416A0" w:rsidP="00A416A0">
      <w:pPr>
        <w:spacing w:line="360" w:lineRule="auto"/>
        <w:jc w:val="both"/>
        <w:rPr>
          <w:rFonts w:ascii="Palatino Linotype" w:eastAsia="Palatino Linotype" w:hAnsi="Palatino Linotype" w:cs="Palatino Linotype"/>
          <w:sz w:val="24"/>
          <w:szCs w:val="24"/>
          <w:lang w:eastAsia="es-MX"/>
        </w:rPr>
      </w:pPr>
    </w:p>
    <w:p w14:paraId="4FF87236"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La Ley de Transparencia y Acceso a la Información Pública del Estado de México y Municipios, en sus artículos 140 y 143 prevé los siguientes supuestos para clasificar la información como reservada o confidencial.</w:t>
      </w:r>
    </w:p>
    <w:p w14:paraId="094250E5"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50261B69" w14:textId="77777777" w:rsidR="00A416A0" w:rsidRPr="005773C2" w:rsidRDefault="00A416A0" w:rsidP="00A416A0">
      <w:pPr>
        <w:spacing w:line="360" w:lineRule="auto"/>
        <w:jc w:val="both"/>
        <w:rPr>
          <w:rFonts w:ascii="Palatino Linotype" w:eastAsia="Palatino Linotype" w:hAnsi="Palatino Linotype" w:cs="Palatino Linotype"/>
          <w:sz w:val="24"/>
          <w:szCs w:val="24"/>
          <w:lang w:eastAsia="es-MX"/>
        </w:rPr>
      </w:pPr>
      <w:bookmarkStart w:id="1" w:name="_gjdgxs" w:colFirst="0" w:colLast="0"/>
      <w:bookmarkEnd w:id="1"/>
      <w:r w:rsidRPr="005773C2">
        <w:rPr>
          <w:rFonts w:ascii="Palatino Linotype" w:eastAsia="Palatino Linotype" w:hAnsi="Palatino Linotype" w:cs="Palatino Linotype"/>
          <w:sz w:val="24"/>
          <w:szCs w:val="24"/>
          <w:lang w:eastAsia="es-MX"/>
        </w:rPr>
        <w:lastRenderedPageBreak/>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0F66A27"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6853404B"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CD66D30"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2927B284"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2F830E4"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36788AD9"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a concluir que, el caso particular se ajusta al supuesto previsto por la </w:t>
      </w:r>
      <w:r w:rsidRPr="005773C2">
        <w:rPr>
          <w:rFonts w:ascii="Palatino Linotype" w:eastAsia="Palatino Linotype" w:hAnsi="Palatino Linotype" w:cs="Palatino Linotype"/>
          <w:sz w:val="24"/>
          <w:szCs w:val="24"/>
          <w:lang w:eastAsia="es-MX"/>
        </w:rPr>
        <w:lastRenderedPageBreak/>
        <w:t>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9736F96" w14:textId="77777777" w:rsidR="00A416A0" w:rsidRPr="005773C2" w:rsidRDefault="00A416A0" w:rsidP="00A416A0">
      <w:pPr>
        <w:spacing w:line="360" w:lineRule="auto"/>
        <w:ind w:right="51"/>
        <w:jc w:val="both"/>
        <w:rPr>
          <w:rFonts w:ascii="Palatino Linotype" w:eastAsia="Palatino Linotype" w:hAnsi="Palatino Linotype" w:cs="Palatino Linotype"/>
          <w:sz w:val="24"/>
          <w:szCs w:val="24"/>
          <w:lang w:eastAsia="es-MX"/>
        </w:rPr>
      </w:pPr>
    </w:p>
    <w:p w14:paraId="6C8CB5A4" w14:textId="77777777" w:rsidR="00A416A0" w:rsidRPr="005773C2" w:rsidRDefault="00A416A0" w:rsidP="00A416A0">
      <w:pPr>
        <w:spacing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D2140D9" w14:textId="77777777" w:rsidR="00A416A0" w:rsidRPr="005773C2" w:rsidRDefault="00A416A0" w:rsidP="00A416A0">
      <w:pPr>
        <w:spacing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FC1B0CE"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4A89EEF"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43E61755"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773C2">
        <w:rPr>
          <w:rFonts w:ascii="Palatino Linotype" w:eastAsia="Palatino Linotype" w:hAnsi="Palatino Linotype" w:cs="Palatino Linotype"/>
          <w:i/>
          <w:sz w:val="24"/>
          <w:szCs w:val="24"/>
          <w:lang w:eastAsia="es-MX"/>
        </w:rPr>
        <w:t>.</w:t>
      </w:r>
    </w:p>
    <w:p w14:paraId="6D19EFEB"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1715F49F" w14:textId="77777777" w:rsidR="00A416A0" w:rsidRPr="005773C2" w:rsidRDefault="00A416A0" w:rsidP="00A416A0">
      <w:pPr>
        <w:numPr>
          <w:ilvl w:val="0"/>
          <w:numId w:val="25"/>
        </w:numPr>
        <w:tabs>
          <w:tab w:val="left" w:pos="7938"/>
        </w:tabs>
        <w:spacing w:after="0" w:line="360" w:lineRule="auto"/>
        <w:ind w:left="426"/>
        <w:jc w:val="both"/>
        <w:rPr>
          <w:rFonts w:ascii="Calibri" w:eastAsia="Calibri" w:hAnsi="Calibri" w:cs="Calibri"/>
          <w:b/>
          <w:sz w:val="28"/>
          <w:szCs w:val="28"/>
          <w:lang w:eastAsia="es-MX"/>
        </w:rPr>
      </w:pPr>
      <w:r w:rsidRPr="005773C2">
        <w:rPr>
          <w:rFonts w:ascii="Palatino Linotype" w:eastAsia="Palatino Linotype" w:hAnsi="Palatino Linotype" w:cs="Palatino Linotype"/>
          <w:b/>
          <w:sz w:val="28"/>
          <w:szCs w:val="28"/>
          <w:lang w:eastAsia="es-MX"/>
        </w:rPr>
        <w:t xml:space="preserve">De la vista a los órganos de control interno competentes </w:t>
      </w:r>
    </w:p>
    <w:p w14:paraId="4056411E" w14:textId="77777777" w:rsidR="00A416A0" w:rsidRPr="005773C2" w:rsidRDefault="00A416A0" w:rsidP="00A416A0">
      <w:pPr>
        <w:spacing w:line="360" w:lineRule="auto"/>
        <w:ind w:right="49"/>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Como ya se mencionó el</w:t>
      </w:r>
      <w:r w:rsidRPr="005773C2">
        <w:rPr>
          <w:rFonts w:ascii="Palatino Linotype" w:eastAsia="Palatino Linotype" w:hAnsi="Palatino Linotype" w:cs="Palatino Linotype"/>
          <w:b/>
          <w:sz w:val="24"/>
          <w:szCs w:val="24"/>
          <w:lang w:eastAsia="es-MX"/>
        </w:rPr>
        <w:t xml:space="preserve"> Sujeto Obligado</w:t>
      </w:r>
      <w:r w:rsidRPr="005773C2">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5773C2">
        <w:rPr>
          <w:rFonts w:ascii="Palatino Linotype" w:eastAsia="Palatino Linotype" w:hAnsi="Palatino Linotype" w:cs="Palatino Linotype"/>
          <w:b/>
          <w:sz w:val="24"/>
          <w:szCs w:val="24"/>
          <w:lang w:eastAsia="es-MX"/>
        </w:rPr>
        <w:t xml:space="preserve"> </w:t>
      </w:r>
      <w:r w:rsidRPr="005773C2">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0CEF12" w14:textId="77777777" w:rsidR="00A416A0" w:rsidRPr="005773C2" w:rsidRDefault="00A416A0" w:rsidP="00A416A0">
      <w:pPr>
        <w:spacing w:line="360" w:lineRule="auto"/>
        <w:ind w:right="49"/>
        <w:jc w:val="both"/>
        <w:rPr>
          <w:rFonts w:ascii="Palatino Linotype" w:eastAsia="Palatino Linotype" w:hAnsi="Palatino Linotype" w:cs="Palatino Linotype"/>
          <w:sz w:val="24"/>
          <w:szCs w:val="24"/>
          <w:lang w:eastAsia="es-MX"/>
        </w:rPr>
      </w:pPr>
    </w:p>
    <w:p w14:paraId="333C50D8" w14:textId="6D0DEB68"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 xml:space="preserve">Por lo tanto, de lo expuesto y con fundamento en la fracción IV del artículo 186, de la Ley de Transparencia y Acceso a la Información Pública del Estado de México y Municipios, se </w:t>
      </w:r>
      <w:r w:rsidRPr="005773C2">
        <w:rPr>
          <w:rFonts w:ascii="Palatino Linotype" w:eastAsia="Palatino Linotype" w:hAnsi="Palatino Linotype" w:cs="Palatino Linotype"/>
          <w:b/>
          <w:sz w:val="24"/>
          <w:szCs w:val="24"/>
          <w:lang w:eastAsia="es-MX"/>
        </w:rPr>
        <w:t>ORDENA</w:t>
      </w:r>
      <w:r w:rsidRPr="005773C2">
        <w:rPr>
          <w:rFonts w:ascii="Palatino Linotype" w:eastAsia="Palatino Linotype" w:hAnsi="Palatino Linotype" w:cs="Palatino Linotype"/>
          <w:sz w:val="24"/>
          <w:szCs w:val="24"/>
          <w:lang w:eastAsia="es-MX"/>
        </w:rPr>
        <w:t xml:space="preserve"> al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atienda la solicitud de información </w:t>
      </w:r>
      <w:r w:rsidR="003A40D5" w:rsidRPr="005773C2">
        <w:rPr>
          <w:rFonts w:ascii="Palatino Linotype" w:eastAsia="Palatino Linotype" w:hAnsi="Palatino Linotype" w:cs="Palatino Linotype"/>
          <w:b/>
          <w:bCs/>
          <w:sz w:val="24"/>
          <w:szCs w:val="24"/>
          <w:lang w:eastAsia="es-MX"/>
        </w:rPr>
        <w:t>00649/TEPOTZOT/IP/2026</w:t>
      </w:r>
      <w:r w:rsidRPr="005773C2">
        <w:rPr>
          <w:rFonts w:ascii="Palatino Linotype" w:eastAsia="Palatino Linotype" w:hAnsi="Palatino Linotype" w:cs="Palatino Linotype"/>
          <w:b/>
          <w:sz w:val="24"/>
          <w:szCs w:val="24"/>
          <w:lang w:eastAsia="es-MX"/>
        </w:rPr>
        <w:t>,</w:t>
      </w:r>
      <w:r w:rsidRPr="005773C2">
        <w:rPr>
          <w:rFonts w:ascii="Palatino Linotype" w:eastAsia="Palatino Linotype" w:hAnsi="Palatino Linotype" w:cs="Palatino Linotype"/>
          <w:sz w:val="24"/>
          <w:szCs w:val="24"/>
          <w:lang w:eastAsia="es-MX"/>
        </w:rPr>
        <w:t xml:space="preserve"> que han sido materia del presente fallo</w:t>
      </w:r>
    </w:p>
    <w:p w14:paraId="2BF63700"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sz w:val="24"/>
          <w:szCs w:val="24"/>
          <w:lang w:eastAsia="es-MX"/>
        </w:rPr>
        <w:t>Por lo antes expuesto y fundado es de resolverse y,</w:t>
      </w:r>
    </w:p>
    <w:p w14:paraId="1FA8CE3F"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29FD1929" w14:textId="77777777" w:rsidR="00A416A0" w:rsidRPr="005773C2"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r w:rsidRPr="005773C2">
        <w:rPr>
          <w:rFonts w:ascii="Palatino Linotype" w:eastAsia="Palatino Linotype" w:hAnsi="Palatino Linotype" w:cs="Palatino Linotype"/>
          <w:b/>
          <w:color w:val="000000"/>
          <w:sz w:val="28"/>
          <w:szCs w:val="28"/>
          <w:lang w:eastAsia="es-MX"/>
        </w:rPr>
        <w:t>SE    RESUELVE</w:t>
      </w:r>
    </w:p>
    <w:p w14:paraId="6DBAFE4D" w14:textId="77777777" w:rsidR="00A416A0" w:rsidRPr="005773C2"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p>
    <w:p w14:paraId="39BAC9F5"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b/>
          <w:sz w:val="28"/>
          <w:szCs w:val="28"/>
          <w:lang w:eastAsia="es-MX"/>
        </w:rPr>
        <w:t>PRIMERO.</w:t>
      </w:r>
      <w:r w:rsidRPr="005773C2">
        <w:rPr>
          <w:rFonts w:ascii="Palatino Linotype" w:eastAsia="Palatino Linotype" w:hAnsi="Palatino Linotype" w:cs="Palatino Linotype"/>
          <w:sz w:val="24"/>
          <w:szCs w:val="24"/>
          <w:lang w:eastAsia="es-MX"/>
        </w:rPr>
        <w:t xml:space="preserve"> Resultan fundadas las razones o motivos de inconformidad hechos valer por la parte </w:t>
      </w:r>
      <w:r w:rsidRPr="005773C2">
        <w:rPr>
          <w:rFonts w:ascii="Palatino Linotype" w:eastAsia="Palatino Linotype" w:hAnsi="Palatino Linotype" w:cs="Palatino Linotype"/>
          <w:b/>
          <w:sz w:val="24"/>
          <w:szCs w:val="24"/>
          <w:lang w:eastAsia="es-MX"/>
        </w:rPr>
        <w:t>Recurrente,</w:t>
      </w:r>
      <w:r w:rsidRPr="005773C2">
        <w:rPr>
          <w:rFonts w:ascii="Palatino Linotype" w:eastAsia="Palatino Linotype" w:hAnsi="Palatino Linotype" w:cs="Palatino Linotype"/>
          <w:sz w:val="24"/>
          <w:szCs w:val="24"/>
          <w:lang w:eastAsia="es-MX"/>
        </w:rPr>
        <w:t xml:space="preserve"> en términos del considerando </w:t>
      </w:r>
      <w:r w:rsidRPr="005773C2">
        <w:rPr>
          <w:rFonts w:ascii="Palatino Linotype" w:eastAsia="Palatino Linotype" w:hAnsi="Palatino Linotype" w:cs="Palatino Linotype"/>
          <w:b/>
          <w:sz w:val="24"/>
          <w:szCs w:val="24"/>
          <w:lang w:eastAsia="es-MX"/>
        </w:rPr>
        <w:t>TERCERO</w:t>
      </w:r>
      <w:r w:rsidRPr="005773C2">
        <w:rPr>
          <w:rFonts w:ascii="Palatino Linotype" w:eastAsia="Palatino Linotype" w:hAnsi="Palatino Linotype" w:cs="Palatino Linotype"/>
          <w:sz w:val="24"/>
          <w:szCs w:val="24"/>
          <w:lang w:eastAsia="es-MX"/>
        </w:rPr>
        <w:t>, de la presente resolución.</w:t>
      </w:r>
    </w:p>
    <w:p w14:paraId="4DE28AC1"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06F1E449" w14:textId="1541B4EE"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5773C2">
        <w:rPr>
          <w:rFonts w:ascii="Palatino Linotype" w:eastAsia="Palatino Linotype" w:hAnsi="Palatino Linotype" w:cs="Palatino Linotype"/>
          <w:b/>
          <w:sz w:val="28"/>
          <w:szCs w:val="28"/>
          <w:lang w:eastAsia="es-MX"/>
        </w:rPr>
        <w:t>SEGUNDO.</w:t>
      </w:r>
      <w:r w:rsidRPr="005773C2">
        <w:rPr>
          <w:rFonts w:ascii="Palatino Linotype" w:eastAsia="Palatino Linotype" w:hAnsi="Palatino Linotype" w:cs="Palatino Linotype"/>
          <w:sz w:val="24"/>
          <w:szCs w:val="24"/>
          <w:lang w:eastAsia="es-MX"/>
        </w:rPr>
        <w:t xml:space="preserve"> Se </w:t>
      </w:r>
      <w:r w:rsidRPr="005773C2">
        <w:rPr>
          <w:rFonts w:ascii="Palatino Linotype" w:eastAsia="Palatino Linotype" w:hAnsi="Palatino Linotype" w:cs="Palatino Linotype"/>
          <w:b/>
          <w:sz w:val="24"/>
          <w:szCs w:val="24"/>
          <w:lang w:eastAsia="es-MX"/>
        </w:rPr>
        <w:t>ORDENA</w:t>
      </w:r>
      <w:r w:rsidRPr="005773C2">
        <w:rPr>
          <w:rFonts w:ascii="Palatino Linotype" w:eastAsia="Palatino Linotype" w:hAnsi="Palatino Linotype" w:cs="Palatino Linotype"/>
          <w:sz w:val="24"/>
          <w:szCs w:val="24"/>
          <w:lang w:eastAsia="es-MX"/>
        </w:rPr>
        <w:t xml:space="preserve"> al </w:t>
      </w:r>
      <w:r w:rsidRPr="005773C2">
        <w:rPr>
          <w:rFonts w:ascii="Palatino Linotype" w:eastAsia="Palatino Linotype" w:hAnsi="Palatino Linotype" w:cs="Palatino Linotype"/>
          <w:b/>
          <w:sz w:val="24"/>
          <w:szCs w:val="24"/>
          <w:lang w:eastAsia="es-MX"/>
        </w:rPr>
        <w:t>Sujeto Obligado</w:t>
      </w:r>
      <w:r w:rsidRPr="005773C2">
        <w:rPr>
          <w:rFonts w:ascii="Palatino Linotype" w:eastAsia="Palatino Linotype" w:hAnsi="Palatino Linotype" w:cs="Palatino Linotype"/>
          <w:sz w:val="24"/>
          <w:szCs w:val="24"/>
          <w:lang w:eastAsia="es-MX"/>
        </w:rPr>
        <w:t xml:space="preserve"> atienda la solicitud de información </w:t>
      </w:r>
      <w:r w:rsidR="003A40D5" w:rsidRPr="005773C2">
        <w:rPr>
          <w:rFonts w:ascii="Palatino Linotype" w:eastAsia="Palatino Linotype" w:hAnsi="Palatino Linotype" w:cs="Palatino Linotype"/>
          <w:b/>
          <w:bCs/>
          <w:sz w:val="24"/>
          <w:szCs w:val="24"/>
          <w:lang w:eastAsia="es-MX"/>
        </w:rPr>
        <w:t>00649/TEPOTZOT/IP/2026</w:t>
      </w:r>
      <w:r w:rsidRPr="005773C2">
        <w:rPr>
          <w:rFonts w:ascii="Palatino Linotype" w:eastAsia="Palatino Linotype" w:hAnsi="Palatino Linotype" w:cs="Palatino Linotype"/>
          <w:sz w:val="24"/>
          <w:szCs w:val="24"/>
          <w:lang w:eastAsia="es-MX"/>
        </w:rPr>
        <w:t xml:space="preserve">, vía Sistema de Acceso a la Información Mexiquense (SAIMEX), en términos del Considerando </w:t>
      </w:r>
      <w:r w:rsidRPr="005773C2">
        <w:rPr>
          <w:rFonts w:ascii="Palatino Linotype" w:eastAsia="Palatino Linotype" w:hAnsi="Palatino Linotype" w:cs="Palatino Linotype"/>
          <w:b/>
          <w:sz w:val="24"/>
          <w:szCs w:val="24"/>
          <w:lang w:eastAsia="es-MX"/>
        </w:rPr>
        <w:t xml:space="preserve">TERCERO </w:t>
      </w:r>
      <w:r w:rsidRPr="005773C2">
        <w:rPr>
          <w:rFonts w:ascii="Palatino Linotype" w:eastAsia="Palatino Linotype" w:hAnsi="Palatino Linotype" w:cs="Palatino Linotype"/>
          <w:sz w:val="24"/>
          <w:szCs w:val="24"/>
          <w:lang w:eastAsia="es-MX"/>
        </w:rPr>
        <w:t>de esta resolución</w:t>
      </w:r>
      <w:r w:rsidRPr="005773C2">
        <w:rPr>
          <w:rFonts w:ascii="Palatino Linotype" w:eastAsia="Palatino Linotype" w:hAnsi="Palatino Linotype" w:cs="Palatino Linotype"/>
          <w:b/>
          <w:sz w:val="24"/>
          <w:szCs w:val="24"/>
          <w:lang w:eastAsia="es-MX"/>
        </w:rPr>
        <w:t>.</w:t>
      </w:r>
    </w:p>
    <w:p w14:paraId="08CF73A7" w14:textId="77777777" w:rsidR="00A416A0" w:rsidRPr="005773C2"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19948AD0" w14:textId="77777777" w:rsidR="00A416A0" w:rsidRPr="005773C2"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r w:rsidRPr="005773C2">
        <w:rPr>
          <w:rFonts w:ascii="Palatino Linotype" w:eastAsia="Calibri" w:hAnsi="Palatino Linotype" w:cs="Arial"/>
          <w:b/>
          <w:sz w:val="28"/>
          <w:szCs w:val="24"/>
          <w:lang w:eastAsia="es-MX"/>
        </w:rPr>
        <w:t>TERCERO</w:t>
      </w:r>
      <w:r w:rsidRPr="005773C2">
        <w:rPr>
          <w:rFonts w:ascii="Palatino Linotype" w:eastAsia="Calibri" w:hAnsi="Palatino Linotype" w:cs="Arial"/>
          <w:b/>
          <w:sz w:val="24"/>
          <w:szCs w:val="24"/>
          <w:lang w:eastAsia="es-MX"/>
        </w:rPr>
        <w:t>.</w:t>
      </w:r>
      <w:r w:rsidRPr="005773C2">
        <w:rPr>
          <w:rFonts w:ascii="Palatino Linotype" w:eastAsia="Calibri" w:hAnsi="Palatino Linotype" w:cs="Arial"/>
          <w:sz w:val="24"/>
          <w:szCs w:val="24"/>
          <w:lang w:eastAsia="es-MX"/>
        </w:rPr>
        <w:t xml:space="preserve"> </w:t>
      </w:r>
      <w:r w:rsidRPr="005773C2">
        <w:rPr>
          <w:rFonts w:ascii="Palatino Linotype" w:eastAsia="Calibri" w:hAnsi="Palatino Linotype" w:cs="Arial"/>
          <w:b/>
          <w:sz w:val="24"/>
          <w:szCs w:val="24"/>
          <w:lang w:eastAsia="es-MX"/>
        </w:rPr>
        <w:t>Notifíquese</w:t>
      </w:r>
      <w:r w:rsidRPr="005773C2">
        <w:rPr>
          <w:rFonts w:ascii="Palatino Linotype" w:eastAsia="Times New Roman" w:hAnsi="Palatino Linotype" w:cs="Arial"/>
          <w:sz w:val="24"/>
          <w:szCs w:val="24"/>
          <w:lang w:val="es-ES" w:eastAsia="es-ES"/>
        </w:rPr>
        <w:t xml:space="preserve"> a través del SAIMEX,</w:t>
      </w:r>
      <w:r w:rsidRPr="005773C2">
        <w:rPr>
          <w:rFonts w:ascii="Palatino Linotype" w:eastAsia="Calibri" w:hAnsi="Palatino Linotype" w:cs="Arial"/>
          <w:b/>
          <w:i/>
          <w:sz w:val="24"/>
          <w:szCs w:val="24"/>
          <w:lang w:eastAsia="es-MX"/>
        </w:rPr>
        <w:t xml:space="preserve"> </w:t>
      </w:r>
      <w:r w:rsidRPr="005773C2">
        <w:rPr>
          <w:rFonts w:ascii="Palatino Linotype" w:eastAsia="Calibri" w:hAnsi="Palatino Linotype" w:cs="Arial"/>
          <w:sz w:val="24"/>
          <w:szCs w:val="24"/>
          <w:lang w:eastAsia="es-MX"/>
        </w:rPr>
        <w:t>al Titular de la Unidad de Transparencia del</w:t>
      </w:r>
      <w:r w:rsidRPr="005773C2">
        <w:rPr>
          <w:rFonts w:ascii="Palatino Linotype" w:eastAsia="Calibri" w:hAnsi="Palatino Linotype" w:cs="Arial"/>
          <w:b/>
          <w:sz w:val="24"/>
          <w:szCs w:val="24"/>
          <w:lang w:eastAsia="es-MX"/>
        </w:rPr>
        <w:t xml:space="preserve"> Sujeto Obligado</w:t>
      </w:r>
      <w:r w:rsidRPr="005773C2">
        <w:rPr>
          <w:rFonts w:ascii="Palatino Linotype" w:eastAsia="Calibri" w:hAnsi="Palatino Linotype" w:cs="Arial"/>
          <w:sz w:val="24"/>
          <w:szCs w:val="24"/>
          <w:lang w:eastAsia="es-MX"/>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5773C2">
        <w:rPr>
          <w:rFonts w:ascii="Palatino Linotype" w:eastAsia="Calibri" w:hAnsi="Palatino Linotype" w:cs="Arial"/>
          <w:b/>
          <w:sz w:val="24"/>
          <w:szCs w:val="32"/>
          <w:lang w:val="es-ES_tradnl" w:eastAsia="es-MX"/>
        </w:rPr>
        <w:t>y</w:t>
      </w:r>
      <w:r w:rsidRPr="005773C2">
        <w:rPr>
          <w:rFonts w:ascii="Palatino Linotype" w:eastAsia="Calibri" w:hAnsi="Palatino Linotype" w:cs="Arial"/>
          <w:sz w:val="24"/>
          <w:szCs w:val="32"/>
          <w:lang w:val="es-ES_tradnl" w:eastAsia="es-MX"/>
        </w:rPr>
        <w:t xml:space="preserve"> </w:t>
      </w:r>
      <w:r w:rsidRPr="005773C2">
        <w:rPr>
          <w:rFonts w:ascii="Palatino Linotype" w:eastAsia="Palatino Linotype" w:hAnsi="Palatino Linotype" w:cs="Palatino Linotype"/>
          <w:b/>
          <w:color w:val="000000"/>
          <w:sz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9E096D" w14:textId="77777777" w:rsidR="00A416A0" w:rsidRPr="005773C2"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p>
    <w:p w14:paraId="33DC9FD2" w14:textId="77777777" w:rsidR="00A416A0" w:rsidRPr="005773C2" w:rsidRDefault="00A416A0" w:rsidP="00A416A0">
      <w:pPr>
        <w:spacing w:after="0" w:line="360" w:lineRule="auto"/>
        <w:jc w:val="both"/>
        <w:rPr>
          <w:rFonts w:ascii="Palatino Linotype" w:eastAsia="Times New Roman" w:hAnsi="Palatino Linotype" w:cs="Arial"/>
          <w:sz w:val="24"/>
          <w:szCs w:val="24"/>
          <w:lang w:val="es-ES" w:eastAsia="es-ES"/>
        </w:rPr>
      </w:pPr>
      <w:r w:rsidRPr="005773C2">
        <w:rPr>
          <w:rFonts w:ascii="Palatino Linotype" w:eastAsia="Times New Roman" w:hAnsi="Palatino Linotype" w:cs="Arial"/>
          <w:b/>
          <w:sz w:val="28"/>
          <w:szCs w:val="24"/>
          <w:lang w:val="es-ES" w:eastAsia="es-ES"/>
        </w:rPr>
        <w:t>CUARTO</w:t>
      </w:r>
      <w:r w:rsidRPr="005773C2">
        <w:rPr>
          <w:rFonts w:ascii="Palatino Linotype" w:eastAsia="Times New Roman" w:hAnsi="Palatino Linotype" w:cs="Arial"/>
          <w:b/>
          <w:sz w:val="24"/>
          <w:szCs w:val="24"/>
          <w:lang w:val="es-ES" w:eastAsia="es-ES"/>
        </w:rPr>
        <w:t>. Notifíquese</w:t>
      </w:r>
      <w:r w:rsidRPr="005773C2">
        <w:rPr>
          <w:rFonts w:ascii="Palatino Linotype" w:eastAsia="Times New Roman" w:hAnsi="Palatino Linotype" w:cs="Arial"/>
          <w:sz w:val="24"/>
          <w:szCs w:val="24"/>
          <w:lang w:val="es-ES" w:eastAsia="es-ES"/>
        </w:rPr>
        <w:t xml:space="preserve"> </w:t>
      </w:r>
      <w:r w:rsidRPr="005773C2">
        <w:rPr>
          <w:rFonts w:ascii="Palatino Linotype" w:eastAsia="Times New Roman" w:hAnsi="Palatino Linotype" w:cs="Arial"/>
          <w:b/>
          <w:sz w:val="24"/>
          <w:szCs w:val="24"/>
          <w:lang w:val="es-ES" w:eastAsia="es-ES"/>
        </w:rPr>
        <w:t>a la Recurrente</w:t>
      </w:r>
      <w:r w:rsidRPr="005773C2">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w:t>
      </w:r>
      <w:r w:rsidRPr="005773C2">
        <w:rPr>
          <w:rFonts w:ascii="Palatino Linotype" w:eastAsia="Times New Roman" w:hAnsi="Palatino Linotype" w:cs="Arial"/>
          <w:sz w:val="24"/>
          <w:szCs w:val="24"/>
          <w:lang w:val="es-ES" w:eastAsia="es-ES"/>
        </w:rPr>
        <w:lastRenderedPageBreak/>
        <w:t>aplicables de acuerdo con lo estipulado en el artículo 196 de la Ley de Transparencia y Acceso a la Información Pública del Estado de México y Municipios.</w:t>
      </w:r>
    </w:p>
    <w:p w14:paraId="31EC13A1" w14:textId="77777777" w:rsidR="00A416A0" w:rsidRPr="005773C2" w:rsidRDefault="00A416A0" w:rsidP="00A416A0">
      <w:pPr>
        <w:spacing w:after="0" w:line="360" w:lineRule="auto"/>
        <w:jc w:val="both"/>
        <w:rPr>
          <w:rFonts w:ascii="Palatino Linotype" w:eastAsia="Calibri" w:hAnsi="Palatino Linotype" w:cs="Calibri"/>
          <w:sz w:val="24"/>
          <w:szCs w:val="24"/>
          <w:lang w:eastAsia="es-ES_tradnl"/>
        </w:rPr>
      </w:pPr>
    </w:p>
    <w:p w14:paraId="48B9E73F" w14:textId="77777777" w:rsidR="00A416A0" w:rsidRPr="005773C2" w:rsidRDefault="00A416A0" w:rsidP="00A416A0">
      <w:pPr>
        <w:spacing w:after="0" w:line="360" w:lineRule="auto"/>
        <w:jc w:val="both"/>
        <w:rPr>
          <w:rFonts w:ascii="Palatino Linotype" w:eastAsia="Calibri" w:hAnsi="Palatino Linotype" w:cs="Times New Roman"/>
          <w:sz w:val="24"/>
          <w:szCs w:val="24"/>
          <w:lang w:eastAsia="es-ES_tradnl"/>
        </w:rPr>
      </w:pPr>
      <w:r w:rsidRPr="005773C2">
        <w:rPr>
          <w:rFonts w:ascii="Palatino Linotype" w:eastAsia="Calibri" w:hAnsi="Palatino Linotype" w:cs="Times New Roman"/>
          <w:b/>
          <w:sz w:val="28"/>
          <w:szCs w:val="24"/>
          <w:lang w:eastAsia="es-ES_tradnl"/>
        </w:rPr>
        <w:t>QUINTO</w:t>
      </w:r>
      <w:r w:rsidRPr="005773C2">
        <w:rPr>
          <w:rFonts w:ascii="Palatino Linotype" w:eastAsia="Calibri" w:hAnsi="Palatino Linotype" w:cs="Times New Roman"/>
          <w:b/>
          <w:sz w:val="24"/>
          <w:szCs w:val="24"/>
          <w:lang w:eastAsia="es-ES_tradnl"/>
        </w:rPr>
        <w:t>.</w:t>
      </w:r>
      <w:r w:rsidRPr="005773C2">
        <w:rPr>
          <w:rFonts w:ascii="Palatino Linotype" w:eastAsia="Calibri" w:hAnsi="Palatino Linotype" w:cs="Times New Roman"/>
          <w:sz w:val="24"/>
          <w:szCs w:val="24"/>
          <w:lang w:eastAsia="es-ES_tradnl"/>
        </w:rPr>
        <w:t xml:space="preserve"> </w:t>
      </w:r>
      <w:r w:rsidRPr="005773C2">
        <w:rPr>
          <w:rFonts w:ascii="Palatino Linotype" w:eastAsia="Calibri" w:hAnsi="Palatino Linotype" w:cs="Times New Roman"/>
          <w:b/>
          <w:sz w:val="24"/>
          <w:szCs w:val="24"/>
          <w:lang w:eastAsia="es-ES_tradnl"/>
        </w:rPr>
        <w:t>Notifíquese</w:t>
      </w:r>
      <w:r w:rsidRPr="005773C2">
        <w:rPr>
          <w:rFonts w:ascii="Palatino Linotype" w:eastAsia="Calibri" w:hAnsi="Palatino Linotype" w:cs="Times New Roman"/>
          <w:sz w:val="24"/>
          <w:szCs w:val="24"/>
          <w:lang w:eastAsia="es-ES_tradnl"/>
        </w:rPr>
        <w:t xml:space="preserve"> al </w:t>
      </w:r>
      <w:r w:rsidRPr="005773C2">
        <w:rPr>
          <w:rFonts w:ascii="Palatino Linotype" w:eastAsia="Calibri" w:hAnsi="Palatino Linotype" w:cs="Times New Roman"/>
          <w:b/>
          <w:sz w:val="24"/>
          <w:szCs w:val="24"/>
          <w:lang w:eastAsia="es-ES_tradnl"/>
        </w:rPr>
        <w:t>Recurrente</w:t>
      </w:r>
      <w:r w:rsidRPr="005773C2">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5773C2">
        <w:rPr>
          <w:rFonts w:ascii="Palatino Linotype" w:eastAsia="Calibri" w:hAnsi="Palatino Linotype" w:cs="Times New Roman"/>
          <w:b/>
          <w:sz w:val="24"/>
          <w:szCs w:val="24"/>
          <w:lang w:eastAsia="es-ES_tradnl"/>
        </w:rPr>
        <w:t>Sujeto Obligado</w:t>
      </w:r>
      <w:r w:rsidRPr="005773C2">
        <w:rPr>
          <w:rFonts w:ascii="Palatino Linotype" w:eastAsia="Calibri" w:hAnsi="Palatino Linotype" w:cs="Times New Roman"/>
          <w:sz w:val="24"/>
          <w:szCs w:val="24"/>
          <w:lang w:eastAsia="es-ES_tradnl"/>
        </w:rPr>
        <w:t>, en cumplimiento a esta Resolución.</w:t>
      </w:r>
    </w:p>
    <w:p w14:paraId="1EE93AF9" w14:textId="77777777" w:rsidR="00A416A0" w:rsidRPr="005773C2" w:rsidRDefault="00A416A0" w:rsidP="00A416A0">
      <w:pPr>
        <w:spacing w:after="0" w:line="360" w:lineRule="auto"/>
        <w:jc w:val="both"/>
        <w:rPr>
          <w:rFonts w:ascii="Palatino Linotype" w:eastAsia="Calibri" w:hAnsi="Palatino Linotype" w:cs="Times New Roman"/>
          <w:sz w:val="24"/>
          <w:szCs w:val="24"/>
          <w:lang w:eastAsia="es-ES_tradnl"/>
        </w:rPr>
      </w:pPr>
    </w:p>
    <w:p w14:paraId="74882930" w14:textId="77777777" w:rsidR="00A416A0" w:rsidRPr="005773C2" w:rsidRDefault="00A416A0" w:rsidP="00A416A0">
      <w:pPr>
        <w:spacing w:after="0" w:line="360" w:lineRule="auto"/>
        <w:jc w:val="both"/>
        <w:rPr>
          <w:rFonts w:ascii="Palatino Linotype" w:eastAsia="Calibri" w:hAnsi="Palatino Linotype" w:cs="Calibri"/>
          <w:sz w:val="24"/>
          <w:szCs w:val="24"/>
          <w:lang w:eastAsia="es-ES_tradnl"/>
        </w:rPr>
      </w:pPr>
      <w:r w:rsidRPr="005773C2">
        <w:rPr>
          <w:rFonts w:ascii="Palatino Linotype" w:eastAsia="Calibri" w:hAnsi="Palatino Linotype" w:cs="Times New Roman"/>
          <w:b/>
          <w:sz w:val="28"/>
          <w:szCs w:val="24"/>
          <w:lang w:eastAsia="es-ES_tradnl"/>
        </w:rPr>
        <w:t>SEXTO</w:t>
      </w:r>
      <w:r w:rsidRPr="005773C2">
        <w:rPr>
          <w:rFonts w:ascii="Palatino Linotype" w:eastAsia="Calibri" w:hAnsi="Palatino Linotype" w:cs="Times New Roman"/>
          <w:b/>
          <w:sz w:val="24"/>
          <w:szCs w:val="24"/>
          <w:lang w:eastAsia="es-ES_tradnl"/>
        </w:rPr>
        <w:t xml:space="preserve">. - </w:t>
      </w:r>
      <w:r w:rsidRPr="005773C2">
        <w:rPr>
          <w:rFonts w:ascii="Palatino Linotype" w:eastAsia="Calibri" w:hAnsi="Palatino Linotype" w:cs="Calibri"/>
          <w:b/>
          <w:sz w:val="24"/>
          <w:szCs w:val="24"/>
          <w:lang w:eastAsia="es-ES_tradnl"/>
        </w:rPr>
        <w:t xml:space="preserve">Gírese </w:t>
      </w:r>
      <w:r w:rsidRPr="005773C2">
        <w:rPr>
          <w:rFonts w:ascii="Palatino Linotype" w:eastAsia="Calibri" w:hAnsi="Palatino Linotype" w:cs="Calibr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5773C2">
        <w:rPr>
          <w:rFonts w:ascii="Palatino Linotype" w:eastAsia="Calibri" w:hAnsi="Palatino Linotype" w:cs="Calibri"/>
          <w:b/>
          <w:bCs/>
          <w:sz w:val="24"/>
          <w:szCs w:val="24"/>
          <w:lang w:eastAsia="es-ES_tradnl"/>
        </w:rPr>
        <w:t>TERCERO</w:t>
      </w:r>
      <w:r w:rsidRPr="005773C2">
        <w:rPr>
          <w:rFonts w:ascii="Palatino Linotype" w:eastAsia="Calibri" w:hAnsi="Palatino Linotype" w:cs="Calibri"/>
          <w:sz w:val="24"/>
          <w:szCs w:val="24"/>
          <w:lang w:eastAsia="es-ES_tradnl"/>
        </w:rPr>
        <w:t xml:space="preserve"> de la presente resolución.</w:t>
      </w:r>
    </w:p>
    <w:p w14:paraId="26A10243" w14:textId="77777777" w:rsidR="00A416A0" w:rsidRPr="005773C2" w:rsidRDefault="00A416A0" w:rsidP="00A416A0">
      <w:pPr>
        <w:spacing w:after="0" w:line="360" w:lineRule="auto"/>
        <w:jc w:val="both"/>
        <w:rPr>
          <w:rFonts w:ascii="Palatino Linotype" w:eastAsia="Palatino Linotype" w:hAnsi="Palatino Linotype" w:cs="Palatino Linotype"/>
          <w:sz w:val="24"/>
          <w:szCs w:val="24"/>
          <w:lang w:eastAsia="es-MX"/>
        </w:rPr>
      </w:pPr>
    </w:p>
    <w:p w14:paraId="5F971D81" w14:textId="68D3BD36" w:rsidR="000D134C" w:rsidRPr="00F444C4" w:rsidRDefault="000D134C" w:rsidP="00432E3D">
      <w:pPr>
        <w:spacing w:after="0" w:line="360" w:lineRule="auto"/>
        <w:jc w:val="both"/>
        <w:rPr>
          <w:rFonts w:ascii="Palatino Linotype" w:eastAsia="Times New Roman" w:hAnsi="Palatino Linotype" w:cs="Arial"/>
          <w:sz w:val="20"/>
          <w:lang w:val="es-ES_tradnl" w:eastAsia="es-MX"/>
        </w:rPr>
      </w:pPr>
      <w:r w:rsidRPr="005773C2">
        <w:rPr>
          <w:rFonts w:ascii="Palatino Linotype" w:eastAsia="Times New Roman" w:hAnsi="Palatino Linotype" w:cs="Arial"/>
          <w:sz w:val="24"/>
          <w:szCs w:val="24"/>
          <w:lang w:val="es-ES_tradnl" w:eastAsia="es-MX"/>
        </w:rPr>
        <w:t xml:space="preserve">ASÍ LO RESUELVE, POR </w:t>
      </w:r>
      <w:r w:rsidRPr="005773C2">
        <w:rPr>
          <w:rFonts w:ascii="Palatino Linotype" w:eastAsia="Times New Roman" w:hAnsi="Palatino Linotype" w:cs="Arial"/>
          <w:b/>
          <w:sz w:val="24"/>
          <w:szCs w:val="24"/>
          <w:lang w:val="es-ES_tradnl" w:eastAsia="es-MX"/>
        </w:rPr>
        <w:t xml:space="preserve">UNANIMIDAD DE VOTOS </w:t>
      </w:r>
      <w:r w:rsidRPr="005773C2">
        <w:rPr>
          <w:rFonts w:ascii="Palatino Linotype" w:eastAsia="Times New Roman" w:hAnsi="Palatino Linotype" w:cs="Arial"/>
          <w:sz w:val="24"/>
          <w:szCs w:val="24"/>
          <w:lang w:val="es-ES_tradnl" w:eastAsia="es-MX"/>
        </w:rPr>
        <w:t>EL PLENO DEL</w:t>
      </w:r>
      <w:r w:rsidRPr="005773C2">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773C2">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5773C2">
        <w:rPr>
          <w:rFonts w:ascii="Palatino Linotype" w:eastAsia="Times New Roman" w:hAnsi="Palatino Linotype" w:cs="Arial"/>
          <w:sz w:val="24"/>
          <w:szCs w:val="24"/>
          <w:lang w:val="es-ES_tradnl" w:eastAsia="es-MX"/>
        </w:rPr>
        <w:t xml:space="preserve"> </w:t>
      </w:r>
      <w:r w:rsidRPr="005773C2">
        <w:rPr>
          <w:rFonts w:ascii="Palatino Linotype" w:eastAsia="Times New Roman" w:hAnsi="Palatino Linotype" w:cs="Arial"/>
          <w:sz w:val="24"/>
          <w:szCs w:val="24"/>
          <w:lang w:val="es-ES_tradnl" w:eastAsia="es-MX"/>
        </w:rPr>
        <w:t>EN LA</w:t>
      </w:r>
      <w:r w:rsidRPr="005773C2">
        <w:rPr>
          <w:rFonts w:ascii="Palatino Linotype" w:eastAsia="Times New Roman" w:hAnsi="Palatino Linotype" w:cs="Arial"/>
          <w:sz w:val="24"/>
          <w:szCs w:val="24"/>
          <w:lang w:val="es-419" w:eastAsia="es-MX"/>
        </w:rPr>
        <w:t xml:space="preserve"> </w:t>
      </w:r>
      <w:r w:rsidR="003A40D5" w:rsidRPr="005773C2">
        <w:rPr>
          <w:rFonts w:ascii="Palatino Linotype" w:eastAsia="Times New Roman" w:hAnsi="Palatino Linotype" w:cs="Arial"/>
          <w:b/>
          <w:sz w:val="24"/>
          <w:szCs w:val="24"/>
          <w:lang w:val="es-419" w:eastAsia="es-MX"/>
        </w:rPr>
        <w:t xml:space="preserve">DÉCIMA TERCERA </w:t>
      </w:r>
      <w:r w:rsidRPr="005773C2">
        <w:rPr>
          <w:rFonts w:ascii="Palatino Linotype" w:eastAsia="Times New Roman" w:hAnsi="Palatino Linotype" w:cs="Arial"/>
          <w:b/>
          <w:sz w:val="24"/>
          <w:szCs w:val="24"/>
          <w:lang w:val="es-419" w:eastAsia="es-MX"/>
        </w:rPr>
        <w:t xml:space="preserve">SESIÓN ORDINARIA CELEBRADA </w:t>
      </w:r>
      <w:r w:rsidR="001A39B3" w:rsidRPr="005773C2">
        <w:rPr>
          <w:rFonts w:ascii="Palatino Linotype" w:eastAsia="Times New Roman" w:hAnsi="Palatino Linotype" w:cs="Arial"/>
          <w:b/>
          <w:sz w:val="24"/>
          <w:szCs w:val="24"/>
          <w:lang w:val="es-419" w:eastAsia="es-MX"/>
        </w:rPr>
        <w:t xml:space="preserve">EL QUINCE DE ABRIL </w:t>
      </w:r>
      <w:r w:rsidRPr="005773C2">
        <w:rPr>
          <w:rFonts w:ascii="Palatino Linotype" w:eastAsia="Times New Roman" w:hAnsi="Palatino Linotype" w:cs="Arial"/>
          <w:b/>
          <w:sz w:val="24"/>
          <w:szCs w:val="24"/>
          <w:lang w:val="es-419" w:eastAsia="es-MX"/>
        </w:rPr>
        <w:t xml:space="preserve">DE DOS MIL </w:t>
      </w:r>
      <w:r w:rsidR="006D5161" w:rsidRPr="005773C2">
        <w:rPr>
          <w:rFonts w:ascii="Palatino Linotype" w:eastAsia="Times New Roman" w:hAnsi="Palatino Linotype" w:cs="Arial"/>
          <w:b/>
          <w:sz w:val="24"/>
          <w:szCs w:val="24"/>
          <w:lang w:val="es-419" w:eastAsia="es-MX"/>
        </w:rPr>
        <w:t>VEINTISÉIS</w:t>
      </w:r>
      <w:r w:rsidRPr="005773C2">
        <w:rPr>
          <w:rFonts w:ascii="Palatino Linotype" w:eastAsia="Times New Roman" w:hAnsi="Palatino Linotype" w:cs="Arial"/>
          <w:sz w:val="24"/>
          <w:szCs w:val="24"/>
          <w:lang w:val="es-ES_tradnl" w:eastAsia="es-MX"/>
        </w:rPr>
        <w:t>, ANTE EL SECRETARIO TÉCNICO D</w:t>
      </w:r>
      <w:r w:rsidR="00242265" w:rsidRPr="005773C2">
        <w:rPr>
          <w:rFonts w:ascii="Palatino Linotype" w:eastAsia="Times New Roman" w:hAnsi="Palatino Linotype" w:cs="Arial"/>
          <w:sz w:val="24"/>
          <w:szCs w:val="24"/>
          <w:lang w:val="es-ES_tradnl" w:eastAsia="es-MX"/>
        </w:rPr>
        <w:t>EL PLENO, ALEXIS TAPIA RAMÍREZ.</w:t>
      </w:r>
      <w:r w:rsidRPr="005773C2">
        <w:rPr>
          <w:rFonts w:ascii="Palatino Linotype" w:eastAsia="Times New Roman" w:hAnsi="Palatino Linotype" w:cs="Arial"/>
          <w:sz w:val="24"/>
          <w:szCs w:val="24"/>
          <w:lang w:val="es-ES_tradnl" w:eastAsia="es-MX"/>
        </w:rPr>
        <w:t>-----------------------------------------------------------------------------------------------------------------------------------</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9D278" w14:textId="77777777" w:rsidR="001B6C19" w:rsidRDefault="001B6C19" w:rsidP="000D134C">
      <w:pPr>
        <w:spacing w:after="0" w:line="240" w:lineRule="auto"/>
      </w:pPr>
      <w:r>
        <w:separator/>
      </w:r>
    </w:p>
  </w:endnote>
  <w:endnote w:type="continuationSeparator" w:id="0">
    <w:p w14:paraId="41FD62F8" w14:textId="77777777" w:rsidR="001B6C19" w:rsidRDefault="001B6C19"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387BD767"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3681E">
      <w:rPr>
        <w:rFonts w:ascii="Palatino Linotype" w:hAnsi="Palatino Linotype"/>
        <w:b/>
        <w:bCs/>
        <w:noProof/>
        <w:sz w:val="20"/>
      </w:rPr>
      <w:t>17</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3681E">
      <w:rPr>
        <w:rFonts w:ascii="Palatino Linotype" w:hAnsi="Palatino Linotype"/>
        <w:b/>
        <w:bCs/>
        <w:noProof/>
        <w:sz w:val="20"/>
      </w:rPr>
      <w:t>17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11BB8D1"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3681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3681E">
      <w:rPr>
        <w:rFonts w:ascii="Palatino Linotype" w:hAnsi="Palatino Linotype"/>
        <w:b/>
        <w:bCs/>
        <w:noProof/>
        <w:sz w:val="20"/>
      </w:rPr>
      <w:t>17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00CA0" w14:textId="77777777" w:rsidR="001B6C19" w:rsidRDefault="001B6C19" w:rsidP="000D134C">
      <w:pPr>
        <w:spacing w:after="0" w:line="240" w:lineRule="auto"/>
      </w:pPr>
      <w:r>
        <w:separator/>
      </w:r>
    </w:p>
  </w:footnote>
  <w:footnote w:type="continuationSeparator" w:id="0">
    <w:p w14:paraId="65F4CA66" w14:textId="77777777" w:rsidR="001B6C19" w:rsidRDefault="001B6C19" w:rsidP="000D1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F16FA" w:rsidRDefault="001B6C19">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F16FA" w:rsidRPr="00B17577" w14:paraId="58CB8F55" w14:textId="77777777" w:rsidTr="0027169F">
      <w:trPr>
        <w:trHeight w:val="237"/>
      </w:trPr>
      <w:tc>
        <w:tcPr>
          <w:tcW w:w="5180" w:type="dxa"/>
          <w:hideMark/>
        </w:tcPr>
        <w:p w14:paraId="2701CCC2"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0F89C9E1" w:rsidR="008F16FA" w:rsidRPr="00F70BDE" w:rsidRDefault="008F16FA" w:rsidP="00123693">
          <w:pPr>
            <w:spacing w:after="120" w:line="240" w:lineRule="auto"/>
            <w:ind w:right="71"/>
            <w:jc w:val="right"/>
            <w:rPr>
              <w:rFonts w:ascii="Palatino Linotype" w:hAnsi="Palatino Linotype" w:cs="Arial"/>
              <w:b/>
              <w:sz w:val="24"/>
              <w:szCs w:val="24"/>
            </w:rPr>
          </w:pPr>
          <w:r w:rsidRPr="00B50740">
            <w:rPr>
              <w:rFonts w:ascii="Palatino Linotype" w:hAnsi="Palatino Linotype" w:cs="Arial"/>
              <w:b/>
              <w:bCs/>
              <w:sz w:val="24"/>
              <w:szCs w:val="24"/>
            </w:rPr>
            <w:t>0</w:t>
          </w:r>
          <w:r w:rsidR="001A38E2">
            <w:rPr>
              <w:rFonts w:ascii="Palatino Linotype" w:hAnsi="Palatino Linotype" w:cs="Arial"/>
              <w:b/>
              <w:bCs/>
              <w:sz w:val="24"/>
              <w:szCs w:val="24"/>
            </w:rPr>
            <w:t>3220</w:t>
          </w:r>
          <w:r w:rsidRPr="00B50740">
            <w:rPr>
              <w:rFonts w:ascii="Palatino Linotype" w:hAnsi="Palatino Linotype" w:cs="Arial"/>
              <w:b/>
              <w:bCs/>
              <w:sz w:val="24"/>
              <w:szCs w:val="24"/>
            </w:rPr>
            <w:t>/INFOEM/IP/RR/202</w:t>
          </w:r>
          <w:r w:rsidR="001A38E2">
            <w:rPr>
              <w:rFonts w:ascii="Palatino Linotype" w:hAnsi="Palatino Linotype" w:cs="Arial"/>
              <w:b/>
              <w:bCs/>
              <w:sz w:val="24"/>
              <w:szCs w:val="24"/>
            </w:rPr>
            <w:t>6</w:t>
          </w:r>
        </w:p>
      </w:tc>
    </w:tr>
    <w:tr w:rsidR="008F16FA" w14:paraId="662610CC" w14:textId="77777777" w:rsidTr="0027169F">
      <w:trPr>
        <w:trHeight w:val="252"/>
      </w:trPr>
      <w:tc>
        <w:tcPr>
          <w:tcW w:w="5180" w:type="dxa"/>
          <w:hideMark/>
        </w:tcPr>
        <w:p w14:paraId="14468EE4"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2903BEA9" w:rsidR="008F16FA" w:rsidRPr="00F70BDE" w:rsidRDefault="008F16FA" w:rsidP="0027169F">
          <w:pPr>
            <w:spacing w:after="120" w:line="240" w:lineRule="auto"/>
            <w:ind w:left="-81" w:right="71"/>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63239" w14:paraId="56646647" w14:textId="77777777" w:rsidTr="0027169F">
      <w:trPr>
        <w:trHeight w:val="357"/>
      </w:trPr>
      <w:tc>
        <w:tcPr>
          <w:tcW w:w="5180" w:type="dxa"/>
          <w:hideMark/>
        </w:tcPr>
        <w:p w14:paraId="5D5F4A55" w14:textId="77777777" w:rsidR="008F16FA" w:rsidRPr="00F70BDE" w:rsidRDefault="008F16FA"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F16FA" w:rsidRPr="0092771D" w:rsidRDefault="008F16FA"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F16FA" w:rsidRPr="00F70BDE" w:rsidRDefault="008F16FA"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F16FA" w:rsidRPr="00871A91" w:rsidRDefault="001B6C19">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F16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F16FA" w:rsidRPr="00F70BDE" w14:paraId="45B19BE3" w14:textId="77777777" w:rsidTr="0027169F">
      <w:trPr>
        <w:trHeight w:val="227"/>
      </w:trPr>
      <w:tc>
        <w:tcPr>
          <w:tcW w:w="5103" w:type="dxa"/>
          <w:hideMark/>
        </w:tcPr>
        <w:p w14:paraId="0BAEB9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0EE2303A" w:rsidR="008F16FA" w:rsidRPr="00F70BDE" w:rsidRDefault="008F16FA" w:rsidP="00123693">
          <w:pPr>
            <w:spacing w:after="120" w:line="240" w:lineRule="auto"/>
            <w:ind w:left="-486" w:right="68" w:firstLine="558"/>
            <w:jc w:val="right"/>
            <w:rPr>
              <w:rFonts w:ascii="Palatino Linotype" w:hAnsi="Palatino Linotype" w:cs="Arial"/>
              <w:b/>
              <w:bCs/>
              <w:sz w:val="24"/>
              <w:szCs w:val="24"/>
            </w:rPr>
          </w:pPr>
          <w:r w:rsidRPr="00B50740">
            <w:rPr>
              <w:rFonts w:ascii="Palatino Linotype" w:hAnsi="Palatino Linotype" w:cs="Arial"/>
              <w:b/>
              <w:bCs/>
              <w:sz w:val="24"/>
              <w:szCs w:val="24"/>
            </w:rPr>
            <w:t>0</w:t>
          </w:r>
          <w:r w:rsidR="00803F59">
            <w:rPr>
              <w:rFonts w:ascii="Palatino Linotype" w:hAnsi="Palatino Linotype" w:cs="Arial"/>
              <w:b/>
              <w:bCs/>
              <w:sz w:val="24"/>
              <w:szCs w:val="24"/>
            </w:rPr>
            <w:t>3220</w:t>
          </w:r>
          <w:r w:rsidRPr="00B50740">
            <w:rPr>
              <w:rFonts w:ascii="Palatino Linotype" w:hAnsi="Palatino Linotype" w:cs="Arial"/>
              <w:b/>
              <w:bCs/>
              <w:sz w:val="24"/>
              <w:szCs w:val="24"/>
            </w:rPr>
            <w:t>/INFOEM/IP/RR/202</w:t>
          </w:r>
          <w:r w:rsidR="00803F59">
            <w:rPr>
              <w:rFonts w:ascii="Palatino Linotype" w:hAnsi="Palatino Linotype" w:cs="Arial"/>
              <w:b/>
              <w:bCs/>
              <w:sz w:val="24"/>
              <w:szCs w:val="24"/>
            </w:rPr>
            <w:t>6</w:t>
          </w:r>
        </w:p>
      </w:tc>
    </w:tr>
    <w:tr w:rsidR="008F16FA" w:rsidRPr="00F70BDE" w14:paraId="6328A4D5" w14:textId="77777777" w:rsidTr="0027169F">
      <w:trPr>
        <w:trHeight w:val="227"/>
      </w:trPr>
      <w:tc>
        <w:tcPr>
          <w:tcW w:w="5103" w:type="dxa"/>
        </w:tcPr>
        <w:p w14:paraId="49B62AC2"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4242C339" w:rsidR="008F16FA" w:rsidRPr="00F70BDE" w:rsidRDefault="00E3681E" w:rsidP="00516DE7">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xxxxxxxxxxxxxxxxxxx</w:t>
          </w:r>
          <w:proofErr w:type="spellEnd"/>
        </w:p>
      </w:tc>
    </w:tr>
    <w:tr w:rsidR="008F16FA" w:rsidRPr="00F70BDE" w14:paraId="4DFEB549" w14:textId="77777777" w:rsidTr="0027169F">
      <w:trPr>
        <w:trHeight w:val="242"/>
      </w:trPr>
      <w:tc>
        <w:tcPr>
          <w:tcW w:w="5103" w:type="dxa"/>
          <w:hideMark/>
        </w:tcPr>
        <w:p w14:paraId="294867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62D884D4" w:rsidR="008F16FA" w:rsidRPr="00056169" w:rsidRDefault="008F16FA" w:rsidP="0027169F">
          <w:pPr>
            <w:spacing w:after="120" w:line="240" w:lineRule="auto"/>
            <w:ind w:left="-70" w:right="68"/>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70BDE" w14:paraId="3E04D042" w14:textId="77777777" w:rsidTr="0027169F">
      <w:trPr>
        <w:trHeight w:val="342"/>
      </w:trPr>
      <w:tc>
        <w:tcPr>
          <w:tcW w:w="5103" w:type="dxa"/>
          <w:hideMark/>
        </w:tcPr>
        <w:p w14:paraId="3F7D9FD0" w14:textId="77777777" w:rsidR="008F16FA" w:rsidRPr="00F70BDE" w:rsidRDefault="008F16FA"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F16FA" w:rsidRPr="0092771D" w:rsidRDefault="008F16FA"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F16FA" w:rsidRPr="00871A91" w:rsidRDefault="008F16FA">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B35237"/>
    <w:multiLevelType w:val="hybridMultilevel"/>
    <w:tmpl w:val="5F607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E57FB1"/>
    <w:multiLevelType w:val="hybridMultilevel"/>
    <w:tmpl w:val="5388F0E0"/>
    <w:lvl w:ilvl="0" w:tplc="71A0602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D507FB6"/>
    <w:multiLevelType w:val="hybridMultilevel"/>
    <w:tmpl w:val="B56CA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2"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F33948"/>
    <w:multiLevelType w:val="hybridMultilevel"/>
    <w:tmpl w:val="9F7E42C2"/>
    <w:lvl w:ilvl="0" w:tplc="3AB2152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3DA4FAF"/>
    <w:multiLevelType w:val="hybridMultilevel"/>
    <w:tmpl w:val="72AA5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1A29C9"/>
    <w:multiLevelType w:val="hybridMultilevel"/>
    <w:tmpl w:val="8F4E0E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1B628E"/>
    <w:multiLevelType w:val="hybridMultilevel"/>
    <w:tmpl w:val="EF260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2A3AEC"/>
    <w:multiLevelType w:val="multilevel"/>
    <w:tmpl w:val="18C8F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EC19CA"/>
    <w:multiLevelType w:val="hybridMultilevel"/>
    <w:tmpl w:val="10E81606"/>
    <w:lvl w:ilvl="0" w:tplc="6206F5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0"/>
  </w:num>
  <w:num w:numId="5">
    <w:abstractNumId w:val="2"/>
  </w:num>
  <w:num w:numId="6">
    <w:abstractNumId w:val="4"/>
  </w:num>
  <w:num w:numId="7">
    <w:abstractNumId w:val="28"/>
  </w:num>
  <w:num w:numId="8">
    <w:abstractNumId w:val="17"/>
  </w:num>
  <w:num w:numId="9">
    <w:abstractNumId w:val="14"/>
  </w:num>
  <w:num w:numId="10">
    <w:abstractNumId w:val="22"/>
  </w:num>
  <w:num w:numId="11">
    <w:abstractNumId w:val="25"/>
  </w:num>
  <w:num w:numId="12">
    <w:abstractNumId w:val="27"/>
  </w:num>
  <w:num w:numId="13">
    <w:abstractNumId w:val="6"/>
  </w:num>
  <w:num w:numId="14">
    <w:abstractNumId w:val="7"/>
  </w:num>
  <w:num w:numId="15">
    <w:abstractNumId w:val="12"/>
  </w:num>
  <w:num w:numId="16">
    <w:abstractNumId w:val="1"/>
  </w:num>
  <w:num w:numId="17">
    <w:abstractNumId w:val="15"/>
  </w:num>
  <w:num w:numId="18">
    <w:abstractNumId w:val="23"/>
  </w:num>
  <w:num w:numId="19">
    <w:abstractNumId w:val="18"/>
  </w:num>
  <w:num w:numId="20">
    <w:abstractNumId w:val="21"/>
  </w:num>
  <w:num w:numId="21">
    <w:abstractNumId w:val="16"/>
  </w:num>
  <w:num w:numId="22">
    <w:abstractNumId w:val="10"/>
  </w:num>
  <w:num w:numId="23">
    <w:abstractNumId w:val="24"/>
  </w:num>
  <w:num w:numId="24">
    <w:abstractNumId w:val="26"/>
  </w:num>
  <w:num w:numId="25">
    <w:abstractNumId w:val="19"/>
  </w:num>
  <w:num w:numId="26">
    <w:abstractNumId w:val="13"/>
  </w:num>
  <w:num w:numId="27">
    <w:abstractNumId w:val="8"/>
  </w:num>
  <w:num w:numId="28">
    <w:abstractNumId w:val="20"/>
  </w:num>
  <w:num w:numId="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0731F"/>
    <w:rsid w:val="0001755A"/>
    <w:rsid w:val="00027CC9"/>
    <w:rsid w:val="000329DF"/>
    <w:rsid w:val="000406BF"/>
    <w:rsid w:val="00052210"/>
    <w:rsid w:val="000620A3"/>
    <w:rsid w:val="00067548"/>
    <w:rsid w:val="0008225C"/>
    <w:rsid w:val="00085910"/>
    <w:rsid w:val="000B1213"/>
    <w:rsid w:val="000B4E09"/>
    <w:rsid w:val="000B56C0"/>
    <w:rsid w:val="000C7439"/>
    <w:rsid w:val="000D134C"/>
    <w:rsid w:val="000E59FE"/>
    <w:rsid w:val="000F41B0"/>
    <w:rsid w:val="00123693"/>
    <w:rsid w:val="00127888"/>
    <w:rsid w:val="001319D6"/>
    <w:rsid w:val="001440D9"/>
    <w:rsid w:val="00155D8D"/>
    <w:rsid w:val="0015619D"/>
    <w:rsid w:val="001612A3"/>
    <w:rsid w:val="0017130D"/>
    <w:rsid w:val="00176925"/>
    <w:rsid w:val="001838D0"/>
    <w:rsid w:val="00190B14"/>
    <w:rsid w:val="001A38E2"/>
    <w:rsid w:val="001A39B3"/>
    <w:rsid w:val="001B6C19"/>
    <w:rsid w:val="001C1E1B"/>
    <w:rsid w:val="001C6F6C"/>
    <w:rsid w:val="001D5FC0"/>
    <w:rsid w:val="001E370B"/>
    <w:rsid w:val="001F12A0"/>
    <w:rsid w:val="00201590"/>
    <w:rsid w:val="00202397"/>
    <w:rsid w:val="0020690A"/>
    <w:rsid w:val="002214C6"/>
    <w:rsid w:val="00225201"/>
    <w:rsid w:val="002356E1"/>
    <w:rsid w:val="00242265"/>
    <w:rsid w:val="00257555"/>
    <w:rsid w:val="00263B15"/>
    <w:rsid w:val="0027169F"/>
    <w:rsid w:val="00273D73"/>
    <w:rsid w:val="00275AFA"/>
    <w:rsid w:val="00285B3F"/>
    <w:rsid w:val="00287630"/>
    <w:rsid w:val="00287997"/>
    <w:rsid w:val="002A5311"/>
    <w:rsid w:val="002B315C"/>
    <w:rsid w:val="002B5FA3"/>
    <w:rsid w:val="002B79A5"/>
    <w:rsid w:val="002F044F"/>
    <w:rsid w:val="002F11B1"/>
    <w:rsid w:val="002F3C7A"/>
    <w:rsid w:val="002F67DD"/>
    <w:rsid w:val="00303EF2"/>
    <w:rsid w:val="0030595D"/>
    <w:rsid w:val="003102E9"/>
    <w:rsid w:val="0031107D"/>
    <w:rsid w:val="003235A9"/>
    <w:rsid w:val="00332FA6"/>
    <w:rsid w:val="00333974"/>
    <w:rsid w:val="003339A2"/>
    <w:rsid w:val="00342337"/>
    <w:rsid w:val="0034567E"/>
    <w:rsid w:val="00347145"/>
    <w:rsid w:val="0035046C"/>
    <w:rsid w:val="003530A6"/>
    <w:rsid w:val="003640D6"/>
    <w:rsid w:val="003A14FF"/>
    <w:rsid w:val="003A20BC"/>
    <w:rsid w:val="003A40D5"/>
    <w:rsid w:val="003A5225"/>
    <w:rsid w:val="003A71F6"/>
    <w:rsid w:val="003B1A3F"/>
    <w:rsid w:val="003B225B"/>
    <w:rsid w:val="003B2C54"/>
    <w:rsid w:val="003B4D81"/>
    <w:rsid w:val="003B7645"/>
    <w:rsid w:val="003C266B"/>
    <w:rsid w:val="003C551A"/>
    <w:rsid w:val="003C5E75"/>
    <w:rsid w:val="003D09C8"/>
    <w:rsid w:val="003D1BEA"/>
    <w:rsid w:val="003F2D96"/>
    <w:rsid w:val="003F3835"/>
    <w:rsid w:val="004046C6"/>
    <w:rsid w:val="00431501"/>
    <w:rsid w:val="00432E3D"/>
    <w:rsid w:val="00435DDC"/>
    <w:rsid w:val="00437829"/>
    <w:rsid w:val="00444516"/>
    <w:rsid w:val="00450BDD"/>
    <w:rsid w:val="00454923"/>
    <w:rsid w:val="00457AD8"/>
    <w:rsid w:val="00470C95"/>
    <w:rsid w:val="0048312C"/>
    <w:rsid w:val="00487C1F"/>
    <w:rsid w:val="00497F3A"/>
    <w:rsid w:val="004A157D"/>
    <w:rsid w:val="004B5B75"/>
    <w:rsid w:val="004C0C18"/>
    <w:rsid w:val="004E21CE"/>
    <w:rsid w:val="004E4894"/>
    <w:rsid w:val="00500758"/>
    <w:rsid w:val="00510365"/>
    <w:rsid w:val="00512DB1"/>
    <w:rsid w:val="00514286"/>
    <w:rsid w:val="00514BE0"/>
    <w:rsid w:val="00516DE7"/>
    <w:rsid w:val="0052262E"/>
    <w:rsid w:val="00524258"/>
    <w:rsid w:val="00534385"/>
    <w:rsid w:val="00560EC9"/>
    <w:rsid w:val="0056377E"/>
    <w:rsid w:val="00565940"/>
    <w:rsid w:val="00575B44"/>
    <w:rsid w:val="005773C2"/>
    <w:rsid w:val="00582A5E"/>
    <w:rsid w:val="005959E2"/>
    <w:rsid w:val="00597B06"/>
    <w:rsid w:val="005A314A"/>
    <w:rsid w:val="005B35B4"/>
    <w:rsid w:val="005C2A3E"/>
    <w:rsid w:val="005D522B"/>
    <w:rsid w:val="005E3FCB"/>
    <w:rsid w:val="005F1572"/>
    <w:rsid w:val="005F25D5"/>
    <w:rsid w:val="005F557C"/>
    <w:rsid w:val="005F7112"/>
    <w:rsid w:val="00605635"/>
    <w:rsid w:val="00622CF1"/>
    <w:rsid w:val="00634956"/>
    <w:rsid w:val="00643D14"/>
    <w:rsid w:val="00647BE3"/>
    <w:rsid w:val="00664B02"/>
    <w:rsid w:val="00664D8D"/>
    <w:rsid w:val="00670466"/>
    <w:rsid w:val="00683379"/>
    <w:rsid w:val="00683FEC"/>
    <w:rsid w:val="006A0A55"/>
    <w:rsid w:val="006A0C8C"/>
    <w:rsid w:val="006D03BE"/>
    <w:rsid w:val="006D5161"/>
    <w:rsid w:val="006D5DD2"/>
    <w:rsid w:val="006F4A7F"/>
    <w:rsid w:val="007325E2"/>
    <w:rsid w:val="00747169"/>
    <w:rsid w:val="007615D4"/>
    <w:rsid w:val="00763371"/>
    <w:rsid w:val="00772B6A"/>
    <w:rsid w:val="00773107"/>
    <w:rsid w:val="00782BAF"/>
    <w:rsid w:val="007C355E"/>
    <w:rsid w:val="007D46DF"/>
    <w:rsid w:val="007E73DB"/>
    <w:rsid w:val="007F4A8C"/>
    <w:rsid w:val="00803A0A"/>
    <w:rsid w:val="00803F59"/>
    <w:rsid w:val="00816859"/>
    <w:rsid w:val="008169A7"/>
    <w:rsid w:val="008266B6"/>
    <w:rsid w:val="00847824"/>
    <w:rsid w:val="00852EE0"/>
    <w:rsid w:val="008579AE"/>
    <w:rsid w:val="008763BA"/>
    <w:rsid w:val="00895CBB"/>
    <w:rsid w:val="00897B0E"/>
    <w:rsid w:val="008A1AE4"/>
    <w:rsid w:val="008A60A3"/>
    <w:rsid w:val="008B0240"/>
    <w:rsid w:val="008C5B6E"/>
    <w:rsid w:val="008C73BE"/>
    <w:rsid w:val="008D22BB"/>
    <w:rsid w:val="008E046C"/>
    <w:rsid w:val="008E77E8"/>
    <w:rsid w:val="008F16FA"/>
    <w:rsid w:val="008F4401"/>
    <w:rsid w:val="009032BB"/>
    <w:rsid w:val="00906047"/>
    <w:rsid w:val="00913699"/>
    <w:rsid w:val="0092189C"/>
    <w:rsid w:val="0092771D"/>
    <w:rsid w:val="00931495"/>
    <w:rsid w:val="0094345E"/>
    <w:rsid w:val="009512F4"/>
    <w:rsid w:val="009530DA"/>
    <w:rsid w:val="009634D7"/>
    <w:rsid w:val="00973C6A"/>
    <w:rsid w:val="00976F57"/>
    <w:rsid w:val="009945E0"/>
    <w:rsid w:val="00996620"/>
    <w:rsid w:val="009A360D"/>
    <w:rsid w:val="009B46EE"/>
    <w:rsid w:val="009C0CAD"/>
    <w:rsid w:val="009C5158"/>
    <w:rsid w:val="009C5726"/>
    <w:rsid w:val="009D14BA"/>
    <w:rsid w:val="00A31C9B"/>
    <w:rsid w:val="00A348DE"/>
    <w:rsid w:val="00A416A0"/>
    <w:rsid w:val="00A45768"/>
    <w:rsid w:val="00A52AFC"/>
    <w:rsid w:val="00A5511F"/>
    <w:rsid w:val="00A55B11"/>
    <w:rsid w:val="00A66C01"/>
    <w:rsid w:val="00A71856"/>
    <w:rsid w:val="00A979D5"/>
    <w:rsid w:val="00AA7F92"/>
    <w:rsid w:val="00AB3F3A"/>
    <w:rsid w:val="00AB529D"/>
    <w:rsid w:val="00AC1A5E"/>
    <w:rsid w:val="00AC3BB6"/>
    <w:rsid w:val="00AC4653"/>
    <w:rsid w:val="00AD62A6"/>
    <w:rsid w:val="00AE1A2E"/>
    <w:rsid w:val="00AE39F6"/>
    <w:rsid w:val="00AE692D"/>
    <w:rsid w:val="00AE6D43"/>
    <w:rsid w:val="00AE71DB"/>
    <w:rsid w:val="00AF3EDD"/>
    <w:rsid w:val="00B0361F"/>
    <w:rsid w:val="00B06B14"/>
    <w:rsid w:val="00B10F8C"/>
    <w:rsid w:val="00B155D3"/>
    <w:rsid w:val="00B25976"/>
    <w:rsid w:val="00B455FB"/>
    <w:rsid w:val="00B50740"/>
    <w:rsid w:val="00B571FF"/>
    <w:rsid w:val="00B813C7"/>
    <w:rsid w:val="00B85733"/>
    <w:rsid w:val="00B861D9"/>
    <w:rsid w:val="00BB2BA4"/>
    <w:rsid w:val="00BB4B99"/>
    <w:rsid w:val="00BB73F6"/>
    <w:rsid w:val="00BC0786"/>
    <w:rsid w:val="00BC2A15"/>
    <w:rsid w:val="00BC7773"/>
    <w:rsid w:val="00BD3885"/>
    <w:rsid w:val="00BE1776"/>
    <w:rsid w:val="00BE6583"/>
    <w:rsid w:val="00C165C6"/>
    <w:rsid w:val="00C20E1A"/>
    <w:rsid w:val="00C26459"/>
    <w:rsid w:val="00C379C8"/>
    <w:rsid w:val="00C408FD"/>
    <w:rsid w:val="00C42826"/>
    <w:rsid w:val="00C572E1"/>
    <w:rsid w:val="00C614D1"/>
    <w:rsid w:val="00C66174"/>
    <w:rsid w:val="00C70B4B"/>
    <w:rsid w:val="00C8761A"/>
    <w:rsid w:val="00C94FA5"/>
    <w:rsid w:val="00CA42CC"/>
    <w:rsid w:val="00CA7D5E"/>
    <w:rsid w:val="00CB2B24"/>
    <w:rsid w:val="00CC023A"/>
    <w:rsid w:val="00CC1723"/>
    <w:rsid w:val="00CC34FC"/>
    <w:rsid w:val="00CC396A"/>
    <w:rsid w:val="00CD561C"/>
    <w:rsid w:val="00CE1137"/>
    <w:rsid w:val="00CE4C85"/>
    <w:rsid w:val="00CF5F95"/>
    <w:rsid w:val="00D05370"/>
    <w:rsid w:val="00D07DF0"/>
    <w:rsid w:val="00D15FA3"/>
    <w:rsid w:val="00D17D99"/>
    <w:rsid w:val="00D2692D"/>
    <w:rsid w:val="00D3624B"/>
    <w:rsid w:val="00D441AF"/>
    <w:rsid w:val="00D515E0"/>
    <w:rsid w:val="00D6089A"/>
    <w:rsid w:val="00D61947"/>
    <w:rsid w:val="00D61B6F"/>
    <w:rsid w:val="00D65F16"/>
    <w:rsid w:val="00D67F3A"/>
    <w:rsid w:val="00D72AB2"/>
    <w:rsid w:val="00D84A81"/>
    <w:rsid w:val="00D9382F"/>
    <w:rsid w:val="00D96E56"/>
    <w:rsid w:val="00DB4177"/>
    <w:rsid w:val="00DC49A0"/>
    <w:rsid w:val="00DD180D"/>
    <w:rsid w:val="00DE5EB7"/>
    <w:rsid w:val="00DE6A51"/>
    <w:rsid w:val="00DF203E"/>
    <w:rsid w:val="00DF38D1"/>
    <w:rsid w:val="00DF6FB6"/>
    <w:rsid w:val="00DF78B5"/>
    <w:rsid w:val="00E2583E"/>
    <w:rsid w:val="00E26EAE"/>
    <w:rsid w:val="00E3681E"/>
    <w:rsid w:val="00E42D13"/>
    <w:rsid w:val="00E50D8B"/>
    <w:rsid w:val="00E50FDC"/>
    <w:rsid w:val="00E52E30"/>
    <w:rsid w:val="00E5305A"/>
    <w:rsid w:val="00E53061"/>
    <w:rsid w:val="00E64858"/>
    <w:rsid w:val="00E65ED9"/>
    <w:rsid w:val="00E70459"/>
    <w:rsid w:val="00E838EA"/>
    <w:rsid w:val="00E86606"/>
    <w:rsid w:val="00EA017B"/>
    <w:rsid w:val="00EA263B"/>
    <w:rsid w:val="00EA3D96"/>
    <w:rsid w:val="00EA5B54"/>
    <w:rsid w:val="00EA7E10"/>
    <w:rsid w:val="00EB6E7D"/>
    <w:rsid w:val="00EC30D5"/>
    <w:rsid w:val="00ED59B8"/>
    <w:rsid w:val="00ED5F3C"/>
    <w:rsid w:val="00F11C89"/>
    <w:rsid w:val="00F22D91"/>
    <w:rsid w:val="00F27565"/>
    <w:rsid w:val="00F31760"/>
    <w:rsid w:val="00F3681D"/>
    <w:rsid w:val="00F375A2"/>
    <w:rsid w:val="00F52561"/>
    <w:rsid w:val="00F562EE"/>
    <w:rsid w:val="00F57F6A"/>
    <w:rsid w:val="00F901B6"/>
    <w:rsid w:val="00F90369"/>
    <w:rsid w:val="00FA3553"/>
    <w:rsid w:val="00FA3AB5"/>
    <w:rsid w:val="00FB716C"/>
    <w:rsid w:val="00FC1EA6"/>
    <w:rsid w:val="00FC4160"/>
    <w:rsid w:val="00FD33B3"/>
    <w:rsid w:val="00FE217A"/>
    <w:rsid w:val="00FE232D"/>
    <w:rsid w:val="00FE3EE1"/>
    <w:rsid w:val="00FF022F"/>
    <w:rsid w:val="00FF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character" w:customStyle="1" w:styleId="Mencinsinresolver2">
    <w:name w:val="Mención sin resolver2"/>
    <w:basedOn w:val="Fuentedeprrafopredeter"/>
    <w:uiPriority w:val="99"/>
    <w:semiHidden/>
    <w:unhideWhenUsed/>
    <w:rsid w:val="0028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1197305004">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1741319092">
      <w:bodyDiv w:val="1"/>
      <w:marLeft w:val="0"/>
      <w:marRight w:val="0"/>
      <w:marTop w:val="0"/>
      <w:marBottom w:val="0"/>
      <w:divBdr>
        <w:top w:val="none" w:sz="0" w:space="0" w:color="auto"/>
        <w:left w:val="none" w:sz="0" w:space="0" w:color="auto"/>
        <w:bottom w:val="none" w:sz="0" w:space="0" w:color="auto"/>
        <w:right w:val="none" w:sz="0" w:space="0" w:color="auto"/>
      </w:divBdr>
    </w:div>
    <w:div w:id="1803381339">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4FFA-A44B-4F8E-91F6-789285A8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3873</Words>
  <Characters>21304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14</cp:revision>
  <cp:lastPrinted>2026-04-17T15:50:00Z</cp:lastPrinted>
  <dcterms:created xsi:type="dcterms:W3CDTF">2026-04-08T21:36:00Z</dcterms:created>
  <dcterms:modified xsi:type="dcterms:W3CDTF">2026-04-24T16:08:00Z</dcterms:modified>
</cp:coreProperties>
</file>