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9466D" w14:textId="77777777" w:rsidR="00F4599C" w:rsidRPr="00290F84" w:rsidRDefault="00F4599C" w:rsidP="000C0C40">
      <w:pPr>
        <w:tabs>
          <w:tab w:val="left" w:pos="8931"/>
        </w:tabs>
        <w:spacing w:after="0" w:line="360" w:lineRule="auto"/>
        <w:ind w:left="8931" w:hanging="8931"/>
        <w:contextualSpacing/>
        <w:rPr>
          <w:rFonts w:ascii="Palatino Linotype" w:eastAsia="Times New Roman" w:hAnsi="Palatino Linotype" w:cs="Times New Roman"/>
          <w:sz w:val="20"/>
          <w:szCs w:val="20"/>
          <w:lang w:eastAsia="es-MX"/>
        </w:rPr>
      </w:pPr>
      <w:bookmarkStart w:id="0" w:name="_Hlk215665293"/>
      <w:bookmarkStart w:id="1" w:name="_Hlk226484312"/>
    </w:p>
    <w:sdt>
      <w:sdtPr>
        <w:rPr>
          <w:rFonts w:ascii="Palatino Linotype" w:eastAsia="Palatino Linotype" w:hAnsi="Palatino Linotype" w:cs="Palatino Linotype"/>
          <w:sz w:val="22"/>
          <w:szCs w:val="22"/>
          <w:lang w:val="es-ES" w:eastAsia="es-MX"/>
        </w:rPr>
        <w:id w:val="789625836"/>
        <w:docPartObj>
          <w:docPartGallery w:val="Table of Contents"/>
          <w:docPartUnique/>
        </w:docPartObj>
      </w:sdtPr>
      <w:sdtEndPr>
        <w:rPr>
          <w:rFonts w:eastAsia="Times New Roman" w:cs="Times New Roman"/>
          <w:bCs/>
          <w:sz w:val="20"/>
          <w:szCs w:val="20"/>
        </w:rPr>
      </w:sdtEndPr>
      <w:sdtContent>
        <w:p w14:paraId="5D9FA2FB" w14:textId="77777777" w:rsidR="00F4599C" w:rsidRPr="00EF7988" w:rsidRDefault="00F4599C" w:rsidP="000C0C40">
          <w:pPr>
            <w:keepNext/>
            <w:keepLines/>
            <w:spacing w:after="0" w:line="360" w:lineRule="auto"/>
            <w:contextualSpacing/>
            <w:jc w:val="both"/>
            <w:rPr>
              <w:rFonts w:ascii="Palatino Linotype" w:eastAsia="Palatino Linotype" w:hAnsi="Palatino Linotype" w:cs="Palatino Linotype"/>
              <w:sz w:val="22"/>
              <w:szCs w:val="22"/>
              <w:lang w:val="es-ES" w:eastAsia="es-MX"/>
            </w:rPr>
          </w:pPr>
        </w:p>
        <w:p w14:paraId="503C59DD" w14:textId="5FD9867B" w:rsidR="00F4599C" w:rsidRPr="00EF7988" w:rsidRDefault="00F4599C" w:rsidP="000C0C40">
          <w:pPr>
            <w:keepNext/>
            <w:keepLines/>
            <w:spacing w:after="0" w:line="360" w:lineRule="auto"/>
            <w:contextualSpacing/>
            <w:jc w:val="center"/>
            <w:rPr>
              <w:rFonts w:ascii="Palatino Linotype" w:eastAsiaTheme="majorEastAsia" w:hAnsi="Palatino Linotype" w:cstheme="majorBidi"/>
              <w:sz w:val="22"/>
              <w:szCs w:val="22"/>
              <w:lang w:eastAsia="es-MX"/>
            </w:rPr>
          </w:pPr>
          <w:r w:rsidRPr="00EF7988">
            <w:rPr>
              <w:rFonts w:ascii="Palatino Linotype" w:eastAsiaTheme="majorEastAsia" w:hAnsi="Palatino Linotype" w:cstheme="majorBidi"/>
              <w:sz w:val="22"/>
              <w:szCs w:val="22"/>
              <w:lang w:val="es-ES" w:eastAsia="es-MX"/>
            </w:rPr>
            <w:t xml:space="preserve">RESOLUCIÓN DEL RECURSO DE REVISIÓN </w:t>
          </w:r>
          <w:r w:rsidRPr="00EF7988">
            <w:rPr>
              <w:rFonts w:ascii="Palatino Linotype" w:eastAsiaTheme="majorEastAsia" w:hAnsi="Palatino Linotype" w:cstheme="majorBidi"/>
              <w:sz w:val="22"/>
              <w:szCs w:val="22"/>
              <w:lang w:eastAsia="es-MX"/>
            </w:rPr>
            <w:t>06006/INFOEM/IP/RR/2026</w:t>
          </w:r>
        </w:p>
        <w:p w14:paraId="36505598" w14:textId="77777777" w:rsidR="00F4599C" w:rsidRPr="00EF7988" w:rsidRDefault="00F4599C" w:rsidP="000C0C40">
          <w:pPr>
            <w:spacing w:after="0" w:line="360" w:lineRule="auto"/>
            <w:contextualSpacing/>
            <w:jc w:val="both"/>
            <w:rPr>
              <w:rFonts w:ascii="Palatino Linotype" w:eastAsia="Times New Roman" w:hAnsi="Palatino Linotype" w:cs="Times New Roman"/>
              <w:sz w:val="22"/>
              <w:szCs w:val="22"/>
              <w:lang w:eastAsia="es-MX"/>
            </w:rPr>
          </w:pPr>
        </w:p>
        <w:p w14:paraId="6CB0425D" w14:textId="55DDFFAE" w:rsidR="00EB5DFC" w:rsidRPr="00EB5DFC" w:rsidRDefault="00F4599C">
          <w:pPr>
            <w:pStyle w:val="TDC1"/>
            <w:tabs>
              <w:tab w:val="right" w:leader="dot" w:pos="8828"/>
            </w:tabs>
            <w:rPr>
              <w:noProof/>
              <w:kern w:val="2"/>
              <w:sz w:val="22"/>
              <w:szCs w:val="22"/>
              <w:lang w:eastAsia="es-MX"/>
              <w14:ligatures w14:val="standardContextual"/>
            </w:rPr>
          </w:pPr>
          <w:r w:rsidRPr="00EF7988">
            <w:rPr>
              <w:rFonts w:ascii="Palatino Linotype" w:eastAsia="Palatino Linotype" w:hAnsi="Palatino Linotype" w:cs="Palatino Linotype"/>
              <w:sz w:val="22"/>
              <w:szCs w:val="22"/>
              <w:lang w:eastAsia="es-MX"/>
            </w:rPr>
            <w:fldChar w:fldCharType="begin"/>
          </w:r>
          <w:r w:rsidRPr="00EF7988">
            <w:rPr>
              <w:rFonts w:ascii="Palatino Linotype" w:eastAsia="Palatino Linotype" w:hAnsi="Palatino Linotype" w:cs="Palatino Linotype"/>
              <w:sz w:val="22"/>
              <w:szCs w:val="22"/>
              <w:lang w:eastAsia="es-MX"/>
            </w:rPr>
            <w:instrText xml:space="preserve"> TOC \o "1-3" \h \z \u </w:instrText>
          </w:r>
          <w:r w:rsidRPr="00EF7988">
            <w:rPr>
              <w:rFonts w:ascii="Palatino Linotype" w:eastAsia="Palatino Linotype" w:hAnsi="Palatino Linotype" w:cs="Palatino Linotype"/>
              <w:sz w:val="22"/>
              <w:szCs w:val="22"/>
              <w:lang w:eastAsia="es-MX"/>
            </w:rPr>
            <w:fldChar w:fldCharType="separate"/>
          </w:r>
          <w:hyperlink w:anchor="_Toc235115839" w:history="1">
            <w:r w:rsidR="00EB5DFC" w:rsidRPr="00EB5DFC">
              <w:rPr>
                <w:rStyle w:val="Hipervnculo"/>
                <w:rFonts w:ascii="Palatino Linotype" w:eastAsiaTheme="majorEastAsia" w:hAnsi="Palatino Linotype" w:cstheme="majorBidi"/>
                <w:noProof/>
                <w:lang w:eastAsia="es-MX"/>
              </w:rPr>
              <w:t>A N T E C E D E N T E S</w:t>
            </w:r>
            <w:r w:rsidR="00EB5DFC" w:rsidRPr="00EB5DFC">
              <w:rPr>
                <w:noProof/>
                <w:webHidden/>
              </w:rPr>
              <w:tab/>
            </w:r>
            <w:r w:rsidR="00EB5DFC" w:rsidRPr="00EB5DFC">
              <w:rPr>
                <w:noProof/>
                <w:webHidden/>
              </w:rPr>
              <w:fldChar w:fldCharType="begin"/>
            </w:r>
            <w:r w:rsidR="00EB5DFC" w:rsidRPr="00EB5DFC">
              <w:rPr>
                <w:noProof/>
                <w:webHidden/>
              </w:rPr>
              <w:instrText xml:space="preserve"> PAGEREF _Toc235115839 \h </w:instrText>
            </w:r>
            <w:r w:rsidR="00EB5DFC" w:rsidRPr="00EB5DFC">
              <w:rPr>
                <w:noProof/>
                <w:webHidden/>
              </w:rPr>
            </w:r>
            <w:r w:rsidR="00EB5DFC" w:rsidRPr="00EB5DFC">
              <w:rPr>
                <w:noProof/>
                <w:webHidden/>
              </w:rPr>
              <w:fldChar w:fldCharType="separate"/>
            </w:r>
            <w:r w:rsidR="007835E3">
              <w:rPr>
                <w:noProof/>
                <w:webHidden/>
              </w:rPr>
              <w:t>2</w:t>
            </w:r>
            <w:r w:rsidR="00EB5DFC" w:rsidRPr="00EB5DFC">
              <w:rPr>
                <w:noProof/>
                <w:webHidden/>
              </w:rPr>
              <w:fldChar w:fldCharType="end"/>
            </w:r>
          </w:hyperlink>
        </w:p>
        <w:p w14:paraId="40EECD84" w14:textId="6354BC98" w:rsidR="00EB5DFC" w:rsidRPr="00EB5DFC" w:rsidRDefault="00EB5DFC">
          <w:pPr>
            <w:pStyle w:val="TDC2"/>
            <w:rPr>
              <w:noProof/>
              <w:kern w:val="2"/>
              <w:sz w:val="22"/>
              <w:szCs w:val="22"/>
              <w:lang w:eastAsia="es-MX"/>
              <w14:ligatures w14:val="standardContextual"/>
            </w:rPr>
          </w:pPr>
          <w:hyperlink w:anchor="_Toc235115840" w:history="1">
            <w:r w:rsidRPr="00EB5DFC">
              <w:rPr>
                <w:rStyle w:val="Hipervnculo"/>
                <w:rFonts w:ascii="Palatino Linotype" w:eastAsiaTheme="majorEastAsia" w:hAnsi="Palatino Linotype" w:cstheme="majorBidi"/>
                <w:noProof/>
                <w:lang w:eastAsia="es-MX"/>
              </w:rPr>
              <w:t>I. Presentación de la solicitud de información</w:t>
            </w:r>
            <w:r w:rsidRPr="00EB5DFC">
              <w:rPr>
                <w:noProof/>
                <w:webHidden/>
              </w:rPr>
              <w:tab/>
            </w:r>
            <w:r w:rsidRPr="00EB5DFC">
              <w:rPr>
                <w:noProof/>
                <w:webHidden/>
              </w:rPr>
              <w:fldChar w:fldCharType="begin"/>
            </w:r>
            <w:r w:rsidRPr="00EB5DFC">
              <w:rPr>
                <w:noProof/>
                <w:webHidden/>
              </w:rPr>
              <w:instrText xml:space="preserve"> PAGEREF _Toc235115840 \h </w:instrText>
            </w:r>
            <w:r w:rsidRPr="00EB5DFC">
              <w:rPr>
                <w:noProof/>
                <w:webHidden/>
              </w:rPr>
            </w:r>
            <w:r w:rsidRPr="00EB5DFC">
              <w:rPr>
                <w:noProof/>
                <w:webHidden/>
              </w:rPr>
              <w:fldChar w:fldCharType="separate"/>
            </w:r>
            <w:r w:rsidR="007835E3">
              <w:rPr>
                <w:noProof/>
                <w:webHidden/>
              </w:rPr>
              <w:t>2</w:t>
            </w:r>
            <w:r w:rsidRPr="00EB5DFC">
              <w:rPr>
                <w:noProof/>
                <w:webHidden/>
              </w:rPr>
              <w:fldChar w:fldCharType="end"/>
            </w:r>
          </w:hyperlink>
        </w:p>
        <w:p w14:paraId="244F11CE" w14:textId="3DFEDA31" w:rsidR="00EB5DFC" w:rsidRPr="00EB5DFC" w:rsidRDefault="00EB5DFC">
          <w:pPr>
            <w:pStyle w:val="TDC2"/>
            <w:rPr>
              <w:noProof/>
              <w:kern w:val="2"/>
              <w:sz w:val="22"/>
              <w:szCs w:val="22"/>
              <w:lang w:eastAsia="es-MX"/>
              <w14:ligatures w14:val="standardContextual"/>
            </w:rPr>
          </w:pPr>
          <w:hyperlink w:anchor="_Toc235115841" w:history="1">
            <w:r w:rsidRPr="00EB5DFC">
              <w:rPr>
                <w:rStyle w:val="Hipervnculo"/>
                <w:rFonts w:ascii="Palatino Linotype" w:eastAsiaTheme="majorEastAsia" w:hAnsi="Palatino Linotype" w:cstheme="majorBidi"/>
                <w:noProof/>
                <w:lang w:eastAsia="es-MX"/>
              </w:rPr>
              <w:t>III. Interposición del Recurso de Revisión</w:t>
            </w:r>
            <w:r w:rsidRPr="00EB5DFC">
              <w:rPr>
                <w:noProof/>
                <w:webHidden/>
              </w:rPr>
              <w:tab/>
            </w:r>
            <w:r w:rsidRPr="00EB5DFC">
              <w:rPr>
                <w:noProof/>
                <w:webHidden/>
              </w:rPr>
              <w:fldChar w:fldCharType="begin"/>
            </w:r>
            <w:r w:rsidRPr="00EB5DFC">
              <w:rPr>
                <w:noProof/>
                <w:webHidden/>
              </w:rPr>
              <w:instrText xml:space="preserve"> PAGEREF _Toc235115841 \h </w:instrText>
            </w:r>
            <w:r w:rsidRPr="00EB5DFC">
              <w:rPr>
                <w:noProof/>
                <w:webHidden/>
              </w:rPr>
            </w:r>
            <w:r w:rsidRPr="00EB5DFC">
              <w:rPr>
                <w:noProof/>
                <w:webHidden/>
              </w:rPr>
              <w:fldChar w:fldCharType="separate"/>
            </w:r>
            <w:r w:rsidR="007835E3">
              <w:rPr>
                <w:noProof/>
                <w:webHidden/>
              </w:rPr>
              <w:t>8</w:t>
            </w:r>
            <w:r w:rsidRPr="00EB5DFC">
              <w:rPr>
                <w:noProof/>
                <w:webHidden/>
              </w:rPr>
              <w:fldChar w:fldCharType="end"/>
            </w:r>
          </w:hyperlink>
        </w:p>
        <w:p w14:paraId="086ABEF1" w14:textId="1782AF54" w:rsidR="00EB5DFC" w:rsidRPr="00EB5DFC" w:rsidRDefault="00EB5DFC">
          <w:pPr>
            <w:pStyle w:val="TDC2"/>
            <w:rPr>
              <w:noProof/>
              <w:kern w:val="2"/>
              <w:sz w:val="22"/>
              <w:szCs w:val="22"/>
              <w:lang w:eastAsia="es-MX"/>
              <w14:ligatures w14:val="standardContextual"/>
            </w:rPr>
          </w:pPr>
          <w:hyperlink w:anchor="_Toc235115842" w:history="1">
            <w:r w:rsidRPr="00EB5DFC">
              <w:rPr>
                <w:rStyle w:val="Hipervnculo"/>
                <w:rFonts w:ascii="Palatino Linotype" w:eastAsiaTheme="majorEastAsia" w:hAnsi="Palatino Linotype" w:cstheme="majorBidi"/>
                <w:noProof/>
                <w:lang w:eastAsia="es-MX"/>
              </w:rPr>
              <w:t>IV. Trámite del Recurso de Revisión ante este Instituto</w:t>
            </w:r>
            <w:r w:rsidRPr="00EB5DFC">
              <w:rPr>
                <w:noProof/>
                <w:webHidden/>
              </w:rPr>
              <w:tab/>
            </w:r>
            <w:r w:rsidRPr="00EB5DFC">
              <w:rPr>
                <w:noProof/>
                <w:webHidden/>
              </w:rPr>
              <w:fldChar w:fldCharType="begin"/>
            </w:r>
            <w:r w:rsidRPr="00EB5DFC">
              <w:rPr>
                <w:noProof/>
                <w:webHidden/>
              </w:rPr>
              <w:instrText xml:space="preserve"> PAGEREF _Toc235115842 \h </w:instrText>
            </w:r>
            <w:r w:rsidRPr="00EB5DFC">
              <w:rPr>
                <w:noProof/>
                <w:webHidden/>
              </w:rPr>
            </w:r>
            <w:r w:rsidRPr="00EB5DFC">
              <w:rPr>
                <w:noProof/>
                <w:webHidden/>
              </w:rPr>
              <w:fldChar w:fldCharType="separate"/>
            </w:r>
            <w:r w:rsidR="007835E3">
              <w:rPr>
                <w:noProof/>
                <w:webHidden/>
              </w:rPr>
              <w:t>11</w:t>
            </w:r>
            <w:r w:rsidRPr="00EB5DFC">
              <w:rPr>
                <w:noProof/>
                <w:webHidden/>
              </w:rPr>
              <w:fldChar w:fldCharType="end"/>
            </w:r>
          </w:hyperlink>
        </w:p>
        <w:p w14:paraId="022BD263" w14:textId="3BF27807" w:rsidR="00EB5DFC" w:rsidRPr="00EB5DFC" w:rsidRDefault="00EB5DFC">
          <w:pPr>
            <w:pStyle w:val="TDC1"/>
            <w:tabs>
              <w:tab w:val="right" w:leader="dot" w:pos="8828"/>
            </w:tabs>
            <w:rPr>
              <w:noProof/>
              <w:kern w:val="2"/>
              <w:sz w:val="22"/>
              <w:szCs w:val="22"/>
              <w:lang w:eastAsia="es-MX"/>
              <w14:ligatures w14:val="standardContextual"/>
            </w:rPr>
          </w:pPr>
          <w:hyperlink w:anchor="_Toc235115843" w:history="1">
            <w:r w:rsidRPr="00EB5DFC">
              <w:rPr>
                <w:rStyle w:val="Hipervnculo"/>
                <w:rFonts w:ascii="Palatino Linotype" w:eastAsia="Palatino Linotype" w:hAnsi="Palatino Linotype" w:cs="Palatino Linotype"/>
                <w:noProof/>
                <w:lang w:eastAsia="es-MX"/>
              </w:rPr>
              <w:t>C O N S I D E R A N D O S</w:t>
            </w:r>
            <w:r w:rsidRPr="00EB5DFC">
              <w:rPr>
                <w:noProof/>
                <w:webHidden/>
              </w:rPr>
              <w:tab/>
            </w:r>
            <w:r w:rsidRPr="00EB5DFC">
              <w:rPr>
                <w:noProof/>
                <w:webHidden/>
              </w:rPr>
              <w:fldChar w:fldCharType="begin"/>
            </w:r>
            <w:r w:rsidRPr="00EB5DFC">
              <w:rPr>
                <w:noProof/>
                <w:webHidden/>
              </w:rPr>
              <w:instrText xml:space="preserve"> PAGEREF _Toc235115843 \h </w:instrText>
            </w:r>
            <w:r w:rsidRPr="00EB5DFC">
              <w:rPr>
                <w:noProof/>
                <w:webHidden/>
              </w:rPr>
            </w:r>
            <w:r w:rsidRPr="00EB5DFC">
              <w:rPr>
                <w:noProof/>
                <w:webHidden/>
              </w:rPr>
              <w:fldChar w:fldCharType="separate"/>
            </w:r>
            <w:r w:rsidR="007835E3">
              <w:rPr>
                <w:noProof/>
                <w:webHidden/>
              </w:rPr>
              <w:t>13</w:t>
            </w:r>
            <w:r w:rsidRPr="00EB5DFC">
              <w:rPr>
                <w:noProof/>
                <w:webHidden/>
              </w:rPr>
              <w:fldChar w:fldCharType="end"/>
            </w:r>
          </w:hyperlink>
        </w:p>
        <w:p w14:paraId="6632C13B" w14:textId="493FA55C" w:rsidR="00EB5DFC" w:rsidRPr="00EB5DFC" w:rsidRDefault="00EB5DFC">
          <w:pPr>
            <w:pStyle w:val="TDC2"/>
            <w:rPr>
              <w:noProof/>
              <w:kern w:val="2"/>
              <w:sz w:val="22"/>
              <w:szCs w:val="22"/>
              <w:lang w:eastAsia="es-MX"/>
              <w14:ligatures w14:val="standardContextual"/>
            </w:rPr>
          </w:pPr>
          <w:hyperlink w:anchor="_Toc235115844" w:history="1">
            <w:r w:rsidRPr="00EB5DFC">
              <w:rPr>
                <w:rStyle w:val="Hipervnculo"/>
                <w:rFonts w:ascii="Palatino Linotype" w:eastAsia="Palatino Linotype" w:hAnsi="Palatino Linotype" w:cs="Palatino Linotype"/>
                <w:noProof/>
                <w:lang w:eastAsia="es-MX"/>
              </w:rPr>
              <w:t>PRIMERO. Competencia</w:t>
            </w:r>
            <w:r w:rsidRPr="00EB5DFC">
              <w:rPr>
                <w:noProof/>
                <w:webHidden/>
              </w:rPr>
              <w:tab/>
            </w:r>
            <w:r w:rsidRPr="00EB5DFC">
              <w:rPr>
                <w:noProof/>
                <w:webHidden/>
              </w:rPr>
              <w:fldChar w:fldCharType="begin"/>
            </w:r>
            <w:r w:rsidRPr="00EB5DFC">
              <w:rPr>
                <w:noProof/>
                <w:webHidden/>
              </w:rPr>
              <w:instrText xml:space="preserve"> PAGEREF _Toc235115844 \h </w:instrText>
            </w:r>
            <w:r w:rsidRPr="00EB5DFC">
              <w:rPr>
                <w:noProof/>
                <w:webHidden/>
              </w:rPr>
            </w:r>
            <w:r w:rsidRPr="00EB5DFC">
              <w:rPr>
                <w:noProof/>
                <w:webHidden/>
              </w:rPr>
              <w:fldChar w:fldCharType="separate"/>
            </w:r>
            <w:r w:rsidR="007835E3">
              <w:rPr>
                <w:noProof/>
                <w:webHidden/>
              </w:rPr>
              <w:t>13</w:t>
            </w:r>
            <w:r w:rsidRPr="00EB5DFC">
              <w:rPr>
                <w:noProof/>
                <w:webHidden/>
              </w:rPr>
              <w:fldChar w:fldCharType="end"/>
            </w:r>
          </w:hyperlink>
        </w:p>
        <w:p w14:paraId="442BE727" w14:textId="1482712A" w:rsidR="00EB5DFC" w:rsidRPr="00EB5DFC" w:rsidRDefault="00EB5DFC">
          <w:pPr>
            <w:pStyle w:val="TDC2"/>
            <w:rPr>
              <w:noProof/>
              <w:kern w:val="2"/>
              <w:sz w:val="22"/>
              <w:szCs w:val="22"/>
              <w:lang w:eastAsia="es-MX"/>
              <w14:ligatures w14:val="standardContextual"/>
            </w:rPr>
          </w:pPr>
          <w:hyperlink w:anchor="_Toc235115845" w:history="1">
            <w:r w:rsidRPr="00EB5DFC">
              <w:rPr>
                <w:rStyle w:val="Hipervnculo"/>
                <w:rFonts w:ascii="Palatino Linotype" w:eastAsia="Palatino Linotype" w:hAnsi="Palatino Linotype" w:cs="Palatino Linotype"/>
                <w:noProof/>
                <w:lang w:eastAsia="es-MX"/>
              </w:rPr>
              <w:t>SEGUNDO. Causales de improcedencia y sobreseimiento</w:t>
            </w:r>
            <w:r w:rsidRPr="00EB5DFC">
              <w:rPr>
                <w:noProof/>
                <w:webHidden/>
              </w:rPr>
              <w:tab/>
            </w:r>
            <w:r w:rsidRPr="00EB5DFC">
              <w:rPr>
                <w:noProof/>
                <w:webHidden/>
              </w:rPr>
              <w:fldChar w:fldCharType="begin"/>
            </w:r>
            <w:r w:rsidRPr="00EB5DFC">
              <w:rPr>
                <w:noProof/>
                <w:webHidden/>
              </w:rPr>
              <w:instrText xml:space="preserve"> PAGEREF _Toc235115845 \h </w:instrText>
            </w:r>
            <w:r w:rsidRPr="00EB5DFC">
              <w:rPr>
                <w:noProof/>
                <w:webHidden/>
              </w:rPr>
            </w:r>
            <w:r w:rsidRPr="00EB5DFC">
              <w:rPr>
                <w:noProof/>
                <w:webHidden/>
              </w:rPr>
              <w:fldChar w:fldCharType="separate"/>
            </w:r>
            <w:r w:rsidR="007835E3">
              <w:rPr>
                <w:noProof/>
                <w:webHidden/>
              </w:rPr>
              <w:t>13</w:t>
            </w:r>
            <w:r w:rsidRPr="00EB5DFC">
              <w:rPr>
                <w:noProof/>
                <w:webHidden/>
              </w:rPr>
              <w:fldChar w:fldCharType="end"/>
            </w:r>
          </w:hyperlink>
        </w:p>
        <w:p w14:paraId="634F912B" w14:textId="491E5625" w:rsidR="00EB5DFC" w:rsidRPr="00EB5DFC" w:rsidRDefault="00EB5DFC">
          <w:pPr>
            <w:pStyle w:val="TDC2"/>
            <w:rPr>
              <w:noProof/>
              <w:kern w:val="2"/>
              <w:sz w:val="22"/>
              <w:szCs w:val="22"/>
              <w:lang w:eastAsia="es-MX"/>
              <w14:ligatures w14:val="standardContextual"/>
            </w:rPr>
          </w:pPr>
          <w:hyperlink w:anchor="_Toc235115846" w:history="1">
            <w:r w:rsidRPr="00EB5DFC">
              <w:rPr>
                <w:rStyle w:val="Hipervnculo"/>
                <w:rFonts w:ascii="Palatino Linotype" w:eastAsia="Palatino Linotype" w:hAnsi="Palatino Linotype" w:cs="Palatino Linotype"/>
                <w:noProof/>
                <w:lang w:eastAsia="es-MX"/>
              </w:rPr>
              <w:t>TERCERO. Determinación de la Controversia</w:t>
            </w:r>
            <w:r w:rsidRPr="00EB5DFC">
              <w:rPr>
                <w:noProof/>
                <w:webHidden/>
              </w:rPr>
              <w:tab/>
            </w:r>
            <w:r w:rsidRPr="00EB5DFC">
              <w:rPr>
                <w:noProof/>
                <w:webHidden/>
              </w:rPr>
              <w:fldChar w:fldCharType="begin"/>
            </w:r>
            <w:r w:rsidRPr="00EB5DFC">
              <w:rPr>
                <w:noProof/>
                <w:webHidden/>
              </w:rPr>
              <w:instrText xml:space="preserve"> PAGEREF _Toc235115846 \h </w:instrText>
            </w:r>
            <w:r w:rsidRPr="00EB5DFC">
              <w:rPr>
                <w:noProof/>
                <w:webHidden/>
              </w:rPr>
            </w:r>
            <w:r w:rsidRPr="00EB5DFC">
              <w:rPr>
                <w:noProof/>
                <w:webHidden/>
              </w:rPr>
              <w:fldChar w:fldCharType="separate"/>
            </w:r>
            <w:r w:rsidR="007835E3">
              <w:rPr>
                <w:noProof/>
                <w:webHidden/>
              </w:rPr>
              <w:t>15</w:t>
            </w:r>
            <w:r w:rsidRPr="00EB5DFC">
              <w:rPr>
                <w:noProof/>
                <w:webHidden/>
              </w:rPr>
              <w:fldChar w:fldCharType="end"/>
            </w:r>
          </w:hyperlink>
        </w:p>
        <w:p w14:paraId="7E80FBD4" w14:textId="5A746F59" w:rsidR="00EB5DFC" w:rsidRPr="00EB5DFC" w:rsidRDefault="00EB5DFC">
          <w:pPr>
            <w:pStyle w:val="TDC2"/>
            <w:rPr>
              <w:noProof/>
              <w:kern w:val="2"/>
              <w:sz w:val="22"/>
              <w:szCs w:val="22"/>
              <w:lang w:eastAsia="es-MX"/>
              <w14:ligatures w14:val="standardContextual"/>
            </w:rPr>
          </w:pPr>
          <w:hyperlink w:anchor="_Toc235115847" w:history="1">
            <w:r w:rsidRPr="00EB5DFC">
              <w:rPr>
                <w:rStyle w:val="Hipervnculo"/>
                <w:rFonts w:ascii="Palatino Linotype" w:eastAsia="Palatino Linotype" w:hAnsi="Palatino Linotype" w:cs="Palatino Linotype"/>
                <w:noProof/>
                <w:lang w:eastAsia="es-MX"/>
              </w:rPr>
              <w:t>CUARTO. Marco normativo aplicable en materia de transparencia y acceso a la información pública</w:t>
            </w:r>
            <w:r w:rsidRPr="00EB5DFC">
              <w:rPr>
                <w:noProof/>
                <w:webHidden/>
              </w:rPr>
              <w:tab/>
            </w:r>
            <w:r w:rsidRPr="00EB5DFC">
              <w:rPr>
                <w:noProof/>
                <w:webHidden/>
              </w:rPr>
              <w:fldChar w:fldCharType="begin"/>
            </w:r>
            <w:r w:rsidRPr="00EB5DFC">
              <w:rPr>
                <w:noProof/>
                <w:webHidden/>
              </w:rPr>
              <w:instrText xml:space="preserve"> PAGEREF _Toc235115847 \h </w:instrText>
            </w:r>
            <w:r w:rsidRPr="00EB5DFC">
              <w:rPr>
                <w:noProof/>
                <w:webHidden/>
              </w:rPr>
            </w:r>
            <w:r w:rsidRPr="00EB5DFC">
              <w:rPr>
                <w:noProof/>
                <w:webHidden/>
              </w:rPr>
              <w:fldChar w:fldCharType="separate"/>
            </w:r>
            <w:r w:rsidR="007835E3">
              <w:rPr>
                <w:noProof/>
                <w:webHidden/>
              </w:rPr>
              <w:t>17</w:t>
            </w:r>
            <w:r w:rsidRPr="00EB5DFC">
              <w:rPr>
                <w:noProof/>
                <w:webHidden/>
              </w:rPr>
              <w:fldChar w:fldCharType="end"/>
            </w:r>
          </w:hyperlink>
        </w:p>
        <w:p w14:paraId="3549F2B8" w14:textId="24DBC411" w:rsidR="00EB5DFC" w:rsidRPr="00EB5DFC" w:rsidRDefault="00EB5DFC">
          <w:pPr>
            <w:pStyle w:val="TDC2"/>
            <w:rPr>
              <w:noProof/>
              <w:kern w:val="2"/>
              <w:sz w:val="22"/>
              <w:szCs w:val="22"/>
              <w:lang w:eastAsia="es-MX"/>
              <w14:ligatures w14:val="standardContextual"/>
            </w:rPr>
          </w:pPr>
          <w:hyperlink w:anchor="_Toc235115848" w:history="1">
            <w:r w:rsidRPr="00EB5DFC">
              <w:rPr>
                <w:rStyle w:val="Hipervnculo"/>
                <w:rFonts w:ascii="Palatino Linotype" w:eastAsia="Palatino Linotype" w:hAnsi="Palatino Linotype" w:cs="Palatino Linotype"/>
                <w:noProof/>
                <w:lang w:eastAsia="es-MX"/>
              </w:rPr>
              <w:t>QUINTO. Estudio de Fondo</w:t>
            </w:r>
            <w:r w:rsidRPr="00EB5DFC">
              <w:rPr>
                <w:noProof/>
                <w:webHidden/>
              </w:rPr>
              <w:tab/>
            </w:r>
            <w:r w:rsidRPr="00EB5DFC">
              <w:rPr>
                <w:noProof/>
                <w:webHidden/>
              </w:rPr>
              <w:fldChar w:fldCharType="begin"/>
            </w:r>
            <w:r w:rsidRPr="00EB5DFC">
              <w:rPr>
                <w:noProof/>
                <w:webHidden/>
              </w:rPr>
              <w:instrText xml:space="preserve"> PAGEREF _Toc235115848 \h </w:instrText>
            </w:r>
            <w:r w:rsidRPr="00EB5DFC">
              <w:rPr>
                <w:noProof/>
                <w:webHidden/>
              </w:rPr>
            </w:r>
            <w:r w:rsidRPr="00EB5DFC">
              <w:rPr>
                <w:noProof/>
                <w:webHidden/>
              </w:rPr>
              <w:fldChar w:fldCharType="separate"/>
            </w:r>
            <w:r w:rsidR="007835E3">
              <w:rPr>
                <w:noProof/>
                <w:webHidden/>
              </w:rPr>
              <w:t>18</w:t>
            </w:r>
            <w:r w:rsidRPr="00EB5DFC">
              <w:rPr>
                <w:noProof/>
                <w:webHidden/>
              </w:rPr>
              <w:fldChar w:fldCharType="end"/>
            </w:r>
          </w:hyperlink>
        </w:p>
        <w:p w14:paraId="70F15CAD" w14:textId="29953D2B" w:rsidR="00EB5DFC" w:rsidRPr="00EB5DFC" w:rsidRDefault="00EB5DFC">
          <w:pPr>
            <w:pStyle w:val="TDC2"/>
            <w:rPr>
              <w:noProof/>
              <w:kern w:val="2"/>
              <w:sz w:val="22"/>
              <w:szCs w:val="22"/>
              <w:lang w:eastAsia="es-MX"/>
              <w14:ligatures w14:val="standardContextual"/>
            </w:rPr>
          </w:pPr>
          <w:hyperlink w:anchor="_Toc235115849" w:history="1">
            <w:r w:rsidRPr="00EB5DFC">
              <w:rPr>
                <w:rStyle w:val="Hipervnculo"/>
                <w:rFonts w:ascii="Palatino Linotype" w:eastAsia="Palatino Linotype" w:hAnsi="Palatino Linotype" w:cs="Palatino Linotype"/>
                <w:noProof/>
                <w:lang w:eastAsia="es-MX"/>
              </w:rPr>
              <w:t>SEXTO. Decisión</w:t>
            </w:r>
            <w:r w:rsidRPr="00EB5DFC">
              <w:rPr>
                <w:noProof/>
                <w:webHidden/>
              </w:rPr>
              <w:tab/>
            </w:r>
            <w:r w:rsidRPr="00EB5DFC">
              <w:rPr>
                <w:noProof/>
                <w:webHidden/>
              </w:rPr>
              <w:fldChar w:fldCharType="begin"/>
            </w:r>
            <w:r w:rsidRPr="00EB5DFC">
              <w:rPr>
                <w:noProof/>
                <w:webHidden/>
              </w:rPr>
              <w:instrText xml:space="preserve"> PAGEREF _Toc235115849 \h </w:instrText>
            </w:r>
            <w:r w:rsidRPr="00EB5DFC">
              <w:rPr>
                <w:noProof/>
                <w:webHidden/>
              </w:rPr>
            </w:r>
            <w:r w:rsidRPr="00EB5DFC">
              <w:rPr>
                <w:noProof/>
                <w:webHidden/>
              </w:rPr>
              <w:fldChar w:fldCharType="separate"/>
            </w:r>
            <w:r w:rsidR="007835E3">
              <w:rPr>
                <w:noProof/>
                <w:webHidden/>
              </w:rPr>
              <w:t>45</w:t>
            </w:r>
            <w:r w:rsidRPr="00EB5DFC">
              <w:rPr>
                <w:noProof/>
                <w:webHidden/>
              </w:rPr>
              <w:fldChar w:fldCharType="end"/>
            </w:r>
          </w:hyperlink>
        </w:p>
        <w:p w14:paraId="767D3EE6" w14:textId="3837D240" w:rsidR="00EB5DFC" w:rsidRPr="00EB5DFC" w:rsidRDefault="00EB5DFC">
          <w:pPr>
            <w:pStyle w:val="TDC1"/>
            <w:tabs>
              <w:tab w:val="right" w:leader="dot" w:pos="8828"/>
            </w:tabs>
            <w:rPr>
              <w:noProof/>
              <w:kern w:val="2"/>
              <w:sz w:val="22"/>
              <w:szCs w:val="22"/>
              <w:lang w:eastAsia="es-MX"/>
              <w14:ligatures w14:val="standardContextual"/>
            </w:rPr>
          </w:pPr>
          <w:hyperlink w:anchor="_Toc235115850" w:history="1">
            <w:r w:rsidRPr="00EB5DFC">
              <w:rPr>
                <w:rStyle w:val="Hipervnculo"/>
                <w:rFonts w:ascii="Palatino Linotype" w:eastAsia="Palatino Linotype" w:hAnsi="Palatino Linotype" w:cs="Palatino Linotype"/>
                <w:noProof/>
                <w:lang w:eastAsia="es-MX"/>
              </w:rPr>
              <w:t>R E S U E L V E</w:t>
            </w:r>
            <w:r w:rsidRPr="00EB5DFC">
              <w:rPr>
                <w:noProof/>
                <w:webHidden/>
              </w:rPr>
              <w:tab/>
            </w:r>
            <w:r w:rsidRPr="00EB5DFC">
              <w:rPr>
                <w:noProof/>
                <w:webHidden/>
              </w:rPr>
              <w:fldChar w:fldCharType="begin"/>
            </w:r>
            <w:r w:rsidRPr="00EB5DFC">
              <w:rPr>
                <w:noProof/>
                <w:webHidden/>
              </w:rPr>
              <w:instrText xml:space="preserve"> PAGEREF _Toc235115850 \h </w:instrText>
            </w:r>
            <w:r w:rsidRPr="00EB5DFC">
              <w:rPr>
                <w:noProof/>
                <w:webHidden/>
              </w:rPr>
            </w:r>
            <w:r w:rsidRPr="00EB5DFC">
              <w:rPr>
                <w:noProof/>
                <w:webHidden/>
              </w:rPr>
              <w:fldChar w:fldCharType="separate"/>
            </w:r>
            <w:r w:rsidR="007835E3">
              <w:rPr>
                <w:noProof/>
                <w:webHidden/>
              </w:rPr>
              <w:t>46</w:t>
            </w:r>
            <w:r w:rsidRPr="00EB5DFC">
              <w:rPr>
                <w:noProof/>
                <w:webHidden/>
              </w:rPr>
              <w:fldChar w:fldCharType="end"/>
            </w:r>
          </w:hyperlink>
        </w:p>
        <w:p w14:paraId="1E90394E" w14:textId="3DE2E6AE" w:rsidR="00F4599C" w:rsidRPr="00290F84" w:rsidRDefault="00F4599C" w:rsidP="000C0C40">
          <w:pPr>
            <w:widowControl w:val="0"/>
            <w:pBdr>
              <w:top w:val="nil"/>
              <w:left w:val="nil"/>
              <w:bottom w:val="nil"/>
              <w:right w:val="nil"/>
              <w:between w:val="nil"/>
            </w:pBdr>
            <w:spacing w:after="0" w:line="360" w:lineRule="auto"/>
            <w:ind w:left="720" w:hanging="720"/>
            <w:contextualSpacing/>
            <w:jc w:val="both"/>
            <w:rPr>
              <w:rFonts w:ascii="Palatino Linotype" w:eastAsia="Times New Roman" w:hAnsi="Palatino Linotype" w:cs="Times New Roman"/>
              <w:sz w:val="20"/>
              <w:szCs w:val="20"/>
              <w:lang w:eastAsia="es-MX"/>
            </w:rPr>
          </w:pPr>
          <w:r w:rsidRPr="00EF7988">
            <w:rPr>
              <w:rFonts w:ascii="Palatino Linotype" w:eastAsia="Times New Roman" w:hAnsi="Palatino Linotype" w:cs="Times New Roman"/>
              <w:sz w:val="22"/>
              <w:szCs w:val="22"/>
              <w:lang w:val="es-ES" w:eastAsia="es-MX"/>
            </w:rPr>
            <w:fldChar w:fldCharType="end"/>
          </w:r>
        </w:p>
      </w:sdtContent>
    </w:sdt>
    <w:p w14:paraId="1DF31BD0" w14:textId="77777777" w:rsidR="00F4599C" w:rsidRPr="00290F84" w:rsidRDefault="00F4599C" w:rsidP="000C0C40">
      <w:pPr>
        <w:keepNext/>
        <w:keepLines/>
        <w:pBdr>
          <w:top w:val="nil"/>
          <w:left w:val="nil"/>
          <w:bottom w:val="nil"/>
          <w:right w:val="nil"/>
          <w:between w:val="nil"/>
        </w:pBdr>
        <w:spacing w:after="0" w:line="360" w:lineRule="auto"/>
        <w:contextualSpacing/>
        <w:rPr>
          <w:rFonts w:ascii="Palatino Linotype" w:eastAsia="Palatino Linotype" w:hAnsi="Palatino Linotype" w:cs="Palatino Linotype"/>
          <w:color w:val="000000"/>
          <w:lang w:eastAsia="es-MX"/>
        </w:rPr>
      </w:pPr>
      <w:bookmarkStart w:id="2" w:name="_heading=h.t77kwk8e2ch7" w:colFirst="0" w:colLast="0"/>
      <w:bookmarkEnd w:id="2"/>
    </w:p>
    <w:p w14:paraId="127EB010" w14:textId="77777777" w:rsidR="00F4599C" w:rsidRPr="00290F84" w:rsidRDefault="00F4599C" w:rsidP="000C0C40">
      <w:pPr>
        <w:spacing w:after="0" w:line="360" w:lineRule="auto"/>
        <w:ind w:right="-28"/>
        <w:contextualSpacing/>
        <w:jc w:val="both"/>
        <w:rPr>
          <w:rFonts w:ascii="Palatino Linotype" w:eastAsia="Palatino Linotype" w:hAnsi="Palatino Linotype" w:cs="Palatino Linotype"/>
          <w:color w:val="000000"/>
          <w:lang w:eastAsia="es-MX"/>
        </w:rPr>
      </w:pPr>
    </w:p>
    <w:p w14:paraId="5F29B5BB" w14:textId="77777777" w:rsidR="003A7C04" w:rsidRDefault="003A7C04" w:rsidP="000C0C40">
      <w:pPr>
        <w:spacing w:after="0" w:line="360" w:lineRule="auto"/>
        <w:contextualSpacing/>
        <w:jc w:val="both"/>
        <w:rPr>
          <w:rFonts w:ascii="Palatino Linotype" w:eastAsia="Palatino Linotype" w:hAnsi="Palatino Linotype" w:cs="Palatino Linotype"/>
          <w:color w:val="000000"/>
          <w:lang w:eastAsia="es-MX"/>
        </w:rPr>
      </w:pPr>
    </w:p>
    <w:p w14:paraId="4EAA0091" w14:textId="77777777" w:rsidR="00EB5DFC" w:rsidRDefault="00EB5DFC" w:rsidP="000C0C40">
      <w:pPr>
        <w:spacing w:after="0" w:line="360" w:lineRule="auto"/>
        <w:contextualSpacing/>
        <w:jc w:val="both"/>
        <w:rPr>
          <w:rFonts w:ascii="Palatino Linotype" w:eastAsia="Palatino Linotype" w:hAnsi="Palatino Linotype" w:cs="Palatino Linotype"/>
          <w:color w:val="000000"/>
          <w:lang w:eastAsia="es-MX"/>
        </w:rPr>
      </w:pPr>
    </w:p>
    <w:p w14:paraId="618F162E" w14:textId="77777777" w:rsidR="00EB5DFC" w:rsidRDefault="00EB5DFC" w:rsidP="000C0C40">
      <w:pPr>
        <w:spacing w:after="0" w:line="360" w:lineRule="auto"/>
        <w:contextualSpacing/>
        <w:jc w:val="both"/>
        <w:rPr>
          <w:rFonts w:ascii="Palatino Linotype" w:eastAsia="Palatino Linotype" w:hAnsi="Palatino Linotype" w:cs="Palatino Linotype"/>
          <w:color w:val="000000"/>
          <w:lang w:eastAsia="es-MX"/>
        </w:rPr>
      </w:pPr>
    </w:p>
    <w:p w14:paraId="547E35AA" w14:textId="77777777" w:rsidR="00EF7988" w:rsidRDefault="00EF7988" w:rsidP="000C0C40">
      <w:pPr>
        <w:spacing w:after="0" w:line="360" w:lineRule="auto"/>
        <w:contextualSpacing/>
        <w:jc w:val="both"/>
        <w:rPr>
          <w:rFonts w:ascii="Palatino Linotype" w:eastAsia="Palatino Linotype" w:hAnsi="Palatino Linotype" w:cs="Palatino Linotype"/>
          <w:color w:val="000000"/>
          <w:lang w:eastAsia="es-MX"/>
        </w:rPr>
      </w:pPr>
    </w:p>
    <w:p w14:paraId="6DE8E745" w14:textId="3114C332"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lastRenderedPageBreak/>
        <w:t>Resolución del Pleno del Instituto de Transparencia, Acceso a la Información Pública y Protección de Datos Personales del Estado de México y Municipios, con domicilio en Metepec, Estado de México, del quince de julio de dos mil veintiséis.</w:t>
      </w:r>
    </w:p>
    <w:p w14:paraId="1AFD21D4" w14:textId="77777777" w:rsidR="00F4599C" w:rsidRPr="00EF7988" w:rsidRDefault="00F4599C" w:rsidP="000C0C40">
      <w:pPr>
        <w:spacing w:after="0" w:line="360" w:lineRule="auto"/>
        <w:contextualSpacing/>
        <w:rPr>
          <w:rFonts w:ascii="Palatino Linotype" w:eastAsia="Palatino Linotype" w:hAnsi="Palatino Linotype" w:cs="Palatino Linotype"/>
          <w:sz w:val="22"/>
          <w:szCs w:val="22"/>
          <w:lang w:eastAsia="es-MX"/>
        </w:rPr>
      </w:pPr>
    </w:p>
    <w:p w14:paraId="7C077AE2" w14:textId="68F73D5F"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b/>
          <w:color w:val="0D0D0D"/>
          <w:sz w:val="22"/>
          <w:szCs w:val="22"/>
          <w:lang w:eastAsia="es-MX"/>
        </w:rPr>
        <w:t xml:space="preserve">VISTO </w:t>
      </w:r>
      <w:r w:rsidRPr="00EF7988">
        <w:rPr>
          <w:rFonts w:ascii="Palatino Linotype" w:eastAsia="Palatino Linotype" w:hAnsi="Palatino Linotype" w:cs="Palatino Linotype"/>
          <w:color w:val="0D0D0D"/>
          <w:sz w:val="22"/>
          <w:szCs w:val="22"/>
          <w:lang w:eastAsia="es-MX"/>
        </w:rPr>
        <w:t xml:space="preserve">el expediente conformado con motivo del Recurso de Revisión </w:t>
      </w:r>
      <w:r w:rsidRPr="005D3E1D">
        <w:rPr>
          <w:rFonts w:ascii="Palatino Linotype" w:eastAsia="Palatino Linotype" w:hAnsi="Palatino Linotype" w:cs="Palatino Linotype"/>
          <w:b/>
          <w:bCs/>
          <w:sz w:val="22"/>
          <w:szCs w:val="22"/>
          <w:lang w:eastAsia="es-MX"/>
        </w:rPr>
        <w:t>06006/INFOEM/IP/RR/2026</w:t>
      </w:r>
      <w:r w:rsidRPr="00EF7988">
        <w:rPr>
          <w:rFonts w:ascii="Palatino Linotype" w:eastAsia="Palatino Linotype" w:hAnsi="Palatino Linotype" w:cs="Palatino Linotype"/>
          <w:bCs/>
          <w:sz w:val="22"/>
          <w:szCs w:val="22"/>
          <w:lang w:eastAsia="es-MX"/>
        </w:rPr>
        <w:t xml:space="preserve">, </w:t>
      </w:r>
      <w:r w:rsidRPr="00EF7988">
        <w:rPr>
          <w:rFonts w:ascii="Palatino Linotype" w:eastAsia="Palatino Linotype" w:hAnsi="Palatino Linotype" w:cs="Palatino Linotype"/>
          <w:color w:val="0D0D0D"/>
          <w:sz w:val="22"/>
          <w:szCs w:val="22"/>
          <w:lang w:eastAsia="es-MX"/>
        </w:rPr>
        <w:t xml:space="preserve">interpuesto por </w:t>
      </w:r>
      <w:r w:rsidR="00B91B47" w:rsidRPr="00B91B47">
        <w:rPr>
          <w:rFonts w:ascii="Palatino Linotype" w:eastAsia="Palatino Linotype" w:hAnsi="Palatino Linotype" w:cs="Palatino Linotype"/>
          <w:sz w:val="22"/>
          <w:szCs w:val="22"/>
          <w:highlight w:val="black"/>
          <w:lang w:eastAsia="es-MX"/>
        </w:rPr>
        <w:t>XXXXXXXXXX</w:t>
      </w:r>
      <w:r w:rsidRPr="00EF7988">
        <w:rPr>
          <w:rFonts w:ascii="Palatino Linotype" w:eastAsia="Palatino Linotype" w:hAnsi="Palatino Linotype" w:cs="Palatino Linotype"/>
          <w:sz w:val="22"/>
          <w:szCs w:val="22"/>
          <w:lang w:eastAsia="es-MX"/>
        </w:rPr>
        <w:t xml:space="preserve">, en lo sucesivo el </w:t>
      </w:r>
      <w:r w:rsidRPr="00EF7988">
        <w:rPr>
          <w:rFonts w:ascii="Palatino Linotype" w:eastAsia="Palatino Linotype" w:hAnsi="Palatino Linotype" w:cs="Palatino Linotype"/>
          <w:color w:val="0D0D0D"/>
          <w:sz w:val="22"/>
          <w:szCs w:val="22"/>
          <w:lang w:eastAsia="es-MX"/>
        </w:rPr>
        <w:t>Recurrente o Particular, en contra de la respuesta del Sujeto Obligado</w:t>
      </w:r>
      <w:r w:rsidRPr="005D3E1D">
        <w:rPr>
          <w:rFonts w:ascii="Palatino Linotype" w:eastAsia="Palatino Linotype" w:hAnsi="Palatino Linotype" w:cs="Palatino Linotype"/>
          <w:b/>
          <w:color w:val="0D0D0D"/>
          <w:sz w:val="22"/>
          <w:szCs w:val="22"/>
          <w:lang w:eastAsia="es-MX"/>
        </w:rPr>
        <w:t xml:space="preserve">, </w:t>
      </w:r>
      <w:r w:rsidRPr="005D3E1D">
        <w:rPr>
          <w:rFonts w:ascii="Palatino Linotype" w:hAnsi="Palatino Linotype"/>
          <w:b/>
          <w:sz w:val="22"/>
          <w:szCs w:val="22"/>
        </w:rPr>
        <w:t>Instituto Municipal de Cultura Física y Deporte de Ecatepec</w:t>
      </w:r>
      <w:r w:rsidRPr="00EF7988">
        <w:rPr>
          <w:rFonts w:ascii="Palatino Linotype" w:eastAsia="Palatino Linotype" w:hAnsi="Palatino Linotype" w:cs="Palatino Linotype"/>
          <w:b/>
          <w:color w:val="0D0D0D"/>
          <w:sz w:val="22"/>
          <w:szCs w:val="22"/>
          <w:lang w:eastAsia="es-MX"/>
        </w:rPr>
        <w:t>,</w:t>
      </w:r>
      <w:r w:rsidRPr="00EF7988">
        <w:rPr>
          <w:rFonts w:ascii="Palatino Linotype" w:eastAsia="Palatino Linotype" w:hAnsi="Palatino Linotype" w:cs="Palatino Linotype"/>
          <w:color w:val="0D0D0D"/>
          <w:sz w:val="22"/>
          <w:szCs w:val="22"/>
          <w:lang w:eastAsia="es-MX"/>
        </w:rPr>
        <w:t xml:space="preserve"> a la solicitud de acceso a la información pública </w:t>
      </w:r>
      <w:r w:rsidRPr="00EF7988">
        <w:rPr>
          <w:rFonts w:ascii="Palatino Linotype" w:hAnsi="Palatino Linotype"/>
          <w:sz w:val="22"/>
          <w:szCs w:val="22"/>
        </w:rPr>
        <w:t>00023/IMCUFIDECATEPEC/IP/2026</w:t>
      </w:r>
      <w:r w:rsidRPr="00EF7988">
        <w:rPr>
          <w:rFonts w:ascii="Palatino Linotype" w:eastAsia="Palatino Linotype" w:hAnsi="Palatino Linotype" w:cs="Palatino Linotype"/>
          <w:color w:val="0D0D0D"/>
          <w:sz w:val="22"/>
          <w:szCs w:val="22"/>
          <w:lang w:eastAsia="es-MX"/>
        </w:rPr>
        <w:t>, se emite la presente Resolución, con base en los Antecedentes y C</w:t>
      </w:r>
      <w:r w:rsidRPr="00EF7988">
        <w:rPr>
          <w:rFonts w:ascii="Palatino Linotype" w:eastAsia="Palatino Linotype" w:hAnsi="Palatino Linotype" w:cs="Palatino Linotype"/>
          <w:sz w:val="22"/>
          <w:szCs w:val="22"/>
          <w:lang w:eastAsia="es-MX"/>
        </w:rPr>
        <w:t>onsiderandos que a continuación se exponen:</w:t>
      </w:r>
    </w:p>
    <w:p w14:paraId="46022B22"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5C3D9B14" w14:textId="77777777" w:rsidR="00F4599C" w:rsidRPr="00EF7988" w:rsidRDefault="00F4599C" w:rsidP="000C0C40">
      <w:pPr>
        <w:keepNext/>
        <w:keepLines/>
        <w:spacing w:after="0" w:line="360" w:lineRule="auto"/>
        <w:contextualSpacing/>
        <w:jc w:val="center"/>
        <w:outlineLvl w:val="0"/>
        <w:rPr>
          <w:rFonts w:ascii="Palatino Linotype" w:eastAsiaTheme="majorEastAsia" w:hAnsi="Palatino Linotype" w:cstheme="majorBidi"/>
          <w:b/>
          <w:bCs/>
          <w:sz w:val="22"/>
          <w:szCs w:val="22"/>
          <w:lang w:eastAsia="es-MX"/>
        </w:rPr>
      </w:pPr>
      <w:bookmarkStart w:id="3" w:name="_Toc235115839"/>
      <w:r w:rsidRPr="00EF7988">
        <w:rPr>
          <w:rFonts w:ascii="Palatino Linotype" w:eastAsiaTheme="majorEastAsia" w:hAnsi="Palatino Linotype" w:cstheme="majorBidi"/>
          <w:b/>
          <w:bCs/>
          <w:sz w:val="22"/>
          <w:szCs w:val="22"/>
          <w:lang w:eastAsia="es-MX"/>
        </w:rPr>
        <w:t>A N T E C E D E N T E S</w:t>
      </w:r>
      <w:bookmarkEnd w:id="3"/>
    </w:p>
    <w:p w14:paraId="42734567" w14:textId="77777777" w:rsidR="00F4599C" w:rsidRPr="00EF7988" w:rsidRDefault="00F4599C" w:rsidP="000C0C40">
      <w:pPr>
        <w:spacing w:after="0" w:line="360" w:lineRule="auto"/>
        <w:contextualSpacing/>
        <w:rPr>
          <w:rFonts w:ascii="Palatino Linotype" w:eastAsia="Times New Roman" w:hAnsi="Palatino Linotype" w:cs="Times New Roman"/>
          <w:sz w:val="22"/>
          <w:szCs w:val="22"/>
          <w:lang w:eastAsia="es-MX"/>
        </w:rPr>
      </w:pPr>
    </w:p>
    <w:p w14:paraId="5B3A52EA" w14:textId="77777777" w:rsidR="00F4599C" w:rsidRPr="00EF7988" w:rsidRDefault="00F4599C" w:rsidP="000C0C40">
      <w:pPr>
        <w:keepNext/>
        <w:keepLines/>
        <w:spacing w:after="0" w:line="360" w:lineRule="auto"/>
        <w:contextualSpacing/>
        <w:outlineLvl w:val="1"/>
        <w:rPr>
          <w:rFonts w:ascii="Palatino Linotype" w:eastAsiaTheme="majorEastAsia" w:hAnsi="Palatino Linotype" w:cstheme="majorBidi"/>
          <w:b/>
          <w:bCs/>
          <w:sz w:val="22"/>
          <w:szCs w:val="22"/>
          <w:lang w:eastAsia="es-MX"/>
        </w:rPr>
      </w:pPr>
      <w:bookmarkStart w:id="4" w:name="_Toc235115840"/>
      <w:bookmarkStart w:id="5" w:name="_Hlk227760370"/>
      <w:r w:rsidRPr="00EF7988">
        <w:rPr>
          <w:rFonts w:ascii="Palatino Linotype" w:eastAsiaTheme="majorEastAsia" w:hAnsi="Palatino Linotype" w:cstheme="majorBidi"/>
          <w:b/>
          <w:bCs/>
          <w:sz w:val="22"/>
          <w:szCs w:val="22"/>
          <w:lang w:eastAsia="es-MX"/>
        </w:rPr>
        <w:t>I. Presentación de la solicitud de información</w:t>
      </w:r>
      <w:bookmarkEnd w:id="4"/>
    </w:p>
    <w:p w14:paraId="678BB452" w14:textId="77777777" w:rsidR="00F4599C" w:rsidRPr="00EF7988" w:rsidRDefault="00F4599C" w:rsidP="000C0C40">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color w:val="000000"/>
          <w:sz w:val="22"/>
          <w:szCs w:val="22"/>
          <w:lang w:eastAsia="es-MX"/>
        </w:rPr>
      </w:pPr>
    </w:p>
    <w:p w14:paraId="75919B68" w14:textId="0C48B694" w:rsidR="00F4599C" w:rsidRPr="00EF7988" w:rsidRDefault="00F4599C" w:rsidP="000C0C40">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color w:val="000000"/>
          <w:sz w:val="22"/>
          <w:szCs w:val="22"/>
          <w:lang w:eastAsia="es-MX"/>
        </w:rPr>
      </w:pPr>
      <w:r w:rsidRPr="00EF7988">
        <w:rPr>
          <w:rFonts w:ascii="Palatino Linotype" w:eastAsia="Palatino Linotype" w:hAnsi="Palatino Linotype" w:cs="Palatino Linotype"/>
          <w:color w:val="000000"/>
          <w:sz w:val="22"/>
          <w:szCs w:val="22"/>
          <w:lang w:eastAsia="es-MX"/>
        </w:rPr>
        <w:t xml:space="preserve">Con fecha </w:t>
      </w:r>
      <w:r w:rsidR="003A7C04" w:rsidRPr="00EF7988">
        <w:rPr>
          <w:rFonts w:ascii="Palatino Linotype" w:eastAsia="Palatino Linotype" w:hAnsi="Palatino Linotype" w:cs="Palatino Linotype"/>
          <w:color w:val="000000"/>
          <w:sz w:val="22"/>
          <w:szCs w:val="22"/>
          <w:lang w:eastAsia="es-MX"/>
        </w:rPr>
        <w:t>catorce de mayo</w:t>
      </w:r>
      <w:r w:rsidRPr="00EF7988">
        <w:rPr>
          <w:rFonts w:ascii="Palatino Linotype" w:eastAsia="Palatino Linotype" w:hAnsi="Palatino Linotype" w:cs="Palatino Linotype"/>
          <w:color w:val="000000"/>
          <w:sz w:val="22"/>
          <w:szCs w:val="22"/>
          <w:lang w:eastAsia="es-MX"/>
        </w:rPr>
        <w:t xml:space="preserve"> de dos mil veintiséis, el Particular presentó una solicitud de acceso a la información pública, a través del Sistema de Acceso a la Información Mexiquense, en lo sucesivo el SAIMEX, ante el </w:t>
      </w:r>
      <w:r w:rsidR="003A7C04" w:rsidRPr="00EF7988">
        <w:rPr>
          <w:rFonts w:ascii="Palatino Linotype" w:hAnsi="Palatino Linotype"/>
          <w:sz w:val="22"/>
          <w:szCs w:val="22"/>
        </w:rPr>
        <w:t>Instituto Municipal de Cultura Física y Deporte de Ecatepec</w:t>
      </w:r>
      <w:r w:rsidRPr="00EF7988">
        <w:rPr>
          <w:rFonts w:ascii="Palatino Linotype" w:eastAsia="Palatino Linotype" w:hAnsi="Palatino Linotype" w:cs="Palatino Linotype"/>
          <w:color w:val="000000"/>
          <w:sz w:val="22"/>
          <w:szCs w:val="22"/>
          <w:lang w:eastAsia="es-MX"/>
        </w:rPr>
        <w:t>, mediante la cual requirió lo siguiente:</w:t>
      </w:r>
    </w:p>
    <w:p w14:paraId="6E03DB04" w14:textId="77777777" w:rsidR="00F4599C" w:rsidRPr="00290F84" w:rsidRDefault="00F4599C" w:rsidP="000C0C40">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b/>
          <w:color w:val="000000"/>
          <w:sz w:val="20"/>
          <w:szCs w:val="20"/>
          <w:lang w:eastAsia="es-MX"/>
        </w:rPr>
      </w:pPr>
    </w:p>
    <w:p w14:paraId="24F61A92" w14:textId="77777777" w:rsidR="00F4599C" w:rsidRPr="003A7C04" w:rsidRDefault="00F4599C" w:rsidP="000C0C40">
      <w:pPr>
        <w:tabs>
          <w:tab w:val="left" w:pos="4667"/>
        </w:tabs>
        <w:spacing w:after="0" w:line="360" w:lineRule="auto"/>
        <w:ind w:left="567" w:right="567"/>
        <w:contextualSpacing/>
        <w:jc w:val="both"/>
        <w:rPr>
          <w:rFonts w:ascii="Palatino Linotype" w:eastAsia="Palatino Linotype" w:hAnsi="Palatino Linotype" w:cs="Palatino Linotype"/>
          <w:b/>
          <w:i/>
          <w:sz w:val="20"/>
          <w:szCs w:val="20"/>
          <w:lang w:eastAsia="es-MX"/>
        </w:rPr>
      </w:pPr>
      <w:r w:rsidRPr="003A7C04">
        <w:rPr>
          <w:rFonts w:ascii="Palatino Linotype" w:eastAsia="Palatino Linotype" w:hAnsi="Palatino Linotype" w:cs="Palatino Linotype"/>
          <w:b/>
          <w:i/>
          <w:sz w:val="20"/>
          <w:szCs w:val="20"/>
          <w:lang w:eastAsia="es-MX"/>
        </w:rPr>
        <w:t>“DESCRIPCIÓN CLARA Y PRECISA DE LA INFORMACIÓN SOLICITADA</w:t>
      </w:r>
    </w:p>
    <w:p w14:paraId="10661F18" w14:textId="137B9F79" w:rsidR="00F4599C" w:rsidRPr="003A7C04" w:rsidRDefault="003A7C04" w:rsidP="000C0C40">
      <w:pPr>
        <w:spacing w:after="0" w:line="360" w:lineRule="auto"/>
        <w:ind w:left="567" w:right="567"/>
        <w:contextualSpacing/>
        <w:jc w:val="both"/>
        <w:rPr>
          <w:rFonts w:ascii="Palatino Linotype" w:eastAsia="Palatino Linotype" w:hAnsi="Palatino Linotype" w:cs="Palatino Linotype"/>
          <w:i/>
          <w:sz w:val="20"/>
          <w:szCs w:val="20"/>
          <w:lang w:eastAsia="es-MX"/>
        </w:rPr>
      </w:pPr>
      <w:r w:rsidRPr="003A7C04">
        <w:rPr>
          <w:rFonts w:ascii="Palatino Linotype" w:hAnsi="Palatino Linotype"/>
          <w:i/>
          <w:color w:val="000000"/>
          <w:sz w:val="20"/>
          <w:szCs w:val="20"/>
        </w:rPr>
        <w:t>Por este medio, y con fundamento en la Ley de Transparencia y Acceso a la Información Pública aplicable, solicito respetuosamente se me proporcione toda la información correspondiente a los procedimientos de contratación realizados del 01 de enero de 2025 al 01 de mayo de 2026, incluyendo: 1. Procedimientos requeridos Licitaciones públicas. Invitaciones restringidas. Adjudicaciones directas. 2. Documentación completa solicitada (expedientes íntegros) Para cada procedimiento descrito, solicito se incluya la totalidad de los documentos generados, entre ellos: Solicitud del área requirente. Estudios de mercado y documentos justificativos. Bases de licitación, invitaciones, cotizaciones y/o solicitudes de propuesta. Actas (junta de aclaraciones, presentación y apertura de proposiciones, fallo, etc.). Dictámenes técnicos y económicos. Contrato o pedido correspondiente, en caso de existir. Facturas emitidas. Comprobantes de entrega, evidencia documental y/o fotográfica. Registros de entrada a almacén y documentación logística. Cualquier otro documento que forme parte del expediente administrativo del procedimiento. 3.- Oficios de convocatoria para la sesión del Comité de Adquisiciones - Actas del Comité de Adquisiciones. 4.- En caso de existir clasificación de información: - Oficios de clasificación de información de las áreas para el Comité de Transparencia - Oficios de convocatoria para la sesión del Comité de Transparencia - Acta del Comité de Transparencia. 5. Consideraciones de capacidad de la plataforma De acuerdo con la capacidad técnica informada de la plataforma SAIMEX, la cual soporta hasta 130 GB de información, y considerando la tabla de referencia que establece: Texto simple: hasta aprox. 900,000 páginas por GB. Documentos Word: aprox. 65,000 páginas por GB. Imágenes de alta resolución: aprox. 1,000 páginas por GB. PDF promedio: entre 50,000 y 75,000 páginas por GB. Se calcula que, aun en el escenario de contenido más pesado (imágenes de alta resolución), la plataforma puede soportar alrededor de 130,000 páginas, por lo que no existe impedimento técnico para la entrega íntegra de los expedientes completos solicitados. Modalidad de entrega: A través del SAIMEX</w:t>
      </w:r>
      <w:r w:rsidR="00F4599C" w:rsidRPr="003A7C04">
        <w:rPr>
          <w:rFonts w:ascii="Palatino Linotype" w:eastAsia="Times New Roman" w:hAnsi="Palatino Linotype" w:cs="Times New Roman"/>
          <w:i/>
          <w:sz w:val="20"/>
          <w:szCs w:val="20"/>
          <w:lang w:eastAsia="es-MX"/>
        </w:rPr>
        <w:t>.</w:t>
      </w:r>
      <w:r w:rsidR="00F4599C" w:rsidRPr="003A7C04">
        <w:rPr>
          <w:rFonts w:ascii="Palatino Linotype" w:eastAsia="Palatino Linotype" w:hAnsi="Palatino Linotype" w:cs="Palatino Linotype"/>
          <w:i/>
          <w:sz w:val="20"/>
          <w:szCs w:val="20"/>
          <w:lang w:eastAsia="es-MX"/>
        </w:rPr>
        <w:t>” (Sic).</w:t>
      </w:r>
    </w:p>
    <w:p w14:paraId="38C39D35" w14:textId="77777777" w:rsidR="00F4599C" w:rsidRPr="00290F84" w:rsidRDefault="00F4599C" w:rsidP="000C0C40">
      <w:pPr>
        <w:pBdr>
          <w:top w:val="nil"/>
          <w:left w:val="nil"/>
          <w:bottom w:val="nil"/>
          <w:right w:val="nil"/>
          <w:between w:val="nil"/>
        </w:pBdr>
        <w:tabs>
          <w:tab w:val="left" w:pos="567"/>
        </w:tabs>
        <w:spacing w:after="0" w:line="360" w:lineRule="auto"/>
        <w:ind w:left="567" w:right="567"/>
        <w:contextualSpacing/>
        <w:jc w:val="both"/>
        <w:rPr>
          <w:rFonts w:ascii="Palatino Linotype" w:eastAsia="Palatino Linotype" w:hAnsi="Palatino Linotype" w:cs="Palatino Linotype"/>
          <w:b/>
          <w:i/>
          <w:color w:val="000000"/>
          <w:sz w:val="20"/>
          <w:szCs w:val="20"/>
          <w:lang w:eastAsia="es-MX"/>
        </w:rPr>
      </w:pPr>
    </w:p>
    <w:p w14:paraId="4372CAA7" w14:textId="77777777" w:rsidR="00F4599C" w:rsidRPr="00290F84" w:rsidRDefault="00F4599C" w:rsidP="000C0C40">
      <w:pPr>
        <w:tabs>
          <w:tab w:val="left" w:pos="4667"/>
        </w:tabs>
        <w:spacing w:after="0" w:line="360" w:lineRule="auto"/>
        <w:ind w:left="567" w:right="567"/>
        <w:contextualSpacing/>
        <w:jc w:val="both"/>
        <w:rPr>
          <w:rFonts w:ascii="Palatino Linotype" w:eastAsia="Palatino Linotype" w:hAnsi="Palatino Linotype" w:cs="Palatino Linotype"/>
          <w:i/>
          <w:sz w:val="20"/>
          <w:szCs w:val="20"/>
          <w:lang w:eastAsia="es-MX"/>
        </w:rPr>
      </w:pPr>
      <w:r w:rsidRPr="00290F84">
        <w:rPr>
          <w:rFonts w:ascii="Palatino Linotype" w:eastAsia="Palatino Linotype" w:hAnsi="Palatino Linotype" w:cs="Palatino Linotype"/>
          <w:b/>
          <w:i/>
          <w:sz w:val="20"/>
          <w:szCs w:val="20"/>
          <w:lang w:eastAsia="es-MX"/>
        </w:rPr>
        <w:t xml:space="preserve">Modalidad de Entrega: </w:t>
      </w:r>
      <w:r w:rsidRPr="00290F84">
        <w:rPr>
          <w:rFonts w:ascii="Palatino Linotype" w:eastAsia="Palatino Linotype" w:hAnsi="Palatino Linotype" w:cs="Palatino Linotype"/>
          <w:i/>
          <w:sz w:val="20"/>
          <w:szCs w:val="20"/>
          <w:lang w:eastAsia="es-MX"/>
        </w:rPr>
        <w:t>A través de SAIMEX.</w:t>
      </w:r>
    </w:p>
    <w:p w14:paraId="56B986B6" w14:textId="77777777" w:rsidR="003A7C04" w:rsidRDefault="00F4599C" w:rsidP="000C0C40">
      <w:pPr>
        <w:tabs>
          <w:tab w:val="left" w:pos="4667"/>
        </w:tabs>
        <w:spacing w:after="0" w:line="360" w:lineRule="auto"/>
        <w:ind w:right="567"/>
        <w:contextualSpacing/>
        <w:jc w:val="both"/>
        <w:rPr>
          <w:rFonts w:ascii="Palatino Linotype" w:eastAsia="Palatino Linotype" w:hAnsi="Palatino Linotype" w:cs="Palatino Linotype"/>
          <w:iCs/>
          <w:sz w:val="20"/>
          <w:szCs w:val="20"/>
          <w:lang w:eastAsia="es-MX"/>
        </w:rPr>
      </w:pPr>
      <w:r w:rsidRPr="00290F84">
        <w:rPr>
          <w:rFonts w:ascii="Palatino Linotype" w:eastAsia="Palatino Linotype" w:hAnsi="Palatino Linotype" w:cs="Palatino Linotype"/>
          <w:b/>
          <w:iCs/>
          <w:sz w:val="20"/>
          <w:szCs w:val="20"/>
          <w:lang w:eastAsia="es-MX"/>
        </w:rPr>
        <w:t xml:space="preserve"> </w:t>
      </w:r>
      <w:bookmarkStart w:id="6" w:name="_heading=h.270ugglvhyo" w:colFirst="0" w:colLast="0"/>
      <w:bookmarkStart w:id="7" w:name="_Hlk226622176"/>
      <w:bookmarkEnd w:id="6"/>
    </w:p>
    <w:p w14:paraId="2D56A686" w14:textId="744002D4" w:rsidR="00F4599C" w:rsidRPr="00EF7988" w:rsidRDefault="00F4599C" w:rsidP="000C0C40">
      <w:pPr>
        <w:tabs>
          <w:tab w:val="left" w:pos="4667"/>
        </w:tabs>
        <w:spacing w:after="0" w:line="360" w:lineRule="auto"/>
        <w:ind w:right="567"/>
        <w:contextualSpacing/>
        <w:jc w:val="both"/>
        <w:rPr>
          <w:rFonts w:ascii="Palatino Linotype" w:eastAsia="Palatino Linotype" w:hAnsi="Palatino Linotype" w:cs="Palatino Linotype"/>
          <w:iCs/>
          <w:sz w:val="22"/>
          <w:szCs w:val="22"/>
          <w:lang w:eastAsia="es-MX"/>
        </w:rPr>
      </w:pPr>
      <w:r w:rsidRPr="00EF7988">
        <w:rPr>
          <w:rFonts w:ascii="Palatino Linotype" w:eastAsia="Palatino Linotype" w:hAnsi="Palatino Linotype" w:cstheme="majorBidi"/>
          <w:b/>
          <w:bCs/>
          <w:sz w:val="22"/>
          <w:szCs w:val="22"/>
          <w:lang w:eastAsia="es-MX"/>
        </w:rPr>
        <w:t>II. Respuesta del Sujeto Obligado</w:t>
      </w:r>
    </w:p>
    <w:p w14:paraId="0415824B" w14:textId="77777777" w:rsidR="00E52B32" w:rsidRDefault="00E52B32" w:rsidP="000C0C40">
      <w:pPr>
        <w:tabs>
          <w:tab w:val="left" w:pos="4667"/>
        </w:tabs>
        <w:spacing w:after="0" w:line="360" w:lineRule="auto"/>
        <w:contextualSpacing/>
        <w:jc w:val="both"/>
        <w:rPr>
          <w:rFonts w:ascii="Palatino Linotype" w:eastAsia="Palatino Linotype" w:hAnsi="Palatino Linotype" w:cstheme="majorBidi"/>
          <w:b/>
          <w:bCs/>
          <w:lang w:eastAsia="es-MX"/>
        </w:rPr>
      </w:pPr>
    </w:p>
    <w:p w14:paraId="53083095" w14:textId="5ADBB56F" w:rsidR="003A7C04" w:rsidRPr="00EF7988" w:rsidRDefault="00F4599C"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Con fecha </w:t>
      </w:r>
      <w:r w:rsidR="003A7C04" w:rsidRPr="00EF7988">
        <w:rPr>
          <w:rFonts w:ascii="Palatino Linotype" w:eastAsia="Palatino Linotype" w:hAnsi="Palatino Linotype" w:cs="Palatino Linotype"/>
          <w:sz w:val="22"/>
          <w:szCs w:val="22"/>
          <w:lang w:eastAsia="es-MX"/>
        </w:rPr>
        <w:t xml:space="preserve">tres de junio </w:t>
      </w:r>
      <w:r w:rsidRPr="00EF7988">
        <w:rPr>
          <w:rFonts w:ascii="Palatino Linotype" w:eastAsia="Palatino Linotype" w:hAnsi="Palatino Linotype" w:cs="Palatino Linotype"/>
          <w:sz w:val="22"/>
          <w:szCs w:val="22"/>
          <w:lang w:eastAsia="es-MX"/>
        </w:rPr>
        <w:t xml:space="preserve">de dos mil veintiséis, el Sujeto Obligado dio respuesta a la solicitud de acceso a la información a través del Sistema de Acceso a la Información Mexiquense (SAIMEX), </w:t>
      </w:r>
      <w:r w:rsidR="00E52B32" w:rsidRPr="00EF7988">
        <w:rPr>
          <w:rFonts w:ascii="Palatino Linotype" w:eastAsia="Palatino Linotype" w:hAnsi="Palatino Linotype" w:cs="Palatino Linotype"/>
          <w:sz w:val="22"/>
          <w:szCs w:val="22"/>
          <w:lang w:eastAsia="es-MX"/>
        </w:rPr>
        <w:t>mediante</w:t>
      </w:r>
      <w:r w:rsidRPr="00EF7988">
        <w:rPr>
          <w:rFonts w:ascii="Palatino Linotype" w:eastAsia="Palatino Linotype" w:hAnsi="Palatino Linotype" w:cs="Palatino Linotype"/>
          <w:sz w:val="22"/>
          <w:szCs w:val="22"/>
          <w:lang w:eastAsia="es-MX"/>
        </w:rPr>
        <w:t xml:space="preserve"> l</w:t>
      </w:r>
      <w:r w:rsidR="003A7C04" w:rsidRPr="00EF7988">
        <w:rPr>
          <w:rFonts w:ascii="Palatino Linotype" w:eastAsia="Palatino Linotype" w:hAnsi="Palatino Linotype" w:cs="Palatino Linotype"/>
          <w:sz w:val="22"/>
          <w:szCs w:val="22"/>
          <w:lang w:eastAsia="es-MX"/>
        </w:rPr>
        <w:t>a digitalización de los documentos siguientes:</w:t>
      </w:r>
      <w:r w:rsidRPr="00EF7988">
        <w:rPr>
          <w:rFonts w:ascii="Palatino Linotype" w:eastAsia="Palatino Linotype" w:hAnsi="Palatino Linotype" w:cs="Palatino Linotype"/>
          <w:sz w:val="22"/>
          <w:szCs w:val="22"/>
          <w:lang w:eastAsia="es-MX"/>
        </w:rPr>
        <w:t xml:space="preserve"> </w:t>
      </w:r>
    </w:p>
    <w:p w14:paraId="3BE6EBE1" w14:textId="77777777" w:rsidR="003A7C04" w:rsidRPr="00EF7988" w:rsidRDefault="003A7C04"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p>
    <w:p w14:paraId="1E35AB26" w14:textId="5018F9C7" w:rsidR="00E52B32" w:rsidRPr="00EF7988" w:rsidRDefault="003A7C04" w:rsidP="000C0C40">
      <w:pPr>
        <w:tabs>
          <w:tab w:val="left" w:pos="4667"/>
        </w:tabs>
        <w:spacing w:after="0" w:line="360" w:lineRule="auto"/>
        <w:contextualSpacing/>
        <w:jc w:val="both"/>
        <w:rPr>
          <w:rFonts w:ascii="Palatino Linotype" w:hAnsi="Palatino Linotype"/>
          <w:sz w:val="22"/>
          <w:szCs w:val="22"/>
        </w:rPr>
      </w:pPr>
      <w:r w:rsidRPr="00EF7988">
        <w:rPr>
          <w:rFonts w:ascii="Palatino Linotype" w:eastAsia="Palatino Linotype" w:hAnsi="Palatino Linotype" w:cs="Palatino Linotype"/>
          <w:sz w:val="22"/>
          <w:szCs w:val="22"/>
          <w:lang w:eastAsia="es-MX"/>
        </w:rPr>
        <w:t xml:space="preserve">i) </w:t>
      </w:r>
      <w:r w:rsidR="00E52B32" w:rsidRPr="00EF7988">
        <w:rPr>
          <w:rFonts w:ascii="Palatino Linotype" w:eastAsia="Palatino Linotype" w:hAnsi="Palatino Linotype" w:cs="Palatino Linotype"/>
          <w:sz w:val="22"/>
          <w:szCs w:val="22"/>
          <w:lang w:eastAsia="es-MX"/>
        </w:rPr>
        <w:t xml:space="preserve">Oficio número </w:t>
      </w:r>
      <w:r w:rsidR="00E52B32" w:rsidRPr="00EF7988">
        <w:rPr>
          <w:rFonts w:ascii="Palatino Linotype" w:hAnsi="Palatino Linotype"/>
          <w:sz w:val="22"/>
          <w:szCs w:val="22"/>
        </w:rPr>
        <w:t>OPD/IMCUFIDEEM/DG/UT/097/2026, de fecha de su presentación, suscrito por la titular de la Unidad de Transparencia, dirigido al Solicitante, a través del cual manifiesta y expone lo siguiente:</w:t>
      </w:r>
    </w:p>
    <w:p w14:paraId="69AD6578" w14:textId="77777777" w:rsidR="00E52B32" w:rsidRDefault="00E52B32" w:rsidP="000C0C40">
      <w:pPr>
        <w:tabs>
          <w:tab w:val="left" w:pos="4667"/>
        </w:tabs>
        <w:spacing w:after="0" w:line="360" w:lineRule="auto"/>
        <w:contextualSpacing/>
        <w:jc w:val="both"/>
        <w:rPr>
          <w:rFonts w:ascii="Palatino Linotype" w:hAnsi="Palatino Linotype"/>
        </w:rPr>
      </w:pPr>
    </w:p>
    <w:p w14:paraId="64A933B2" w14:textId="58D35D7C" w:rsidR="00E52B32" w:rsidRPr="00B34103" w:rsidRDefault="00E52B32" w:rsidP="000C0C40">
      <w:pPr>
        <w:tabs>
          <w:tab w:val="left" w:pos="4667"/>
        </w:tabs>
        <w:spacing w:after="0" w:line="360" w:lineRule="auto"/>
        <w:ind w:left="567" w:right="567"/>
        <w:contextualSpacing/>
        <w:jc w:val="both"/>
        <w:rPr>
          <w:rFonts w:ascii="Palatino Linotype" w:hAnsi="Palatino Linotype"/>
          <w:i/>
          <w:iCs/>
          <w:sz w:val="20"/>
          <w:szCs w:val="20"/>
        </w:rPr>
      </w:pPr>
      <w:r w:rsidRPr="00B34103">
        <w:rPr>
          <w:rFonts w:ascii="Palatino Linotype" w:hAnsi="Palatino Linotype"/>
          <w:i/>
          <w:iCs/>
          <w:sz w:val="20"/>
          <w:szCs w:val="20"/>
        </w:rPr>
        <w:t>“…</w:t>
      </w:r>
      <w:r w:rsidR="00B34103" w:rsidRPr="00B34103">
        <w:rPr>
          <w:rFonts w:ascii="Palatino Linotype" w:hAnsi="Palatino Linotype"/>
          <w:i/>
          <w:iCs/>
          <w:sz w:val="20"/>
          <w:szCs w:val="20"/>
        </w:rPr>
        <w:t>Con fundamento a lo señalado en los artículos 1,2,3 fracción XLIV, 4,12,23 fracción IV y 53 fracción II, IV, V, VI, 163 y demás relativos y aplicables a la Ley de Transparencia y Acceso a la Información Pública del Estado de México y Municipios, en primer instancia, esta área administrativa tuvo por presentado la respuesta del Departamento de Administración dependiente de la Coordinación de Administración y Finanzas, remitiendo en respuesta a la solicitud de acceso a la información pública de mérito, con oficio número: IMCUFIDEEM/CAYF/DA/65/2026, signado por el C. VICTOR HUGO HERNÁNDEZ VELAZQUEZ, Titular del Departamento de Administración del Organismo Público Descentralizado denominado Instituto Municipal de Cultura Física y Deporte de Ecatepec de Morelos, Estado de México, mediante el cual el manifestó que en la preparación de la entrega que contiene la información pública requerida, preparada para entregar asciende a la cantidad de espacio de almacenamiento que ocupa un dispositivo, calculado en bytes y que constan de un peso de 5.54 GB.</w:t>
      </w:r>
    </w:p>
    <w:p w14:paraId="2B167F5A"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p>
    <w:p w14:paraId="0D36D634" w14:textId="77777777" w:rsid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r w:rsidRPr="00B34103">
        <w:rPr>
          <w:rFonts w:ascii="Palatino Linotype" w:hAnsi="Palatino Linotype"/>
          <w:i/>
          <w:iCs/>
          <w:sz w:val="20"/>
          <w:szCs w:val="20"/>
        </w:rPr>
        <w:t xml:space="preserve">Derivado de lo anterior y, toda vez que usted, señaló el Sistema de Acceso a la Información Mexiquense (SAIMEX), como modalidad de entrega de la información, se procedió a consultar con la Dirección General de Informática del INFOEM, mediante Oficio OPD/IMCUFIDEEM/DG/UT/090/2026, si era posible realizar la carga de la cantidad de documentación referida a través del SAIMEX. </w:t>
      </w:r>
    </w:p>
    <w:p w14:paraId="569E0C85"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p>
    <w:p w14:paraId="04CAD71D" w14:textId="3AE07831"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r w:rsidRPr="00B34103">
        <w:rPr>
          <w:rFonts w:ascii="Palatino Linotype" w:hAnsi="Palatino Linotype"/>
          <w:i/>
          <w:iCs/>
          <w:sz w:val="20"/>
          <w:szCs w:val="20"/>
        </w:rPr>
        <w:t xml:space="preserve">En respuesta a lo anterior, la Dirección General de Informática, mediante oficio INFOEM/DGI/311/2026, informó que; "toda vez que trata de subir 5.54 GB, lo cual sobrepasa las capacidades técnicas del sistema SAIMEX" llevando a cabo tal anotación en la Bitácora correspondiente. </w:t>
      </w:r>
    </w:p>
    <w:p w14:paraId="65D36673"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p>
    <w:p w14:paraId="559CAF9A"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r w:rsidRPr="00B34103">
        <w:rPr>
          <w:rFonts w:ascii="Palatino Linotype" w:hAnsi="Palatino Linotype"/>
          <w:i/>
          <w:iCs/>
          <w:sz w:val="20"/>
          <w:szCs w:val="20"/>
        </w:rPr>
        <w:t>En esas condiciones, esta Área de Transparencia, hizo de conocimiento a los Integrantes del Comité de Transparencia del Organismo Público Descentralizado denominado Instituto Municipal de Cultura Física y Deporte de Ecatepec de Morelos, Estado de México, (IMCUFIDEEM), la propuesta presentada por la Departamento de Administración y que se relaciona con el cambio de modalidad de entrega de información (in situ), a la solicitud de acceso a la información pública IMCUFIDEEM/</w:t>
      </w:r>
      <w:proofErr w:type="spellStart"/>
      <w:r w:rsidRPr="00B34103">
        <w:rPr>
          <w:rFonts w:ascii="Palatino Linotype" w:hAnsi="Palatino Linotype"/>
          <w:i/>
          <w:iCs/>
          <w:sz w:val="20"/>
          <w:szCs w:val="20"/>
        </w:rPr>
        <w:t>CAyF</w:t>
      </w:r>
      <w:proofErr w:type="spellEnd"/>
      <w:r w:rsidRPr="00B34103">
        <w:rPr>
          <w:rFonts w:ascii="Palatino Linotype" w:hAnsi="Palatino Linotype"/>
          <w:i/>
          <w:iCs/>
          <w:sz w:val="20"/>
          <w:szCs w:val="20"/>
        </w:rPr>
        <w:t xml:space="preserve">/DA/65/2026, de conformidad con el artículo 158 de la Ley de Transparencia y Acceso a la información Pública del Estado de México y Municipios, en relación con el Capitulo X de los Lineamientos Generales en Materia de Clasificación y Desclasificación de la información, así como para la Elaboración de Versiones Públicas. En este sentido, los integrantes del Comité Interno de Transparencia analizaron y confirmaron que efectivamente la información requerida en su solicitud de acceso a la información pública sobrepasaba las capacidades técnicas, Administrativas y Humanas de este sujeto obligado. </w:t>
      </w:r>
    </w:p>
    <w:p w14:paraId="44397E33"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p>
    <w:p w14:paraId="7D8B2D25"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r w:rsidRPr="00B34103">
        <w:rPr>
          <w:rFonts w:ascii="Palatino Linotype" w:hAnsi="Palatino Linotype"/>
          <w:i/>
          <w:iCs/>
          <w:sz w:val="20"/>
          <w:szCs w:val="20"/>
        </w:rPr>
        <w:t xml:space="preserve">Por lo que se dictó </w:t>
      </w:r>
      <w:r w:rsidRPr="00B34103">
        <w:rPr>
          <w:rFonts w:ascii="Palatino Linotype" w:hAnsi="Palatino Linotype"/>
          <w:b/>
          <w:bCs/>
          <w:i/>
          <w:iCs/>
          <w:sz w:val="20"/>
          <w:szCs w:val="20"/>
          <w:u w:val="single"/>
        </w:rPr>
        <w:t>acuerdo del tercer punto del orden del día de la Décima Segunda Sesión un Extraordinaria del Comité de Transparencia del Organismo Público Descentralizado denominado Instituto Municipal de Cultura Física y Deporte de Ecatepec de Morelos, Estado de México, (IMCUFIDEEM), de fecha veintinueve de mayo del dos mil veintiséis, se aprobó por unanimidad de votos la entrega de la información solicitada en "CONSULTA DIRECTA" (in situ),</w:t>
      </w:r>
      <w:r w:rsidRPr="00B34103">
        <w:rPr>
          <w:rFonts w:ascii="Palatino Linotype" w:hAnsi="Palatino Linotype"/>
          <w:i/>
          <w:iCs/>
          <w:sz w:val="20"/>
          <w:szCs w:val="20"/>
        </w:rPr>
        <w:t xml:space="preserve"> esto como procedimiento interno que asegura la mayor eficacia para la gestión de la solicitud de acceso a información pública de referencia, y que se relacionan con los documentos a través de los cuales pondrán a su disposición conforme al calendario señalado; lo anterior, bajo la premisa de colmar derecho de acceso a la información pública. </w:t>
      </w:r>
    </w:p>
    <w:p w14:paraId="157C7148" w14:textId="77777777"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p>
    <w:p w14:paraId="60FADF6B" w14:textId="088DCA82" w:rsidR="00B34103" w:rsidRPr="00B34103" w:rsidRDefault="00B34103" w:rsidP="000C0C40">
      <w:pPr>
        <w:tabs>
          <w:tab w:val="left" w:pos="4667"/>
        </w:tabs>
        <w:spacing w:after="0" w:line="360" w:lineRule="auto"/>
        <w:ind w:left="567" w:right="567"/>
        <w:contextualSpacing/>
        <w:jc w:val="both"/>
        <w:rPr>
          <w:rFonts w:ascii="Palatino Linotype" w:hAnsi="Palatino Linotype"/>
          <w:i/>
          <w:iCs/>
          <w:sz w:val="20"/>
          <w:szCs w:val="20"/>
        </w:rPr>
      </w:pPr>
      <w:r w:rsidRPr="00B34103">
        <w:rPr>
          <w:rFonts w:ascii="Palatino Linotype" w:hAnsi="Palatino Linotype"/>
          <w:i/>
          <w:iCs/>
          <w:sz w:val="20"/>
          <w:szCs w:val="20"/>
        </w:rPr>
        <w:t>No omito mencionar que, de acuerdo con lo establecido en el "Capítulo X" denominado "DE LA CONSULTA DIRECTA", de los Lineamientos Generales en Materia de Clasificación y Desclasificación de la Información, así como para la Elaboración de Versiones Públicas, es oportuno dar cumplimiento al principio de máxima publicidad de la información y favorecer así el derecho de acceso a la información pública, esto es, permitiendo a cualquier persona el acceso a todo tipo de información de carácter público, que obra en posesión de este Sujeto Obligado, en relación con el artículo 164 de la Ley de Transparencia y Acceso a la Información Pública del Estado de México y Municipios…”</w:t>
      </w:r>
    </w:p>
    <w:p w14:paraId="19D89C4D" w14:textId="77777777" w:rsidR="00E52B32" w:rsidRDefault="00E52B32" w:rsidP="000C0C40">
      <w:pPr>
        <w:tabs>
          <w:tab w:val="left" w:pos="4667"/>
        </w:tabs>
        <w:spacing w:after="0" w:line="360" w:lineRule="auto"/>
        <w:contextualSpacing/>
        <w:jc w:val="both"/>
        <w:rPr>
          <w:rFonts w:ascii="Palatino Linotype" w:eastAsia="Palatino Linotype" w:hAnsi="Palatino Linotype" w:cs="Palatino Linotype"/>
          <w:lang w:eastAsia="es-MX"/>
        </w:rPr>
      </w:pPr>
    </w:p>
    <w:p w14:paraId="703F1DCC" w14:textId="7AFC2D23" w:rsidR="00F4599C" w:rsidRPr="00EF7988" w:rsidRDefault="00E52B32"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ii) </w:t>
      </w:r>
      <w:r w:rsidR="003A7C04" w:rsidRPr="00EF7988">
        <w:rPr>
          <w:rFonts w:ascii="Palatino Linotype" w:eastAsia="Palatino Linotype" w:hAnsi="Palatino Linotype" w:cs="Palatino Linotype"/>
          <w:sz w:val="22"/>
          <w:szCs w:val="22"/>
          <w:lang w:eastAsia="es-MX"/>
        </w:rPr>
        <w:t>O</w:t>
      </w:r>
      <w:r w:rsidR="00F4599C" w:rsidRPr="00EF7988">
        <w:rPr>
          <w:rFonts w:ascii="Palatino Linotype" w:eastAsia="Palatino Linotype" w:hAnsi="Palatino Linotype" w:cs="Palatino Linotype"/>
          <w:sz w:val="22"/>
          <w:szCs w:val="22"/>
          <w:lang w:eastAsia="es-MX"/>
        </w:rPr>
        <w:t xml:space="preserve">ficio número </w:t>
      </w:r>
      <w:r w:rsidR="003A7C04" w:rsidRPr="00EF7988">
        <w:rPr>
          <w:rFonts w:ascii="Palatino Linotype" w:hAnsi="Palatino Linotype"/>
          <w:sz w:val="22"/>
          <w:szCs w:val="22"/>
        </w:rPr>
        <w:t>IMCUFIDEEM/CAYF/DA/65/2026</w:t>
      </w:r>
      <w:r w:rsidR="00F4599C" w:rsidRPr="00EF7988">
        <w:rPr>
          <w:rFonts w:ascii="Palatino Linotype" w:hAnsi="Palatino Linotype"/>
          <w:sz w:val="22"/>
          <w:szCs w:val="22"/>
        </w:rPr>
        <w:t>, de</w:t>
      </w:r>
      <w:r w:rsidR="0045223E" w:rsidRPr="00EF7988">
        <w:rPr>
          <w:rFonts w:ascii="Palatino Linotype" w:hAnsi="Palatino Linotype"/>
          <w:sz w:val="22"/>
          <w:szCs w:val="22"/>
        </w:rPr>
        <w:t>l</w:t>
      </w:r>
      <w:r w:rsidR="00F4599C" w:rsidRPr="00EF7988">
        <w:rPr>
          <w:rFonts w:ascii="Palatino Linotype" w:hAnsi="Palatino Linotype"/>
          <w:sz w:val="22"/>
          <w:szCs w:val="22"/>
        </w:rPr>
        <w:t xml:space="preserve"> </w:t>
      </w:r>
      <w:r w:rsidR="0045223E" w:rsidRPr="00EF7988">
        <w:rPr>
          <w:rFonts w:ascii="Palatino Linotype" w:hAnsi="Palatino Linotype"/>
          <w:sz w:val="22"/>
          <w:szCs w:val="22"/>
        </w:rPr>
        <w:t xml:space="preserve">veintiséis de mayo del presente año, </w:t>
      </w:r>
      <w:r w:rsidR="00F4599C" w:rsidRPr="00EF7988">
        <w:rPr>
          <w:rFonts w:ascii="Palatino Linotype" w:hAnsi="Palatino Linotype"/>
          <w:sz w:val="22"/>
          <w:szCs w:val="22"/>
        </w:rPr>
        <w:t xml:space="preserve">suscrito </w:t>
      </w:r>
      <w:r w:rsidRPr="00EF7988">
        <w:rPr>
          <w:rFonts w:ascii="Palatino Linotype" w:hAnsi="Palatino Linotype"/>
          <w:sz w:val="22"/>
          <w:szCs w:val="22"/>
        </w:rPr>
        <w:t xml:space="preserve">por </w:t>
      </w:r>
      <w:r w:rsidR="00F4599C" w:rsidRPr="00EF7988">
        <w:rPr>
          <w:rFonts w:ascii="Palatino Linotype" w:hAnsi="Palatino Linotype"/>
          <w:sz w:val="22"/>
          <w:szCs w:val="22"/>
        </w:rPr>
        <w:t xml:space="preserve">el titular del </w:t>
      </w:r>
      <w:r w:rsidR="0045223E" w:rsidRPr="00EF7988">
        <w:rPr>
          <w:rFonts w:ascii="Palatino Linotype" w:hAnsi="Palatino Linotype"/>
          <w:sz w:val="22"/>
          <w:szCs w:val="22"/>
        </w:rPr>
        <w:t xml:space="preserve">Departamento de Administración, dirigido al titular de la </w:t>
      </w:r>
      <w:r w:rsidR="00F4599C" w:rsidRPr="00EF7988">
        <w:rPr>
          <w:rFonts w:ascii="Palatino Linotype" w:hAnsi="Palatino Linotype"/>
          <w:sz w:val="22"/>
          <w:szCs w:val="22"/>
        </w:rPr>
        <w:t>Unidad de Transparencia, a través del cual manifiesta y expone esencialmente lo siguiente:</w:t>
      </w:r>
    </w:p>
    <w:p w14:paraId="40670C83" w14:textId="77777777" w:rsidR="00F4599C" w:rsidRPr="00D81B36" w:rsidRDefault="00F4599C" w:rsidP="000C0C40">
      <w:pPr>
        <w:tabs>
          <w:tab w:val="left" w:pos="4667"/>
        </w:tabs>
        <w:spacing w:after="0" w:line="360" w:lineRule="auto"/>
        <w:ind w:left="567" w:right="567"/>
        <w:contextualSpacing/>
        <w:jc w:val="both"/>
        <w:rPr>
          <w:rFonts w:ascii="Palatino Linotype" w:hAnsi="Palatino Linotype"/>
          <w:i/>
          <w:iCs/>
          <w:sz w:val="20"/>
          <w:szCs w:val="20"/>
        </w:rPr>
      </w:pPr>
    </w:p>
    <w:p w14:paraId="4C57E750" w14:textId="14518639" w:rsidR="0045223E" w:rsidRPr="0045223E" w:rsidRDefault="00F4599C" w:rsidP="000C0C40">
      <w:pPr>
        <w:tabs>
          <w:tab w:val="left" w:pos="4667"/>
        </w:tabs>
        <w:spacing w:after="0" w:line="360" w:lineRule="auto"/>
        <w:ind w:left="567" w:right="567"/>
        <w:contextualSpacing/>
        <w:jc w:val="both"/>
        <w:rPr>
          <w:rFonts w:ascii="Palatino Linotype" w:hAnsi="Palatino Linotype"/>
          <w:i/>
          <w:iCs/>
          <w:sz w:val="20"/>
          <w:szCs w:val="20"/>
        </w:rPr>
      </w:pPr>
      <w:r w:rsidRPr="0045223E">
        <w:rPr>
          <w:rFonts w:ascii="Palatino Linotype" w:hAnsi="Palatino Linotype"/>
          <w:i/>
          <w:iCs/>
          <w:sz w:val="20"/>
          <w:szCs w:val="20"/>
        </w:rPr>
        <w:t>“…</w:t>
      </w:r>
    </w:p>
    <w:p w14:paraId="19C34FA2" w14:textId="77777777" w:rsidR="0045223E" w:rsidRDefault="0045223E" w:rsidP="000C0C40">
      <w:pPr>
        <w:tabs>
          <w:tab w:val="left" w:pos="4667"/>
        </w:tabs>
        <w:spacing w:after="0" w:line="360" w:lineRule="auto"/>
        <w:ind w:left="567" w:right="567"/>
        <w:contextualSpacing/>
        <w:jc w:val="both"/>
        <w:rPr>
          <w:rFonts w:ascii="Palatino Linotype" w:hAnsi="Palatino Linotype"/>
          <w:i/>
          <w:iCs/>
          <w:sz w:val="20"/>
          <w:szCs w:val="20"/>
        </w:rPr>
      </w:pPr>
      <w:r w:rsidRPr="0045223E">
        <w:rPr>
          <w:rFonts w:ascii="Palatino Linotype" w:hAnsi="Palatino Linotype"/>
          <w:i/>
          <w:iCs/>
          <w:sz w:val="20"/>
          <w:szCs w:val="20"/>
        </w:rPr>
        <w:t xml:space="preserve">Con fundamento en los artículos 6 de la Constitución Política de los Estados Unidos Mexicanos; fracción ll del artículo 5 de la Constitución Política del Estado Libre y Soberano de México; 47, 49, 53 Fracción X, 59 fracciones I, II, III, IV, V y VI, 158, 163, 164, 165, de la Ley de Transparencia y Acceso a la Información Pública del Estado de México y Municipios, respecto de la solicitud de mérito, es importante señalar que esta Unidad Administrativa advierte que en cumplimiento a la preparación de la información requerida que será entregada, atentamente INFORMO que en el avance de la digitalización de los expedientes que contienen la información pública referida hasta éste momento tiene un peso o tamaño de archivos digitales que miden la cantidad de espacio de almacenamiento que ocupa en un dispositivo, calculado en bytes y que constan de un peso de 5.54 GB correspondientes a 427 archivos. </w:t>
      </w:r>
    </w:p>
    <w:p w14:paraId="53A0668C" w14:textId="77777777" w:rsidR="0045223E" w:rsidRDefault="0045223E" w:rsidP="000C0C40">
      <w:pPr>
        <w:tabs>
          <w:tab w:val="left" w:pos="4667"/>
        </w:tabs>
        <w:spacing w:after="0" w:line="360" w:lineRule="auto"/>
        <w:ind w:left="567" w:right="567"/>
        <w:contextualSpacing/>
        <w:jc w:val="both"/>
        <w:rPr>
          <w:rFonts w:ascii="Palatino Linotype" w:hAnsi="Palatino Linotype"/>
          <w:i/>
          <w:iCs/>
          <w:sz w:val="20"/>
          <w:szCs w:val="20"/>
        </w:rPr>
      </w:pPr>
    </w:p>
    <w:p w14:paraId="00C592BD" w14:textId="74D2BCC2" w:rsidR="00F4599C" w:rsidRPr="0045223E" w:rsidRDefault="0045223E" w:rsidP="000C0C40">
      <w:pPr>
        <w:tabs>
          <w:tab w:val="left" w:pos="4667"/>
        </w:tabs>
        <w:spacing w:after="0" w:line="360" w:lineRule="auto"/>
        <w:ind w:left="567" w:right="567"/>
        <w:contextualSpacing/>
        <w:jc w:val="both"/>
        <w:rPr>
          <w:rFonts w:ascii="Palatino Linotype" w:hAnsi="Palatino Linotype"/>
          <w:i/>
          <w:iCs/>
          <w:sz w:val="20"/>
          <w:szCs w:val="20"/>
        </w:rPr>
      </w:pPr>
      <w:r w:rsidRPr="0045223E">
        <w:rPr>
          <w:rFonts w:ascii="Palatino Linotype" w:hAnsi="Palatino Linotype"/>
          <w:i/>
          <w:iCs/>
          <w:sz w:val="20"/>
          <w:szCs w:val="20"/>
        </w:rPr>
        <w:t>Asimismo, atendiendo al personal con el que cuenta esta área informo que sobrepasa la capacidad administrativa y humana el entregar en el tiempo estipulado para ello por lo que informo lo anterior para todos los efectos a que haya lugar</w:t>
      </w:r>
      <w:r w:rsidR="00F4599C" w:rsidRPr="0045223E">
        <w:rPr>
          <w:rFonts w:ascii="Palatino Linotype" w:hAnsi="Palatino Linotype"/>
          <w:i/>
          <w:iCs/>
          <w:sz w:val="20"/>
          <w:szCs w:val="20"/>
        </w:rPr>
        <w:t>…”</w:t>
      </w:r>
    </w:p>
    <w:p w14:paraId="369AFF21" w14:textId="77777777" w:rsidR="00F4599C" w:rsidRDefault="00F4599C" w:rsidP="000C0C40">
      <w:pPr>
        <w:tabs>
          <w:tab w:val="left" w:pos="4667"/>
        </w:tabs>
        <w:spacing w:after="0" w:line="360" w:lineRule="auto"/>
        <w:ind w:right="567"/>
        <w:contextualSpacing/>
        <w:jc w:val="both"/>
        <w:rPr>
          <w:rFonts w:ascii="Palatino Linotype" w:eastAsia="Palatino Linotype" w:hAnsi="Palatino Linotype" w:cs="Palatino Linotype"/>
          <w:sz w:val="20"/>
          <w:szCs w:val="20"/>
          <w:lang w:eastAsia="es-MX"/>
        </w:rPr>
      </w:pPr>
    </w:p>
    <w:p w14:paraId="6B728488" w14:textId="085336F7" w:rsidR="00E52B32" w:rsidRPr="00EF7988" w:rsidRDefault="00E52B32"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i</w:t>
      </w:r>
      <w:r w:rsidR="00B34103" w:rsidRPr="00EF7988">
        <w:rPr>
          <w:rFonts w:ascii="Palatino Linotype" w:eastAsia="Palatino Linotype" w:hAnsi="Palatino Linotype" w:cs="Palatino Linotype"/>
          <w:sz w:val="22"/>
          <w:szCs w:val="22"/>
          <w:lang w:eastAsia="es-MX"/>
        </w:rPr>
        <w:t>i</w:t>
      </w:r>
      <w:r w:rsidRPr="00EF7988">
        <w:rPr>
          <w:rFonts w:ascii="Palatino Linotype" w:eastAsia="Palatino Linotype" w:hAnsi="Palatino Linotype" w:cs="Palatino Linotype"/>
          <w:sz w:val="22"/>
          <w:szCs w:val="22"/>
          <w:lang w:eastAsia="es-MX"/>
        </w:rPr>
        <w:t>i) Evidencia del peso de la información relacionada con las adquisiciones 2025-2026.</w:t>
      </w:r>
    </w:p>
    <w:p w14:paraId="37EAB042" w14:textId="77777777" w:rsidR="00E52B32" w:rsidRPr="00EF7988" w:rsidRDefault="00E52B32"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p>
    <w:p w14:paraId="6D0544DD" w14:textId="349BF336" w:rsidR="00B34103" w:rsidRPr="00EF7988" w:rsidRDefault="00B34103"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iv) Acta de la Décima Segunda Sesión Extraordinaria</w:t>
      </w:r>
      <w:r w:rsidR="00AB5E9B" w:rsidRPr="00EF7988">
        <w:rPr>
          <w:rFonts w:ascii="Palatino Linotype" w:eastAsia="Palatino Linotype" w:hAnsi="Palatino Linotype" w:cs="Palatino Linotype"/>
          <w:sz w:val="22"/>
          <w:szCs w:val="22"/>
          <w:lang w:eastAsia="es-MX"/>
        </w:rPr>
        <w:t xml:space="preserve"> del Comité de Transparencia por el que se aprueba el cambio de modalidad a consulta directa.</w:t>
      </w:r>
    </w:p>
    <w:p w14:paraId="4C2A0E2F" w14:textId="215C4D11" w:rsidR="00E52B32" w:rsidRPr="00EF7988" w:rsidRDefault="00B34103" w:rsidP="000C0C40">
      <w:pPr>
        <w:tabs>
          <w:tab w:val="left" w:pos="4667"/>
        </w:tabs>
        <w:spacing w:after="0" w:line="360" w:lineRule="auto"/>
        <w:ind w:right="567"/>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 </w:t>
      </w:r>
    </w:p>
    <w:p w14:paraId="446BFED5" w14:textId="77777777" w:rsidR="00AB5E9B" w:rsidRPr="00EF7988" w:rsidRDefault="00AB5E9B" w:rsidP="000C0C40">
      <w:pPr>
        <w:tabs>
          <w:tab w:val="left" w:pos="4667"/>
        </w:tabs>
        <w:spacing w:after="0" w:line="360" w:lineRule="auto"/>
        <w:contextualSpacing/>
        <w:jc w:val="both"/>
        <w:rPr>
          <w:rFonts w:ascii="Palatino Linotype" w:hAnsi="Palatino Linotype"/>
          <w:sz w:val="22"/>
          <w:szCs w:val="22"/>
        </w:rPr>
      </w:pPr>
      <w:r w:rsidRPr="00EF7988">
        <w:rPr>
          <w:rFonts w:ascii="Palatino Linotype" w:eastAsia="Palatino Linotype" w:hAnsi="Palatino Linotype" w:cs="Palatino Linotype"/>
          <w:sz w:val="22"/>
          <w:szCs w:val="22"/>
          <w:lang w:eastAsia="es-MX"/>
        </w:rPr>
        <w:t xml:space="preserve">v) Oficio número </w:t>
      </w:r>
      <w:r w:rsidRPr="00EF7988">
        <w:rPr>
          <w:rFonts w:ascii="Palatino Linotype" w:hAnsi="Palatino Linotype"/>
          <w:sz w:val="22"/>
          <w:szCs w:val="22"/>
        </w:rPr>
        <w:t>INFOEM/DGI/311/2026, del veintiocho de mayo de dos mil veintiséis, suscrito por el Director General de Informática de este Instituto, dirigido a la Titular de la Unidad de Transparencia, a través del cual manifiesta lo siguiente:</w:t>
      </w:r>
    </w:p>
    <w:p w14:paraId="1765584F" w14:textId="77777777" w:rsidR="00AB5E9B" w:rsidRDefault="00AB5E9B" w:rsidP="000C0C40">
      <w:pPr>
        <w:tabs>
          <w:tab w:val="left" w:pos="4667"/>
        </w:tabs>
        <w:spacing w:after="0" w:line="360" w:lineRule="auto"/>
        <w:contextualSpacing/>
        <w:jc w:val="both"/>
        <w:rPr>
          <w:rFonts w:ascii="Palatino Linotype" w:hAnsi="Palatino Linotype"/>
        </w:rPr>
      </w:pPr>
    </w:p>
    <w:p w14:paraId="749F0DBC" w14:textId="10102A72" w:rsidR="00AB5E9B" w:rsidRPr="00AB5E9B" w:rsidRDefault="00AB5E9B" w:rsidP="000C0C40">
      <w:pPr>
        <w:tabs>
          <w:tab w:val="left" w:pos="4667"/>
        </w:tabs>
        <w:spacing w:after="0" w:line="360" w:lineRule="auto"/>
        <w:ind w:left="567" w:right="567"/>
        <w:contextualSpacing/>
        <w:jc w:val="both"/>
        <w:rPr>
          <w:rFonts w:ascii="Palatino Linotype" w:hAnsi="Palatino Linotype"/>
          <w:i/>
          <w:iCs/>
          <w:sz w:val="20"/>
          <w:szCs w:val="20"/>
        </w:rPr>
      </w:pPr>
      <w:r w:rsidRPr="00AB5E9B">
        <w:rPr>
          <w:rFonts w:ascii="Palatino Linotype" w:hAnsi="Palatino Linotype"/>
          <w:i/>
          <w:iCs/>
          <w:sz w:val="20"/>
          <w:szCs w:val="20"/>
        </w:rPr>
        <w:t xml:space="preserve">“…En atención a su oficio con número </w:t>
      </w:r>
      <w:r w:rsidRPr="00AB5E9B">
        <w:rPr>
          <w:rFonts w:ascii="Palatino Linotype" w:hAnsi="Palatino Linotype"/>
          <w:b/>
          <w:bCs/>
          <w:i/>
          <w:iCs/>
          <w:sz w:val="20"/>
          <w:szCs w:val="20"/>
        </w:rPr>
        <w:t>OPD/IMCUFIDEEM/DG/UT/090/2026</w:t>
      </w:r>
      <w:r w:rsidRPr="00AB5E9B">
        <w:rPr>
          <w:rFonts w:ascii="Palatino Linotype" w:hAnsi="Palatino Linotype"/>
          <w:i/>
          <w:iCs/>
          <w:sz w:val="20"/>
          <w:szCs w:val="20"/>
        </w:rPr>
        <w:t xml:space="preserve">, a fin de atender la solicitud de información con folio: </w:t>
      </w:r>
      <w:r w:rsidRPr="00AB5E9B">
        <w:rPr>
          <w:rFonts w:ascii="Palatino Linotype" w:hAnsi="Palatino Linotype"/>
          <w:b/>
          <w:bCs/>
          <w:i/>
          <w:iCs/>
          <w:sz w:val="20"/>
          <w:szCs w:val="20"/>
        </w:rPr>
        <w:t>00023/IMCUFIDECATEPEC/IP/2026</w:t>
      </w:r>
      <w:r w:rsidRPr="00AB5E9B">
        <w:rPr>
          <w:rFonts w:ascii="Palatino Linotype" w:hAnsi="Palatino Linotype"/>
          <w:i/>
          <w:iCs/>
          <w:sz w:val="20"/>
          <w:szCs w:val="20"/>
        </w:rPr>
        <w:t xml:space="preserve">, al respecto me permito comunicarle a Usted que dicha incidencia técnica ha quedado registrada en la bitácora de incidencias, toda vez que trata de subir </w:t>
      </w:r>
      <w:r w:rsidRPr="00AB5E9B">
        <w:rPr>
          <w:rFonts w:ascii="Palatino Linotype" w:hAnsi="Palatino Linotype"/>
          <w:b/>
          <w:bCs/>
          <w:i/>
          <w:iCs/>
          <w:sz w:val="20"/>
          <w:szCs w:val="20"/>
        </w:rPr>
        <w:t>5.54GB</w:t>
      </w:r>
      <w:r w:rsidRPr="00AB5E9B">
        <w:rPr>
          <w:rFonts w:ascii="Palatino Linotype" w:hAnsi="Palatino Linotype"/>
          <w:i/>
          <w:iCs/>
          <w:sz w:val="20"/>
          <w:szCs w:val="20"/>
        </w:rPr>
        <w:t xml:space="preserve">, lo cual sobrepasa las capacidades técnicas del sistema </w:t>
      </w:r>
      <w:proofErr w:type="spellStart"/>
      <w:r w:rsidRPr="00AB5E9B">
        <w:rPr>
          <w:rFonts w:ascii="Palatino Linotype" w:hAnsi="Palatino Linotype"/>
          <w:i/>
          <w:iCs/>
          <w:sz w:val="20"/>
          <w:szCs w:val="20"/>
        </w:rPr>
        <w:t>Saimex</w:t>
      </w:r>
      <w:proofErr w:type="spellEnd"/>
      <w:r w:rsidRPr="00AB5E9B">
        <w:rPr>
          <w:rFonts w:ascii="Palatino Linotype" w:hAnsi="Palatino Linotype"/>
          <w:i/>
          <w:iCs/>
          <w:sz w:val="20"/>
          <w:szCs w:val="20"/>
        </w:rPr>
        <w:t xml:space="preserve">. </w:t>
      </w:r>
    </w:p>
    <w:p w14:paraId="4498E286" w14:textId="77777777" w:rsidR="00AB5E9B" w:rsidRPr="00AB5E9B" w:rsidRDefault="00AB5E9B" w:rsidP="000C0C40">
      <w:pPr>
        <w:tabs>
          <w:tab w:val="left" w:pos="4667"/>
        </w:tabs>
        <w:spacing w:after="0" w:line="360" w:lineRule="auto"/>
        <w:ind w:left="567" w:right="567"/>
        <w:contextualSpacing/>
        <w:jc w:val="both"/>
        <w:rPr>
          <w:rFonts w:ascii="Palatino Linotype" w:hAnsi="Palatino Linotype"/>
          <w:i/>
          <w:iCs/>
          <w:sz w:val="20"/>
          <w:szCs w:val="20"/>
        </w:rPr>
      </w:pPr>
    </w:p>
    <w:p w14:paraId="303ADFEA" w14:textId="77777777" w:rsidR="00AB5E9B" w:rsidRPr="00AB5E9B" w:rsidRDefault="00AB5E9B" w:rsidP="000C0C40">
      <w:pPr>
        <w:tabs>
          <w:tab w:val="left" w:pos="4667"/>
        </w:tabs>
        <w:spacing w:after="0" w:line="360" w:lineRule="auto"/>
        <w:ind w:left="567" w:right="567"/>
        <w:contextualSpacing/>
        <w:jc w:val="both"/>
        <w:rPr>
          <w:rFonts w:ascii="Palatino Linotype" w:hAnsi="Palatino Linotype"/>
          <w:b/>
          <w:bCs/>
          <w:i/>
          <w:iCs/>
          <w:sz w:val="20"/>
          <w:szCs w:val="20"/>
        </w:rPr>
      </w:pPr>
      <w:r w:rsidRPr="00AB5E9B">
        <w:rPr>
          <w:rFonts w:ascii="Palatino Linotype" w:hAnsi="Palatino Linotype"/>
          <w:b/>
          <w:bCs/>
          <w:i/>
          <w:iCs/>
          <w:sz w:val="20"/>
          <w:szCs w:val="20"/>
        </w:rPr>
        <w:t xml:space="preserve">Es importante hacer mención que el peso referido en el párrafo anterior, así como lo expresado en su solicitud para el cambio de modalidad, considerando los supuestos de su justificación con base en los artículos 158 y 164 de la Ley de Transparencia y Acceso a la Información Pública del Estado de México y Municipios, es responsabilidad del Sujeto Obligado. </w:t>
      </w:r>
    </w:p>
    <w:p w14:paraId="4D6158AF" w14:textId="77777777" w:rsidR="00AB5E9B" w:rsidRPr="00AB5E9B" w:rsidRDefault="00AB5E9B" w:rsidP="000C0C40">
      <w:pPr>
        <w:tabs>
          <w:tab w:val="left" w:pos="4667"/>
        </w:tabs>
        <w:spacing w:after="0" w:line="360" w:lineRule="auto"/>
        <w:ind w:left="567" w:right="567"/>
        <w:contextualSpacing/>
        <w:jc w:val="both"/>
        <w:rPr>
          <w:rFonts w:ascii="Palatino Linotype" w:hAnsi="Palatino Linotype"/>
          <w:i/>
          <w:iCs/>
          <w:sz w:val="20"/>
          <w:szCs w:val="20"/>
        </w:rPr>
      </w:pPr>
    </w:p>
    <w:p w14:paraId="4BEE2B73" w14:textId="7628B640" w:rsidR="00AB5E9B" w:rsidRPr="00AB5E9B" w:rsidRDefault="00AB5E9B" w:rsidP="000C0C40">
      <w:pPr>
        <w:tabs>
          <w:tab w:val="left" w:pos="4667"/>
        </w:tabs>
        <w:spacing w:after="0" w:line="360" w:lineRule="auto"/>
        <w:ind w:left="567" w:right="567"/>
        <w:contextualSpacing/>
        <w:jc w:val="both"/>
        <w:rPr>
          <w:rFonts w:ascii="Palatino Linotype" w:hAnsi="Palatino Linotype"/>
          <w:i/>
          <w:iCs/>
          <w:sz w:val="20"/>
          <w:szCs w:val="20"/>
        </w:rPr>
      </w:pPr>
      <w:r w:rsidRPr="00AB5E9B">
        <w:rPr>
          <w:rFonts w:ascii="Palatino Linotype" w:hAnsi="Palatino Linotype"/>
          <w:i/>
          <w:iCs/>
          <w:sz w:val="20"/>
          <w:szCs w:val="20"/>
        </w:rPr>
        <w:t xml:space="preserve">Por otro lado, para el escaneo de fojas le recomendamos utilizar una resolución alta de 150 </w:t>
      </w:r>
      <w:proofErr w:type="spellStart"/>
      <w:r w:rsidRPr="00AB5E9B">
        <w:rPr>
          <w:rFonts w:ascii="Palatino Linotype" w:hAnsi="Palatino Linotype"/>
          <w:i/>
          <w:iCs/>
          <w:sz w:val="20"/>
          <w:szCs w:val="20"/>
        </w:rPr>
        <w:t>Dpi's</w:t>
      </w:r>
      <w:proofErr w:type="spellEnd"/>
      <w:r w:rsidRPr="00AB5E9B">
        <w:rPr>
          <w:rFonts w:ascii="Palatino Linotype" w:hAnsi="Palatino Linotype"/>
          <w:i/>
          <w:iCs/>
          <w:sz w:val="20"/>
          <w:szCs w:val="20"/>
        </w:rPr>
        <w:t>, en escala de grises y formato "PDF"; extraído directamente del escáner</w:t>
      </w:r>
      <w:r>
        <w:rPr>
          <w:rFonts w:ascii="Palatino Linotype" w:hAnsi="Palatino Linotype"/>
          <w:i/>
          <w:iCs/>
          <w:sz w:val="20"/>
          <w:szCs w:val="20"/>
        </w:rPr>
        <w:t>..</w:t>
      </w:r>
      <w:r w:rsidRPr="00AB5E9B">
        <w:rPr>
          <w:rFonts w:ascii="Palatino Linotype" w:hAnsi="Palatino Linotype"/>
          <w:i/>
          <w:iCs/>
          <w:sz w:val="20"/>
          <w:szCs w:val="20"/>
        </w:rPr>
        <w:t>.</w:t>
      </w:r>
      <w:r>
        <w:rPr>
          <w:rFonts w:ascii="Palatino Linotype" w:hAnsi="Palatino Linotype"/>
          <w:i/>
          <w:iCs/>
          <w:sz w:val="20"/>
          <w:szCs w:val="20"/>
        </w:rPr>
        <w:t>”</w:t>
      </w:r>
    </w:p>
    <w:p w14:paraId="7C3F61C0" w14:textId="77777777" w:rsidR="00AB5E9B" w:rsidRDefault="00AB5E9B" w:rsidP="000C0C40">
      <w:pPr>
        <w:tabs>
          <w:tab w:val="left" w:pos="4667"/>
        </w:tabs>
        <w:spacing w:after="0" w:line="360" w:lineRule="auto"/>
        <w:ind w:right="567"/>
        <w:contextualSpacing/>
        <w:jc w:val="both"/>
        <w:rPr>
          <w:rFonts w:ascii="Palatino Linotype" w:eastAsia="Palatino Linotype" w:hAnsi="Palatino Linotype" w:cs="Palatino Linotype"/>
          <w:sz w:val="20"/>
          <w:szCs w:val="20"/>
          <w:lang w:eastAsia="es-MX"/>
        </w:rPr>
      </w:pPr>
    </w:p>
    <w:p w14:paraId="66F0247A" w14:textId="44D8FD99" w:rsidR="00AB5E9B" w:rsidRPr="00EF7988" w:rsidRDefault="00AB5E9B" w:rsidP="000C0C40">
      <w:pPr>
        <w:tabs>
          <w:tab w:val="left" w:pos="4667"/>
        </w:tabs>
        <w:spacing w:after="0" w:line="360" w:lineRule="auto"/>
        <w:ind w:right="567"/>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vi) Calendario para la consulta de la información.</w:t>
      </w:r>
    </w:p>
    <w:p w14:paraId="4BDF049F" w14:textId="77777777" w:rsidR="00AB5E9B" w:rsidRPr="00AB5E9B" w:rsidRDefault="00AB5E9B" w:rsidP="000C0C40">
      <w:pPr>
        <w:tabs>
          <w:tab w:val="left" w:pos="4667"/>
        </w:tabs>
        <w:spacing w:after="0" w:line="360" w:lineRule="auto"/>
        <w:ind w:right="567"/>
        <w:contextualSpacing/>
        <w:jc w:val="both"/>
        <w:rPr>
          <w:rFonts w:ascii="Palatino Linotype" w:eastAsia="Palatino Linotype" w:hAnsi="Palatino Linotype" w:cs="Palatino Linotype"/>
          <w:lang w:eastAsia="es-MX"/>
        </w:rPr>
      </w:pPr>
    </w:p>
    <w:p w14:paraId="1AA6CAC8" w14:textId="7E381278" w:rsidR="00AB5E9B" w:rsidRPr="00EF7988" w:rsidRDefault="00AB5E9B" w:rsidP="000C0C40">
      <w:pPr>
        <w:tabs>
          <w:tab w:val="left" w:pos="4667"/>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vii) Oficio número </w:t>
      </w:r>
      <w:r w:rsidRPr="00EF7988">
        <w:rPr>
          <w:rFonts w:ascii="Palatino Linotype" w:hAnsi="Palatino Linotype"/>
          <w:sz w:val="22"/>
          <w:szCs w:val="22"/>
        </w:rPr>
        <w:t xml:space="preserve">OPD/IMCUFIDEEM/DG/UT/090/2026 del veintisiete de mayo de la presente anualidad suscrito por la Titular de la Unidad de Transparencia, dirigido al Director de Informática de este Instituto, a través del cual le solicita que realice el registro de incidencia </w:t>
      </w:r>
      <w:r w:rsidR="00D04AD0" w:rsidRPr="00EF7988">
        <w:rPr>
          <w:rFonts w:ascii="Palatino Linotype" w:hAnsi="Palatino Linotype"/>
          <w:sz w:val="22"/>
          <w:szCs w:val="22"/>
        </w:rPr>
        <w:t>respecto del peso de los documentos que integran la información solicitada</w:t>
      </w:r>
      <w:r w:rsidRPr="00EF7988">
        <w:rPr>
          <w:rFonts w:ascii="Palatino Linotype" w:hAnsi="Palatino Linotype"/>
          <w:sz w:val="22"/>
          <w:szCs w:val="22"/>
        </w:rPr>
        <w:t>.</w:t>
      </w:r>
    </w:p>
    <w:p w14:paraId="0D0FD586" w14:textId="77777777" w:rsidR="00AB5E9B" w:rsidRPr="00EF7988" w:rsidRDefault="00AB5E9B" w:rsidP="000C0C40">
      <w:pPr>
        <w:keepNext/>
        <w:keepLines/>
        <w:spacing w:after="0" w:line="360" w:lineRule="auto"/>
        <w:contextualSpacing/>
        <w:outlineLvl w:val="1"/>
        <w:rPr>
          <w:rFonts w:ascii="Palatino Linotype" w:eastAsiaTheme="majorEastAsia" w:hAnsi="Palatino Linotype" w:cstheme="majorBidi"/>
          <w:b/>
          <w:bCs/>
          <w:sz w:val="22"/>
          <w:szCs w:val="22"/>
          <w:lang w:eastAsia="es-MX"/>
        </w:rPr>
      </w:pPr>
    </w:p>
    <w:p w14:paraId="733A5DBE" w14:textId="35049D35" w:rsidR="00F4599C" w:rsidRPr="00EF7988" w:rsidRDefault="00F4599C" w:rsidP="000C0C40">
      <w:pPr>
        <w:keepNext/>
        <w:keepLines/>
        <w:spacing w:after="0" w:line="360" w:lineRule="auto"/>
        <w:contextualSpacing/>
        <w:outlineLvl w:val="1"/>
        <w:rPr>
          <w:rFonts w:ascii="Palatino Linotype" w:eastAsiaTheme="majorEastAsia" w:hAnsi="Palatino Linotype" w:cstheme="majorBidi"/>
          <w:b/>
          <w:bCs/>
          <w:sz w:val="22"/>
          <w:szCs w:val="22"/>
          <w:lang w:eastAsia="es-MX"/>
        </w:rPr>
      </w:pPr>
      <w:bookmarkStart w:id="8" w:name="_Toc235115841"/>
      <w:r w:rsidRPr="00EF7988">
        <w:rPr>
          <w:rFonts w:ascii="Palatino Linotype" w:eastAsiaTheme="majorEastAsia" w:hAnsi="Palatino Linotype" w:cstheme="majorBidi"/>
          <w:b/>
          <w:bCs/>
          <w:sz w:val="22"/>
          <w:szCs w:val="22"/>
          <w:lang w:eastAsia="es-MX"/>
        </w:rPr>
        <w:t>III. Interposición del Recurso de Revisión</w:t>
      </w:r>
      <w:bookmarkEnd w:id="8"/>
    </w:p>
    <w:p w14:paraId="212B35A4"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11B5928C" w14:textId="22F27FE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Con fecha </w:t>
      </w:r>
      <w:r w:rsidR="00D04AD0" w:rsidRPr="00EF7988">
        <w:rPr>
          <w:rFonts w:ascii="Palatino Linotype" w:eastAsia="Palatino Linotype" w:hAnsi="Palatino Linotype" w:cs="Palatino Linotype"/>
          <w:sz w:val="22"/>
          <w:szCs w:val="22"/>
          <w:lang w:eastAsia="es-MX"/>
        </w:rPr>
        <w:t>cuatro de junio</w:t>
      </w:r>
      <w:r w:rsidRPr="00EF7988">
        <w:rPr>
          <w:rFonts w:ascii="Palatino Linotype" w:eastAsia="Palatino Linotype" w:hAnsi="Palatino Linotype" w:cs="Palatino Linotype"/>
          <w:sz w:val="22"/>
          <w:szCs w:val="22"/>
          <w:lang w:eastAsia="es-MX"/>
        </w:rPr>
        <w:t xml:space="preserve"> de dos mil veintiséis, se recibió en este Instituto, a través del SAIMEX, el Recurso de Revisión interpuesto por la parte Recurrente, en contra de la respuesta del </w:t>
      </w:r>
      <w:r w:rsidR="00D04AD0" w:rsidRPr="00EF7988">
        <w:rPr>
          <w:rFonts w:ascii="Palatino Linotype" w:hAnsi="Palatino Linotype"/>
          <w:sz w:val="22"/>
          <w:szCs w:val="22"/>
        </w:rPr>
        <w:t>Instituto Municipal de Cultura Física y Deporte de Ecatepec</w:t>
      </w:r>
      <w:r w:rsidRPr="00EF7988">
        <w:rPr>
          <w:rFonts w:ascii="Palatino Linotype" w:eastAsia="Palatino Linotype" w:hAnsi="Palatino Linotype" w:cs="Palatino Linotype"/>
          <w:sz w:val="22"/>
          <w:szCs w:val="22"/>
          <w:lang w:eastAsia="es-MX"/>
        </w:rPr>
        <w:t>, en los siguientes términos:</w:t>
      </w:r>
    </w:p>
    <w:p w14:paraId="7DC3C0A6" w14:textId="77777777" w:rsidR="00F4599C" w:rsidRPr="00290F84" w:rsidRDefault="00F4599C" w:rsidP="000C0C40">
      <w:pPr>
        <w:spacing w:after="0" w:line="360" w:lineRule="auto"/>
        <w:contextualSpacing/>
        <w:jc w:val="both"/>
        <w:rPr>
          <w:rFonts w:ascii="Palatino Linotype" w:eastAsia="Palatino Linotype" w:hAnsi="Palatino Linotype" w:cs="Palatino Linotype"/>
          <w:b/>
          <w:lang w:eastAsia="es-MX"/>
        </w:rPr>
      </w:pPr>
    </w:p>
    <w:p w14:paraId="59C29E8F" w14:textId="77777777" w:rsidR="00F4599C" w:rsidRPr="00D04AD0" w:rsidRDefault="00F4599C" w:rsidP="000C0C40">
      <w:pPr>
        <w:spacing w:after="0" w:line="360" w:lineRule="auto"/>
        <w:ind w:left="567" w:right="567"/>
        <w:contextualSpacing/>
        <w:jc w:val="both"/>
        <w:rPr>
          <w:rFonts w:ascii="Palatino Linotype" w:eastAsia="Palatino Linotype" w:hAnsi="Palatino Linotype" w:cs="Palatino Linotype"/>
          <w:i/>
          <w:sz w:val="20"/>
          <w:szCs w:val="20"/>
          <w:lang w:eastAsia="es-MX"/>
        </w:rPr>
      </w:pPr>
      <w:r w:rsidRPr="00D04AD0">
        <w:rPr>
          <w:rFonts w:ascii="Palatino Linotype" w:eastAsia="Palatino Linotype" w:hAnsi="Palatino Linotype" w:cs="Palatino Linotype"/>
          <w:b/>
          <w:i/>
          <w:sz w:val="20"/>
          <w:szCs w:val="20"/>
          <w:lang w:eastAsia="es-MX"/>
        </w:rPr>
        <w:t>ACTO IMPUGNADO</w:t>
      </w:r>
    </w:p>
    <w:p w14:paraId="1A49B057" w14:textId="56945490" w:rsidR="00F4599C" w:rsidRPr="00D04AD0" w:rsidRDefault="00D04AD0" w:rsidP="000C0C40">
      <w:pPr>
        <w:spacing w:after="0" w:line="360" w:lineRule="auto"/>
        <w:ind w:left="567" w:right="567"/>
        <w:contextualSpacing/>
        <w:jc w:val="both"/>
        <w:rPr>
          <w:rFonts w:ascii="Palatino Linotype" w:eastAsia="Times New Roman" w:hAnsi="Palatino Linotype" w:cs="Times New Roman"/>
          <w:i/>
          <w:sz w:val="20"/>
          <w:szCs w:val="20"/>
          <w:lang w:eastAsia="es-MX"/>
        </w:rPr>
      </w:pPr>
      <w:r w:rsidRPr="00D04AD0">
        <w:rPr>
          <w:rFonts w:ascii="Palatino Linotype" w:hAnsi="Palatino Linotype"/>
          <w:i/>
          <w:color w:val="000000"/>
          <w:sz w:val="20"/>
          <w:szCs w:val="20"/>
        </w:rPr>
        <w:t>La respuesta emitida por el sujeto obligado, quien de forma unilateral cambia la modalidad para dar respuesta a la solicitud de información</w:t>
      </w:r>
      <w:r w:rsidR="00F4599C" w:rsidRPr="00D04AD0">
        <w:rPr>
          <w:rFonts w:ascii="Palatino Linotype" w:eastAsia="Palatino Linotype" w:hAnsi="Palatino Linotype" w:cs="Palatino Linotype"/>
          <w:i/>
          <w:sz w:val="20"/>
          <w:szCs w:val="20"/>
          <w:lang w:eastAsia="es-MX"/>
        </w:rPr>
        <w:t>” (Sic)</w:t>
      </w:r>
    </w:p>
    <w:p w14:paraId="17FEABA9" w14:textId="77777777" w:rsidR="00F4599C" w:rsidRPr="00D04AD0" w:rsidRDefault="00F4599C" w:rsidP="000C0C40">
      <w:pPr>
        <w:spacing w:after="0" w:line="360" w:lineRule="auto"/>
        <w:ind w:left="567" w:right="567"/>
        <w:contextualSpacing/>
        <w:jc w:val="both"/>
        <w:rPr>
          <w:rFonts w:ascii="Palatino Linotype" w:eastAsia="Palatino Linotype" w:hAnsi="Palatino Linotype" w:cs="Palatino Linotype"/>
          <w:i/>
          <w:sz w:val="20"/>
          <w:szCs w:val="20"/>
          <w:lang w:eastAsia="es-MX"/>
        </w:rPr>
      </w:pPr>
    </w:p>
    <w:p w14:paraId="200C32C3" w14:textId="77777777" w:rsidR="00F4599C" w:rsidRPr="00D04AD0" w:rsidRDefault="00F4599C" w:rsidP="000C0C40">
      <w:pPr>
        <w:spacing w:after="0" w:line="360" w:lineRule="auto"/>
        <w:ind w:left="567" w:right="567"/>
        <w:contextualSpacing/>
        <w:jc w:val="both"/>
        <w:rPr>
          <w:rFonts w:ascii="Palatino Linotype" w:eastAsia="Palatino Linotype" w:hAnsi="Palatino Linotype" w:cs="Palatino Linotype"/>
          <w:b/>
          <w:i/>
          <w:sz w:val="20"/>
          <w:szCs w:val="20"/>
          <w:lang w:eastAsia="es-MX"/>
        </w:rPr>
      </w:pPr>
      <w:r w:rsidRPr="00D04AD0">
        <w:rPr>
          <w:rFonts w:ascii="Palatino Linotype" w:eastAsia="Palatino Linotype" w:hAnsi="Palatino Linotype" w:cs="Palatino Linotype"/>
          <w:b/>
          <w:i/>
          <w:sz w:val="20"/>
          <w:szCs w:val="20"/>
          <w:lang w:eastAsia="es-MX"/>
        </w:rPr>
        <w:t>RAZONES O MOTIVOS DE LA INCONFORMIDAD</w:t>
      </w:r>
    </w:p>
    <w:p w14:paraId="0F041771" w14:textId="1A6B3F5B" w:rsidR="00F4599C" w:rsidRPr="00D04AD0" w:rsidRDefault="00D04AD0" w:rsidP="000C0C40">
      <w:pPr>
        <w:spacing w:after="0" w:line="360" w:lineRule="auto"/>
        <w:ind w:left="567" w:right="567"/>
        <w:contextualSpacing/>
        <w:jc w:val="both"/>
        <w:rPr>
          <w:rFonts w:ascii="Palatino Linotype" w:eastAsia="Times New Roman" w:hAnsi="Palatino Linotype" w:cs="Times New Roman"/>
          <w:i/>
          <w:sz w:val="20"/>
          <w:szCs w:val="20"/>
          <w:lang w:eastAsia="es-MX"/>
        </w:rPr>
      </w:pPr>
      <w:r w:rsidRPr="00D04AD0">
        <w:rPr>
          <w:rFonts w:ascii="Palatino Linotype" w:hAnsi="Palatino Linotype"/>
          <w:i/>
          <w:color w:val="000000"/>
          <w:sz w:val="20"/>
          <w:szCs w:val="20"/>
        </w:rPr>
        <w:t>Quien suscribe, en mi carácter de solicitante y con fundamento en lo dispuesto por los artículo 1 y 6 de la Constitución Política de los Estados Unidos Mexicanos, 5 de la Constitución Política del Estado Libre y Soberano de México, así como en los artículos 4 y 179 fracción VIII de la Ley de Transparencia y Acceso a la Información Pública del Estado de México y Municipios, vengo a interponer RECURSO DE REVISIÓN en contra de la respuesta emitida por el sujeto obligado, por considerarla violatoria de mis derechos de acceso a la información y contraria a los principios de legalidad, certeza y rendición de cuentas, toda vez que la respuesta formulada por el sujeto obligado me irroga los agravios que se precisan enseguida: PRIMERO.- La respuesta emitida por el sujeto obligado vulnera directamente lo dispuesto por el artículo 179, fracción VIII de la Ley de Transparencia y Acceso a la Información Pública del Estado de México y Municipios, al pretender modificar unilateralmente la modalidad de entrega de la información solicitada. En efecto, se me condiciona a realizar una consulta personal conforme a un calendario interno, bajo el argumento de que la información es cuantiosa y aún no ha sido concluida, lo cual constituye un cambio de modalidad respecto de la entrega electrónica o documental originalmente requerida, haciendo CASO OMISO a la recomendación del director general de informática del INFOEM en cuando al escaneo de las hojas. Esto es, Si el sujeto obligado tuviera la verdadera intención y/o voluntad de dar cumplimiento a la solicitud de información, nada impediría que la entregara en varios archivos, tal como ya lo ha hecho en esta solicitud y ejemplo de ello es que envío del acta de comité, la respuesta del área, el calendario, la contestación del director de informática del INFOEM y la solicitud de cambio de modalidad, todos remitidos en archivos separados. Por lo tanto, resulta evidente que la información solicitada también puede ser entregada en archivos distintos, organizados de manera mensual, bimestral, trimestral o, en su defecto, semestral. Esta práctica es perfectamente viable y congruente con la obligación de transparencia, sin que exista impedimento técnico o administrativo para cumplir con lo requerido. En consecuencia, los argumentos esgrimidos por el sujeto obligado para no proporcionar la información carecen de sustento, constituyen excusas irrelevantes y no justifican el incumplimiento de su deber legal de garantizar el acceso a la información pública. Por lo tanto al solicitar el cambio de modalidad, tal actuación es contraria a derecho, pues la norma citada establece expresamente que constituye agravio la notificación, entrega o puesta a disposición de información en modalidad distinta a la solicitada. El sujeto obligado no puede sustituir la obligación de proporcionar la información en el formato requerido por el solicitante, imponiendo restricciones de tiempo, lugar o calendario, ya que ello vulnera los principios de máxima publicidad, certeza, eficacia y rendición de cuentas. Asimismo, la respuesta desconoce que los registros contables y presupuestarios deben realizarse en el momento en que ocurren las operaciones financieras, conforme al sistema y políticas de registro establecidas, y que los sujetos obligados deben contar con una unidad administrativa que registre contablemente el efecto patrimonial y presupuestal de dichas operaciones. La dilación y condicionamiento impuestos no sólo constituyen un cambio indebido de modalidad, sino también una omisión en el cumplimiento de las obligaciones de transparencia y contabilidad gubernamental, generando un agravio directo al derecho de acceso a la información pública SEGUNDO.- La respuesta emitida por el sujeto obligado resulta violatoria de lo dispuesto en el Código Financiero, en virtud de que pretende justificar el cumplimiento de sus obligaciones mediante la simple referencia al peso digital de los archivos (5.54 GB correspondientes a 427 expedientes), sin atender al mandato expreso de llevar registros contables y presupuestarios conforme a los principios de contabilidad gubernamental. Tal manifestación carece de sustento normativo, pues el volumen de almacenamiento no constituye evidencia de registro contable ni presupuestario." TERCERO.- La respuesta del sujeto obligado omite reconocer la obligación legal de contar con una unidad administrativa que registre contablemente el efecto patrimonial y presupuestal de las operaciones financieras en el momento en que ocurren, conforme al sistema y políticas de registro establecidas. Al limitarse a señalar la existencia de archivos digitales, se incumple con la obligación de generar asientos contables que reflejen ingresos y egresos, lo cual vulnera los principios de certeza jurídica y rendición de cuentas. CUARTO.- La contestación resulta insuficiente y contraria a derecho, ya que el sujeto obligado pretende equiparar la digitalización de expedientes con el cumplimiento de obligaciones contables. Sin embargo, los preceptos legales citados establecen que los registros deben sustentarse en la base acumulativa total y en los principios de contabilidad gubernamental, lo cual no se acredita mediante la mera cuantificación del espacio digital ocupado. QUINTO.- La respuesta del sujeto obligado resulta violatoria de los principios de acceso pleno y oportuno a la información pública, al pretender condicionar la consulta de los registros contables y presupuestarios a la asistencia personal del solicitante en fechas determinadas de un calendario interno, bajo el argumento de que la información es voluminosa y no ha sido concluida. Tal restricción carece de sustento legal, pues los preceptos normativos aplicables incluido el Código Financiero del Estado de México y Municipios establecen la obligación de contar con una unidad administrativa que registre contablemente el efecto patrimonial y presupuestal de las operaciones financieras EN EL MOMENTO EN QUE OCURRAN, con base en el sistema y políticas de registro establecidas. En consecuencia, la dilación y condicionamiento impuestos vulneran el derecho de acceso a la información, así como los principios de certeza, eficacia y rendición de cuentas. Agravios que encuentran su sustento en los preceptos legales 342, 343, 344 y 345 del Código Financiero del Estado de México y Municipios, disponen el sistema y las políticas que deben seguirse para llevar el registro contable y presupuestal de las operaciones financieras pues, constituyen los medios idóneos de evidencia del gasto realizado con recursos públicos, de ahí que convenga precisar que la Constitución Política del Estado Libre y Soberano de México en su artículo 129 señala que los recursos económicos del Estado, de los Municipios, así como de los Organismos Autónomos, se administrarán con eficiencia, eficacia y honradez, para cumplir con los objetivos y programas a los que estén destinado. Por lo anterior, se colige que la respuesta del sujeto obligado carece de sustento, vulnerando también lo preceptuado por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w:t>
      </w:r>
      <w:r w:rsidR="00F4599C" w:rsidRPr="00D04AD0">
        <w:rPr>
          <w:rFonts w:ascii="Palatino Linotype" w:eastAsia="Palatino Linotype" w:hAnsi="Palatino Linotype" w:cs="Palatino Linotype"/>
          <w:i/>
          <w:color w:val="000000"/>
          <w:sz w:val="20"/>
          <w:szCs w:val="20"/>
          <w:lang w:eastAsia="es-MX"/>
        </w:rPr>
        <w:t>.</w:t>
      </w:r>
      <w:r w:rsidR="00F4599C" w:rsidRPr="00D04AD0">
        <w:rPr>
          <w:rFonts w:ascii="Palatino Linotype" w:eastAsia="Palatino Linotype" w:hAnsi="Palatino Linotype" w:cs="Palatino Linotype"/>
          <w:i/>
          <w:sz w:val="20"/>
          <w:szCs w:val="20"/>
          <w:lang w:eastAsia="es-MX"/>
        </w:rPr>
        <w:t>” (Sic)</w:t>
      </w:r>
    </w:p>
    <w:bookmarkEnd w:id="7"/>
    <w:p w14:paraId="2B041129" w14:textId="77777777" w:rsidR="00F4599C" w:rsidRPr="00EF7988" w:rsidRDefault="00F4599C" w:rsidP="000C0C40">
      <w:pPr>
        <w:spacing w:after="0" w:line="360" w:lineRule="auto"/>
        <w:ind w:right="567"/>
        <w:contextualSpacing/>
        <w:jc w:val="both"/>
        <w:rPr>
          <w:rFonts w:ascii="Palatino Linotype" w:eastAsia="Palatino Linotype" w:hAnsi="Palatino Linotype" w:cs="Palatino Linotype"/>
          <w:iCs/>
          <w:sz w:val="22"/>
          <w:szCs w:val="22"/>
          <w:lang w:eastAsia="es-MX"/>
        </w:rPr>
      </w:pPr>
    </w:p>
    <w:p w14:paraId="561313D5" w14:textId="77777777" w:rsidR="00F4599C" w:rsidRPr="00EF7988" w:rsidRDefault="00F4599C" w:rsidP="000C0C40">
      <w:pPr>
        <w:keepNext/>
        <w:keepLines/>
        <w:spacing w:after="0" w:line="360" w:lineRule="auto"/>
        <w:contextualSpacing/>
        <w:outlineLvl w:val="1"/>
        <w:rPr>
          <w:rFonts w:ascii="Palatino Linotype" w:eastAsiaTheme="majorEastAsia" w:hAnsi="Palatino Linotype" w:cstheme="majorBidi"/>
          <w:b/>
          <w:bCs/>
          <w:sz w:val="22"/>
          <w:szCs w:val="22"/>
          <w:lang w:eastAsia="es-MX"/>
        </w:rPr>
      </w:pPr>
      <w:bookmarkStart w:id="9" w:name="_Toc235115842"/>
      <w:r w:rsidRPr="00EF7988">
        <w:rPr>
          <w:rFonts w:ascii="Palatino Linotype" w:eastAsiaTheme="majorEastAsia" w:hAnsi="Palatino Linotype" w:cstheme="majorBidi"/>
          <w:b/>
          <w:bCs/>
          <w:sz w:val="22"/>
          <w:szCs w:val="22"/>
          <w:lang w:eastAsia="es-MX"/>
        </w:rPr>
        <w:t>IV. Trámite del Recurso de Revisión ante este Instituto</w:t>
      </w:r>
      <w:bookmarkEnd w:id="9"/>
    </w:p>
    <w:p w14:paraId="34ECA63A" w14:textId="77777777" w:rsidR="00F4599C" w:rsidRPr="00EF7988" w:rsidRDefault="00F4599C" w:rsidP="000C0C40">
      <w:pPr>
        <w:spacing w:after="0" w:line="360" w:lineRule="auto"/>
        <w:contextualSpacing/>
        <w:jc w:val="both"/>
        <w:rPr>
          <w:rFonts w:ascii="Palatino Linotype" w:eastAsia="Palatino Linotype" w:hAnsi="Palatino Linotype" w:cs="Palatino Linotype"/>
          <w:b/>
          <w:sz w:val="22"/>
          <w:szCs w:val="22"/>
          <w:lang w:eastAsia="es-MX"/>
        </w:rPr>
      </w:pPr>
    </w:p>
    <w:p w14:paraId="75B1BC5C" w14:textId="5171635D"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b/>
          <w:sz w:val="22"/>
          <w:szCs w:val="22"/>
          <w:lang w:eastAsia="es-MX"/>
        </w:rPr>
        <w:t xml:space="preserve">a) Turno del Recurso de Revisión. </w:t>
      </w:r>
      <w:r w:rsidRPr="00EF7988">
        <w:rPr>
          <w:rFonts w:ascii="Palatino Linotype" w:eastAsia="Palatino Linotype" w:hAnsi="Palatino Linotype" w:cs="Palatino Linotype"/>
          <w:sz w:val="22"/>
          <w:szCs w:val="22"/>
          <w:lang w:eastAsia="es-MX"/>
        </w:rPr>
        <w:t xml:space="preserve">El </w:t>
      </w:r>
      <w:r w:rsidR="00D04AD0" w:rsidRPr="00EF7988">
        <w:rPr>
          <w:rFonts w:ascii="Palatino Linotype" w:eastAsia="Palatino Linotype" w:hAnsi="Palatino Linotype" w:cs="Palatino Linotype"/>
          <w:sz w:val="22"/>
          <w:szCs w:val="22"/>
          <w:lang w:eastAsia="es-MX"/>
        </w:rPr>
        <w:t>cuatro de junio</w:t>
      </w:r>
      <w:r w:rsidRPr="00EF7988">
        <w:rPr>
          <w:rFonts w:ascii="Palatino Linotype" w:eastAsia="Palatino Linotype" w:hAnsi="Palatino Linotype" w:cs="Palatino Linotype"/>
          <w:sz w:val="22"/>
          <w:szCs w:val="22"/>
          <w:lang w:eastAsia="es-MX"/>
        </w:rPr>
        <w:t xml:space="preserve"> de dos mil veintiséis, el SAIMEX, asignó el número de expediente </w:t>
      </w:r>
      <w:r w:rsidRPr="00EF7988">
        <w:rPr>
          <w:rFonts w:ascii="Palatino Linotype" w:eastAsia="Palatino Linotype" w:hAnsi="Palatino Linotype" w:cs="Palatino Linotype"/>
          <w:b/>
          <w:sz w:val="22"/>
          <w:szCs w:val="22"/>
          <w:lang w:eastAsia="es-MX"/>
        </w:rPr>
        <w:t>0</w:t>
      </w:r>
      <w:r w:rsidR="00D04AD0" w:rsidRPr="00EF7988">
        <w:rPr>
          <w:rFonts w:ascii="Palatino Linotype" w:eastAsia="Palatino Linotype" w:hAnsi="Palatino Linotype" w:cs="Palatino Linotype"/>
          <w:b/>
          <w:sz w:val="22"/>
          <w:szCs w:val="22"/>
          <w:lang w:eastAsia="es-MX"/>
        </w:rPr>
        <w:t>6006</w:t>
      </w:r>
      <w:r w:rsidRPr="00EF7988">
        <w:rPr>
          <w:rFonts w:ascii="Palatino Linotype" w:eastAsia="Palatino Linotype" w:hAnsi="Palatino Linotype" w:cs="Palatino Linotype"/>
          <w:b/>
          <w:sz w:val="22"/>
          <w:szCs w:val="22"/>
          <w:lang w:eastAsia="es-MX"/>
        </w:rPr>
        <w:t>/INFOEM/IP/RR/2026</w:t>
      </w:r>
      <w:r w:rsidRPr="00EF7988">
        <w:rPr>
          <w:rFonts w:ascii="Palatino Linotype" w:eastAsia="Palatino Linotype" w:hAnsi="Palatino Linotype" w:cs="Palatino Linotype"/>
          <w:sz w:val="22"/>
          <w:szCs w:val="22"/>
          <w:lang w:eastAsia="es-MX"/>
        </w:rPr>
        <w:t xml:space="preserve"> al medio de impugnación que nos ocupa, con base en el sistema aprobado por el Pleno de este Organismo Garante y lo turnó al Comisionado </w:t>
      </w:r>
      <w:r w:rsidRPr="00EF7988">
        <w:rPr>
          <w:rFonts w:ascii="Palatino Linotype" w:eastAsia="Palatino Linotype" w:hAnsi="Palatino Linotype" w:cs="Palatino Linotype"/>
          <w:b/>
          <w:sz w:val="22"/>
          <w:szCs w:val="22"/>
          <w:lang w:eastAsia="es-MX"/>
        </w:rPr>
        <w:t>Luis Gustavo Parra Noriega</w:t>
      </w:r>
      <w:r w:rsidRPr="00EF7988">
        <w:rPr>
          <w:rFonts w:ascii="Palatino Linotype" w:eastAsia="Palatino Linotype" w:hAnsi="Palatino Linotype" w:cs="Palatino Linotype"/>
          <w:sz w:val="22"/>
          <w:szCs w:val="22"/>
          <w:lang w:eastAsia="es-MX"/>
        </w:rPr>
        <w:t>, para los efectos del artículo 185, fracción I, de la Ley de Transparencia y Acceso a la Información Pública del Estado de México y Municipios.</w:t>
      </w:r>
    </w:p>
    <w:p w14:paraId="3E940597" w14:textId="77777777" w:rsidR="00F4599C" w:rsidRPr="00EF7988" w:rsidRDefault="00F4599C" w:rsidP="000C0C40">
      <w:pPr>
        <w:spacing w:after="0" w:line="360" w:lineRule="auto"/>
        <w:contextualSpacing/>
        <w:jc w:val="both"/>
        <w:rPr>
          <w:rFonts w:ascii="Palatino Linotype" w:eastAsia="Palatino Linotype" w:hAnsi="Palatino Linotype" w:cs="Palatino Linotype"/>
          <w:b/>
          <w:sz w:val="22"/>
          <w:szCs w:val="22"/>
          <w:lang w:eastAsia="es-MX"/>
        </w:rPr>
      </w:pPr>
    </w:p>
    <w:p w14:paraId="4FA7488C" w14:textId="26F2A2CD"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b/>
          <w:sz w:val="22"/>
          <w:szCs w:val="22"/>
          <w:lang w:eastAsia="es-MX"/>
        </w:rPr>
        <w:t xml:space="preserve">b) Admisión del Recurso de Revisión. </w:t>
      </w:r>
      <w:r w:rsidRPr="00EF7988">
        <w:rPr>
          <w:rFonts w:ascii="Palatino Linotype" w:eastAsia="Palatino Linotype" w:hAnsi="Palatino Linotype" w:cs="Palatino Linotype"/>
          <w:sz w:val="22"/>
          <w:szCs w:val="22"/>
          <w:lang w:eastAsia="es-MX"/>
        </w:rPr>
        <w:t xml:space="preserve">El </w:t>
      </w:r>
      <w:r w:rsidR="00D04AD0" w:rsidRPr="00EF7988">
        <w:rPr>
          <w:rFonts w:ascii="Palatino Linotype" w:eastAsia="Palatino Linotype" w:hAnsi="Palatino Linotype" w:cs="Palatino Linotype"/>
          <w:sz w:val="22"/>
          <w:szCs w:val="22"/>
          <w:lang w:eastAsia="es-MX"/>
        </w:rPr>
        <w:t>nueve de junio</w:t>
      </w:r>
      <w:r w:rsidRPr="00EF7988">
        <w:rPr>
          <w:rFonts w:ascii="Palatino Linotype" w:eastAsia="Palatino Linotype" w:hAnsi="Palatino Linotype" w:cs="Palatino Linotype"/>
          <w:sz w:val="22"/>
          <w:szCs w:val="22"/>
          <w:lang w:eastAsia="es-MX"/>
        </w:rPr>
        <w:t xml:space="preserve"> de dos mil veintiséis,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5F9702C4" w14:textId="77777777" w:rsidR="00F4599C" w:rsidRPr="00290F84" w:rsidRDefault="00F4599C" w:rsidP="000C0C40">
      <w:pPr>
        <w:spacing w:after="0" w:line="360" w:lineRule="auto"/>
        <w:contextualSpacing/>
        <w:jc w:val="both"/>
        <w:rPr>
          <w:rFonts w:ascii="Palatino Linotype" w:eastAsia="Palatino Linotype" w:hAnsi="Palatino Linotype" w:cs="Palatino Linotype"/>
          <w:lang w:eastAsia="es-MX"/>
        </w:rPr>
      </w:pPr>
    </w:p>
    <w:p w14:paraId="3F520639" w14:textId="484E6613" w:rsidR="00F4599C" w:rsidRPr="00EF7988" w:rsidRDefault="00F4599C" w:rsidP="000C0C40">
      <w:pPr>
        <w:spacing w:after="0" w:line="360" w:lineRule="auto"/>
        <w:contextualSpacing/>
        <w:jc w:val="both"/>
        <w:rPr>
          <w:rFonts w:ascii="Palatino Linotype" w:eastAsia="Palatino Linotype" w:hAnsi="Palatino Linotype" w:cs="Palatino Linotype"/>
          <w:bCs/>
          <w:sz w:val="22"/>
          <w:szCs w:val="22"/>
          <w:lang w:eastAsia="es-MX"/>
        </w:rPr>
      </w:pPr>
      <w:r w:rsidRPr="00EF7988">
        <w:rPr>
          <w:rFonts w:ascii="Palatino Linotype" w:eastAsia="Palatino Linotype" w:hAnsi="Palatino Linotype" w:cs="Palatino Linotype"/>
          <w:b/>
          <w:sz w:val="22"/>
          <w:szCs w:val="22"/>
          <w:lang w:eastAsia="es-MX"/>
        </w:rPr>
        <w:t>c) Informe Justificado.</w:t>
      </w:r>
      <w:r w:rsidRPr="00EF7988">
        <w:rPr>
          <w:rFonts w:ascii="Palatino Linotype" w:eastAsia="Palatino Linotype" w:hAnsi="Palatino Linotype" w:cs="Palatino Linotype"/>
          <w:bCs/>
          <w:sz w:val="22"/>
          <w:szCs w:val="22"/>
          <w:lang w:eastAsia="es-MX"/>
        </w:rPr>
        <w:t xml:space="preserve"> </w:t>
      </w:r>
      <w:bookmarkEnd w:id="5"/>
      <w:r w:rsidRPr="00EF7988">
        <w:rPr>
          <w:rFonts w:ascii="Palatino Linotype" w:eastAsia="Palatino Linotype" w:hAnsi="Palatino Linotype" w:cs="Palatino Linotype"/>
          <w:bCs/>
          <w:sz w:val="22"/>
          <w:szCs w:val="22"/>
          <w:lang w:eastAsia="es-MX"/>
        </w:rPr>
        <w:t xml:space="preserve">El </w:t>
      </w:r>
      <w:r w:rsidR="00D04AD0" w:rsidRPr="00EF7988">
        <w:rPr>
          <w:rFonts w:ascii="Palatino Linotype" w:eastAsia="Palatino Linotype" w:hAnsi="Palatino Linotype" w:cs="Palatino Linotype"/>
          <w:bCs/>
          <w:sz w:val="22"/>
          <w:szCs w:val="22"/>
          <w:lang w:eastAsia="es-MX"/>
        </w:rPr>
        <w:t>dieciocho de junio</w:t>
      </w:r>
      <w:r w:rsidRPr="00EF7988">
        <w:rPr>
          <w:rFonts w:ascii="Palatino Linotype" w:eastAsia="Palatino Linotype" w:hAnsi="Palatino Linotype" w:cs="Palatino Linotype"/>
          <w:bCs/>
          <w:sz w:val="22"/>
          <w:szCs w:val="22"/>
          <w:lang w:eastAsia="es-MX"/>
        </w:rPr>
        <w:t xml:space="preserve"> de dos mil veintiséis, el Sujeto Obligado a través del Sistema de Acceso a la Información Pública (SAIMEX) remitió el informe justificado a través de la digitalización de </w:t>
      </w:r>
      <w:r w:rsidR="00D04AD0" w:rsidRPr="00EF7988">
        <w:rPr>
          <w:rFonts w:ascii="Palatino Linotype" w:eastAsia="Palatino Linotype" w:hAnsi="Palatino Linotype" w:cs="Palatino Linotype"/>
          <w:bCs/>
          <w:sz w:val="22"/>
          <w:szCs w:val="22"/>
          <w:lang w:eastAsia="es-MX"/>
        </w:rPr>
        <w:t>un oficio sin número, suscrito por la Titular de la Unidad de Transparencia, dirigido al Comisionado Ponente a través del cual esencialmente ratifica su respuesta inicial.</w:t>
      </w:r>
    </w:p>
    <w:p w14:paraId="59636629"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55531739" w14:textId="53725C41" w:rsidR="00F4599C" w:rsidRPr="00EF7988" w:rsidRDefault="00F4599C" w:rsidP="000C0C40">
      <w:pPr>
        <w:spacing w:after="0" w:line="360" w:lineRule="auto"/>
        <w:contextualSpacing/>
        <w:jc w:val="both"/>
        <w:rPr>
          <w:rFonts w:ascii="Palatino Linotype" w:eastAsia="Palatino Linotype" w:hAnsi="Palatino Linotype" w:cs="Palatino Linotype"/>
          <w:color w:val="000000"/>
          <w:sz w:val="22"/>
          <w:szCs w:val="22"/>
          <w:lang w:eastAsia="es-MX"/>
        </w:rPr>
      </w:pPr>
      <w:r w:rsidRPr="00EF7988">
        <w:rPr>
          <w:rFonts w:ascii="Palatino Linotype" w:eastAsia="Times New Roman" w:hAnsi="Palatino Linotype" w:cs="Tahoma"/>
          <w:b/>
          <w:bCs/>
          <w:sz w:val="22"/>
          <w:szCs w:val="22"/>
          <w:lang w:eastAsia="es-MX"/>
        </w:rPr>
        <w:t>d)</w:t>
      </w:r>
      <w:r w:rsidRPr="00EF7988">
        <w:rPr>
          <w:rFonts w:ascii="Palatino Linotype" w:eastAsia="Palatino Linotype" w:hAnsi="Palatino Linotype" w:cs="Palatino Linotype"/>
          <w:b/>
          <w:color w:val="000000"/>
          <w:sz w:val="22"/>
          <w:szCs w:val="22"/>
          <w:lang w:eastAsia="es-MX"/>
        </w:rPr>
        <w:t xml:space="preserve"> Vista de Informe Justificado. </w:t>
      </w:r>
      <w:r w:rsidRPr="00EF7988">
        <w:rPr>
          <w:rFonts w:ascii="Palatino Linotype" w:eastAsia="Palatino Linotype" w:hAnsi="Palatino Linotype" w:cs="Palatino Linotype"/>
          <w:color w:val="000000"/>
          <w:sz w:val="22"/>
          <w:szCs w:val="22"/>
          <w:lang w:eastAsia="es-MX"/>
        </w:rPr>
        <w:t xml:space="preserve">En fecha </w:t>
      </w:r>
      <w:r w:rsidR="007550AF">
        <w:rPr>
          <w:rFonts w:ascii="Palatino Linotype" w:eastAsia="Palatino Linotype" w:hAnsi="Palatino Linotype" w:cs="Palatino Linotype"/>
          <w:color w:val="000000"/>
          <w:sz w:val="22"/>
          <w:szCs w:val="22"/>
          <w:lang w:eastAsia="es-MX"/>
        </w:rPr>
        <w:t>ocho</w:t>
      </w:r>
      <w:r w:rsidR="00D04AD0" w:rsidRPr="00EF7988">
        <w:rPr>
          <w:rFonts w:ascii="Palatino Linotype" w:eastAsia="Palatino Linotype" w:hAnsi="Palatino Linotype" w:cs="Palatino Linotype"/>
          <w:color w:val="000000"/>
          <w:sz w:val="22"/>
          <w:szCs w:val="22"/>
          <w:lang w:eastAsia="es-MX"/>
        </w:rPr>
        <w:t xml:space="preserve"> de julio</w:t>
      </w:r>
      <w:r w:rsidRPr="00EF7988">
        <w:rPr>
          <w:rFonts w:ascii="Palatino Linotype" w:eastAsia="Palatino Linotype" w:hAnsi="Palatino Linotype" w:cs="Palatino Linotype"/>
          <w:color w:val="000000"/>
          <w:sz w:val="22"/>
          <w:szCs w:val="22"/>
          <w:lang w:eastAsia="es-MX"/>
        </w:rPr>
        <w:t xml:space="preserve"> de dos mil veinticuatro, se notificó a través del SAIMEX el acuerdo mediante el cual se puso a la vista del Particular el Informe Justificado, proveído por el cual se le otorgo a este último, un término de tres días hábiles contados a partir del día siguiente a la notificación, para que emitiera las manifestaciones que conforme a sus intereses mayor convinieran.</w:t>
      </w:r>
    </w:p>
    <w:p w14:paraId="6FAEC7DC" w14:textId="77777777" w:rsidR="00F4599C" w:rsidRPr="00EF7988" w:rsidRDefault="00F4599C" w:rsidP="000C0C40">
      <w:pPr>
        <w:spacing w:after="0" w:line="360" w:lineRule="auto"/>
        <w:contextualSpacing/>
        <w:jc w:val="both"/>
        <w:rPr>
          <w:rFonts w:ascii="Palatino Linotype" w:eastAsia="Times New Roman" w:hAnsi="Palatino Linotype" w:cs="Tahoma"/>
          <w:b/>
          <w:bCs/>
          <w:sz w:val="22"/>
          <w:szCs w:val="22"/>
          <w:lang w:eastAsia="es-MX"/>
        </w:rPr>
      </w:pPr>
    </w:p>
    <w:p w14:paraId="1F36412E" w14:textId="01C70F94" w:rsidR="00F4599C" w:rsidRPr="00EF7988" w:rsidRDefault="00F4599C" w:rsidP="000C0C40">
      <w:pPr>
        <w:spacing w:after="0" w:line="360" w:lineRule="auto"/>
        <w:contextualSpacing/>
        <w:jc w:val="both"/>
        <w:rPr>
          <w:rFonts w:ascii="Palatino Linotype" w:eastAsia="Times New Roman" w:hAnsi="Palatino Linotype" w:cs="Tahoma"/>
          <w:b/>
          <w:bCs/>
          <w:sz w:val="22"/>
          <w:szCs w:val="22"/>
          <w:lang w:eastAsia="es-MX"/>
        </w:rPr>
      </w:pPr>
      <w:bookmarkStart w:id="10" w:name="_heading=h.9qpj1ejz85lp" w:colFirst="0" w:colLast="0"/>
      <w:bookmarkEnd w:id="10"/>
      <w:r w:rsidRPr="00EF7988">
        <w:rPr>
          <w:rFonts w:ascii="Palatino Linotype" w:eastAsia="Times New Roman" w:hAnsi="Palatino Linotype" w:cs="Tahoma"/>
          <w:b/>
          <w:bCs/>
          <w:sz w:val="22"/>
          <w:szCs w:val="22"/>
          <w:lang w:eastAsia="es-MX"/>
        </w:rPr>
        <w:t xml:space="preserve">e) </w:t>
      </w:r>
      <w:r w:rsidRPr="00EF7988">
        <w:rPr>
          <w:rFonts w:ascii="Palatino Linotype" w:eastAsia="Palatino Linotype" w:hAnsi="Palatino Linotype" w:cs="Palatino Linotype"/>
          <w:b/>
          <w:sz w:val="22"/>
          <w:szCs w:val="22"/>
          <w:lang w:eastAsia="es-MX"/>
        </w:rPr>
        <w:t>Cierre de instrucción.</w:t>
      </w:r>
      <w:r w:rsidRPr="00EF7988">
        <w:rPr>
          <w:rFonts w:ascii="Palatino Linotype" w:eastAsia="Palatino Linotype" w:hAnsi="Palatino Linotype" w:cs="Palatino Linotype"/>
          <w:sz w:val="22"/>
          <w:szCs w:val="22"/>
          <w:lang w:eastAsia="es-MX"/>
        </w:rPr>
        <w:t xml:space="preserve"> El </w:t>
      </w:r>
      <w:r w:rsidR="00D04AD0" w:rsidRPr="00EF7988">
        <w:rPr>
          <w:rFonts w:ascii="Palatino Linotype" w:eastAsia="Palatino Linotype" w:hAnsi="Palatino Linotype" w:cs="Palatino Linotype"/>
          <w:sz w:val="22"/>
          <w:szCs w:val="22"/>
          <w:lang w:eastAsia="es-MX"/>
        </w:rPr>
        <w:t>catorce</w:t>
      </w:r>
      <w:r w:rsidRPr="00EF7988">
        <w:rPr>
          <w:rFonts w:ascii="Palatino Linotype" w:eastAsia="Palatino Linotype" w:hAnsi="Palatino Linotype" w:cs="Palatino Linotype"/>
          <w:sz w:val="22"/>
          <w:szCs w:val="22"/>
          <w:lang w:eastAsia="es-MX"/>
        </w:rPr>
        <w:t xml:space="preserve"> ju</w:t>
      </w:r>
      <w:r w:rsidR="00D04AD0" w:rsidRPr="00EF7988">
        <w:rPr>
          <w:rFonts w:ascii="Palatino Linotype" w:eastAsia="Palatino Linotype" w:hAnsi="Palatino Linotype" w:cs="Palatino Linotype"/>
          <w:sz w:val="22"/>
          <w:szCs w:val="22"/>
          <w:lang w:eastAsia="es-MX"/>
        </w:rPr>
        <w:t>l</w:t>
      </w:r>
      <w:r w:rsidRPr="00EF7988">
        <w:rPr>
          <w:rFonts w:ascii="Palatino Linotype" w:eastAsia="Palatino Linotype" w:hAnsi="Palatino Linotype" w:cs="Palatino Linotype"/>
          <w:sz w:val="22"/>
          <w:szCs w:val="22"/>
          <w:lang w:eastAsia="es-MX"/>
        </w:rPr>
        <w:t xml:space="preserve">io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w:t>
      </w:r>
      <w:r w:rsidR="007550AF">
        <w:rPr>
          <w:rFonts w:ascii="Palatino Linotype" w:eastAsia="Palatino Linotype" w:hAnsi="Palatino Linotype" w:cs="Palatino Linotype"/>
          <w:sz w:val="22"/>
          <w:szCs w:val="22"/>
          <w:lang w:eastAsia="es-MX"/>
        </w:rPr>
        <w:t>quince de dicho mes y año</w:t>
      </w:r>
    </w:p>
    <w:p w14:paraId="7F6F37BB" w14:textId="77777777" w:rsidR="00F4599C" w:rsidRPr="00EF7988" w:rsidRDefault="00F4599C" w:rsidP="000C0C40">
      <w:pPr>
        <w:spacing w:after="0" w:line="360" w:lineRule="auto"/>
        <w:contextualSpacing/>
        <w:jc w:val="both"/>
        <w:rPr>
          <w:rFonts w:ascii="Palatino Linotype" w:eastAsia="Palatino Linotype" w:hAnsi="Palatino Linotype" w:cs="Palatino Linotype"/>
          <w:b/>
          <w:sz w:val="22"/>
          <w:szCs w:val="22"/>
          <w:lang w:eastAsia="es-MX"/>
        </w:rPr>
      </w:pPr>
    </w:p>
    <w:p w14:paraId="68B9FFB6" w14:textId="77777777" w:rsidR="00F4599C" w:rsidRPr="00EF7988" w:rsidRDefault="00F4599C" w:rsidP="000C0C40">
      <w:pPr>
        <w:spacing w:after="0" w:line="360" w:lineRule="auto"/>
        <w:contextualSpacing/>
        <w:jc w:val="both"/>
        <w:rPr>
          <w:rFonts w:ascii="Palatino Linotype" w:eastAsia="Palatino Linotype" w:hAnsi="Palatino Linotype" w:cs="Palatino Linotype"/>
          <w:color w:val="000000"/>
          <w:sz w:val="22"/>
          <w:szCs w:val="22"/>
          <w:lang w:eastAsia="es-MX"/>
        </w:rPr>
      </w:pPr>
      <w:r w:rsidRPr="00EF7988">
        <w:rPr>
          <w:rFonts w:ascii="Palatino Linotype" w:eastAsia="Palatino Linotype" w:hAnsi="Palatino Linotype" w:cs="Palatino Linotype"/>
          <w:color w:val="000000"/>
          <w:sz w:val="22"/>
          <w:szCs w:val="22"/>
          <w:lang w:eastAsia="es-MX"/>
        </w:rPr>
        <w:t xml:space="preserve">En razón de que fue debidamente sustanciado el expediente electrónico y no existe diligencia pendiente de desahogo, se emite la resolución que conforme a Derecho proceda, de acuerdo a los siguientes: </w:t>
      </w:r>
    </w:p>
    <w:p w14:paraId="4293CFD8" w14:textId="77777777" w:rsidR="00F4599C" w:rsidRPr="00EF7988" w:rsidRDefault="00F4599C" w:rsidP="000C0C40">
      <w:pPr>
        <w:spacing w:after="0" w:line="360" w:lineRule="auto"/>
        <w:contextualSpacing/>
        <w:jc w:val="both"/>
        <w:rPr>
          <w:rFonts w:ascii="Palatino Linotype" w:eastAsia="Palatino Linotype" w:hAnsi="Palatino Linotype" w:cs="Palatino Linotype"/>
          <w:color w:val="000000"/>
          <w:sz w:val="22"/>
          <w:szCs w:val="22"/>
          <w:lang w:eastAsia="es-MX"/>
        </w:rPr>
      </w:pPr>
    </w:p>
    <w:p w14:paraId="3B996C6F" w14:textId="77777777" w:rsidR="00F4599C" w:rsidRPr="00EF7988" w:rsidRDefault="00F4599C" w:rsidP="000C0C40">
      <w:pPr>
        <w:keepNext/>
        <w:keepLines/>
        <w:spacing w:after="0" w:line="360" w:lineRule="auto"/>
        <w:contextualSpacing/>
        <w:jc w:val="center"/>
        <w:outlineLvl w:val="0"/>
        <w:rPr>
          <w:rFonts w:ascii="Palatino Linotype" w:eastAsia="Palatino Linotype" w:hAnsi="Palatino Linotype" w:cs="Palatino Linotype"/>
          <w:b/>
          <w:color w:val="000000"/>
          <w:sz w:val="22"/>
          <w:szCs w:val="22"/>
          <w:lang w:eastAsia="es-MX"/>
        </w:rPr>
      </w:pPr>
      <w:bookmarkStart w:id="11" w:name="_Toc235115843"/>
      <w:r w:rsidRPr="00EF7988">
        <w:rPr>
          <w:rFonts w:ascii="Palatino Linotype" w:eastAsia="Palatino Linotype" w:hAnsi="Palatino Linotype" w:cs="Palatino Linotype"/>
          <w:b/>
          <w:color w:val="000000"/>
          <w:sz w:val="22"/>
          <w:szCs w:val="22"/>
          <w:lang w:eastAsia="es-MX"/>
        </w:rPr>
        <w:t>C O N S I D E R A N D O S</w:t>
      </w:r>
      <w:bookmarkEnd w:id="11"/>
    </w:p>
    <w:p w14:paraId="07E1A56F" w14:textId="77777777" w:rsidR="00F4599C" w:rsidRPr="00EF7988" w:rsidRDefault="00F4599C" w:rsidP="000C0C40">
      <w:pPr>
        <w:spacing w:after="0" w:line="360" w:lineRule="auto"/>
        <w:contextualSpacing/>
        <w:jc w:val="both"/>
        <w:rPr>
          <w:rFonts w:ascii="Palatino Linotype" w:eastAsia="Times New Roman" w:hAnsi="Palatino Linotype" w:cs="Times New Roman"/>
          <w:sz w:val="22"/>
          <w:szCs w:val="22"/>
          <w:lang w:eastAsia="es-MX"/>
        </w:rPr>
      </w:pPr>
    </w:p>
    <w:p w14:paraId="76945542" w14:textId="77777777" w:rsidR="00F4599C" w:rsidRPr="00EF7988" w:rsidRDefault="00F4599C" w:rsidP="000C0C40">
      <w:pPr>
        <w:keepNext/>
        <w:keepLines/>
        <w:spacing w:after="0" w:line="360" w:lineRule="auto"/>
        <w:contextualSpacing/>
        <w:jc w:val="both"/>
        <w:outlineLvl w:val="1"/>
        <w:rPr>
          <w:rFonts w:ascii="Palatino Linotype" w:eastAsia="Palatino Linotype" w:hAnsi="Palatino Linotype" w:cs="Palatino Linotype"/>
          <w:b/>
          <w:color w:val="000000"/>
          <w:sz w:val="22"/>
          <w:szCs w:val="22"/>
          <w:lang w:eastAsia="es-MX"/>
        </w:rPr>
      </w:pPr>
      <w:bookmarkStart w:id="12" w:name="_Toc235115844"/>
      <w:r w:rsidRPr="00EF7988">
        <w:rPr>
          <w:rFonts w:ascii="Palatino Linotype" w:eastAsia="Palatino Linotype" w:hAnsi="Palatino Linotype" w:cs="Palatino Linotype"/>
          <w:b/>
          <w:color w:val="000000"/>
          <w:sz w:val="22"/>
          <w:szCs w:val="22"/>
          <w:lang w:eastAsia="es-MX"/>
        </w:rPr>
        <w:t>PRIMERO. Competencia</w:t>
      </w:r>
      <w:bookmarkEnd w:id="12"/>
    </w:p>
    <w:p w14:paraId="3397BF30" w14:textId="77777777" w:rsidR="00F4599C" w:rsidRPr="00EF7988" w:rsidRDefault="00F4599C" w:rsidP="000C0C40">
      <w:pPr>
        <w:spacing w:after="0" w:line="360" w:lineRule="auto"/>
        <w:contextualSpacing/>
        <w:jc w:val="both"/>
        <w:rPr>
          <w:rFonts w:ascii="Palatino Linotype" w:eastAsia="Times New Roman" w:hAnsi="Palatino Linotype" w:cs="Times New Roman"/>
          <w:sz w:val="22"/>
          <w:szCs w:val="22"/>
          <w:lang w:eastAsia="es-MX"/>
        </w:rPr>
      </w:pPr>
    </w:p>
    <w:p w14:paraId="5F8E51CD"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3" w:name="_Hlk214613917"/>
      <w:r w:rsidRPr="00EF7988">
        <w:rPr>
          <w:rFonts w:ascii="Palatino Linotype" w:eastAsia="Palatino Linotype" w:hAnsi="Palatino Linotype" w:cs="Palatino Linotype"/>
          <w:sz w:val="22"/>
          <w:szCs w:val="22"/>
          <w:lang w:eastAsia="es-MX"/>
        </w:rPr>
        <w:t>párrafos cuadragésimo cuarto, cuadragésimo quinto y cuadragésimo sexto</w:t>
      </w:r>
      <w:bookmarkEnd w:id="13"/>
      <w:r w:rsidRPr="00EF7988">
        <w:rPr>
          <w:rFonts w:ascii="Palatino Linotype" w:eastAsia="Palatino Linotype" w:hAnsi="Palatino Linotype" w:cs="Palatino Linotype"/>
          <w:sz w:val="22"/>
          <w:szCs w:val="22"/>
          <w:lang w:eastAsia="es-MX"/>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71E51C9B" w14:textId="77777777" w:rsidR="00F4599C" w:rsidRPr="00EF7988" w:rsidRDefault="00F4599C" w:rsidP="000C0C40">
      <w:pPr>
        <w:spacing w:after="0" w:line="360" w:lineRule="auto"/>
        <w:contextualSpacing/>
        <w:jc w:val="both"/>
        <w:rPr>
          <w:rFonts w:ascii="Palatino Linotype" w:eastAsia="Palatino Linotype" w:hAnsi="Palatino Linotype" w:cs="Palatino Linotype"/>
          <w:color w:val="000000"/>
          <w:sz w:val="22"/>
          <w:szCs w:val="22"/>
          <w:lang w:eastAsia="es-MX"/>
        </w:rPr>
      </w:pPr>
    </w:p>
    <w:p w14:paraId="7D875F2A" w14:textId="77777777" w:rsidR="00F4599C" w:rsidRPr="00EF7988" w:rsidRDefault="00F4599C" w:rsidP="000C0C40">
      <w:pPr>
        <w:keepNext/>
        <w:keepLines/>
        <w:spacing w:after="0" w:line="360" w:lineRule="auto"/>
        <w:contextualSpacing/>
        <w:jc w:val="both"/>
        <w:outlineLvl w:val="1"/>
        <w:rPr>
          <w:rFonts w:ascii="Palatino Linotype" w:eastAsia="Palatino Linotype" w:hAnsi="Palatino Linotype" w:cs="Palatino Linotype"/>
          <w:b/>
          <w:color w:val="000000"/>
          <w:sz w:val="22"/>
          <w:szCs w:val="22"/>
          <w:lang w:eastAsia="es-MX"/>
        </w:rPr>
      </w:pPr>
      <w:bookmarkStart w:id="14" w:name="_Toc235115845"/>
      <w:r w:rsidRPr="00EF7988">
        <w:rPr>
          <w:rFonts w:ascii="Palatino Linotype" w:eastAsia="Palatino Linotype" w:hAnsi="Palatino Linotype" w:cs="Palatino Linotype"/>
          <w:b/>
          <w:color w:val="000000"/>
          <w:sz w:val="22"/>
          <w:szCs w:val="22"/>
          <w:lang w:eastAsia="es-MX"/>
        </w:rPr>
        <w:t>SEGUNDO. Causales de improcedencia y sobreseimiento</w:t>
      </w:r>
      <w:bookmarkEnd w:id="14"/>
    </w:p>
    <w:p w14:paraId="4D5ACE03" w14:textId="77777777" w:rsidR="00F4599C" w:rsidRPr="00EF7988" w:rsidRDefault="00F4599C" w:rsidP="000C0C40">
      <w:pPr>
        <w:spacing w:after="0" w:line="360" w:lineRule="auto"/>
        <w:contextualSpacing/>
        <w:jc w:val="both"/>
        <w:rPr>
          <w:rFonts w:ascii="Palatino Linotype" w:eastAsia="Palatino Linotype" w:hAnsi="Palatino Linotype" w:cs="Palatino Linotype"/>
          <w:b/>
          <w:sz w:val="22"/>
          <w:szCs w:val="22"/>
          <w:lang w:eastAsia="es-MX"/>
        </w:rPr>
      </w:pPr>
    </w:p>
    <w:p w14:paraId="2F9E1764"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De las constancias que forma parte del Recurso de Revisión que se analiza, se advierte que previo al estudio del fondo de la </w:t>
      </w:r>
      <w:r w:rsidRPr="00EF7988">
        <w:rPr>
          <w:rFonts w:ascii="Palatino Linotype" w:eastAsia="Palatino Linotype" w:hAnsi="Palatino Linotype" w:cs="Palatino Linotype"/>
          <w:i/>
          <w:sz w:val="22"/>
          <w:szCs w:val="22"/>
          <w:lang w:eastAsia="es-MX"/>
        </w:rPr>
        <w:t>litis</w:t>
      </w:r>
      <w:r w:rsidRPr="00EF7988">
        <w:rPr>
          <w:rFonts w:ascii="Palatino Linotype" w:eastAsia="Palatino Linotype" w:hAnsi="Palatino Linotype" w:cs="Palatino Linotype"/>
          <w:sz w:val="22"/>
          <w:szCs w:val="22"/>
          <w:lang w:eastAsia="es-MX"/>
        </w:rPr>
        <w:t>, es necesario estudiar las causales de improcedencia y sobreseimiento que se adviertan, para determinar lo que en Derecho proceda.</w:t>
      </w:r>
    </w:p>
    <w:p w14:paraId="5EF42A0C" w14:textId="77777777" w:rsidR="00F4599C" w:rsidRPr="00EF7988" w:rsidRDefault="00F4599C" w:rsidP="000C0C40">
      <w:pPr>
        <w:spacing w:after="0" w:line="360" w:lineRule="auto"/>
        <w:contextualSpacing/>
        <w:jc w:val="both"/>
        <w:rPr>
          <w:rFonts w:ascii="Palatino Linotype" w:eastAsia="Palatino Linotype" w:hAnsi="Palatino Linotype" w:cs="Palatino Linotype"/>
          <w:b/>
          <w:sz w:val="22"/>
          <w:szCs w:val="22"/>
          <w:lang w:eastAsia="es-MX"/>
        </w:rPr>
      </w:pPr>
      <w:r w:rsidRPr="00EF7988">
        <w:rPr>
          <w:rFonts w:ascii="Palatino Linotype" w:eastAsia="Palatino Linotype" w:hAnsi="Palatino Linotype" w:cs="Palatino Linotype"/>
          <w:b/>
          <w:sz w:val="22"/>
          <w:szCs w:val="22"/>
          <w:lang w:eastAsia="es-MX"/>
        </w:rPr>
        <w:t>Causales de improcedencia</w:t>
      </w:r>
    </w:p>
    <w:p w14:paraId="57FDFC94"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45CF9B06"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487B062D"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32A8D3C0"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11D039B4"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7C4276C5" w14:textId="4A959330"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Asimismo, se actualiza la causal de procedencia del Recurso de Revisión establecida en el artículo 179, fracción V</w:t>
      </w:r>
      <w:r w:rsidR="00D04AD0" w:rsidRPr="00EF7988">
        <w:rPr>
          <w:rFonts w:ascii="Palatino Linotype" w:eastAsia="Palatino Linotype" w:hAnsi="Palatino Linotype" w:cs="Palatino Linotype"/>
          <w:sz w:val="22"/>
          <w:szCs w:val="22"/>
          <w:lang w:eastAsia="es-MX"/>
        </w:rPr>
        <w:t>III</w:t>
      </w:r>
      <w:r w:rsidRPr="00EF7988">
        <w:rPr>
          <w:rFonts w:ascii="Palatino Linotype" w:eastAsia="Palatino Linotype" w:hAnsi="Palatino Linotype" w:cs="Palatino Linotype"/>
          <w:sz w:val="22"/>
          <w:szCs w:val="22"/>
          <w:lang w:eastAsia="es-MX"/>
        </w:rPr>
        <w:t>, de la Ley de Transparencia y Acceso a la Información Pública del Estado de México y Municipios, referente a la entrega</w:t>
      </w:r>
      <w:r w:rsidR="00D04AD0" w:rsidRPr="00EF7988">
        <w:rPr>
          <w:rFonts w:ascii="Palatino Linotype" w:eastAsia="Palatino Linotype" w:hAnsi="Palatino Linotype" w:cs="Palatino Linotype"/>
          <w:sz w:val="22"/>
          <w:szCs w:val="22"/>
          <w:lang w:eastAsia="es-MX"/>
        </w:rPr>
        <w:t xml:space="preserve"> o puesta a disposición</w:t>
      </w:r>
      <w:r w:rsidRPr="00EF7988">
        <w:rPr>
          <w:rFonts w:ascii="Palatino Linotype" w:eastAsia="Palatino Linotype" w:hAnsi="Palatino Linotype" w:cs="Palatino Linotype"/>
          <w:sz w:val="22"/>
          <w:szCs w:val="22"/>
          <w:lang w:eastAsia="es-MX"/>
        </w:rPr>
        <w:t xml:space="preserve"> de</w:t>
      </w:r>
      <w:r w:rsidR="00D04AD0" w:rsidRPr="00EF7988">
        <w:rPr>
          <w:rFonts w:ascii="Palatino Linotype" w:eastAsia="Palatino Linotype" w:hAnsi="Palatino Linotype" w:cs="Palatino Linotype"/>
          <w:sz w:val="22"/>
          <w:szCs w:val="22"/>
          <w:lang w:eastAsia="es-MX"/>
        </w:rPr>
        <w:t xml:space="preserve"> la</w:t>
      </w:r>
      <w:r w:rsidRPr="00EF7988">
        <w:rPr>
          <w:rFonts w:ascii="Palatino Linotype" w:eastAsia="Palatino Linotype" w:hAnsi="Palatino Linotype" w:cs="Palatino Linotype"/>
          <w:sz w:val="22"/>
          <w:szCs w:val="22"/>
          <w:lang w:eastAsia="es-MX"/>
        </w:rPr>
        <w:t xml:space="preserve"> información </w:t>
      </w:r>
      <w:r w:rsidR="00D04AD0" w:rsidRPr="00EF7988">
        <w:rPr>
          <w:rFonts w:ascii="Palatino Linotype" w:eastAsia="Palatino Linotype" w:hAnsi="Palatino Linotype" w:cs="Palatino Linotype"/>
          <w:sz w:val="22"/>
          <w:szCs w:val="22"/>
          <w:lang w:eastAsia="es-MX"/>
        </w:rPr>
        <w:t>en una modalidad distinta</w:t>
      </w:r>
      <w:r w:rsidR="00BB70E4" w:rsidRPr="00EF7988">
        <w:rPr>
          <w:rFonts w:ascii="Palatino Linotype" w:eastAsia="Palatino Linotype" w:hAnsi="Palatino Linotype" w:cs="Palatino Linotype"/>
          <w:sz w:val="22"/>
          <w:szCs w:val="22"/>
          <w:lang w:eastAsia="es-MX"/>
        </w:rPr>
        <w:t xml:space="preserve"> a la solicitada</w:t>
      </w:r>
      <w:r w:rsidRPr="00EF7988">
        <w:rPr>
          <w:rFonts w:ascii="Palatino Linotype" w:eastAsia="Palatino Linotype" w:hAnsi="Palatino Linotype" w:cs="Palatino Linotype"/>
          <w:sz w:val="22"/>
          <w:szCs w:val="22"/>
          <w:lang w:eastAsia="es-MX"/>
        </w:rPr>
        <w:t>.</w:t>
      </w:r>
    </w:p>
    <w:p w14:paraId="1CD34F3E" w14:textId="77777777" w:rsidR="00F4599C" w:rsidRPr="00EF7988" w:rsidRDefault="00F4599C" w:rsidP="000C0C40">
      <w:pPr>
        <w:spacing w:after="0" w:line="360" w:lineRule="auto"/>
        <w:contextualSpacing/>
        <w:jc w:val="both"/>
        <w:rPr>
          <w:rFonts w:ascii="Palatino Linotype" w:eastAsia="Palatino Linotype" w:hAnsi="Palatino Linotype" w:cs="Palatino Linotype"/>
          <w:b/>
          <w:sz w:val="22"/>
          <w:szCs w:val="22"/>
          <w:lang w:eastAsia="es-MX"/>
        </w:rPr>
      </w:pPr>
    </w:p>
    <w:p w14:paraId="7193B1BF"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b/>
          <w:sz w:val="22"/>
          <w:szCs w:val="22"/>
          <w:lang w:eastAsia="es-MX"/>
        </w:rPr>
        <w:t>Causales de sobreseimiento</w:t>
      </w:r>
    </w:p>
    <w:p w14:paraId="4A16DD61"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6A37A8C7"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Por ser de previo y especial pronunciamiento, este Instituto analiza si se actualiza alguna causal de sobreseimiento.</w:t>
      </w:r>
    </w:p>
    <w:p w14:paraId="7452D2A0"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28673964"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1B116F26"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p>
    <w:p w14:paraId="06E1B2AA" w14:textId="77777777" w:rsidR="00F4599C" w:rsidRPr="00EF7988" w:rsidRDefault="00F4599C" w:rsidP="000C0C40">
      <w:pPr>
        <w:tabs>
          <w:tab w:val="left" w:pos="4962"/>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Por tales motivos, se considera procedente entrar al fondo del presente asunto. </w:t>
      </w:r>
    </w:p>
    <w:p w14:paraId="1B8FDD88" w14:textId="77777777" w:rsidR="00F4599C" w:rsidRPr="00EF7988" w:rsidRDefault="00F4599C" w:rsidP="000C0C40">
      <w:pPr>
        <w:tabs>
          <w:tab w:val="left" w:pos="4962"/>
        </w:tabs>
        <w:spacing w:after="0" w:line="360" w:lineRule="auto"/>
        <w:contextualSpacing/>
        <w:jc w:val="both"/>
        <w:rPr>
          <w:rFonts w:ascii="Palatino Linotype" w:eastAsia="Palatino Linotype" w:hAnsi="Palatino Linotype" w:cs="Palatino Linotype"/>
          <w:sz w:val="22"/>
          <w:szCs w:val="22"/>
          <w:lang w:eastAsia="es-MX"/>
        </w:rPr>
      </w:pPr>
    </w:p>
    <w:p w14:paraId="79325F9A" w14:textId="77777777" w:rsidR="00F4599C" w:rsidRPr="00EF7988" w:rsidRDefault="00F4599C" w:rsidP="000C0C40">
      <w:pPr>
        <w:keepNext/>
        <w:keepLines/>
        <w:spacing w:after="0" w:line="360" w:lineRule="auto"/>
        <w:contextualSpacing/>
        <w:jc w:val="both"/>
        <w:outlineLvl w:val="1"/>
        <w:rPr>
          <w:rFonts w:ascii="Palatino Linotype" w:eastAsia="Palatino Linotype" w:hAnsi="Palatino Linotype" w:cs="Palatino Linotype"/>
          <w:b/>
          <w:color w:val="000000"/>
          <w:sz w:val="22"/>
          <w:szCs w:val="22"/>
          <w:lang w:eastAsia="es-MX"/>
        </w:rPr>
      </w:pPr>
      <w:bookmarkStart w:id="15" w:name="_Toc235115846"/>
      <w:r w:rsidRPr="00EF7988">
        <w:rPr>
          <w:rFonts w:ascii="Palatino Linotype" w:eastAsia="Palatino Linotype" w:hAnsi="Palatino Linotype" w:cs="Palatino Linotype"/>
          <w:b/>
          <w:color w:val="000000"/>
          <w:sz w:val="22"/>
          <w:szCs w:val="22"/>
          <w:lang w:eastAsia="es-MX"/>
        </w:rPr>
        <w:t>TERCERO. Determinación de la Controversia</w:t>
      </w:r>
      <w:bookmarkEnd w:id="15"/>
    </w:p>
    <w:p w14:paraId="1C8A95CD" w14:textId="77777777" w:rsidR="00F4599C" w:rsidRPr="00EF7988" w:rsidRDefault="00F4599C" w:rsidP="000C0C40">
      <w:pPr>
        <w:tabs>
          <w:tab w:val="left" w:pos="4962"/>
        </w:tabs>
        <w:spacing w:after="0" w:line="360" w:lineRule="auto"/>
        <w:contextualSpacing/>
        <w:jc w:val="both"/>
        <w:rPr>
          <w:rFonts w:ascii="Palatino Linotype" w:eastAsia="Palatino Linotype" w:hAnsi="Palatino Linotype" w:cs="Palatino Linotype"/>
          <w:color w:val="000000"/>
          <w:sz w:val="22"/>
          <w:szCs w:val="22"/>
          <w:lang w:eastAsia="es-MX"/>
        </w:rPr>
      </w:pPr>
    </w:p>
    <w:p w14:paraId="2A39B7CF" w14:textId="6AAD6AB3" w:rsidR="003D6765" w:rsidRPr="00EF7988" w:rsidRDefault="00F4599C" w:rsidP="000C0C40">
      <w:pPr>
        <w:spacing w:after="0" w:line="360" w:lineRule="auto"/>
        <w:contextualSpacing/>
        <w:jc w:val="both"/>
        <w:rPr>
          <w:rFonts w:ascii="Palatino Linotype" w:hAnsi="Palatino Linotype"/>
          <w:color w:val="000000"/>
          <w:sz w:val="22"/>
          <w:szCs w:val="22"/>
        </w:rPr>
      </w:pPr>
      <w:bookmarkStart w:id="16" w:name="_heading=h.5hrkwrbn09ux" w:colFirst="0" w:colLast="0"/>
      <w:bookmarkStart w:id="17" w:name="_heading=h.9xhmpwybfyxl" w:colFirst="0" w:colLast="0"/>
      <w:bookmarkEnd w:id="16"/>
      <w:bookmarkEnd w:id="17"/>
      <w:r w:rsidRPr="00EF7988">
        <w:rPr>
          <w:rFonts w:ascii="Palatino Linotype" w:eastAsia="Times New Roman" w:hAnsi="Palatino Linotype" w:cs="Tahoma"/>
          <w:sz w:val="22"/>
          <w:szCs w:val="22"/>
          <w:lang w:eastAsia="es-MX"/>
        </w:rPr>
        <w:t xml:space="preserve">Con el objetivo de ilustrar la controversia planteada, resulta conveniente precisar, que una vez realizado el estudio de las constancias que integran el expediente en el que se actúa, se desprende que el Particular requirió </w:t>
      </w:r>
      <w:bookmarkStart w:id="18" w:name="_Hlk234350685"/>
      <w:r w:rsidR="003D6765" w:rsidRPr="00EF7988">
        <w:rPr>
          <w:rFonts w:ascii="Palatino Linotype" w:hAnsi="Palatino Linotype"/>
          <w:color w:val="000000"/>
          <w:sz w:val="22"/>
          <w:szCs w:val="22"/>
        </w:rPr>
        <w:t xml:space="preserve">respecto de los procedimientos de licitación pública, invitación restringida, y adjudicación directa realizadas del primero de enero de dos mil veinticinco, al primero de mayo de dos mil veintiséis, los documentos </w:t>
      </w:r>
      <w:r w:rsidR="000C0C40">
        <w:rPr>
          <w:rFonts w:ascii="Palatino Linotype" w:hAnsi="Palatino Linotype"/>
          <w:color w:val="000000"/>
          <w:sz w:val="22"/>
          <w:szCs w:val="22"/>
        </w:rPr>
        <w:t xml:space="preserve">que conformaban los expedientes, </w:t>
      </w:r>
      <w:r w:rsidR="003D6765" w:rsidRPr="00EF7988">
        <w:rPr>
          <w:rFonts w:ascii="Palatino Linotype" w:hAnsi="Palatino Linotype"/>
          <w:color w:val="000000"/>
          <w:sz w:val="22"/>
          <w:szCs w:val="22"/>
        </w:rPr>
        <w:t>en los que se advierta lo siguiente:</w:t>
      </w:r>
    </w:p>
    <w:p w14:paraId="034D4DC1" w14:textId="77777777" w:rsidR="003D6765" w:rsidRPr="00EF7988" w:rsidRDefault="003D6765" w:rsidP="000C0C40">
      <w:pPr>
        <w:spacing w:after="0" w:line="360" w:lineRule="auto"/>
        <w:contextualSpacing/>
        <w:jc w:val="both"/>
        <w:rPr>
          <w:rFonts w:ascii="Palatino Linotype" w:hAnsi="Palatino Linotype"/>
          <w:color w:val="000000"/>
          <w:sz w:val="22"/>
          <w:szCs w:val="22"/>
        </w:rPr>
      </w:pPr>
    </w:p>
    <w:p w14:paraId="4363CAA9" w14:textId="77777777" w:rsidR="003D6765" w:rsidRPr="00EF7988" w:rsidRDefault="003D6765" w:rsidP="000C0C40">
      <w:pPr>
        <w:pStyle w:val="Prrafodelista"/>
        <w:numPr>
          <w:ilvl w:val="1"/>
          <w:numId w:val="5"/>
        </w:numPr>
        <w:spacing w:after="0" w:line="360" w:lineRule="auto"/>
        <w:jc w:val="both"/>
        <w:rPr>
          <w:rFonts w:ascii="Palatino Linotype" w:hAnsi="Palatino Linotype"/>
          <w:sz w:val="22"/>
          <w:szCs w:val="22"/>
        </w:rPr>
      </w:pPr>
      <w:r w:rsidRPr="00EF7988">
        <w:rPr>
          <w:rFonts w:ascii="Palatino Linotype" w:hAnsi="Palatino Linotype"/>
          <w:color w:val="000000"/>
          <w:sz w:val="22"/>
          <w:szCs w:val="22"/>
        </w:rPr>
        <w:t>Solicitud del área requirente, estudios de mercado y documentos justificativos;</w:t>
      </w:r>
    </w:p>
    <w:p w14:paraId="6662838B"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Bases de licitación, invitaciones, cotizaciones y/o solicitudes de propuesta. </w:t>
      </w:r>
    </w:p>
    <w:p w14:paraId="6C5D56A4"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Actas (junta de aclaraciones, presentación y apertura de proposiciones, fallo, etc.). </w:t>
      </w:r>
    </w:p>
    <w:p w14:paraId="53D1C80A"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Dictámenes técnicos y económicos. </w:t>
      </w:r>
    </w:p>
    <w:p w14:paraId="31F40837"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Contrato o pedido correspondiente. </w:t>
      </w:r>
    </w:p>
    <w:p w14:paraId="79EC04FD"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Facturas emitidas. </w:t>
      </w:r>
    </w:p>
    <w:p w14:paraId="6E884409"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Comprobantes de entrega, evidencia documental y/o fotográfica. Registros de entrada a almacén y documentación logística. </w:t>
      </w:r>
    </w:p>
    <w:p w14:paraId="7CA6FD49"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Oficios de convocatoria para la sesión del Comité de Adquisiciones;</w:t>
      </w:r>
    </w:p>
    <w:p w14:paraId="2D4FC8A4" w14:textId="77777777" w:rsidR="003D6765" w:rsidRPr="00EF7988" w:rsidRDefault="003D6765" w:rsidP="000C0C40">
      <w:pPr>
        <w:pStyle w:val="Prrafodelista"/>
        <w:numPr>
          <w:ilvl w:val="1"/>
          <w:numId w:val="5"/>
        </w:numPr>
        <w:spacing w:after="0" w:line="360" w:lineRule="auto"/>
        <w:jc w:val="both"/>
        <w:rPr>
          <w:rFonts w:ascii="Palatino Linotype" w:hAnsi="Palatino Linotype"/>
          <w:color w:val="000000"/>
          <w:sz w:val="22"/>
          <w:szCs w:val="22"/>
        </w:rPr>
      </w:pPr>
      <w:r w:rsidRPr="00EF7988">
        <w:rPr>
          <w:rFonts w:ascii="Palatino Linotype" w:hAnsi="Palatino Linotype"/>
          <w:color w:val="000000"/>
          <w:sz w:val="22"/>
          <w:szCs w:val="22"/>
        </w:rPr>
        <w:t xml:space="preserve">Actas del Comité de Adquisiciones. </w:t>
      </w:r>
    </w:p>
    <w:bookmarkEnd w:id="18"/>
    <w:p w14:paraId="68D0FD70" w14:textId="77777777" w:rsidR="003D6765" w:rsidRPr="00EF7988" w:rsidRDefault="003D6765" w:rsidP="000C0C40">
      <w:pPr>
        <w:pStyle w:val="Prrafodelista"/>
        <w:spacing w:after="0" w:line="360" w:lineRule="auto"/>
        <w:jc w:val="both"/>
        <w:rPr>
          <w:rFonts w:ascii="Palatino Linotype" w:hAnsi="Palatino Linotype"/>
          <w:color w:val="000000"/>
          <w:sz w:val="22"/>
          <w:szCs w:val="22"/>
        </w:rPr>
      </w:pPr>
    </w:p>
    <w:p w14:paraId="00C39A3A" w14:textId="77777777" w:rsidR="003D6765" w:rsidRPr="00EF7988" w:rsidRDefault="00F4599C" w:rsidP="000C0C40">
      <w:pPr>
        <w:spacing w:after="0" w:line="360" w:lineRule="auto"/>
        <w:contextualSpacing/>
        <w:jc w:val="both"/>
        <w:rPr>
          <w:rFonts w:ascii="Palatino Linotype" w:eastAsia="Times New Roman" w:hAnsi="Palatino Linotype" w:cs="Times New Roman"/>
          <w:color w:val="0D0D0D"/>
          <w:sz w:val="22"/>
          <w:szCs w:val="22"/>
          <w:lang w:eastAsia="es-MX"/>
        </w:rPr>
      </w:pPr>
      <w:r w:rsidRPr="00EF7988">
        <w:rPr>
          <w:rFonts w:ascii="Palatino Linotype" w:eastAsia="Times New Roman" w:hAnsi="Palatino Linotype" w:cs="Times New Roman"/>
          <w:color w:val="000000"/>
          <w:sz w:val="22"/>
          <w:szCs w:val="22"/>
          <w:lang w:eastAsia="es-MX"/>
        </w:rPr>
        <w:t xml:space="preserve">En respuesta, el Sujeto Obligado, </w:t>
      </w:r>
      <w:r w:rsidR="003D6765" w:rsidRPr="00EF7988">
        <w:rPr>
          <w:rFonts w:ascii="Palatino Linotype" w:eastAsia="Times New Roman" w:hAnsi="Palatino Linotype" w:cs="Times New Roman"/>
          <w:color w:val="000000"/>
          <w:sz w:val="22"/>
          <w:szCs w:val="22"/>
          <w:lang w:eastAsia="es-MX"/>
        </w:rPr>
        <w:t>propuso el cambio de modalidad de entrega de la información a consulta directa ya que la información tenía un peso de 5.54 Gigabytes correspondientes a 427 archivos</w:t>
      </w:r>
      <w:r w:rsidRPr="00EF7988">
        <w:rPr>
          <w:rFonts w:ascii="Palatino Linotype" w:eastAsia="Times New Roman" w:hAnsi="Palatino Linotype" w:cs="Tahoma"/>
          <w:sz w:val="22"/>
          <w:szCs w:val="22"/>
          <w:lang w:eastAsia="es-MX"/>
        </w:rPr>
        <w:t>;</w:t>
      </w:r>
      <w:r w:rsidRPr="00EF7988">
        <w:rPr>
          <w:rFonts w:ascii="Palatino Linotype" w:eastAsia="Times New Roman" w:hAnsi="Palatino Linotype" w:cs="Times New Roman"/>
          <w:sz w:val="22"/>
          <w:szCs w:val="22"/>
          <w:lang w:eastAsia="es-MX"/>
        </w:rPr>
        <w:t xml:space="preserve"> </w:t>
      </w:r>
      <w:r w:rsidRPr="00EF7988">
        <w:rPr>
          <w:rFonts w:ascii="Palatino Linotype" w:eastAsia="Times New Roman" w:hAnsi="Palatino Linotype" w:cs="Tahoma"/>
          <w:sz w:val="22"/>
          <w:szCs w:val="22"/>
          <w:lang w:val="es-ES" w:eastAsia="es-MX"/>
        </w:rPr>
        <w:t xml:space="preserve">ante dicha circunstancia, el Particular se inconformó de la entrega </w:t>
      </w:r>
      <w:r w:rsidR="003D6765" w:rsidRPr="00EF7988">
        <w:rPr>
          <w:rFonts w:ascii="Palatino Linotype" w:eastAsia="Times New Roman" w:hAnsi="Palatino Linotype" w:cs="Tahoma"/>
          <w:sz w:val="22"/>
          <w:szCs w:val="22"/>
          <w:lang w:val="es-ES" w:eastAsia="es-MX"/>
        </w:rPr>
        <w:t>puesta a disposición de la información en un formato distinto al solicitado</w:t>
      </w:r>
      <w:r w:rsidRPr="00EF7988">
        <w:rPr>
          <w:rFonts w:ascii="Palatino Linotype" w:eastAsia="Times New Roman" w:hAnsi="Palatino Linotype" w:cs="Tahoma"/>
          <w:sz w:val="22"/>
          <w:szCs w:val="22"/>
          <w:lang w:val="es-ES" w:eastAsia="es-MX"/>
        </w:rPr>
        <w:t xml:space="preserve">, lo cual </w:t>
      </w:r>
      <w:r w:rsidRPr="00EF7988">
        <w:rPr>
          <w:rFonts w:ascii="Palatino Linotype" w:eastAsia="Calibri" w:hAnsi="Palatino Linotype" w:cs="Tahoma"/>
          <w:sz w:val="22"/>
          <w:szCs w:val="22"/>
          <w:lang w:eastAsia="es-MX"/>
        </w:rPr>
        <w:t>actualiza la causal de procedencia prevista en la fracción V</w:t>
      </w:r>
      <w:r w:rsidR="003D6765" w:rsidRPr="00EF7988">
        <w:rPr>
          <w:rFonts w:ascii="Palatino Linotype" w:eastAsia="Calibri" w:hAnsi="Palatino Linotype" w:cs="Tahoma"/>
          <w:sz w:val="22"/>
          <w:szCs w:val="22"/>
          <w:lang w:eastAsia="es-MX"/>
        </w:rPr>
        <w:t>III</w:t>
      </w:r>
      <w:r w:rsidRPr="00EF7988">
        <w:rPr>
          <w:rFonts w:ascii="Palatino Linotype" w:eastAsia="Calibri" w:hAnsi="Palatino Linotype" w:cs="Tahoma"/>
          <w:sz w:val="22"/>
          <w:szCs w:val="22"/>
          <w:lang w:eastAsia="es-MX"/>
        </w:rPr>
        <w:t>, del artículo 179 de la Ley de Transparencia y Acceso a la Información Pública del Estado de México y Municipios</w:t>
      </w:r>
      <w:r w:rsidRPr="00EF7988">
        <w:rPr>
          <w:rFonts w:ascii="Palatino Linotype" w:eastAsia="Times New Roman" w:hAnsi="Palatino Linotype" w:cs="Times New Roman"/>
          <w:color w:val="0D0D0D"/>
          <w:sz w:val="22"/>
          <w:szCs w:val="22"/>
          <w:lang w:eastAsia="es-MX"/>
        </w:rPr>
        <w:t xml:space="preserve">. </w:t>
      </w:r>
    </w:p>
    <w:p w14:paraId="05615D6B" w14:textId="77777777" w:rsidR="003D6765" w:rsidRPr="00EF7988" w:rsidRDefault="003D6765" w:rsidP="000C0C40">
      <w:pPr>
        <w:spacing w:after="0" w:line="360" w:lineRule="auto"/>
        <w:contextualSpacing/>
        <w:jc w:val="both"/>
        <w:rPr>
          <w:rFonts w:ascii="Palatino Linotype" w:eastAsia="Times New Roman" w:hAnsi="Palatino Linotype" w:cs="Times New Roman"/>
          <w:color w:val="0D0D0D"/>
          <w:sz w:val="22"/>
          <w:szCs w:val="22"/>
          <w:lang w:eastAsia="es-MX"/>
        </w:rPr>
      </w:pPr>
    </w:p>
    <w:p w14:paraId="4B961757" w14:textId="017FB484" w:rsidR="00F4599C" w:rsidRPr="00EF7988" w:rsidRDefault="00F4599C" w:rsidP="000C0C40">
      <w:pPr>
        <w:spacing w:after="0" w:line="360" w:lineRule="auto"/>
        <w:contextualSpacing/>
        <w:jc w:val="both"/>
        <w:rPr>
          <w:rFonts w:ascii="Palatino Linotype" w:eastAsia="Times New Roman" w:hAnsi="Palatino Linotype" w:cs="Times New Roman"/>
          <w:color w:val="0D0D0D"/>
          <w:sz w:val="22"/>
          <w:szCs w:val="22"/>
          <w:lang w:eastAsia="es-MX"/>
        </w:rPr>
      </w:pPr>
      <w:r w:rsidRPr="00EF7988">
        <w:rPr>
          <w:rFonts w:ascii="Palatino Linotype" w:eastAsia="Palatino Linotype" w:hAnsi="Palatino Linotype" w:cs="Palatino Linotype"/>
          <w:sz w:val="22"/>
          <w:szCs w:val="22"/>
          <w:lang w:eastAsia="es-MX"/>
        </w:rPr>
        <w:t xml:space="preserve">Así las cosas, admitido y notificado el medio de impugnación las partes, el Sujeto Obligado </w:t>
      </w:r>
      <w:r w:rsidR="003D6765" w:rsidRPr="00EF7988">
        <w:rPr>
          <w:rFonts w:ascii="Palatino Linotype" w:eastAsia="Palatino Linotype" w:hAnsi="Palatino Linotype" w:cs="Palatino Linotype"/>
          <w:sz w:val="22"/>
          <w:szCs w:val="22"/>
          <w:lang w:eastAsia="es-MX"/>
        </w:rPr>
        <w:t>esencialmente ratificó su respuesta inicial. Por su parte el Recurrente fue omiso en realizar manifestaciones o alegatos a que tuviera derecho.</w:t>
      </w:r>
    </w:p>
    <w:p w14:paraId="5844AFC5" w14:textId="77777777" w:rsidR="00F4599C" w:rsidRPr="00EF7988" w:rsidRDefault="00F4599C" w:rsidP="000C0C40">
      <w:pPr>
        <w:spacing w:after="0" w:line="360" w:lineRule="auto"/>
        <w:contextualSpacing/>
        <w:jc w:val="both"/>
        <w:rPr>
          <w:rFonts w:ascii="Palatino Linotype" w:eastAsia="Calibri" w:hAnsi="Palatino Linotype" w:cs="Tahoma"/>
          <w:iCs/>
          <w:sz w:val="22"/>
          <w:szCs w:val="22"/>
          <w:lang w:eastAsia="es-ES_tradnl"/>
        </w:rPr>
      </w:pPr>
    </w:p>
    <w:p w14:paraId="5E17F76D" w14:textId="13964AFE"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Lo anterior, se desprende de las documentales que obran en el expediente de referencia, materia de la presente resolución, consistentes en la solicitud de acceso a la información, la respuesta, el escrito recursal,</w:t>
      </w:r>
      <w:r w:rsidR="00B57BAC" w:rsidRPr="00EF7988">
        <w:rPr>
          <w:rFonts w:ascii="Palatino Linotype" w:eastAsia="Palatino Linotype" w:hAnsi="Palatino Linotype" w:cs="Palatino Linotype"/>
          <w:sz w:val="22"/>
          <w:szCs w:val="22"/>
          <w:lang w:eastAsia="es-MX"/>
        </w:rPr>
        <w:t xml:space="preserve"> y el informe justificado</w:t>
      </w:r>
      <w:r w:rsidRPr="00EF7988">
        <w:rPr>
          <w:rFonts w:ascii="Palatino Linotype" w:eastAsia="Palatino Linotype" w:hAnsi="Palatino Linotype" w:cs="Palatino Linotype"/>
          <w:sz w:val="22"/>
          <w:szCs w:val="22"/>
          <w:lang w:eastAsia="es-MX"/>
        </w:rPr>
        <w:t xml:space="preserve"> instrumentales que se toman en cuenta a efecto de resolver el presente medio de impugnación, conforme a lo dispuesto por el artículo 185, fracción IV, de la Ley de Transparencia y Acceso a la Información Pública del Estado de México y Municipios. </w:t>
      </w:r>
    </w:p>
    <w:p w14:paraId="587BE8C9" w14:textId="77777777" w:rsidR="00F4599C" w:rsidRPr="00EF7988" w:rsidRDefault="00F4599C" w:rsidP="000C0C40">
      <w:pPr>
        <w:spacing w:after="0" w:line="360" w:lineRule="auto"/>
        <w:contextualSpacing/>
        <w:jc w:val="both"/>
        <w:rPr>
          <w:rFonts w:ascii="Palatino Linotype" w:eastAsia="Palatino Linotype" w:hAnsi="Palatino Linotype" w:cs="Palatino Linotype"/>
          <w:color w:val="000000"/>
          <w:sz w:val="22"/>
          <w:szCs w:val="22"/>
          <w:lang w:eastAsia="es-MX"/>
        </w:rPr>
      </w:pPr>
    </w:p>
    <w:p w14:paraId="249E5F35" w14:textId="77777777" w:rsidR="00F4599C" w:rsidRPr="00EF7988" w:rsidRDefault="00F4599C" w:rsidP="000C0C40">
      <w:pPr>
        <w:keepNext/>
        <w:keepLines/>
        <w:spacing w:after="0" w:line="360" w:lineRule="auto"/>
        <w:contextualSpacing/>
        <w:jc w:val="both"/>
        <w:outlineLvl w:val="1"/>
        <w:rPr>
          <w:rFonts w:ascii="Palatino Linotype" w:eastAsia="Palatino Linotype" w:hAnsi="Palatino Linotype" w:cs="Palatino Linotype"/>
          <w:b/>
          <w:color w:val="000000"/>
          <w:sz w:val="22"/>
          <w:szCs w:val="22"/>
          <w:lang w:eastAsia="es-MX"/>
        </w:rPr>
      </w:pPr>
      <w:bookmarkStart w:id="19" w:name="_Toc235115847"/>
      <w:r w:rsidRPr="00EF7988">
        <w:rPr>
          <w:rFonts w:ascii="Palatino Linotype" w:eastAsia="Palatino Linotype" w:hAnsi="Palatino Linotype" w:cs="Palatino Linotype"/>
          <w:b/>
          <w:color w:val="000000"/>
          <w:sz w:val="22"/>
          <w:szCs w:val="22"/>
          <w:lang w:eastAsia="es-MX"/>
        </w:rPr>
        <w:t>CUARTO. Marco normativo aplicable en materia de transparencia y acceso a la información pública</w:t>
      </w:r>
      <w:bookmarkEnd w:id="19"/>
    </w:p>
    <w:p w14:paraId="6AB73537"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11816B54"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CFF4205"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57947EC0" w14:textId="77777777" w:rsidR="00F4599C" w:rsidRPr="00EF7988" w:rsidRDefault="00F4599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6CF69C8"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0E1A1C4A"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Por su parte, la Ley de Transparencia y Acceso a la Información Pública del Estado de México y Municipios, establece lo siguiente:</w:t>
      </w:r>
    </w:p>
    <w:p w14:paraId="1ABBF576"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37C47AA5"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El artículo 12, que, quienes generen, recopilen, administren, manejen, procesen, archiven o conserven información pública serán responsables de la misma.</w:t>
      </w:r>
    </w:p>
    <w:p w14:paraId="07A1F06D"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6A9128F6"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El artículo 18, que, los Sujetos Obligados deberán documentar todo acto que derive del ejercicio de sus facultades, competencias o funciones, considerando desde su origen la eventual publicidad y reutilización de la información que generen.</w:t>
      </w:r>
    </w:p>
    <w:p w14:paraId="5DDD5B61"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1007754D" w14:textId="77777777" w:rsidR="00F4599C" w:rsidRPr="00EF7988" w:rsidRDefault="00F4599C" w:rsidP="000C0C40">
      <w:pPr>
        <w:widowControl w:val="0"/>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4803184" w14:textId="77777777" w:rsidR="00B57BAC" w:rsidRPr="00EF7988" w:rsidRDefault="00B57BA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14F86222" w14:textId="77777777" w:rsidR="00B57BAC" w:rsidRPr="00EF7988" w:rsidRDefault="00B57BAC" w:rsidP="000C0C40">
      <w:pPr>
        <w:keepNext/>
        <w:keepLines/>
        <w:spacing w:after="0" w:line="360" w:lineRule="auto"/>
        <w:contextualSpacing/>
        <w:jc w:val="both"/>
        <w:outlineLvl w:val="1"/>
        <w:rPr>
          <w:rFonts w:ascii="Palatino Linotype" w:eastAsia="Palatino Linotype" w:hAnsi="Palatino Linotype" w:cs="Palatino Linotype"/>
          <w:b/>
          <w:color w:val="000000"/>
          <w:sz w:val="22"/>
          <w:szCs w:val="22"/>
          <w:lang w:eastAsia="es-MX"/>
        </w:rPr>
      </w:pPr>
      <w:bookmarkStart w:id="20" w:name="_Toc227786866"/>
      <w:bookmarkStart w:id="21" w:name="_Toc235115848"/>
      <w:r w:rsidRPr="00EF7988">
        <w:rPr>
          <w:rFonts w:ascii="Palatino Linotype" w:eastAsia="Palatino Linotype" w:hAnsi="Palatino Linotype" w:cs="Palatino Linotype"/>
          <w:b/>
          <w:color w:val="000000"/>
          <w:sz w:val="22"/>
          <w:szCs w:val="22"/>
          <w:lang w:eastAsia="es-MX"/>
        </w:rPr>
        <w:t>QUINTO. Estudio de Fondo</w:t>
      </w:r>
      <w:bookmarkEnd w:id="20"/>
      <w:bookmarkEnd w:id="21"/>
    </w:p>
    <w:p w14:paraId="17D96947" w14:textId="77777777" w:rsidR="00B57BAC" w:rsidRPr="00EF7988" w:rsidRDefault="00B57BAC" w:rsidP="000C0C40">
      <w:pPr>
        <w:spacing w:after="0" w:line="360" w:lineRule="auto"/>
        <w:contextualSpacing/>
        <w:jc w:val="both"/>
        <w:rPr>
          <w:rFonts w:ascii="Palatino Linotype" w:eastAsia="Palatino Linotype" w:hAnsi="Palatino Linotype" w:cs="Palatino Linotype"/>
          <w:b/>
          <w:sz w:val="22"/>
          <w:szCs w:val="22"/>
          <w:lang w:eastAsia="es-MX"/>
        </w:rPr>
      </w:pPr>
    </w:p>
    <w:p w14:paraId="0AA881BE" w14:textId="71240E9D" w:rsidR="00B57BAC" w:rsidRPr="00EF7988" w:rsidRDefault="00B57BAC" w:rsidP="000C0C40">
      <w:pPr>
        <w:widowControl w:val="0"/>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Expuestas las posturas de las partes, se procede a realizar el análisis del agravio hecho valer por el ahora Recurrente, concerniente a la entrega o puesta a disposición de la información en un formato distinto al solicitado, por lo que en principio resulta necesario contextualizar la solicitud de información relacionada con los </w:t>
      </w:r>
      <w:r w:rsidR="00516E88" w:rsidRPr="00EF7988">
        <w:rPr>
          <w:rFonts w:ascii="Palatino Linotype" w:eastAsia="Times New Roman" w:hAnsi="Palatino Linotype" w:cs="Tahoma"/>
          <w:sz w:val="22"/>
          <w:szCs w:val="22"/>
          <w:lang w:eastAsia="es-MX"/>
        </w:rPr>
        <w:t>procedimientos de licitación realizados</w:t>
      </w:r>
      <w:r w:rsidRPr="00EF7988">
        <w:rPr>
          <w:rFonts w:ascii="Palatino Linotype" w:eastAsia="Palatino Linotype" w:hAnsi="Palatino Linotype" w:cs="Palatino Linotype"/>
          <w:sz w:val="22"/>
          <w:szCs w:val="22"/>
          <w:lang w:eastAsia="es-MX"/>
        </w:rPr>
        <w:t>.</w:t>
      </w:r>
    </w:p>
    <w:p w14:paraId="7D860B4B" w14:textId="77777777" w:rsidR="00B57BAC" w:rsidRPr="00EF7988" w:rsidRDefault="00B57BA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0F51A1BD" w14:textId="77777777" w:rsidR="00516E88" w:rsidRPr="00EF7988" w:rsidRDefault="00516E88" w:rsidP="000C0C40">
      <w:pPr>
        <w:spacing w:after="0" w:line="360" w:lineRule="auto"/>
        <w:contextualSpacing/>
        <w:jc w:val="both"/>
        <w:rPr>
          <w:rFonts w:ascii="Palatino Linotype" w:eastAsia="Times New Roman" w:hAnsi="Palatino Linotype" w:cs="Times New Roman"/>
          <w:color w:val="000000"/>
          <w:sz w:val="22"/>
          <w:szCs w:val="22"/>
          <w:lang w:eastAsia="es-ES"/>
        </w:rPr>
      </w:pPr>
      <w:r w:rsidRPr="00EF7988">
        <w:rPr>
          <w:rFonts w:ascii="Palatino Linotype" w:eastAsia="Times New Roman" w:hAnsi="Palatino Linotype" w:cs="Tahoma"/>
          <w:bCs/>
          <w:iCs/>
          <w:sz w:val="22"/>
          <w:szCs w:val="22"/>
          <w:lang w:eastAsia="es-ES"/>
        </w:rPr>
        <w:t xml:space="preserve">En principio, </w:t>
      </w:r>
      <w:r w:rsidRPr="00EF7988">
        <w:rPr>
          <w:rFonts w:ascii="Palatino Linotype" w:eastAsia="Times New Roman" w:hAnsi="Palatino Linotype" w:cs="Times New Roman"/>
          <w:color w:val="000000"/>
          <w:sz w:val="22"/>
          <w:szCs w:val="22"/>
          <w:lang w:eastAsia="es-ES"/>
        </w:rPr>
        <w:t xml:space="preserve">López, Miguel, y </w:t>
      </w:r>
      <w:proofErr w:type="spellStart"/>
      <w:r w:rsidRPr="00EF7988">
        <w:rPr>
          <w:rFonts w:ascii="Palatino Linotype" w:eastAsia="Times New Roman" w:hAnsi="Palatino Linotype" w:cs="Times New Roman"/>
          <w:color w:val="000000"/>
          <w:sz w:val="22"/>
          <w:szCs w:val="22"/>
          <w:lang w:eastAsia="es-ES"/>
        </w:rPr>
        <w:t>Cancino</w:t>
      </w:r>
      <w:proofErr w:type="spellEnd"/>
      <w:r w:rsidRPr="00EF7988">
        <w:rPr>
          <w:rFonts w:ascii="Palatino Linotype" w:eastAsia="Times New Roman" w:hAnsi="Palatino Linotype" w:cs="Times New Roman"/>
          <w:color w:val="000000"/>
          <w:sz w:val="22"/>
          <w:szCs w:val="22"/>
          <w:lang w:eastAsia="es-ES"/>
        </w:rPr>
        <w:t xml:space="preserve">, Rodolfo (2020) en “La Contratación Pública y el Sistema Nacional Anticorrupción”. (p. 4), establecen que la </w:t>
      </w:r>
      <w:r w:rsidRPr="00EF7988">
        <w:rPr>
          <w:rFonts w:ascii="Palatino Linotype" w:eastAsia="Times New Roman" w:hAnsi="Palatino Linotype" w:cs="Times New Roman"/>
          <w:b/>
          <w:color w:val="000000"/>
          <w:sz w:val="22"/>
          <w:szCs w:val="22"/>
          <w:lang w:eastAsia="es-ES"/>
        </w:rPr>
        <w:t>contratación pública</w:t>
      </w:r>
      <w:r w:rsidRPr="00EF7988">
        <w:rPr>
          <w:rFonts w:ascii="Palatino Linotype" w:eastAsia="Times New Roman" w:hAnsi="Palatino Linotype" w:cs="Times New Roman"/>
          <w:color w:val="000000"/>
          <w:sz w:val="22"/>
          <w:szCs w:val="22"/>
          <w:lang w:eastAsia="es-ES"/>
        </w:rPr>
        <w:t>, es el procedimiento de carácter administrativo, por medio del cual, un ente público selecciona y posteriormente, celebra un acuerdo de voluntades, con una persona física o jurídica colectiva, para que ésta, proporcione o arrende un bien, preste algún servicio, o lleve a cabo la ejecución de una obra pública, con recursos públicos del Estado y en beneficio de la colectividad.</w:t>
      </w:r>
    </w:p>
    <w:p w14:paraId="49B67726" w14:textId="77777777" w:rsidR="00516E88" w:rsidRPr="00EF7988" w:rsidRDefault="00516E88" w:rsidP="000C0C40">
      <w:pPr>
        <w:spacing w:after="0" w:line="360" w:lineRule="auto"/>
        <w:contextualSpacing/>
        <w:jc w:val="both"/>
        <w:rPr>
          <w:rFonts w:ascii="Palatino Linotype" w:eastAsia="Times New Roman" w:hAnsi="Palatino Linotype" w:cs="Times New Roman"/>
          <w:color w:val="000000"/>
          <w:sz w:val="22"/>
          <w:szCs w:val="22"/>
          <w:lang w:eastAsia="es-ES"/>
        </w:rPr>
      </w:pPr>
    </w:p>
    <w:p w14:paraId="7805BC13" w14:textId="77777777" w:rsidR="00516E88" w:rsidRPr="00EF7988" w:rsidRDefault="00516E88" w:rsidP="000C0C40">
      <w:pPr>
        <w:spacing w:after="0" w:line="360" w:lineRule="auto"/>
        <w:contextualSpacing/>
        <w:jc w:val="both"/>
        <w:rPr>
          <w:rFonts w:ascii="Palatino Linotype" w:eastAsia="Times New Roman" w:hAnsi="Palatino Linotype" w:cs="Times New Roman"/>
          <w:b/>
          <w:sz w:val="22"/>
          <w:szCs w:val="22"/>
          <w:lang w:eastAsia="es-ES"/>
        </w:rPr>
      </w:pPr>
      <w:r w:rsidRPr="00EF7988">
        <w:rPr>
          <w:rFonts w:ascii="Palatino Linotype" w:eastAsia="Times New Roman" w:hAnsi="Palatino Linotype" w:cs="Times New Roman"/>
          <w:sz w:val="22"/>
          <w:szCs w:val="22"/>
          <w:lang w:eastAsia="es-ES"/>
        </w:rPr>
        <w:t xml:space="preserve">Sobre la información peticionada, los artículos 1°, fracción I y IV, y 4° de la Ley de la de Contratación Pública del Estado de México y Municipios, especifica que las Secretarías y los Organismos Auxiliares de carácter estatal o municipal, serán los encargados de realizar los actos relativos a la planeación, programación, presupuestación, ejecución y control de la adquisición (bienes muebles e inmuebles), arrendamiento (bienes muebles e inmuebles), y </w:t>
      </w:r>
      <w:r w:rsidRPr="00EF7988">
        <w:rPr>
          <w:rFonts w:ascii="Palatino Linotype" w:eastAsia="Times New Roman" w:hAnsi="Palatino Linotype" w:cs="Times New Roman"/>
          <w:b/>
          <w:sz w:val="22"/>
          <w:szCs w:val="22"/>
          <w:lang w:eastAsia="es-ES"/>
        </w:rPr>
        <w:t xml:space="preserve">la contratación de servicios de cualquier naturaleza. </w:t>
      </w:r>
    </w:p>
    <w:p w14:paraId="0F0D2BDA" w14:textId="77777777" w:rsidR="00516E88" w:rsidRPr="00EF7988" w:rsidRDefault="00516E88" w:rsidP="000C0C40">
      <w:pPr>
        <w:spacing w:after="0" w:line="360" w:lineRule="auto"/>
        <w:contextualSpacing/>
        <w:jc w:val="both"/>
        <w:rPr>
          <w:rFonts w:ascii="Palatino Linotype" w:eastAsia="Times New Roman" w:hAnsi="Palatino Linotype" w:cs="Times New Roman"/>
          <w:b/>
          <w:sz w:val="22"/>
          <w:szCs w:val="22"/>
          <w:lang w:eastAsia="es-ES"/>
        </w:rPr>
      </w:pPr>
    </w:p>
    <w:p w14:paraId="075802EB" w14:textId="77777777" w:rsidR="00516E88" w:rsidRPr="00EF7988" w:rsidRDefault="00516E88" w:rsidP="000C0C40">
      <w:pPr>
        <w:spacing w:after="0" w:line="360" w:lineRule="auto"/>
        <w:contextualSpacing/>
        <w:jc w:val="both"/>
        <w:rPr>
          <w:rFonts w:ascii="Palatino Linotype" w:eastAsia="Times New Roman" w:hAnsi="Palatino Linotype" w:cs="Times New Roman"/>
          <w:b/>
          <w:color w:val="000000"/>
          <w:sz w:val="22"/>
          <w:szCs w:val="22"/>
          <w:lang w:eastAsia="es-ES"/>
        </w:rPr>
      </w:pPr>
      <w:r w:rsidRPr="00EF7988">
        <w:rPr>
          <w:rFonts w:ascii="Palatino Linotype" w:eastAsia="Times New Roman" w:hAnsi="Palatino Linotype" w:cs="Times New Roman"/>
          <w:color w:val="000000"/>
          <w:sz w:val="22"/>
          <w:szCs w:val="22"/>
          <w:lang w:eastAsia="es-ES"/>
        </w:rPr>
        <w:t xml:space="preserve">Además, conforme a los artículos 26 y 27 de dicho ordenamiento jurídico, las adquisiciones, arrendamientos y servicios, se adjudicarán a través de procedimientos </w:t>
      </w:r>
      <w:r w:rsidRPr="00EF7988">
        <w:rPr>
          <w:rFonts w:ascii="Palatino Linotype" w:eastAsia="Times New Roman" w:hAnsi="Palatino Linotype" w:cs="Times New Roman"/>
          <w:b/>
          <w:color w:val="000000"/>
          <w:sz w:val="22"/>
          <w:szCs w:val="22"/>
          <w:lang w:eastAsia="es-ES"/>
        </w:rPr>
        <w:t>de licitación pública, invitación restringida y adjudicación directa.</w:t>
      </w:r>
    </w:p>
    <w:p w14:paraId="5674B81A" w14:textId="77777777" w:rsidR="00516E88" w:rsidRPr="00EF7988" w:rsidRDefault="00516E88" w:rsidP="000C0C40">
      <w:pPr>
        <w:spacing w:after="0" w:line="360" w:lineRule="auto"/>
        <w:contextualSpacing/>
        <w:jc w:val="both"/>
        <w:rPr>
          <w:rFonts w:ascii="Palatino Linotype" w:eastAsia="Times New Roman" w:hAnsi="Palatino Linotype" w:cs="Times New Roman"/>
          <w:b/>
          <w:color w:val="000000"/>
          <w:sz w:val="22"/>
          <w:szCs w:val="22"/>
          <w:lang w:eastAsia="es-ES"/>
        </w:rPr>
      </w:pPr>
    </w:p>
    <w:p w14:paraId="56C7A944" w14:textId="77777777" w:rsidR="00516E88" w:rsidRPr="00EF7988" w:rsidRDefault="00516E88" w:rsidP="000C0C40">
      <w:pPr>
        <w:spacing w:after="0" w:line="360" w:lineRule="auto"/>
        <w:contextualSpacing/>
        <w:jc w:val="both"/>
        <w:rPr>
          <w:rFonts w:ascii="Palatino Linotype" w:eastAsia="Times New Roman" w:hAnsi="Palatino Linotype" w:cs="Tahoma"/>
          <w:sz w:val="22"/>
          <w:szCs w:val="22"/>
          <w:lang w:val="es-ES" w:eastAsia="es-ES"/>
        </w:rPr>
      </w:pPr>
      <w:r w:rsidRPr="00EF7988">
        <w:rPr>
          <w:rFonts w:ascii="Palatino Linotype" w:eastAsia="Times New Roman" w:hAnsi="Palatino Linotype" w:cs="Tahoma"/>
          <w:sz w:val="22"/>
          <w:szCs w:val="22"/>
          <w:lang w:val="es-ES" w:eastAsia="es-ES"/>
        </w:rPr>
        <w:t xml:space="preserve">En ese orden de ideas, conforme al artículo 65 de la Ley de Contratación Pública del Estado de México y Municipios, la adjudicación de un procedimiento de </w:t>
      </w:r>
      <w:r w:rsidRPr="00EF7988">
        <w:rPr>
          <w:rFonts w:ascii="Palatino Linotype" w:eastAsia="Times New Roman" w:hAnsi="Palatino Linotype" w:cs="Tahoma"/>
          <w:b/>
          <w:bCs/>
          <w:sz w:val="22"/>
          <w:szCs w:val="22"/>
          <w:lang w:val="es-ES" w:eastAsia="es-ES"/>
        </w:rPr>
        <w:t>adquisición y arrendamiento de bienes y contratación de servicios,</w:t>
      </w:r>
      <w:r w:rsidRPr="00EF7988">
        <w:rPr>
          <w:rFonts w:ascii="Palatino Linotype" w:eastAsia="Times New Roman" w:hAnsi="Palatino Linotype" w:cs="Tahoma"/>
          <w:sz w:val="22"/>
          <w:szCs w:val="22"/>
          <w:lang w:val="es-ES" w:eastAsia="es-ES"/>
        </w:rPr>
        <w:t xml:space="preserve"> se realizará mediante la suscripción de un contrato, entre la entidad pública y la persona a la cual haya ganado el procedimiento respectivo, dentro de los diez días hábiles siguientes a la notificación del fallo.</w:t>
      </w:r>
    </w:p>
    <w:p w14:paraId="44B57E27" w14:textId="77777777" w:rsidR="00516E88" w:rsidRPr="00EF7988" w:rsidRDefault="00516E88" w:rsidP="000C0C40">
      <w:pPr>
        <w:spacing w:after="0" w:line="360" w:lineRule="auto"/>
        <w:contextualSpacing/>
        <w:jc w:val="both"/>
        <w:rPr>
          <w:rFonts w:ascii="Palatino Linotype" w:eastAsia="Times New Roman" w:hAnsi="Palatino Linotype" w:cs="Tahoma"/>
          <w:bCs/>
          <w:iCs/>
          <w:sz w:val="22"/>
          <w:szCs w:val="22"/>
          <w:lang w:eastAsia="es-ES"/>
        </w:rPr>
      </w:pPr>
    </w:p>
    <w:p w14:paraId="01B57FF4" w14:textId="77777777" w:rsidR="00516E88" w:rsidRPr="00EF7988" w:rsidRDefault="00516E88" w:rsidP="000C0C40">
      <w:pPr>
        <w:spacing w:after="0" w:line="360" w:lineRule="auto"/>
        <w:contextualSpacing/>
        <w:jc w:val="both"/>
        <w:rPr>
          <w:rFonts w:ascii="Palatino Linotype" w:eastAsia="Calibri" w:hAnsi="Palatino Linotype" w:cs="Times New Roman"/>
          <w:sz w:val="22"/>
          <w:szCs w:val="22"/>
          <w:lang w:val="es-ES_tradnl"/>
        </w:rPr>
      </w:pPr>
      <w:r w:rsidRPr="00EF7988">
        <w:rPr>
          <w:rFonts w:ascii="Palatino Linotype" w:eastAsia="Calibri" w:hAnsi="Palatino Linotype" w:cs="Tahoma"/>
          <w:bCs/>
          <w:iCs/>
          <w:color w:val="000000"/>
          <w:sz w:val="22"/>
          <w:szCs w:val="22"/>
          <w:lang w:val="es-ES_tradnl"/>
        </w:rPr>
        <w:t>Por otra parte</w:t>
      </w:r>
      <w:r w:rsidRPr="00EF7988">
        <w:rPr>
          <w:rFonts w:ascii="Palatino Linotype" w:eastAsia="Calibri" w:hAnsi="Palatino Linotype" w:cs="Tahoma"/>
          <w:iCs/>
          <w:color w:val="000000"/>
          <w:sz w:val="22"/>
          <w:szCs w:val="22"/>
          <w:lang w:val="es-ES_tradnl" w:eastAsia="es-ES_tradnl"/>
        </w:rPr>
        <w:t>, el</w:t>
      </w:r>
      <w:r w:rsidRPr="00EF7988">
        <w:rPr>
          <w:rFonts w:ascii="Palatino Linotype" w:eastAsia="Calibri" w:hAnsi="Palatino Linotype" w:cs="Times New Roman"/>
          <w:color w:val="000000"/>
          <w:sz w:val="22"/>
          <w:szCs w:val="22"/>
          <w:lang w:val="es-ES_tradnl"/>
        </w:rPr>
        <w:t xml:space="preserve"> artículo 12.4 del Código Administrativo del Estado de México, establece que las obras públicas son aquellas cuyo objeto principal es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hidroagrícola, entre otros. </w:t>
      </w:r>
    </w:p>
    <w:p w14:paraId="2AFA68B1" w14:textId="77777777" w:rsidR="00516E88" w:rsidRPr="00EF7988" w:rsidRDefault="00516E88" w:rsidP="000C0C40">
      <w:pPr>
        <w:spacing w:after="0" w:line="360" w:lineRule="auto"/>
        <w:contextualSpacing/>
        <w:jc w:val="both"/>
        <w:rPr>
          <w:rFonts w:ascii="Palatino Linotype" w:eastAsia="Calibri" w:hAnsi="Palatino Linotype" w:cs="Times New Roman"/>
          <w:color w:val="000000"/>
          <w:sz w:val="22"/>
          <w:szCs w:val="22"/>
          <w:lang w:val="es-ES_tradnl"/>
        </w:rPr>
      </w:pPr>
    </w:p>
    <w:p w14:paraId="638F18DB" w14:textId="77777777" w:rsidR="00516E88" w:rsidRPr="00EF7988" w:rsidRDefault="00516E88" w:rsidP="000C0C40">
      <w:pPr>
        <w:spacing w:after="0" w:line="360" w:lineRule="auto"/>
        <w:contextualSpacing/>
        <w:jc w:val="both"/>
        <w:rPr>
          <w:rFonts w:ascii="Palatino Linotype" w:eastAsia="Calibri" w:hAnsi="Palatino Linotype" w:cs="Times New Roman"/>
          <w:color w:val="000000"/>
          <w:sz w:val="22"/>
          <w:szCs w:val="22"/>
          <w:lang w:val="es-ES_tradnl"/>
        </w:rPr>
      </w:pPr>
      <w:r w:rsidRPr="00EF7988">
        <w:rPr>
          <w:rFonts w:ascii="Palatino Linotype" w:eastAsia="Calibri" w:hAnsi="Palatino Linotype" w:cs="Times New Roman"/>
          <w:color w:val="000000"/>
          <w:sz w:val="22"/>
          <w:szCs w:val="22"/>
          <w:lang w:val="es-ES_tradnl"/>
        </w:rPr>
        <w:t>Además, conforme al artículo 12.6 de dicho ordenamiento jurídico, uno de los entes que pueden llevar a cabo contratos de obra pública o servicios relacionados con la misma, son los Municipios, a través de los Ayuntamientos.</w:t>
      </w:r>
    </w:p>
    <w:p w14:paraId="03B97024" w14:textId="77777777" w:rsidR="00516E88" w:rsidRPr="00EF7988" w:rsidRDefault="00516E88" w:rsidP="000C0C40">
      <w:pPr>
        <w:spacing w:after="0" w:line="360" w:lineRule="auto"/>
        <w:contextualSpacing/>
        <w:jc w:val="both"/>
        <w:rPr>
          <w:rFonts w:ascii="Palatino Linotype" w:eastAsia="Times New Roman" w:hAnsi="Palatino Linotype" w:cs="Tahoma"/>
          <w:bCs/>
          <w:iCs/>
          <w:color w:val="000000"/>
          <w:sz w:val="22"/>
          <w:szCs w:val="22"/>
          <w:lang w:val="es-ES_tradnl"/>
        </w:rPr>
      </w:pPr>
    </w:p>
    <w:p w14:paraId="7C0FBBBD" w14:textId="77777777" w:rsidR="00516E88" w:rsidRPr="00EF7988" w:rsidRDefault="00516E88" w:rsidP="000C0C40">
      <w:pPr>
        <w:spacing w:after="0" w:line="360" w:lineRule="auto"/>
        <w:contextualSpacing/>
        <w:jc w:val="both"/>
        <w:rPr>
          <w:rFonts w:ascii="Palatino Linotype" w:eastAsia="Calibri" w:hAnsi="Palatino Linotype" w:cs="Times New Roman"/>
          <w:color w:val="000000"/>
          <w:sz w:val="22"/>
          <w:szCs w:val="22"/>
          <w:lang w:val="es-ES_tradnl"/>
        </w:rPr>
      </w:pPr>
      <w:r w:rsidRPr="00EF7988">
        <w:rPr>
          <w:rFonts w:ascii="Palatino Linotype" w:eastAsia="Calibri" w:hAnsi="Palatino Linotype" w:cs="Times New Roman"/>
          <w:color w:val="000000"/>
          <w:sz w:val="22"/>
          <w:szCs w:val="22"/>
          <w:lang w:val="es-ES_tradnl"/>
        </w:rPr>
        <w:t>En ese orden de ideas, es responsabilidad de los Ayuntamientos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14:paraId="02A23760" w14:textId="77777777" w:rsidR="00516E88" w:rsidRPr="00EF7988" w:rsidRDefault="00516E88" w:rsidP="000C0C40">
      <w:pPr>
        <w:spacing w:after="0" w:line="360" w:lineRule="auto"/>
        <w:contextualSpacing/>
        <w:jc w:val="both"/>
        <w:rPr>
          <w:rFonts w:ascii="Palatino Linotype" w:eastAsia="Calibri" w:hAnsi="Palatino Linotype" w:cs="Times New Roman"/>
          <w:color w:val="000000"/>
          <w:sz w:val="22"/>
          <w:szCs w:val="22"/>
          <w:lang w:val="es-ES_tradnl"/>
        </w:rPr>
      </w:pPr>
    </w:p>
    <w:p w14:paraId="24331F24" w14:textId="77777777" w:rsidR="00516E88" w:rsidRPr="00EF7988" w:rsidRDefault="00516E88" w:rsidP="000C0C40">
      <w:pPr>
        <w:spacing w:after="0" w:line="360" w:lineRule="auto"/>
        <w:contextualSpacing/>
        <w:jc w:val="both"/>
        <w:rPr>
          <w:rFonts w:ascii="Palatino Linotype" w:eastAsia="Times New Roman" w:hAnsi="Palatino Linotype" w:cs="Tahoma"/>
          <w:color w:val="000000"/>
          <w:sz w:val="22"/>
          <w:szCs w:val="22"/>
          <w:lang w:val="es-ES"/>
        </w:rPr>
      </w:pPr>
      <w:r w:rsidRPr="00EF7988">
        <w:rPr>
          <w:rFonts w:ascii="Palatino Linotype" w:eastAsia="Calibri" w:hAnsi="Palatino Linotype" w:cs="Times New Roman"/>
          <w:color w:val="000000"/>
          <w:sz w:val="22"/>
          <w:szCs w:val="22"/>
          <w:lang w:val="es-ES_tradnl"/>
        </w:rPr>
        <w:t>Asimismo,</w:t>
      </w:r>
      <w:r w:rsidRPr="00EF7988">
        <w:rPr>
          <w:rFonts w:ascii="Palatino Linotype" w:eastAsia="Calibri" w:hAnsi="Palatino Linotype" w:cs="Tahoma"/>
          <w:color w:val="000000"/>
          <w:sz w:val="22"/>
          <w:szCs w:val="22"/>
          <w:lang w:val="es-ES"/>
        </w:rPr>
        <w:t xml:space="preserve"> el artículo 12.38 del Código Administrativo del Estado de México, establece que la adjudicación de un procedimiento de </w:t>
      </w:r>
      <w:r w:rsidRPr="00EF7988">
        <w:rPr>
          <w:rFonts w:ascii="Palatino Linotype" w:eastAsia="Calibri" w:hAnsi="Palatino Linotype" w:cs="Tahoma"/>
          <w:b/>
          <w:bCs/>
          <w:color w:val="000000"/>
          <w:sz w:val="22"/>
          <w:szCs w:val="22"/>
          <w:lang w:val="es-ES"/>
        </w:rPr>
        <w:t>ejecución de obra,</w:t>
      </w:r>
      <w:r w:rsidRPr="00EF7988">
        <w:rPr>
          <w:rFonts w:ascii="Palatino Linotype" w:eastAsia="Calibri" w:hAnsi="Palatino Linotype" w:cs="Tahoma"/>
          <w:color w:val="000000"/>
          <w:sz w:val="22"/>
          <w:szCs w:val="22"/>
          <w:lang w:val="es-ES"/>
        </w:rPr>
        <w:t xml:space="preserve"> se realizará mediante la suscripción de un contrato, entre el Ayuntamiento y la persona a la cual haya ganado el procedimiento respectivo, dentro de los diez días hábiles siguientes a la notificación del fallo.</w:t>
      </w:r>
    </w:p>
    <w:p w14:paraId="583E6393" w14:textId="77777777" w:rsidR="00516E88" w:rsidRPr="00EF7988" w:rsidRDefault="00516E88" w:rsidP="000C0C40">
      <w:pPr>
        <w:spacing w:after="0" w:line="360" w:lineRule="auto"/>
        <w:contextualSpacing/>
        <w:jc w:val="both"/>
        <w:rPr>
          <w:rFonts w:ascii="Palatino Linotype" w:eastAsia="Times New Roman" w:hAnsi="Palatino Linotype" w:cs="Tahoma"/>
          <w:bCs/>
          <w:iCs/>
          <w:sz w:val="22"/>
          <w:szCs w:val="22"/>
          <w:lang w:val="es-ES" w:eastAsia="es-ES"/>
        </w:rPr>
      </w:pPr>
    </w:p>
    <w:p w14:paraId="6C7ED16C" w14:textId="77777777" w:rsidR="00516E88" w:rsidRPr="00EF7988" w:rsidRDefault="00516E88" w:rsidP="000C0C40">
      <w:pPr>
        <w:spacing w:after="0" w:line="360" w:lineRule="auto"/>
        <w:contextualSpacing/>
        <w:jc w:val="both"/>
        <w:rPr>
          <w:rFonts w:ascii="Palatino Linotype" w:eastAsia="Times New Roman" w:hAnsi="Palatino Linotype" w:cs="Times New Roman"/>
          <w:color w:val="000000"/>
          <w:sz w:val="22"/>
          <w:szCs w:val="22"/>
          <w:shd w:val="clear" w:color="auto" w:fill="FFFFFF"/>
          <w:lang w:eastAsia="es-ES"/>
        </w:rPr>
      </w:pPr>
      <w:r w:rsidRPr="00EF7988">
        <w:rPr>
          <w:rFonts w:ascii="Palatino Linotype" w:eastAsia="Times New Roman" w:hAnsi="Palatino Linotype" w:cs="Tahoma"/>
          <w:bCs/>
          <w:iCs/>
          <w:sz w:val="22"/>
          <w:szCs w:val="22"/>
          <w:lang w:eastAsia="es-ES"/>
        </w:rPr>
        <w:t xml:space="preserve">En ese orden de ideas, respecto a los procedimientos de adquisición, arrendamiento, prestación de servicios y obra pública, el artículo 70, fracciones XXVII y XXVII, de la Ley General de Transparencia y Acceso a la Información Pública 92, fracciones, XXIX y XXXII, de la Ley de Transparencia y Acceso a la Información Pública del Estado de México y Municipios, precisan que los contratos de adquisiciones, corresponden a obligaciones de transparencia comunes, misma que los Sujetos Obligado deberán mantener actualizada, en sus portales de Internet, además de los procesos y resultados sobre procedimientos de adjudicación directa o invitación restringida y </w:t>
      </w:r>
      <w:r w:rsidRPr="00EF7988">
        <w:rPr>
          <w:rFonts w:ascii="Palatino Linotype" w:eastAsia="Times New Roman" w:hAnsi="Palatino Linotype" w:cs="Times New Roman"/>
          <w:color w:val="000000"/>
          <w:sz w:val="22"/>
          <w:szCs w:val="22"/>
          <w:shd w:val="clear" w:color="auto" w:fill="FFFFFF"/>
          <w:lang w:eastAsia="es-ES"/>
        </w:rPr>
        <w:t xml:space="preserve">licitación de cualquier naturaleza, </w:t>
      </w:r>
      <w:r w:rsidRPr="00EF7988">
        <w:rPr>
          <w:rFonts w:ascii="Palatino Linotype" w:eastAsia="Times New Roman" w:hAnsi="Palatino Linotype" w:cs="Times New Roman"/>
          <w:b/>
          <w:bCs/>
          <w:color w:val="000000"/>
          <w:sz w:val="22"/>
          <w:szCs w:val="22"/>
          <w:shd w:val="clear" w:color="auto" w:fill="FFFFFF"/>
          <w:lang w:eastAsia="es-ES"/>
        </w:rPr>
        <w:t xml:space="preserve">que incluye la versión pública del expediente respectivo, </w:t>
      </w:r>
      <w:r w:rsidRPr="00EF7988">
        <w:rPr>
          <w:rFonts w:ascii="Palatino Linotype" w:eastAsia="Times New Roman" w:hAnsi="Palatino Linotype" w:cs="Times New Roman"/>
          <w:color w:val="000000"/>
          <w:sz w:val="22"/>
          <w:szCs w:val="22"/>
          <w:shd w:val="clear" w:color="auto" w:fill="FFFFFF"/>
          <w:lang w:eastAsia="es-ES"/>
        </w:rPr>
        <w:t>y deberán contener por lo menos lo siguiente:</w:t>
      </w:r>
    </w:p>
    <w:p w14:paraId="5834FFF6" w14:textId="77777777" w:rsidR="00516E88" w:rsidRPr="00EF7988" w:rsidRDefault="00516E88" w:rsidP="000C0C40">
      <w:pPr>
        <w:spacing w:after="0" w:line="360" w:lineRule="auto"/>
        <w:contextualSpacing/>
        <w:jc w:val="both"/>
        <w:rPr>
          <w:rFonts w:ascii="Palatino Linotype" w:eastAsia="Times New Roman" w:hAnsi="Palatino Linotype" w:cs="Times New Roman"/>
          <w:color w:val="000000"/>
          <w:sz w:val="22"/>
          <w:szCs w:val="22"/>
          <w:shd w:val="clear" w:color="auto" w:fill="FFFFFF"/>
          <w:lang w:eastAsia="es-ES"/>
        </w:rPr>
      </w:pPr>
    </w:p>
    <w:tbl>
      <w:tblPr>
        <w:tblStyle w:val="Tablaconcuadrcula3"/>
        <w:tblW w:w="0" w:type="auto"/>
        <w:jc w:val="center"/>
        <w:tblLook w:val="04A0" w:firstRow="1" w:lastRow="0" w:firstColumn="1" w:lastColumn="0" w:noHBand="0" w:noVBand="1"/>
      </w:tblPr>
      <w:tblGrid>
        <w:gridCol w:w="2899"/>
        <w:gridCol w:w="2898"/>
        <w:gridCol w:w="2899"/>
      </w:tblGrid>
      <w:tr w:rsidR="00516E88" w:rsidRPr="00EF7988" w14:paraId="74AE361E" w14:textId="77777777" w:rsidTr="00534DCF">
        <w:trPr>
          <w:trHeight w:val="424"/>
          <w:jc w:val="center"/>
        </w:trPr>
        <w:tc>
          <w:tcPr>
            <w:tcW w:w="2899" w:type="dxa"/>
            <w:tcBorders>
              <w:top w:val="single" w:sz="4" w:space="0" w:color="auto"/>
              <w:left w:val="single" w:sz="4" w:space="0" w:color="auto"/>
              <w:bottom w:val="single" w:sz="4" w:space="0" w:color="auto"/>
              <w:right w:val="single" w:sz="4" w:space="0" w:color="auto"/>
            </w:tcBorders>
            <w:hideMark/>
          </w:tcPr>
          <w:p w14:paraId="044C7795" w14:textId="77777777" w:rsidR="00516E88" w:rsidRPr="00EF7988" w:rsidRDefault="00516E88" w:rsidP="000C0C40">
            <w:pPr>
              <w:spacing w:line="360" w:lineRule="auto"/>
              <w:contextualSpacing/>
              <w:jc w:val="both"/>
              <w:rPr>
                <w:rFonts w:ascii="Palatino Linotype" w:eastAsia="Times New Roman" w:hAnsi="Palatino Linotype" w:cs="Tahoma"/>
                <w:b/>
                <w:sz w:val="22"/>
                <w:szCs w:val="22"/>
                <w:lang w:eastAsia="es-ES"/>
              </w:rPr>
            </w:pPr>
            <w:r w:rsidRPr="00EF7988">
              <w:rPr>
                <w:rFonts w:ascii="Palatino Linotype" w:eastAsia="Times New Roman" w:hAnsi="Palatino Linotype" w:cs="Tahoma"/>
                <w:b/>
                <w:color w:val="000000"/>
                <w:sz w:val="22"/>
                <w:szCs w:val="22"/>
                <w:lang w:eastAsia="es-ES"/>
              </w:rPr>
              <w:t>Licitación Pública</w:t>
            </w:r>
          </w:p>
        </w:tc>
        <w:tc>
          <w:tcPr>
            <w:tcW w:w="2898" w:type="dxa"/>
            <w:tcBorders>
              <w:top w:val="single" w:sz="4" w:space="0" w:color="auto"/>
              <w:left w:val="single" w:sz="4" w:space="0" w:color="auto"/>
              <w:bottom w:val="single" w:sz="4" w:space="0" w:color="auto"/>
              <w:right w:val="single" w:sz="4" w:space="0" w:color="auto"/>
            </w:tcBorders>
            <w:hideMark/>
          </w:tcPr>
          <w:p w14:paraId="0494423C" w14:textId="77777777" w:rsidR="00516E88" w:rsidRPr="00EF7988" w:rsidRDefault="00516E88" w:rsidP="000C0C40">
            <w:pPr>
              <w:spacing w:line="360" w:lineRule="auto"/>
              <w:contextualSpacing/>
              <w:jc w:val="both"/>
              <w:rPr>
                <w:rFonts w:ascii="Palatino Linotype" w:eastAsia="Times New Roman" w:hAnsi="Palatino Linotype" w:cs="Tahoma"/>
                <w:b/>
                <w:color w:val="000000"/>
                <w:sz w:val="22"/>
                <w:szCs w:val="22"/>
                <w:lang w:eastAsia="es-ES"/>
              </w:rPr>
            </w:pPr>
            <w:r w:rsidRPr="00EF7988">
              <w:rPr>
                <w:rFonts w:ascii="Palatino Linotype" w:eastAsia="Times New Roman" w:hAnsi="Palatino Linotype" w:cs="Tahoma"/>
                <w:b/>
                <w:color w:val="000000"/>
                <w:sz w:val="22"/>
                <w:szCs w:val="22"/>
                <w:lang w:eastAsia="es-ES"/>
              </w:rPr>
              <w:t>Invitación Restringida</w:t>
            </w:r>
          </w:p>
        </w:tc>
        <w:tc>
          <w:tcPr>
            <w:tcW w:w="2899" w:type="dxa"/>
            <w:tcBorders>
              <w:top w:val="single" w:sz="4" w:space="0" w:color="auto"/>
              <w:left w:val="single" w:sz="4" w:space="0" w:color="auto"/>
              <w:bottom w:val="single" w:sz="4" w:space="0" w:color="auto"/>
              <w:right w:val="single" w:sz="4" w:space="0" w:color="auto"/>
            </w:tcBorders>
            <w:hideMark/>
          </w:tcPr>
          <w:p w14:paraId="46BDA6A1" w14:textId="77777777" w:rsidR="00516E88" w:rsidRPr="00EF7988" w:rsidRDefault="00516E88" w:rsidP="000C0C40">
            <w:pPr>
              <w:spacing w:line="360" w:lineRule="auto"/>
              <w:contextualSpacing/>
              <w:jc w:val="both"/>
              <w:rPr>
                <w:rFonts w:ascii="Palatino Linotype" w:eastAsia="Times New Roman" w:hAnsi="Palatino Linotype" w:cs="Tahoma"/>
                <w:b/>
                <w:color w:val="000000"/>
                <w:sz w:val="22"/>
                <w:szCs w:val="22"/>
                <w:lang w:eastAsia="es-ES"/>
              </w:rPr>
            </w:pPr>
            <w:r w:rsidRPr="00EF7988">
              <w:rPr>
                <w:rFonts w:ascii="Palatino Linotype" w:eastAsia="Times New Roman" w:hAnsi="Palatino Linotype" w:cs="Tahoma"/>
                <w:b/>
                <w:color w:val="000000"/>
                <w:sz w:val="22"/>
                <w:szCs w:val="22"/>
                <w:lang w:eastAsia="es-ES"/>
              </w:rPr>
              <w:t>Adjudicación Directa</w:t>
            </w:r>
          </w:p>
        </w:tc>
      </w:tr>
      <w:tr w:rsidR="00516E88" w:rsidRPr="00EF7988" w14:paraId="39D12280" w14:textId="77777777" w:rsidTr="00534DCF">
        <w:trPr>
          <w:trHeight w:val="863"/>
          <w:jc w:val="center"/>
        </w:trPr>
        <w:tc>
          <w:tcPr>
            <w:tcW w:w="2899" w:type="dxa"/>
            <w:tcBorders>
              <w:top w:val="single" w:sz="4" w:space="0" w:color="auto"/>
              <w:left w:val="single" w:sz="4" w:space="0" w:color="auto"/>
              <w:bottom w:val="single" w:sz="4" w:space="0" w:color="auto"/>
              <w:right w:val="single" w:sz="4" w:space="0" w:color="auto"/>
            </w:tcBorders>
            <w:hideMark/>
          </w:tcPr>
          <w:p w14:paraId="5A5F0F9D"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Convocatoria y fundamentos legales</w:t>
            </w:r>
          </w:p>
        </w:tc>
        <w:tc>
          <w:tcPr>
            <w:tcW w:w="2898" w:type="dxa"/>
            <w:tcBorders>
              <w:top w:val="single" w:sz="4" w:space="0" w:color="auto"/>
              <w:left w:val="single" w:sz="4" w:space="0" w:color="auto"/>
              <w:bottom w:val="single" w:sz="4" w:space="0" w:color="auto"/>
              <w:right w:val="single" w:sz="4" w:space="0" w:color="auto"/>
            </w:tcBorders>
            <w:hideMark/>
          </w:tcPr>
          <w:p w14:paraId="0BE6D779"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Invitación y fundamentos legales</w:t>
            </w:r>
          </w:p>
        </w:tc>
        <w:tc>
          <w:tcPr>
            <w:tcW w:w="2899" w:type="dxa"/>
            <w:tcBorders>
              <w:top w:val="single" w:sz="4" w:space="0" w:color="auto"/>
              <w:left w:val="single" w:sz="4" w:space="0" w:color="auto"/>
              <w:bottom w:val="single" w:sz="4" w:space="0" w:color="auto"/>
              <w:right w:val="single" w:sz="4" w:space="0" w:color="auto"/>
            </w:tcBorders>
            <w:hideMark/>
          </w:tcPr>
          <w:p w14:paraId="31E503D7"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Propuesta enviada por el participante</w:t>
            </w:r>
          </w:p>
        </w:tc>
      </w:tr>
      <w:tr w:rsidR="00516E88" w:rsidRPr="00EF7988" w14:paraId="08C7C08A" w14:textId="77777777" w:rsidTr="00534DCF">
        <w:trPr>
          <w:trHeight w:val="1302"/>
          <w:jc w:val="center"/>
        </w:trPr>
        <w:tc>
          <w:tcPr>
            <w:tcW w:w="2899" w:type="dxa"/>
            <w:tcBorders>
              <w:top w:val="single" w:sz="4" w:space="0" w:color="auto"/>
              <w:left w:val="single" w:sz="4" w:space="0" w:color="auto"/>
              <w:bottom w:val="single" w:sz="4" w:space="0" w:color="auto"/>
              <w:right w:val="single" w:sz="4" w:space="0" w:color="auto"/>
            </w:tcBorders>
            <w:hideMark/>
          </w:tcPr>
          <w:p w14:paraId="272568B6"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Nombre de los participantes</w:t>
            </w:r>
          </w:p>
        </w:tc>
        <w:tc>
          <w:tcPr>
            <w:tcW w:w="2898" w:type="dxa"/>
            <w:tcBorders>
              <w:top w:val="single" w:sz="4" w:space="0" w:color="auto"/>
              <w:left w:val="single" w:sz="4" w:space="0" w:color="auto"/>
              <w:bottom w:val="single" w:sz="4" w:space="0" w:color="auto"/>
              <w:right w:val="single" w:sz="4" w:space="0" w:color="auto"/>
            </w:tcBorders>
            <w:hideMark/>
          </w:tcPr>
          <w:p w14:paraId="612ECA48"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Nombre de los invitados</w:t>
            </w:r>
          </w:p>
        </w:tc>
        <w:tc>
          <w:tcPr>
            <w:tcW w:w="2899" w:type="dxa"/>
            <w:tcBorders>
              <w:top w:val="single" w:sz="4" w:space="0" w:color="auto"/>
              <w:left w:val="single" w:sz="4" w:space="0" w:color="auto"/>
              <w:bottom w:val="single" w:sz="4" w:space="0" w:color="auto"/>
              <w:right w:val="single" w:sz="4" w:space="0" w:color="auto"/>
            </w:tcBorders>
            <w:hideMark/>
          </w:tcPr>
          <w:p w14:paraId="5B1326E3"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Motivos y fundamentos legales aplicados para llevar a cabo la adjudicación</w:t>
            </w:r>
          </w:p>
        </w:tc>
      </w:tr>
      <w:tr w:rsidR="00516E88" w:rsidRPr="00EF7988" w14:paraId="201161E1" w14:textId="77777777" w:rsidTr="00534DCF">
        <w:trPr>
          <w:trHeight w:val="863"/>
          <w:jc w:val="center"/>
        </w:trPr>
        <w:tc>
          <w:tcPr>
            <w:tcW w:w="2899" w:type="dxa"/>
            <w:tcBorders>
              <w:top w:val="single" w:sz="4" w:space="0" w:color="auto"/>
              <w:left w:val="single" w:sz="4" w:space="0" w:color="auto"/>
              <w:bottom w:val="single" w:sz="4" w:space="0" w:color="auto"/>
              <w:right w:val="single" w:sz="4" w:space="0" w:color="auto"/>
            </w:tcBorders>
            <w:hideMark/>
          </w:tcPr>
          <w:p w14:paraId="72321B16"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Nombre del ganador y razones que lo justifican</w:t>
            </w:r>
          </w:p>
        </w:tc>
        <w:tc>
          <w:tcPr>
            <w:tcW w:w="2898" w:type="dxa"/>
            <w:tcBorders>
              <w:top w:val="single" w:sz="4" w:space="0" w:color="auto"/>
              <w:left w:val="single" w:sz="4" w:space="0" w:color="auto"/>
              <w:bottom w:val="single" w:sz="4" w:space="0" w:color="auto"/>
              <w:right w:val="single" w:sz="4" w:space="0" w:color="auto"/>
            </w:tcBorders>
            <w:hideMark/>
          </w:tcPr>
          <w:p w14:paraId="07461A99"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Nombre del ganador y razones que lo justifican</w:t>
            </w:r>
          </w:p>
        </w:tc>
        <w:tc>
          <w:tcPr>
            <w:tcW w:w="2899" w:type="dxa"/>
            <w:tcBorders>
              <w:top w:val="single" w:sz="4" w:space="0" w:color="auto"/>
              <w:left w:val="single" w:sz="4" w:space="0" w:color="auto"/>
              <w:bottom w:val="single" w:sz="4" w:space="0" w:color="auto"/>
              <w:right w:val="single" w:sz="4" w:space="0" w:color="auto"/>
            </w:tcBorders>
            <w:hideMark/>
          </w:tcPr>
          <w:p w14:paraId="27771FF2"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Autorización del ejercicio de la opción</w:t>
            </w:r>
          </w:p>
        </w:tc>
      </w:tr>
      <w:tr w:rsidR="00516E88" w:rsidRPr="00EF7988" w14:paraId="407E91CD" w14:textId="77777777" w:rsidTr="00534DCF">
        <w:trPr>
          <w:trHeight w:val="1726"/>
          <w:jc w:val="center"/>
        </w:trPr>
        <w:tc>
          <w:tcPr>
            <w:tcW w:w="2899" w:type="dxa"/>
            <w:tcBorders>
              <w:top w:val="single" w:sz="4" w:space="0" w:color="auto"/>
              <w:left w:val="single" w:sz="4" w:space="0" w:color="auto"/>
              <w:bottom w:val="single" w:sz="4" w:space="0" w:color="auto"/>
              <w:right w:val="single" w:sz="4" w:space="0" w:color="auto"/>
            </w:tcBorders>
            <w:hideMark/>
          </w:tcPr>
          <w:p w14:paraId="55E4BBD8"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La unidad administrativa solicitante y responsable de la ejecución</w:t>
            </w:r>
          </w:p>
        </w:tc>
        <w:tc>
          <w:tcPr>
            <w:tcW w:w="2898" w:type="dxa"/>
            <w:tcBorders>
              <w:top w:val="single" w:sz="4" w:space="0" w:color="auto"/>
              <w:left w:val="single" w:sz="4" w:space="0" w:color="auto"/>
              <w:bottom w:val="single" w:sz="4" w:space="0" w:color="auto"/>
              <w:right w:val="single" w:sz="4" w:space="0" w:color="auto"/>
            </w:tcBorders>
            <w:hideMark/>
          </w:tcPr>
          <w:p w14:paraId="430735C5"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La unidad administrativa solicitante y responsable de la ejecución</w:t>
            </w:r>
          </w:p>
        </w:tc>
        <w:tc>
          <w:tcPr>
            <w:tcW w:w="2899" w:type="dxa"/>
            <w:tcBorders>
              <w:top w:val="single" w:sz="4" w:space="0" w:color="auto"/>
              <w:left w:val="single" w:sz="4" w:space="0" w:color="auto"/>
              <w:bottom w:val="single" w:sz="4" w:space="0" w:color="auto"/>
              <w:right w:val="single" w:sz="4" w:space="0" w:color="auto"/>
            </w:tcBorders>
            <w:hideMark/>
          </w:tcPr>
          <w:p w14:paraId="06A69A6A"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Cotizaciones consideradas, especificando el nombre de los proveedores y sus montos</w:t>
            </w:r>
          </w:p>
        </w:tc>
      </w:tr>
      <w:tr w:rsidR="00516E88" w:rsidRPr="00EF7988" w14:paraId="3225ECC6" w14:textId="77777777" w:rsidTr="00534DCF">
        <w:trPr>
          <w:trHeight w:val="1302"/>
          <w:jc w:val="center"/>
        </w:trPr>
        <w:tc>
          <w:tcPr>
            <w:tcW w:w="2899" w:type="dxa"/>
            <w:tcBorders>
              <w:top w:val="single" w:sz="4" w:space="0" w:color="auto"/>
              <w:left w:val="single" w:sz="4" w:space="0" w:color="auto"/>
              <w:bottom w:val="single" w:sz="4" w:space="0" w:color="auto"/>
              <w:right w:val="single" w:sz="4" w:space="0" w:color="auto"/>
            </w:tcBorders>
            <w:hideMark/>
          </w:tcPr>
          <w:p w14:paraId="52AC2F47"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Convocatorias emitidas</w:t>
            </w:r>
          </w:p>
        </w:tc>
        <w:tc>
          <w:tcPr>
            <w:tcW w:w="2898" w:type="dxa"/>
            <w:tcBorders>
              <w:top w:val="single" w:sz="4" w:space="0" w:color="auto"/>
              <w:left w:val="single" w:sz="4" w:space="0" w:color="auto"/>
              <w:bottom w:val="single" w:sz="4" w:space="0" w:color="auto"/>
              <w:right w:val="single" w:sz="4" w:space="0" w:color="auto"/>
            </w:tcBorders>
            <w:hideMark/>
          </w:tcPr>
          <w:p w14:paraId="329E8D69"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Invitaciones emitidas</w:t>
            </w:r>
          </w:p>
        </w:tc>
        <w:tc>
          <w:tcPr>
            <w:tcW w:w="2899" w:type="dxa"/>
            <w:tcBorders>
              <w:top w:val="single" w:sz="4" w:space="0" w:color="auto"/>
              <w:left w:val="single" w:sz="4" w:space="0" w:color="auto"/>
              <w:bottom w:val="single" w:sz="4" w:space="0" w:color="auto"/>
              <w:right w:val="single" w:sz="4" w:space="0" w:color="auto"/>
            </w:tcBorders>
            <w:hideMark/>
          </w:tcPr>
          <w:p w14:paraId="07A3CE17"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Nombre de la persona física o jurídica colectiva adjudicada</w:t>
            </w:r>
          </w:p>
        </w:tc>
      </w:tr>
      <w:tr w:rsidR="00516E88" w:rsidRPr="00EF7988" w14:paraId="0280816E" w14:textId="77777777" w:rsidTr="00534DCF">
        <w:trPr>
          <w:trHeight w:val="1302"/>
          <w:jc w:val="center"/>
        </w:trPr>
        <w:tc>
          <w:tcPr>
            <w:tcW w:w="2899" w:type="dxa"/>
            <w:tcBorders>
              <w:top w:val="single" w:sz="4" w:space="0" w:color="auto"/>
              <w:left w:val="single" w:sz="4" w:space="0" w:color="auto"/>
              <w:bottom w:val="single" w:sz="4" w:space="0" w:color="auto"/>
              <w:right w:val="single" w:sz="4" w:space="0" w:color="auto"/>
            </w:tcBorders>
            <w:hideMark/>
          </w:tcPr>
          <w:p w14:paraId="73F9260B"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Dictámenes y fallos</w:t>
            </w:r>
          </w:p>
        </w:tc>
        <w:tc>
          <w:tcPr>
            <w:tcW w:w="2898" w:type="dxa"/>
            <w:tcBorders>
              <w:top w:val="single" w:sz="4" w:space="0" w:color="auto"/>
              <w:left w:val="single" w:sz="4" w:space="0" w:color="auto"/>
              <w:bottom w:val="single" w:sz="4" w:space="0" w:color="auto"/>
              <w:right w:val="single" w:sz="4" w:space="0" w:color="auto"/>
            </w:tcBorders>
            <w:hideMark/>
          </w:tcPr>
          <w:p w14:paraId="38356417"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Dictámenes y fallos</w:t>
            </w:r>
          </w:p>
        </w:tc>
        <w:tc>
          <w:tcPr>
            <w:tcW w:w="2899" w:type="dxa"/>
            <w:tcBorders>
              <w:top w:val="single" w:sz="4" w:space="0" w:color="auto"/>
              <w:left w:val="single" w:sz="4" w:space="0" w:color="auto"/>
              <w:bottom w:val="single" w:sz="4" w:space="0" w:color="auto"/>
              <w:right w:val="single" w:sz="4" w:space="0" w:color="auto"/>
            </w:tcBorders>
            <w:hideMark/>
          </w:tcPr>
          <w:p w14:paraId="734D9600"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La unidad administrativa solicitante y responsable de la ejecución</w:t>
            </w:r>
          </w:p>
        </w:tc>
      </w:tr>
      <w:tr w:rsidR="00516E88" w:rsidRPr="00EF7988" w14:paraId="459188B8" w14:textId="77777777" w:rsidTr="00534DCF">
        <w:trPr>
          <w:trHeight w:val="1726"/>
          <w:jc w:val="center"/>
        </w:trPr>
        <w:tc>
          <w:tcPr>
            <w:tcW w:w="2899" w:type="dxa"/>
            <w:tcBorders>
              <w:top w:val="single" w:sz="4" w:space="0" w:color="auto"/>
              <w:left w:val="single" w:sz="4" w:space="0" w:color="auto"/>
              <w:bottom w:val="single" w:sz="4" w:space="0" w:color="auto"/>
              <w:right w:val="single" w:sz="4" w:space="0" w:color="auto"/>
            </w:tcBorders>
            <w:hideMark/>
          </w:tcPr>
          <w:p w14:paraId="16F1FD27"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Contrato y anexos</w:t>
            </w:r>
          </w:p>
        </w:tc>
        <w:tc>
          <w:tcPr>
            <w:tcW w:w="2898" w:type="dxa"/>
            <w:tcBorders>
              <w:top w:val="single" w:sz="4" w:space="0" w:color="auto"/>
              <w:left w:val="single" w:sz="4" w:space="0" w:color="auto"/>
              <w:bottom w:val="single" w:sz="4" w:space="0" w:color="auto"/>
              <w:right w:val="single" w:sz="4" w:space="0" w:color="auto"/>
            </w:tcBorders>
            <w:hideMark/>
          </w:tcPr>
          <w:p w14:paraId="5C8990BE"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Contrato y anexos</w:t>
            </w:r>
          </w:p>
        </w:tc>
        <w:tc>
          <w:tcPr>
            <w:tcW w:w="2899" w:type="dxa"/>
            <w:tcBorders>
              <w:top w:val="single" w:sz="4" w:space="0" w:color="auto"/>
              <w:left w:val="single" w:sz="4" w:space="0" w:color="auto"/>
              <w:bottom w:val="single" w:sz="4" w:space="0" w:color="auto"/>
              <w:right w:val="single" w:sz="4" w:space="0" w:color="auto"/>
            </w:tcBorders>
            <w:hideMark/>
          </w:tcPr>
          <w:p w14:paraId="2482B61F"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Número, fecha, monto del contrato, el plazo de entrega o de ejecución de los servicios de obra.</w:t>
            </w:r>
          </w:p>
        </w:tc>
      </w:tr>
      <w:tr w:rsidR="00516E88" w:rsidRPr="00EF7988" w14:paraId="17C9126E" w14:textId="77777777" w:rsidTr="00534DCF">
        <w:trPr>
          <w:trHeight w:val="863"/>
          <w:jc w:val="center"/>
        </w:trPr>
        <w:tc>
          <w:tcPr>
            <w:tcW w:w="2899" w:type="dxa"/>
            <w:tcBorders>
              <w:top w:val="single" w:sz="4" w:space="0" w:color="auto"/>
              <w:left w:val="single" w:sz="4" w:space="0" w:color="auto"/>
              <w:bottom w:val="single" w:sz="4" w:space="0" w:color="auto"/>
              <w:right w:val="single" w:sz="4" w:space="0" w:color="auto"/>
            </w:tcBorders>
            <w:hideMark/>
          </w:tcPr>
          <w:p w14:paraId="7B36E34A"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Los mecanismos de vigilancia y supervisión</w:t>
            </w:r>
          </w:p>
        </w:tc>
        <w:tc>
          <w:tcPr>
            <w:tcW w:w="2898" w:type="dxa"/>
            <w:tcBorders>
              <w:top w:val="single" w:sz="4" w:space="0" w:color="auto"/>
              <w:left w:val="single" w:sz="4" w:space="0" w:color="auto"/>
              <w:bottom w:val="single" w:sz="4" w:space="0" w:color="auto"/>
              <w:right w:val="single" w:sz="4" w:space="0" w:color="auto"/>
            </w:tcBorders>
            <w:hideMark/>
          </w:tcPr>
          <w:p w14:paraId="03BA9608"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Los mecanismos de vigilancia y supervisión</w:t>
            </w:r>
          </w:p>
        </w:tc>
        <w:tc>
          <w:tcPr>
            <w:tcW w:w="2899" w:type="dxa"/>
            <w:tcBorders>
              <w:top w:val="single" w:sz="4" w:space="0" w:color="auto"/>
              <w:left w:val="single" w:sz="4" w:space="0" w:color="auto"/>
              <w:bottom w:val="single" w:sz="4" w:space="0" w:color="auto"/>
              <w:right w:val="single" w:sz="4" w:space="0" w:color="auto"/>
            </w:tcBorders>
            <w:hideMark/>
          </w:tcPr>
          <w:p w14:paraId="281A6608"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Los mecanismos de vigilancia y supervisión</w:t>
            </w:r>
          </w:p>
        </w:tc>
      </w:tr>
      <w:tr w:rsidR="00516E88" w:rsidRPr="00EF7988" w14:paraId="34E89BAD" w14:textId="77777777" w:rsidTr="00534DCF">
        <w:trPr>
          <w:trHeight w:val="863"/>
          <w:jc w:val="center"/>
        </w:trPr>
        <w:tc>
          <w:tcPr>
            <w:tcW w:w="2899" w:type="dxa"/>
            <w:tcBorders>
              <w:top w:val="single" w:sz="4" w:space="0" w:color="auto"/>
              <w:left w:val="single" w:sz="4" w:space="0" w:color="auto"/>
              <w:bottom w:val="single" w:sz="4" w:space="0" w:color="auto"/>
              <w:right w:val="single" w:sz="4" w:space="0" w:color="auto"/>
            </w:tcBorders>
            <w:hideMark/>
          </w:tcPr>
          <w:p w14:paraId="17D4D16B"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La partida presupuestal</w:t>
            </w:r>
          </w:p>
        </w:tc>
        <w:tc>
          <w:tcPr>
            <w:tcW w:w="2898" w:type="dxa"/>
            <w:tcBorders>
              <w:top w:val="single" w:sz="4" w:space="0" w:color="auto"/>
              <w:left w:val="single" w:sz="4" w:space="0" w:color="auto"/>
              <w:bottom w:val="single" w:sz="4" w:space="0" w:color="auto"/>
              <w:right w:val="single" w:sz="4" w:space="0" w:color="auto"/>
            </w:tcBorders>
            <w:hideMark/>
          </w:tcPr>
          <w:p w14:paraId="5A72A5F9"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La partida presupuestal</w:t>
            </w:r>
          </w:p>
        </w:tc>
        <w:tc>
          <w:tcPr>
            <w:tcW w:w="2899" w:type="dxa"/>
            <w:tcBorders>
              <w:top w:val="single" w:sz="4" w:space="0" w:color="auto"/>
              <w:left w:val="single" w:sz="4" w:space="0" w:color="auto"/>
              <w:bottom w:val="single" w:sz="4" w:space="0" w:color="auto"/>
              <w:right w:val="single" w:sz="4" w:space="0" w:color="auto"/>
            </w:tcBorders>
            <w:hideMark/>
          </w:tcPr>
          <w:p w14:paraId="7B5632D2"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Informes de avances físicos y financieros</w:t>
            </w:r>
          </w:p>
        </w:tc>
      </w:tr>
      <w:tr w:rsidR="00516E88" w:rsidRPr="00EF7988" w14:paraId="6F351AFC" w14:textId="77777777" w:rsidTr="00534DCF">
        <w:trPr>
          <w:trHeight w:val="863"/>
          <w:jc w:val="center"/>
        </w:trPr>
        <w:tc>
          <w:tcPr>
            <w:tcW w:w="2899" w:type="dxa"/>
            <w:tcBorders>
              <w:top w:val="single" w:sz="4" w:space="0" w:color="auto"/>
              <w:left w:val="single" w:sz="4" w:space="0" w:color="auto"/>
              <w:bottom w:val="single" w:sz="4" w:space="0" w:color="auto"/>
              <w:right w:val="single" w:sz="4" w:space="0" w:color="auto"/>
            </w:tcBorders>
            <w:hideMark/>
          </w:tcPr>
          <w:p w14:paraId="5AA8F936"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Origen de los recursos, así como el tipo de fondo de participación o aportación respectiva</w:t>
            </w:r>
          </w:p>
        </w:tc>
        <w:tc>
          <w:tcPr>
            <w:tcW w:w="2898" w:type="dxa"/>
            <w:tcBorders>
              <w:top w:val="single" w:sz="4" w:space="0" w:color="auto"/>
              <w:left w:val="single" w:sz="4" w:space="0" w:color="auto"/>
              <w:bottom w:val="single" w:sz="4" w:space="0" w:color="auto"/>
              <w:right w:val="single" w:sz="4" w:space="0" w:color="auto"/>
            </w:tcBorders>
            <w:hideMark/>
          </w:tcPr>
          <w:p w14:paraId="1F6D83C1"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Origen de los recursos, así como el tipo de fondo de participación o aportación respectiva</w:t>
            </w:r>
          </w:p>
        </w:tc>
        <w:tc>
          <w:tcPr>
            <w:tcW w:w="2899" w:type="dxa"/>
            <w:tcBorders>
              <w:top w:val="single" w:sz="4" w:space="0" w:color="auto"/>
              <w:left w:val="single" w:sz="4" w:space="0" w:color="auto"/>
              <w:bottom w:val="single" w:sz="4" w:space="0" w:color="auto"/>
              <w:right w:val="single" w:sz="4" w:space="0" w:color="auto"/>
            </w:tcBorders>
            <w:hideMark/>
          </w:tcPr>
          <w:p w14:paraId="4764559C"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Convenio de terminación</w:t>
            </w:r>
          </w:p>
        </w:tc>
      </w:tr>
      <w:tr w:rsidR="00516E88" w:rsidRPr="00EF7988" w14:paraId="0282001C" w14:textId="77777777" w:rsidTr="00534DCF">
        <w:trPr>
          <w:trHeight w:val="140"/>
          <w:jc w:val="center"/>
        </w:trPr>
        <w:tc>
          <w:tcPr>
            <w:tcW w:w="2899" w:type="dxa"/>
            <w:tcBorders>
              <w:top w:val="single" w:sz="4" w:space="0" w:color="auto"/>
              <w:left w:val="single" w:sz="4" w:space="0" w:color="auto"/>
              <w:bottom w:val="single" w:sz="4" w:space="0" w:color="auto"/>
              <w:right w:val="single" w:sz="4" w:space="0" w:color="auto"/>
            </w:tcBorders>
            <w:hideMark/>
          </w:tcPr>
          <w:p w14:paraId="6359232A"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Convenios modificatorios</w:t>
            </w:r>
          </w:p>
        </w:tc>
        <w:tc>
          <w:tcPr>
            <w:tcW w:w="2898" w:type="dxa"/>
            <w:tcBorders>
              <w:top w:val="single" w:sz="4" w:space="0" w:color="auto"/>
              <w:left w:val="single" w:sz="4" w:space="0" w:color="auto"/>
              <w:bottom w:val="single" w:sz="4" w:space="0" w:color="auto"/>
              <w:right w:val="single" w:sz="4" w:space="0" w:color="auto"/>
            </w:tcBorders>
            <w:hideMark/>
          </w:tcPr>
          <w:p w14:paraId="6DA6F891"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Convenios modificatorios</w:t>
            </w:r>
          </w:p>
        </w:tc>
        <w:tc>
          <w:tcPr>
            <w:tcW w:w="2899" w:type="dxa"/>
            <w:tcBorders>
              <w:top w:val="single" w:sz="4" w:space="0" w:color="auto"/>
              <w:left w:val="single" w:sz="4" w:space="0" w:color="auto"/>
              <w:bottom w:val="single" w:sz="4" w:space="0" w:color="auto"/>
              <w:right w:val="single" w:sz="4" w:space="0" w:color="auto"/>
            </w:tcBorders>
            <w:hideMark/>
          </w:tcPr>
          <w:p w14:paraId="399ACB9C"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Finiquito</w:t>
            </w:r>
          </w:p>
        </w:tc>
      </w:tr>
      <w:tr w:rsidR="00516E88" w:rsidRPr="00EF7988" w14:paraId="7C71386A" w14:textId="77777777" w:rsidTr="00534DCF">
        <w:trPr>
          <w:trHeight w:val="140"/>
          <w:jc w:val="center"/>
        </w:trPr>
        <w:tc>
          <w:tcPr>
            <w:tcW w:w="2899" w:type="dxa"/>
            <w:tcBorders>
              <w:top w:val="single" w:sz="4" w:space="0" w:color="auto"/>
              <w:left w:val="single" w:sz="4" w:space="0" w:color="auto"/>
              <w:bottom w:val="single" w:sz="4" w:space="0" w:color="auto"/>
              <w:right w:val="single" w:sz="4" w:space="0" w:color="auto"/>
            </w:tcBorders>
            <w:hideMark/>
          </w:tcPr>
          <w:p w14:paraId="504ADCE1"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Informes de avances físicos y financieros</w:t>
            </w:r>
          </w:p>
        </w:tc>
        <w:tc>
          <w:tcPr>
            <w:tcW w:w="2898" w:type="dxa"/>
            <w:tcBorders>
              <w:top w:val="single" w:sz="4" w:space="0" w:color="auto"/>
              <w:left w:val="single" w:sz="4" w:space="0" w:color="auto"/>
              <w:bottom w:val="single" w:sz="4" w:space="0" w:color="auto"/>
              <w:right w:val="single" w:sz="4" w:space="0" w:color="auto"/>
            </w:tcBorders>
            <w:hideMark/>
          </w:tcPr>
          <w:p w14:paraId="6308921C"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r w:rsidRPr="00EF7988">
              <w:rPr>
                <w:rFonts w:ascii="Palatino Linotype" w:eastAsia="Times New Roman" w:hAnsi="Palatino Linotype" w:cs="Tahoma"/>
                <w:color w:val="000000"/>
                <w:sz w:val="22"/>
                <w:szCs w:val="22"/>
                <w:lang w:eastAsia="es-ES"/>
              </w:rPr>
              <w:t>Informes de avances físicos y financieros</w:t>
            </w:r>
          </w:p>
        </w:tc>
        <w:tc>
          <w:tcPr>
            <w:tcW w:w="2899" w:type="dxa"/>
            <w:tcBorders>
              <w:top w:val="single" w:sz="4" w:space="0" w:color="auto"/>
              <w:left w:val="single" w:sz="4" w:space="0" w:color="auto"/>
              <w:bottom w:val="single" w:sz="4" w:space="0" w:color="auto"/>
              <w:right w:val="single" w:sz="4" w:space="0" w:color="auto"/>
            </w:tcBorders>
          </w:tcPr>
          <w:p w14:paraId="5ADA1C01" w14:textId="77777777" w:rsidR="00516E88" w:rsidRPr="00EF7988" w:rsidRDefault="00516E88" w:rsidP="000C0C40">
            <w:pPr>
              <w:spacing w:line="360" w:lineRule="auto"/>
              <w:contextualSpacing/>
              <w:jc w:val="both"/>
              <w:rPr>
                <w:rFonts w:ascii="Palatino Linotype" w:eastAsia="Times New Roman" w:hAnsi="Palatino Linotype" w:cs="Tahoma"/>
                <w:color w:val="000000"/>
                <w:sz w:val="22"/>
                <w:szCs w:val="22"/>
                <w:lang w:eastAsia="es-ES"/>
              </w:rPr>
            </w:pPr>
          </w:p>
        </w:tc>
      </w:tr>
      <w:tr w:rsidR="00516E88" w:rsidRPr="00EF7988" w14:paraId="68B1DC30" w14:textId="77777777" w:rsidTr="00534DCF">
        <w:trPr>
          <w:trHeight w:val="140"/>
          <w:jc w:val="center"/>
        </w:trPr>
        <w:tc>
          <w:tcPr>
            <w:tcW w:w="2899" w:type="dxa"/>
            <w:tcBorders>
              <w:top w:val="single" w:sz="4" w:space="0" w:color="auto"/>
              <w:left w:val="single" w:sz="4" w:space="0" w:color="auto"/>
              <w:bottom w:val="single" w:sz="4" w:space="0" w:color="auto"/>
              <w:right w:val="single" w:sz="4" w:space="0" w:color="auto"/>
            </w:tcBorders>
            <w:hideMark/>
          </w:tcPr>
          <w:p w14:paraId="1E8E237C" w14:textId="77777777" w:rsidR="00516E88" w:rsidRPr="00EF7988" w:rsidRDefault="00516E88" w:rsidP="000C0C40">
            <w:pPr>
              <w:shd w:val="clear" w:color="auto" w:fill="FFFFFF"/>
              <w:spacing w:line="360" w:lineRule="auto"/>
              <w:contextualSpacing/>
              <w:jc w:val="both"/>
              <w:rPr>
                <w:rFonts w:ascii="Palatino Linotype" w:eastAsia="Times New Roman" w:hAnsi="Palatino Linotype" w:cs="Tahoma"/>
                <w:bCs/>
                <w:sz w:val="22"/>
                <w:szCs w:val="22"/>
                <w:lang w:eastAsia="es-ES"/>
              </w:rPr>
            </w:pPr>
            <w:r w:rsidRPr="00EF7988">
              <w:rPr>
                <w:rFonts w:ascii="Palatino Linotype" w:eastAsia="Times New Roman" w:hAnsi="Palatino Linotype" w:cs="Tahoma"/>
                <w:bCs/>
                <w:sz w:val="22"/>
                <w:szCs w:val="22"/>
                <w:lang w:eastAsia="es-ES"/>
              </w:rPr>
              <w:t>Convenio de terminación</w:t>
            </w:r>
          </w:p>
        </w:tc>
        <w:tc>
          <w:tcPr>
            <w:tcW w:w="2898" w:type="dxa"/>
            <w:tcBorders>
              <w:top w:val="single" w:sz="4" w:space="0" w:color="auto"/>
              <w:left w:val="single" w:sz="4" w:space="0" w:color="auto"/>
              <w:bottom w:val="single" w:sz="4" w:space="0" w:color="auto"/>
              <w:right w:val="single" w:sz="4" w:space="0" w:color="auto"/>
            </w:tcBorders>
            <w:hideMark/>
          </w:tcPr>
          <w:p w14:paraId="4DF411F4" w14:textId="77777777" w:rsidR="00516E88" w:rsidRPr="00EF7988" w:rsidRDefault="00516E88" w:rsidP="000C0C40">
            <w:pPr>
              <w:shd w:val="clear" w:color="auto" w:fill="FFFFFF"/>
              <w:spacing w:line="360" w:lineRule="auto"/>
              <w:contextualSpacing/>
              <w:jc w:val="both"/>
              <w:rPr>
                <w:rFonts w:ascii="Palatino Linotype" w:eastAsia="Times New Roman" w:hAnsi="Palatino Linotype" w:cs="Tahoma"/>
                <w:bCs/>
                <w:sz w:val="22"/>
                <w:szCs w:val="22"/>
                <w:lang w:eastAsia="es-ES"/>
              </w:rPr>
            </w:pPr>
            <w:r w:rsidRPr="00EF7988">
              <w:rPr>
                <w:rFonts w:ascii="Palatino Linotype" w:eastAsia="Times New Roman" w:hAnsi="Palatino Linotype" w:cs="Tahoma"/>
                <w:bCs/>
                <w:sz w:val="22"/>
                <w:szCs w:val="22"/>
                <w:lang w:eastAsia="es-ES"/>
              </w:rPr>
              <w:t>Convenio de terminación</w:t>
            </w:r>
          </w:p>
        </w:tc>
        <w:tc>
          <w:tcPr>
            <w:tcW w:w="2899" w:type="dxa"/>
            <w:tcBorders>
              <w:top w:val="single" w:sz="4" w:space="0" w:color="auto"/>
              <w:left w:val="single" w:sz="4" w:space="0" w:color="auto"/>
              <w:bottom w:val="single" w:sz="4" w:space="0" w:color="auto"/>
              <w:right w:val="single" w:sz="4" w:space="0" w:color="auto"/>
            </w:tcBorders>
          </w:tcPr>
          <w:p w14:paraId="2761A98A" w14:textId="77777777" w:rsidR="00516E88" w:rsidRPr="00EF7988" w:rsidRDefault="00516E88" w:rsidP="000C0C40">
            <w:pPr>
              <w:shd w:val="clear" w:color="auto" w:fill="FFFFFF"/>
              <w:spacing w:line="360" w:lineRule="auto"/>
              <w:contextualSpacing/>
              <w:jc w:val="both"/>
              <w:rPr>
                <w:rFonts w:ascii="Palatino Linotype" w:eastAsia="Times New Roman" w:hAnsi="Palatino Linotype" w:cs="Tahoma"/>
                <w:bCs/>
                <w:sz w:val="22"/>
                <w:szCs w:val="22"/>
                <w:lang w:eastAsia="es-ES"/>
              </w:rPr>
            </w:pPr>
          </w:p>
        </w:tc>
      </w:tr>
      <w:tr w:rsidR="00516E88" w:rsidRPr="00EF7988" w14:paraId="56D28254" w14:textId="77777777" w:rsidTr="00534DCF">
        <w:trPr>
          <w:trHeight w:val="424"/>
          <w:jc w:val="center"/>
        </w:trPr>
        <w:tc>
          <w:tcPr>
            <w:tcW w:w="2899" w:type="dxa"/>
            <w:tcBorders>
              <w:top w:val="single" w:sz="4" w:space="0" w:color="auto"/>
              <w:left w:val="single" w:sz="4" w:space="0" w:color="auto"/>
              <w:bottom w:val="single" w:sz="4" w:space="0" w:color="auto"/>
              <w:right w:val="single" w:sz="4" w:space="0" w:color="auto"/>
            </w:tcBorders>
            <w:hideMark/>
          </w:tcPr>
          <w:p w14:paraId="0A58FB1A" w14:textId="77777777" w:rsidR="00516E88" w:rsidRPr="00EF7988" w:rsidRDefault="00516E88" w:rsidP="000C0C40">
            <w:pPr>
              <w:shd w:val="clear" w:color="auto" w:fill="FFFFFF"/>
              <w:spacing w:line="360" w:lineRule="auto"/>
              <w:contextualSpacing/>
              <w:jc w:val="both"/>
              <w:rPr>
                <w:rFonts w:ascii="Palatino Linotype" w:eastAsia="Times New Roman" w:hAnsi="Palatino Linotype" w:cs="Tahoma"/>
                <w:bCs/>
                <w:sz w:val="22"/>
                <w:szCs w:val="22"/>
                <w:lang w:eastAsia="es-ES"/>
              </w:rPr>
            </w:pPr>
            <w:r w:rsidRPr="00EF7988">
              <w:rPr>
                <w:rFonts w:ascii="Palatino Linotype" w:eastAsia="Times New Roman" w:hAnsi="Palatino Linotype" w:cs="Tahoma"/>
                <w:bCs/>
                <w:sz w:val="22"/>
                <w:szCs w:val="22"/>
                <w:lang w:eastAsia="es-ES"/>
              </w:rPr>
              <w:t>Finiquito</w:t>
            </w:r>
          </w:p>
        </w:tc>
        <w:tc>
          <w:tcPr>
            <w:tcW w:w="2898" w:type="dxa"/>
            <w:tcBorders>
              <w:top w:val="single" w:sz="4" w:space="0" w:color="auto"/>
              <w:left w:val="single" w:sz="4" w:space="0" w:color="auto"/>
              <w:bottom w:val="single" w:sz="4" w:space="0" w:color="auto"/>
              <w:right w:val="single" w:sz="4" w:space="0" w:color="auto"/>
            </w:tcBorders>
            <w:hideMark/>
          </w:tcPr>
          <w:p w14:paraId="12A5C9DF" w14:textId="77777777" w:rsidR="00516E88" w:rsidRPr="00EF7988" w:rsidRDefault="00516E88" w:rsidP="000C0C40">
            <w:pPr>
              <w:shd w:val="clear" w:color="auto" w:fill="FFFFFF"/>
              <w:spacing w:line="360" w:lineRule="auto"/>
              <w:contextualSpacing/>
              <w:jc w:val="both"/>
              <w:rPr>
                <w:rFonts w:ascii="Palatino Linotype" w:eastAsia="Times New Roman" w:hAnsi="Palatino Linotype" w:cs="Tahoma"/>
                <w:bCs/>
                <w:sz w:val="22"/>
                <w:szCs w:val="22"/>
                <w:lang w:eastAsia="es-ES"/>
              </w:rPr>
            </w:pPr>
            <w:r w:rsidRPr="00EF7988">
              <w:rPr>
                <w:rFonts w:ascii="Palatino Linotype" w:eastAsia="Times New Roman" w:hAnsi="Palatino Linotype" w:cs="Tahoma"/>
                <w:bCs/>
                <w:sz w:val="22"/>
                <w:szCs w:val="22"/>
                <w:lang w:eastAsia="es-ES"/>
              </w:rPr>
              <w:t>Finiquito</w:t>
            </w:r>
          </w:p>
        </w:tc>
        <w:tc>
          <w:tcPr>
            <w:tcW w:w="2899" w:type="dxa"/>
            <w:tcBorders>
              <w:top w:val="single" w:sz="4" w:space="0" w:color="auto"/>
              <w:left w:val="single" w:sz="4" w:space="0" w:color="auto"/>
              <w:bottom w:val="single" w:sz="4" w:space="0" w:color="auto"/>
              <w:right w:val="single" w:sz="4" w:space="0" w:color="auto"/>
            </w:tcBorders>
          </w:tcPr>
          <w:p w14:paraId="7D3E370A" w14:textId="77777777" w:rsidR="00516E88" w:rsidRPr="00EF7988" w:rsidRDefault="00516E88" w:rsidP="000C0C40">
            <w:pPr>
              <w:shd w:val="clear" w:color="auto" w:fill="FFFFFF"/>
              <w:spacing w:line="360" w:lineRule="auto"/>
              <w:contextualSpacing/>
              <w:jc w:val="both"/>
              <w:rPr>
                <w:rFonts w:ascii="Palatino Linotype" w:eastAsia="Times New Roman" w:hAnsi="Palatino Linotype" w:cs="Tahoma"/>
                <w:bCs/>
                <w:sz w:val="22"/>
                <w:szCs w:val="22"/>
                <w:lang w:eastAsia="es-ES"/>
              </w:rPr>
            </w:pPr>
          </w:p>
        </w:tc>
      </w:tr>
    </w:tbl>
    <w:p w14:paraId="64DEA88E"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p>
    <w:p w14:paraId="4CF539D5"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Por otro lado, la Guía Técnica 7 Elaboración y Ejercicio de Presupuesto de Egresos del Instituto Nacional para el Federalismo y el Desarrollo Municipal, establece que el Presupuesto de Egresos constituye el programa anual de gastos del municipio, que permite al Ayuntamiento:</w:t>
      </w:r>
    </w:p>
    <w:p w14:paraId="76B88FF2"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
          <w:bCs/>
          <w:iCs/>
          <w:sz w:val="22"/>
          <w:szCs w:val="22"/>
          <w:lang w:eastAsia="es-ES"/>
        </w:rPr>
      </w:pPr>
      <w:r w:rsidRPr="00EF7988">
        <w:rPr>
          <w:rFonts w:ascii="Palatino Linotype" w:eastAsia="Times New Roman" w:hAnsi="Palatino Linotype" w:cs="Tahoma"/>
          <w:b/>
          <w:bCs/>
          <w:iCs/>
          <w:sz w:val="22"/>
          <w:szCs w:val="22"/>
          <w:lang w:eastAsia="es-ES"/>
        </w:rPr>
        <w:t xml:space="preserve"> </w:t>
      </w:r>
    </w:p>
    <w:p w14:paraId="21772283" w14:textId="77777777" w:rsidR="00516E88" w:rsidRPr="00EF7988" w:rsidRDefault="00516E88" w:rsidP="000C0C40">
      <w:pPr>
        <w:widowControl w:val="0"/>
        <w:numPr>
          <w:ilvl w:val="0"/>
          <w:numId w:val="22"/>
        </w:numPr>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Prever los recursos financieros necesarios para la administración municipal;</w:t>
      </w:r>
    </w:p>
    <w:p w14:paraId="7273CF22" w14:textId="77777777" w:rsidR="00516E88" w:rsidRPr="00EF7988" w:rsidRDefault="00516E88" w:rsidP="000C0C40">
      <w:pPr>
        <w:widowControl w:val="0"/>
        <w:numPr>
          <w:ilvl w:val="0"/>
          <w:numId w:val="22"/>
        </w:numPr>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Llevar el control estricto de los gastos de la administración municipal, y</w:t>
      </w:r>
    </w:p>
    <w:p w14:paraId="5FDE397F" w14:textId="77777777" w:rsidR="00516E88" w:rsidRPr="00EF7988" w:rsidRDefault="00516E88" w:rsidP="000C0C40">
      <w:pPr>
        <w:widowControl w:val="0"/>
        <w:numPr>
          <w:ilvl w:val="0"/>
          <w:numId w:val="22"/>
        </w:numPr>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Manejar adecuada y honestamente los fondos financieros del municipio.</w:t>
      </w:r>
    </w:p>
    <w:p w14:paraId="6B509793"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 </w:t>
      </w:r>
    </w:p>
    <w:p w14:paraId="0DD3C576"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Además, precisa que dicho documento debe ser elaborado tomando en cuenta el monto disponible de los ingresos del Ayuntamiento; en ese sentido, el artículo 285 del Código Financiero del Estado de México y Municipios, precisa que el Ayuntamiento es el encargado de aprobar el Presupuesto de Egresos del Municipio. </w:t>
      </w:r>
    </w:p>
    <w:p w14:paraId="104AF871"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 </w:t>
      </w:r>
    </w:p>
    <w:p w14:paraId="2729BFD9"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
          <w:bCs/>
          <w:iCs/>
          <w:sz w:val="22"/>
          <w:szCs w:val="22"/>
          <w:lang w:eastAsia="es-ES"/>
        </w:rPr>
      </w:pPr>
      <w:r w:rsidRPr="00EF7988">
        <w:rPr>
          <w:rFonts w:ascii="Palatino Linotype" w:eastAsia="Times New Roman" w:hAnsi="Palatino Linotype" w:cs="Tahoma"/>
          <w:bCs/>
          <w:iCs/>
          <w:sz w:val="22"/>
          <w:szCs w:val="22"/>
          <w:lang w:eastAsia="es-ES"/>
        </w:rPr>
        <w:t xml:space="preserve">En ese sentido, el artículo 31, fracción XIX, de la Ley Orgánica Municipal del Estado de México, establece que los </w:t>
      </w:r>
      <w:r w:rsidRPr="00EF7988">
        <w:rPr>
          <w:rFonts w:ascii="Palatino Linotype" w:eastAsia="Times New Roman" w:hAnsi="Palatino Linotype" w:cs="Tahoma"/>
          <w:b/>
          <w:bCs/>
          <w:iCs/>
          <w:sz w:val="22"/>
          <w:szCs w:val="22"/>
          <w:lang w:eastAsia="es-ES"/>
        </w:rPr>
        <w:t xml:space="preserve">Ayuntamientos serán los encargados de aprobar anualmente, el Presupuesto de Egresos, en base a los ingresos presupuestados para el ejercicio de corresponda. </w:t>
      </w:r>
    </w:p>
    <w:p w14:paraId="07B1B589"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
          <w:bCs/>
          <w:iCs/>
          <w:sz w:val="22"/>
          <w:szCs w:val="22"/>
          <w:lang w:eastAsia="es-ES"/>
        </w:rPr>
      </w:pPr>
      <w:r w:rsidRPr="00EF7988">
        <w:rPr>
          <w:rFonts w:ascii="Palatino Linotype" w:eastAsia="Times New Roman" w:hAnsi="Palatino Linotype" w:cs="Tahoma"/>
          <w:b/>
          <w:bCs/>
          <w:iCs/>
          <w:sz w:val="22"/>
          <w:szCs w:val="22"/>
          <w:lang w:eastAsia="es-ES"/>
        </w:rPr>
        <w:t xml:space="preserve"> </w:t>
      </w:r>
    </w:p>
    <w:p w14:paraId="478E0A1B"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
          <w:bCs/>
          <w:iCs/>
          <w:sz w:val="22"/>
          <w:szCs w:val="22"/>
          <w:lang w:eastAsia="es-ES"/>
        </w:rPr>
      </w:pPr>
      <w:r w:rsidRPr="00EF7988">
        <w:rPr>
          <w:rFonts w:ascii="Palatino Linotype" w:eastAsia="Times New Roman" w:hAnsi="Palatino Linotype" w:cs="Tahoma"/>
          <w:bCs/>
          <w:iCs/>
          <w:sz w:val="22"/>
          <w:szCs w:val="22"/>
          <w:lang w:eastAsia="es-ES"/>
        </w:rPr>
        <w:t>En ese orden de ideas, de conformidad con el artículo 100 y 101, fracción II, de dicho ordenamiento jurídico, el Presupuesto de Egresos, deberá contener las previsiones de gasto público y se conformará, entre otras cosas, por la</w:t>
      </w:r>
      <w:r w:rsidRPr="00EF7988">
        <w:rPr>
          <w:rFonts w:ascii="Palatino Linotype" w:eastAsia="Times New Roman" w:hAnsi="Palatino Linotype" w:cs="Tahoma"/>
          <w:b/>
          <w:bCs/>
          <w:iCs/>
          <w:sz w:val="22"/>
          <w:szCs w:val="22"/>
          <w:lang w:eastAsia="es-ES"/>
        </w:rPr>
        <w:t xml:space="preserve"> estimación de los ingresos y gastos del ejercicio fiscal calendarizados.</w:t>
      </w:r>
    </w:p>
    <w:p w14:paraId="2F2696A2"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
          <w:bCs/>
          <w:iCs/>
          <w:sz w:val="22"/>
          <w:szCs w:val="22"/>
          <w:lang w:eastAsia="es-ES"/>
        </w:rPr>
      </w:pPr>
      <w:r w:rsidRPr="00EF7988">
        <w:rPr>
          <w:rFonts w:ascii="Palatino Linotype" w:eastAsia="Times New Roman" w:hAnsi="Palatino Linotype" w:cs="Tahoma"/>
          <w:b/>
          <w:bCs/>
          <w:iCs/>
          <w:sz w:val="22"/>
          <w:szCs w:val="22"/>
          <w:lang w:eastAsia="es-ES"/>
        </w:rPr>
        <w:t xml:space="preserve"> </w:t>
      </w:r>
    </w:p>
    <w:p w14:paraId="766DA31C"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Así, el Manual para la Planeación, Programación y Presupuesto de Egresos Municipal para el ejercicio fiscal dos mil veinticinco, establece que el Presupuesto es la estimación financiera anticipada de los ingresos y egresos del gobierno, necesarios para cumplir con los objetivos establecidos; además, que el mismo involucra planes, políticas, programas, proyectos, estrategias y objetivos del municipio.</w:t>
      </w:r>
    </w:p>
    <w:p w14:paraId="67175657"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 </w:t>
      </w:r>
    </w:p>
    <w:p w14:paraId="05583A79"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Además, dicho normatividad, precisa que el Programa Presupuestario es la Categoría programática que permite organizar, en forma representativa y homogénea, las asignaciones de recursos (Programa de estructura programática municipal); además, que los Sujetos Obligados deben de generar diversos documentos que contienen la Clave Programática (también conocida como Clasificación Funcional Programática), la cual se conforman de diversas claves, entre las cuales se encuentra el Programa Presupuestario, tal como se muestra a continuación:</w:t>
      </w:r>
    </w:p>
    <w:p w14:paraId="24C7F8E5"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 </w:t>
      </w:r>
    </w:p>
    <w:p w14:paraId="26A420DD"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noProof/>
          <w:sz w:val="22"/>
          <w:szCs w:val="22"/>
          <w:lang w:eastAsia="es-MX"/>
        </w:rPr>
        <w:drawing>
          <wp:inline distT="0" distB="0" distL="0" distR="0" wp14:anchorId="238494B8" wp14:editId="304A1017">
            <wp:extent cx="5612130" cy="361315"/>
            <wp:effectExtent l="0" t="0" r="7620" b="635"/>
            <wp:docPr id="4383884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361315"/>
                    </a:xfrm>
                    <a:prstGeom prst="rect">
                      <a:avLst/>
                    </a:prstGeom>
                    <a:noFill/>
                    <a:ln>
                      <a:noFill/>
                    </a:ln>
                  </pic:spPr>
                </pic:pic>
              </a:graphicData>
            </a:graphic>
          </wp:inline>
        </w:drawing>
      </w:r>
      <w:r w:rsidRPr="00EF7988">
        <w:rPr>
          <w:rFonts w:ascii="Palatino Linotype" w:eastAsia="Times New Roman" w:hAnsi="Palatino Linotype" w:cs="Tahoma"/>
          <w:bCs/>
          <w:iCs/>
          <w:sz w:val="22"/>
          <w:szCs w:val="22"/>
          <w:lang w:eastAsia="es-ES"/>
        </w:rPr>
        <w:t xml:space="preserve"> </w:t>
      </w:r>
    </w:p>
    <w:p w14:paraId="018D968E" w14:textId="77777777" w:rsidR="00516E88" w:rsidRPr="00EF7988" w:rsidRDefault="00516E88" w:rsidP="000C0C40">
      <w:pPr>
        <w:widowControl w:val="0"/>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 </w:t>
      </w:r>
    </w:p>
    <w:p w14:paraId="2FD57804"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En ese orden de ideas, por lo que hace al comprobante del pago, el artículo 4°, fracción XVIII, de la Ley General de Contabilidad Gubernamental, establece que la información financiera consiste en información presupuestaria y contable que se expresa en unidades monetarias las transacciones que realiza un ente público y los eventos económicos identificables y cuantificable la cual puede representarse por reportes, informes, estados y notas que expresan su situación financiera, los resultados de su operación y los cambios en su patrimonio.  </w:t>
      </w:r>
    </w:p>
    <w:p w14:paraId="2B69EE4C"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19E7AB79"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En esa misma tesitura, los artículos 16, 18, 19, fracción V, y 34 de la Ley General en comento, estableen que los entes públicos deben contar con un sistema de contabilidad gubernamental en el cual se registrarán operaciones presupuestarias y contables derivadas de la gestión pública, así como otros flujos económicos, los cuales serán expresados en términos monetarios. Dichos registros contables se llevarán con base acumulativa, por lo que contabilización de las transacciones de gasto se hará conforme a la fecha de su realización, independientemente de la de su pago, y la del ingreso se registrará cuando exista jurídicamente el derecho de cobro.</w:t>
      </w:r>
    </w:p>
    <w:p w14:paraId="67A9F238"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7DBE4BCF"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En ese contexto, la Guía técnica 05 “La contabilidad y la cuenta pública municipal”, emitida por el Instituto Nacional de Administración Pública, establece que la contabilidad municipal es la técnica que permite registrar en forma ordenada, completa y detallada de los ingresos y gastos, con el fin de poder determinar en cualquier momento la situación financiera de la hacienda pública municipal.</w:t>
      </w:r>
    </w:p>
    <w:p w14:paraId="086F374B"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2DA8EBB9"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De este modo, de acuerdo a la naturaleza de información solicitada, resulta necesario traer a colación, la Resolución Miscelánea Fiscal para el 2024, establece que la factura es lo mismo, que un Comprobante Fiscal Digital por Internet, por lo que, se puede considerar como el documento que comprueba la realización de una transacción comercial, entre un comprador y un vendedor, mediante el cual, el primero queda obligado a realizar un pago, mientras que el segundo, a entregar o brindar un producto o servicio.</w:t>
      </w:r>
    </w:p>
    <w:p w14:paraId="4467E9E1"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61843620"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 xml:space="preserve">En ese orden de ideas, los Lineamientos para la Integración y Entrega del Informe Trimestral Municipal, dos mil veintitrés y dos mil veinticuatro, entre los formatos que maneja en el Módulo 1, se advierte que se encuentran Póliza de Egresos y Póliza Cheque, con los documentos comprobatorios, mismos que serán entregados al Órgano Superior de Fiscalización del Estado de México. Además, se precisa que dichos documentos deberán contener las imágenes de la documentación comprobatoria y justificativa de los egresos y de las respectivas pólizas, los cuales incluyen los Comprobantes Fiscales Digitales por Internet, facturas o recibos.  </w:t>
      </w:r>
    </w:p>
    <w:p w14:paraId="723D451D" w14:textId="77777777" w:rsidR="007A08D9" w:rsidRPr="00EF7988" w:rsidRDefault="007A08D9"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281D5E37"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Cs/>
          <w:iCs/>
          <w:sz w:val="22"/>
          <w:szCs w:val="22"/>
          <w:lang w:eastAsia="es-ES"/>
        </w:rPr>
        <w:t>En ese contexto, los Sujetos Obligados deben generar pólizas contables que corresponden a un documento en el que se asientan las operaciones desarrolladas, por el municipio y toda la información necesaria para su identificación, de conformidad con la Guía Técnica 8 “La Contabilidad y la Cuenta Pública Municipal”; además, dichas pólizas se dividen en las siguientes:</w:t>
      </w:r>
    </w:p>
    <w:p w14:paraId="09B42FBD"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60980B46" w14:textId="77777777" w:rsidR="00516E88" w:rsidRPr="00EF7988" w:rsidRDefault="00516E88" w:rsidP="000C0C40">
      <w:pPr>
        <w:numPr>
          <w:ilvl w:val="0"/>
          <w:numId w:val="23"/>
        </w:num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
          <w:bCs/>
          <w:iCs/>
          <w:sz w:val="22"/>
          <w:szCs w:val="22"/>
          <w:lang w:eastAsia="es-ES"/>
        </w:rPr>
        <w:t xml:space="preserve">Póliza de Egresos: </w:t>
      </w:r>
      <w:r w:rsidRPr="00EF7988">
        <w:rPr>
          <w:rFonts w:ascii="Palatino Linotype" w:eastAsia="Times New Roman" w:hAnsi="Palatino Linotype" w:cs="Tahoma"/>
          <w:bCs/>
          <w:iCs/>
          <w:sz w:val="22"/>
          <w:szCs w:val="22"/>
          <w:lang w:eastAsia="es-ES"/>
        </w:rPr>
        <w:t>Corresponde a aquella donde se anotan las operaciones que implique egresos, es decir, la salida de dinero, en efectivo o transferencia, para el municipio.</w:t>
      </w:r>
    </w:p>
    <w:p w14:paraId="43F55D50" w14:textId="77777777" w:rsidR="00516E88" w:rsidRPr="00EF7988" w:rsidRDefault="00516E88" w:rsidP="000C0C40">
      <w:pPr>
        <w:tabs>
          <w:tab w:val="left" w:pos="4962"/>
        </w:tabs>
        <w:spacing w:after="0" w:line="360" w:lineRule="auto"/>
        <w:ind w:left="720"/>
        <w:contextualSpacing/>
        <w:jc w:val="both"/>
        <w:rPr>
          <w:rFonts w:ascii="Palatino Linotype" w:eastAsia="Times New Roman" w:hAnsi="Palatino Linotype" w:cs="Tahoma"/>
          <w:bCs/>
          <w:iCs/>
          <w:sz w:val="22"/>
          <w:szCs w:val="22"/>
          <w:lang w:eastAsia="es-ES"/>
        </w:rPr>
      </w:pPr>
    </w:p>
    <w:p w14:paraId="37099A95" w14:textId="77777777" w:rsidR="00516E88" w:rsidRPr="00EF7988" w:rsidRDefault="00516E88" w:rsidP="000C0C40">
      <w:pPr>
        <w:numPr>
          <w:ilvl w:val="0"/>
          <w:numId w:val="23"/>
        </w:numPr>
        <w:tabs>
          <w:tab w:val="left" w:pos="4962"/>
        </w:tabs>
        <w:spacing w:after="0" w:line="360" w:lineRule="auto"/>
        <w:contextualSpacing/>
        <w:jc w:val="both"/>
        <w:rPr>
          <w:rFonts w:ascii="Palatino Linotype" w:eastAsia="Times New Roman" w:hAnsi="Palatino Linotype" w:cs="Tahoma"/>
          <w:bCs/>
          <w:iCs/>
          <w:sz w:val="22"/>
          <w:szCs w:val="22"/>
          <w:lang w:eastAsia="es-ES"/>
        </w:rPr>
      </w:pPr>
      <w:r w:rsidRPr="00EF7988">
        <w:rPr>
          <w:rFonts w:ascii="Palatino Linotype" w:eastAsia="Times New Roman" w:hAnsi="Palatino Linotype" w:cs="Tahoma"/>
          <w:b/>
          <w:bCs/>
          <w:iCs/>
          <w:sz w:val="22"/>
          <w:szCs w:val="22"/>
          <w:lang w:eastAsia="es-ES"/>
        </w:rPr>
        <w:t>Póliza Cheque:</w:t>
      </w:r>
      <w:r w:rsidRPr="00EF7988">
        <w:rPr>
          <w:rFonts w:ascii="Palatino Linotype" w:eastAsia="Times New Roman" w:hAnsi="Palatino Linotype" w:cs="Tahoma"/>
          <w:bCs/>
          <w:iCs/>
          <w:sz w:val="22"/>
          <w:szCs w:val="22"/>
          <w:lang w:eastAsia="es-ES"/>
        </w:rPr>
        <w:t xml:space="preserve"> Es la que se elabora cuando la operación implique una salida de dinero del municipio, a través de un cheque.</w:t>
      </w:r>
    </w:p>
    <w:p w14:paraId="067C1BC7" w14:textId="77777777" w:rsidR="00516E88" w:rsidRPr="00EF7988" w:rsidRDefault="00516E88" w:rsidP="000C0C40">
      <w:pPr>
        <w:tabs>
          <w:tab w:val="left" w:pos="4962"/>
        </w:tabs>
        <w:spacing w:after="0" w:line="360" w:lineRule="auto"/>
        <w:contextualSpacing/>
        <w:jc w:val="both"/>
        <w:rPr>
          <w:rFonts w:ascii="Palatino Linotype" w:eastAsia="Times New Roman" w:hAnsi="Palatino Linotype" w:cs="Tahoma"/>
          <w:bCs/>
          <w:iCs/>
          <w:sz w:val="22"/>
          <w:szCs w:val="22"/>
          <w:lang w:eastAsia="es-ES"/>
        </w:rPr>
      </w:pPr>
    </w:p>
    <w:p w14:paraId="34C6DBAE" w14:textId="100AEE0A" w:rsidR="007A08D9" w:rsidRPr="00EF7988" w:rsidRDefault="00516E88" w:rsidP="000C0C40">
      <w:pPr>
        <w:spacing w:after="0" w:line="360" w:lineRule="auto"/>
        <w:contextualSpacing/>
        <w:jc w:val="both"/>
        <w:rPr>
          <w:rFonts w:ascii="Palatino Linotype" w:hAnsi="Palatino Linotype"/>
          <w:color w:val="000000"/>
          <w:sz w:val="22"/>
          <w:szCs w:val="22"/>
        </w:rPr>
      </w:pPr>
      <w:r w:rsidRPr="00EF7988">
        <w:rPr>
          <w:rFonts w:ascii="Palatino Linotype" w:eastAsia="Times New Roman" w:hAnsi="Palatino Linotype" w:cs="Tahoma"/>
          <w:bCs/>
          <w:iCs/>
          <w:sz w:val="22"/>
          <w:szCs w:val="22"/>
          <w:lang w:eastAsia="es-ES"/>
        </w:rPr>
        <w:t xml:space="preserve">Conforme a lo anterior, se logra vislumbrar que la pretensión del ahora Recurrente es obtener </w:t>
      </w:r>
      <w:r w:rsidR="000C0C40">
        <w:rPr>
          <w:rFonts w:ascii="Palatino Linotype" w:hAnsi="Palatino Linotype"/>
          <w:color w:val="000000"/>
          <w:sz w:val="22"/>
          <w:szCs w:val="22"/>
        </w:rPr>
        <w:t>los documentos que conformaban</w:t>
      </w:r>
      <w:r w:rsidR="007A08D9" w:rsidRPr="00EF7988">
        <w:rPr>
          <w:rFonts w:ascii="Palatino Linotype" w:hAnsi="Palatino Linotype"/>
          <w:color w:val="000000"/>
          <w:sz w:val="22"/>
          <w:szCs w:val="22"/>
        </w:rPr>
        <w:t xml:space="preserve"> los expedientes que integran los procedimientos de licitación pública, invitación restringida, y adjudicación directa realizadas del primero de enero de dos mil veinticinco al primero de mayo de dos mil veintiséis, </w:t>
      </w:r>
      <w:r w:rsidR="000C0C40">
        <w:rPr>
          <w:rFonts w:ascii="Palatino Linotype" w:hAnsi="Palatino Linotype"/>
          <w:color w:val="000000"/>
          <w:sz w:val="22"/>
          <w:szCs w:val="22"/>
        </w:rPr>
        <w:t>que contengan lo siguiente:</w:t>
      </w:r>
    </w:p>
    <w:p w14:paraId="51B9B246" w14:textId="77777777" w:rsidR="00BC2A42" w:rsidRPr="00EF7988" w:rsidRDefault="00BC2A42" w:rsidP="000C0C40">
      <w:pPr>
        <w:spacing w:after="0" w:line="360" w:lineRule="auto"/>
        <w:ind w:left="850"/>
        <w:contextualSpacing/>
        <w:jc w:val="both"/>
        <w:rPr>
          <w:rFonts w:ascii="Palatino Linotype" w:hAnsi="Palatino Linotype"/>
          <w:color w:val="000000"/>
          <w:sz w:val="22"/>
          <w:szCs w:val="22"/>
        </w:rPr>
      </w:pPr>
    </w:p>
    <w:p w14:paraId="60AE2742" w14:textId="7B5E750A" w:rsidR="007A08D9" w:rsidRPr="00EF7988" w:rsidRDefault="007A08D9" w:rsidP="000C0C40">
      <w:pPr>
        <w:pStyle w:val="Prrafodelista"/>
        <w:numPr>
          <w:ilvl w:val="1"/>
          <w:numId w:val="30"/>
        </w:numPr>
        <w:spacing w:after="0" w:line="360" w:lineRule="auto"/>
        <w:ind w:left="1210"/>
        <w:jc w:val="both"/>
        <w:rPr>
          <w:rFonts w:ascii="Palatino Linotype" w:hAnsi="Palatino Linotype"/>
          <w:sz w:val="22"/>
          <w:szCs w:val="22"/>
        </w:rPr>
      </w:pPr>
      <w:r w:rsidRPr="00EF7988">
        <w:rPr>
          <w:rFonts w:ascii="Palatino Linotype" w:hAnsi="Palatino Linotype"/>
          <w:color w:val="000000"/>
          <w:sz w:val="22"/>
          <w:szCs w:val="22"/>
        </w:rPr>
        <w:t>Solicitud del área requirente, estudios de mercado y documentos justificativos;</w:t>
      </w:r>
    </w:p>
    <w:p w14:paraId="1424FB7A" w14:textId="77777777" w:rsidR="007A08D9" w:rsidRPr="00EF7988"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 xml:space="preserve">Bases de licitación, invitaciones, cotizaciones y/o solicitudes de propuesta. </w:t>
      </w:r>
    </w:p>
    <w:p w14:paraId="69D02B65" w14:textId="77777777" w:rsidR="007A08D9" w:rsidRPr="00EF7988"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 xml:space="preserve">Actas (junta de aclaraciones, presentación y apertura de proposiciones, fallo, etc.). </w:t>
      </w:r>
    </w:p>
    <w:p w14:paraId="721DA4BE" w14:textId="77777777" w:rsidR="007A08D9" w:rsidRPr="00EF7988"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 xml:space="preserve">Dictámenes técnicos y económicos. </w:t>
      </w:r>
    </w:p>
    <w:p w14:paraId="7646122B" w14:textId="0E5AB746" w:rsidR="007A08D9" w:rsidRPr="00EF7988"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 xml:space="preserve">Contrato correspondiente. </w:t>
      </w:r>
    </w:p>
    <w:p w14:paraId="7933F347" w14:textId="77777777" w:rsidR="007A08D9" w:rsidRPr="00EF7988"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 xml:space="preserve">Facturas emitidas. </w:t>
      </w:r>
    </w:p>
    <w:p w14:paraId="5908EE24" w14:textId="77777777" w:rsidR="007A08D9" w:rsidRPr="00EF7988"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 xml:space="preserve">Comprobantes de entrega, evidencia documental y/o fotográfica. Registros de entrada a almacén y documentación logística. </w:t>
      </w:r>
    </w:p>
    <w:p w14:paraId="4C5898E3" w14:textId="77777777" w:rsidR="00534DCF"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EF7988">
        <w:rPr>
          <w:rFonts w:ascii="Palatino Linotype" w:hAnsi="Palatino Linotype"/>
          <w:color w:val="000000"/>
          <w:sz w:val="22"/>
          <w:szCs w:val="22"/>
        </w:rPr>
        <w:t>Oficios de convocatoria para la sesión del Comité de Adquisiciones; y</w:t>
      </w:r>
    </w:p>
    <w:p w14:paraId="34BDA974" w14:textId="34D78D68" w:rsidR="00B57BAC" w:rsidRPr="00534DCF" w:rsidRDefault="007A08D9" w:rsidP="000C0C40">
      <w:pPr>
        <w:pStyle w:val="Prrafodelista"/>
        <w:numPr>
          <w:ilvl w:val="1"/>
          <w:numId w:val="30"/>
        </w:numPr>
        <w:spacing w:after="0" w:line="360" w:lineRule="auto"/>
        <w:ind w:left="1210"/>
        <w:jc w:val="both"/>
        <w:rPr>
          <w:rFonts w:ascii="Palatino Linotype" w:hAnsi="Palatino Linotype"/>
          <w:color w:val="000000"/>
          <w:sz w:val="22"/>
          <w:szCs w:val="22"/>
        </w:rPr>
      </w:pPr>
      <w:r w:rsidRPr="00534DCF">
        <w:rPr>
          <w:rFonts w:ascii="Palatino Linotype" w:hAnsi="Palatino Linotype"/>
          <w:color w:val="000000"/>
          <w:sz w:val="22"/>
          <w:szCs w:val="22"/>
        </w:rPr>
        <w:t xml:space="preserve">Actas del Comité de Adquisiciones. </w:t>
      </w:r>
    </w:p>
    <w:p w14:paraId="54B71718" w14:textId="77777777" w:rsidR="007A08D9" w:rsidRPr="00EF7988" w:rsidRDefault="007A08D9" w:rsidP="000C0C40">
      <w:pPr>
        <w:spacing w:after="0" w:line="360" w:lineRule="auto"/>
        <w:contextualSpacing/>
        <w:jc w:val="both"/>
        <w:rPr>
          <w:rFonts w:ascii="Palatino Linotype" w:eastAsia="Palatino Linotype" w:hAnsi="Palatino Linotype" w:cs="Palatino Linotype"/>
          <w:sz w:val="22"/>
          <w:szCs w:val="22"/>
          <w:lang w:eastAsia="es-MX"/>
        </w:rPr>
      </w:pPr>
    </w:p>
    <w:p w14:paraId="6B1A992F" w14:textId="4DB4F9DE"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Así, de las constancias que obran en el expediente, se logra vislumbrar que el Sujeto Obligado turnó la solicitud de información al D</w:t>
      </w:r>
      <w:r w:rsidR="002F73FF" w:rsidRPr="00EF7988">
        <w:rPr>
          <w:rFonts w:ascii="Palatino Linotype" w:eastAsia="Palatino Linotype" w:hAnsi="Palatino Linotype" w:cs="Palatino Linotype"/>
          <w:sz w:val="22"/>
          <w:szCs w:val="22"/>
          <w:lang w:eastAsia="es-MX"/>
        </w:rPr>
        <w:t>epartamento de Administración dependiente de la Coordinación de Administración y Finanzas</w:t>
      </w:r>
      <w:r w:rsidRPr="00EF7988">
        <w:rPr>
          <w:rFonts w:ascii="Palatino Linotype" w:eastAsia="Palatino Linotype" w:hAnsi="Palatino Linotype" w:cs="Palatino Linotype"/>
          <w:sz w:val="22"/>
          <w:szCs w:val="22"/>
          <w:lang w:eastAsia="es-MX"/>
        </w:rPr>
        <w:t>,</w:t>
      </w:r>
      <w:r w:rsidR="007A2355" w:rsidRPr="00EF7988">
        <w:rPr>
          <w:rFonts w:ascii="Palatino Linotype" w:eastAsia="Palatino Linotype" w:hAnsi="Palatino Linotype" w:cs="Palatino Linotype"/>
          <w:sz w:val="22"/>
          <w:szCs w:val="22"/>
          <w:lang w:eastAsia="es-MX"/>
        </w:rPr>
        <w:t xml:space="preserve"> encargada de conocer sobre los expedientes generados derivados de los procedimientos de licitación</w:t>
      </w:r>
      <w:r w:rsidRPr="00EF7988">
        <w:rPr>
          <w:rFonts w:ascii="Palatino Linotype" w:eastAsia="Palatino Linotype" w:hAnsi="Palatino Linotype" w:cs="Palatino Linotype"/>
          <w:sz w:val="22"/>
          <w:szCs w:val="22"/>
          <w:lang w:eastAsia="es-MX"/>
        </w:rPr>
        <w:t xml:space="preserve"> por lo que se considera que cumplió con el procedimiento de búsqueda establecido en el artículo 162 de la Ley de la materia.</w:t>
      </w:r>
    </w:p>
    <w:p w14:paraId="76739C4D"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p>
    <w:p w14:paraId="4C403C78" w14:textId="44F6DA3F" w:rsidR="00B57BAC" w:rsidRPr="00EF7988" w:rsidRDefault="00B57BAC" w:rsidP="000C0C40">
      <w:pPr>
        <w:spacing w:after="0" w:line="360" w:lineRule="auto"/>
        <w:contextualSpacing/>
        <w:jc w:val="both"/>
        <w:rPr>
          <w:rFonts w:ascii="Palatino Linotype" w:eastAsia="Times New Roman" w:hAnsi="Palatino Linotype" w:cs="Tahoma"/>
          <w:sz w:val="22"/>
          <w:szCs w:val="22"/>
          <w:lang w:eastAsia="es-MX"/>
        </w:rPr>
      </w:pPr>
      <w:r w:rsidRPr="00EF7988">
        <w:rPr>
          <w:rFonts w:ascii="Palatino Linotype" w:eastAsia="Palatino Linotype" w:hAnsi="Palatino Linotype" w:cs="Palatino Linotype"/>
          <w:sz w:val="22"/>
          <w:szCs w:val="22"/>
          <w:lang w:eastAsia="es-MX"/>
        </w:rPr>
        <w:t xml:space="preserve">Ahora bien, en respuesta, el Sujeto Obligado a través del </w:t>
      </w:r>
      <w:r w:rsidR="002F73FF" w:rsidRPr="00EF7988">
        <w:rPr>
          <w:rFonts w:ascii="Palatino Linotype" w:eastAsia="Palatino Linotype" w:hAnsi="Palatino Linotype" w:cs="Palatino Linotype"/>
          <w:sz w:val="22"/>
          <w:szCs w:val="22"/>
          <w:lang w:eastAsia="es-MX"/>
        </w:rPr>
        <w:t>Departamento de Administración</w:t>
      </w:r>
      <w:r w:rsidRPr="00EF7988">
        <w:rPr>
          <w:rFonts w:ascii="Palatino Linotype" w:eastAsia="Palatino Linotype" w:hAnsi="Palatino Linotype" w:cs="Palatino Linotype"/>
          <w:bCs/>
          <w:iCs/>
          <w:sz w:val="22"/>
          <w:szCs w:val="22"/>
          <w:lang w:eastAsia="es-MX"/>
        </w:rPr>
        <w:t xml:space="preserve">, </w:t>
      </w:r>
      <w:r w:rsidRPr="00EF7988">
        <w:rPr>
          <w:rFonts w:ascii="Palatino Linotype" w:eastAsia="Times New Roman" w:hAnsi="Palatino Linotype" w:cs="Tahoma"/>
          <w:iCs/>
          <w:sz w:val="22"/>
          <w:szCs w:val="22"/>
          <w:lang w:val="es-ES" w:eastAsia="es-MX"/>
        </w:rPr>
        <w:t xml:space="preserve">precisó que la información pesaba </w:t>
      </w:r>
      <w:r w:rsidR="002F73FF" w:rsidRPr="00EF7988">
        <w:rPr>
          <w:rFonts w:ascii="Palatino Linotype" w:eastAsia="Times New Roman" w:hAnsi="Palatino Linotype" w:cs="Tahoma"/>
          <w:sz w:val="22"/>
          <w:szCs w:val="22"/>
          <w:lang w:eastAsia="es-MX"/>
        </w:rPr>
        <w:t>5.54</w:t>
      </w:r>
      <w:r w:rsidRPr="00EF7988">
        <w:rPr>
          <w:rFonts w:ascii="Palatino Linotype" w:eastAsia="Times New Roman" w:hAnsi="Palatino Linotype" w:cs="Tahoma"/>
          <w:sz w:val="22"/>
          <w:szCs w:val="22"/>
          <w:lang w:eastAsia="es-MX"/>
        </w:rPr>
        <w:t xml:space="preserve"> gigabytes</w:t>
      </w:r>
      <w:r w:rsidR="002F73FF" w:rsidRPr="00EF7988">
        <w:rPr>
          <w:rFonts w:ascii="Palatino Linotype" w:eastAsia="Times New Roman" w:hAnsi="Palatino Linotype" w:cs="Tahoma"/>
          <w:sz w:val="22"/>
          <w:szCs w:val="22"/>
          <w:lang w:eastAsia="es-MX"/>
        </w:rPr>
        <w:t xml:space="preserve"> correspondientes a 427 archivos</w:t>
      </w:r>
      <w:r w:rsidRPr="00EF7988">
        <w:rPr>
          <w:rFonts w:ascii="Palatino Linotype" w:eastAsia="Times New Roman" w:hAnsi="Palatino Linotype" w:cs="Tahoma"/>
          <w:sz w:val="22"/>
          <w:szCs w:val="22"/>
          <w:lang w:eastAsia="es-MX"/>
        </w:rPr>
        <w:t xml:space="preserve"> que sobrepasaba las capacidades técnicas del sistema SAIMEX. Situación que fue robustecida mediante acuerdo del Comité de Transparencia </w:t>
      </w:r>
      <w:r w:rsidR="002F73FF" w:rsidRPr="00EF7988">
        <w:rPr>
          <w:rFonts w:ascii="Palatino Linotype" w:eastAsia="Times New Roman" w:hAnsi="Palatino Linotype" w:cs="Tahoma"/>
          <w:sz w:val="22"/>
          <w:szCs w:val="22"/>
          <w:lang w:eastAsia="es-MX"/>
        </w:rPr>
        <w:t xml:space="preserve">y registro de incidencia técnica ante este Instituto, </w:t>
      </w:r>
      <w:r w:rsidRPr="00EF7988">
        <w:rPr>
          <w:rFonts w:ascii="Palatino Linotype" w:eastAsia="Times New Roman" w:hAnsi="Palatino Linotype" w:cs="Tahoma"/>
          <w:sz w:val="22"/>
          <w:szCs w:val="22"/>
          <w:lang w:eastAsia="es-MX"/>
        </w:rPr>
        <w:t>que sustentaba el cambio de modalidad propuesto.</w:t>
      </w:r>
    </w:p>
    <w:p w14:paraId="25B2A9E5" w14:textId="77777777" w:rsidR="002F73FF" w:rsidRPr="00EF7988" w:rsidRDefault="002F73FF" w:rsidP="000C0C40">
      <w:pPr>
        <w:spacing w:after="0" w:line="360" w:lineRule="auto"/>
        <w:contextualSpacing/>
        <w:jc w:val="both"/>
        <w:rPr>
          <w:rFonts w:ascii="Palatino Linotype" w:eastAsia="Times New Roman" w:hAnsi="Palatino Linotype" w:cs="Tahoma"/>
          <w:sz w:val="22"/>
          <w:szCs w:val="22"/>
          <w:lang w:eastAsia="es-MX"/>
        </w:rPr>
      </w:pPr>
    </w:p>
    <w:p w14:paraId="575CA33B" w14:textId="77777777" w:rsidR="00B57BAC" w:rsidRPr="00EF7988" w:rsidRDefault="00B57BAC" w:rsidP="000C0C40">
      <w:pPr>
        <w:spacing w:after="0" w:line="360" w:lineRule="auto"/>
        <w:contextualSpacing/>
        <w:jc w:val="both"/>
        <w:rPr>
          <w:rFonts w:ascii="Palatino Linotype" w:eastAsia="Calibri" w:hAnsi="Palatino Linotype" w:cs="Tahoma"/>
          <w:bCs/>
          <w:sz w:val="22"/>
          <w:szCs w:val="22"/>
          <w:lang w:eastAsia="es-MX"/>
        </w:rPr>
      </w:pPr>
      <w:r w:rsidRPr="00EF7988">
        <w:rPr>
          <w:rFonts w:ascii="Palatino Linotype" w:eastAsia="Times New Roman" w:hAnsi="Palatino Linotype" w:cs="Tahoma"/>
          <w:sz w:val="22"/>
          <w:szCs w:val="22"/>
          <w:lang w:eastAsia="es-MX"/>
        </w:rPr>
        <w:t xml:space="preserve">En este contexto, </w:t>
      </w:r>
      <w:r w:rsidRPr="00EF7988">
        <w:rPr>
          <w:rFonts w:ascii="Palatino Linotype" w:eastAsia="Calibri" w:hAnsi="Palatino Linotype" w:cs="Tahoma"/>
          <w:bCs/>
          <w:sz w:val="22"/>
          <w:szCs w:val="22"/>
          <w:lang w:val="es-ES" w:eastAsia="es-MX"/>
        </w:rPr>
        <w:t xml:space="preserve">el artículo 155, fracción V, de la Ley de Transparencia y Acceso a la Información Pública del Estado de México y Municipios, precisa que </w:t>
      </w:r>
      <w:r w:rsidRPr="00EF7988">
        <w:rPr>
          <w:rFonts w:ascii="Palatino Linotype" w:eastAsia="Calibri" w:hAnsi="Palatino Linotype" w:cs="Tahoma"/>
          <w:bCs/>
          <w:sz w:val="22"/>
          <w:szCs w:val="22"/>
          <w:lang w:eastAsia="es-MX"/>
        </w:rPr>
        <w:t xml:space="preserve">para presentar una solicitud, el Particular podrá señalar </w:t>
      </w:r>
      <w:r w:rsidRPr="00EF7988">
        <w:rPr>
          <w:rFonts w:ascii="Palatino Linotype" w:eastAsia="Calibri" w:hAnsi="Palatino Linotype" w:cs="Tahoma"/>
          <w:b/>
          <w:bCs/>
          <w:sz w:val="22"/>
          <w:szCs w:val="22"/>
          <w:lang w:eastAsia="es-MX"/>
        </w:rPr>
        <w:t>la modalidad en la que prefiere se otorgue el acceso a la información</w:t>
      </w:r>
      <w:r w:rsidRPr="00EF7988">
        <w:rPr>
          <w:rFonts w:ascii="Palatino Linotype" w:eastAsia="Calibri" w:hAnsi="Palatino Linotype" w:cs="Tahoma"/>
          <w:bCs/>
          <w:sz w:val="22"/>
          <w:szCs w:val="22"/>
          <w:lang w:eastAsia="es-MX"/>
        </w:rPr>
        <w:t>, la cual podrá ser verbal, siempre y cuando sea para fines de orientación, mediante consulta directa, mediante la expedición de copias simples o certificadas o la reproducción en cualquier otro medio, incluidos los electrónicos.</w:t>
      </w:r>
    </w:p>
    <w:p w14:paraId="17EEEDE5" w14:textId="77777777" w:rsidR="00B57BAC" w:rsidRPr="00EF7988" w:rsidRDefault="00B57BAC" w:rsidP="000C0C40">
      <w:pPr>
        <w:spacing w:after="0" w:line="360" w:lineRule="auto"/>
        <w:contextualSpacing/>
        <w:jc w:val="both"/>
        <w:rPr>
          <w:rFonts w:ascii="Palatino Linotype" w:eastAsia="Calibri" w:hAnsi="Palatino Linotype" w:cs="Tahoma"/>
          <w:sz w:val="22"/>
          <w:szCs w:val="22"/>
          <w:lang w:eastAsia="es-MX"/>
        </w:rPr>
      </w:pPr>
    </w:p>
    <w:p w14:paraId="44292D67" w14:textId="77777777" w:rsidR="00B57BAC" w:rsidRPr="00EF7988" w:rsidRDefault="00B57BAC" w:rsidP="000C0C40">
      <w:pPr>
        <w:spacing w:after="0" w:line="360" w:lineRule="auto"/>
        <w:contextualSpacing/>
        <w:jc w:val="both"/>
        <w:rPr>
          <w:rFonts w:ascii="Palatino Linotype" w:eastAsia="Calibri" w:hAnsi="Palatino Linotype" w:cs="Tahoma"/>
          <w:b/>
          <w:bCs/>
          <w:sz w:val="22"/>
          <w:szCs w:val="22"/>
          <w:lang w:eastAsia="es-MX"/>
        </w:rPr>
      </w:pPr>
      <w:r w:rsidRPr="00EF7988">
        <w:rPr>
          <w:rFonts w:ascii="Palatino Linotype" w:eastAsia="Calibri" w:hAnsi="Palatino Linotype" w:cs="Tahoma"/>
          <w:bCs/>
          <w:sz w:val="22"/>
          <w:szCs w:val="22"/>
          <w:lang w:eastAsia="es-MX"/>
        </w:rPr>
        <w:t xml:space="preserve">El artículo 158, dispone que, de manera excepcional, cuando de manera fundada y motivada lo determine el Sujeto Obligado, </w:t>
      </w:r>
      <w:r w:rsidRPr="00EF7988">
        <w:rPr>
          <w:rFonts w:ascii="Palatino Linotype" w:eastAsia="Calibri" w:hAnsi="Palatino Linotype" w:cs="Tahoma"/>
          <w:b/>
          <w:bCs/>
          <w:sz w:val="22"/>
          <w:szCs w:val="22"/>
          <w:lang w:eastAsia="es-MX"/>
        </w:rPr>
        <w:t>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245BF42D" w14:textId="77777777" w:rsidR="00B57BAC" w:rsidRPr="00EF7988" w:rsidRDefault="00B57BAC" w:rsidP="000C0C40">
      <w:pPr>
        <w:spacing w:after="0" w:line="360" w:lineRule="auto"/>
        <w:contextualSpacing/>
        <w:jc w:val="both"/>
        <w:rPr>
          <w:rFonts w:ascii="Palatino Linotype" w:eastAsia="Calibri" w:hAnsi="Palatino Linotype" w:cs="Tahoma"/>
          <w:bCs/>
          <w:sz w:val="22"/>
          <w:szCs w:val="22"/>
          <w:lang w:eastAsia="es-MX"/>
        </w:rPr>
      </w:pPr>
      <w:r w:rsidRPr="00EF7988">
        <w:rPr>
          <w:rFonts w:ascii="Palatino Linotype" w:eastAsia="Calibri" w:hAnsi="Palatino Linotype" w:cs="Tahoma"/>
          <w:bCs/>
          <w:sz w:val="22"/>
          <w:szCs w:val="22"/>
          <w:lang w:eastAsia="es-MX"/>
        </w:rPr>
        <w:t xml:space="preserve">En ese orden de ideas, el artículo 164 de dicho ordenamiento jurídico, prevé que el acceso se dará en la modalidad de entrega y, en su caso, de envío elegidos por al solicitante. </w:t>
      </w:r>
      <w:r w:rsidRPr="00EF7988">
        <w:rPr>
          <w:rFonts w:ascii="Palatino Linotype" w:eastAsia="Calibri" w:hAnsi="Palatino Linotype" w:cs="Tahoma"/>
          <w:b/>
          <w:bCs/>
          <w:sz w:val="22"/>
          <w:szCs w:val="22"/>
          <w:lang w:eastAsia="es-MX"/>
        </w:rPr>
        <w:t>Cuando la información no pueda entregarse o enviarse en la modalidad elegida, el sujeto obligado deberá ofrecer otra u otras modalidades de entrega.</w:t>
      </w:r>
      <w:r w:rsidRPr="00EF7988">
        <w:rPr>
          <w:rFonts w:ascii="Palatino Linotype" w:eastAsia="Calibri" w:hAnsi="Palatino Linotype" w:cs="Tahoma"/>
          <w:bCs/>
          <w:sz w:val="22"/>
          <w:szCs w:val="22"/>
          <w:lang w:eastAsia="es-MX"/>
        </w:rPr>
        <w:t xml:space="preserve"> En cualquier caso, </w:t>
      </w:r>
      <w:r w:rsidRPr="00EF7988">
        <w:rPr>
          <w:rFonts w:ascii="Palatino Linotype" w:eastAsia="Calibri" w:hAnsi="Palatino Linotype" w:cs="Tahoma"/>
          <w:b/>
          <w:bCs/>
          <w:sz w:val="22"/>
          <w:szCs w:val="22"/>
          <w:lang w:eastAsia="es-MX"/>
        </w:rPr>
        <w:t>se deberá fundar y motivar</w:t>
      </w:r>
      <w:r w:rsidRPr="00EF7988">
        <w:rPr>
          <w:rFonts w:ascii="Palatino Linotype" w:eastAsia="Calibri" w:hAnsi="Palatino Linotype" w:cs="Tahoma"/>
          <w:bCs/>
          <w:sz w:val="22"/>
          <w:szCs w:val="22"/>
          <w:lang w:eastAsia="es-MX"/>
        </w:rPr>
        <w:t xml:space="preserve"> la necesidad de ofrecer otras modalidades.</w:t>
      </w:r>
    </w:p>
    <w:p w14:paraId="76B33298" w14:textId="77777777" w:rsidR="00B57BAC" w:rsidRPr="00EF7988" w:rsidRDefault="00B57BAC" w:rsidP="000C0C40">
      <w:pPr>
        <w:spacing w:after="0" w:line="360" w:lineRule="auto"/>
        <w:contextualSpacing/>
        <w:jc w:val="both"/>
        <w:rPr>
          <w:rFonts w:ascii="Palatino Linotype" w:eastAsia="Calibri" w:hAnsi="Palatino Linotype" w:cs="Tahoma"/>
          <w:bCs/>
          <w:sz w:val="22"/>
          <w:szCs w:val="22"/>
          <w:lang w:eastAsia="es-MX"/>
        </w:rPr>
      </w:pPr>
    </w:p>
    <w:p w14:paraId="53A8DFAA" w14:textId="77777777" w:rsidR="00B57BAC" w:rsidRPr="00EF7988" w:rsidRDefault="00B57BAC" w:rsidP="000C0C40">
      <w:pPr>
        <w:spacing w:after="0" w:line="360" w:lineRule="auto"/>
        <w:contextualSpacing/>
        <w:jc w:val="both"/>
        <w:rPr>
          <w:rFonts w:ascii="Palatino Linotype" w:eastAsia="Times New Roman" w:hAnsi="Palatino Linotype" w:cs="Tahoma"/>
          <w:b/>
          <w:bCs/>
          <w:iCs/>
          <w:sz w:val="22"/>
          <w:szCs w:val="22"/>
          <w:lang w:eastAsia="es-MX"/>
        </w:rPr>
      </w:pPr>
      <w:r w:rsidRPr="00EF7988">
        <w:rPr>
          <w:rFonts w:ascii="Palatino Linotype" w:eastAsia="Times New Roman" w:hAnsi="Palatino Linotype" w:cs="Tahoma"/>
          <w:bCs/>
          <w:iCs/>
          <w:sz w:val="22"/>
          <w:szCs w:val="22"/>
          <w:lang w:eastAsia="es-MX"/>
        </w:rPr>
        <w:t xml:space="preserve">En tales consideraciones, la entrega de la información deberá hacerse, </w:t>
      </w:r>
      <w:r w:rsidRPr="00EF7988">
        <w:rPr>
          <w:rFonts w:ascii="Palatino Linotype" w:eastAsia="Times New Roman" w:hAnsi="Palatino Linotype" w:cs="Tahoma"/>
          <w:b/>
          <w:bCs/>
          <w:iCs/>
          <w:sz w:val="22"/>
          <w:szCs w:val="22"/>
          <w:lang w:eastAsia="es-MX"/>
        </w:rPr>
        <w:t>en la medida de lo posible, en la forma solicitada por el interesado, salvo que exista un impedimento justificado para atenderla</w:t>
      </w:r>
      <w:r w:rsidRPr="00EF7988">
        <w:rPr>
          <w:rFonts w:ascii="Palatino Linotype" w:eastAsia="Times New Roman" w:hAnsi="Palatino Linotype" w:cs="Tahoma"/>
          <w:bCs/>
          <w:iCs/>
          <w:sz w:val="22"/>
          <w:szCs w:val="22"/>
          <w:lang w:eastAsia="es-MX"/>
        </w:rPr>
        <w:t xml:space="preserve">, en cuyo caso, deberán exponerse las razones por las cuales no era posible utilizar el medio de reproducción solicitado; en ese sentido, la entrega de la información en una modalidad distinta a la elegida por el particular </w:t>
      </w:r>
      <w:r w:rsidRPr="00EF7988">
        <w:rPr>
          <w:rFonts w:ascii="Palatino Linotype" w:eastAsia="Times New Roman" w:hAnsi="Palatino Linotype" w:cs="Tahoma"/>
          <w:b/>
          <w:bCs/>
          <w:iCs/>
          <w:sz w:val="22"/>
          <w:szCs w:val="22"/>
          <w:lang w:eastAsia="es-MX"/>
        </w:rPr>
        <w:t xml:space="preserve">sólo procede, en caso de que se acredite la imposibilidad de atenderla. </w:t>
      </w:r>
    </w:p>
    <w:p w14:paraId="10994CB6" w14:textId="77777777" w:rsidR="00B57BAC" w:rsidRPr="00EF7988" w:rsidRDefault="00B57BAC" w:rsidP="000C0C40">
      <w:pPr>
        <w:spacing w:after="0" w:line="360" w:lineRule="auto"/>
        <w:contextualSpacing/>
        <w:jc w:val="both"/>
        <w:rPr>
          <w:rFonts w:ascii="Palatino Linotype" w:eastAsia="Calibri" w:hAnsi="Palatino Linotype" w:cs="Tahoma"/>
          <w:bCs/>
          <w:sz w:val="22"/>
          <w:szCs w:val="22"/>
          <w:lang w:eastAsia="es-MX"/>
        </w:rPr>
      </w:pPr>
    </w:p>
    <w:p w14:paraId="64208E53" w14:textId="77777777" w:rsidR="00B57BAC" w:rsidRPr="00EF7988" w:rsidRDefault="00B57BAC" w:rsidP="000C0C40">
      <w:pPr>
        <w:spacing w:after="0" w:line="360" w:lineRule="auto"/>
        <w:ind w:right="-28"/>
        <w:contextualSpacing/>
        <w:jc w:val="both"/>
        <w:rPr>
          <w:rFonts w:ascii="Palatino Linotype" w:eastAsia="Times New Roman" w:hAnsi="Palatino Linotype" w:cs="Tahoma"/>
          <w:b/>
          <w:bCs/>
          <w:iCs/>
          <w:sz w:val="22"/>
          <w:szCs w:val="22"/>
          <w:lang w:eastAsia="es-MX"/>
        </w:rPr>
      </w:pPr>
      <w:r w:rsidRPr="00EF7988">
        <w:rPr>
          <w:rFonts w:ascii="Palatino Linotype" w:eastAsia="Times New Roman" w:hAnsi="Palatino Linotype" w:cs="Tahoma"/>
          <w:bCs/>
          <w:iCs/>
          <w:sz w:val="22"/>
          <w:szCs w:val="22"/>
          <w:lang w:eastAsia="es-MX"/>
        </w:rPr>
        <w:t xml:space="preserve">Así, cuando se justifique el impedimento, los </w:t>
      </w:r>
      <w:r w:rsidRPr="00EF7988">
        <w:rPr>
          <w:rFonts w:ascii="Palatino Linotype" w:eastAsia="Times New Roman" w:hAnsi="Palatino Linotype" w:cs="Tahoma"/>
          <w:b/>
          <w:bCs/>
          <w:iCs/>
          <w:sz w:val="22"/>
          <w:szCs w:val="22"/>
          <w:lang w:eastAsia="es-MX"/>
        </w:rPr>
        <w:t>Sujetos Obligados deberán ofrecer al particular otras modalidades de entrega que permita la información</w:t>
      </w:r>
      <w:r w:rsidRPr="00EF7988">
        <w:rPr>
          <w:rFonts w:ascii="Palatino Linotype" w:eastAsia="Times New Roman" w:hAnsi="Palatino Linotype" w:cs="Tahoma"/>
          <w:bCs/>
          <w:iCs/>
          <w:sz w:val="22"/>
          <w:szCs w:val="22"/>
          <w:lang w:eastAsia="es-MX"/>
        </w:rPr>
        <w:t xml:space="preserve">, como consulta directa en las oficinas de la Unidad de Transparencia; lo anterior, es robustecido con el Criterio de interpretación, con clave de control SO/008/2017, emitido por el Pleno del Instituto Nacional de Transparencia, Acceso a la Información y Protección de Datos Personales, el cual establece que cuando no sea posible atener la modalidad elegida por los solicitantes, la obligación de acceso a la información se tendrá por cumplida cuando el Sujeto Obligado justifique el impedimento para atender la misma y se notifique al particular la puesta a disposición de la </w:t>
      </w:r>
      <w:r w:rsidRPr="00EF7988">
        <w:rPr>
          <w:rFonts w:ascii="Palatino Linotype" w:eastAsia="Times New Roman" w:hAnsi="Palatino Linotype" w:cs="Tahoma"/>
          <w:b/>
          <w:bCs/>
          <w:iCs/>
          <w:sz w:val="22"/>
          <w:szCs w:val="22"/>
          <w:lang w:eastAsia="es-MX"/>
        </w:rPr>
        <w:t>información en todas las modalidades que lo permitan, procurando reducir los costos de entrega.</w:t>
      </w:r>
    </w:p>
    <w:p w14:paraId="5000E66F" w14:textId="77777777" w:rsidR="00B57BAC" w:rsidRDefault="00B57BAC" w:rsidP="000C0C40">
      <w:pPr>
        <w:spacing w:after="0" w:line="360" w:lineRule="auto"/>
        <w:contextualSpacing/>
        <w:jc w:val="both"/>
        <w:rPr>
          <w:rFonts w:ascii="Palatino Linotype" w:eastAsia="Times New Roman" w:hAnsi="Palatino Linotype" w:cs="Tahoma"/>
          <w:sz w:val="22"/>
          <w:szCs w:val="22"/>
          <w:lang w:eastAsia="es-MX"/>
        </w:rPr>
      </w:pPr>
    </w:p>
    <w:p w14:paraId="2BBD2D32" w14:textId="77777777" w:rsidR="000C0C40" w:rsidRPr="00EF7988" w:rsidRDefault="000C0C40" w:rsidP="000C0C40">
      <w:pPr>
        <w:spacing w:after="0" w:line="360" w:lineRule="auto"/>
        <w:contextualSpacing/>
        <w:jc w:val="both"/>
        <w:rPr>
          <w:rFonts w:ascii="Palatino Linotype" w:eastAsia="Times New Roman" w:hAnsi="Palatino Linotype" w:cs="Tahoma"/>
          <w:sz w:val="22"/>
          <w:szCs w:val="22"/>
          <w:lang w:eastAsia="es-MX"/>
        </w:rPr>
      </w:pPr>
    </w:p>
    <w:p w14:paraId="4D9519D3" w14:textId="77777777" w:rsidR="00B57BAC" w:rsidRPr="00EF7988" w:rsidRDefault="00B57BAC" w:rsidP="000C0C40">
      <w:pPr>
        <w:widowControl w:val="0"/>
        <w:spacing w:after="0" w:line="360" w:lineRule="auto"/>
        <w:contextualSpacing/>
        <w:jc w:val="both"/>
        <w:rPr>
          <w:rFonts w:ascii="Palatino Linotype" w:eastAsia="Calibri" w:hAnsi="Palatino Linotype" w:cs="Tahoma"/>
          <w:bCs/>
          <w:sz w:val="22"/>
          <w:szCs w:val="22"/>
          <w:lang w:eastAsia="es-MX"/>
        </w:rPr>
      </w:pPr>
      <w:r w:rsidRPr="00EF7988">
        <w:rPr>
          <w:rFonts w:ascii="Palatino Linotype" w:eastAsia="Calibri" w:hAnsi="Palatino Linotype" w:cs="Tahoma"/>
          <w:bCs/>
          <w:sz w:val="22"/>
          <w:szCs w:val="22"/>
          <w:lang w:eastAsia="es-MX"/>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6C0C83E6" w14:textId="77777777" w:rsidR="00B57BAC" w:rsidRPr="00EF7988" w:rsidRDefault="00B57BAC" w:rsidP="000C0C40">
      <w:pPr>
        <w:spacing w:after="0" w:line="360" w:lineRule="auto"/>
        <w:contextualSpacing/>
        <w:jc w:val="both"/>
        <w:rPr>
          <w:rFonts w:ascii="Palatino Linotype" w:eastAsia="Calibri" w:hAnsi="Palatino Linotype" w:cs="Tahoma"/>
          <w:bCs/>
          <w:sz w:val="22"/>
          <w:szCs w:val="22"/>
          <w:lang w:eastAsia="es-MX"/>
        </w:rPr>
      </w:pPr>
    </w:p>
    <w:p w14:paraId="372CFD00" w14:textId="77777777" w:rsidR="00B57BAC" w:rsidRPr="00EF7988" w:rsidRDefault="00B57BAC" w:rsidP="000C0C40">
      <w:pPr>
        <w:numPr>
          <w:ilvl w:val="0"/>
          <w:numId w:val="9"/>
        </w:numPr>
        <w:spacing w:after="0" w:line="360" w:lineRule="auto"/>
        <w:contextualSpacing/>
        <w:jc w:val="both"/>
        <w:rPr>
          <w:rFonts w:ascii="Palatino Linotype" w:eastAsia="Calibri" w:hAnsi="Palatino Linotype" w:cs="Tahoma"/>
          <w:bCs/>
          <w:sz w:val="22"/>
          <w:szCs w:val="22"/>
          <w:lang w:eastAsia="es-MX"/>
        </w:rPr>
      </w:pPr>
      <w:r w:rsidRPr="00EF7988">
        <w:rPr>
          <w:rFonts w:ascii="Palatino Linotype" w:eastAsia="Calibri" w:hAnsi="Palatino Linotype" w:cs="Tahoma"/>
          <w:bCs/>
          <w:sz w:val="22"/>
          <w:szCs w:val="22"/>
          <w:lang w:eastAsia="es-MX"/>
        </w:rPr>
        <w:t>Las razones por las cuales la información implicaba un análisis, estudio o procesamiento de datos;</w:t>
      </w:r>
    </w:p>
    <w:p w14:paraId="53F2B8F3" w14:textId="77777777" w:rsidR="00B57BAC" w:rsidRPr="00EF7988" w:rsidRDefault="00B57BAC" w:rsidP="000C0C40">
      <w:pPr>
        <w:numPr>
          <w:ilvl w:val="0"/>
          <w:numId w:val="9"/>
        </w:numPr>
        <w:spacing w:after="0" w:line="360" w:lineRule="auto"/>
        <w:contextualSpacing/>
        <w:jc w:val="both"/>
        <w:rPr>
          <w:rFonts w:ascii="Palatino Linotype" w:eastAsia="Calibri" w:hAnsi="Palatino Linotype" w:cs="Tahoma"/>
          <w:bCs/>
          <w:sz w:val="22"/>
          <w:szCs w:val="22"/>
          <w:lang w:eastAsia="es-MX"/>
        </w:rPr>
      </w:pPr>
      <w:r w:rsidRPr="00EF7988">
        <w:rPr>
          <w:rFonts w:ascii="Palatino Linotype" w:eastAsia="Times New Roman" w:hAnsi="Palatino Linotype" w:cs="Tahoma"/>
          <w:iCs/>
          <w:sz w:val="22"/>
          <w:szCs w:val="22"/>
          <w:lang w:eastAsia="es-MX"/>
        </w:rPr>
        <w:t>Por qué motivo el tiempo, que se le otorga al Sujeto Obligado para dar respuesta, en la modalidad elegida a la solicitud de información, no le es suficiente</w:t>
      </w:r>
      <w:r w:rsidRPr="00EF7988">
        <w:rPr>
          <w:rFonts w:ascii="Palatino Linotype" w:eastAsia="Calibri" w:hAnsi="Palatino Linotype" w:cs="Tahoma"/>
          <w:bCs/>
          <w:sz w:val="22"/>
          <w:szCs w:val="22"/>
          <w:lang w:eastAsia="es-MX"/>
        </w:rPr>
        <w:t>, y</w:t>
      </w:r>
    </w:p>
    <w:p w14:paraId="21AE14DA" w14:textId="77777777" w:rsidR="00B57BAC" w:rsidRPr="00EF7988" w:rsidRDefault="00B57BAC" w:rsidP="000C0C40">
      <w:pPr>
        <w:numPr>
          <w:ilvl w:val="0"/>
          <w:numId w:val="9"/>
        </w:numPr>
        <w:spacing w:after="0" w:line="360" w:lineRule="auto"/>
        <w:contextualSpacing/>
        <w:jc w:val="both"/>
        <w:rPr>
          <w:rFonts w:ascii="Palatino Linotype" w:eastAsia="Calibri" w:hAnsi="Palatino Linotype" w:cs="Tahoma"/>
          <w:bCs/>
          <w:sz w:val="22"/>
          <w:szCs w:val="22"/>
          <w:lang w:eastAsia="es-MX"/>
        </w:rPr>
      </w:pPr>
      <w:r w:rsidRPr="00EF7988">
        <w:rPr>
          <w:rFonts w:ascii="Palatino Linotype" w:eastAsia="Calibri" w:hAnsi="Palatino Linotype" w:cs="Tahoma"/>
          <w:bCs/>
          <w:sz w:val="22"/>
          <w:szCs w:val="22"/>
          <w:lang w:eastAsia="es-MX"/>
        </w:rPr>
        <w:t>La cantidad de recursos humanos y materiales con los que cuenta el Sujeto Obligado son insuficientes.</w:t>
      </w:r>
    </w:p>
    <w:p w14:paraId="2E62A91E" w14:textId="77777777" w:rsidR="00B57BAC" w:rsidRPr="00EF7988" w:rsidRDefault="00B57BAC" w:rsidP="000C0C40">
      <w:pPr>
        <w:spacing w:after="0" w:line="360" w:lineRule="auto"/>
        <w:contextualSpacing/>
        <w:jc w:val="both"/>
        <w:rPr>
          <w:rFonts w:ascii="Palatino Linotype" w:eastAsia="Times New Roman" w:hAnsi="Palatino Linotype" w:cs="Tahoma"/>
          <w:iCs/>
          <w:sz w:val="22"/>
          <w:szCs w:val="22"/>
          <w:lang w:val="es-ES" w:eastAsia="es-MX"/>
        </w:rPr>
      </w:pPr>
    </w:p>
    <w:p w14:paraId="19FEA709" w14:textId="0E45FFC2" w:rsidR="00B57BAC" w:rsidRPr="00EF7988" w:rsidRDefault="00B57BAC" w:rsidP="000C0C40">
      <w:pPr>
        <w:tabs>
          <w:tab w:val="left" w:pos="4962"/>
        </w:tabs>
        <w:spacing w:after="0" w:line="360" w:lineRule="auto"/>
        <w:contextualSpacing/>
        <w:jc w:val="both"/>
        <w:rPr>
          <w:rFonts w:ascii="Palatino Linotype" w:eastAsia="Palatino Linotype" w:hAnsi="Palatino Linotype" w:cs="Palatino Linotype"/>
          <w:color w:val="000000"/>
          <w:sz w:val="22"/>
          <w:szCs w:val="22"/>
          <w:lang w:eastAsia="es-MX"/>
        </w:rPr>
      </w:pPr>
      <w:bookmarkStart w:id="22" w:name="_Hlk144895931"/>
      <w:r w:rsidRPr="00EF7988">
        <w:rPr>
          <w:rFonts w:ascii="Palatino Linotype" w:eastAsia="Times New Roman" w:hAnsi="Palatino Linotype" w:cs="Times New Roman"/>
          <w:color w:val="000000"/>
          <w:sz w:val="22"/>
          <w:szCs w:val="22"/>
        </w:rPr>
        <w:t xml:space="preserve">Ahora bien, el Ente Recurrido tanto en respuesta como a través del </w:t>
      </w:r>
      <w:r w:rsidR="002F73FF" w:rsidRPr="00EF7988">
        <w:rPr>
          <w:rFonts w:ascii="Palatino Linotype" w:eastAsia="Times New Roman" w:hAnsi="Palatino Linotype" w:cs="Times New Roman"/>
          <w:color w:val="000000"/>
          <w:sz w:val="22"/>
          <w:szCs w:val="22"/>
        </w:rPr>
        <w:t>informe justificado</w:t>
      </w:r>
      <w:r w:rsidRPr="00EF7988">
        <w:rPr>
          <w:rFonts w:ascii="Palatino Linotype" w:eastAsia="Times New Roman" w:hAnsi="Palatino Linotype" w:cs="Times New Roman"/>
          <w:color w:val="000000"/>
          <w:sz w:val="22"/>
          <w:szCs w:val="22"/>
        </w:rPr>
        <w:t xml:space="preserve"> precisó </w:t>
      </w:r>
      <w:bookmarkEnd w:id="22"/>
      <w:r w:rsidRPr="00EF7988">
        <w:rPr>
          <w:rFonts w:ascii="Palatino Linotype" w:eastAsia="Times New Roman" w:hAnsi="Palatino Linotype" w:cs="Times New Roman"/>
          <w:color w:val="000000"/>
          <w:sz w:val="22"/>
          <w:szCs w:val="22"/>
        </w:rPr>
        <w:t>que la información sobrepasaba las capacidades del Sistema de Acceso a la Información Mexiquense, dado que los documentos relativos a</w:t>
      </w:r>
      <w:r w:rsidR="002F73FF" w:rsidRPr="00EF7988">
        <w:rPr>
          <w:rFonts w:ascii="Palatino Linotype" w:eastAsia="Times New Roman" w:hAnsi="Palatino Linotype" w:cs="Times New Roman"/>
          <w:color w:val="000000"/>
          <w:sz w:val="22"/>
          <w:szCs w:val="22"/>
        </w:rPr>
        <w:t xml:space="preserve"> </w:t>
      </w:r>
      <w:r w:rsidRPr="00EF7988">
        <w:rPr>
          <w:rFonts w:ascii="Palatino Linotype" w:eastAsia="Times New Roman" w:hAnsi="Palatino Linotype" w:cs="Times New Roman"/>
          <w:color w:val="000000"/>
          <w:sz w:val="22"/>
          <w:szCs w:val="22"/>
        </w:rPr>
        <w:t>l</w:t>
      </w:r>
      <w:r w:rsidR="002F73FF" w:rsidRPr="00EF7988">
        <w:rPr>
          <w:rFonts w:ascii="Palatino Linotype" w:eastAsia="Times New Roman" w:hAnsi="Palatino Linotype" w:cs="Times New Roman"/>
          <w:color w:val="000000"/>
          <w:sz w:val="22"/>
          <w:szCs w:val="22"/>
        </w:rPr>
        <w:t>os expedientes relacionados con los procedimientos de licitación realizados durante el periodo requerido</w:t>
      </w:r>
      <w:r w:rsidRPr="00EF7988">
        <w:rPr>
          <w:rFonts w:ascii="Palatino Linotype" w:eastAsia="Times New Roman" w:hAnsi="Palatino Linotype" w:cs="Times New Roman"/>
          <w:color w:val="000000"/>
          <w:sz w:val="22"/>
          <w:szCs w:val="22"/>
        </w:rPr>
        <w:t xml:space="preserve"> tenían un</w:t>
      </w:r>
      <w:r w:rsidRPr="00EF7988">
        <w:rPr>
          <w:rFonts w:ascii="Palatino Linotype" w:eastAsia="Calibri" w:hAnsi="Palatino Linotype" w:cs="Tahoma"/>
          <w:bCs/>
          <w:color w:val="000000"/>
          <w:sz w:val="22"/>
          <w:szCs w:val="22"/>
          <w:lang w:val="es-ES" w:eastAsia="es-MX"/>
        </w:rPr>
        <w:t xml:space="preserve"> peso aproximado de </w:t>
      </w:r>
      <w:r w:rsidR="002F73FF" w:rsidRPr="00EF7988">
        <w:rPr>
          <w:rFonts w:ascii="Palatino Linotype" w:eastAsia="Calibri" w:hAnsi="Palatino Linotype" w:cs="Tahoma"/>
          <w:bCs/>
          <w:color w:val="000000"/>
          <w:sz w:val="22"/>
          <w:szCs w:val="22"/>
          <w:lang w:val="es-ES" w:eastAsia="es-MX"/>
        </w:rPr>
        <w:t>5.54</w:t>
      </w:r>
      <w:r w:rsidRPr="00EF7988">
        <w:rPr>
          <w:rFonts w:ascii="Palatino Linotype" w:eastAsia="Calibri" w:hAnsi="Palatino Linotype" w:cs="Tahoma"/>
          <w:bCs/>
          <w:color w:val="000000"/>
          <w:sz w:val="22"/>
          <w:szCs w:val="22"/>
          <w:lang w:val="es-ES" w:eastAsia="es-MX"/>
        </w:rPr>
        <w:t xml:space="preserve"> gigabytes</w:t>
      </w:r>
      <w:r w:rsidR="007A2355" w:rsidRPr="00EF7988">
        <w:rPr>
          <w:rFonts w:ascii="Palatino Linotype" w:eastAsia="Calibri" w:hAnsi="Palatino Linotype" w:cs="Tahoma"/>
          <w:bCs/>
          <w:color w:val="000000"/>
          <w:sz w:val="22"/>
          <w:szCs w:val="22"/>
          <w:lang w:val="es-ES" w:eastAsia="es-MX"/>
        </w:rPr>
        <w:t xml:space="preserve"> en un total de 427 archivos</w:t>
      </w:r>
      <w:r w:rsidRPr="00EF7988">
        <w:rPr>
          <w:rFonts w:ascii="Palatino Linotype" w:eastAsia="Calibri" w:hAnsi="Palatino Linotype" w:cs="Tahoma"/>
          <w:bCs/>
          <w:color w:val="000000"/>
          <w:sz w:val="22"/>
          <w:szCs w:val="22"/>
          <w:lang w:val="es-ES" w:eastAsia="es-MX"/>
        </w:rPr>
        <w:t>,</w:t>
      </w:r>
      <w:r w:rsidR="007A2355" w:rsidRPr="00EF7988">
        <w:rPr>
          <w:rFonts w:ascii="Palatino Linotype" w:eastAsia="Calibri" w:hAnsi="Palatino Linotype" w:cs="Tahoma"/>
          <w:bCs/>
          <w:color w:val="000000"/>
          <w:sz w:val="22"/>
          <w:szCs w:val="22"/>
          <w:lang w:val="es-ES" w:eastAsia="es-MX"/>
        </w:rPr>
        <w:t xml:space="preserve"> además que la entrega de la información sobrepasaba la capacidad administrativa y humana, </w:t>
      </w:r>
      <w:r w:rsidRPr="00EF7988">
        <w:rPr>
          <w:rFonts w:ascii="Palatino Linotype" w:eastAsia="Calibri" w:hAnsi="Palatino Linotype" w:cs="Tahoma"/>
          <w:bCs/>
          <w:color w:val="000000"/>
          <w:sz w:val="22"/>
          <w:szCs w:val="22"/>
          <w:lang w:val="es-ES" w:eastAsia="es-MX"/>
        </w:rPr>
        <w:t xml:space="preserve">circunstancia que fue sustentada </w:t>
      </w:r>
      <w:r w:rsidR="002F73FF" w:rsidRPr="00EF7988">
        <w:rPr>
          <w:rFonts w:ascii="Palatino Linotype" w:eastAsia="Calibri" w:hAnsi="Palatino Linotype" w:cs="Tahoma"/>
          <w:bCs/>
          <w:color w:val="000000"/>
          <w:sz w:val="22"/>
          <w:szCs w:val="22"/>
          <w:lang w:val="es-ES" w:eastAsia="es-MX"/>
        </w:rPr>
        <w:t xml:space="preserve">a través del Acta de la Décima Segunda Sesión Extraordinaria </w:t>
      </w:r>
      <w:r w:rsidR="007A2355" w:rsidRPr="00EF7988">
        <w:rPr>
          <w:rFonts w:ascii="Palatino Linotype" w:eastAsia="Calibri" w:hAnsi="Palatino Linotype" w:cs="Tahoma"/>
          <w:bCs/>
          <w:color w:val="000000"/>
          <w:sz w:val="22"/>
          <w:szCs w:val="22"/>
          <w:lang w:val="es-ES" w:eastAsia="es-MX"/>
        </w:rPr>
        <w:t>del Comité de Transparencia</w:t>
      </w:r>
      <w:r w:rsidRPr="00EF7988">
        <w:rPr>
          <w:rFonts w:ascii="Palatino Linotype" w:eastAsia="Calibri" w:hAnsi="Palatino Linotype" w:cs="Tahoma"/>
          <w:bCs/>
          <w:color w:val="000000"/>
          <w:sz w:val="22"/>
          <w:szCs w:val="22"/>
          <w:lang w:val="es-ES" w:eastAsia="es-MX"/>
        </w:rPr>
        <w:t xml:space="preserve">, además </w:t>
      </w:r>
      <w:r w:rsidR="007A2355" w:rsidRPr="00EF7988">
        <w:rPr>
          <w:rFonts w:ascii="Palatino Linotype" w:eastAsia="Calibri" w:hAnsi="Palatino Linotype" w:cs="Tahoma"/>
          <w:bCs/>
          <w:color w:val="000000"/>
          <w:sz w:val="22"/>
          <w:szCs w:val="22"/>
          <w:lang w:val="es-ES" w:eastAsia="es-MX"/>
        </w:rPr>
        <w:t>del</w:t>
      </w:r>
      <w:r w:rsidRPr="00EF7988">
        <w:rPr>
          <w:rFonts w:ascii="Palatino Linotype" w:eastAsia="Palatino Linotype" w:hAnsi="Palatino Linotype" w:cs="Palatino Linotype"/>
          <w:color w:val="000000"/>
          <w:sz w:val="22"/>
          <w:szCs w:val="22"/>
          <w:lang w:eastAsia="es-MX"/>
        </w:rPr>
        <w:t xml:space="preserve"> registro de incidencia técnica ante la Dirección de Informática de este Instituto realizada a través del oficio número </w:t>
      </w:r>
      <w:r w:rsidRPr="00EF7988">
        <w:rPr>
          <w:rFonts w:ascii="Palatino Linotype" w:eastAsia="Palatino Linotype" w:hAnsi="Palatino Linotype" w:cs="Times New Roman"/>
          <w:sz w:val="22"/>
          <w:szCs w:val="22"/>
          <w:lang w:eastAsia="es-MX"/>
        </w:rPr>
        <w:t>INFOEM/DGI/</w:t>
      </w:r>
      <w:r w:rsidR="007A2355" w:rsidRPr="00EF7988">
        <w:rPr>
          <w:rFonts w:ascii="Palatino Linotype" w:eastAsia="Palatino Linotype" w:hAnsi="Palatino Linotype" w:cs="Times New Roman"/>
          <w:sz w:val="22"/>
          <w:szCs w:val="22"/>
          <w:lang w:eastAsia="es-MX"/>
        </w:rPr>
        <w:t>311</w:t>
      </w:r>
      <w:r w:rsidRPr="00EF7988">
        <w:rPr>
          <w:rFonts w:ascii="Palatino Linotype" w:eastAsia="Palatino Linotype" w:hAnsi="Palatino Linotype" w:cs="Times New Roman"/>
          <w:sz w:val="22"/>
          <w:szCs w:val="22"/>
          <w:lang w:eastAsia="es-MX"/>
        </w:rPr>
        <w:t>/2026</w:t>
      </w:r>
      <w:r w:rsidRPr="00EF7988">
        <w:rPr>
          <w:rFonts w:ascii="Palatino Linotype" w:eastAsia="Palatino Linotype" w:hAnsi="Palatino Linotype" w:cs="Palatino Linotype"/>
          <w:color w:val="000000"/>
          <w:sz w:val="22"/>
          <w:szCs w:val="22"/>
          <w:lang w:eastAsia="es-MX"/>
        </w:rPr>
        <w:t>.</w:t>
      </w:r>
    </w:p>
    <w:p w14:paraId="595AD484" w14:textId="77777777" w:rsidR="00B57BAC" w:rsidRPr="00EF7988" w:rsidRDefault="00B57BAC" w:rsidP="000C0C40">
      <w:pPr>
        <w:spacing w:after="0" w:line="360" w:lineRule="auto"/>
        <w:contextualSpacing/>
        <w:jc w:val="both"/>
        <w:rPr>
          <w:rFonts w:ascii="Palatino Linotype" w:eastAsia="Calibri" w:hAnsi="Palatino Linotype" w:cs="Tahoma"/>
          <w:bCs/>
          <w:color w:val="000000"/>
          <w:sz w:val="22"/>
          <w:szCs w:val="22"/>
          <w:lang w:val="es-ES" w:eastAsia="es-MX"/>
        </w:rPr>
      </w:pPr>
    </w:p>
    <w:p w14:paraId="0C97BA67" w14:textId="77777777" w:rsidR="00B57BAC" w:rsidRPr="00EF7988" w:rsidRDefault="00B57BAC" w:rsidP="000C0C40">
      <w:pPr>
        <w:autoSpaceDE w:val="0"/>
        <w:autoSpaceDN w:val="0"/>
        <w:adjustRightInd w:val="0"/>
        <w:spacing w:after="0" w:line="360" w:lineRule="auto"/>
        <w:contextualSpacing/>
        <w:jc w:val="both"/>
        <w:rPr>
          <w:rFonts w:ascii="Palatino Linotype" w:eastAsia="Calibri" w:hAnsi="Palatino Linotype" w:cs="Tahoma"/>
          <w:color w:val="000000"/>
          <w:sz w:val="22"/>
          <w:szCs w:val="22"/>
        </w:rPr>
      </w:pPr>
      <w:r w:rsidRPr="00EF7988">
        <w:rPr>
          <w:rFonts w:ascii="Palatino Linotype" w:eastAsia="Calibri" w:hAnsi="Palatino Linotype" w:cs="Tahoma"/>
          <w:bCs/>
          <w:iCs/>
          <w:color w:val="000000"/>
          <w:sz w:val="22"/>
          <w:szCs w:val="22"/>
        </w:rPr>
        <w:t xml:space="preserve">Sobre dicha circunstancia, </w:t>
      </w:r>
      <w:r w:rsidRPr="00EF7988">
        <w:rPr>
          <w:rFonts w:ascii="Palatino Linotype" w:eastAsia="Calibri" w:hAnsi="Palatino Linotype" w:cs="Tahoma"/>
          <w:color w:val="000000"/>
          <w:sz w:val="22"/>
          <w:szCs w:val="22"/>
        </w:rPr>
        <w:t>el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quinientos megabytes o su equivalente a ocho mil fojas.</w:t>
      </w:r>
    </w:p>
    <w:p w14:paraId="33D6AADB" w14:textId="77777777" w:rsidR="00B57BAC" w:rsidRPr="00EF7988" w:rsidRDefault="00B57BAC" w:rsidP="000C0C40">
      <w:pPr>
        <w:spacing w:after="0" w:line="360" w:lineRule="auto"/>
        <w:contextualSpacing/>
        <w:jc w:val="both"/>
        <w:rPr>
          <w:rFonts w:ascii="Palatino Linotype" w:eastAsia="Calibri" w:hAnsi="Palatino Linotype" w:cs="Tahoma"/>
          <w:bCs/>
          <w:color w:val="000000"/>
          <w:sz w:val="22"/>
          <w:szCs w:val="22"/>
          <w:lang w:val="es-ES" w:eastAsia="es-MX"/>
        </w:rPr>
      </w:pPr>
    </w:p>
    <w:p w14:paraId="4D655831" w14:textId="6D23DE1D" w:rsidR="00B57BAC" w:rsidRPr="00EF7988" w:rsidRDefault="00B57BAC" w:rsidP="000C0C40">
      <w:pPr>
        <w:spacing w:after="0" w:line="360" w:lineRule="auto"/>
        <w:contextualSpacing/>
        <w:jc w:val="both"/>
        <w:rPr>
          <w:rFonts w:ascii="Palatino Linotype" w:eastAsia="Times New Roman" w:hAnsi="Palatino Linotype" w:cs="Tahoma"/>
          <w:sz w:val="22"/>
          <w:szCs w:val="22"/>
          <w:lang w:eastAsia="es-MX"/>
        </w:rPr>
      </w:pPr>
      <w:r w:rsidRPr="00EF7988">
        <w:rPr>
          <w:rFonts w:ascii="Palatino Linotype" w:eastAsia="Calibri" w:hAnsi="Palatino Linotype" w:cs="Tahoma"/>
          <w:bCs/>
          <w:iCs/>
          <w:color w:val="000000" w:themeColor="text1"/>
          <w:sz w:val="22"/>
          <w:szCs w:val="22"/>
        </w:rPr>
        <w:t>Conforme a lo anterior, se logra vislumbrar que la información solicitada, sobrepasaba las capacidades técnicas del Sistema de Acceso a la Información Mexiquense</w:t>
      </w:r>
      <w:r w:rsidRPr="00EF7988">
        <w:rPr>
          <w:rFonts w:ascii="Palatino Linotype" w:eastAsia="Calibri" w:hAnsi="Palatino Linotype" w:cs="Times New Roman"/>
          <w:color w:val="000000" w:themeColor="text1"/>
          <w:sz w:val="22"/>
          <w:szCs w:val="22"/>
        </w:rPr>
        <w:t xml:space="preserve"> </w:t>
      </w:r>
      <w:r w:rsidRPr="00EF7988">
        <w:rPr>
          <w:rFonts w:ascii="Palatino Linotype" w:eastAsia="Calibri" w:hAnsi="Palatino Linotype" w:cs="Tahoma"/>
          <w:bCs/>
          <w:iCs/>
          <w:color w:val="000000" w:themeColor="text1"/>
          <w:sz w:val="22"/>
          <w:szCs w:val="22"/>
        </w:rPr>
        <w:t xml:space="preserve">(SAIMEX), pues la información pesa </w:t>
      </w:r>
      <w:r w:rsidR="007A2355" w:rsidRPr="00EF7988">
        <w:rPr>
          <w:rFonts w:ascii="Palatino Linotype" w:eastAsia="Calibri" w:hAnsi="Palatino Linotype" w:cs="Tahoma"/>
          <w:bCs/>
          <w:iCs/>
          <w:color w:val="000000" w:themeColor="text1"/>
          <w:sz w:val="22"/>
          <w:szCs w:val="22"/>
        </w:rPr>
        <w:t xml:space="preserve">5.54 </w:t>
      </w:r>
      <w:r w:rsidRPr="00EF7988">
        <w:rPr>
          <w:rFonts w:ascii="Palatino Linotype" w:eastAsia="Calibri" w:hAnsi="Palatino Linotype" w:cs="Tahoma"/>
          <w:bCs/>
          <w:iCs/>
          <w:color w:val="000000" w:themeColor="text1"/>
          <w:sz w:val="22"/>
          <w:szCs w:val="22"/>
        </w:rPr>
        <w:t xml:space="preserve">gigabytes </w:t>
      </w:r>
      <w:r w:rsidR="007A2355" w:rsidRPr="00EF7988">
        <w:rPr>
          <w:rFonts w:ascii="Palatino Linotype" w:eastAsia="Calibri" w:hAnsi="Palatino Linotype" w:cs="Tahoma"/>
          <w:bCs/>
          <w:iCs/>
          <w:color w:val="000000" w:themeColor="text1"/>
          <w:sz w:val="22"/>
          <w:szCs w:val="22"/>
        </w:rPr>
        <w:t xml:space="preserve">en un total de 427 archivos </w:t>
      </w:r>
      <w:r w:rsidRPr="00EF7988">
        <w:rPr>
          <w:rFonts w:ascii="Palatino Linotype" w:eastAsia="Calibri" w:hAnsi="Palatino Linotype" w:cs="Tahoma"/>
          <w:bCs/>
          <w:iCs/>
          <w:color w:val="000000" w:themeColor="text1"/>
          <w:sz w:val="22"/>
          <w:szCs w:val="22"/>
        </w:rPr>
        <w:t>en más de ocho mil hojas de información;</w:t>
      </w:r>
      <w:r w:rsidRPr="00EF7988">
        <w:rPr>
          <w:rFonts w:ascii="Palatino Linotype" w:eastAsia="Times New Roman" w:hAnsi="Palatino Linotype" w:cs="Tahoma"/>
          <w:bCs/>
          <w:iCs/>
          <w:sz w:val="22"/>
          <w:szCs w:val="22"/>
          <w:lang w:eastAsia="es-MX"/>
        </w:rPr>
        <w:t xml:space="preserve"> lo anterior, se robustece con</w:t>
      </w:r>
      <w:r w:rsidRPr="00EF7988">
        <w:rPr>
          <w:rFonts w:ascii="Palatino Linotype" w:eastAsia="Times New Roman" w:hAnsi="Palatino Linotype" w:cs="Tahoma"/>
          <w:iCs/>
          <w:sz w:val="22"/>
          <w:szCs w:val="22"/>
          <w:lang w:eastAsia="es-MX"/>
        </w:rPr>
        <w:t xml:space="preserve"> el </w:t>
      </w:r>
      <w:r w:rsidR="007A2355" w:rsidRPr="00EF7988">
        <w:rPr>
          <w:rFonts w:ascii="Palatino Linotype" w:eastAsia="Calibri" w:hAnsi="Palatino Linotype" w:cs="Tahoma"/>
          <w:bCs/>
          <w:color w:val="000000"/>
          <w:sz w:val="22"/>
          <w:szCs w:val="22"/>
          <w:lang w:val="es-ES" w:eastAsia="es-MX"/>
        </w:rPr>
        <w:t>Acta de la Décima Segunda Sesión Extraordinaria del Comité de Transparencia</w:t>
      </w:r>
      <w:r w:rsidR="007A2355" w:rsidRPr="00EF7988">
        <w:rPr>
          <w:rFonts w:ascii="Palatino Linotype" w:eastAsia="Times New Roman" w:hAnsi="Palatino Linotype" w:cs="Tahoma"/>
          <w:sz w:val="22"/>
          <w:szCs w:val="22"/>
          <w:lang w:eastAsia="es-MX"/>
        </w:rPr>
        <w:t xml:space="preserve">, </w:t>
      </w:r>
      <w:r w:rsidRPr="00EF7988">
        <w:rPr>
          <w:rFonts w:ascii="Palatino Linotype" w:eastAsia="Times New Roman" w:hAnsi="Palatino Linotype" w:cs="Tahoma"/>
          <w:sz w:val="22"/>
          <w:szCs w:val="22"/>
          <w:lang w:eastAsia="es-MX"/>
        </w:rPr>
        <w:t>por medio de la cual se aprobó dicho cambio, además del registro de incidencia ante este Instituto.</w:t>
      </w:r>
    </w:p>
    <w:p w14:paraId="43F53853" w14:textId="77777777" w:rsidR="00B57BAC" w:rsidRPr="00EF7988" w:rsidRDefault="00B57BAC" w:rsidP="000C0C40">
      <w:pPr>
        <w:spacing w:after="0" w:line="360" w:lineRule="auto"/>
        <w:contextualSpacing/>
        <w:jc w:val="both"/>
        <w:rPr>
          <w:rFonts w:ascii="Palatino Linotype" w:eastAsia="Calibri" w:hAnsi="Palatino Linotype" w:cs="Tahoma"/>
          <w:bCs/>
          <w:color w:val="000000"/>
          <w:sz w:val="22"/>
          <w:szCs w:val="22"/>
          <w:lang w:val="es-ES" w:eastAsia="es-MX"/>
        </w:rPr>
      </w:pPr>
    </w:p>
    <w:p w14:paraId="317EB0E7" w14:textId="77777777" w:rsidR="00B57BAC" w:rsidRPr="00EF7988" w:rsidRDefault="00B57BAC" w:rsidP="000C0C40">
      <w:pPr>
        <w:tabs>
          <w:tab w:val="left" w:pos="4962"/>
        </w:tabs>
        <w:spacing w:after="0" w:line="360" w:lineRule="auto"/>
        <w:contextualSpacing/>
        <w:jc w:val="both"/>
        <w:rPr>
          <w:rFonts w:ascii="Palatino Linotype" w:eastAsia="Calibri" w:hAnsi="Palatino Linotype" w:cs="Tahoma"/>
          <w:color w:val="000000"/>
          <w:sz w:val="22"/>
          <w:szCs w:val="22"/>
          <w:lang w:val="es-ES" w:eastAsia="es-MX"/>
        </w:rPr>
      </w:pPr>
      <w:r w:rsidRPr="00EF7988">
        <w:rPr>
          <w:rFonts w:ascii="Palatino Linotype" w:eastAsia="Times New Roman" w:hAnsi="Palatino Linotype" w:cs="Times New Roman"/>
          <w:sz w:val="22"/>
          <w:szCs w:val="22"/>
          <w:lang w:eastAsia="es-MX"/>
        </w:rPr>
        <w:t xml:space="preserve">Además, se logró vislumbrar que el Sujeto Obligado </w:t>
      </w:r>
      <w:r w:rsidRPr="00EF7988">
        <w:rPr>
          <w:rFonts w:ascii="Palatino Linotype" w:eastAsia="Times New Roman" w:hAnsi="Palatino Linotype" w:cs="Arial"/>
          <w:sz w:val="22"/>
          <w:szCs w:val="22"/>
          <w:lang w:eastAsia="es-MX"/>
        </w:rPr>
        <w:t xml:space="preserve">señaló el impedimento para proporcionar la información, en la modalidad elegida por la parte Recurrente, a saber, el </w:t>
      </w:r>
      <w:r w:rsidRPr="00EF7988">
        <w:rPr>
          <w:rFonts w:ascii="Palatino Linotype" w:eastAsia="Times New Roman" w:hAnsi="Palatino Linotype" w:cs="Arial"/>
          <w:b/>
          <w:bCs/>
          <w:sz w:val="22"/>
          <w:szCs w:val="22"/>
          <w:lang w:val="es-ES" w:eastAsia="es-MX"/>
        </w:rPr>
        <w:t>Sistema de Acceso a la Información Mexiquense (SAIMEX);</w:t>
      </w:r>
      <w:r w:rsidRPr="00EF7988">
        <w:rPr>
          <w:rFonts w:ascii="Palatino Linotype" w:eastAsia="Times New Roman" w:hAnsi="Palatino Linotype" w:cs="Arial"/>
          <w:sz w:val="22"/>
          <w:szCs w:val="22"/>
          <w:lang w:val="es-ES" w:eastAsia="es-MX"/>
        </w:rPr>
        <w:t xml:space="preserve"> por lo que, resulta procedente el cambio de modalidad.</w:t>
      </w:r>
    </w:p>
    <w:p w14:paraId="64556535" w14:textId="77777777" w:rsidR="00B57BAC" w:rsidRPr="00EF7988" w:rsidRDefault="00B57BAC" w:rsidP="000C0C40">
      <w:pPr>
        <w:spacing w:after="0" w:line="360" w:lineRule="auto"/>
        <w:contextualSpacing/>
        <w:jc w:val="both"/>
        <w:rPr>
          <w:rFonts w:ascii="Palatino Linotype" w:eastAsia="Calibri" w:hAnsi="Palatino Linotype" w:cs="Tahoma"/>
          <w:bCs/>
          <w:color w:val="000000"/>
          <w:sz w:val="22"/>
          <w:szCs w:val="22"/>
          <w:lang w:val="es-ES" w:eastAsia="es-MX"/>
        </w:rPr>
      </w:pPr>
    </w:p>
    <w:p w14:paraId="3B18938C" w14:textId="10617E44" w:rsidR="00B57BAC" w:rsidRPr="00EF7988" w:rsidRDefault="00B57BAC" w:rsidP="000C0C40">
      <w:pPr>
        <w:spacing w:after="0" w:line="360" w:lineRule="auto"/>
        <w:contextualSpacing/>
        <w:jc w:val="both"/>
        <w:rPr>
          <w:rFonts w:ascii="Palatino Linotype" w:eastAsia="Palatino Linotype" w:hAnsi="Palatino Linotype" w:cs="Palatino Linotype"/>
          <w:bCs/>
          <w:sz w:val="22"/>
          <w:szCs w:val="22"/>
          <w:lang w:eastAsia="es-MX"/>
        </w:rPr>
      </w:pPr>
      <w:r w:rsidRPr="00EF7988">
        <w:rPr>
          <w:rFonts w:ascii="Palatino Linotype" w:eastAsia="Calibri" w:hAnsi="Palatino Linotype" w:cs="Tahoma"/>
          <w:bCs/>
          <w:color w:val="000000"/>
          <w:sz w:val="22"/>
          <w:szCs w:val="22"/>
          <w:lang w:val="es-ES"/>
        </w:rPr>
        <w:t>En este contexto, el</w:t>
      </w:r>
      <w:r w:rsidRPr="00EF7988">
        <w:rPr>
          <w:rFonts w:ascii="Palatino Linotype" w:hAnsi="Palatino Linotype"/>
          <w:color w:val="000000" w:themeColor="text1"/>
          <w:sz w:val="22"/>
          <w:szCs w:val="22"/>
        </w:rPr>
        <w:t xml:space="preserve"> </w:t>
      </w:r>
      <w:r w:rsidR="007A2355" w:rsidRPr="00EF7988">
        <w:rPr>
          <w:rFonts w:ascii="Palatino Linotype" w:hAnsi="Palatino Linotype"/>
          <w:sz w:val="22"/>
          <w:szCs w:val="22"/>
        </w:rPr>
        <w:t>Instituto Municipal de Cultura Física y Deporte de Ecatepec</w:t>
      </w:r>
      <w:r w:rsidRPr="00EF7988">
        <w:rPr>
          <w:rFonts w:ascii="Palatino Linotype" w:eastAsia="Times New Roman" w:hAnsi="Palatino Linotype" w:cs="Tahoma"/>
          <w:iCs/>
          <w:sz w:val="22"/>
          <w:szCs w:val="22"/>
          <w:lang w:eastAsia="es-MX"/>
        </w:rPr>
        <w:t xml:space="preserve">, si bien acreditó la imposibilidad para proporcionar la información a través del Sistema de Acceso a la Información Mexiquense, al ponerla a disposición mediante consulta directa; </w:t>
      </w:r>
      <w:r w:rsidRPr="00EF7988">
        <w:rPr>
          <w:rFonts w:ascii="Palatino Linotype" w:eastAsia="Palatino Linotype" w:hAnsi="Palatino Linotype" w:cs="Palatino Linotype"/>
          <w:sz w:val="22"/>
          <w:szCs w:val="22"/>
          <w:lang w:eastAsia="es-MX"/>
        </w:rPr>
        <w:t xml:space="preserve">sin embargo, este Organismo Garante, ha considerado que no resulta suficiente justificar una imposibilidad técnica y humana para acreditar un cambio de modalidad, sino que es necesario demostrar otros impedimentos, como que la información se encontrará en un formato diverso a lo solicitado, que fuera de imposible reproducción en el medio elegido por el Solicitante, que la información ameritara el cruce de información en los sistemas de datos, entre otros, argumentos que encuentran sustento dentro diversas resoluciones de Recursos de Revisión con el fin de privilegiar el Principio de Gratuidad y Máxima Publicidad, </w:t>
      </w:r>
      <w:r w:rsidRPr="00EF7988">
        <w:rPr>
          <w:rFonts w:ascii="Palatino Linotype" w:eastAsia="Palatino Linotype" w:hAnsi="Palatino Linotype" w:cs="Palatino Linotype"/>
          <w:bCs/>
          <w:sz w:val="22"/>
          <w:szCs w:val="22"/>
          <w:lang w:eastAsia="es-MX"/>
        </w:rPr>
        <w:t>por lo que el Sujeto Obligado debe proporcionar otras modalidades para de la entrega de la información, a través del Sistema de Acceso a la Información Mexiquense (SAIMEX); tales como copia simple o certificada; medios de almacenamiento (USB), e incluso su envió a través de correo certificado previo pago de los costos de reproducción correspondientes.</w:t>
      </w:r>
    </w:p>
    <w:p w14:paraId="3F428591" w14:textId="77777777" w:rsidR="009E281A" w:rsidRPr="00EF7988" w:rsidRDefault="009E281A" w:rsidP="000C0C40">
      <w:pPr>
        <w:spacing w:after="0" w:line="360" w:lineRule="auto"/>
        <w:contextualSpacing/>
        <w:jc w:val="both"/>
        <w:rPr>
          <w:rFonts w:ascii="Palatino Linotype" w:eastAsia="Palatino Linotype" w:hAnsi="Palatino Linotype" w:cs="Palatino Linotype"/>
          <w:bCs/>
          <w:sz w:val="22"/>
          <w:szCs w:val="22"/>
          <w:lang w:eastAsia="es-MX"/>
        </w:rPr>
      </w:pPr>
    </w:p>
    <w:p w14:paraId="1A0E3665" w14:textId="038DD1FD" w:rsidR="009E281A" w:rsidRPr="00EF7988" w:rsidRDefault="009E281A" w:rsidP="000C0C40">
      <w:pPr>
        <w:spacing w:after="0" w:line="360" w:lineRule="auto"/>
        <w:contextualSpacing/>
        <w:jc w:val="both"/>
        <w:rPr>
          <w:rFonts w:ascii="Palatino Linotype" w:eastAsia="Palatino Linotype" w:hAnsi="Palatino Linotype" w:cs="Palatino Linotype"/>
          <w:bCs/>
          <w:sz w:val="22"/>
          <w:szCs w:val="22"/>
          <w:lang w:eastAsia="es-MX"/>
        </w:rPr>
      </w:pPr>
      <w:r w:rsidRPr="00EF7988">
        <w:rPr>
          <w:rFonts w:ascii="Palatino Linotype" w:eastAsia="Palatino Linotype" w:hAnsi="Palatino Linotype" w:cs="Palatino Linotype"/>
          <w:bCs/>
          <w:sz w:val="22"/>
          <w:szCs w:val="22"/>
          <w:lang w:eastAsia="es-MX"/>
        </w:rPr>
        <w:t>Cabe precisar que el Sujeto Obligado señaló que la información podría ser entregada a través de copias simples o certificadas previo pago de los derechos de las mismas, así como a través de medios electrónicos como USB, Disco Duro o CD-ROM que proporcione la persona solicitante.</w:t>
      </w:r>
    </w:p>
    <w:p w14:paraId="38E12DEA" w14:textId="77777777" w:rsidR="00B57BAC" w:rsidRPr="00EF7988" w:rsidRDefault="00B57BAC" w:rsidP="000C0C40">
      <w:pPr>
        <w:spacing w:after="0" w:line="360" w:lineRule="auto"/>
        <w:ind w:right="-28"/>
        <w:contextualSpacing/>
        <w:jc w:val="both"/>
        <w:rPr>
          <w:rFonts w:ascii="Palatino Linotype" w:eastAsia="Times New Roman" w:hAnsi="Palatino Linotype" w:cs="Tahoma"/>
          <w:iCs/>
          <w:sz w:val="22"/>
          <w:szCs w:val="22"/>
          <w:lang w:eastAsia="es-MX"/>
        </w:rPr>
      </w:pPr>
    </w:p>
    <w:p w14:paraId="31AB2B7F" w14:textId="5659594E" w:rsidR="00B57BAC" w:rsidRPr="00EF7988" w:rsidRDefault="00B57BAC" w:rsidP="000C0C40">
      <w:pPr>
        <w:spacing w:after="0" w:line="360" w:lineRule="auto"/>
        <w:ind w:right="-28"/>
        <w:contextualSpacing/>
        <w:jc w:val="both"/>
        <w:rPr>
          <w:rFonts w:ascii="Palatino Linotype" w:eastAsia="Times New Roman" w:hAnsi="Palatino Linotype" w:cs="Tahoma"/>
          <w:b/>
          <w:bCs/>
          <w:iCs/>
          <w:sz w:val="22"/>
          <w:szCs w:val="22"/>
          <w:lang w:eastAsia="es-MX"/>
        </w:rPr>
      </w:pPr>
      <w:r w:rsidRPr="00EF7988">
        <w:rPr>
          <w:rFonts w:ascii="Palatino Linotype" w:eastAsia="Times New Roman" w:hAnsi="Palatino Linotype" w:cs="Tahoma"/>
          <w:iCs/>
          <w:sz w:val="22"/>
          <w:szCs w:val="22"/>
          <w:lang w:eastAsia="es-MX"/>
        </w:rPr>
        <w:t>Conforme a todo lo expuesto si bien el Ente Recurrido acreditó la imposibilidad técnica para la entrega de la información lo cierto es que</w:t>
      </w:r>
      <w:r w:rsidR="009E281A" w:rsidRPr="00EF7988">
        <w:rPr>
          <w:rFonts w:ascii="Palatino Linotype" w:eastAsia="Times New Roman" w:hAnsi="Palatino Linotype" w:cs="Tahoma"/>
          <w:iCs/>
          <w:sz w:val="22"/>
          <w:szCs w:val="22"/>
          <w:lang w:eastAsia="es-MX"/>
        </w:rPr>
        <w:t xml:space="preserve"> no acreditó la capacidad</w:t>
      </w:r>
      <w:r w:rsidRPr="00EF7988">
        <w:rPr>
          <w:rFonts w:ascii="Palatino Linotype" w:eastAsia="Times New Roman" w:hAnsi="Palatino Linotype" w:cs="Tahoma"/>
          <w:iCs/>
          <w:sz w:val="22"/>
          <w:szCs w:val="22"/>
          <w:lang w:eastAsia="es-MX"/>
        </w:rPr>
        <w:t xml:space="preserve"> </w:t>
      </w:r>
      <w:r w:rsidR="009E281A" w:rsidRPr="00EF7988">
        <w:rPr>
          <w:rFonts w:ascii="Palatino Linotype" w:eastAsia="Times New Roman" w:hAnsi="Palatino Linotype" w:cs="Tahoma"/>
          <w:iCs/>
          <w:sz w:val="22"/>
          <w:szCs w:val="22"/>
          <w:lang w:eastAsia="es-MX"/>
        </w:rPr>
        <w:t xml:space="preserve">humana y administrativa con la que contaba, sumado a que </w:t>
      </w:r>
      <w:r w:rsidRPr="00EF7988">
        <w:rPr>
          <w:rFonts w:ascii="Palatino Linotype" w:eastAsia="Times New Roman" w:hAnsi="Palatino Linotype" w:cs="Tahoma"/>
          <w:iCs/>
          <w:sz w:val="22"/>
          <w:szCs w:val="22"/>
          <w:lang w:eastAsia="es-MX"/>
        </w:rPr>
        <w:t xml:space="preserve">omitió poner a disposición la información solicitada </w:t>
      </w:r>
      <w:r w:rsidR="009E281A" w:rsidRPr="00EF7988">
        <w:rPr>
          <w:rFonts w:ascii="Palatino Linotype" w:eastAsia="Times New Roman" w:hAnsi="Palatino Linotype" w:cs="Tahoma"/>
          <w:iCs/>
          <w:sz w:val="22"/>
          <w:szCs w:val="22"/>
          <w:lang w:eastAsia="es-MX"/>
        </w:rPr>
        <w:t>a través de correo certificado</w:t>
      </w:r>
      <w:r w:rsidRPr="00EF7988">
        <w:rPr>
          <w:rFonts w:ascii="Palatino Linotype" w:eastAsia="Times New Roman" w:hAnsi="Palatino Linotype" w:cs="Tahoma"/>
          <w:iCs/>
          <w:sz w:val="22"/>
          <w:szCs w:val="22"/>
          <w:lang w:eastAsia="es-MX"/>
        </w:rPr>
        <w:t xml:space="preserve">, lo cual da como resultado que el agravio resulte </w:t>
      </w:r>
      <w:r w:rsidRPr="00EF7988">
        <w:rPr>
          <w:rFonts w:ascii="Palatino Linotype" w:eastAsia="Times New Roman" w:hAnsi="Palatino Linotype" w:cs="Tahoma"/>
          <w:b/>
          <w:bCs/>
          <w:iCs/>
          <w:sz w:val="22"/>
          <w:szCs w:val="22"/>
          <w:lang w:eastAsia="es-MX"/>
        </w:rPr>
        <w:t>parcialmente FUNDADO.</w:t>
      </w:r>
    </w:p>
    <w:p w14:paraId="0EB0778A" w14:textId="77777777" w:rsidR="00B57BAC" w:rsidRPr="00EF7988" w:rsidRDefault="00B57BAC" w:rsidP="000C0C40">
      <w:pPr>
        <w:spacing w:after="0" w:line="360" w:lineRule="auto"/>
        <w:ind w:right="-28"/>
        <w:contextualSpacing/>
        <w:jc w:val="both"/>
        <w:rPr>
          <w:rFonts w:ascii="Palatino Linotype" w:eastAsia="Times New Roman" w:hAnsi="Palatino Linotype" w:cs="Tahoma"/>
          <w:iCs/>
          <w:sz w:val="22"/>
          <w:szCs w:val="22"/>
          <w:lang w:eastAsia="es-MX"/>
        </w:rPr>
      </w:pPr>
    </w:p>
    <w:p w14:paraId="22E698CA" w14:textId="77777777" w:rsidR="00B57BAC" w:rsidRPr="00EF7988" w:rsidRDefault="00B57BAC" w:rsidP="000C0C40">
      <w:pPr>
        <w:spacing w:after="0" w:line="360" w:lineRule="auto"/>
        <w:ind w:right="-28"/>
        <w:contextualSpacing/>
        <w:jc w:val="both"/>
        <w:rPr>
          <w:rFonts w:ascii="Palatino Linotype" w:eastAsia="Calibri" w:hAnsi="Palatino Linotype" w:cs="Tahoma"/>
          <w:sz w:val="22"/>
          <w:szCs w:val="22"/>
          <w:lang w:eastAsia="es-MX"/>
        </w:rPr>
      </w:pPr>
      <w:r w:rsidRPr="00EF7988">
        <w:rPr>
          <w:rFonts w:ascii="Palatino Linotype" w:eastAsia="Calibri" w:hAnsi="Palatino Linotype" w:cs="Tahoma"/>
          <w:sz w:val="22"/>
          <w:szCs w:val="22"/>
          <w:lang w:eastAsia="es-MX"/>
        </w:rPr>
        <w:t xml:space="preserve">Así, resulta procedente ordenar al Sujeto Obligado poner a disposición la información en todas las modalidades, tales como, en un vínculo electrónico, disco compacto, dispositivo de almacenamiento, copias simples o certificadas, con posibilidad de entrega en la Unidad de Transparencia o a domicilio por correo certificado, previo pago de los derechos correspondientes. </w:t>
      </w:r>
    </w:p>
    <w:p w14:paraId="038044F1" w14:textId="77777777" w:rsidR="00B57BAC" w:rsidRPr="00EF7988" w:rsidRDefault="00B57BAC" w:rsidP="000C0C40">
      <w:pPr>
        <w:spacing w:after="0" w:line="360" w:lineRule="auto"/>
        <w:ind w:right="-28"/>
        <w:contextualSpacing/>
        <w:jc w:val="both"/>
        <w:rPr>
          <w:rFonts w:ascii="Palatino Linotype" w:eastAsia="Calibri" w:hAnsi="Palatino Linotype" w:cs="Tahoma"/>
          <w:sz w:val="22"/>
          <w:szCs w:val="22"/>
          <w:lang w:eastAsia="es-MX"/>
        </w:rPr>
      </w:pPr>
    </w:p>
    <w:p w14:paraId="6AE196EF" w14:textId="77777777" w:rsidR="00B57BAC" w:rsidRPr="00EF7988" w:rsidRDefault="00B57BAC" w:rsidP="000C0C40">
      <w:pPr>
        <w:spacing w:after="0" w:line="360" w:lineRule="auto"/>
        <w:contextualSpacing/>
        <w:jc w:val="both"/>
        <w:rPr>
          <w:rFonts w:ascii="Palatino Linotype" w:eastAsia="Calibri" w:hAnsi="Palatino Linotype" w:cs="Tahoma"/>
          <w:sz w:val="22"/>
          <w:szCs w:val="22"/>
          <w:lang w:eastAsia="es-MX"/>
        </w:rPr>
      </w:pPr>
      <w:r w:rsidRPr="00EF7988">
        <w:rPr>
          <w:rFonts w:ascii="Palatino Linotype" w:eastAsia="Calibri" w:hAnsi="Palatino Linotype" w:cs="Tahoma"/>
          <w:sz w:val="22"/>
          <w:szCs w:val="22"/>
          <w:lang w:eastAsia="es-MX"/>
        </w:rPr>
        <w:t>Ahora bien, para el caso que no pueda subir la información en una liga electrónica de acceso en Internet, por no contar con presupuesto, ni con el equipo electrónico adecuado para tal circunstancia, podrá omitir dicha modalidad, para la entrega de la información.</w:t>
      </w:r>
    </w:p>
    <w:p w14:paraId="6B68304E" w14:textId="77777777" w:rsidR="00B57BAC" w:rsidRPr="00EF7988" w:rsidRDefault="00B57BAC" w:rsidP="000C0C40">
      <w:pPr>
        <w:spacing w:after="0" w:line="360" w:lineRule="auto"/>
        <w:contextualSpacing/>
        <w:jc w:val="both"/>
        <w:rPr>
          <w:rFonts w:ascii="Palatino Linotype" w:eastAsia="Calibri" w:hAnsi="Palatino Linotype" w:cs="Tahoma"/>
          <w:bCs/>
          <w:color w:val="000000"/>
          <w:sz w:val="22"/>
          <w:szCs w:val="22"/>
          <w:lang w:val="es-ES" w:eastAsia="es-MX"/>
        </w:rPr>
      </w:pPr>
    </w:p>
    <w:p w14:paraId="17120651" w14:textId="445C28E1" w:rsidR="00B57BAC" w:rsidRPr="00EF7988" w:rsidRDefault="00B57BAC" w:rsidP="000C0C40">
      <w:pPr>
        <w:spacing w:after="0" w:line="360" w:lineRule="auto"/>
        <w:contextualSpacing/>
        <w:jc w:val="both"/>
        <w:rPr>
          <w:rFonts w:ascii="Palatino Linotype" w:eastAsia="Calibri" w:hAnsi="Palatino Linotype" w:cs="Times New Roman"/>
          <w:bCs/>
          <w:sz w:val="22"/>
          <w:szCs w:val="22"/>
          <w:lang w:eastAsia="es-MX"/>
        </w:rPr>
      </w:pPr>
      <w:r w:rsidRPr="00EF7988">
        <w:rPr>
          <w:rFonts w:ascii="Palatino Linotype" w:eastAsia="Calibri" w:hAnsi="Palatino Linotype" w:cs="Tahoma"/>
          <w:sz w:val="22"/>
          <w:szCs w:val="22"/>
          <w:lang w:eastAsia="es-MX"/>
        </w:rPr>
        <w:t xml:space="preserve">Conforme a lo anterior, se considera que el Sujeto Obligado deberá poner a disposición del ahora Recurrente, </w:t>
      </w:r>
      <w:r w:rsidRPr="00EF7988">
        <w:rPr>
          <w:rFonts w:ascii="Palatino Linotype" w:eastAsia="Times New Roman" w:hAnsi="Palatino Linotype" w:cs="Tahoma"/>
          <w:sz w:val="22"/>
          <w:szCs w:val="22"/>
          <w:lang w:eastAsia="es-MX"/>
        </w:rPr>
        <w:t xml:space="preserve">en todas las modalidades que permita la documentación, tales como, disco compacto, dispositivo de almacenamiento, consulta directa, copias simples o certificadas, con posibilidad de entrega en la Unidad de Transparencia o a domicilio por correo certificado, previo pago de los derechos correspondientes, </w:t>
      </w:r>
      <w:r w:rsidR="009E281A" w:rsidRPr="00EF7988">
        <w:rPr>
          <w:rFonts w:ascii="Palatino Linotype" w:hAnsi="Palatino Linotype"/>
          <w:color w:val="000000"/>
          <w:sz w:val="22"/>
          <w:szCs w:val="22"/>
        </w:rPr>
        <w:t>los expedientes que integran los procedimientos de licitación pública, invitación restringida, y adjudicación directa realizadas del primero de enero de dos mil veinticinco, al primero de mayo de dos mil veintiséis</w:t>
      </w:r>
      <w:r w:rsidRPr="00EF7988">
        <w:rPr>
          <w:rFonts w:ascii="Palatino Linotype" w:eastAsia="Calibri" w:hAnsi="Palatino Linotype" w:cs="Times New Roman"/>
          <w:bCs/>
          <w:sz w:val="22"/>
          <w:szCs w:val="22"/>
          <w:lang w:eastAsia="es-MX"/>
        </w:rPr>
        <w:t>.</w:t>
      </w:r>
    </w:p>
    <w:p w14:paraId="29890D25" w14:textId="77777777" w:rsidR="00B57BAC" w:rsidRPr="00EF7988" w:rsidRDefault="00B57BAC" w:rsidP="000C0C40">
      <w:pPr>
        <w:spacing w:after="0" w:line="360" w:lineRule="auto"/>
        <w:contextualSpacing/>
        <w:jc w:val="both"/>
        <w:rPr>
          <w:rFonts w:ascii="Palatino Linotype" w:eastAsia="Calibri" w:hAnsi="Palatino Linotype" w:cs="Times New Roman"/>
          <w:bCs/>
          <w:sz w:val="22"/>
          <w:szCs w:val="22"/>
          <w:lang w:eastAsia="es-MX"/>
        </w:rPr>
      </w:pPr>
    </w:p>
    <w:p w14:paraId="09CA155E" w14:textId="77777777" w:rsidR="00B57BAC" w:rsidRPr="00EF7988" w:rsidRDefault="00B57BAC" w:rsidP="000C0C40">
      <w:pPr>
        <w:spacing w:after="0" w:line="360" w:lineRule="auto"/>
        <w:contextualSpacing/>
        <w:jc w:val="both"/>
        <w:rPr>
          <w:rFonts w:ascii="Palatino Linotype" w:eastAsia="Times New Roman" w:hAnsi="Palatino Linotype" w:cs="Tahoma"/>
          <w:sz w:val="22"/>
          <w:szCs w:val="22"/>
          <w:lang w:eastAsia="es-MX"/>
        </w:rPr>
      </w:pPr>
      <w:r w:rsidRPr="00EF7988">
        <w:rPr>
          <w:rFonts w:ascii="Palatino Linotype" w:eastAsia="Times New Roman" w:hAnsi="Palatino Linotype" w:cs="Tahoma"/>
          <w:sz w:val="22"/>
          <w:szCs w:val="22"/>
          <w:lang w:eastAsia="es-MX"/>
        </w:rPr>
        <w:t>Además, el Sujeto Obligado deberá hacer del conocimiento al Particular que la información estará disponible, por un plazo mínimo de sesenta días naturales, a partir de la fecha en que ponga a disposición del Recurrente la información, en términos del segundo párrafo del artículo 166 de la Ley de Transparencia y Acceso a la Información Pública del Estado de México y Municipios.</w:t>
      </w:r>
    </w:p>
    <w:p w14:paraId="28A27138" w14:textId="77777777" w:rsidR="00B57BAC" w:rsidRPr="00EF7988" w:rsidRDefault="00B57BAC" w:rsidP="000C0C40">
      <w:pPr>
        <w:spacing w:after="0" w:line="360" w:lineRule="auto"/>
        <w:contextualSpacing/>
        <w:jc w:val="both"/>
        <w:rPr>
          <w:rFonts w:ascii="Palatino Linotype" w:eastAsia="Times New Roman" w:hAnsi="Palatino Linotype" w:cs="Tahoma"/>
          <w:sz w:val="22"/>
          <w:szCs w:val="22"/>
          <w:lang w:eastAsia="es-MX"/>
        </w:rPr>
      </w:pPr>
    </w:p>
    <w:p w14:paraId="7ADE426A" w14:textId="77777777" w:rsidR="00B57BAC" w:rsidRPr="00EF7988" w:rsidRDefault="00B57BAC" w:rsidP="000C0C40">
      <w:pPr>
        <w:spacing w:after="0" w:line="360" w:lineRule="auto"/>
        <w:contextualSpacing/>
        <w:jc w:val="both"/>
        <w:rPr>
          <w:rFonts w:ascii="Palatino Linotype" w:eastAsia="Times New Roman" w:hAnsi="Palatino Linotype" w:cs="Tahoma"/>
          <w:sz w:val="22"/>
          <w:szCs w:val="22"/>
          <w:lang w:eastAsia="es-MX"/>
        </w:rPr>
      </w:pPr>
      <w:r w:rsidRPr="00EF7988">
        <w:rPr>
          <w:rFonts w:ascii="Palatino Linotype" w:eastAsia="Times New Roman" w:hAnsi="Palatino Linotype" w:cs="Tahoma"/>
          <w:sz w:val="22"/>
          <w:szCs w:val="22"/>
          <w:lang w:eastAsia="es-MX"/>
        </w:rPr>
        <w:t xml:space="preserve">Si dentro del transcurso del término señalado en el párrafo anterior, </w:t>
      </w:r>
      <w:r w:rsidRPr="00EF7988">
        <w:rPr>
          <w:rFonts w:ascii="Palatino Linotype" w:eastAsia="Times New Roman" w:hAnsi="Palatino Linotype" w:cs="Tahoma"/>
          <w:b/>
          <w:sz w:val="22"/>
          <w:szCs w:val="22"/>
          <w:lang w:eastAsia="es-MX"/>
        </w:rPr>
        <w:t>el Particular acude por la información,</w:t>
      </w:r>
      <w:r w:rsidRPr="00EF7988">
        <w:rPr>
          <w:rFonts w:ascii="Palatino Linotype" w:eastAsia="Times New Roman" w:hAnsi="Palatino Linotype" w:cs="Tahoma"/>
          <w:sz w:val="22"/>
          <w:szCs w:val="22"/>
          <w:lang w:eastAsia="es-MX"/>
        </w:rPr>
        <w:t xml:space="preserve"> el Sujeto Obligado levantará un acta de hechos misma que debe ser remitida a este Instituto, por conducto de la Secretaría Técnica del Pleno, junto con el acuse de recibo de la información del Particular; sin embargo, si una vez fenecido el plazo, no acudiera por los documentos ordenados, el Sujeto Obligado, mediante acuerdo dará por concluida la solicitud y podrá, de ser el caso, realizar la destrucción del material en el que se reprodujo, situación que también deberá informar a este Instituto, por el mismo conducto.</w:t>
      </w:r>
    </w:p>
    <w:p w14:paraId="3BA6CAE1" w14:textId="77777777" w:rsidR="00B57BAC" w:rsidRPr="00EF7988" w:rsidRDefault="00B57BAC" w:rsidP="000C0C40">
      <w:pPr>
        <w:spacing w:after="0" w:line="360" w:lineRule="auto"/>
        <w:contextualSpacing/>
        <w:jc w:val="both"/>
        <w:rPr>
          <w:rFonts w:ascii="Palatino Linotype" w:eastAsia="Times New Roman" w:hAnsi="Palatino Linotype" w:cs="Tahoma"/>
          <w:sz w:val="22"/>
          <w:szCs w:val="22"/>
          <w:lang w:eastAsia="es-MX"/>
        </w:rPr>
      </w:pPr>
    </w:p>
    <w:p w14:paraId="08C1E2A6" w14:textId="77777777" w:rsidR="00B57BAC" w:rsidRPr="00EF7988" w:rsidRDefault="00B57BAC" w:rsidP="000C0C40">
      <w:pPr>
        <w:spacing w:after="0" w:line="360" w:lineRule="auto"/>
        <w:contextualSpacing/>
        <w:jc w:val="both"/>
        <w:rPr>
          <w:rFonts w:ascii="Palatino Linotype" w:eastAsia="Times New Roman" w:hAnsi="Palatino Linotype" w:cs="Times New Roman"/>
          <w:bCs/>
          <w:iCs/>
          <w:sz w:val="22"/>
          <w:szCs w:val="22"/>
          <w:lang w:eastAsia="es-MX"/>
        </w:rPr>
      </w:pPr>
      <w:r w:rsidRPr="00EF7988">
        <w:rPr>
          <w:rFonts w:ascii="Palatino Linotype" w:eastAsia="Times New Roman" w:hAnsi="Palatino Linotype" w:cs="Tahoma"/>
          <w:sz w:val="22"/>
          <w:szCs w:val="22"/>
          <w:lang w:eastAsia="es-MX"/>
        </w:rPr>
        <w:t>Dicha</w:t>
      </w:r>
      <w:r w:rsidRPr="00EF7988">
        <w:rPr>
          <w:rFonts w:ascii="Palatino Linotype" w:eastAsia="Times New Roman" w:hAnsi="Palatino Linotype" w:cs="Times New Roman"/>
          <w:bCs/>
          <w:iCs/>
          <w:sz w:val="22"/>
          <w:szCs w:val="22"/>
          <w:lang w:eastAsia="es-MX"/>
        </w:rPr>
        <w:t xml:space="preserve">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1120A3AB" w14:textId="77777777" w:rsidR="00B57BAC" w:rsidRPr="00EF7988" w:rsidRDefault="00B57BAC" w:rsidP="000C0C40">
      <w:pPr>
        <w:spacing w:after="0" w:line="360" w:lineRule="auto"/>
        <w:contextualSpacing/>
        <w:jc w:val="both"/>
        <w:rPr>
          <w:rFonts w:ascii="Palatino Linotype" w:eastAsia="Times New Roman" w:hAnsi="Palatino Linotype" w:cs="Times New Roman"/>
          <w:bCs/>
          <w:iCs/>
          <w:sz w:val="22"/>
          <w:szCs w:val="22"/>
          <w:lang w:eastAsia="es-MX"/>
        </w:rPr>
      </w:pPr>
      <w:r w:rsidRPr="00EF7988">
        <w:rPr>
          <w:rFonts w:ascii="Palatino Linotype" w:eastAsia="Times New Roman" w:hAnsi="Palatino Linotype" w:cs="Times New Roman"/>
          <w:bCs/>
          <w:iCs/>
          <w:sz w:val="22"/>
          <w:szCs w:val="22"/>
          <w:lang w:eastAsia="es-MX"/>
        </w:rPr>
        <w:t xml:space="preserve"> </w:t>
      </w:r>
    </w:p>
    <w:p w14:paraId="2C3394CA" w14:textId="77777777" w:rsidR="00B57BAC" w:rsidRPr="00EF7988" w:rsidRDefault="00B57BAC" w:rsidP="000C0C40">
      <w:pPr>
        <w:spacing w:after="0" w:line="360" w:lineRule="auto"/>
        <w:contextualSpacing/>
        <w:jc w:val="both"/>
        <w:rPr>
          <w:rFonts w:ascii="Palatino Linotype" w:eastAsia="Times New Roman" w:hAnsi="Palatino Linotype" w:cs="Times New Roman"/>
          <w:bCs/>
          <w:iCs/>
          <w:sz w:val="22"/>
          <w:szCs w:val="22"/>
          <w:lang w:eastAsia="es-MX"/>
        </w:rPr>
      </w:pPr>
      <w:r w:rsidRPr="00EF7988">
        <w:rPr>
          <w:rFonts w:ascii="Palatino Linotype" w:eastAsia="Times New Roman" w:hAnsi="Palatino Linotype" w:cs="Times New Roman"/>
          <w:bCs/>
          <w:iCs/>
          <w:sz w:val="22"/>
          <w:szCs w:val="22"/>
          <w:lang w:eastAsia="es-MX"/>
        </w:rPr>
        <w:t xml:space="preserve">De esta manera, el derecho de acceso a la información pública se satisface en aquellos casos en que se entregue el soporte documental en el que conste la información solicitada, sin necesidad de elaborar documentos </w:t>
      </w:r>
      <w:r w:rsidRPr="00EF7988">
        <w:rPr>
          <w:rFonts w:ascii="Palatino Linotype" w:eastAsia="Times New Roman" w:hAnsi="Palatino Linotype" w:cs="Times New Roman"/>
          <w:bCs/>
          <w:i/>
          <w:iCs/>
          <w:sz w:val="22"/>
          <w:szCs w:val="22"/>
          <w:lang w:eastAsia="es-MX"/>
        </w:rPr>
        <w:t>ad hoc</w:t>
      </w:r>
      <w:r w:rsidRPr="00EF7988">
        <w:rPr>
          <w:rFonts w:ascii="Palatino Linotype" w:eastAsia="Times New Roman" w:hAnsi="Palatino Linotype" w:cs="Times New Roman"/>
          <w:bCs/>
          <w:iCs/>
          <w:sz w:val="22"/>
          <w:szCs w:val="22"/>
          <w:lang w:eastAsia="es-MX"/>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51DFCFAA" w14:textId="77777777" w:rsidR="00B57BAC" w:rsidRPr="00EF7988" w:rsidRDefault="00B57BAC" w:rsidP="000C0C40">
      <w:pPr>
        <w:spacing w:after="0" w:line="360" w:lineRule="auto"/>
        <w:contextualSpacing/>
        <w:jc w:val="both"/>
        <w:rPr>
          <w:rFonts w:ascii="Palatino Linotype" w:eastAsia="Times New Roman" w:hAnsi="Palatino Linotype" w:cs="Times New Roman"/>
          <w:bCs/>
          <w:iCs/>
          <w:sz w:val="22"/>
          <w:szCs w:val="22"/>
          <w:lang w:eastAsia="es-MX"/>
        </w:rPr>
      </w:pPr>
      <w:r w:rsidRPr="00EF7988">
        <w:rPr>
          <w:rFonts w:ascii="Palatino Linotype" w:eastAsia="Times New Roman" w:hAnsi="Palatino Linotype" w:cs="Times New Roman"/>
          <w:bCs/>
          <w:iCs/>
          <w:sz w:val="22"/>
          <w:szCs w:val="22"/>
          <w:lang w:eastAsia="es-MX"/>
        </w:rPr>
        <w:t xml:space="preserve"> </w:t>
      </w:r>
    </w:p>
    <w:p w14:paraId="122E9523" w14:textId="77777777" w:rsidR="00B57BAC" w:rsidRPr="00EF7988" w:rsidRDefault="00B57BAC" w:rsidP="000C0C40">
      <w:pPr>
        <w:spacing w:after="0" w:line="360" w:lineRule="auto"/>
        <w:contextualSpacing/>
        <w:jc w:val="both"/>
        <w:rPr>
          <w:rFonts w:ascii="Palatino Linotype" w:eastAsia="Times New Roman" w:hAnsi="Palatino Linotype" w:cs="Times New Roman"/>
          <w:bCs/>
          <w:iCs/>
          <w:sz w:val="22"/>
          <w:szCs w:val="22"/>
          <w:lang w:eastAsia="es-MX"/>
        </w:rPr>
      </w:pPr>
      <w:r w:rsidRPr="00EF7988">
        <w:rPr>
          <w:rFonts w:ascii="Palatino Linotype" w:eastAsia="Times New Roman" w:hAnsi="Palatino Linotype" w:cs="Times New Roman"/>
          <w:bCs/>
          <w:iCs/>
          <w:sz w:val="22"/>
          <w:szCs w:val="22"/>
          <w:lang w:eastAsia="es-MX"/>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los documentos donde conste la información solicitada. </w:t>
      </w:r>
    </w:p>
    <w:p w14:paraId="201C142B"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p>
    <w:p w14:paraId="1020DEB1" w14:textId="33D81512" w:rsidR="009E281A" w:rsidRPr="009E281A" w:rsidRDefault="009E281A" w:rsidP="000C0C40">
      <w:pPr>
        <w:spacing w:after="0" w:line="360" w:lineRule="auto"/>
        <w:contextualSpacing/>
        <w:jc w:val="both"/>
        <w:rPr>
          <w:rFonts w:ascii="Palatino Linotype" w:eastAsia="Times New Roman" w:hAnsi="Palatino Linotype" w:cs="Times New Roman"/>
          <w:color w:val="000000"/>
          <w:sz w:val="22"/>
          <w:szCs w:val="22"/>
          <w:lang w:eastAsia="es-ES"/>
        </w:rPr>
      </w:pPr>
      <w:r w:rsidRPr="009E281A">
        <w:rPr>
          <w:rFonts w:ascii="Palatino Linotype" w:eastAsia="Times New Roman" w:hAnsi="Palatino Linotype" w:cs="Times New Roman"/>
          <w:color w:val="000000"/>
          <w:sz w:val="22"/>
          <w:szCs w:val="22"/>
          <w:lang w:eastAsia="es-ES"/>
        </w:rPr>
        <w:t>No pasa por alto que los documentos que den cuenta de la información podría</w:t>
      </w:r>
      <w:r w:rsidR="00EF7988">
        <w:rPr>
          <w:rFonts w:ascii="Palatino Linotype" w:eastAsia="Times New Roman" w:hAnsi="Palatino Linotype" w:cs="Times New Roman"/>
          <w:color w:val="000000"/>
          <w:sz w:val="22"/>
          <w:szCs w:val="22"/>
          <w:lang w:eastAsia="es-ES"/>
        </w:rPr>
        <w:t>n</w:t>
      </w:r>
      <w:r w:rsidRPr="009E281A">
        <w:rPr>
          <w:rFonts w:ascii="Palatino Linotype" w:eastAsia="Times New Roman" w:hAnsi="Palatino Linotype" w:cs="Times New Roman"/>
          <w:color w:val="000000"/>
          <w:sz w:val="22"/>
          <w:szCs w:val="22"/>
          <w:lang w:eastAsia="es-ES"/>
        </w:rPr>
        <w:t xml:space="preserve"> contener diversos datos por lo que se procede analizar dicha circunstancia. </w:t>
      </w:r>
    </w:p>
    <w:p w14:paraId="580BE432" w14:textId="77777777" w:rsidR="009E281A" w:rsidRPr="009E281A" w:rsidRDefault="009E281A" w:rsidP="000C0C40">
      <w:pPr>
        <w:spacing w:after="0" w:line="360" w:lineRule="auto"/>
        <w:contextualSpacing/>
        <w:jc w:val="both"/>
        <w:rPr>
          <w:rFonts w:ascii="Palatino Linotype" w:eastAsia="Times New Roman" w:hAnsi="Palatino Linotype" w:cs="Times New Roman"/>
          <w:color w:val="000000"/>
          <w:sz w:val="22"/>
          <w:szCs w:val="22"/>
          <w:lang w:eastAsia="es-ES"/>
        </w:rPr>
      </w:pPr>
    </w:p>
    <w:p w14:paraId="5B3E3F55"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Al respecto, 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7E1092AA"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5CD78E73"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Acorde con lo anterior, la Ley General de Transparencia y Acceso a la Información Pública, en su artículo 116, dispone que se considera información confidencial la que contenga datos personales concernientes a una persona física identificada o identificable o bien, la que presenten los particulares con dicho carácter.</w:t>
      </w:r>
    </w:p>
    <w:p w14:paraId="5480B402"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68868F95"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0D3F45B0"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4F611C65"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5B8B3604"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06A423CE"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En concordancia con lo previo, el artículo 143, fracciones I y III, de la Ley previamente citada, establece que la información privada y los datos personales, concernientes a una persona física o jurídica colectiva identificada o identificables, son confidenciales; así como, aquella presentada por los particulares con dicho carácter.</w:t>
      </w:r>
    </w:p>
    <w:p w14:paraId="61FE3BF9"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714FAAC0"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18568C27"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4B4B6625"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En términos de lo expuesto, la documentación y aquellos datos que se consideren confidenciales, serán una limitante del derecho de acceso a la información, siempre y cuando:</w:t>
      </w:r>
    </w:p>
    <w:p w14:paraId="269A7934"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0F28789D" w14:textId="77777777" w:rsidR="009E281A" w:rsidRPr="009E281A" w:rsidRDefault="009E281A" w:rsidP="000C0C40">
      <w:pPr>
        <w:numPr>
          <w:ilvl w:val="0"/>
          <w:numId w:val="25"/>
        </w:num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Se trate de datos personales o información privada; esto es, información concerniente a una persona física o jurídico colectiva y que esta sea identificada o identificable. </w:t>
      </w:r>
    </w:p>
    <w:p w14:paraId="1EA7E5C5" w14:textId="77777777" w:rsidR="009E281A" w:rsidRPr="009E281A" w:rsidRDefault="009E281A" w:rsidP="000C0C40">
      <w:pPr>
        <w:spacing w:after="0" w:line="360" w:lineRule="auto"/>
        <w:ind w:left="720"/>
        <w:contextualSpacing/>
        <w:jc w:val="both"/>
        <w:rPr>
          <w:rFonts w:ascii="Palatino Linotype" w:eastAsia="Times New Roman" w:hAnsi="Palatino Linotype" w:cs="Tahoma"/>
          <w:bCs/>
          <w:noProof/>
          <w:color w:val="0D0D0D"/>
          <w:sz w:val="22"/>
          <w:szCs w:val="22"/>
          <w:lang w:eastAsia="es-ES"/>
        </w:rPr>
      </w:pPr>
    </w:p>
    <w:p w14:paraId="2A267C07" w14:textId="77777777" w:rsidR="009E281A" w:rsidRPr="009E281A" w:rsidRDefault="009E281A" w:rsidP="000C0C40">
      <w:pPr>
        <w:numPr>
          <w:ilvl w:val="0"/>
          <w:numId w:val="25"/>
        </w:num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Para la difusión de los datos, se requiera el consentimiento del titular. </w:t>
      </w:r>
    </w:p>
    <w:p w14:paraId="2170DAA2"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01803446"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2E62167B"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p>
    <w:p w14:paraId="0405373E" w14:textId="77777777" w:rsidR="009E281A" w:rsidRPr="009E281A" w:rsidRDefault="009E281A" w:rsidP="000C0C40">
      <w:pPr>
        <w:numPr>
          <w:ilvl w:val="0"/>
          <w:numId w:val="26"/>
        </w:num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 xml:space="preserve">Nombre de persona física </w:t>
      </w:r>
    </w:p>
    <w:p w14:paraId="5724FA3C"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p>
    <w:p w14:paraId="40A0B48A"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Proveedor</w:t>
      </w:r>
    </w:p>
    <w:p w14:paraId="703AE11B"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 xml:space="preserve"> </w:t>
      </w:r>
    </w:p>
    <w:p w14:paraId="1DDAB3E2"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Al respecto, cabe precisar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9E281A">
        <w:rPr>
          <w:rFonts w:ascii="Palatino Linotype" w:eastAsia="Times New Roman" w:hAnsi="Palatino Linotype" w:cs="Tahoma"/>
          <w:bCs/>
          <w:i/>
          <w:noProof/>
          <w:color w:val="0D0D0D"/>
          <w:sz w:val="22"/>
          <w:szCs w:val="22"/>
          <w:lang w:eastAsia="es-ES"/>
        </w:rPr>
        <w:t>per se</w:t>
      </w:r>
      <w:r w:rsidRPr="009E281A">
        <w:rPr>
          <w:rFonts w:ascii="Palatino Linotype" w:eastAsia="Times New Roman" w:hAnsi="Palatino Linotype" w:cs="Tahoma"/>
          <w:bCs/>
          <w:noProof/>
          <w:color w:val="0D0D0D"/>
          <w:sz w:val="22"/>
          <w:szCs w:val="22"/>
          <w:lang w:eastAsia="es-ES"/>
        </w:rPr>
        <w:t xml:space="preserve"> es un elemento que hace a una persona física identificada o identificable.</w:t>
      </w:r>
    </w:p>
    <w:p w14:paraId="6A33AE4E"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5BB2D1EE"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w:t>
      </w:r>
      <w:r w:rsidRPr="009E281A">
        <w:rPr>
          <w:rFonts w:ascii="Palatino Linotype" w:eastAsia="Times New Roman" w:hAnsi="Palatino Linotype" w:cs="Tahoma"/>
          <w:b/>
          <w:bCs/>
          <w:noProof/>
          <w:color w:val="0D0D0D"/>
          <w:sz w:val="22"/>
          <w:szCs w:val="22"/>
          <w:lang w:eastAsia="es-ES"/>
        </w:rPr>
        <w:t>los nombres de aquellos que reciben recursos públicos (proveedores),</w:t>
      </w:r>
      <w:r w:rsidRPr="009E281A">
        <w:rPr>
          <w:rFonts w:ascii="Palatino Linotype" w:eastAsia="Times New Roman" w:hAnsi="Palatino Linotype" w:cs="Tahoma"/>
          <w:bCs/>
          <w:noProof/>
          <w:color w:val="0D0D0D"/>
          <w:sz w:val="22"/>
          <w:szCs w:val="22"/>
          <w:lang w:eastAsia="es-ES"/>
        </w:rPr>
        <w:t xml:space="preserve"> ya que la difusión de dicho dato constituye una obligación de transparencia por parte de los sujetos obligados.</w:t>
      </w:r>
    </w:p>
    <w:p w14:paraId="762C915E"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26D1B14B"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Toma sustento con el artículo 92, fracciones XXXI, de la Ley de la materia, el cual establece que los sujetos obligados tienen la obligación de poner a disposición del público y mantener actualizada de acuerdo con sus facultades, atribuciones, funciones u objeto social, según corresponda el </w:t>
      </w:r>
      <w:r w:rsidRPr="009E281A">
        <w:rPr>
          <w:rFonts w:ascii="Palatino Linotype" w:eastAsia="Times New Roman" w:hAnsi="Palatino Linotype" w:cs="Tahoma"/>
          <w:b/>
          <w:bCs/>
          <w:noProof/>
          <w:color w:val="0D0D0D"/>
          <w:sz w:val="22"/>
          <w:szCs w:val="22"/>
          <w:lang w:eastAsia="es-ES"/>
        </w:rPr>
        <w:t>Padrón de proveedores y contratistas.</w:t>
      </w:r>
    </w:p>
    <w:p w14:paraId="558B64AF"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 xml:space="preserve"> </w:t>
      </w:r>
    </w:p>
    <w:p w14:paraId="5FA270A1"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75C7AF45"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 </w:t>
      </w:r>
    </w:p>
    <w:p w14:paraId="089BE1A8"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Cs/>
          <w:noProof/>
          <w:color w:val="0D0D0D"/>
          <w:sz w:val="22"/>
          <w:szCs w:val="22"/>
          <w:lang w:eastAsia="es-MX"/>
        </w:rPr>
        <w:drawing>
          <wp:inline distT="0" distB="0" distL="0" distR="0" wp14:anchorId="29C3F19F" wp14:editId="5D192971">
            <wp:extent cx="5742940" cy="752475"/>
            <wp:effectExtent l="0" t="0" r="0" b="9525"/>
            <wp:docPr id="115694774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752475"/>
                    </a:xfrm>
                    <a:prstGeom prst="rect">
                      <a:avLst/>
                    </a:prstGeom>
                    <a:noFill/>
                    <a:ln>
                      <a:noFill/>
                    </a:ln>
                  </pic:spPr>
                </pic:pic>
              </a:graphicData>
            </a:graphic>
          </wp:inline>
        </w:drawing>
      </w:r>
      <w:r w:rsidRPr="009E281A">
        <w:rPr>
          <w:rFonts w:ascii="Palatino Linotype" w:eastAsia="Times New Roman" w:hAnsi="Palatino Linotype" w:cs="Tahoma"/>
          <w:b/>
          <w:bCs/>
          <w:noProof/>
          <w:color w:val="0D0D0D"/>
          <w:sz w:val="22"/>
          <w:szCs w:val="22"/>
          <w:lang w:eastAsia="es-ES"/>
        </w:rPr>
        <w:t xml:space="preserve"> </w:t>
      </w:r>
    </w:p>
    <w:p w14:paraId="5F2C999C"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Cs/>
          <w:noProof/>
          <w:color w:val="0D0D0D"/>
          <w:sz w:val="22"/>
          <w:szCs w:val="22"/>
          <w:lang w:eastAsia="es-MX"/>
        </w:rPr>
        <w:drawing>
          <wp:inline distT="0" distB="0" distL="0" distR="0" wp14:anchorId="2957B53C" wp14:editId="24D088D4">
            <wp:extent cx="5742940" cy="495300"/>
            <wp:effectExtent l="0" t="0" r="0" b="0"/>
            <wp:docPr id="28848118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2940" cy="495300"/>
                    </a:xfrm>
                    <a:prstGeom prst="rect">
                      <a:avLst/>
                    </a:prstGeom>
                    <a:noFill/>
                    <a:ln>
                      <a:noFill/>
                    </a:ln>
                  </pic:spPr>
                </pic:pic>
              </a:graphicData>
            </a:graphic>
          </wp:inline>
        </w:drawing>
      </w:r>
      <w:r w:rsidRPr="009E281A">
        <w:rPr>
          <w:rFonts w:ascii="Palatino Linotype" w:eastAsia="Times New Roman" w:hAnsi="Palatino Linotype" w:cs="Tahoma"/>
          <w:b/>
          <w:bCs/>
          <w:noProof/>
          <w:color w:val="0D0D0D"/>
          <w:sz w:val="22"/>
          <w:szCs w:val="22"/>
          <w:lang w:eastAsia="es-ES"/>
        </w:rPr>
        <w:t xml:space="preserve"> </w:t>
      </w:r>
    </w:p>
    <w:p w14:paraId="4D0DDC9F"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 xml:space="preserve"> </w:t>
      </w:r>
    </w:p>
    <w:p w14:paraId="27D5AFA2"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 xml:space="preserve">Por lo tanto, la Ley de Transparencia y Acceso a la Información Pública del Estado de México y Municipios, considera que </w:t>
      </w:r>
      <w:r w:rsidRPr="009E281A">
        <w:rPr>
          <w:rFonts w:ascii="Palatino Linotype" w:eastAsia="Times New Roman" w:hAnsi="Palatino Linotype" w:cs="Tahoma"/>
          <w:b/>
          <w:bCs/>
          <w:noProof/>
          <w:color w:val="0D0D0D"/>
          <w:sz w:val="22"/>
          <w:szCs w:val="22"/>
          <w:lang w:eastAsia="es-ES"/>
        </w:rPr>
        <w:t xml:space="preserve">los datos de aquellas personas que recibieron recursos públicos, por regla general, </w:t>
      </w:r>
      <w:r w:rsidRPr="009E281A">
        <w:rPr>
          <w:rFonts w:ascii="Palatino Linotype" w:eastAsia="Times New Roman" w:hAnsi="Palatino Linotype" w:cs="Tahoma"/>
          <w:bCs/>
          <w:noProof/>
          <w:color w:val="0D0D0D"/>
          <w:sz w:val="22"/>
          <w:szCs w:val="22"/>
          <w:lang w:eastAsia="es-ES"/>
        </w:rPr>
        <w:t xml:space="preserve">son de naturaleza pública, ya que su publicidad orienta a cumplir los objetivos que persigue la Ley; toda vez, </w:t>
      </w:r>
      <w:r w:rsidRPr="009E281A">
        <w:rPr>
          <w:rFonts w:ascii="Palatino Linotype" w:eastAsia="Times New Roman" w:hAnsi="Palatino Linotype" w:cs="Tahoma"/>
          <w:b/>
          <w:bCs/>
          <w:noProof/>
          <w:color w:val="0D0D0D"/>
          <w:sz w:val="22"/>
          <w:szCs w:val="22"/>
          <w:lang w:eastAsia="es-ES"/>
        </w:rPr>
        <w:t>que ayuda a transparentar a quienes se les han otorgado recursos públicos, así como, porque razones se les otorgaron dichos montos.</w:t>
      </w:r>
    </w:p>
    <w:p w14:paraId="4BBF9498"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 xml:space="preserve"> </w:t>
      </w:r>
    </w:p>
    <w:p w14:paraId="0FB474A5" w14:textId="77777777" w:rsidR="009E281A" w:rsidRPr="009E281A" w:rsidRDefault="009E281A" w:rsidP="000C0C40">
      <w:pPr>
        <w:spacing w:after="0" w:line="360" w:lineRule="auto"/>
        <w:contextualSpacing/>
        <w:jc w:val="both"/>
        <w:rPr>
          <w:rFonts w:ascii="Palatino Linotype" w:eastAsia="Times New Roman" w:hAnsi="Palatino Linotype" w:cs="Tahoma"/>
          <w:bCs/>
          <w:noProof/>
          <w:color w:val="0D0D0D"/>
          <w:sz w:val="22"/>
          <w:szCs w:val="22"/>
          <w:lang w:eastAsia="es-ES"/>
        </w:rPr>
      </w:pPr>
      <w:r w:rsidRPr="009E281A">
        <w:rPr>
          <w:rFonts w:ascii="Palatino Linotype" w:eastAsia="Times New Roman" w:hAnsi="Palatino Linotype" w:cs="Tahoma"/>
          <w:bCs/>
          <w:noProof/>
          <w:color w:val="0D0D0D"/>
          <w:sz w:val="22"/>
          <w:szCs w:val="22"/>
          <w:lang w:eastAsia="es-ES"/>
        </w:rPr>
        <w:t>Por lo que, se considera que no procede la clasificación del nombre de los proveedores, en términos del artículo 143, fracción I de la Ley de Transparencia y Acceso a la Información Pública del Estado de México y Municipios.</w:t>
      </w:r>
    </w:p>
    <w:p w14:paraId="18EBA739"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 xml:space="preserve"> </w:t>
      </w:r>
    </w:p>
    <w:p w14:paraId="237B01E9"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r w:rsidRPr="009E281A">
        <w:rPr>
          <w:rFonts w:ascii="Palatino Linotype" w:eastAsia="Times New Roman" w:hAnsi="Palatino Linotype" w:cs="Tahoma"/>
          <w:b/>
          <w:bCs/>
          <w:noProof/>
          <w:color w:val="0D0D0D"/>
          <w:sz w:val="22"/>
          <w:szCs w:val="22"/>
          <w:lang w:eastAsia="es-ES"/>
        </w:rPr>
        <w:t>Representante legal</w:t>
      </w:r>
    </w:p>
    <w:p w14:paraId="41051712" w14:textId="77777777" w:rsidR="009E281A" w:rsidRPr="009E281A" w:rsidRDefault="009E281A" w:rsidP="000C0C40">
      <w:pPr>
        <w:spacing w:after="0" w:line="360" w:lineRule="auto"/>
        <w:contextualSpacing/>
        <w:jc w:val="both"/>
        <w:rPr>
          <w:rFonts w:ascii="Palatino Linotype" w:eastAsia="Times New Roman" w:hAnsi="Palatino Linotype" w:cs="Tahoma"/>
          <w:b/>
          <w:bCs/>
          <w:noProof/>
          <w:color w:val="0D0D0D"/>
          <w:sz w:val="22"/>
          <w:szCs w:val="22"/>
          <w:lang w:eastAsia="es-ES"/>
        </w:rPr>
      </w:pPr>
    </w:p>
    <w:p w14:paraId="7B52D5B1"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Al respecto, resulta necesario señalar que los proveedores pueden ser representadas mediante personas físicas, debidamente acreditadas para realizar determinados actos a nombre de estos, por lo que, el nombre de dichos individuos no puede ser objeto de clasificación, en virtud de que la representación persigue la finalidad de dar certeza jurídica a los actos que realiza, en el presente caso, aceptar y recibir un permiso de uso de vía pública, a nombre de la persona moral.</w:t>
      </w:r>
    </w:p>
    <w:p w14:paraId="33DCE46F" w14:textId="77777777" w:rsidR="009E281A" w:rsidRPr="009E281A" w:rsidRDefault="009E281A" w:rsidP="000C0C40">
      <w:pPr>
        <w:spacing w:after="0" w:line="360" w:lineRule="auto"/>
        <w:contextualSpacing/>
        <w:jc w:val="both"/>
        <w:rPr>
          <w:rFonts w:ascii="Palatino Linotype" w:eastAsia="Palatino Linotype" w:hAnsi="Palatino Linotype" w:cs="Palatino Linotype"/>
          <w:color w:val="FF0000"/>
          <w:sz w:val="22"/>
          <w:szCs w:val="22"/>
          <w:lang w:eastAsia="es-ES"/>
        </w:rPr>
      </w:pPr>
    </w:p>
    <w:p w14:paraId="3C3436FD"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3A2E5862" w14:textId="77777777" w:rsidR="009E281A" w:rsidRPr="009E281A" w:rsidRDefault="009E281A" w:rsidP="000C0C40">
      <w:pPr>
        <w:spacing w:after="0" w:line="360" w:lineRule="auto"/>
        <w:contextualSpacing/>
        <w:jc w:val="both"/>
        <w:rPr>
          <w:rFonts w:ascii="Palatino Linotype" w:eastAsia="Palatino Linotype" w:hAnsi="Palatino Linotype" w:cs="Palatino Linotype"/>
          <w:color w:val="FF0000"/>
          <w:sz w:val="22"/>
          <w:szCs w:val="22"/>
          <w:lang w:eastAsia="es-ES"/>
        </w:rPr>
      </w:pPr>
    </w:p>
    <w:p w14:paraId="1F018497"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En esa tesitura, la representación de las personas se realizará por medio de representantes o apoderados, y en el caso específico de las sociedades mercantiles, dicha representación se otorgará mediante instrumento público.</w:t>
      </w:r>
    </w:p>
    <w:p w14:paraId="1848584B" w14:textId="77777777" w:rsidR="009E281A" w:rsidRPr="009E281A" w:rsidRDefault="009E281A" w:rsidP="000C0C40">
      <w:pPr>
        <w:spacing w:after="0" w:line="360" w:lineRule="auto"/>
        <w:contextualSpacing/>
        <w:jc w:val="both"/>
        <w:rPr>
          <w:rFonts w:ascii="Palatino Linotype" w:eastAsia="Palatino Linotype" w:hAnsi="Palatino Linotype" w:cs="Palatino Linotype"/>
          <w:color w:val="FF0000"/>
          <w:sz w:val="22"/>
          <w:szCs w:val="22"/>
          <w:lang w:eastAsia="es-ES"/>
        </w:rPr>
      </w:pPr>
    </w:p>
    <w:p w14:paraId="2A6FFB02"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24FD3353" w14:textId="77777777" w:rsidR="009E281A" w:rsidRPr="009E281A" w:rsidRDefault="009E281A" w:rsidP="000C0C40">
      <w:pPr>
        <w:spacing w:after="0" w:line="360" w:lineRule="auto"/>
        <w:contextualSpacing/>
        <w:jc w:val="both"/>
        <w:rPr>
          <w:rFonts w:ascii="Palatino Linotype" w:eastAsia="Palatino Linotype" w:hAnsi="Palatino Linotype" w:cs="Palatino Linotype"/>
          <w:color w:val="FF0000"/>
          <w:sz w:val="22"/>
          <w:szCs w:val="22"/>
          <w:lang w:eastAsia="es-ES"/>
        </w:rPr>
      </w:pPr>
    </w:p>
    <w:p w14:paraId="20A6C874"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y firma del apoderado legal de una empresa, </w:t>
      </w:r>
      <w:r w:rsidRPr="009E281A">
        <w:rPr>
          <w:rFonts w:ascii="Palatino Linotype" w:eastAsia="Palatino Linotype" w:hAnsi="Palatino Linotype" w:cs="Palatino Linotype"/>
          <w:b/>
          <w:sz w:val="22"/>
          <w:szCs w:val="22"/>
          <w:lang w:eastAsia="es-ES"/>
        </w:rPr>
        <w:t xml:space="preserve">es público, </w:t>
      </w:r>
      <w:r w:rsidRPr="009E281A">
        <w:rPr>
          <w:rFonts w:ascii="Palatino Linotype" w:eastAsia="Palatino Linotype" w:hAnsi="Palatino Linotype" w:cs="Palatino Linotype"/>
          <w:sz w:val="22"/>
          <w:szCs w:val="22"/>
          <w:lang w:eastAsia="es-ES"/>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3964C0B0"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p>
    <w:p w14:paraId="694102C4"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Lo anterior, se robustece con el Criterio de Interpretación, de la Segunda Época, con clave de control SO/001/2019, emitido por el Instituto Nacional de Transparencia, Acceso a la Información y Protección de Datos Personales, que establece lo siguiente:</w:t>
      </w:r>
    </w:p>
    <w:p w14:paraId="7E140971"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p>
    <w:p w14:paraId="61BB37FF" w14:textId="77777777" w:rsidR="009E281A" w:rsidRPr="009E281A" w:rsidRDefault="009E281A" w:rsidP="000C0C40">
      <w:pPr>
        <w:spacing w:after="0" w:line="360" w:lineRule="auto"/>
        <w:ind w:left="567" w:right="567"/>
        <w:contextualSpacing/>
        <w:jc w:val="both"/>
        <w:rPr>
          <w:rFonts w:ascii="Palatino Linotype" w:eastAsia="Palatino Linotype" w:hAnsi="Palatino Linotype" w:cs="Palatino Linotype"/>
          <w:i/>
          <w:sz w:val="20"/>
          <w:szCs w:val="20"/>
          <w:lang w:eastAsia="es-ES"/>
        </w:rPr>
      </w:pPr>
      <w:r w:rsidRPr="009E281A">
        <w:rPr>
          <w:rFonts w:ascii="Palatino Linotype" w:eastAsia="Palatino Linotype" w:hAnsi="Palatino Linotype" w:cs="Palatino Linotype"/>
          <w:b/>
          <w:i/>
          <w:sz w:val="20"/>
          <w:szCs w:val="20"/>
          <w:lang w:eastAsia="es-ES"/>
        </w:rPr>
        <w:t>“Datos de identificación del representante o apoderado legal.</w:t>
      </w:r>
      <w:r w:rsidRPr="009E281A">
        <w:rPr>
          <w:rFonts w:ascii="Palatino Linotype" w:eastAsia="Palatino Linotype" w:hAnsi="Palatino Linotype" w:cs="Palatino Linotype"/>
          <w:i/>
          <w:sz w:val="20"/>
          <w:szCs w:val="20"/>
          <w:lang w:eastAsia="es-ES"/>
        </w:rPr>
        <w:t xml:space="preserve"> </w:t>
      </w:r>
      <w:r w:rsidRPr="009E281A">
        <w:rPr>
          <w:rFonts w:ascii="Palatino Linotype" w:eastAsia="Palatino Linotype" w:hAnsi="Palatino Linotype" w:cs="Palatino Linotype"/>
          <w:b/>
          <w:i/>
          <w:sz w:val="20"/>
          <w:szCs w:val="20"/>
          <w:lang w:eastAsia="es-ES"/>
        </w:rPr>
        <w:t xml:space="preserve">Naturaleza jurídica. </w:t>
      </w:r>
      <w:r w:rsidRPr="009E281A">
        <w:rPr>
          <w:rFonts w:ascii="Palatino Linotype" w:eastAsia="Palatino Linotype" w:hAnsi="Palatino Linotype" w:cs="Palatino Linotype"/>
          <w:i/>
          <w:sz w:val="20"/>
          <w:szCs w:val="20"/>
          <w:lang w:eastAsia="es-E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66602CE4" w14:textId="77777777" w:rsidR="009E281A" w:rsidRPr="009E281A" w:rsidRDefault="009E281A" w:rsidP="000C0C40">
      <w:pPr>
        <w:spacing w:after="0" w:line="360" w:lineRule="auto"/>
        <w:contextualSpacing/>
        <w:jc w:val="both"/>
        <w:rPr>
          <w:rFonts w:ascii="Palatino Linotype" w:eastAsia="Palatino Linotype" w:hAnsi="Palatino Linotype" w:cs="Palatino Linotype"/>
          <w:color w:val="FF0000"/>
          <w:sz w:val="22"/>
          <w:szCs w:val="22"/>
          <w:lang w:eastAsia="es-ES"/>
        </w:rPr>
      </w:pPr>
    </w:p>
    <w:p w14:paraId="12A71F51" w14:textId="77777777" w:rsidR="009E281A" w:rsidRPr="009E281A" w:rsidRDefault="009E281A" w:rsidP="000C0C40">
      <w:pPr>
        <w:spacing w:after="0" w:line="360" w:lineRule="auto"/>
        <w:contextualSpacing/>
        <w:jc w:val="both"/>
        <w:rPr>
          <w:rFonts w:ascii="Palatino Linotype" w:eastAsia="Palatino Linotype" w:hAnsi="Palatino Linotype" w:cs="Palatino Linotype"/>
          <w:sz w:val="22"/>
          <w:szCs w:val="22"/>
          <w:lang w:eastAsia="es-ES"/>
        </w:rPr>
      </w:pPr>
      <w:r w:rsidRPr="009E281A">
        <w:rPr>
          <w:rFonts w:ascii="Palatino Linotype" w:eastAsia="Palatino Linotype" w:hAnsi="Palatino Linotype" w:cs="Palatino Linotype"/>
          <w:sz w:val="22"/>
          <w:szCs w:val="22"/>
          <w:lang w:eastAsia="es-ES"/>
        </w:rPr>
        <w:t>Ante tales situaciones, el nombre del representante legal, de una persona (física o moral) que celebra un contrato con un ente público, no es susceptible de ser clasificado como confidencial, en términos del artículo 143, fracción I, de la Ley Federal de Transparencia y Acceso a la Información Pública.</w:t>
      </w:r>
    </w:p>
    <w:p w14:paraId="30691CE6" w14:textId="77777777" w:rsidR="009E281A" w:rsidRPr="009E281A" w:rsidRDefault="009E281A" w:rsidP="000C0C40">
      <w:pPr>
        <w:spacing w:after="0" w:line="360" w:lineRule="auto"/>
        <w:contextualSpacing/>
        <w:jc w:val="both"/>
        <w:rPr>
          <w:rFonts w:ascii="Palatino Linotype" w:eastAsia="Times New Roman" w:hAnsi="Palatino Linotype" w:cs="Tahoma"/>
          <w:sz w:val="22"/>
          <w:szCs w:val="22"/>
          <w:lang w:eastAsia="es-ES"/>
        </w:rPr>
      </w:pPr>
    </w:p>
    <w:p w14:paraId="4B867F6B" w14:textId="77777777" w:rsidR="009E281A" w:rsidRPr="009E281A" w:rsidRDefault="009E281A" w:rsidP="000C0C40">
      <w:pPr>
        <w:numPr>
          <w:ilvl w:val="0"/>
          <w:numId w:val="27"/>
        </w:numPr>
        <w:spacing w:after="0" w:line="360" w:lineRule="auto"/>
        <w:ind w:right="-28"/>
        <w:contextualSpacing/>
        <w:jc w:val="both"/>
        <w:rPr>
          <w:rFonts w:ascii="Palatino Linotype" w:eastAsia="Times New Roman" w:hAnsi="Palatino Linotype" w:cs="Times New Roman"/>
          <w:b/>
          <w:color w:val="000000"/>
          <w:sz w:val="22"/>
          <w:szCs w:val="22"/>
          <w:lang w:eastAsia="es-ES"/>
        </w:rPr>
      </w:pPr>
      <w:r w:rsidRPr="009E281A">
        <w:rPr>
          <w:rFonts w:ascii="Palatino Linotype" w:eastAsia="Times New Roman" w:hAnsi="Palatino Linotype" w:cs="Times New Roman"/>
          <w:b/>
          <w:color w:val="000000"/>
          <w:sz w:val="22"/>
          <w:szCs w:val="22"/>
          <w:lang w:eastAsia="es-ES"/>
        </w:rPr>
        <w:t>Firma del proveedor, contratista o representante legal</w:t>
      </w:r>
    </w:p>
    <w:p w14:paraId="01D2F9E0" w14:textId="77777777" w:rsidR="009E281A" w:rsidRPr="009E281A" w:rsidRDefault="009E281A" w:rsidP="000C0C40">
      <w:pPr>
        <w:spacing w:after="0" w:line="360" w:lineRule="auto"/>
        <w:ind w:right="-28"/>
        <w:contextualSpacing/>
        <w:jc w:val="both"/>
        <w:rPr>
          <w:rFonts w:ascii="Palatino Linotype" w:eastAsia="Palatino Linotype" w:hAnsi="Palatino Linotype" w:cs="Palatino Linotype"/>
          <w:sz w:val="22"/>
          <w:szCs w:val="22"/>
        </w:rPr>
      </w:pPr>
    </w:p>
    <w:p w14:paraId="15C8BD3A" w14:textId="77777777" w:rsidR="009E281A" w:rsidRPr="009E281A" w:rsidRDefault="009E281A" w:rsidP="000C0C40">
      <w:pPr>
        <w:spacing w:after="0" w:line="360" w:lineRule="auto"/>
        <w:ind w:right="-28"/>
        <w:contextualSpacing/>
        <w:jc w:val="both"/>
        <w:rPr>
          <w:rFonts w:ascii="Palatino Linotype" w:eastAsia="Palatino Linotype" w:hAnsi="Palatino Linotype" w:cs="Palatino Linotype"/>
          <w:sz w:val="22"/>
          <w:szCs w:val="22"/>
        </w:rPr>
      </w:pPr>
      <w:r w:rsidRPr="009E281A">
        <w:rPr>
          <w:rFonts w:ascii="Palatino Linotype" w:eastAsia="Palatino Linotype" w:hAnsi="Palatino Linotype" w:cs="Palatino Linotype"/>
          <w:sz w:val="22"/>
          <w:szCs w:val="22"/>
        </w:rPr>
        <w:t xml:space="preserve">Al respecto, la firma es considerada un dato personal, al tratarse de información gráfica a través de la cual su titular exterioriza su voluntad en actos públicos y privados; sin embargo, en el presente caso, el dato exterioriza la voluntad en un acto público y que lo realiza una persona física identificada o identificable, en su calidad de proveedor, contratista o representante legal, por lo que, expresa el consentimiento de este para realizar o recibir ciertas obligaciones; además, que le otorga validez a las facturas emitidas derivadas de los contratos celebrados con el Sujeto Obligado. </w:t>
      </w:r>
    </w:p>
    <w:p w14:paraId="51100C0D" w14:textId="77777777" w:rsidR="009E281A" w:rsidRPr="009E281A" w:rsidRDefault="009E281A" w:rsidP="000C0C40">
      <w:pPr>
        <w:spacing w:after="0" w:line="360" w:lineRule="auto"/>
        <w:ind w:right="-28"/>
        <w:contextualSpacing/>
        <w:jc w:val="both"/>
        <w:rPr>
          <w:rFonts w:ascii="Palatino Linotype" w:eastAsia="Palatino Linotype" w:hAnsi="Palatino Linotype" w:cs="Palatino Linotype"/>
          <w:sz w:val="22"/>
          <w:szCs w:val="22"/>
        </w:rPr>
      </w:pPr>
    </w:p>
    <w:p w14:paraId="12D5BE48" w14:textId="0F77E363" w:rsidR="009E281A" w:rsidRPr="00EF7988" w:rsidRDefault="009E281A" w:rsidP="000C0C40">
      <w:pPr>
        <w:spacing w:after="0" w:line="360" w:lineRule="auto"/>
        <w:ind w:right="-28"/>
        <w:contextualSpacing/>
        <w:jc w:val="both"/>
        <w:rPr>
          <w:rFonts w:ascii="Palatino Linotype" w:eastAsia="Palatino Linotype" w:hAnsi="Palatino Linotype" w:cs="Palatino Linotype"/>
          <w:sz w:val="22"/>
          <w:szCs w:val="22"/>
        </w:rPr>
      </w:pPr>
      <w:r w:rsidRPr="009E281A">
        <w:rPr>
          <w:rFonts w:ascii="Palatino Linotype" w:eastAsia="Palatino Linotype" w:hAnsi="Palatino Linotype" w:cs="Palatino Linotype"/>
          <w:sz w:val="22"/>
          <w:szCs w:val="22"/>
        </w:rPr>
        <w:t>Conforme a lo anterior, no procede la clasificación de la firma del proveedor, contratista o representante legal, localizados en los documentos que den cuenta de la información solicitada, en términos del artículo 143, fracción I de la Ley de Transparencia y Acceso a la Información Pública del Estado de México y Municipios.</w:t>
      </w:r>
    </w:p>
    <w:p w14:paraId="0D7214A4" w14:textId="77777777" w:rsidR="00EF7988" w:rsidRPr="009E281A" w:rsidRDefault="00EF7988" w:rsidP="000C0C40">
      <w:pPr>
        <w:spacing w:after="0" w:line="360" w:lineRule="auto"/>
        <w:ind w:right="-28"/>
        <w:contextualSpacing/>
        <w:jc w:val="both"/>
        <w:rPr>
          <w:rFonts w:ascii="Palatino Linotype" w:eastAsia="Palatino Linotype" w:hAnsi="Palatino Linotype" w:cs="Palatino Linotype"/>
          <w:sz w:val="22"/>
          <w:szCs w:val="22"/>
        </w:rPr>
      </w:pPr>
    </w:p>
    <w:p w14:paraId="2CF197B7" w14:textId="77777777" w:rsidR="009E281A" w:rsidRPr="009E281A" w:rsidRDefault="009E281A" w:rsidP="000C0C40">
      <w:pPr>
        <w:numPr>
          <w:ilvl w:val="0"/>
          <w:numId w:val="28"/>
        </w:numPr>
        <w:spacing w:after="0" w:line="360" w:lineRule="auto"/>
        <w:ind w:right="-28"/>
        <w:contextualSpacing/>
        <w:jc w:val="both"/>
        <w:rPr>
          <w:rFonts w:ascii="Palatino Linotype" w:eastAsia="Times New Roman" w:hAnsi="Palatino Linotype" w:cs="Times New Roman"/>
          <w:b/>
          <w:sz w:val="22"/>
          <w:szCs w:val="22"/>
          <w:lang w:eastAsia="es-ES"/>
        </w:rPr>
      </w:pPr>
      <w:r w:rsidRPr="009E281A">
        <w:rPr>
          <w:rFonts w:ascii="Palatino Linotype" w:eastAsia="Times New Roman" w:hAnsi="Palatino Linotype" w:cs="Times New Roman"/>
          <w:b/>
          <w:sz w:val="22"/>
          <w:szCs w:val="22"/>
          <w:lang w:eastAsia="es-ES"/>
        </w:rPr>
        <w:t>Clave de registro o elector del representante legal</w:t>
      </w:r>
    </w:p>
    <w:p w14:paraId="4B560CDD" w14:textId="77777777" w:rsidR="009E281A" w:rsidRPr="009E281A" w:rsidRDefault="009E281A" w:rsidP="000C0C40">
      <w:pPr>
        <w:spacing w:after="0" w:line="360" w:lineRule="auto"/>
        <w:ind w:left="720" w:right="-28"/>
        <w:contextualSpacing/>
        <w:jc w:val="both"/>
        <w:rPr>
          <w:rFonts w:ascii="Palatino Linotype" w:eastAsia="Times New Roman" w:hAnsi="Palatino Linotype" w:cs="Times New Roman"/>
          <w:b/>
          <w:sz w:val="22"/>
          <w:szCs w:val="22"/>
          <w:lang w:eastAsia="es-ES"/>
        </w:rPr>
      </w:pPr>
    </w:p>
    <w:p w14:paraId="3F385BC4"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Al respecto, este Instituto localizó el Acuerdo del Consejo General del Instituto Federal Electoral, por el que se aprueban diversas disposiciones relativas a la forma y contenido de la Lista nominal de electores residentes en el extranjero, que se utilizará con motivo de la jornada electoral del primero de julio de dos mil doce, publicado en el Diario Oficial de la Federación el cinco de abril de dos mil doce, en el cual establece que la clave de elector, se conforma por las consonantes iniciales de los apellidos y el nombre del elector, seguido de su fecha de nacimiento (dos dígitos para el año, dos dígitos para el mes, dos dígitos para el día), número de la entidad federativa de nacimiento, letra que identifica el género y una </w:t>
      </w:r>
      <w:proofErr w:type="spellStart"/>
      <w:r w:rsidRPr="009E281A">
        <w:rPr>
          <w:rFonts w:ascii="Palatino Linotype" w:eastAsia="Times New Roman" w:hAnsi="Palatino Linotype" w:cs="Times New Roman"/>
          <w:sz w:val="22"/>
          <w:szCs w:val="22"/>
          <w:lang w:eastAsia="es-ES"/>
        </w:rPr>
        <w:t>homoclave</w:t>
      </w:r>
      <w:proofErr w:type="spellEnd"/>
      <w:r w:rsidRPr="009E281A">
        <w:rPr>
          <w:rFonts w:ascii="Palatino Linotype" w:eastAsia="Times New Roman" w:hAnsi="Palatino Linotype" w:cs="Times New Roman"/>
          <w:sz w:val="22"/>
          <w:szCs w:val="22"/>
          <w:lang w:eastAsia="es-ES"/>
        </w:rPr>
        <w:t xml:space="preserve"> compuesta de tres dígitos, dando un total de 18 caracteres.</w:t>
      </w:r>
    </w:p>
    <w:p w14:paraId="7025541A"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63186AD8"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Conforme a lo anterior, se puede advertir que, con la clave de elector, se podrían obtener indicios o datos completos de una persona, que la podría ser identificada e identificable, pues se podría inferir el nombre de la persona, así como, su fecha y entidad de nacimiento, los cuales son considerados de su vida privada.</w:t>
      </w:r>
    </w:p>
    <w:p w14:paraId="3AC7D4FC"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1F428C55" w14:textId="77777777" w:rsidR="009E281A" w:rsidRPr="00EF7988"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Por lo tanto, al ser un dato que hace reconocible a una persona física, resulta procedente su clasificación como información confidencial en términos de lo dispuesto por el artículo 143, fracción I de la Ley de Transparencia y Acceso a la Información Pública del Estado de México y Municipios.</w:t>
      </w:r>
    </w:p>
    <w:p w14:paraId="570E68FA"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5EDE1F54" w14:textId="77777777" w:rsidR="009E281A" w:rsidRPr="009E281A" w:rsidRDefault="009E281A" w:rsidP="000C0C40">
      <w:pPr>
        <w:numPr>
          <w:ilvl w:val="0"/>
          <w:numId w:val="28"/>
        </w:numPr>
        <w:spacing w:after="0" w:line="360" w:lineRule="auto"/>
        <w:ind w:right="-28"/>
        <w:contextualSpacing/>
        <w:jc w:val="both"/>
        <w:rPr>
          <w:rFonts w:ascii="Palatino Linotype" w:eastAsia="Times New Roman" w:hAnsi="Palatino Linotype" w:cs="Times New Roman"/>
          <w:b/>
          <w:sz w:val="22"/>
          <w:szCs w:val="22"/>
          <w:lang w:eastAsia="es-ES"/>
        </w:rPr>
      </w:pPr>
      <w:r w:rsidRPr="009E281A">
        <w:rPr>
          <w:rFonts w:ascii="Palatino Linotype" w:eastAsia="Times New Roman" w:hAnsi="Palatino Linotype" w:cs="Times New Roman"/>
          <w:b/>
          <w:sz w:val="22"/>
          <w:szCs w:val="22"/>
          <w:lang w:eastAsia="es-ES"/>
        </w:rPr>
        <w:t>Cuenta bancaria y clave interbancaria del prestador de servicios</w:t>
      </w:r>
    </w:p>
    <w:p w14:paraId="0A64B18F" w14:textId="77777777" w:rsidR="009E281A" w:rsidRPr="009E281A" w:rsidRDefault="009E281A" w:rsidP="000C0C40">
      <w:pPr>
        <w:spacing w:after="0" w:line="360" w:lineRule="auto"/>
        <w:ind w:left="720" w:right="-28"/>
        <w:contextualSpacing/>
        <w:jc w:val="both"/>
        <w:rPr>
          <w:rFonts w:ascii="Palatino Linotype" w:eastAsia="Times New Roman" w:hAnsi="Palatino Linotype" w:cs="Times New Roman"/>
          <w:b/>
          <w:sz w:val="22"/>
          <w:szCs w:val="22"/>
          <w:lang w:eastAsia="es-ES"/>
        </w:rPr>
      </w:pPr>
    </w:p>
    <w:p w14:paraId="53FC7ED5"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e fondos interbancarios, entre otros movimientos que sean utilizados exclusivamente en la cuenta señalada por el cliente y, por lo tanto, los datos bancarios corresponden a información que se encuentra relacionada con el patrimonio de la persona titular de la cuenta.</w:t>
      </w:r>
    </w:p>
    <w:p w14:paraId="189AA0F3"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 </w:t>
      </w:r>
    </w:p>
    <w:p w14:paraId="7F1D4F82"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14:paraId="22802823"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 </w:t>
      </w:r>
    </w:p>
    <w:p w14:paraId="29908E93" w14:textId="77777777" w:rsidR="009E281A" w:rsidRPr="009E281A" w:rsidRDefault="009E281A" w:rsidP="000C0C40">
      <w:pPr>
        <w:spacing w:after="0" w:line="360" w:lineRule="auto"/>
        <w:ind w:left="567" w:right="567"/>
        <w:contextualSpacing/>
        <w:jc w:val="both"/>
        <w:rPr>
          <w:rFonts w:ascii="Palatino Linotype" w:eastAsia="Times New Roman" w:hAnsi="Palatino Linotype" w:cs="Times New Roman"/>
          <w:i/>
          <w:sz w:val="20"/>
          <w:szCs w:val="20"/>
          <w:lang w:eastAsia="es-ES"/>
        </w:rPr>
      </w:pPr>
      <w:r w:rsidRPr="009E281A">
        <w:rPr>
          <w:rFonts w:ascii="Palatino Linotype" w:eastAsia="Times New Roman" w:hAnsi="Palatino Linotype" w:cs="Times New Roman"/>
          <w:b/>
          <w:bCs/>
          <w:i/>
          <w:sz w:val="20"/>
          <w:szCs w:val="20"/>
          <w:lang w:eastAsia="es-ES"/>
        </w:rPr>
        <w:t>“Cuentas bancarias y/o CLABE interbancaria de personas físicas y morales privadas.</w:t>
      </w:r>
      <w:r w:rsidRPr="009E281A">
        <w:rPr>
          <w:rFonts w:ascii="Palatino Linotype" w:eastAsia="Times New Roman" w:hAnsi="Palatino Linotype" w:cs="Times New Roman"/>
          <w:i/>
          <w:sz w:val="20"/>
          <w:szCs w:val="20"/>
          <w:lang w:eastAsia="es-E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9BA584C"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 </w:t>
      </w:r>
    </w:p>
    <w:p w14:paraId="6CDA2C9B"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Por lo cual, se puede colegir que dichos datos no guardan relación con el servicio público ni con los recursos públicos, pues solo corresponde a información, que le atañe a la institución financiera y al cliente; por lo que este número constituye información confidencial al pertenecer exclusivamente al ámbito de la vida privada del prestador de servicios y procede su eliminación de conformidad con el artículo 143, fracción I, de la Ley de Transparencia y Acceso a la Información Pública del Estado de México y Municipios. </w:t>
      </w:r>
    </w:p>
    <w:p w14:paraId="08EE1DB7"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31F69C12" w14:textId="77777777" w:rsidR="009E281A" w:rsidRPr="009E281A" w:rsidRDefault="009E281A" w:rsidP="000C0C40">
      <w:pPr>
        <w:numPr>
          <w:ilvl w:val="0"/>
          <w:numId w:val="28"/>
        </w:numPr>
        <w:spacing w:after="0" w:line="360" w:lineRule="auto"/>
        <w:ind w:right="-28"/>
        <w:contextualSpacing/>
        <w:jc w:val="both"/>
        <w:rPr>
          <w:rFonts w:ascii="Palatino Linotype" w:eastAsia="Times New Roman" w:hAnsi="Palatino Linotype" w:cs="Times New Roman"/>
          <w:b/>
          <w:sz w:val="22"/>
          <w:szCs w:val="22"/>
          <w:lang w:eastAsia="es-ES"/>
        </w:rPr>
      </w:pPr>
      <w:r w:rsidRPr="009E281A">
        <w:rPr>
          <w:rFonts w:ascii="Palatino Linotype" w:eastAsia="Times New Roman" w:hAnsi="Palatino Linotype" w:cs="Times New Roman"/>
          <w:b/>
          <w:sz w:val="22"/>
          <w:szCs w:val="22"/>
          <w:lang w:eastAsia="es-ES"/>
        </w:rPr>
        <w:t>Nombre de institución bancaria</w:t>
      </w:r>
    </w:p>
    <w:p w14:paraId="5CCE26EB"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6BB7F10A"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14:paraId="0AA70D83"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45BE1E40"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En ese orden de ideas, en el portal de la Comisión Nacional para la Protección y Defensa de los Usuarios de Servicios Financieros (consultadas el dieciocho de enero de dos mil veintitrés), en https://www.condusef.gob.mx/Revista/index.php/usuario-inteligente/condusef-responde/777-la-condusef-te-puede-ayudar), se establece que los bancos son instituciones financieras; conforme a lo anterior, se puede advertir que las instituciones bancarias, son personas morales.</w:t>
      </w:r>
    </w:p>
    <w:p w14:paraId="299B57EA"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47887D9B"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14:paraId="5A4775BA"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027C5949"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Lo anterior, se robustece con el hecho de que existe el Sistema de Registro de Prestadores de Servicios Financieros (consultadas el dieciocho de enero de dos mil veintitrés), a las trece horas, en la liga </w:t>
      </w:r>
      <w:hyperlink r:id="rId10" w:history="1">
        <w:r w:rsidRPr="009E281A">
          <w:rPr>
            <w:rFonts w:ascii="Palatino Linotype" w:eastAsia="Times New Roman" w:hAnsi="Palatino Linotype" w:cs="Times New Roman"/>
            <w:color w:val="0563C1"/>
            <w:sz w:val="22"/>
            <w:szCs w:val="22"/>
            <w:u w:val="single"/>
            <w:lang w:eastAsia="es-ES"/>
          </w:rPr>
          <w:t>https://webapps.condusef.gob.mx/SIPRES/jsp/pub/index.jsp</w:t>
        </w:r>
      </w:hyperlink>
      <w:r w:rsidRPr="009E281A">
        <w:rPr>
          <w:rFonts w:ascii="Palatino Linotype" w:eastAsia="Times New Roman" w:hAnsi="Palatino Linotype" w:cs="Times New Roman"/>
          <w:sz w:val="22"/>
          <w:szCs w:val="22"/>
          <w:lang w:eastAsia="es-ES"/>
        </w:rPr>
        <w:t xml:space="preserve">), que es un registro de carácter público, cuyo objetivo principal, consiste en proporcionar información corporativa y general de las instituciones financieras; además, que permite conocer al público general, información de dichos entes, se muestra un ejemplo a continuación: </w:t>
      </w:r>
    </w:p>
    <w:p w14:paraId="7779EA88"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1B275946"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Conforme a lo anterior, se logra vislumbrar que el nombre de las instituciones bancarias en primera instancia es de naturaleza pública; sin embargo, en el presente caso, se relacionada con el hecho de que corresponde al banco en el cual un prestador de servicios decidió recibir el pago por el cumplimiento de un contrato; es decir, daría cuenta de la decisión voluntaria de recibir el pago de sus servicios en una determinada institución; lo cual se relaciona con la cuenta y clave interbancaria, mismos que son confidenciales.</w:t>
      </w:r>
    </w:p>
    <w:p w14:paraId="4F989231"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2B2D51BF"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Además, revelaría el lugar en donde el proveedor recibió los recursos por prestar sus servicios, lo cual únicamente está relacionado a su vida íntima o privada de la persona moral; por lo que, este Instituto considera que el nombre de la institución bancaria, actualiza la causal de clasificación prevista en el artículo 143, fracción I, de la Ley de Transparencia y Acceso a la Información Pública del Estado de México y Municipios.</w:t>
      </w:r>
    </w:p>
    <w:p w14:paraId="04A5CE1A" w14:textId="77777777" w:rsidR="009E281A" w:rsidRPr="009E281A"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4289CCCC" w14:textId="77777777" w:rsidR="009E281A" w:rsidRPr="00EF7988"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A3040BF" w14:textId="77777777" w:rsidR="009E281A" w:rsidRPr="00EF7988"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p>
    <w:p w14:paraId="7FAEEC45" w14:textId="3B828B8C" w:rsidR="00B57BAC" w:rsidRPr="00EF7988" w:rsidRDefault="009E281A" w:rsidP="000C0C40">
      <w:pPr>
        <w:spacing w:after="0" w:line="360" w:lineRule="auto"/>
        <w:ind w:right="-28"/>
        <w:contextualSpacing/>
        <w:jc w:val="both"/>
        <w:rPr>
          <w:rFonts w:ascii="Palatino Linotype" w:eastAsia="Times New Roman" w:hAnsi="Palatino Linotype" w:cs="Times New Roman"/>
          <w:sz w:val="22"/>
          <w:szCs w:val="22"/>
          <w:lang w:eastAsia="es-ES"/>
        </w:rPr>
      </w:pPr>
      <w:r w:rsidRPr="009E281A">
        <w:rPr>
          <w:rFonts w:ascii="Palatino Linotype" w:eastAsia="Times New Roman" w:hAnsi="Palatino Linotype" w:cs="Times New Roman"/>
          <w:sz w:val="22"/>
          <w:szCs w:val="22"/>
          <w:lang w:eastAsia="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74AB05B4"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p>
    <w:p w14:paraId="6006C74B" w14:textId="77777777" w:rsidR="00B57BAC" w:rsidRPr="00EF7988" w:rsidRDefault="00B57BAC" w:rsidP="000C0C40">
      <w:pPr>
        <w:keepNext/>
        <w:keepLines/>
        <w:spacing w:after="0" w:line="360" w:lineRule="auto"/>
        <w:contextualSpacing/>
        <w:jc w:val="both"/>
        <w:outlineLvl w:val="1"/>
        <w:rPr>
          <w:rFonts w:ascii="Palatino Linotype" w:eastAsia="Palatino Linotype" w:hAnsi="Palatino Linotype" w:cs="Palatino Linotype"/>
          <w:b/>
          <w:color w:val="000000"/>
          <w:sz w:val="22"/>
          <w:szCs w:val="22"/>
          <w:lang w:eastAsia="es-MX"/>
        </w:rPr>
      </w:pPr>
      <w:bookmarkStart w:id="23" w:name="_Toc227786867"/>
      <w:bookmarkStart w:id="24" w:name="_Toc235115849"/>
      <w:r w:rsidRPr="00EF7988">
        <w:rPr>
          <w:rFonts w:ascii="Palatino Linotype" w:eastAsia="Palatino Linotype" w:hAnsi="Palatino Linotype" w:cs="Palatino Linotype"/>
          <w:b/>
          <w:color w:val="000000"/>
          <w:sz w:val="22"/>
          <w:szCs w:val="22"/>
          <w:lang w:eastAsia="es-MX"/>
        </w:rPr>
        <w:t>SEXTO. Decisión</w:t>
      </w:r>
      <w:bookmarkEnd w:id="23"/>
      <w:bookmarkEnd w:id="24"/>
    </w:p>
    <w:p w14:paraId="7F1880A7"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p>
    <w:p w14:paraId="6A0C82E6" w14:textId="38A072CC" w:rsidR="00B57BAC" w:rsidRPr="00EF7988" w:rsidRDefault="00B57BAC" w:rsidP="000C0C40">
      <w:pPr>
        <w:tabs>
          <w:tab w:val="left" w:pos="4962"/>
        </w:tabs>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Con fundamento en el artículo 186, fracción III, de la Ley de Transparencia y Acceso a la Información Pública del Estado de México y Municipios, este Instituto considera procedente </w:t>
      </w:r>
      <w:r w:rsidRPr="00EF7988">
        <w:rPr>
          <w:rFonts w:ascii="Palatino Linotype" w:eastAsia="Palatino Linotype" w:hAnsi="Palatino Linotype" w:cs="Palatino Linotype"/>
          <w:b/>
          <w:sz w:val="22"/>
          <w:szCs w:val="22"/>
          <w:lang w:eastAsia="es-MX"/>
        </w:rPr>
        <w:t>MODIFICAR</w:t>
      </w:r>
      <w:r w:rsidRPr="00EF7988">
        <w:rPr>
          <w:rFonts w:ascii="Palatino Linotype" w:eastAsia="Palatino Linotype" w:hAnsi="Palatino Linotype" w:cs="Palatino Linotype"/>
          <w:sz w:val="22"/>
          <w:szCs w:val="22"/>
          <w:lang w:eastAsia="es-MX"/>
        </w:rPr>
        <w:t xml:space="preserve"> la respuesta otorgada a la solicitud de información </w:t>
      </w:r>
      <w:r w:rsidR="009E281A" w:rsidRPr="00EF7988">
        <w:rPr>
          <w:rFonts w:ascii="Palatino Linotype" w:hAnsi="Palatino Linotype"/>
          <w:sz w:val="22"/>
          <w:szCs w:val="22"/>
        </w:rPr>
        <w:t>00023/IMCUFIDECATEPEC/IP/2026</w:t>
      </w:r>
      <w:r w:rsidRPr="00EF7988">
        <w:rPr>
          <w:rFonts w:ascii="Palatino Linotype" w:eastAsia="Palatino Linotype" w:hAnsi="Palatino Linotype" w:cs="Palatino Linotype"/>
          <w:sz w:val="22"/>
          <w:szCs w:val="22"/>
          <w:lang w:eastAsia="es-MX"/>
        </w:rPr>
        <w:t>, a efecto de que, proporcione en su caso en versión pública la información solicitada.</w:t>
      </w:r>
    </w:p>
    <w:p w14:paraId="7D0691AF" w14:textId="77777777" w:rsidR="00B57BAC" w:rsidRPr="00EF7988" w:rsidRDefault="00B57BAC" w:rsidP="000C0C40">
      <w:pPr>
        <w:tabs>
          <w:tab w:val="left" w:pos="4962"/>
        </w:tabs>
        <w:spacing w:after="0" w:line="360" w:lineRule="auto"/>
        <w:contextualSpacing/>
        <w:jc w:val="both"/>
        <w:rPr>
          <w:rFonts w:ascii="Palatino Linotype" w:eastAsia="Palatino Linotype" w:hAnsi="Palatino Linotype" w:cs="Palatino Linotype"/>
          <w:sz w:val="22"/>
          <w:szCs w:val="22"/>
          <w:lang w:eastAsia="es-MX"/>
        </w:rPr>
      </w:pPr>
    </w:p>
    <w:p w14:paraId="000FE881" w14:textId="77777777" w:rsidR="00B57BAC" w:rsidRPr="00EF7988" w:rsidRDefault="00B57BAC" w:rsidP="000C0C40">
      <w:pPr>
        <w:spacing w:after="0" w:line="360" w:lineRule="auto"/>
        <w:contextualSpacing/>
        <w:jc w:val="both"/>
        <w:rPr>
          <w:rFonts w:ascii="Palatino Linotype" w:eastAsia="Palatino Linotype" w:hAnsi="Palatino Linotype" w:cs="Palatino Linotype"/>
          <w:b/>
          <w:color w:val="000000"/>
          <w:sz w:val="22"/>
          <w:szCs w:val="22"/>
          <w:lang w:eastAsia="es-MX"/>
        </w:rPr>
      </w:pPr>
      <w:bookmarkStart w:id="25" w:name="_heading=h.u9526am5hh65" w:colFirst="0" w:colLast="0"/>
      <w:bookmarkEnd w:id="25"/>
      <w:r w:rsidRPr="00EF7988">
        <w:rPr>
          <w:rFonts w:ascii="Palatino Linotype" w:eastAsia="Palatino Linotype" w:hAnsi="Palatino Linotype" w:cs="Palatino Linotype"/>
          <w:b/>
          <w:color w:val="000000"/>
          <w:sz w:val="22"/>
          <w:szCs w:val="22"/>
          <w:lang w:eastAsia="es-MX"/>
        </w:rPr>
        <w:t>Términos de la Resolución para el Recurrente</w:t>
      </w:r>
    </w:p>
    <w:p w14:paraId="7D574F23" w14:textId="77777777" w:rsidR="00B57BAC" w:rsidRPr="00EF7988" w:rsidRDefault="00B57BAC" w:rsidP="000C0C40">
      <w:pPr>
        <w:spacing w:after="0" w:line="360" w:lineRule="auto"/>
        <w:contextualSpacing/>
        <w:jc w:val="both"/>
        <w:rPr>
          <w:rFonts w:ascii="Palatino Linotype" w:eastAsia="Palatino Linotype" w:hAnsi="Palatino Linotype" w:cs="Palatino Linotype"/>
          <w:b/>
          <w:color w:val="000000"/>
          <w:sz w:val="22"/>
          <w:szCs w:val="22"/>
          <w:lang w:eastAsia="es-MX"/>
        </w:rPr>
      </w:pPr>
    </w:p>
    <w:p w14:paraId="1983ED5A" w14:textId="4C70984F" w:rsidR="00B57BAC" w:rsidRPr="00EF7988" w:rsidRDefault="00B57BAC" w:rsidP="000C0C40">
      <w:pPr>
        <w:spacing w:after="0" w:line="360" w:lineRule="auto"/>
        <w:contextualSpacing/>
        <w:jc w:val="both"/>
        <w:rPr>
          <w:rFonts w:ascii="Palatino Linotype" w:eastAsia="Palatino Linotype" w:hAnsi="Palatino Linotype" w:cs="Palatino Linotype"/>
          <w:color w:val="000000"/>
          <w:sz w:val="22"/>
          <w:szCs w:val="22"/>
          <w:lang w:eastAsia="es-MX"/>
        </w:rPr>
      </w:pPr>
      <w:r w:rsidRPr="00EF7988">
        <w:rPr>
          <w:rFonts w:ascii="Palatino Linotype" w:eastAsia="Palatino Linotype" w:hAnsi="Palatino Linotype" w:cs="Palatino Linotype"/>
          <w:color w:val="000000"/>
          <w:sz w:val="22"/>
          <w:szCs w:val="22"/>
          <w:lang w:eastAsia="es-MX"/>
        </w:rPr>
        <w:t xml:space="preserve">Se le hace del conocimiento al Particular, que, en el presente caso, se le concede parcialmente la razón, pues el </w:t>
      </w:r>
      <w:r w:rsidR="00BC2A42" w:rsidRPr="00EF7988">
        <w:rPr>
          <w:rFonts w:ascii="Palatino Linotype" w:eastAsia="Calibri" w:hAnsi="Palatino Linotype" w:cs="Tahoma"/>
          <w:bCs/>
          <w:color w:val="000000"/>
          <w:sz w:val="22"/>
          <w:szCs w:val="22"/>
          <w:lang w:val="es-ES"/>
        </w:rPr>
        <w:t>el</w:t>
      </w:r>
      <w:r w:rsidR="00BC2A42" w:rsidRPr="00EF7988">
        <w:rPr>
          <w:rFonts w:ascii="Palatino Linotype" w:hAnsi="Palatino Linotype"/>
          <w:color w:val="000000" w:themeColor="text1"/>
          <w:sz w:val="22"/>
          <w:szCs w:val="22"/>
        </w:rPr>
        <w:t xml:space="preserve"> </w:t>
      </w:r>
      <w:r w:rsidR="00BC2A42" w:rsidRPr="00EF7988">
        <w:rPr>
          <w:rFonts w:ascii="Palatino Linotype" w:hAnsi="Palatino Linotype"/>
          <w:sz w:val="22"/>
          <w:szCs w:val="22"/>
        </w:rPr>
        <w:t>Instituto Municipal de Cultura Física y Deporte de Ecatepec</w:t>
      </w:r>
      <w:r w:rsidR="00BC2A42" w:rsidRPr="00EF7988">
        <w:rPr>
          <w:rFonts w:ascii="Palatino Linotype" w:eastAsia="Palatino Linotype" w:hAnsi="Palatino Linotype" w:cs="Palatino Linotype"/>
          <w:color w:val="000000"/>
          <w:sz w:val="22"/>
          <w:szCs w:val="22"/>
          <w:lang w:eastAsia="es-MX"/>
        </w:rPr>
        <w:t xml:space="preserve"> </w:t>
      </w:r>
      <w:r w:rsidRPr="00EF7988">
        <w:rPr>
          <w:rFonts w:ascii="Palatino Linotype" w:eastAsia="Palatino Linotype" w:hAnsi="Palatino Linotype" w:cs="Palatino Linotype"/>
          <w:color w:val="000000"/>
          <w:sz w:val="22"/>
          <w:szCs w:val="22"/>
          <w:lang w:eastAsia="es-MX"/>
        </w:rPr>
        <w:t xml:space="preserve">si bien justificó el cambio de modalidad de entrega de la información, lo cierto es que omitió señalar todas las modalidades establecidas en la Ley de la materia para la entrega de la información, por lo que </w:t>
      </w:r>
      <w:r w:rsidRPr="00EF7988">
        <w:rPr>
          <w:rFonts w:ascii="Palatino Linotype" w:eastAsia="Times New Roman" w:hAnsi="Palatino Linotype" w:cs="Times New Roman"/>
          <w:sz w:val="22"/>
          <w:szCs w:val="22"/>
          <w:lang w:eastAsia="es-MX"/>
        </w:rPr>
        <w:t xml:space="preserve">deberá poner a </w:t>
      </w:r>
      <w:r w:rsidRPr="00EF7988">
        <w:rPr>
          <w:rFonts w:ascii="Palatino Linotype" w:eastAsia="Times New Roman" w:hAnsi="Palatino Linotype" w:cs="Tahoma"/>
          <w:sz w:val="22"/>
          <w:szCs w:val="22"/>
          <w:lang w:eastAsia="es-MX"/>
        </w:rPr>
        <w:t>disposición, en todas las modalidades que permita su entrega</w:t>
      </w:r>
      <w:r w:rsidRPr="00EF7988">
        <w:rPr>
          <w:rFonts w:ascii="Palatino Linotype" w:eastAsia="Palatino Linotype" w:hAnsi="Palatino Linotype" w:cs="Palatino Linotype"/>
          <w:color w:val="000000"/>
          <w:sz w:val="22"/>
          <w:szCs w:val="22"/>
          <w:lang w:eastAsia="es-MX"/>
        </w:rPr>
        <w:t>.  La labor del Instituto, es apoyar a la población para acceder a la información pública y garantizar la protección de los datos personales.</w:t>
      </w:r>
    </w:p>
    <w:p w14:paraId="75354BB7" w14:textId="77777777" w:rsidR="00B57BAC" w:rsidRPr="00EF7988" w:rsidRDefault="00B57BAC" w:rsidP="000C0C40">
      <w:pPr>
        <w:spacing w:after="0" w:line="360" w:lineRule="auto"/>
        <w:contextualSpacing/>
        <w:jc w:val="both"/>
        <w:rPr>
          <w:rFonts w:ascii="Palatino Linotype" w:eastAsia="Palatino Linotype" w:hAnsi="Palatino Linotype" w:cs="Palatino Linotype"/>
          <w:color w:val="000000"/>
          <w:sz w:val="22"/>
          <w:szCs w:val="22"/>
          <w:lang w:eastAsia="es-MX"/>
        </w:rPr>
      </w:pPr>
    </w:p>
    <w:p w14:paraId="18A6AA43" w14:textId="77777777" w:rsidR="00B57BAC" w:rsidRPr="00EF7988" w:rsidRDefault="00B57BAC" w:rsidP="000C0C40">
      <w:pPr>
        <w:spacing w:after="0" w:line="360" w:lineRule="auto"/>
        <w:ind w:right="-93"/>
        <w:contextualSpacing/>
        <w:jc w:val="both"/>
        <w:rPr>
          <w:rFonts w:ascii="Palatino Linotype" w:eastAsia="Palatino Linotype" w:hAnsi="Palatino Linotype" w:cs="Palatino Linotype"/>
          <w:color w:val="000000"/>
          <w:sz w:val="22"/>
          <w:szCs w:val="22"/>
          <w:lang w:eastAsia="es-MX"/>
        </w:rPr>
      </w:pPr>
      <w:r w:rsidRPr="00EF7988">
        <w:rPr>
          <w:rFonts w:ascii="Palatino Linotype" w:eastAsia="Palatino Linotype" w:hAnsi="Palatino Linotype" w:cs="Palatino Linotype"/>
          <w:color w:val="000000"/>
          <w:sz w:val="22"/>
          <w:szCs w:val="22"/>
          <w:lang w:eastAsia="es-MX"/>
        </w:rPr>
        <w:t>Por lo expuesto y fundado, este Pleno:</w:t>
      </w:r>
    </w:p>
    <w:p w14:paraId="4CDE8CB4" w14:textId="77777777" w:rsidR="00B57BAC" w:rsidRPr="00EF7988" w:rsidRDefault="00B57BAC" w:rsidP="000C0C40">
      <w:pPr>
        <w:spacing w:after="0" w:line="360" w:lineRule="auto"/>
        <w:ind w:right="-93"/>
        <w:contextualSpacing/>
        <w:jc w:val="both"/>
        <w:rPr>
          <w:rFonts w:ascii="Palatino Linotype" w:eastAsia="Palatino Linotype" w:hAnsi="Palatino Linotype" w:cs="Palatino Linotype"/>
          <w:color w:val="000000"/>
          <w:sz w:val="22"/>
          <w:szCs w:val="22"/>
          <w:lang w:eastAsia="es-MX"/>
        </w:rPr>
      </w:pPr>
    </w:p>
    <w:p w14:paraId="10C8B05B" w14:textId="77777777" w:rsidR="00B57BAC" w:rsidRPr="00EF7988" w:rsidRDefault="00B57BAC" w:rsidP="000C0C40">
      <w:pPr>
        <w:keepNext/>
        <w:keepLines/>
        <w:spacing w:after="0" w:line="360" w:lineRule="auto"/>
        <w:contextualSpacing/>
        <w:jc w:val="center"/>
        <w:outlineLvl w:val="0"/>
        <w:rPr>
          <w:rFonts w:ascii="Palatino Linotype" w:eastAsia="Palatino Linotype" w:hAnsi="Palatino Linotype" w:cs="Palatino Linotype"/>
          <w:b/>
          <w:color w:val="000000"/>
          <w:sz w:val="22"/>
          <w:szCs w:val="22"/>
          <w:lang w:eastAsia="es-MX"/>
        </w:rPr>
      </w:pPr>
      <w:bookmarkStart w:id="26" w:name="_Toc227786868"/>
      <w:bookmarkStart w:id="27" w:name="_Toc235115850"/>
      <w:r w:rsidRPr="00EF7988">
        <w:rPr>
          <w:rFonts w:ascii="Palatino Linotype" w:eastAsia="Palatino Linotype" w:hAnsi="Palatino Linotype" w:cs="Palatino Linotype"/>
          <w:b/>
          <w:color w:val="000000"/>
          <w:sz w:val="22"/>
          <w:szCs w:val="22"/>
          <w:lang w:eastAsia="es-MX"/>
        </w:rPr>
        <w:t>R E S U E L V E</w:t>
      </w:r>
      <w:bookmarkEnd w:id="26"/>
      <w:bookmarkEnd w:id="27"/>
    </w:p>
    <w:p w14:paraId="7E225A29" w14:textId="77777777" w:rsidR="00B57BAC" w:rsidRPr="00EF7988" w:rsidRDefault="00B57BAC" w:rsidP="000C0C40">
      <w:pPr>
        <w:spacing w:after="0" w:line="360" w:lineRule="auto"/>
        <w:ind w:right="-28"/>
        <w:contextualSpacing/>
        <w:jc w:val="both"/>
        <w:rPr>
          <w:rFonts w:ascii="Palatino Linotype" w:eastAsia="Palatino Linotype" w:hAnsi="Palatino Linotype" w:cs="Palatino Linotype"/>
          <w:b/>
          <w:sz w:val="22"/>
          <w:szCs w:val="22"/>
          <w:lang w:eastAsia="es-MX"/>
        </w:rPr>
      </w:pPr>
    </w:p>
    <w:p w14:paraId="06E9E590" w14:textId="3B63DCC4" w:rsidR="00B57BAC" w:rsidRPr="00EF7988" w:rsidRDefault="00B57BAC" w:rsidP="000C0C40">
      <w:pPr>
        <w:widowControl w:val="0"/>
        <w:spacing w:after="0" w:line="360" w:lineRule="auto"/>
        <w:contextualSpacing/>
        <w:jc w:val="both"/>
        <w:rPr>
          <w:rFonts w:ascii="Palatino Linotype" w:eastAsia="Palatino Linotype" w:hAnsi="Palatino Linotype" w:cs="Palatino Linotype"/>
          <w:b/>
          <w:sz w:val="22"/>
          <w:szCs w:val="22"/>
          <w:lang w:eastAsia="es-MX"/>
        </w:rPr>
      </w:pPr>
      <w:r w:rsidRPr="00EF7988">
        <w:rPr>
          <w:rFonts w:ascii="Palatino Linotype" w:eastAsia="Palatino Linotype" w:hAnsi="Palatino Linotype" w:cs="Palatino Linotype"/>
          <w:b/>
          <w:sz w:val="22"/>
          <w:szCs w:val="22"/>
          <w:lang w:eastAsia="es-MX"/>
        </w:rPr>
        <w:t xml:space="preserve">PRIMERO. </w:t>
      </w:r>
      <w:r w:rsidRPr="00EF7988">
        <w:rPr>
          <w:rFonts w:ascii="Palatino Linotype" w:eastAsia="Palatino Linotype" w:hAnsi="Palatino Linotype" w:cs="Palatino Linotype"/>
          <w:sz w:val="22"/>
          <w:szCs w:val="22"/>
          <w:lang w:eastAsia="es-MX"/>
        </w:rPr>
        <w:t xml:space="preserve">Se </w:t>
      </w:r>
      <w:r w:rsidRPr="00EF7988">
        <w:rPr>
          <w:rFonts w:ascii="Palatino Linotype" w:eastAsia="Palatino Linotype" w:hAnsi="Palatino Linotype" w:cs="Palatino Linotype"/>
          <w:b/>
          <w:sz w:val="22"/>
          <w:szCs w:val="22"/>
          <w:lang w:eastAsia="es-MX"/>
        </w:rPr>
        <w:t xml:space="preserve">MODIFICA </w:t>
      </w:r>
      <w:r w:rsidRPr="00EF7988">
        <w:rPr>
          <w:rFonts w:ascii="Palatino Linotype" w:eastAsia="Palatino Linotype" w:hAnsi="Palatino Linotype" w:cs="Palatino Linotype"/>
          <w:sz w:val="22"/>
          <w:szCs w:val="22"/>
          <w:lang w:eastAsia="es-MX"/>
        </w:rPr>
        <w:t>la</w:t>
      </w:r>
      <w:r w:rsidRPr="00EF7988">
        <w:rPr>
          <w:rFonts w:ascii="Palatino Linotype" w:eastAsia="Palatino Linotype" w:hAnsi="Palatino Linotype" w:cs="Palatino Linotype"/>
          <w:b/>
          <w:sz w:val="22"/>
          <w:szCs w:val="22"/>
          <w:lang w:eastAsia="es-MX"/>
        </w:rPr>
        <w:t xml:space="preserve"> </w:t>
      </w:r>
      <w:r w:rsidRPr="00EF7988">
        <w:rPr>
          <w:rFonts w:ascii="Palatino Linotype" w:eastAsia="Palatino Linotype" w:hAnsi="Palatino Linotype" w:cs="Palatino Linotype"/>
          <w:sz w:val="22"/>
          <w:szCs w:val="22"/>
          <w:lang w:eastAsia="es-MX"/>
        </w:rPr>
        <w:t xml:space="preserve">respuesta entregada por el </w:t>
      </w:r>
      <w:r w:rsidR="00BC2A42" w:rsidRPr="00EF7988">
        <w:rPr>
          <w:rFonts w:ascii="Palatino Linotype" w:eastAsia="Calibri" w:hAnsi="Palatino Linotype" w:cs="Tahoma"/>
          <w:bCs/>
          <w:color w:val="000000"/>
          <w:sz w:val="22"/>
          <w:szCs w:val="22"/>
          <w:lang w:val="es-ES"/>
        </w:rPr>
        <w:t>el</w:t>
      </w:r>
      <w:r w:rsidR="00BC2A42" w:rsidRPr="00EF7988">
        <w:rPr>
          <w:rFonts w:ascii="Palatino Linotype" w:hAnsi="Palatino Linotype"/>
          <w:color w:val="000000" w:themeColor="text1"/>
          <w:sz w:val="22"/>
          <w:szCs w:val="22"/>
        </w:rPr>
        <w:t xml:space="preserve"> </w:t>
      </w:r>
      <w:r w:rsidR="00BC2A42" w:rsidRPr="00EF7988">
        <w:rPr>
          <w:rFonts w:ascii="Palatino Linotype" w:hAnsi="Palatino Linotype"/>
          <w:sz w:val="22"/>
          <w:szCs w:val="22"/>
        </w:rPr>
        <w:t>Instituto Municipal de Cultura Física y Deporte de Ecatepec</w:t>
      </w:r>
      <w:r w:rsidR="00BC2A42" w:rsidRPr="00EF7988">
        <w:rPr>
          <w:rFonts w:ascii="Palatino Linotype" w:eastAsia="Palatino Linotype" w:hAnsi="Palatino Linotype" w:cs="Palatino Linotype"/>
          <w:sz w:val="22"/>
          <w:szCs w:val="22"/>
          <w:lang w:eastAsia="es-MX"/>
        </w:rPr>
        <w:t xml:space="preserve"> </w:t>
      </w:r>
      <w:r w:rsidRPr="00EF7988">
        <w:rPr>
          <w:rFonts w:ascii="Palatino Linotype" w:eastAsia="Palatino Linotype" w:hAnsi="Palatino Linotype" w:cs="Palatino Linotype"/>
          <w:sz w:val="22"/>
          <w:szCs w:val="22"/>
          <w:lang w:eastAsia="es-MX"/>
        </w:rPr>
        <w:t xml:space="preserve">a la solicitud de información </w:t>
      </w:r>
      <w:r w:rsidR="009E281A" w:rsidRPr="00EF7988">
        <w:rPr>
          <w:rFonts w:ascii="Palatino Linotype" w:hAnsi="Palatino Linotype"/>
          <w:sz w:val="22"/>
          <w:szCs w:val="22"/>
        </w:rPr>
        <w:t>00023/IMCUFIDECATEPEC/IP/2026</w:t>
      </w:r>
      <w:r w:rsidR="00BC2A42" w:rsidRPr="00EF7988">
        <w:rPr>
          <w:rFonts w:ascii="Palatino Linotype" w:hAnsi="Palatino Linotype"/>
          <w:sz w:val="22"/>
          <w:szCs w:val="22"/>
        </w:rPr>
        <w:t xml:space="preserve"> </w:t>
      </w:r>
      <w:r w:rsidRPr="00EF7988">
        <w:rPr>
          <w:rFonts w:ascii="Palatino Linotype" w:eastAsia="Palatino Linotype" w:hAnsi="Palatino Linotype" w:cs="Palatino Linotype"/>
          <w:sz w:val="22"/>
          <w:szCs w:val="22"/>
          <w:lang w:eastAsia="es-MX"/>
        </w:rPr>
        <w:t xml:space="preserve">por resultar </w:t>
      </w:r>
      <w:r w:rsidRPr="00EF7988">
        <w:rPr>
          <w:rFonts w:ascii="Palatino Linotype" w:eastAsia="Palatino Linotype" w:hAnsi="Palatino Linotype" w:cs="Palatino Linotype"/>
          <w:b/>
          <w:bCs/>
          <w:sz w:val="22"/>
          <w:szCs w:val="22"/>
          <w:lang w:eastAsia="es-MX"/>
        </w:rPr>
        <w:t>parcialmente</w:t>
      </w:r>
      <w:r w:rsidRPr="00EF7988">
        <w:rPr>
          <w:rFonts w:ascii="Palatino Linotype" w:eastAsia="Palatino Linotype" w:hAnsi="Palatino Linotype" w:cs="Palatino Linotype"/>
          <w:sz w:val="22"/>
          <w:szCs w:val="22"/>
          <w:lang w:eastAsia="es-MX"/>
        </w:rPr>
        <w:t xml:space="preserve"> </w:t>
      </w:r>
      <w:r w:rsidRPr="00EF7988">
        <w:rPr>
          <w:rFonts w:ascii="Palatino Linotype" w:eastAsia="Palatino Linotype" w:hAnsi="Palatino Linotype" w:cs="Palatino Linotype"/>
          <w:b/>
          <w:smallCaps/>
          <w:sz w:val="22"/>
          <w:szCs w:val="22"/>
          <w:lang w:eastAsia="es-MX"/>
        </w:rPr>
        <w:t>FUNDADAS</w:t>
      </w:r>
      <w:r w:rsidRPr="00EF7988">
        <w:rPr>
          <w:rFonts w:ascii="Palatino Linotype" w:eastAsia="Palatino Linotype" w:hAnsi="Palatino Linotype" w:cs="Palatino Linotype"/>
          <w:sz w:val="22"/>
          <w:szCs w:val="22"/>
          <w:lang w:eastAsia="es-MX"/>
        </w:rPr>
        <w:t xml:space="preserve"> las razones o motivos de inconformidad hechos valer por el Recurrente, en términos de los considerandos QUINTO y SEXTO de la presente Resolución.</w:t>
      </w:r>
    </w:p>
    <w:p w14:paraId="561872CB" w14:textId="77777777" w:rsidR="00B57BAC" w:rsidRPr="00EF7988" w:rsidRDefault="00B57BAC" w:rsidP="000C0C40">
      <w:pPr>
        <w:widowControl w:val="0"/>
        <w:spacing w:after="0" w:line="360" w:lineRule="auto"/>
        <w:contextualSpacing/>
        <w:jc w:val="both"/>
        <w:rPr>
          <w:rFonts w:ascii="Palatino Linotype" w:eastAsia="Palatino Linotype" w:hAnsi="Palatino Linotype" w:cs="Palatino Linotype"/>
          <w:sz w:val="22"/>
          <w:szCs w:val="22"/>
          <w:lang w:eastAsia="es-MX"/>
        </w:rPr>
      </w:pPr>
    </w:p>
    <w:p w14:paraId="2CDAA925" w14:textId="6FD606F5" w:rsidR="00EF7988" w:rsidRDefault="00B57BAC" w:rsidP="000C0C40">
      <w:pPr>
        <w:spacing w:after="0" w:line="360" w:lineRule="auto"/>
        <w:contextualSpacing/>
        <w:jc w:val="both"/>
        <w:rPr>
          <w:rFonts w:ascii="Palatino Linotype" w:hAnsi="Palatino Linotype"/>
          <w:color w:val="000000"/>
          <w:sz w:val="22"/>
          <w:szCs w:val="22"/>
        </w:rPr>
      </w:pPr>
      <w:r w:rsidRPr="00EF7988">
        <w:rPr>
          <w:rFonts w:ascii="Palatino Linotype" w:eastAsia="Palatino Linotype" w:hAnsi="Palatino Linotype" w:cs="Palatino Linotype"/>
          <w:b/>
          <w:sz w:val="22"/>
          <w:szCs w:val="22"/>
          <w:lang w:eastAsia="es-MX"/>
        </w:rPr>
        <w:t xml:space="preserve">SEGUNDO. </w:t>
      </w:r>
      <w:r w:rsidRPr="00EF7988">
        <w:rPr>
          <w:rFonts w:ascii="Palatino Linotype" w:eastAsia="Palatino Linotype" w:hAnsi="Palatino Linotype" w:cs="Palatino Linotype"/>
          <w:color w:val="000000"/>
          <w:sz w:val="22"/>
          <w:szCs w:val="22"/>
          <w:lang w:eastAsia="es-MX"/>
        </w:rPr>
        <w:t xml:space="preserve">Se </w:t>
      </w:r>
      <w:r w:rsidRPr="00EF7988">
        <w:rPr>
          <w:rFonts w:ascii="Palatino Linotype" w:eastAsia="Palatino Linotype" w:hAnsi="Palatino Linotype" w:cs="Palatino Linotype"/>
          <w:b/>
          <w:color w:val="000000"/>
          <w:sz w:val="22"/>
          <w:szCs w:val="22"/>
          <w:lang w:eastAsia="es-MX"/>
        </w:rPr>
        <w:t>ORDENA</w:t>
      </w:r>
      <w:r w:rsidRPr="00EF7988">
        <w:rPr>
          <w:rFonts w:ascii="Palatino Linotype" w:eastAsia="Palatino Linotype" w:hAnsi="Palatino Linotype" w:cs="Palatino Linotype"/>
          <w:color w:val="000000"/>
          <w:sz w:val="22"/>
          <w:szCs w:val="22"/>
          <w:lang w:eastAsia="es-MX"/>
        </w:rPr>
        <w:t xml:space="preserve"> al Ente Recurrido</w:t>
      </w:r>
      <w:r w:rsidRPr="00EF7988">
        <w:rPr>
          <w:rFonts w:ascii="Palatino Linotype" w:eastAsia="Palatino Linotype" w:hAnsi="Palatino Linotype" w:cs="Palatino Linotype"/>
          <w:b/>
          <w:color w:val="000000"/>
          <w:sz w:val="22"/>
          <w:szCs w:val="22"/>
          <w:lang w:eastAsia="es-MX"/>
        </w:rPr>
        <w:t xml:space="preserve">, </w:t>
      </w:r>
      <w:r w:rsidRPr="00EF7988">
        <w:rPr>
          <w:rFonts w:ascii="Palatino Linotype" w:eastAsia="Palatino Linotype" w:hAnsi="Palatino Linotype" w:cs="Palatino Linotype"/>
          <w:color w:val="000000"/>
          <w:sz w:val="22"/>
          <w:szCs w:val="22"/>
          <w:lang w:eastAsia="es-MX"/>
        </w:rPr>
        <w:t xml:space="preserve">a efecto de que ponga a disposición, en todas las modalidades que permita la documentación, tales como, disco compacto, dispositivo de almacenamiento, consulta directa, copias simples o certificadas, con posibilidad de entrega en la Unidad de Transparencia o a domicilio por correo certificado, previo pago de los derechos correspondientes, en su caso, en versión pública, </w:t>
      </w:r>
      <w:r w:rsidR="00442BE0">
        <w:rPr>
          <w:rFonts w:ascii="Palatino Linotype" w:eastAsia="Palatino Linotype" w:hAnsi="Palatino Linotype" w:cs="Palatino Linotype"/>
          <w:color w:val="000000"/>
          <w:sz w:val="22"/>
          <w:szCs w:val="22"/>
          <w:lang w:eastAsia="es-MX"/>
        </w:rPr>
        <w:t xml:space="preserve">los documentos que conformaban los </w:t>
      </w:r>
      <w:r w:rsidR="00BC2A42" w:rsidRPr="00EF7988">
        <w:rPr>
          <w:rFonts w:ascii="Palatino Linotype" w:hAnsi="Palatino Linotype"/>
          <w:color w:val="000000"/>
          <w:sz w:val="22"/>
          <w:szCs w:val="22"/>
        </w:rPr>
        <w:t xml:space="preserve">expedientes </w:t>
      </w:r>
      <w:r w:rsidR="00442BE0">
        <w:rPr>
          <w:rFonts w:ascii="Palatino Linotype" w:hAnsi="Palatino Linotype"/>
          <w:color w:val="000000"/>
          <w:sz w:val="22"/>
          <w:szCs w:val="22"/>
        </w:rPr>
        <w:t>de</w:t>
      </w:r>
      <w:r w:rsidR="00BC2A42" w:rsidRPr="00EF7988">
        <w:rPr>
          <w:rFonts w:ascii="Palatino Linotype" w:hAnsi="Palatino Linotype"/>
          <w:color w:val="000000"/>
          <w:sz w:val="22"/>
          <w:szCs w:val="22"/>
        </w:rPr>
        <w:t xml:space="preserve"> los procedimientos de licitación pública, invitación restringida y adjudicación directa realizad</w:t>
      </w:r>
      <w:r w:rsidR="00442BE0">
        <w:rPr>
          <w:rFonts w:ascii="Palatino Linotype" w:hAnsi="Palatino Linotype"/>
          <w:color w:val="000000"/>
          <w:sz w:val="22"/>
          <w:szCs w:val="22"/>
        </w:rPr>
        <w:t>o</w:t>
      </w:r>
      <w:r w:rsidR="00BC2A42" w:rsidRPr="00EF7988">
        <w:rPr>
          <w:rFonts w:ascii="Palatino Linotype" w:hAnsi="Palatino Linotype"/>
          <w:color w:val="000000"/>
          <w:sz w:val="22"/>
          <w:szCs w:val="22"/>
        </w:rPr>
        <w:t xml:space="preserve">s del primero de enero de dos mil veinticinco al primero de mayo de dos mil veintiséis, </w:t>
      </w:r>
      <w:r w:rsidR="00442BE0">
        <w:rPr>
          <w:rFonts w:ascii="Palatino Linotype" w:hAnsi="Palatino Linotype"/>
          <w:color w:val="000000"/>
          <w:sz w:val="22"/>
          <w:szCs w:val="22"/>
        </w:rPr>
        <w:t>que incluya lo siguiente</w:t>
      </w:r>
      <w:r w:rsidR="00BC2A42" w:rsidRPr="00EF7988">
        <w:rPr>
          <w:rFonts w:ascii="Palatino Linotype" w:hAnsi="Palatino Linotype"/>
          <w:color w:val="000000"/>
          <w:sz w:val="22"/>
          <w:szCs w:val="22"/>
        </w:rPr>
        <w:t>:</w:t>
      </w:r>
    </w:p>
    <w:p w14:paraId="5217F433" w14:textId="77777777" w:rsidR="00534DCF" w:rsidRPr="00EF7988" w:rsidRDefault="00534DCF" w:rsidP="000C0C40">
      <w:pPr>
        <w:spacing w:after="0" w:line="360" w:lineRule="auto"/>
        <w:ind w:left="850"/>
        <w:contextualSpacing/>
        <w:jc w:val="both"/>
        <w:rPr>
          <w:rFonts w:ascii="Palatino Linotype" w:hAnsi="Palatino Linotype"/>
          <w:color w:val="000000"/>
          <w:sz w:val="22"/>
          <w:szCs w:val="22"/>
        </w:rPr>
      </w:pPr>
    </w:p>
    <w:p w14:paraId="44BD3CCB"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sz w:val="22"/>
          <w:szCs w:val="22"/>
        </w:rPr>
      </w:pPr>
      <w:r w:rsidRPr="00534DCF">
        <w:rPr>
          <w:rFonts w:ascii="Palatino Linotype" w:hAnsi="Palatino Linotype"/>
          <w:color w:val="000000"/>
          <w:sz w:val="22"/>
          <w:szCs w:val="22"/>
        </w:rPr>
        <w:t>Solicitud del área requirente, estudios de mercado y documentos justificativos;</w:t>
      </w:r>
    </w:p>
    <w:p w14:paraId="2AD216AF"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Bases de licitación, invitaciones, cotizaciones y/o solicitudes de propuesta. </w:t>
      </w:r>
    </w:p>
    <w:p w14:paraId="58BCF05E"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Actas (junta de aclaraciones, presentación y apertura de proposiciones, fallo, etc.). </w:t>
      </w:r>
    </w:p>
    <w:p w14:paraId="635E3A36"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Dictámenes técnicos y económicos. </w:t>
      </w:r>
    </w:p>
    <w:p w14:paraId="30EC1152"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Contrato o pedido correspondiente. </w:t>
      </w:r>
    </w:p>
    <w:p w14:paraId="6B613940"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Facturas emitidas. </w:t>
      </w:r>
    </w:p>
    <w:p w14:paraId="4C3CB845" w14:textId="7777777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Comprobantes de entrega, evidencia documental y/o fotográfica. </w:t>
      </w:r>
    </w:p>
    <w:p w14:paraId="0BDE2A83" w14:textId="2363F1B7"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 xml:space="preserve">Registros de entrada a almacén y documentación logística. </w:t>
      </w:r>
    </w:p>
    <w:p w14:paraId="6511AA8C" w14:textId="55931D59" w:rsidR="00BC2A42" w:rsidRPr="00534DCF" w:rsidRDefault="00BC2A42" w:rsidP="000C0C40">
      <w:pPr>
        <w:pStyle w:val="Prrafodelista"/>
        <w:numPr>
          <w:ilvl w:val="0"/>
          <w:numId w:val="31"/>
        </w:numPr>
        <w:spacing w:after="0" w:line="360" w:lineRule="auto"/>
        <w:ind w:left="850"/>
        <w:jc w:val="both"/>
        <w:rPr>
          <w:rFonts w:ascii="Palatino Linotype" w:hAnsi="Palatino Linotype"/>
          <w:color w:val="000000"/>
          <w:sz w:val="22"/>
          <w:szCs w:val="22"/>
        </w:rPr>
      </w:pPr>
      <w:r w:rsidRPr="00534DCF">
        <w:rPr>
          <w:rFonts w:ascii="Palatino Linotype" w:hAnsi="Palatino Linotype"/>
          <w:color w:val="000000"/>
          <w:sz w:val="22"/>
          <w:szCs w:val="22"/>
        </w:rPr>
        <w:t>Oficios de convocatoria para la sesión del Comité de Adquisiciones</w:t>
      </w:r>
      <w:r w:rsidR="00442BE0">
        <w:rPr>
          <w:rFonts w:ascii="Palatino Linotype" w:hAnsi="Palatino Linotype"/>
          <w:color w:val="000000"/>
          <w:sz w:val="22"/>
          <w:szCs w:val="22"/>
        </w:rPr>
        <w:t xml:space="preserve"> </w:t>
      </w:r>
      <w:proofErr w:type="spellStart"/>
      <w:r w:rsidR="00442BE0">
        <w:rPr>
          <w:rFonts w:ascii="Palatino Linotype" w:hAnsi="Palatino Linotype"/>
          <w:color w:val="000000"/>
          <w:sz w:val="22"/>
          <w:szCs w:val="22"/>
        </w:rPr>
        <w:t>u</w:t>
      </w:r>
      <w:proofErr w:type="spellEnd"/>
      <w:r w:rsidR="00442BE0">
        <w:rPr>
          <w:rFonts w:ascii="Palatino Linotype" w:hAnsi="Palatino Linotype"/>
          <w:color w:val="000000"/>
          <w:sz w:val="22"/>
          <w:szCs w:val="22"/>
        </w:rPr>
        <w:t xml:space="preserve"> homólogo</w:t>
      </w:r>
      <w:r w:rsidRPr="00534DCF">
        <w:rPr>
          <w:rFonts w:ascii="Palatino Linotype" w:hAnsi="Palatino Linotype"/>
          <w:color w:val="000000"/>
          <w:sz w:val="22"/>
          <w:szCs w:val="22"/>
        </w:rPr>
        <w:t>; y</w:t>
      </w:r>
    </w:p>
    <w:p w14:paraId="71C89738" w14:textId="4F57B089" w:rsidR="00BC2A42" w:rsidRPr="00534DCF" w:rsidRDefault="00BC2A42" w:rsidP="000C0C40">
      <w:pPr>
        <w:pStyle w:val="Prrafodelista"/>
        <w:numPr>
          <w:ilvl w:val="0"/>
          <w:numId w:val="31"/>
        </w:numPr>
        <w:spacing w:after="0" w:line="360" w:lineRule="auto"/>
        <w:ind w:left="850"/>
        <w:jc w:val="both"/>
        <w:rPr>
          <w:rFonts w:ascii="Palatino Linotype" w:eastAsiaTheme="minorHAnsi" w:hAnsi="Palatino Linotype"/>
          <w:color w:val="000000"/>
          <w:kern w:val="2"/>
          <w:sz w:val="22"/>
          <w:szCs w:val="22"/>
          <w14:ligatures w14:val="standardContextual"/>
        </w:rPr>
      </w:pPr>
      <w:r w:rsidRPr="00534DCF">
        <w:rPr>
          <w:rFonts w:ascii="Palatino Linotype" w:hAnsi="Palatino Linotype"/>
          <w:color w:val="000000"/>
          <w:sz w:val="22"/>
          <w:szCs w:val="22"/>
        </w:rPr>
        <w:t>Actas del Comité de Adquisiciones</w:t>
      </w:r>
      <w:r w:rsidR="00442BE0">
        <w:rPr>
          <w:rFonts w:ascii="Palatino Linotype" w:hAnsi="Palatino Linotype"/>
          <w:color w:val="000000"/>
          <w:sz w:val="22"/>
          <w:szCs w:val="22"/>
        </w:rPr>
        <w:t xml:space="preserve"> </w:t>
      </w:r>
      <w:proofErr w:type="spellStart"/>
      <w:r w:rsidR="00442BE0">
        <w:rPr>
          <w:rFonts w:ascii="Palatino Linotype" w:hAnsi="Palatino Linotype"/>
          <w:color w:val="000000"/>
          <w:sz w:val="22"/>
          <w:szCs w:val="22"/>
        </w:rPr>
        <w:t>u</w:t>
      </w:r>
      <w:proofErr w:type="spellEnd"/>
      <w:r w:rsidR="00442BE0">
        <w:rPr>
          <w:rFonts w:ascii="Palatino Linotype" w:hAnsi="Palatino Linotype"/>
          <w:color w:val="000000"/>
          <w:sz w:val="22"/>
          <w:szCs w:val="22"/>
        </w:rPr>
        <w:t xml:space="preserve"> homólogo</w:t>
      </w:r>
      <w:r w:rsidRPr="00534DCF">
        <w:rPr>
          <w:rFonts w:ascii="Palatino Linotype" w:hAnsi="Palatino Linotype"/>
          <w:color w:val="000000"/>
          <w:sz w:val="22"/>
          <w:szCs w:val="22"/>
        </w:rPr>
        <w:t xml:space="preserve">. </w:t>
      </w:r>
    </w:p>
    <w:p w14:paraId="7741E40C" w14:textId="375E41CB" w:rsidR="00B57BAC" w:rsidRPr="00EF7988" w:rsidRDefault="00B57BAC" w:rsidP="000C0C40">
      <w:pPr>
        <w:spacing w:after="0" w:line="360" w:lineRule="auto"/>
        <w:contextualSpacing/>
        <w:jc w:val="both"/>
        <w:rPr>
          <w:rFonts w:ascii="Palatino Linotype" w:eastAsia="Times New Roman" w:hAnsi="Palatino Linotype" w:cs="Tahoma"/>
          <w:bCs/>
          <w:iCs/>
          <w:sz w:val="22"/>
          <w:szCs w:val="22"/>
          <w:lang w:eastAsia="es-MX"/>
        </w:rPr>
      </w:pPr>
    </w:p>
    <w:p w14:paraId="35D69061" w14:textId="77777777" w:rsidR="00B57BAC" w:rsidRPr="00EF7988" w:rsidRDefault="00B57BAC" w:rsidP="000C0C40">
      <w:pPr>
        <w:spacing w:after="0" w:line="360" w:lineRule="auto"/>
        <w:contextualSpacing/>
        <w:jc w:val="both"/>
        <w:rPr>
          <w:rFonts w:ascii="Palatino Linotype" w:eastAsia="Palatino Linotype" w:hAnsi="Palatino Linotype" w:cs="Palatino Linotype"/>
          <w:color w:val="000000"/>
          <w:sz w:val="22"/>
          <w:szCs w:val="22"/>
          <w:lang w:eastAsia="es-MX"/>
        </w:rPr>
      </w:pPr>
      <w:r w:rsidRPr="00EF7988">
        <w:rPr>
          <w:rFonts w:ascii="Palatino Linotype" w:eastAsia="Palatino Linotype" w:hAnsi="Palatino Linotype" w:cs="Tahoma"/>
          <w:bCs/>
          <w:iCs/>
          <w:color w:val="000000"/>
          <w:sz w:val="22"/>
          <w:szCs w:val="22"/>
          <w:lang w:eastAsia="es-MX"/>
        </w:rPr>
        <w:t>Para tal situación, a través del Sistema de Acceso a la Información Mexiquense (SAIMEX), deberá indicar el procedimiento que tendrá que seguir el Particular, para acceder a la documentación, es decir, los pasos para realizar el pago de derechos, en caso de proceder, y la manera de obtener la información como domicilio de la Unidad de Transparencia, días y horarios de atención, así como el nombre del servidor público que le atenderá. Además, deberá señalarle que podrá acceder de manera gratuita a la información si proporciona el medio electrónico y recoge la información en la Unidad de Transparencia.</w:t>
      </w:r>
      <w:r w:rsidRPr="00EF7988">
        <w:rPr>
          <w:rFonts w:ascii="Palatino Linotype" w:eastAsia="Palatino Linotype" w:hAnsi="Palatino Linotype" w:cs="Palatino Linotype"/>
          <w:color w:val="000000"/>
          <w:sz w:val="22"/>
          <w:szCs w:val="22"/>
          <w:lang w:eastAsia="es-MX"/>
        </w:rPr>
        <w:t xml:space="preserve"> </w:t>
      </w:r>
    </w:p>
    <w:p w14:paraId="036DA1FF" w14:textId="77777777" w:rsidR="00B57BAC" w:rsidRPr="00EF7988" w:rsidRDefault="00B57BAC" w:rsidP="000C0C40">
      <w:pPr>
        <w:spacing w:after="0" w:line="360" w:lineRule="auto"/>
        <w:contextualSpacing/>
        <w:jc w:val="both"/>
        <w:rPr>
          <w:rFonts w:ascii="Palatino Linotype" w:eastAsia="Palatino Linotype" w:hAnsi="Palatino Linotype" w:cs="Palatino Linotype"/>
          <w:color w:val="000000"/>
          <w:sz w:val="22"/>
          <w:szCs w:val="22"/>
          <w:lang w:eastAsia="es-MX"/>
        </w:rPr>
      </w:pPr>
    </w:p>
    <w:p w14:paraId="1FEC756D" w14:textId="77777777" w:rsidR="00B57BAC" w:rsidRPr="00EF7988" w:rsidRDefault="00B57BAC" w:rsidP="000C0C40">
      <w:pPr>
        <w:spacing w:after="0" w:line="360" w:lineRule="auto"/>
        <w:contextualSpacing/>
        <w:jc w:val="both"/>
        <w:rPr>
          <w:rFonts w:ascii="Palatino Linotype" w:eastAsia="Calibri" w:hAnsi="Palatino Linotype" w:cs="Tahoma"/>
          <w:bCs/>
          <w:iCs/>
          <w:color w:val="000000"/>
          <w:sz w:val="22"/>
          <w:szCs w:val="22"/>
          <w:lang w:eastAsia="es-MX"/>
        </w:rPr>
      </w:pPr>
      <w:r w:rsidRPr="00EF7988">
        <w:rPr>
          <w:rFonts w:ascii="Palatino Linotype" w:eastAsia="Calibri" w:hAnsi="Palatino Linotype" w:cs="Tahoma"/>
          <w:bCs/>
          <w:iCs/>
          <w:color w:val="000000"/>
          <w:sz w:val="22"/>
          <w:szCs w:val="22"/>
          <w:lang w:eastAsia="es-MX"/>
        </w:rPr>
        <w:t>Además, deberá proporcionar el Acuerdo de Clasificación donde el Comité de Transparencia, confirme la eliminación de los datos confidenciales, en la versión pública, de conformidad con los artículos 49, fracciones II y VIII y 132, fracción II de la Ley de Transparencia y Acceso a la Información Pública del Estado de México y Municipios.</w:t>
      </w:r>
    </w:p>
    <w:p w14:paraId="7530BDE4" w14:textId="77777777" w:rsidR="00B57BAC" w:rsidRDefault="00B57BAC" w:rsidP="000C0C40">
      <w:pPr>
        <w:spacing w:after="0" w:line="360" w:lineRule="auto"/>
        <w:contextualSpacing/>
        <w:jc w:val="both"/>
        <w:rPr>
          <w:rFonts w:ascii="Palatino Linotype" w:eastAsia="Palatino Linotype" w:hAnsi="Palatino Linotype" w:cs="Palatino Linotype"/>
          <w:b/>
          <w:sz w:val="22"/>
          <w:szCs w:val="22"/>
          <w:lang w:eastAsia="es-MX"/>
        </w:rPr>
      </w:pPr>
    </w:p>
    <w:p w14:paraId="4978DDF0" w14:textId="1504BF93" w:rsidR="00442BE0" w:rsidRPr="00442BE0" w:rsidRDefault="00442BE0" w:rsidP="000C0C40">
      <w:pPr>
        <w:spacing w:after="0" w:line="360" w:lineRule="auto"/>
        <w:contextualSpacing/>
        <w:jc w:val="both"/>
        <w:rPr>
          <w:rFonts w:ascii="Palatino Linotype" w:eastAsia="Palatino Linotype" w:hAnsi="Palatino Linotype" w:cs="Palatino Linotype"/>
          <w:bCs/>
          <w:sz w:val="22"/>
          <w:szCs w:val="22"/>
          <w:lang w:eastAsia="es-MX"/>
        </w:rPr>
      </w:pPr>
      <w:r>
        <w:rPr>
          <w:rFonts w:ascii="Palatino Linotype" w:eastAsia="Palatino Linotype" w:hAnsi="Palatino Linotype" w:cs="Palatino Linotype"/>
          <w:bCs/>
          <w:sz w:val="22"/>
          <w:szCs w:val="22"/>
          <w:lang w:eastAsia="es-MX"/>
        </w:rPr>
        <w:t>Para el caso, respecto al numeral 7, de que no cuente con evidencia fotográfica, deberá hacerla del conocimiento de la parte Recurrente, de manera clara y precisa.</w:t>
      </w:r>
    </w:p>
    <w:p w14:paraId="07C77CC3" w14:textId="77777777" w:rsidR="00442BE0" w:rsidRPr="00EF7988" w:rsidRDefault="00442BE0" w:rsidP="000C0C40">
      <w:pPr>
        <w:spacing w:after="0" w:line="360" w:lineRule="auto"/>
        <w:contextualSpacing/>
        <w:jc w:val="both"/>
        <w:rPr>
          <w:rFonts w:ascii="Palatino Linotype" w:eastAsia="Palatino Linotype" w:hAnsi="Palatino Linotype" w:cs="Palatino Linotype"/>
          <w:b/>
          <w:sz w:val="22"/>
          <w:szCs w:val="22"/>
          <w:lang w:eastAsia="es-MX"/>
        </w:rPr>
      </w:pPr>
    </w:p>
    <w:p w14:paraId="69F1D7D9"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b/>
          <w:sz w:val="22"/>
          <w:szCs w:val="22"/>
          <w:lang w:eastAsia="es-MX"/>
        </w:rPr>
        <w:t>TERCERO. NOTIFÍQUESE POR SAIMEX</w:t>
      </w:r>
      <w:r w:rsidRPr="00EF7988">
        <w:rPr>
          <w:rFonts w:ascii="Palatino Linotype" w:eastAsia="Palatino Linotype" w:hAnsi="Palatino Linotype" w:cs="Palatino Linotype"/>
          <w:sz w:val="22"/>
          <w:szCs w:val="22"/>
          <w:lang w:eastAsia="es-MX"/>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w:t>
      </w:r>
    </w:p>
    <w:p w14:paraId="7DF2A221"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p>
    <w:p w14:paraId="6042C752"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De conformidad con el artículo 198 de la Ley de la materia, de considerarlo procedente, el Sujeto Obligado de manera fundada y motivada, podrá solicitar una ampliación de plazo para el cumplimiento de la presente Resolución.</w:t>
      </w:r>
    </w:p>
    <w:p w14:paraId="7CE56E06"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 </w:t>
      </w:r>
    </w:p>
    <w:p w14:paraId="08BAE933"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b/>
          <w:sz w:val="22"/>
          <w:szCs w:val="22"/>
          <w:lang w:eastAsia="es-MX"/>
        </w:rPr>
        <w:t>CUARTO. NOTIFÍQUESE POR SAIMEX</w:t>
      </w:r>
      <w:r w:rsidRPr="00EF7988">
        <w:rPr>
          <w:rFonts w:ascii="Palatino Linotype" w:eastAsia="Palatino Linotype" w:hAnsi="Palatino Linotype" w:cs="Palatino Linotype"/>
          <w:sz w:val="22"/>
          <w:szCs w:val="22"/>
          <w:lang w:eastAsia="es-MX"/>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0590F750" w14:textId="77777777"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p>
    <w:p w14:paraId="256C6ADE" w14:textId="02928D05" w:rsidR="00B57BAC" w:rsidRPr="00EF7988" w:rsidRDefault="00B57BAC" w:rsidP="000C0C40">
      <w:pPr>
        <w:spacing w:after="0" w:line="360" w:lineRule="auto"/>
        <w:contextualSpacing/>
        <w:jc w:val="both"/>
        <w:rPr>
          <w:rFonts w:ascii="Palatino Linotype" w:eastAsia="Palatino Linotype" w:hAnsi="Palatino Linotype" w:cs="Palatino Linotype"/>
          <w:sz w:val="22"/>
          <w:szCs w:val="22"/>
          <w:lang w:eastAsia="es-MX"/>
        </w:rPr>
      </w:pPr>
      <w:r w:rsidRPr="00EF7988">
        <w:rPr>
          <w:rFonts w:ascii="Palatino Linotype" w:eastAsia="Palatino Linotype" w:hAnsi="Palatino Linotype" w:cs="Palatino Linotype"/>
          <w:sz w:val="22"/>
          <w:szCs w:val="22"/>
          <w:lang w:eastAsia="es-MX"/>
        </w:rPr>
        <w:t xml:space="preserve">ASÍ LO RESUELVE, POR </w:t>
      </w:r>
      <w:r w:rsidR="007550AF">
        <w:rPr>
          <w:rFonts w:ascii="Palatino Linotype" w:eastAsia="Palatino Linotype" w:hAnsi="Palatino Linotype" w:cs="Palatino Linotype"/>
          <w:b/>
          <w:sz w:val="22"/>
          <w:szCs w:val="22"/>
          <w:lang w:eastAsia="es-MX"/>
        </w:rPr>
        <w:t>UNANIMIDAD</w:t>
      </w:r>
      <w:r w:rsidRPr="00EF7988">
        <w:rPr>
          <w:rFonts w:ascii="Palatino Linotype" w:eastAsia="Palatino Linotype" w:hAnsi="Palatino Linotype" w:cs="Palatino Linotype"/>
          <w:b/>
          <w:sz w:val="22"/>
          <w:szCs w:val="22"/>
          <w:lang w:eastAsia="es-MX"/>
        </w:rPr>
        <w:t xml:space="preserve"> </w:t>
      </w:r>
      <w:r w:rsidRPr="00EF7988">
        <w:rPr>
          <w:rFonts w:ascii="Palatino Linotype" w:eastAsia="Palatino Linotype" w:hAnsi="Palatino Linotype" w:cs="Palatino Linotype"/>
          <w:sz w:val="22"/>
          <w:szCs w:val="22"/>
          <w:lang w:eastAsia="es-MX"/>
        </w:rPr>
        <w:t>DE VOTOS EL PLENO DEL INSTITUTO DE TRANSPARENCIA, ACCESO A LA INFORMACIÓN PÚBLICA Y PROTECCIÓN DE DATOS PERSONALES DEL ESTADO DE MÉXICO Y MUNICIPIOS, CONFORMADO POR LOS COMISIONADOS JOSÉ MARTÍNEZ VILCHIS, MARÍA DEL ROSARIO MEJÍA AYALA</w:t>
      </w:r>
      <w:r w:rsidR="007550AF">
        <w:rPr>
          <w:rFonts w:ascii="Palatino Linotype" w:eastAsia="Palatino Linotype" w:hAnsi="Palatino Linotype" w:cs="Palatino Linotype"/>
          <w:sz w:val="22"/>
          <w:szCs w:val="22"/>
          <w:lang w:eastAsia="es-MX"/>
        </w:rPr>
        <w:t xml:space="preserve"> (AUSENCIA JUSTIFICADA)</w:t>
      </w:r>
      <w:r w:rsidRPr="00EF7988">
        <w:rPr>
          <w:rFonts w:ascii="Palatino Linotype" w:eastAsia="Palatino Linotype" w:hAnsi="Palatino Linotype" w:cs="Palatino Linotype"/>
          <w:sz w:val="22"/>
          <w:szCs w:val="22"/>
          <w:lang w:eastAsia="es-MX"/>
        </w:rPr>
        <w:t xml:space="preserve">, SHARON CRISTINA MORALES MARTÍNEZ, LUIS GUSTAVO PARRA NORIEGA Y GUADALUPE RAMÍREZ PEÑA, EN LA </w:t>
      </w:r>
      <w:r w:rsidR="00BC2A42" w:rsidRPr="00EF7988">
        <w:rPr>
          <w:rFonts w:ascii="Palatino Linotype" w:eastAsia="Palatino Linotype" w:hAnsi="Palatino Linotype" w:cs="Palatino Linotype"/>
          <w:sz w:val="22"/>
          <w:szCs w:val="22"/>
          <w:lang w:eastAsia="es-MX"/>
        </w:rPr>
        <w:t>VIG</w:t>
      </w:r>
      <w:r w:rsidRPr="00EF7988">
        <w:rPr>
          <w:rFonts w:ascii="Palatino Linotype" w:eastAsia="Palatino Linotype" w:hAnsi="Palatino Linotype" w:cs="Palatino Linotype"/>
          <w:sz w:val="22"/>
          <w:szCs w:val="22"/>
          <w:lang w:eastAsia="es-MX"/>
        </w:rPr>
        <w:t>É</w:t>
      </w:r>
      <w:r w:rsidR="00BC2A42" w:rsidRPr="00EF7988">
        <w:rPr>
          <w:rFonts w:ascii="Palatino Linotype" w:eastAsia="Palatino Linotype" w:hAnsi="Palatino Linotype" w:cs="Palatino Linotype"/>
          <w:sz w:val="22"/>
          <w:szCs w:val="22"/>
          <w:lang w:eastAsia="es-MX"/>
        </w:rPr>
        <w:t>S</w:t>
      </w:r>
      <w:r w:rsidRPr="00EF7988">
        <w:rPr>
          <w:rFonts w:ascii="Palatino Linotype" w:eastAsia="Palatino Linotype" w:hAnsi="Palatino Linotype" w:cs="Palatino Linotype"/>
          <w:sz w:val="22"/>
          <w:szCs w:val="22"/>
          <w:lang w:eastAsia="es-MX"/>
        </w:rPr>
        <w:t xml:space="preserve">IMA </w:t>
      </w:r>
      <w:r w:rsidR="00BC2A42" w:rsidRPr="00EF7988">
        <w:rPr>
          <w:rFonts w:ascii="Palatino Linotype" w:eastAsia="Palatino Linotype" w:hAnsi="Palatino Linotype" w:cs="Palatino Linotype"/>
          <w:sz w:val="22"/>
          <w:szCs w:val="22"/>
          <w:lang w:eastAsia="es-MX"/>
        </w:rPr>
        <w:t>SEX</w:t>
      </w:r>
      <w:r w:rsidRPr="00EF7988">
        <w:rPr>
          <w:rFonts w:ascii="Palatino Linotype" w:eastAsia="Palatino Linotype" w:hAnsi="Palatino Linotype" w:cs="Palatino Linotype"/>
          <w:sz w:val="22"/>
          <w:szCs w:val="22"/>
          <w:lang w:eastAsia="es-MX"/>
        </w:rPr>
        <w:t xml:space="preserve">TA SESIÓN ORDINARIA, CELEBRADA EL </w:t>
      </w:r>
      <w:r w:rsidR="00BC2A42" w:rsidRPr="00EF7988">
        <w:rPr>
          <w:rFonts w:ascii="Palatino Linotype" w:eastAsia="Palatino Linotype" w:hAnsi="Palatino Linotype" w:cs="Palatino Linotype"/>
          <w:sz w:val="22"/>
          <w:szCs w:val="22"/>
          <w:lang w:eastAsia="es-MX"/>
        </w:rPr>
        <w:t>QUINCE</w:t>
      </w:r>
      <w:r w:rsidRPr="00EF7988">
        <w:rPr>
          <w:rFonts w:ascii="Palatino Linotype" w:eastAsia="Palatino Linotype" w:hAnsi="Palatino Linotype" w:cs="Palatino Linotype"/>
          <w:sz w:val="22"/>
          <w:szCs w:val="22"/>
          <w:lang w:eastAsia="es-MX"/>
        </w:rPr>
        <w:t xml:space="preserve"> DE </w:t>
      </w:r>
      <w:r w:rsidR="00BC2A42" w:rsidRPr="00EF7988">
        <w:rPr>
          <w:rFonts w:ascii="Palatino Linotype" w:eastAsia="Palatino Linotype" w:hAnsi="Palatino Linotype" w:cs="Palatino Linotype"/>
          <w:sz w:val="22"/>
          <w:szCs w:val="22"/>
          <w:lang w:eastAsia="es-MX"/>
        </w:rPr>
        <w:t>JULIO</w:t>
      </w:r>
      <w:r w:rsidRPr="00EF7988">
        <w:rPr>
          <w:rFonts w:ascii="Palatino Linotype" w:eastAsia="Palatino Linotype" w:hAnsi="Palatino Linotype" w:cs="Palatino Linotype"/>
          <w:sz w:val="22"/>
          <w:szCs w:val="22"/>
          <w:lang w:eastAsia="es-MX"/>
        </w:rPr>
        <w:t xml:space="preserve"> DE DOS MIL VEINTISÉIS, ANTE EL SECRETARIO TÉCNICO DEL PLENO, ALEXIS TAPIA RAMÍREZ.</w:t>
      </w:r>
    </w:p>
    <w:p w14:paraId="5D9AFAA0" w14:textId="364BC98F" w:rsidR="00F4599C" w:rsidRPr="00290F84" w:rsidRDefault="00F4599C" w:rsidP="000C0C40">
      <w:pPr>
        <w:spacing w:after="0" w:line="360" w:lineRule="auto"/>
        <w:contextualSpacing/>
        <w:jc w:val="both"/>
        <w:rPr>
          <w:rFonts w:ascii="Palatino Linotype" w:eastAsia="Palatino Linotype" w:hAnsi="Palatino Linotype" w:cs="Palatino Linotype"/>
          <w:lang w:eastAsia="es-MX"/>
        </w:rPr>
      </w:pPr>
    </w:p>
    <w:p w14:paraId="1D8DA8D0" w14:textId="77777777" w:rsidR="00F4599C" w:rsidRPr="00290F84" w:rsidRDefault="00F4599C" w:rsidP="000C0C40">
      <w:pPr>
        <w:spacing w:after="0" w:line="360" w:lineRule="auto"/>
        <w:contextualSpacing/>
        <w:jc w:val="both"/>
        <w:rPr>
          <w:rFonts w:ascii="Palatino Linotype" w:eastAsia="Palatino Linotype" w:hAnsi="Palatino Linotype" w:cs="Palatino Linotype"/>
          <w:lang w:eastAsia="es-MX"/>
        </w:rPr>
      </w:pPr>
    </w:p>
    <w:p w14:paraId="5E92017D"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224FEEA8"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6F835920"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1CFF2660"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036FED32"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77EB531B"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19E018A4"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451DF95C"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29F41797" w14:textId="77777777" w:rsidR="00F4599C" w:rsidRPr="00290F84" w:rsidRDefault="00F4599C" w:rsidP="000C0C40">
      <w:pPr>
        <w:spacing w:after="0" w:line="360" w:lineRule="auto"/>
        <w:contextualSpacing/>
        <w:rPr>
          <w:rFonts w:ascii="Palatino Linotype" w:eastAsia="Palatino Linotype" w:hAnsi="Palatino Linotype" w:cs="Palatino Linotype"/>
          <w:sz w:val="20"/>
          <w:szCs w:val="20"/>
          <w:lang w:eastAsia="es-MX"/>
        </w:rPr>
      </w:pPr>
    </w:p>
    <w:p w14:paraId="1439B52E"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04E85778"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60703B15"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4C978013"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6B1944DF"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43741566"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5765C398"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760D7A61"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7E1CC51C"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bookmarkEnd w:id="0"/>
    <w:p w14:paraId="30C2B657"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38D9E220"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19C4BA26"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2B25F316"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p w14:paraId="69EB5E11" w14:textId="77777777" w:rsidR="00F4599C" w:rsidRPr="00290F84" w:rsidRDefault="00F4599C" w:rsidP="000C0C40">
      <w:pPr>
        <w:spacing w:after="0" w:line="360" w:lineRule="auto"/>
        <w:contextualSpacing/>
        <w:rPr>
          <w:rFonts w:ascii="Palatino Linotype" w:eastAsia="Times New Roman" w:hAnsi="Palatino Linotype" w:cs="Times New Roman"/>
          <w:sz w:val="20"/>
          <w:szCs w:val="20"/>
          <w:lang w:eastAsia="es-MX"/>
        </w:rPr>
      </w:pPr>
    </w:p>
    <w:bookmarkEnd w:id="1"/>
    <w:p w14:paraId="07337DAE" w14:textId="77777777" w:rsidR="00B01980" w:rsidRDefault="00B01980" w:rsidP="000C0C40">
      <w:pPr>
        <w:spacing w:after="0" w:line="360" w:lineRule="auto"/>
        <w:contextualSpacing/>
      </w:pPr>
    </w:p>
    <w:sectPr w:rsidR="00B01980" w:rsidSect="007060D1">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56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212C0" w14:textId="77777777" w:rsidR="00C63AAD" w:rsidRDefault="00C63AAD" w:rsidP="00F4599C">
      <w:pPr>
        <w:spacing w:after="0" w:line="240" w:lineRule="auto"/>
      </w:pPr>
      <w:r>
        <w:separator/>
      </w:r>
    </w:p>
  </w:endnote>
  <w:endnote w:type="continuationSeparator" w:id="0">
    <w:p w14:paraId="7D0823AE" w14:textId="77777777" w:rsidR="00C63AAD" w:rsidRDefault="00C63AAD" w:rsidP="00F45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DA10" w14:textId="77777777" w:rsidR="00F4599C" w:rsidRDefault="00F4599C">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7835E3">
      <w:rPr>
        <w:rFonts w:ascii="Palatino Linotype" w:eastAsia="Palatino Linotype" w:hAnsi="Palatino Linotype" w:cs="Palatino Linotype"/>
        <w:b/>
        <w:noProof/>
        <w:color w:val="000000"/>
      </w:rPr>
      <w:t>50</w:t>
    </w:r>
    <w:r>
      <w:rPr>
        <w:rFonts w:ascii="Palatino Linotype" w:eastAsia="Palatino Linotype" w:hAnsi="Palatino Linotype" w:cs="Palatino Linotype"/>
        <w:b/>
        <w:color w:val="000000"/>
      </w:rPr>
      <w:fldChar w:fldCharType="end"/>
    </w:r>
  </w:p>
  <w:p w14:paraId="35759432" w14:textId="77777777" w:rsidR="00F4599C" w:rsidRDefault="00F4599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C398" w14:textId="77777777" w:rsidR="00F4599C" w:rsidRDefault="00F4599C">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7835E3">
      <w:rPr>
        <w:rFonts w:ascii="Palatino Linotype" w:eastAsia="Palatino Linotype" w:hAnsi="Palatino Linotype" w:cs="Palatino Linotype"/>
        <w:b/>
        <w:noProof/>
        <w:color w:val="000000"/>
      </w:rPr>
      <w:t>49</w: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7835E3">
      <w:rPr>
        <w:rFonts w:ascii="Palatino Linotype" w:eastAsia="Palatino Linotype" w:hAnsi="Palatino Linotype" w:cs="Palatino Linotype"/>
        <w:b/>
        <w:noProof/>
        <w:color w:val="000000"/>
      </w:rPr>
      <w:t>50</w:t>
    </w:r>
    <w:r>
      <w:rPr>
        <w:rFonts w:ascii="Palatino Linotype" w:eastAsia="Palatino Linotype" w:hAnsi="Palatino Linotype" w:cs="Palatino Linotype"/>
        <w:b/>
        <w:color w:val="000000"/>
      </w:rPr>
      <w:fldChar w:fldCharType="end"/>
    </w:r>
  </w:p>
  <w:p w14:paraId="1354597D" w14:textId="77777777" w:rsidR="00F4599C" w:rsidRDefault="00F4599C">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FABD" w14:textId="77777777" w:rsidR="00F4599C" w:rsidRDefault="00F4599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7835E3">
      <w:rPr>
        <w:rFonts w:ascii="Palatino Linotype" w:eastAsia="Palatino Linotype" w:hAnsi="Palatino Linotype" w:cs="Palatino Linotype"/>
        <w:b/>
        <w:noProof/>
        <w:color w:val="000000"/>
      </w:rPr>
      <w:t>1</w: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7835E3">
      <w:rPr>
        <w:rFonts w:ascii="Palatino Linotype" w:eastAsia="Palatino Linotype" w:hAnsi="Palatino Linotype" w:cs="Palatino Linotype"/>
        <w:b/>
        <w:noProof/>
        <w:color w:val="000000"/>
      </w:rPr>
      <w:t>50</w:t>
    </w:r>
    <w:r>
      <w:rPr>
        <w:rFonts w:ascii="Palatino Linotype" w:eastAsia="Palatino Linotype" w:hAnsi="Palatino Linotype" w:cs="Palatino Linotype"/>
        <w:b/>
        <w:color w:val="000000"/>
      </w:rPr>
      <w:fldChar w:fldCharType="end"/>
    </w:r>
  </w:p>
  <w:p w14:paraId="6752D416" w14:textId="77777777" w:rsidR="00F4599C" w:rsidRDefault="00F4599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2CF5" w14:textId="77777777" w:rsidR="00C63AAD" w:rsidRDefault="00C63AAD" w:rsidP="00F4599C">
      <w:pPr>
        <w:spacing w:after="0" w:line="240" w:lineRule="auto"/>
      </w:pPr>
      <w:r>
        <w:separator/>
      </w:r>
    </w:p>
  </w:footnote>
  <w:footnote w:type="continuationSeparator" w:id="0">
    <w:p w14:paraId="2EB77C0D" w14:textId="77777777" w:rsidR="00C63AAD" w:rsidRDefault="00C63AAD" w:rsidP="00F45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0B0" w14:textId="77777777" w:rsidR="00F4599C" w:rsidRDefault="00F4599C">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F4599C" w14:paraId="165D733F" w14:textId="77777777">
      <w:trPr>
        <w:trHeight w:val="1435"/>
      </w:trPr>
      <w:tc>
        <w:tcPr>
          <w:tcW w:w="2972" w:type="dxa"/>
        </w:tcPr>
        <w:p w14:paraId="34E3268E" w14:textId="77777777" w:rsidR="00F4599C" w:rsidRDefault="00F4599C">
          <w:pPr>
            <w:tabs>
              <w:tab w:val="right" w:pos="4273"/>
            </w:tabs>
            <w:spacing w:line="256" w:lineRule="auto"/>
            <w:rPr>
              <w:rFonts w:ascii="Garamond" w:eastAsia="Garamond" w:hAnsi="Garamond" w:cs="Garamond"/>
            </w:rPr>
          </w:pPr>
        </w:p>
      </w:tc>
      <w:tc>
        <w:tcPr>
          <w:tcW w:w="6733" w:type="dxa"/>
        </w:tcPr>
        <w:p w14:paraId="094AEE88" w14:textId="77777777" w:rsidR="00F4599C" w:rsidRDefault="00F4599C">
          <w:pPr>
            <w:widowControl w:val="0"/>
            <w:pBdr>
              <w:top w:val="nil"/>
              <w:left w:val="nil"/>
              <w:bottom w:val="nil"/>
              <w:right w:val="nil"/>
              <w:between w:val="nil"/>
            </w:pBdr>
            <w:spacing w:line="276" w:lineRule="auto"/>
            <w:rPr>
              <w:rFonts w:ascii="Garamond" w:eastAsia="Garamond" w:hAnsi="Garamond" w:cs="Garamond"/>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F4599C" w14:paraId="5AF44E4B" w14:textId="77777777">
            <w:trPr>
              <w:trHeight w:val="144"/>
            </w:trPr>
            <w:tc>
              <w:tcPr>
                <w:tcW w:w="2447" w:type="dxa"/>
              </w:tcPr>
              <w:p w14:paraId="1AAD7BD3" w14:textId="77777777" w:rsidR="00F4599C" w:rsidRDefault="00F4599C">
                <w:pPr>
                  <w:tabs>
                    <w:tab w:val="right" w:pos="8838"/>
                  </w:tabs>
                  <w:ind w:left="-69"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088" w:type="dxa"/>
              </w:tcPr>
              <w:p w14:paraId="0C740BC5" w14:textId="77777777" w:rsidR="00F4599C" w:rsidRDefault="00F4599C">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02946/INFOEM/IP/RR/2021</w:t>
                </w:r>
              </w:p>
            </w:tc>
          </w:tr>
          <w:tr w:rsidR="00F4599C" w14:paraId="7154F809" w14:textId="77777777">
            <w:trPr>
              <w:trHeight w:val="283"/>
            </w:trPr>
            <w:tc>
              <w:tcPr>
                <w:tcW w:w="2447" w:type="dxa"/>
              </w:tcPr>
              <w:p w14:paraId="696C8942" w14:textId="77777777" w:rsidR="00F4599C" w:rsidRDefault="00F4599C">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088" w:type="dxa"/>
              </w:tcPr>
              <w:p w14:paraId="03DA860B" w14:textId="77777777" w:rsidR="00F4599C" w:rsidRDefault="00F4599C">
                <w:pPr>
                  <w:tabs>
                    <w:tab w:val="left" w:pos="2834"/>
                    <w:tab w:val="right" w:pos="8838"/>
                  </w:tabs>
                  <w:ind w:left="-74" w:right="-105"/>
                  <w:jc w:val="both"/>
                  <w:rPr>
                    <w:rFonts w:ascii="Palatino Linotype" w:eastAsia="Palatino Linotype" w:hAnsi="Palatino Linotype" w:cs="Palatino Linotype"/>
                    <w:b/>
                  </w:rPr>
                </w:pPr>
                <w:r>
                  <w:rPr>
                    <w:rFonts w:ascii="Palatino Linotype" w:eastAsia="Palatino Linotype" w:hAnsi="Palatino Linotype" w:cs="Palatino Linotype"/>
                  </w:rPr>
                  <w:t>Ayuntamiento de San Antonio la Isla</w:t>
                </w:r>
              </w:p>
            </w:tc>
          </w:tr>
          <w:tr w:rsidR="00F4599C" w14:paraId="0AF3C979" w14:textId="77777777">
            <w:trPr>
              <w:trHeight w:val="283"/>
            </w:trPr>
            <w:tc>
              <w:tcPr>
                <w:tcW w:w="2447" w:type="dxa"/>
              </w:tcPr>
              <w:p w14:paraId="63BC5945" w14:textId="77777777" w:rsidR="00F4599C" w:rsidRDefault="00F4599C">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3088" w:type="dxa"/>
              </w:tcPr>
              <w:p w14:paraId="4BB98A67" w14:textId="77777777" w:rsidR="00F4599C" w:rsidRDefault="00F4599C">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p w14:paraId="27FF5F32" w14:textId="77777777" w:rsidR="00F4599C" w:rsidRDefault="00F4599C">
                <w:pPr>
                  <w:tabs>
                    <w:tab w:val="right" w:pos="8838"/>
                  </w:tabs>
                  <w:ind w:left="-74" w:right="-105"/>
                  <w:jc w:val="both"/>
                  <w:rPr>
                    <w:rFonts w:ascii="Palatino Linotype" w:eastAsia="Palatino Linotype" w:hAnsi="Palatino Linotype" w:cs="Palatino Linotype"/>
                    <w:b/>
                  </w:rPr>
                </w:pPr>
              </w:p>
            </w:tc>
          </w:tr>
        </w:tbl>
        <w:p w14:paraId="4584E54C" w14:textId="77777777" w:rsidR="00F4599C" w:rsidRDefault="00F4599C">
          <w:pPr>
            <w:tabs>
              <w:tab w:val="right" w:pos="8838"/>
            </w:tabs>
            <w:spacing w:line="256" w:lineRule="auto"/>
            <w:ind w:left="-28"/>
            <w:jc w:val="both"/>
            <w:rPr>
              <w:rFonts w:ascii="Arial" w:eastAsia="Arial" w:hAnsi="Arial" w:cs="Arial"/>
              <w:b/>
            </w:rPr>
          </w:pPr>
        </w:p>
      </w:tc>
    </w:tr>
  </w:tbl>
  <w:p w14:paraId="1A1AFB2D" w14:textId="77777777" w:rsidR="00F4599C" w:rsidRDefault="00F4599C">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lang w:eastAsia="es-MX"/>
      </w:rPr>
      <w:drawing>
        <wp:anchor distT="0" distB="0" distL="0" distR="0" simplePos="0" relativeHeight="251657728" behindDoc="1" locked="0" layoutInCell="1" hidden="0" allowOverlap="1" wp14:anchorId="042748D4" wp14:editId="72219733">
          <wp:simplePos x="0" y="0"/>
          <wp:positionH relativeFrom="margin">
            <wp:posOffset>-1381124</wp:posOffset>
          </wp:positionH>
          <wp:positionV relativeFrom="margin">
            <wp:posOffset>-1611629</wp:posOffset>
          </wp:positionV>
          <wp:extent cx="5612130" cy="7308215"/>
          <wp:effectExtent l="0" t="0" r="0" b="0"/>
          <wp:wrapNone/>
          <wp:docPr id="13217413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637C" w14:textId="77777777" w:rsidR="00F4599C" w:rsidRDefault="00F4599C">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F4599C" w14:paraId="6CF45629" w14:textId="77777777" w:rsidTr="00646A5A">
      <w:trPr>
        <w:trHeight w:val="1091"/>
      </w:trPr>
      <w:tc>
        <w:tcPr>
          <w:tcW w:w="1985" w:type="dxa"/>
        </w:tcPr>
        <w:p w14:paraId="0F9F4B84" w14:textId="4206490B" w:rsidR="00F4599C" w:rsidRDefault="001037B1">
          <w:pPr>
            <w:tabs>
              <w:tab w:val="right" w:pos="4273"/>
            </w:tabs>
            <w:spacing w:line="256" w:lineRule="auto"/>
            <w:rPr>
              <w:rFonts w:ascii="Garamond" w:eastAsia="Garamond" w:hAnsi="Garamond" w:cs="Garamond"/>
            </w:rPr>
          </w:pPr>
          <w:r>
            <w:rPr>
              <w:rFonts w:ascii="Garamond" w:eastAsia="Garamond" w:hAnsi="Garamond" w:cs="Garamond"/>
              <w:noProof/>
              <w:color w:val="000000"/>
              <w:lang w:eastAsia="es-MX"/>
            </w:rPr>
            <w:drawing>
              <wp:anchor distT="0" distB="0" distL="0" distR="0" simplePos="0" relativeHeight="251656704" behindDoc="1" locked="0" layoutInCell="1" hidden="0" allowOverlap="1" wp14:anchorId="43442031" wp14:editId="2E04AFEE">
                <wp:simplePos x="0" y="0"/>
                <wp:positionH relativeFrom="margin">
                  <wp:posOffset>-1028065</wp:posOffset>
                </wp:positionH>
                <wp:positionV relativeFrom="margin">
                  <wp:posOffset>-441960</wp:posOffset>
                </wp:positionV>
                <wp:extent cx="8025765" cy="10262870"/>
                <wp:effectExtent l="0" t="0" r="0" b="5080"/>
                <wp:wrapNone/>
                <wp:docPr id="8160014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025765" cy="10262870"/>
                        </a:xfrm>
                        <a:prstGeom prst="rect">
                          <a:avLst/>
                        </a:prstGeom>
                        <a:ln/>
                      </pic:spPr>
                    </pic:pic>
                  </a:graphicData>
                </a:graphic>
                <wp14:sizeRelH relativeFrom="margin">
                  <wp14:pctWidth>0</wp14:pctWidth>
                </wp14:sizeRelH>
                <wp14:sizeRelV relativeFrom="margin">
                  <wp14:pctHeight>0</wp14:pctHeight>
                </wp14:sizeRelV>
              </wp:anchor>
            </w:drawing>
          </w:r>
        </w:p>
      </w:tc>
      <w:tc>
        <w:tcPr>
          <w:tcW w:w="7371" w:type="dxa"/>
        </w:tcPr>
        <w:tbl>
          <w:tblPr>
            <w:tblW w:w="7573" w:type="dxa"/>
            <w:tblBorders>
              <w:top w:val="nil"/>
              <w:left w:val="nil"/>
              <w:bottom w:val="nil"/>
              <w:right w:val="nil"/>
              <w:insideH w:val="nil"/>
              <w:insideV w:val="nil"/>
            </w:tblBorders>
            <w:tblLayout w:type="fixed"/>
            <w:tblLook w:val="0400" w:firstRow="0" w:lastRow="0" w:firstColumn="0" w:lastColumn="0" w:noHBand="0" w:noVBand="1"/>
          </w:tblPr>
          <w:tblGrid>
            <w:gridCol w:w="3436"/>
            <w:gridCol w:w="3402"/>
            <w:gridCol w:w="735"/>
          </w:tblGrid>
          <w:tr w:rsidR="00F4599C" w14:paraId="5C2F9001" w14:textId="77777777" w:rsidTr="00F4599C">
            <w:trPr>
              <w:trHeight w:val="197"/>
            </w:trPr>
            <w:tc>
              <w:tcPr>
                <w:tcW w:w="3436" w:type="dxa"/>
              </w:tcPr>
              <w:p w14:paraId="6D20B4A8" w14:textId="48312898" w:rsidR="00F4599C" w:rsidRDefault="00F4599C" w:rsidP="00646A5A">
                <w:pPr>
                  <w:tabs>
                    <w:tab w:val="right" w:pos="8838"/>
                  </w:tabs>
                  <w:spacing w:after="0"/>
                  <w:ind w:left="-114" w:right="-105"/>
                  <w:rPr>
                    <w:rFonts w:ascii="Palatino Linotype" w:eastAsia="Palatino Linotype" w:hAnsi="Palatino Linotype" w:cs="Palatino Linotype"/>
                    <w:b/>
                  </w:rPr>
                </w:pPr>
                <w:r>
                  <w:rPr>
                    <w:rFonts w:ascii="Palatino Linotype" w:eastAsia="Palatino Linotype" w:hAnsi="Palatino Linotype" w:cs="Palatino Linotype"/>
                    <w:b/>
                  </w:rPr>
                  <w:t xml:space="preserve">                     Recurso de Revisión:</w:t>
                </w:r>
              </w:p>
            </w:tc>
            <w:tc>
              <w:tcPr>
                <w:tcW w:w="3402" w:type="dxa"/>
              </w:tcPr>
              <w:p w14:paraId="1ABF8998" w14:textId="0CBBC951" w:rsidR="00F4599C" w:rsidRDefault="00F4599C" w:rsidP="00646A5A">
                <w:pPr>
                  <w:tabs>
                    <w:tab w:val="right" w:pos="8838"/>
                  </w:tabs>
                  <w:spacing w:after="0"/>
                  <w:ind w:right="-105"/>
                  <w:jc w:val="both"/>
                  <w:rPr>
                    <w:rFonts w:ascii="Palatino Linotype" w:eastAsia="Palatino Linotype" w:hAnsi="Palatino Linotype" w:cs="Palatino Linotype"/>
                  </w:rPr>
                </w:pPr>
                <w:r>
                  <w:rPr>
                    <w:rFonts w:ascii="Palatino Linotype" w:eastAsia="Palatino Linotype" w:hAnsi="Palatino Linotype" w:cs="Palatino Linotype"/>
                  </w:rPr>
                  <w:t>06006/INFOEM/IP/RR/2026</w:t>
                </w:r>
              </w:p>
            </w:tc>
            <w:tc>
              <w:tcPr>
                <w:tcW w:w="735" w:type="dxa"/>
              </w:tcPr>
              <w:p w14:paraId="410E49BC" w14:textId="77777777" w:rsidR="00F4599C" w:rsidRDefault="00F4599C" w:rsidP="00646A5A">
                <w:pPr>
                  <w:tabs>
                    <w:tab w:val="right" w:pos="8838"/>
                  </w:tabs>
                  <w:spacing w:after="0"/>
                  <w:ind w:left="-114" w:right="-105"/>
                  <w:jc w:val="both"/>
                  <w:rPr>
                    <w:rFonts w:ascii="Palatino Linotype" w:eastAsia="Palatino Linotype" w:hAnsi="Palatino Linotype" w:cs="Palatino Linotype"/>
                  </w:rPr>
                </w:pPr>
              </w:p>
            </w:tc>
          </w:tr>
          <w:tr w:rsidR="00F4599C" w14:paraId="70D6AA41" w14:textId="77777777" w:rsidTr="00F4599C">
            <w:trPr>
              <w:trHeight w:val="89"/>
            </w:trPr>
            <w:tc>
              <w:tcPr>
                <w:tcW w:w="3436" w:type="dxa"/>
              </w:tcPr>
              <w:p w14:paraId="27B466FB" w14:textId="2B4EFF05" w:rsidR="00F4599C" w:rsidRDefault="00F4599C" w:rsidP="00646A5A">
                <w:pPr>
                  <w:tabs>
                    <w:tab w:val="right" w:pos="8838"/>
                  </w:tabs>
                  <w:spacing w:after="0"/>
                  <w:ind w:left="-114" w:right="31"/>
                  <w:rPr>
                    <w:rFonts w:ascii="Palatino Linotype" w:eastAsia="Palatino Linotype" w:hAnsi="Palatino Linotype" w:cs="Palatino Linotype"/>
                    <w:b/>
                  </w:rPr>
                </w:pPr>
                <w:r>
                  <w:rPr>
                    <w:rFonts w:ascii="Palatino Linotype" w:eastAsia="Palatino Linotype" w:hAnsi="Palatino Linotype" w:cs="Palatino Linotype"/>
                    <w:b/>
                  </w:rPr>
                  <w:t xml:space="preserve">                     Sujeto Obligado:</w:t>
                </w:r>
              </w:p>
            </w:tc>
            <w:tc>
              <w:tcPr>
                <w:tcW w:w="3402" w:type="dxa"/>
              </w:tcPr>
              <w:p w14:paraId="4EDF853F" w14:textId="3CD4BE55" w:rsidR="00F4599C" w:rsidRDefault="00F4599C" w:rsidP="00646A5A">
                <w:pPr>
                  <w:tabs>
                    <w:tab w:val="left" w:pos="2834"/>
                    <w:tab w:val="right" w:pos="8838"/>
                  </w:tabs>
                  <w:spacing w:after="0"/>
                  <w:jc w:val="both"/>
                  <w:rPr>
                    <w:rFonts w:ascii="Palatino Linotype" w:eastAsia="Palatino Linotype" w:hAnsi="Palatino Linotype" w:cs="Palatino Linotype"/>
                    <w:b/>
                    <w:sz w:val="32"/>
                    <w:szCs w:val="32"/>
                  </w:rPr>
                </w:pPr>
                <w:r>
                  <w:rPr>
                    <w:rFonts w:ascii="Palatino Linotype" w:hAnsi="Palatino Linotype"/>
                  </w:rPr>
                  <w:t>Instituto Municipal de Cultura Física y Deporte de Ecatepec</w:t>
                </w:r>
              </w:p>
            </w:tc>
            <w:tc>
              <w:tcPr>
                <w:tcW w:w="735" w:type="dxa"/>
              </w:tcPr>
              <w:p w14:paraId="7007A876" w14:textId="77777777" w:rsidR="00F4599C" w:rsidRDefault="00F4599C" w:rsidP="00646A5A">
                <w:pPr>
                  <w:tabs>
                    <w:tab w:val="left" w:pos="2834"/>
                    <w:tab w:val="right" w:pos="8838"/>
                  </w:tabs>
                  <w:spacing w:after="0"/>
                  <w:ind w:left="-114"/>
                  <w:jc w:val="both"/>
                  <w:rPr>
                    <w:rFonts w:ascii="Palatino Linotype" w:eastAsia="Palatino Linotype" w:hAnsi="Palatino Linotype" w:cs="Palatino Linotype"/>
                  </w:rPr>
                </w:pPr>
              </w:p>
            </w:tc>
          </w:tr>
          <w:tr w:rsidR="00F4599C" w14:paraId="3F61700E" w14:textId="77777777" w:rsidTr="00F4599C">
            <w:trPr>
              <w:trHeight w:val="390"/>
            </w:trPr>
            <w:tc>
              <w:tcPr>
                <w:tcW w:w="3436" w:type="dxa"/>
              </w:tcPr>
              <w:p w14:paraId="764E7553" w14:textId="3FDA1D50" w:rsidR="00F4599C" w:rsidRDefault="00F4599C" w:rsidP="00646A5A">
                <w:pPr>
                  <w:tabs>
                    <w:tab w:val="right" w:pos="8838"/>
                  </w:tabs>
                  <w:spacing w:after="0"/>
                  <w:ind w:right="-105"/>
                  <w:rPr>
                    <w:rFonts w:ascii="Palatino Linotype" w:eastAsia="Palatino Linotype" w:hAnsi="Palatino Linotype" w:cs="Palatino Linotype"/>
                    <w:b/>
                  </w:rPr>
                </w:pPr>
                <w:r>
                  <w:rPr>
                    <w:rFonts w:ascii="Palatino Linotype" w:eastAsia="Palatino Linotype" w:hAnsi="Palatino Linotype" w:cs="Palatino Linotype"/>
                    <w:b/>
                  </w:rPr>
                  <w:t xml:space="preserve">                   Comisionado Ponente:</w:t>
                </w:r>
              </w:p>
            </w:tc>
            <w:tc>
              <w:tcPr>
                <w:tcW w:w="3402" w:type="dxa"/>
              </w:tcPr>
              <w:p w14:paraId="3AF7D8C7" w14:textId="77777777" w:rsidR="00F4599C" w:rsidRDefault="00F4599C" w:rsidP="00646A5A">
                <w:pPr>
                  <w:tabs>
                    <w:tab w:val="right" w:pos="8838"/>
                  </w:tabs>
                  <w:spacing w:after="0"/>
                  <w:ind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c>
              <w:tcPr>
                <w:tcW w:w="735" w:type="dxa"/>
              </w:tcPr>
              <w:p w14:paraId="51442C39" w14:textId="77777777" w:rsidR="00F4599C" w:rsidRDefault="00F4599C" w:rsidP="00646A5A">
                <w:pPr>
                  <w:tabs>
                    <w:tab w:val="right" w:pos="8838"/>
                  </w:tabs>
                  <w:spacing w:after="0"/>
                  <w:ind w:left="-114" w:right="-105"/>
                  <w:jc w:val="both"/>
                  <w:rPr>
                    <w:rFonts w:ascii="Palatino Linotype" w:eastAsia="Palatino Linotype" w:hAnsi="Palatino Linotype" w:cs="Palatino Linotype"/>
                  </w:rPr>
                </w:pPr>
              </w:p>
            </w:tc>
          </w:tr>
        </w:tbl>
        <w:p w14:paraId="1814B1C3" w14:textId="23A3126B" w:rsidR="00F4599C" w:rsidRDefault="00F4599C">
          <w:pPr>
            <w:tabs>
              <w:tab w:val="right" w:pos="8838"/>
            </w:tabs>
            <w:spacing w:line="256" w:lineRule="auto"/>
            <w:ind w:left="-28"/>
            <w:jc w:val="both"/>
            <w:rPr>
              <w:rFonts w:ascii="Arial" w:eastAsia="Arial" w:hAnsi="Arial" w:cs="Arial"/>
              <w:b/>
            </w:rPr>
          </w:pPr>
        </w:p>
      </w:tc>
    </w:tr>
  </w:tbl>
  <w:p w14:paraId="749A584E" w14:textId="77777777" w:rsidR="00F4599C" w:rsidRPr="00646A5A" w:rsidRDefault="00F4599C" w:rsidP="00646A5A">
    <w:pPr>
      <w:pBdr>
        <w:top w:val="nil"/>
        <w:left w:val="nil"/>
        <w:bottom w:val="nil"/>
        <w:right w:val="nil"/>
        <w:between w:val="nil"/>
      </w:pBdr>
      <w:tabs>
        <w:tab w:val="center" w:pos="4419"/>
        <w:tab w:val="right" w:pos="8838"/>
      </w:tabs>
      <w:ind w:right="-111"/>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792B" w14:textId="77777777" w:rsidR="00F4599C" w:rsidRDefault="00000000">
    <w:pPr>
      <w:widowControl w:val="0"/>
      <w:pBdr>
        <w:top w:val="nil"/>
        <w:left w:val="nil"/>
        <w:bottom w:val="nil"/>
        <w:right w:val="nil"/>
        <w:between w:val="nil"/>
      </w:pBdr>
      <w:spacing w:line="276" w:lineRule="auto"/>
      <w:rPr>
        <w:color w:val="000000"/>
      </w:rPr>
    </w:pPr>
    <w:r>
      <w:rPr>
        <w:rFonts w:ascii="Garamond" w:eastAsia="Garamond" w:hAnsi="Garamond" w:cs="Garamond"/>
        <w:color w:val="000000"/>
      </w:rPr>
      <w:pict w14:anchorId="7DC22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80.9pt;margin-top:-136.25pt;width:663.5pt;height:12in;z-index:-251657728;mso-wrap-edited:f;mso-width-percent:0;mso-height-percent:0;mso-position-horizontal-relative:margin;mso-position-vertical-relative:margin;mso-width-percent:0;mso-height-percent:0">
          <v:imagedata r:id="rId1" o:title="image1"/>
          <w10:wrap anchorx="margin" anchory="margin"/>
        </v:shape>
      </w:pict>
    </w:r>
  </w:p>
  <w:tbl>
    <w:tblPr>
      <w:tblW w:w="9214" w:type="dxa"/>
      <w:tblLayout w:type="fixed"/>
      <w:tblLook w:val="0400" w:firstRow="0" w:lastRow="0" w:firstColumn="0" w:lastColumn="0" w:noHBand="0" w:noVBand="1"/>
    </w:tblPr>
    <w:tblGrid>
      <w:gridCol w:w="1560"/>
      <w:gridCol w:w="7654"/>
    </w:tblGrid>
    <w:tr w:rsidR="00F4599C" w14:paraId="52704CBB" w14:textId="77777777">
      <w:trPr>
        <w:trHeight w:val="1435"/>
      </w:trPr>
      <w:tc>
        <w:tcPr>
          <w:tcW w:w="1560" w:type="dxa"/>
        </w:tcPr>
        <w:p w14:paraId="45A11D65" w14:textId="77777777" w:rsidR="00F4599C" w:rsidRDefault="00F4599C">
          <w:pPr>
            <w:tabs>
              <w:tab w:val="right" w:pos="4273"/>
            </w:tabs>
            <w:spacing w:line="256" w:lineRule="auto"/>
            <w:rPr>
              <w:rFonts w:ascii="Garamond" w:eastAsia="Garamond" w:hAnsi="Garamond" w:cs="Garamond"/>
            </w:rPr>
          </w:pPr>
        </w:p>
      </w:tc>
      <w:tc>
        <w:tcPr>
          <w:tcW w:w="7654" w:type="dxa"/>
        </w:tcPr>
        <w:tbl>
          <w:tblPr>
            <w:tblW w:w="8058" w:type="dxa"/>
            <w:tblBorders>
              <w:top w:val="nil"/>
              <w:left w:val="nil"/>
              <w:bottom w:val="nil"/>
              <w:right w:val="nil"/>
              <w:insideH w:val="nil"/>
              <w:insideV w:val="nil"/>
            </w:tblBorders>
            <w:tblLayout w:type="fixed"/>
            <w:tblLook w:val="0400" w:firstRow="0" w:lastRow="0" w:firstColumn="0" w:lastColumn="0" w:noHBand="0" w:noVBand="1"/>
          </w:tblPr>
          <w:tblGrid>
            <w:gridCol w:w="3855"/>
            <w:gridCol w:w="3543"/>
            <w:gridCol w:w="660"/>
          </w:tblGrid>
          <w:tr w:rsidR="00F4599C" w14:paraId="4E6F0F02" w14:textId="77777777" w:rsidTr="00F4599C">
            <w:trPr>
              <w:gridAfter w:val="1"/>
              <w:wAfter w:w="660" w:type="dxa"/>
              <w:trHeight w:val="127"/>
            </w:trPr>
            <w:tc>
              <w:tcPr>
                <w:tcW w:w="3855" w:type="dxa"/>
              </w:tcPr>
              <w:p w14:paraId="50F17D10" w14:textId="2B1BEB9F" w:rsidR="00F4599C" w:rsidRDefault="00F4599C" w:rsidP="00646A5A">
                <w:pPr>
                  <w:tabs>
                    <w:tab w:val="right" w:pos="8838"/>
                  </w:tabs>
                  <w:spacing w:after="0"/>
                  <w:ind w:left="-69" w:right="-105"/>
                  <w:rPr>
                    <w:rFonts w:ascii="Palatino Linotype" w:eastAsia="Palatino Linotype" w:hAnsi="Palatino Linotype" w:cs="Palatino Linotype"/>
                    <w:b/>
                  </w:rPr>
                </w:pPr>
                <w:r>
                  <w:rPr>
                    <w:rFonts w:ascii="Palatino Linotype" w:eastAsia="Palatino Linotype" w:hAnsi="Palatino Linotype" w:cs="Palatino Linotype"/>
                    <w:b/>
                  </w:rPr>
                  <w:t xml:space="preserve">                           Recurso de Revisión:</w:t>
                </w:r>
              </w:p>
            </w:tc>
            <w:tc>
              <w:tcPr>
                <w:tcW w:w="3543" w:type="dxa"/>
              </w:tcPr>
              <w:p w14:paraId="5B57B2B1" w14:textId="4BF657D8" w:rsidR="00F4599C" w:rsidRDefault="00F4599C" w:rsidP="00646A5A">
                <w:pPr>
                  <w:tabs>
                    <w:tab w:val="right" w:pos="8838"/>
                  </w:tabs>
                  <w:spacing w:after="0"/>
                  <w:ind w:left="-74" w:right="-105"/>
                  <w:jc w:val="both"/>
                  <w:rPr>
                    <w:rFonts w:ascii="Palatino Linotype" w:eastAsia="Palatino Linotype" w:hAnsi="Palatino Linotype" w:cs="Palatino Linotype"/>
                  </w:rPr>
                </w:pPr>
                <w:r>
                  <w:rPr>
                    <w:rFonts w:ascii="Palatino Linotype" w:eastAsia="Palatino Linotype" w:hAnsi="Palatino Linotype" w:cs="Palatino Linotype"/>
                  </w:rPr>
                  <w:t xml:space="preserve">06006/INFOEM/IP/RR/2026 </w:t>
                </w:r>
              </w:p>
            </w:tc>
          </w:tr>
          <w:tr w:rsidR="00F4599C" w14:paraId="0050EB7D" w14:textId="77777777" w:rsidTr="00F4599C">
            <w:trPr>
              <w:gridAfter w:val="1"/>
              <w:wAfter w:w="660" w:type="dxa"/>
              <w:trHeight w:val="127"/>
            </w:trPr>
            <w:tc>
              <w:tcPr>
                <w:tcW w:w="3855" w:type="dxa"/>
              </w:tcPr>
              <w:p w14:paraId="159FB059" w14:textId="7CF098F7" w:rsidR="00F4599C" w:rsidRDefault="00F4599C" w:rsidP="00646A5A">
                <w:pPr>
                  <w:tabs>
                    <w:tab w:val="right" w:pos="8838"/>
                  </w:tabs>
                  <w:spacing w:after="0"/>
                  <w:ind w:left="-74" w:right="-105"/>
                  <w:rPr>
                    <w:rFonts w:ascii="Palatino Linotype" w:eastAsia="Palatino Linotype" w:hAnsi="Palatino Linotype" w:cs="Palatino Linotype"/>
                    <w:b/>
                  </w:rPr>
                </w:pPr>
                <w:r>
                  <w:rPr>
                    <w:rFonts w:ascii="Palatino Linotype" w:eastAsia="Palatino Linotype" w:hAnsi="Palatino Linotype" w:cs="Palatino Linotype"/>
                    <w:b/>
                  </w:rPr>
                  <w:t xml:space="preserve">                           Recurrente:</w:t>
                </w:r>
              </w:p>
            </w:tc>
            <w:tc>
              <w:tcPr>
                <w:tcW w:w="3543" w:type="dxa"/>
              </w:tcPr>
              <w:p w14:paraId="2A3CFA09" w14:textId="423404C6" w:rsidR="00F4599C" w:rsidRDefault="00B91B47" w:rsidP="00646A5A">
                <w:pPr>
                  <w:tabs>
                    <w:tab w:val="left" w:pos="3122"/>
                    <w:tab w:val="right" w:pos="8838"/>
                  </w:tabs>
                  <w:spacing w:after="0"/>
                  <w:ind w:left="-74" w:right="-105"/>
                  <w:jc w:val="both"/>
                  <w:rPr>
                    <w:rFonts w:ascii="Palatino Linotype" w:eastAsia="Palatino Linotype" w:hAnsi="Palatino Linotype" w:cs="Palatino Linotype"/>
                  </w:rPr>
                </w:pPr>
                <w:r w:rsidRPr="00B91B47">
                  <w:rPr>
                    <w:rFonts w:ascii="Palatino Linotype" w:eastAsia="Palatino Linotype" w:hAnsi="Palatino Linotype" w:cs="Palatino Linotype"/>
                    <w:highlight w:val="black"/>
                  </w:rPr>
                  <w:t>XXXXXXXXXX</w:t>
                </w:r>
              </w:p>
            </w:tc>
          </w:tr>
          <w:tr w:rsidR="00F4599C" w14:paraId="41E11E30" w14:textId="77777777" w:rsidTr="00F4599C">
            <w:trPr>
              <w:gridAfter w:val="1"/>
              <w:wAfter w:w="660" w:type="dxa"/>
              <w:trHeight w:val="252"/>
            </w:trPr>
            <w:tc>
              <w:tcPr>
                <w:tcW w:w="3855" w:type="dxa"/>
              </w:tcPr>
              <w:p w14:paraId="3B66C113" w14:textId="41661C96" w:rsidR="00F4599C" w:rsidRDefault="00F4599C" w:rsidP="00646A5A">
                <w:pPr>
                  <w:tabs>
                    <w:tab w:val="right" w:pos="8838"/>
                  </w:tabs>
                  <w:spacing w:after="0"/>
                  <w:ind w:left="-74" w:right="-105"/>
                  <w:rPr>
                    <w:rFonts w:ascii="Palatino Linotype" w:eastAsia="Palatino Linotype" w:hAnsi="Palatino Linotype" w:cs="Palatino Linotype"/>
                    <w:b/>
                  </w:rPr>
                </w:pPr>
                <w:r>
                  <w:rPr>
                    <w:rFonts w:ascii="Palatino Linotype" w:eastAsia="Palatino Linotype" w:hAnsi="Palatino Linotype" w:cs="Palatino Linotype"/>
                    <w:b/>
                  </w:rPr>
                  <w:t xml:space="preserve">                           Sujeto Obligado:</w:t>
                </w:r>
              </w:p>
            </w:tc>
            <w:tc>
              <w:tcPr>
                <w:tcW w:w="3543" w:type="dxa"/>
              </w:tcPr>
              <w:p w14:paraId="7009C540" w14:textId="52D3C284" w:rsidR="00F4599C" w:rsidRDefault="00F4599C" w:rsidP="00646A5A">
                <w:pPr>
                  <w:tabs>
                    <w:tab w:val="left" w:pos="2834"/>
                    <w:tab w:val="right" w:pos="8838"/>
                  </w:tabs>
                  <w:spacing w:after="0"/>
                  <w:ind w:left="-74"/>
                  <w:jc w:val="both"/>
                  <w:rPr>
                    <w:rFonts w:ascii="Palatino Linotype" w:eastAsia="Palatino Linotype" w:hAnsi="Palatino Linotype" w:cs="Palatino Linotype"/>
                  </w:rPr>
                </w:pPr>
                <w:r>
                  <w:rPr>
                    <w:rFonts w:ascii="Palatino Linotype" w:hAnsi="Palatino Linotype"/>
                  </w:rPr>
                  <w:t xml:space="preserve">Instituto Municipal de Cultura Física y Deporte de Ecatepec </w:t>
                </w:r>
              </w:p>
            </w:tc>
          </w:tr>
          <w:tr w:rsidR="00F4599C" w14:paraId="677F8E04" w14:textId="77777777" w:rsidTr="00F4599C">
            <w:trPr>
              <w:trHeight w:val="252"/>
            </w:trPr>
            <w:tc>
              <w:tcPr>
                <w:tcW w:w="3855" w:type="dxa"/>
              </w:tcPr>
              <w:p w14:paraId="744FEDAD" w14:textId="0432428A" w:rsidR="00F4599C" w:rsidRDefault="00F4599C" w:rsidP="00646A5A">
                <w:pPr>
                  <w:tabs>
                    <w:tab w:val="right" w:pos="8838"/>
                  </w:tabs>
                  <w:spacing w:after="0"/>
                  <w:ind w:left="-74" w:right="-105"/>
                  <w:rPr>
                    <w:rFonts w:ascii="Palatino Linotype" w:eastAsia="Palatino Linotype" w:hAnsi="Palatino Linotype" w:cs="Palatino Linotype"/>
                    <w:b/>
                  </w:rPr>
                </w:pPr>
                <w:r>
                  <w:rPr>
                    <w:rFonts w:ascii="Palatino Linotype" w:eastAsia="Palatino Linotype" w:hAnsi="Palatino Linotype" w:cs="Palatino Linotype"/>
                    <w:b/>
                  </w:rPr>
                  <w:t xml:space="preserve">                           Comisionado Ponente:</w:t>
                </w:r>
              </w:p>
            </w:tc>
            <w:tc>
              <w:tcPr>
                <w:tcW w:w="4203" w:type="dxa"/>
                <w:gridSpan w:val="2"/>
              </w:tcPr>
              <w:p w14:paraId="395E08AC" w14:textId="77777777" w:rsidR="00F4599C" w:rsidRDefault="00F4599C" w:rsidP="00646A5A">
                <w:pPr>
                  <w:tabs>
                    <w:tab w:val="right" w:pos="8838"/>
                  </w:tabs>
                  <w:spacing w:after="0"/>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r>
        </w:tbl>
        <w:p w14:paraId="23781FFF" w14:textId="77777777" w:rsidR="00F4599C" w:rsidRDefault="00F4599C">
          <w:pPr>
            <w:tabs>
              <w:tab w:val="right" w:pos="8838"/>
            </w:tabs>
            <w:spacing w:line="256" w:lineRule="auto"/>
            <w:ind w:left="-28"/>
            <w:jc w:val="both"/>
            <w:rPr>
              <w:rFonts w:ascii="Arial" w:eastAsia="Arial" w:hAnsi="Arial" w:cs="Arial"/>
              <w:b/>
            </w:rPr>
          </w:pPr>
        </w:p>
      </w:tc>
    </w:tr>
  </w:tbl>
  <w:p w14:paraId="393C8CA2" w14:textId="77777777" w:rsidR="00F4599C" w:rsidRDefault="00F4599C">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9C6"/>
    <w:multiLevelType w:val="multilevel"/>
    <w:tmpl w:val="2916B88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 w15:restartNumberingAfterBreak="0">
    <w:nsid w:val="06713CBD"/>
    <w:multiLevelType w:val="hybridMultilevel"/>
    <w:tmpl w:val="A2F2C28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317C7"/>
    <w:multiLevelType w:val="multilevel"/>
    <w:tmpl w:val="C7B0536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11F06048"/>
    <w:multiLevelType w:val="hybridMultilevel"/>
    <w:tmpl w:val="11DEDC7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color w:val="00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102F07"/>
    <w:multiLevelType w:val="hybridMultilevel"/>
    <w:tmpl w:val="98D0D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746065"/>
    <w:multiLevelType w:val="hybridMultilevel"/>
    <w:tmpl w:val="4C3AB862"/>
    <w:lvl w:ilvl="0" w:tplc="840658AC">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C96354"/>
    <w:multiLevelType w:val="hybridMultilevel"/>
    <w:tmpl w:val="5B36A6E6"/>
    <w:lvl w:ilvl="0" w:tplc="FFFFFFFF">
      <w:start w:val="1"/>
      <w:numFmt w:val="decimal"/>
      <w:lvlText w:val="%1."/>
      <w:lvlJc w:val="left"/>
      <w:pPr>
        <w:ind w:left="720" w:hanging="360"/>
      </w:pPr>
    </w:lvl>
    <w:lvl w:ilvl="1" w:tplc="080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4040BC"/>
    <w:multiLevelType w:val="hybridMultilevel"/>
    <w:tmpl w:val="5FCC8FC0"/>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1CA76EE6"/>
    <w:multiLevelType w:val="hybridMultilevel"/>
    <w:tmpl w:val="A8322A78"/>
    <w:lvl w:ilvl="0" w:tplc="9D9CDED8">
      <w:start w:val="4"/>
      <w:numFmt w:val="bullet"/>
      <w:lvlText w:val="-"/>
      <w:lvlJc w:val="left"/>
      <w:pPr>
        <w:ind w:left="720" w:hanging="360"/>
      </w:pPr>
      <w:rPr>
        <w:rFonts w:ascii="Palatino Linotype" w:eastAsia="Calibr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20497D"/>
    <w:multiLevelType w:val="hybridMultilevel"/>
    <w:tmpl w:val="E0D6F06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7214C2"/>
    <w:multiLevelType w:val="hybridMultilevel"/>
    <w:tmpl w:val="FC2EF3DE"/>
    <w:lvl w:ilvl="0" w:tplc="080A000F">
      <w:start w:val="1"/>
      <w:numFmt w:val="decimal"/>
      <w:lvlText w:val="%1."/>
      <w:lvlJc w:val="left"/>
      <w:pPr>
        <w:ind w:left="720" w:hanging="360"/>
      </w:pPr>
    </w:lvl>
    <w:lvl w:ilvl="1" w:tplc="65E80874">
      <w:start w:val="1"/>
      <w:numFmt w:val="lowerLetter"/>
      <w:lvlText w:val="%2)"/>
      <w:lvlJc w:val="left"/>
      <w:pPr>
        <w:ind w:left="1440" w:hanging="360"/>
      </w:pPr>
      <w:rPr>
        <w:rFonts w:hint="default"/>
        <w:color w:val="0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4A20B7"/>
    <w:multiLevelType w:val="multilevel"/>
    <w:tmpl w:val="9DC28E2A"/>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2" w15:restartNumberingAfterBreak="0">
    <w:nsid w:val="28075DEF"/>
    <w:multiLevelType w:val="multilevel"/>
    <w:tmpl w:val="AF665A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6B25AF"/>
    <w:multiLevelType w:val="hybridMultilevel"/>
    <w:tmpl w:val="63287CE8"/>
    <w:lvl w:ilvl="0" w:tplc="BF74532E">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690E31"/>
    <w:multiLevelType w:val="multilevel"/>
    <w:tmpl w:val="477E11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2E37450"/>
    <w:multiLevelType w:val="hybridMultilevel"/>
    <w:tmpl w:val="85662132"/>
    <w:lvl w:ilvl="0" w:tplc="0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46067EF"/>
    <w:multiLevelType w:val="hybridMultilevel"/>
    <w:tmpl w:val="F28EC40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47055718"/>
    <w:multiLevelType w:val="multilevel"/>
    <w:tmpl w:val="4732C6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104E4E"/>
    <w:multiLevelType w:val="hybridMultilevel"/>
    <w:tmpl w:val="0410523E"/>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4494A4C"/>
    <w:multiLevelType w:val="hybridMultilevel"/>
    <w:tmpl w:val="A190AB54"/>
    <w:lvl w:ilvl="0" w:tplc="FFFFFFFF">
      <w:start w:val="1"/>
      <w:numFmt w:val="decimal"/>
      <w:lvlText w:val="%1."/>
      <w:lvlJc w:val="left"/>
      <w:pPr>
        <w:ind w:left="720" w:hanging="360"/>
      </w:pPr>
    </w:lvl>
    <w:lvl w:ilvl="1" w:tplc="08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756068"/>
    <w:multiLevelType w:val="multilevel"/>
    <w:tmpl w:val="8BD04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AF53019"/>
    <w:multiLevelType w:val="hybridMultilevel"/>
    <w:tmpl w:val="6A78F948"/>
    <w:lvl w:ilvl="0" w:tplc="7262760C">
      <w:start w:val="1"/>
      <w:numFmt w:val="bullet"/>
      <w:lvlText w:val="-"/>
      <w:lvlJc w:val="left"/>
      <w:pPr>
        <w:ind w:left="720" w:hanging="360"/>
      </w:pPr>
      <w:rPr>
        <w:rFonts w:ascii="Palatino Linotype" w:eastAsia="Times New Roman" w:hAnsi="Palatino Linotype"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C672614"/>
    <w:multiLevelType w:val="multilevel"/>
    <w:tmpl w:val="857C8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23" w15:restartNumberingAfterBreak="0">
    <w:nsid w:val="66896904"/>
    <w:multiLevelType w:val="multilevel"/>
    <w:tmpl w:val="F5F2CC96"/>
    <w:lvl w:ilvl="0">
      <w:numFmt w:val="bullet"/>
      <w:lvlText w:val="-"/>
      <w:lvlJc w:val="left"/>
      <w:pPr>
        <w:ind w:left="720" w:hanging="360"/>
      </w:pPr>
      <w:rPr>
        <w:rFonts w:ascii="Palatino Linotype" w:eastAsia="Times New Roman" w:hAnsi="Palatino Linotype"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B8E7BEB"/>
    <w:multiLevelType w:val="multilevel"/>
    <w:tmpl w:val="9320C8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CCB01EF"/>
    <w:multiLevelType w:val="multilevel"/>
    <w:tmpl w:val="A25AE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CD5776F"/>
    <w:multiLevelType w:val="hybridMultilevel"/>
    <w:tmpl w:val="4A30A4F2"/>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D7C79D9"/>
    <w:multiLevelType w:val="hybridMultilevel"/>
    <w:tmpl w:val="8416C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B1626A"/>
    <w:multiLevelType w:val="hybridMultilevel"/>
    <w:tmpl w:val="3C086AA0"/>
    <w:lvl w:ilvl="0" w:tplc="0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72BD7F94"/>
    <w:multiLevelType w:val="multilevel"/>
    <w:tmpl w:val="664E4C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940067235">
    <w:abstractNumId w:val="26"/>
  </w:num>
  <w:num w:numId="2" w16cid:durableId="623392887">
    <w:abstractNumId w:val="8"/>
  </w:num>
  <w:num w:numId="3" w16cid:durableId="189074528">
    <w:abstractNumId w:val="27"/>
  </w:num>
  <w:num w:numId="4" w16cid:durableId="1000621753">
    <w:abstractNumId w:val="5"/>
  </w:num>
  <w:num w:numId="5" w16cid:durableId="108473381">
    <w:abstractNumId w:val="10"/>
  </w:num>
  <w:num w:numId="6" w16cid:durableId="2043480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0506180">
    <w:abstractNumId w:val="9"/>
  </w:num>
  <w:num w:numId="8" w16cid:durableId="1803696114">
    <w:abstractNumId w:val="13"/>
  </w:num>
  <w:num w:numId="9" w16cid:durableId="516307182">
    <w:abstractNumId w:val="30"/>
  </w:num>
  <w:num w:numId="10" w16cid:durableId="1864249947">
    <w:abstractNumId w:val="12"/>
  </w:num>
  <w:num w:numId="11" w16cid:durableId="1794790104">
    <w:abstractNumId w:val="20"/>
  </w:num>
  <w:num w:numId="12" w16cid:durableId="1000548228">
    <w:abstractNumId w:val="29"/>
  </w:num>
  <w:num w:numId="13" w16cid:durableId="1927230109">
    <w:abstractNumId w:val="24"/>
  </w:num>
  <w:num w:numId="14" w16cid:durableId="2120293235">
    <w:abstractNumId w:val="17"/>
  </w:num>
  <w:num w:numId="15" w16cid:durableId="1362706529">
    <w:abstractNumId w:val="14"/>
  </w:num>
  <w:num w:numId="16" w16cid:durableId="823277995">
    <w:abstractNumId w:val="25"/>
  </w:num>
  <w:num w:numId="17" w16cid:durableId="664937078">
    <w:abstractNumId w:val="15"/>
  </w:num>
  <w:num w:numId="18" w16cid:durableId="2109932373">
    <w:abstractNumId w:val="16"/>
  </w:num>
  <w:num w:numId="19" w16cid:durableId="136922731">
    <w:abstractNumId w:val="22"/>
  </w:num>
  <w:num w:numId="20" w16cid:durableId="327558746">
    <w:abstractNumId w:val="28"/>
  </w:num>
  <w:num w:numId="21" w16cid:durableId="1327394994">
    <w:abstractNumId w:val="1"/>
  </w:num>
  <w:num w:numId="22" w16cid:durableId="446855992">
    <w:abstractNumId w:val="0"/>
  </w:num>
  <w:num w:numId="23" w16cid:durableId="1205212909">
    <w:abstractNumId w:val="4"/>
  </w:num>
  <w:num w:numId="24" w16cid:durableId="610355702">
    <w:abstractNumId w:val="3"/>
  </w:num>
  <w:num w:numId="25" w16cid:durableId="333918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701098">
    <w:abstractNumId w:val="23"/>
  </w:num>
  <w:num w:numId="27" w16cid:durableId="685450390">
    <w:abstractNumId w:val="21"/>
  </w:num>
  <w:num w:numId="28" w16cid:durableId="1638103073">
    <w:abstractNumId w:val="18"/>
  </w:num>
  <w:num w:numId="29" w16cid:durableId="294071494">
    <w:abstractNumId w:val="19"/>
  </w:num>
  <w:num w:numId="30" w16cid:durableId="889390271">
    <w:abstractNumId w:val="6"/>
  </w:num>
  <w:num w:numId="31" w16cid:durableId="21296176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99C"/>
    <w:rsid w:val="000345CF"/>
    <w:rsid w:val="000C0C40"/>
    <w:rsid w:val="001037B1"/>
    <w:rsid w:val="00142AF7"/>
    <w:rsid w:val="00183EE3"/>
    <w:rsid w:val="002F73FF"/>
    <w:rsid w:val="00326182"/>
    <w:rsid w:val="003A7C04"/>
    <w:rsid w:val="003D6765"/>
    <w:rsid w:val="00442BE0"/>
    <w:rsid w:val="0045223E"/>
    <w:rsid w:val="00516E88"/>
    <w:rsid w:val="00534DCF"/>
    <w:rsid w:val="00543563"/>
    <w:rsid w:val="005D0AD4"/>
    <w:rsid w:val="005D3E1D"/>
    <w:rsid w:val="005F7C3E"/>
    <w:rsid w:val="007060D1"/>
    <w:rsid w:val="007550AF"/>
    <w:rsid w:val="007835E3"/>
    <w:rsid w:val="007A08D9"/>
    <w:rsid w:val="007A2355"/>
    <w:rsid w:val="00953954"/>
    <w:rsid w:val="009B485E"/>
    <w:rsid w:val="009E281A"/>
    <w:rsid w:val="009E48E6"/>
    <w:rsid w:val="00AB5E9B"/>
    <w:rsid w:val="00B01980"/>
    <w:rsid w:val="00B34103"/>
    <w:rsid w:val="00B57BAC"/>
    <w:rsid w:val="00B91B47"/>
    <w:rsid w:val="00BB70E4"/>
    <w:rsid w:val="00BC2A42"/>
    <w:rsid w:val="00BF5B04"/>
    <w:rsid w:val="00C63AAD"/>
    <w:rsid w:val="00D04AD0"/>
    <w:rsid w:val="00E52B32"/>
    <w:rsid w:val="00EB5DFC"/>
    <w:rsid w:val="00EC71D2"/>
    <w:rsid w:val="00EF7988"/>
    <w:rsid w:val="00F4599C"/>
    <w:rsid w:val="00F726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877CA"/>
  <w15:chartTrackingRefBased/>
  <w15:docId w15:val="{9B429DB6-22D2-4C92-BC05-14B5257A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MX"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988"/>
  </w:style>
  <w:style w:type="paragraph" w:styleId="Ttulo1">
    <w:name w:val="heading 1"/>
    <w:basedOn w:val="Normal"/>
    <w:next w:val="Normal"/>
    <w:link w:val="Ttulo1Car"/>
    <w:uiPriority w:val="9"/>
    <w:qFormat/>
    <w:rsid w:val="00EF7988"/>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EF7988"/>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EF7988"/>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EF7988"/>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EF7988"/>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EF7988"/>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EF7988"/>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EF7988"/>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EF7988"/>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7988"/>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EF7988"/>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EF7988"/>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EF7988"/>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EF7988"/>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EF7988"/>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EF7988"/>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EF7988"/>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EF7988"/>
    <w:rPr>
      <w:rFonts w:asciiTheme="majorHAnsi" w:eastAsiaTheme="majorEastAsia" w:hAnsiTheme="majorHAnsi" w:cstheme="majorBidi"/>
      <w:i/>
      <w:iCs/>
      <w:color w:val="70AD47" w:themeColor="accent6"/>
      <w:sz w:val="20"/>
      <w:szCs w:val="20"/>
    </w:rPr>
  </w:style>
  <w:style w:type="paragraph" w:styleId="Ttulo">
    <w:name w:val="Title"/>
    <w:basedOn w:val="Normal"/>
    <w:next w:val="Normal"/>
    <w:link w:val="TtuloCar"/>
    <w:uiPriority w:val="10"/>
    <w:qFormat/>
    <w:rsid w:val="00EF798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EF7988"/>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EF7988"/>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EF7988"/>
    <w:rPr>
      <w:rFonts w:asciiTheme="majorHAnsi" w:eastAsiaTheme="majorEastAsia" w:hAnsiTheme="majorHAnsi" w:cstheme="majorBidi"/>
      <w:sz w:val="30"/>
      <w:szCs w:val="30"/>
    </w:rPr>
  </w:style>
  <w:style w:type="paragraph" w:styleId="Cita">
    <w:name w:val="Quote"/>
    <w:basedOn w:val="Normal"/>
    <w:next w:val="Normal"/>
    <w:link w:val="CitaCar"/>
    <w:uiPriority w:val="29"/>
    <w:qFormat/>
    <w:rsid w:val="00EF7988"/>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EF7988"/>
    <w:rPr>
      <w:i/>
      <w:iCs/>
      <w:color w:val="262626" w:themeColor="text1" w:themeTint="D9"/>
    </w:rPr>
  </w:style>
  <w:style w:type="paragraph" w:styleId="Prrafodelista">
    <w:name w:val="List Paragraph"/>
    <w:basedOn w:val="Normal"/>
    <w:uiPriority w:val="34"/>
    <w:qFormat/>
    <w:rsid w:val="00F4599C"/>
    <w:pPr>
      <w:ind w:left="720"/>
      <w:contextualSpacing/>
    </w:pPr>
  </w:style>
  <w:style w:type="character" w:styleId="nfasisintenso">
    <w:name w:val="Intense Emphasis"/>
    <w:basedOn w:val="Fuentedeprrafopredeter"/>
    <w:uiPriority w:val="21"/>
    <w:qFormat/>
    <w:rsid w:val="00EF7988"/>
    <w:rPr>
      <w:b/>
      <w:bCs/>
      <w:i/>
      <w:iCs/>
    </w:rPr>
  </w:style>
  <w:style w:type="paragraph" w:styleId="Citadestacada">
    <w:name w:val="Intense Quote"/>
    <w:basedOn w:val="Normal"/>
    <w:next w:val="Normal"/>
    <w:link w:val="CitadestacadaCar"/>
    <w:uiPriority w:val="30"/>
    <w:qFormat/>
    <w:rsid w:val="00EF7988"/>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EF7988"/>
    <w:rPr>
      <w:rFonts w:asciiTheme="majorHAnsi" w:eastAsiaTheme="majorEastAsia" w:hAnsiTheme="majorHAnsi" w:cstheme="majorBidi"/>
      <w:i/>
      <w:iCs/>
      <w:color w:val="70AD47" w:themeColor="accent6"/>
      <w:sz w:val="32"/>
      <w:szCs w:val="32"/>
    </w:rPr>
  </w:style>
  <w:style w:type="character" w:styleId="Referenciaintensa">
    <w:name w:val="Intense Reference"/>
    <w:basedOn w:val="Fuentedeprrafopredeter"/>
    <w:uiPriority w:val="32"/>
    <w:qFormat/>
    <w:rsid w:val="00EF7988"/>
    <w:rPr>
      <w:b/>
      <w:bCs/>
      <w:smallCaps/>
      <w:color w:val="70AD47" w:themeColor="accent6"/>
    </w:rPr>
  </w:style>
  <w:style w:type="paragraph" w:styleId="TDC1">
    <w:name w:val="toc 1"/>
    <w:basedOn w:val="Normal"/>
    <w:next w:val="Normal"/>
    <w:autoRedefine/>
    <w:uiPriority w:val="39"/>
    <w:unhideWhenUsed/>
    <w:rsid w:val="00F4599C"/>
    <w:pPr>
      <w:spacing w:after="100"/>
    </w:pPr>
  </w:style>
  <w:style w:type="paragraph" w:styleId="TDC2">
    <w:name w:val="toc 2"/>
    <w:basedOn w:val="Normal"/>
    <w:next w:val="Normal"/>
    <w:autoRedefine/>
    <w:uiPriority w:val="39"/>
    <w:unhideWhenUsed/>
    <w:rsid w:val="007550AF"/>
    <w:pPr>
      <w:tabs>
        <w:tab w:val="right" w:leader="dot" w:pos="8828"/>
      </w:tabs>
      <w:spacing w:after="0" w:line="360" w:lineRule="auto"/>
      <w:ind w:left="220"/>
      <w:contextualSpacing/>
      <w:jc w:val="both"/>
    </w:pPr>
  </w:style>
  <w:style w:type="character" w:styleId="Hipervnculo">
    <w:name w:val="Hyperlink"/>
    <w:basedOn w:val="Fuentedeprrafopredeter"/>
    <w:uiPriority w:val="99"/>
    <w:unhideWhenUsed/>
    <w:rsid w:val="00F4599C"/>
    <w:rPr>
      <w:color w:val="0563C1" w:themeColor="hyperlink"/>
      <w:u w:val="single"/>
    </w:rPr>
  </w:style>
  <w:style w:type="table" w:customStyle="1" w:styleId="Tablaconcuadrcula3">
    <w:name w:val="Tabla con cuadrícula3"/>
    <w:basedOn w:val="Tablanormal"/>
    <w:uiPriority w:val="59"/>
    <w:rsid w:val="00516E88"/>
    <w:pPr>
      <w:spacing w:after="0" w:line="240" w:lineRule="auto"/>
    </w:pPr>
    <w:rPr>
      <w:rFonts w:eastAsia="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00EF7988"/>
    <w:pPr>
      <w:spacing w:line="240" w:lineRule="auto"/>
    </w:pPr>
    <w:rPr>
      <w:b/>
      <w:bCs/>
      <w:smallCaps/>
      <w:color w:val="595959" w:themeColor="text1" w:themeTint="A6"/>
    </w:rPr>
  </w:style>
  <w:style w:type="character" w:styleId="Textoennegrita">
    <w:name w:val="Strong"/>
    <w:basedOn w:val="Fuentedeprrafopredeter"/>
    <w:uiPriority w:val="22"/>
    <w:qFormat/>
    <w:rsid w:val="00EF7988"/>
    <w:rPr>
      <w:b/>
      <w:bCs/>
    </w:rPr>
  </w:style>
  <w:style w:type="character" w:styleId="nfasis">
    <w:name w:val="Emphasis"/>
    <w:basedOn w:val="Fuentedeprrafopredeter"/>
    <w:uiPriority w:val="20"/>
    <w:qFormat/>
    <w:rsid w:val="00EF7988"/>
    <w:rPr>
      <w:i/>
      <w:iCs/>
      <w:color w:val="70AD47" w:themeColor="accent6"/>
    </w:rPr>
  </w:style>
  <w:style w:type="paragraph" w:styleId="Sinespaciado">
    <w:name w:val="No Spacing"/>
    <w:uiPriority w:val="1"/>
    <w:qFormat/>
    <w:rsid w:val="00EF7988"/>
    <w:pPr>
      <w:spacing w:after="0" w:line="240" w:lineRule="auto"/>
    </w:pPr>
  </w:style>
  <w:style w:type="character" w:styleId="nfasissutil">
    <w:name w:val="Subtle Emphasis"/>
    <w:basedOn w:val="Fuentedeprrafopredeter"/>
    <w:uiPriority w:val="19"/>
    <w:qFormat/>
    <w:rsid w:val="00EF7988"/>
    <w:rPr>
      <w:i/>
      <w:iCs/>
    </w:rPr>
  </w:style>
  <w:style w:type="character" w:styleId="Referenciasutil">
    <w:name w:val="Subtle Reference"/>
    <w:basedOn w:val="Fuentedeprrafopredeter"/>
    <w:uiPriority w:val="31"/>
    <w:qFormat/>
    <w:rsid w:val="00EF7988"/>
    <w:rPr>
      <w:smallCaps/>
      <w:color w:val="595959" w:themeColor="text1" w:themeTint="A6"/>
    </w:rPr>
  </w:style>
  <w:style w:type="character" w:styleId="Ttulodellibro">
    <w:name w:val="Book Title"/>
    <w:basedOn w:val="Fuentedeprrafopredeter"/>
    <w:uiPriority w:val="33"/>
    <w:qFormat/>
    <w:rsid w:val="00EF7988"/>
    <w:rPr>
      <w:b/>
      <w:bCs/>
      <w:caps w:val="0"/>
      <w:smallCaps/>
      <w:spacing w:val="7"/>
      <w:sz w:val="21"/>
      <w:szCs w:val="21"/>
    </w:rPr>
  </w:style>
  <w:style w:type="paragraph" w:styleId="TtuloTDC">
    <w:name w:val="TOC Heading"/>
    <w:basedOn w:val="Ttulo1"/>
    <w:next w:val="Normal"/>
    <w:uiPriority w:val="39"/>
    <w:semiHidden/>
    <w:unhideWhenUsed/>
    <w:qFormat/>
    <w:rsid w:val="00EF798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ebapps.condusef.gob.mx/SIPRES/jsp/pub/index.jsp"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12382</Words>
  <Characters>68103</Characters>
  <Application>Microsoft Office Word</Application>
  <DocSecurity>0</DocSecurity>
  <Lines>567</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2026-07-17T16:39:00Z</cp:lastPrinted>
  <dcterms:created xsi:type="dcterms:W3CDTF">2026-07-17T16:39:00Z</dcterms:created>
  <dcterms:modified xsi:type="dcterms:W3CDTF">2026-08-07T21:39:00Z</dcterms:modified>
</cp:coreProperties>
</file>