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C4E" w:rsidRDefault="00DE4E76">
      <w:pPr>
        <w:tabs>
          <w:tab w:val="left" w:pos="346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00AD6D25">
        <w:rPr>
          <w:rFonts w:ascii="Palatino Linotype" w:eastAsia="Palatino Linotype" w:hAnsi="Palatino Linotype" w:cs="Palatino Linotype"/>
          <w:b/>
          <w:bCs/>
        </w:rPr>
        <w:t>fecha veintisiete</w:t>
      </w:r>
      <w:r w:rsidR="00066A94">
        <w:rPr>
          <w:rFonts w:ascii="Palatino Linotype" w:eastAsia="Palatino Linotype" w:hAnsi="Palatino Linotype" w:cs="Palatino Linotype"/>
          <w:b/>
          <w:bCs/>
        </w:rPr>
        <w:t xml:space="preserve"> (27)</w:t>
      </w:r>
      <w:r w:rsidR="00AD6D25">
        <w:rPr>
          <w:rFonts w:ascii="Palatino Linotype" w:eastAsia="Palatino Linotype" w:hAnsi="Palatino Linotype" w:cs="Palatino Linotype"/>
          <w:b/>
          <w:bCs/>
        </w:rPr>
        <w:t xml:space="preserve"> </w:t>
      </w:r>
      <w:r>
        <w:rPr>
          <w:rFonts w:ascii="Palatino Linotype" w:eastAsia="Palatino Linotype" w:hAnsi="Palatino Linotype" w:cs="Palatino Linotype"/>
          <w:b/>
          <w:bCs/>
        </w:rPr>
        <w:t>de mayo de dos mil veintiséis.</w:t>
      </w:r>
    </w:p>
    <w:p w:rsidR="00737C4E" w:rsidRDefault="00737C4E">
      <w:pPr>
        <w:tabs>
          <w:tab w:val="left" w:pos="3465"/>
        </w:tabs>
        <w:spacing w:line="360" w:lineRule="auto"/>
        <w:ind w:right="-929"/>
        <w:jc w:val="both"/>
        <w:rPr>
          <w:rFonts w:ascii="Palatino Linotype" w:eastAsia="Palatino Linotype" w:hAnsi="Palatino Linotype" w:cs="Palatino Linotype"/>
        </w:rPr>
      </w:pPr>
    </w:p>
    <w:p w:rsidR="00737C4E" w:rsidRDefault="00DE4E76">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VISTAS </w:t>
      </w:r>
      <w:r>
        <w:rPr>
          <w:rFonts w:ascii="Palatino Linotype" w:eastAsia="Palatino Linotype" w:hAnsi="Palatino Linotype" w:cs="Palatino Linotype"/>
        </w:rPr>
        <w:t xml:space="preserve">las constancias para resolver el Recurso de Revisión </w:t>
      </w:r>
      <w:r>
        <w:rPr>
          <w:rFonts w:ascii="Palatino Linotype" w:eastAsia="Palatino Linotype" w:hAnsi="Palatino Linotype" w:cs="Palatino Linotype"/>
          <w:b/>
          <w:bCs/>
        </w:rPr>
        <w:t>12543/INFOEM/IP/RR/2025,</w:t>
      </w:r>
      <w:r>
        <w:rPr>
          <w:rFonts w:ascii="Palatino Linotype" w:eastAsia="Palatino Linotype" w:hAnsi="Palatino Linotype" w:cs="Palatino Linotype"/>
        </w:rPr>
        <w:t xml:space="preserve"> presentado por </w:t>
      </w:r>
      <w:r w:rsidR="00442261">
        <w:rPr>
          <w:rFonts w:ascii="Palatino Linotype" w:eastAsia="Palatino Linotype" w:hAnsi="Palatino Linotype" w:cs="Palatino Linotype"/>
          <w:b/>
          <w:color w:val="000000"/>
        </w:rPr>
        <w:t>XXXX</w:t>
      </w:r>
      <w:r>
        <w:rPr>
          <w:rFonts w:ascii="Palatino Linotype" w:eastAsia="Palatino Linotype" w:hAnsi="Palatino Linotype" w:cs="Palatino Linotype"/>
          <w:b/>
          <w:bCs/>
        </w:rPr>
        <w:t>,</w:t>
      </w:r>
      <w:r>
        <w:rPr>
          <w:rFonts w:ascii="Palatino Linotype" w:eastAsia="Palatino Linotype" w:hAnsi="Palatino Linotype" w:cs="Palatino Linotype"/>
        </w:rPr>
        <w:t xml:space="preserve"> a quien en lo sucesivo se denominará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otorgada a la Solicitud de Información con número de folio </w:t>
      </w:r>
      <w:r>
        <w:rPr>
          <w:rFonts w:ascii="Palatino Linotype" w:eastAsia="Palatino Linotype" w:hAnsi="Palatino Linotype" w:cs="Palatino Linotype"/>
          <w:b/>
          <w:bCs/>
        </w:rPr>
        <w:t>00080/SESEA/IP/2025</w:t>
      </w:r>
      <w:r>
        <w:rPr>
          <w:rFonts w:ascii="Palatino Linotype" w:eastAsia="Palatino Linotype" w:hAnsi="Palatino Linotype" w:cs="Palatino Linotype"/>
        </w:rPr>
        <w:t xml:space="preserve">, por parte de la </w:t>
      </w:r>
      <w:r>
        <w:rPr>
          <w:rFonts w:ascii="Palatino Linotype" w:eastAsia="Palatino Linotype" w:hAnsi="Palatino Linotype" w:cs="Palatino Linotype"/>
          <w:b/>
          <w:bCs/>
        </w:rPr>
        <w:t xml:space="preserve">Secretaría Ejecutiva del Sistema Estatal Anticorrupción, </w:t>
      </w:r>
      <w:r>
        <w:rPr>
          <w:rFonts w:ascii="Palatino Linotype" w:eastAsia="Palatino Linotype" w:hAnsi="Palatino Linotype" w:cs="Palatino Linotype"/>
        </w:rPr>
        <w:t xml:space="preserve">en adelante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se emite la presente Resolución con base en los siguientes:</w:t>
      </w:r>
    </w:p>
    <w:p w:rsidR="00737C4E" w:rsidRDefault="00737C4E">
      <w:pPr>
        <w:spacing w:line="360" w:lineRule="auto"/>
        <w:ind w:right="-929"/>
        <w:jc w:val="both"/>
        <w:rPr>
          <w:rFonts w:ascii="Palatino Linotype" w:eastAsia="Palatino Linotype" w:hAnsi="Palatino Linotype" w:cs="Palatino Linotype"/>
        </w:rPr>
      </w:pPr>
    </w:p>
    <w:p w:rsidR="00737C4E" w:rsidRDefault="00DE4E76">
      <w:pPr>
        <w:pStyle w:val="Ttulo1"/>
        <w:spacing w:before="0" w:line="360" w:lineRule="auto"/>
        <w:ind w:right="-929"/>
        <w:jc w:val="center"/>
        <w:rPr>
          <w:rFonts w:ascii="Palatino Linotype" w:eastAsia="Palatino Linotype" w:hAnsi="Palatino Linotype" w:cs="Palatino Linotype"/>
          <w:b/>
          <w:bCs/>
          <w:color w:val="000000"/>
          <w:sz w:val="24"/>
          <w:szCs w:val="24"/>
        </w:rPr>
      </w:pPr>
      <w:bookmarkStart w:id="0" w:name="_heading=h.gjdgxs" w:colFirst="0" w:colLast="0"/>
      <w:bookmarkEnd w:id="0"/>
      <w:r>
        <w:rPr>
          <w:rFonts w:ascii="Palatino Linotype" w:eastAsia="Palatino Linotype" w:hAnsi="Palatino Linotype" w:cs="Palatino Linotype"/>
          <w:b/>
          <w:bCs/>
          <w:color w:val="000000"/>
          <w:sz w:val="24"/>
          <w:szCs w:val="24"/>
        </w:rPr>
        <w:t>A N T E C E D E N T E S</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b/>
          <w:bCs/>
          <w:color w:val="000000"/>
          <w:u w:val="single"/>
        </w:rPr>
      </w:pPr>
    </w:p>
    <w:p w:rsidR="00737C4E" w:rsidRDefault="00DE4E76">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 día</w:t>
      </w:r>
      <w:r>
        <w:rPr>
          <w:rFonts w:ascii="Palatino Linotype" w:eastAsia="Palatino Linotype" w:hAnsi="Palatino Linotype" w:cs="Palatino Linotype"/>
          <w:b/>
          <w:bCs/>
          <w:color w:val="000000"/>
        </w:rPr>
        <w:t xml:space="preserve"> veintidós de octubre dos mil veinticinco</w:t>
      </w:r>
      <w:r>
        <w:rPr>
          <w:rFonts w:ascii="Palatino Linotype" w:eastAsia="Palatino Linotype" w:hAnsi="Palatino Linotype" w:cs="Palatino Linotype"/>
          <w:color w:val="000000"/>
        </w:rPr>
        <w:t>,</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 presentó ante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vía Plataforma Nacional de Transparencia (PNT); vinculada al Sistema de Acceso a la Información Mexiquense, en adelante (SAIMEX), la siguiente solicitud de información pública:</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Default="00DE4E76">
      <w:pPr>
        <w:pBdr>
          <w:top w:val="nil"/>
          <w:left w:val="nil"/>
          <w:bottom w:val="nil"/>
          <w:right w:val="nil"/>
          <w:between w:val="nil"/>
        </w:pBdr>
        <w:spacing w:line="360" w:lineRule="auto"/>
        <w:ind w:left="425"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“Solicito me proporcione la si</w:t>
      </w:r>
      <w:bookmarkStart w:id="1" w:name="_GoBack"/>
      <w:bookmarkEnd w:id="1"/>
      <w:r>
        <w:rPr>
          <w:rFonts w:ascii="Palatino Linotype" w:eastAsia="Palatino Linotype" w:hAnsi="Palatino Linotype" w:cs="Palatino Linotype"/>
          <w:i/>
          <w:iCs/>
          <w:color w:val="000000"/>
        </w:rPr>
        <w:t xml:space="preserve">guiente información correspondiente a 2 periodos municipales (2019-2021) y (2022-2024) sobre el municipio de Tlalnepantla de Baz, Estado de México: 1) informe emitidos al sistema nacional, anticorrupción que contengan los resultados y evaluaciones de desempeño 2) evaluaciones realizadas al municipio sobre transparencia, rendición de cuentas y control de sus recursos públicos, así como el cumplimiento de obligaciones de la ley general del </w:t>
      </w:r>
      <w:r>
        <w:rPr>
          <w:rFonts w:ascii="Palatino Linotype" w:eastAsia="Palatino Linotype" w:hAnsi="Palatino Linotype" w:cs="Palatino Linotype"/>
          <w:i/>
          <w:iCs/>
          <w:color w:val="000000"/>
        </w:rPr>
        <w:lastRenderedPageBreak/>
        <w:t>sistema nacional anticorrupción 3) notas informativas que documenten observaciones relacionadas con la gestión, anticorrupción del municipio durante el periodo señalado 4) listado de servidores públicos municipales, que tengan contratados que incluya: nombre del puesto nivel jerárquico, tipo de contratación, unidad administrativa a la que pertenecen. Información sobre el sistema de denuncias del municipio, que incluya: procedimientos vigentes para la recepción y seguimiento de denuncia, ciudadanas o internas por asuntos actos de corrupción, número de denuncia recibidas en trámite y concluidas, sanciones impuestas derivadas de dicho denuncias.”</w:t>
      </w:r>
    </w:p>
    <w:p w:rsidR="00737C4E" w:rsidRDefault="00737C4E">
      <w:pPr>
        <w:pBdr>
          <w:top w:val="nil"/>
          <w:left w:val="nil"/>
          <w:bottom w:val="nil"/>
          <w:right w:val="nil"/>
          <w:between w:val="nil"/>
        </w:pBdr>
        <w:spacing w:line="360" w:lineRule="auto"/>
        <w:ind w:left="425" w:right="-929"/>
        <w:jc w:val="both"/>
        <w:rPr>
          <w:rFonts w:ascii="Palatino Linotype" w:eastAsia="Palatino Linotype" w:hAnsi="Palatino Linotype" w:cs="Palatino Linotype"/>
          <w:color w:val="000000"/>
        </w:rPr>
      </w:pPr>
    </w:p>
    <w:p w:rsidR="00737C4E" w:rsidRDefault="00DE4E76">
      <w:pPr>
        <w:numPr>
          <w:ilvl w:val="0"/>
          <w:numId w:val="2"/>
        </w:num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 eligió como modalidad de entrega de la información: </w:t>
      </w:r>
      <w:r>
        <w:rPr>
          <w:rFonts w:ascii="Palatino Linotype" w:eastAsia="Palatino Linotype" w:hAnsi="Palatino Linotype" w:cs="Palatino Linotype"/>
          <w:b/>
          <w:bCs/>
          <w:color w:val="000000"/>
        </w:rPr>
        <w:t>a través de copias simples y correo electrónico.</w:t>
      </w:r>
    </w:p>
    <w:p w:rsidR="00737C4E" w:rsidRDefault="00737C4E">
      <w:pPr>
        <w:pBdr>
          <w:top w:val="nil"/>
          <w:left w:val="nil"/>
          <w:bottom w:val="nil"/>
          <w:right w:val="nil"/>
          <w:between w:val="nil"/>
        </w:pBdr>
        <w:tabs>
          <w:tab w:val="left" w:pos="0"/>
        </w:tabs>
        <w:spacing w:line="360" w:lineRule="auto"/>
        <w:ind w:left="709" w:right="-929"/>
        <w:jc w:val="both"/>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veinticuatro del mismo mes y año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envió su respuesta a través de los archivos denominados </w:t>
      </w:r>
      <w:r>
        <w:rPr>
          <w:rFonts w:ascii="Palatino Linotype" w:eastAsia="Palatino Linotype" w:hAnsi="Palatino Linotype" w:cs="Palatino Linotype"/>
          <w:b/>
          <w:bCs/>
          <w:i/>
          <w:iCs/>
        </w:rPr>
        <w:t xml:space="preserve">Orientación 00080.pdf </w:t>
      </w:r>
      <w:r>
        <w:rPr>
          <w:rFonts w:ascii="Palatino Linotype" w:eastAsia="Palatino Linotype" w:hAnsi="Palatino Linotype" w:cs="Palatino Linotype"/>
        </w:rPr>
        <w:t>y</w:t>
      </w:r>
      <w:r>
        <w:rPr>
          <w:rFonts w:ascii="Palatino Linotype" w:eastAsia="Palatino Linotype" w:hAnsi="Palatino Linotype" w:cs="Palatino Linotype"/>
          <w:b/>
          <w:bCs/>
          <w:i/>
          <w:iCs/>
        </w:rPr>
        <w:t xml:space="preserve"> Orientación </w:t>
      </w:r>
      <w:r>
        <w:rPr>
          <w:rFonts w:ascii="Palatino Linotype" w:eastAsia="Palatino Linotype" w:hAnsi="Palatino Linotype" w:cs="Palatino Linotype"/>
          <w:b/>
          <w:bCs/>
          <w:i/>
          <w:iCs/>
          <w:color w:val="000000"/>
        </w:rPr>
        <w:t>080</w:t>
      </w:r>
      <w:r>
        <w:rPr>
          <w:rFonts w:ascii="Palatino Linotype" w:eastAsia="Palatino Linotype" w:hAnsi="Palatino Linotype" w:cs="Palatino Linotype"/>
          <w:b/>
          <w:bCs/>
          <w:i/>
          <w:iCs/>
        </w:rPr>
        <w:t xml:space="preserve"> -2025 -.docx, </w:t>
      </w:r>
      <w:r>
        <w:rPr>
          <w:rFonts w:ascii="Palatino Linotype" w:eastAsia="Palatino Linotype" w:hAnsi="Palatino Linotype" w:cs="Palatino Linotype"/>
        </w:rPr>
        <w:t>que</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corresponde</w:t>
      </w:r>
      <w:r>
        <w:rPr>
          <w:rFonts w:ascii="Palatino Linotype" w:eastAsia="Palatino Linotype" w:hAnsi="Palatino Linotype" w:cs="Palatino Linotype"/>
        </w:rPr>
        <w:t>n ambos al mismo oficio, signado por la Jefa de la Unidad de Planeación y Transparencia, por medio del cual, informa a la persona solicitante de la incompetencia de la Secretaría Ejecutiva del Sistema Estatal Anticorrupción para dar atención a sus requerimientos y le orienta para ingresar nuevamente a través de la Plataforma Nacional de Transparencia e, interponga una nueva solicitud de información ante la Secretaría Ejecutiva del Sistema Nacional Anticorrupción, señalando la serie de instrucciones a efecto de lograrlo.</w:t>
      </w:r>
    </w:p>
    <w:p w:rsidR="00737C4E" w:rsidRDefault="00737C4E">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i/>
          <w:iCs/>
        </w:rPr>
      </w:pPr>
    </w:p>
    <w:p w:rsidR="00737C4E" w:rsidRDefault="00DE4E76">
      <w:pPr>
        <w:numPr>
          <w:ilvl w:val="0"/>
          <w:numId w:val="1"/>
        </w:numPr>
        <w:pBdr>
          <w:top w:val="nil"/>
          <w:left w:val="nil"/>
          <w:bottom w:val="nil"/>
          <w:right w:val="nil"/>
          <w:between w:val="nil"/>
        </w:pBdr>
        <w:tabs>
          <w:tab w:val="left" w:pos="0"/>
        </w:tabs>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treinta de octubre</w:t>
      </w:r>
      <w:r>
        <w:rPr>
          <w:rFonts w:ascii="Palatino Linotype" w:eastAsia="Palatino Linotype" w:hAnsi="Palatino Linotype" w:cs="Palatino Linotype"/>
          <w:b/>
          <w:bCs/>
        </w:rPr>
        <w:t xml:space="preserve"> de dos mil veinticinco, </w:t>
      </w:r>
      <w:r>
        <w:rPr>
          <w:rFonts w:ascii="Palatino Linotype" w:eastAsia="Palatino Linotype" w:hAnsi="Palatino Linotype" w:cs="Palatino Linotype"/>
        </w:rPr>
        <w:t xml:space="preserve">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a través de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en donde se manifestó de la siguiente manera:</w:t>
      </w:r>
    </w:p>
    <w:p w:rsidR="00737C4E" w:rsidRDefault="00737C4E">
      <w:pPr>
        <w:pBdr>
          <w:top w:val="nil"/>
          <w:left w:val="nil"/>
          <w:bottom w:val="nil"/>
          <w:right w:val="nil"/>
          <w:between w:val="nil"/>
        </w:pBdr>
        <w:tabs>
          <w:tab w:val="left" w:pos="0"/>
        </w:tabs>
        <w:spacing w:line="360" w:lineRule="auto"/>
        <w:ind w:right="-929"/>
        <w:jc w:val="both"/>
        <w:rPr>
          <w:rFonts w:ascii="Palatino Linotype" w:eastAsia="Palatino Linotype" w:hAnsi="Palatino Linotype" w:cs="Palatino Linotype"/>
        </w:rPr>
      </w:pPr>
    </w:p>
    <w:p w:rsidR="00737C4E" w:rsidRDefault="00DE4E76">
      <w:pPr>
        <w:numPr>
          <w:ilvl w:val="0"/>
          <w:numId w:val="7"/>
        </w:numPr>
        <w:tabs>
          <w:tab w:val="left" w:pos="2745"/>
        </w:tabs>
        <w:spacing w:line="360" w:lineRule="auto"/>
        <w:ind w:right="-929"/>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Acto impugnado: </w:t>
      </w:r>
    </w:p>
    <w:p w:rsidR="00737C4E" w:rsidRDefault="00DE4E76">
      <w:pPr>
        <w:tabs>
          <w:tab w:val="left" w:pos="2745"/>
        </w:tabs>
        <w:spacing w:line="360" w:lineRule="auto"/>
        <w:ind w:left="709" w:right="-929"/>
        <w:jc w:val="both"/>
        <w:rPr>
          <w:rFonts w:ascii="Palatino Linotype" w:eastAsia="Palatino Linotype" w:hAnsi="Palatino Linotype" w:cs="Palatino Linotype"/>
          <w:i/>
          <w:iCs/>
        </w:rPr>
      </w:pPr>
      <w:r>
        <w:rPr>
          <w:rFonts w:ascii="Palatino Linotype" w:eastAsia="Palatino Linotype" w:hAnsi="Palatino Linotype" w:cs="Palatino Linotype"/>
          <w:i/>
          <w:iCs/>
        </w:rPr>
        <w:t>“La omisión de respuesta (o la respuesta incompleta/inexistente) a la solicitud de información pública con número de folio 00372/SECOGEM/IP/2025, relativa a la información que compete a la Secretaría respecto al municipio de Tlalnepantla de Baz.”</w:t>
      </w:r>
    </w:p>
    <w:p w:rsidR="00737C4E" w:rsidRDefault="00737C4E">
      <w:pPr>
        <w:tabs>
          <w:tab w:val="left" w:pos="2745"/>
        </w:tabs>
        <w:spacing w:line="360" w:lineRule="auto"/>
        <w:ind w:left="709" w:right="-929"/>
        <w:jc w:val="both"/>
        <w:rPr>
          <w:rFonts w:ascii="Palatino Linotype" w:eastAsia="Palatino Linotype" w:hAnsi="Palatino Linotype" w:cs="Palatino Linotype"/>
          <w:i/>
          <w:iCs/>
        </w:rPr>
      </w:pPr>
    </w:p>
    <w:p w:rsidR="00737C4E" w:rsidRDefault="00DE4E76">
      <w:pPr>
        <w:numPr>
          <w:ilvl w:val="0"/>
          <w:numId w:val="6"/>
        </w:numPr>
        <w:spacing w:line="360" w:lineRule="auto"/>
        <w:ind w:right="-929"/>
        <w:jc w:val="both"/>
        <w:rPr>
          <w:rFonts w:ascii="Palatino Linotype" w:eastAsia="Palatino Linotype" w:hAnsi="Palatino Linotype" w:cs="Palatino Linotype"/>
        </w:rPr>
      </w:pPr>
      <w:bookmarkStart w:id="2" w:name="_heading=h.30j0zll" w:colFirst="0" w:colLast="0"/>
      <w:bookmarkEnd w:id="2"/>
      <w:r>
        <w:rPr>
          <w:rFonts w:ascii="Palatino Linotype" w:eastAsia="Palatino Linotype" w:hAnsi="Palatino Linotype" w:cs="Palatino Linotype"/>
          <w:b/>
          <w:bCs/>
        </w:rPr>
        <w:t>Razones o motivos de inconformidad</w:t>
      </w:r>
      <w:r>
        <w:rPr>
          <w:rFonts w:ascii="Palatino Linotype" w:eastAsia="Palatino Linotype" w:hAnsi="Palatino Linotype" w:cs="Palatino Linotype"/>
        </w:rPr>
        <w:t>:</w:t>
      </w:r>
    </w:p>
    <w:p w:rsidR="00737C4E" w:rsidRDefault="00DE4E76">
      <w:pPr>
        <w:tabs>
          <w:tab w:val="left" w:pos="2745"/>
        </w:tabs>
        <w:spacing w:line="360" w:lineRule="auto"/>
        <w:ind w:left="709" w:right="-929"/>
        <w:jc w:val="both"/>
        <w:rPr>
          <w:rFonts w:ascii="Palatino Linotype" w:eastAsia="Palatino Linotype" w:hAnsi="Palatino Linotype" w:cs="Palatino Linotype"/>
          <w:i/>
          <w:iCs/>
        </w:rPr>
      </w:pPr>
      <w:r>
        <w:rPr>
          <w:rFonts w:ascii="Palatino Linotype" w:eastAsia="Palatino Linotype" w:hAnsi="Palatino Linotype" w:cs="Palatino Linotype"/>
          <w:i/>
          <w:iCs/>
        </w:rPr>
        <w:t>“Debido a la falta de información a la solicitud de información presentada el día 22 de Octubre de 2025 con Folio: 00372/SECOGEM/IP/2025. Me fue enviado un correo donde se me informaba que el sujeto obligado era el Ayuntamiento de Tlalnepantla de Baz, o la Secretaría Ejecutiva del Sistema Estatal Anticorrupción para que me pudieran dan respuesta ante la información solicitada, a pesar de que al momento de realizar mi solicitud si los agregué como sujetos obligados. Así que solicito: Admita el presente recurso de revisión. La Secretaría Ejecutiva del Sistema Estatal Anticorrupción rinda un informe justificado explicando el porque no me brindó la información. Se realice la entrega completa de la información solicitada.”</w:t>
      </w:r>
    </w:p>
    <w:p w:rsidR="00737C4E" w:rsidRDefault="00737C4E">
      <w:pPr>
        <w:tabs>
          <w:tab w:val="left" w:pos="2745"/>
        </w:tabs>
        <w:spacing w:line="360" w:lineRule="auto"/>
        <w:ind w:left="709" w:right="-929"/>
        <w:jc w:val="both"/>
        <w:rPr>
          <w:rFonts w:ascii="Palatino Linotype" w:eastAsia="Palatino Linotype" w:hAnsi="Palatino Linotype" w:cs="Palatino Linotype"/>
          <w:i/>
          <w:iCs/>
        </w:rPr>
      </w:pPr>
    </w:p>
    <w:p w:rsidR="00737C4E" w:rsidRDefault="00DE4E76">
      <w:pPr>
        <w:pBdr>
          <w:top w:val="nil"/>
          <w:left w:val="nil"/>
          <w:bottom w:val="nil"/>
          <w:right w:val="nil"/>
          <w:between w:val="nil"/>
        </w:pBdr>
        <w:tabs>
          <w:tab w:val="left" w:pos="2745"/>
        </w:tabs>
        <w:spacing w:line="360" w:lineRule="auto"/>
        <w:ind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color w:val="000000"/>
        </w:rPr>
        <w:t>Se adjunta un documento denominado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i/>
          <w:iCs/>
          <w:color w:val="000000"/>
        </w:rPr>
        <w:t>ACUERDO ORIENTACIÃ_N_0001.pdf</w:t>
      </w:r>
      <w:r>
        <w:rPr>
          <w:rFonts w:ascii="Palatino Linotype" w:eastAsia="Palatino Linotype" w:hAnsi="Palatino Linotype" w:cs="Palatino Linotype"/>
          <w:color w:val="000000"/>
        </w:rPr>
        <w:t xml:space="preserve">, cuyo contenido corresponde a un oficio de respuesta, de una solicitud de información diversa, en donde el Sujeto Obligado Secretaría de la Contraloría, orienta al solicitante a interponer su solicitud de información ante el Ayuntamiento de Ecatepec o, ante la Secretaría Ejecutiva del Sistema Estatal Anticorrupción </w:t>
      </w:r>
    </w:p>
    <w:p w:rsidR="00737C4E" w:rsidRDefault="00737C4E">
      <w:pPr>
        <w:tabs>
          <w:tab w:val="left" w:pos="2745"/>
        </w:tabs>
        <w:spacing w:line="360" w:lineRule="auto"/>
        <w:ind w:left="709" w:right="-929"/>
        <w:jc w:val="both"/>
        <w:rPr>
          <w:rFonts w:ascii="Palatino Linotype" w:eastAsia="Palatino Linotype" w:hAnsi="Palatino Linotype" w:cs="Palatino Linotype"/>
          <w:i/>
          <w:iCs/>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Con fecha</w:t>
      </w:r>
      <w:r>
        <w:rPr>
          <w:rFonts w:ascii="Palatino Linotype" w:eastAsia="Palatino Linotype" w:hAnsi="Palatino Linotype" w:cs="Palatino Linotype"/>
          <w:b/>
          <w:bCs/>
        </w:rPr>
        <w:t xml:space="preserve"> cuatro de noviembre dos mil veinticinco, </w:t>
      </w:r>
      <w:r>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w:t>
      </w:r>
      <w:r>
        <w:rPr>
          <w:rFonts w:ascii="Palatino Linotype" w:eastAsia="Palatino Linotype" w:hAnsi="Palatino Linotype" w:cs="Palatino Linotype"/>
        </w:rPr>
        <w:lastRenderedPageBreak/>
        <w:t xml:space="preserve">máximo de siete días hábiles para que las partes manifestaron lo que a su derecho resultara conveniente, ofrecieran pruebas, formulen alegatos y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presentará su informe justificado.</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El</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b/>
          <w:bCs/>
        </w:rPr>
        <w:t>OBLIGADO</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el día </w:t>
      </w:r>
      <w:r>
        <w:rPr>
          <w:rFonts w:ascii="Palatino Linotype" w:eastAsia="Palatino Linotype" w:hAnsi="Palatino Linotype" w:cs="Palatino Linotype"/>
          <w:b/>
          <w:bCs/>
          <w:color w:val="000000"/>
        </w:rPr>
        <w:t xml:space="preserve">once de noviembre de dos mil veinticinco </w:t>
      </w:r>
      <w:r>
        <w:rPr>
          <w:rFonts w:ascii="Palatino Linotype" w:eastAsia="Palatino Linotype" w:hAnsi="Palatino Linotype" w:cs="Palatino Linotype"/>
          <w:color w:val="000000"/>
        </w:rPr>
        <w:t xml:space="preserve">rindió </w:t>
      </w:r>
      <w:r>
        <w:rPr>
          <w:rFonts w:ascii="Palatino Linotype" w:eastAsia="Palatino Linotype" w:hAnsi="Palatino Linotype" w:cs="Palatino Linotype"/>
        </w:rPr>
        <w:t xml:space="preserve">informe justificado a través de dos archivos denominados </w:t>
      </w:r>
      <w:r>
        <w:rPr>
          <w:rFonts w:ascii="Palatino Linotype" w:eastAsia="Palatino Linotype" w:hAnsi="Palatino Linotype" w:cs="Palatino Linotype"/>
          <w:b/>
          <w:bCs/>
          <w:i/>
          <w:iCs/>
        </w:rPr>
        <w:t>Informe justificado RR.12543-Sol. 080-2025.pdf</w:t>
      </w:r>
      <w:r>
        <w:rPr>
          <w:rFonts w:ascii="Palatino Linotype" w:eastAsia="Palatino Linotype" w:hAnsi="Palatino Linotype" w:cs="Palatino Linotype"/>
        </w:rPr>
        <w:t xml:space="preserve"> e, </w:t>
      </w:r>
      <w:r>
        <w:rPr>
          <w:rFonts w:ascii="Palatino Linotype" w:eastAsia="Palatino Linotype" w:hAnsi="Palatino Linotype" w:cs="Palatino Linotype"/>
          <w:b/>
          <w:bCs/>
          <w:i/>
          <w:iCs/>
        </w:rPr>
        <w:t>Informe justificado RR.12543-Sol. 080-2025.docx</w:t>
      </w:r>
      <w:r>
        <w:rPr>
          <w:rFonts w:ascii="Palatino Linotype" w:eastAsia="Palatino Linotype" w:hAnsi="Palatino Linotype" w:cs="Palatino Linotype"/>
        </w:rPr>
        <w:t>, que contienen el mismo oficio signado por la Jefa de la Unidad de Planeación y Transparencia, mediante el cual confirma su respuesta inicial, subrayando que se otorgó una respuesta exhaustiva y razonable a la solicitud inicial, dando puntual atención a cada uno de los requerimientos del ahora recurrente, por lo que solicita sea confirmada la respuesta inicial.</w:t>
      </w:r>
    </w:p>
    <w:p w:rsidR="00737C4E" w:rsidRDefault="00737C4E">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Seguidamente, mediante Acuerdo de fecha </w:t>
      </w:r>
      <w:r>
        <w:rPr>
          <w:rFonts w:ascii="Palatino Linotype" w:eastAsia="Palatino Linotype" w:hAnsi="Palatino Linotype" w:cs="Palatino Linotype"/>
          <w:b/>
          <w:bCs/>
          <w:color w:val="000000"/>
        </w:rPr>
        <w:t xml:space="preserve">veinte de mayo de dos mil veintiséis, </w:t>
      </w:r>
      <w:r>
        <w:rPr>
          <w:rFonts w:ascii="Palatino Linotype" w:eastAsia="Palatino Linotype" w:hAnsi="Palatino Linotype" w:cs="Palatino Linotype"/>
          <w:color w:val="000000"/>
        </w:rPr>
        <w:t>se amplió el término para resolver. 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rsidR="00737C4E" w:rsidRDefault="00737C4E">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Consecutivamente se decretó el cierre de instrucción mediante Acuerdo de día </w:t>
      </w:r>
      <w:r>
        <w:rPr>
          <w:rFonts w:ascii="Palatino Linotype" w:eastAsia="Palatino Linotype" w:hAnsi="Palatino Linotype" w:cs="Palatino Linotype"/>
          <w:b/>
          <w:bCs/>
          <w:color w:val="000000"/>
        </w:rPr>
        <w:t>veintiséis del mismo mes y año</w:t>
      </w:r>
      <w:r>
        <w:rPr>
          <w:rFonts w:ascii="Palatino Linotype" w:eastAsia="Palatino Linotype" w:hAnsi="Palatino Linotype" w:cs="Palatino Linotype"/>
          <w:color w:val="000000"/>
        </w:rPr>
        <w:t xml:space="preserve">, se decretó el </w:t>
      </w:r>
      <w:r>
        <w:rPr>
          <w:rFonts w:ascii="Palatino Linotype" w:eastAsia="Palatino Linotype" w:hAnsi="Palatino Linotype" w:cs="Palatino Linotype"/>
          <w:b/>
          <w:bCs/>
          <w:color w:val="000000"/>
        </w:rPr>
        <w:t>cierre de instrucción</w:t>
      </w:r>
      <w:r>
        <w:rPr>
          <w:rFonts w:ascii="Palatino Linotype" w:eastAsia="Palatino Linotype" w:hAnsi="Palatino Linotype" w:cs="Palatino Linotype"/>
          <w:color w:val="000000"/>
        </w:rPr>
        <w:t>, por lo que no habiendo más que hacer constar y,</w:t>
      </w:r>
      <w:r w:rsidR="00066A94">
        <w:rPr>
          <w:rFonts w:ascii="Palatino Linotype" w:eastAsia="Palatino Linotype" w:hAnsi="Palatino Linotype" w:cs="Palatino Linotype"/>
          <w:color w:val="000000"/>
        </w:rPr>
        <w:t xml:space="preserve"> -----------------------------------------------------------------------------------------</w:t>
      </w:r>
    </w:p>
    <w:p w:rsidR="00737C4E" w:rsidRDefault="00737C4E">
      <w:pPr>
        <w:pBdr>
          <w:top w:val="nil"/>
          <w:left w:val="nil"/>
          <w:bottom w:val="nil"/>
          <w:right w:val="nil"/>
          <w:between w:val="nil"/>
        </w:pBdr>
        <w:spacing w:line="360" w:lineRule="auto"/>
        <w:ind w:left="720" w:right="-929"/>
        <w:rPr>
          <w:rFonts w:ascii="Palatino Linotype" w:eastAsia="Palatino Linotype" w:hAnsi="Palatino Linotype" w:cs="Palatino Linotype"/>
          <w:b/>
          <w:bCs/>
          <w:color w:val="000000"/>
        </w:rPr>
      </w:pPr>
    </w:p>
    <w:p w:rsidR="00737C4E" w:rsidRDefault="00DE4E76">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lastRenderedPageBreak/>
        <w:t>C O N S I D E R A N D O</w:t>
      </w:r>
    </w:p>
    <w:p w:rsidR="00737C4E" w:rsidRDefault="00737C4E">
      <w:pPr>
        <w:pBdr>
          <w:top w:val="nil"/>
          <w:left w:val="nil"/>
          <w:bottom w:val="nil"/>
          <w:right w:val="nil"/>
          <w:between w:val="nil"/>
        </w:pBdr>
        <w:spacing w:line="360" w:lineRule="auto"/>
        <w:ind w:right="-929"/>
        <w:jc w:val="center"/>
        <w:rPr>
          <w:rFonts w:ascii="Palatino Linotype" w:eastAsia="Palatino Linotype" w:hAnsi="Palatino Linotype" w:cs="Palatino Linotype"/>
          <w:b/>
          <w:bCs/>
          <w:color w:val="000000"/>
        </w:rPr>
      </w:pPr>
    </w:p>
    <w:p w:rsidR="00737C4E" w:rsidRDefault="00DE4E76">
      <w:pPr>
        <w:pStyle w:val="Ttulo2"/>
        <w:spacing w:before="0" w:line="360" w:lineRule="auto"/>
        <w:ind w:right="-929"/>
        <w:rPr>
          <w:rFonts w:ascii="Palatino Linotype" w:eastAsia="Palatino Linotype" w:hAnsi="Palatino Linotype" w:cs="Palatino Linotype"/>
          <w:b/>
          <w:bCs/>
          <w:color w:val="000000"/>
          <w:sz w:val="24"/>
          <w:szCs w:val="24"/>
        </w:rPr>
      </w:pPr>
      <w:bookmarkStart w:id="3" w:name="_heading=h.3znysh7" w:colFirst="0" w:colLast="0"/>
      <w:bookmarkEnd w:id="3"/>
      <w:r>
        <w:rPr>
          <w:rFonts w:ascii="Palatino Linotype" w:eastAsia="Palatino Linotype" w:hAnsi="Palatino Linotype" w:cs="Palatino Linotype"/>
          <w:b/>
          <w:bCs/>
          <w:color w:val="000000"/>
          <w:sz w:val="24"/>
          <w:szCs w:val="24"/>
        </w:rPr>
        <w:t>PRIMERO. Competencia</w:t>
      </w: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Este Instituto de Transparencia, Acceso a la Información Pública y Protección de Datos </w:t>
      </w:r>
      <w:r>
        <w:rPr>
          <w:rFonts w:ascii="Palatino Linotype" w:eastAsia="Palatino Linotype" w:hAnsi="Palatino Linotype" w:cs="Palatino Linotype"/>
        </w:rPr>
        <w:t>Personales</w:t>
      </w:r>
      <w:r>
        <w:rPr>
          <w:rFonts w:ascii="Palatino Linotype" w:eastAsia="Palatino Linotype" w:hAnsi="Palatino Linotype" w:cs="Palatino Linotype"/>
          <w:color w:val="000000"/>
        </w:rPr>
        <w:t xml:space="preserve"> del Estado de México y Municipios es competente para conocer y </w:t>
      </w:r>
      <w:r>
        <w:rPr>
          <w:rFonts w:ascii="Palatino Linotype" w:eastAsia="Palatino Linotype" w:hAnsi="Palatino Linotype" w:cs="Palatino Linotype"/>
        </w:rPr>
        <w:t>resolver</w:t>
      </w:r>
      <w:r>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Default="00DE4E76">
      <w:pPr>
        <w:pStyle w:val="Ttulo2"/>
        <w:spacing w:before="0" w:line="360" w:lineRule="auto"/>
        <w:ind w:right="-929"/>
        <w:rPr>
          <w:rFonts w:ascii="Palatino Linotype" w:eastAsia="Palatino Linotype" w:hAnsi="Palatino Linotype" w:cs="Palatino Linotype"/>
          <w:b/>
          <w:bCs/>
          <w:color w:val="000000"/>
          <w:sz w:val="24"/>
          <w:szCs w:val="24"/>
        </w:rPr>
      </w:pPr>
      <w:bookmarkStart w:id="4" w:name="_heading=h.2et92p0" w:colFirst="0" w:colLast="0"/>
      <w:bookmarkEnd w:id="4"/>
      <w:r>
        <w:rPr>
          <w:rFonts w:ascii="Palatino Linotype" w:eastAsia="Palatino Linotype" w:hAnsi="Palatino Linotype" w:cs="Palatino Linotype"/>
          <w:b/>
          <w:bCs/>
          <w:color w:val="000000"/>
          <w:sz w:val="24"/>
          <w:szCs w:val="24"/>
        </w:rPr>
        <w:t>SEGUNDO. Procedencia.</w:t>
      </w: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Este Órgano Garante considera que el medio de impugnación reúne los requisitos de </w:t>
      </w:r>
      <w:r>
        <w:rPr>
          <w:rFonts w:ascii="Palatino Linotype" w:eastAsia="Palatino Linotype" w:hAnsi="Palatino Linotype" w:cs="Palatino Linotype"/>
          <w:color w:val="000000"/>
        </w:rPr>
        <w:t>procedencia</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Por otro lado, es de suma importancia señalar que la parte recurrente no proporciona un nombre completo como se advierte en el detalle de seguimiento del SAIMEX, no obstante, lo anterior, no proporcionar el nombre completo no es motivo para archivar la solicitud de </w:t>
      </w:r>
      <w:r>
        <w:rPr>
          <w:rFonts w:ascii="Palatino Linotype" w:eastAsia="Palatino Linotype" w:hAnsi="Palatino Linotype" w:cs="Palatino Linotype"/>
        </w:rPr>
        <w:lastRenderedPageBreak/>
        <w:t>acceso a la información pública como concluida, conforme a lo previsto en el artículo 155, penúltimo párrafo de la Ley de Transparencia y Acceso a la Información Pública del Estado de México y Municipios que establece lo siguiente:</w:t>
      </w:r>
    </w:p>
    <w:p w:rsidR="00737C4E" w:rsidRDefault="00DE4E76">
      <w:pPr>
        <w:spacing w:line="360" w:lineRule="auto"/>
        <w:ind w:left="567" w:right="-9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Default="00DE4E76">
      <w:pPr>
        <w:pStyle w:val="Ttulo2"/>
        <w:tabs>
          <w:tab w:val="left" w:pos="284"/>
          <w:tab w:val="left" w:pos="426"/>
        </w:tabs>
        <w:spacing w:before="0" w:line="360" w:lineRule="auto"/>
        <w:ind w:right="-929"/>
        <w:rPr>
          <w:rFonts w:ascii="Palatino Linotype" w:eastAsia="Palatino Linotype" w:hAnsi="Palatino Linotype" w:cs="Palatino Linotype"/>
          <w:b/>
          <w:bCs/>
          <w:color w:val="000000"/>
          <w:sz w:val="24"/>
          <w:szCs w:val="24"/>
        </w:rPr>
      </w:pPr>
      <w:bookmarkStart w:id="5" w:name="_heading=h.tyjcwt" w:colFirst="0" w:colLast="0"/>
      <w:bookmarkEnd w:id="5"/>
      <w:r>
        <w:rPr>
          <w:rFonts w:ascii="Palatino Linotype" w:eastAsia="Palatino Linotype" w:hAnsi="Palatino Linotype" w:cs="Palatino Linotype"/>
          <w:b/>
          <w:bCs/>
          <w:color w:val="000000"/>
          <w:sz w:val="24"/>
          <w:szCs w:val="24"/>
        </w:rPr>
        <w:t>TERCERO. De las causales de sobreseimiento.</w:t>
      </w: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Se solicitó tener acceso, a la información que a continuación se desagrega:</w:t>
      </w:r>
    </w:p>
    <w:p w:rsidR="00737C4E" w:rsidRDefault="00DE4E76">
      <w:pPr>
        <w:pBdr>
          <w:top w:val="nil"/>
          <w:left w:val="nil"/>
          <w:bottom w:val="nil"/>
          <w:right w:val="nil"/>
          <w:between w:val="nil"/>
        </w:pBdr>
        <w:spacing w:line="360" w:lineRule="auto"/>
        <w:ind w:left="720"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Del municipio de Tlalnepantla de Baz, Estado de México, en los periodos 2019-2021 y 2022-2024, la siguiente información:</w:t>
      </w:r>
    </w:p>
    <w:p w:rsidR="00737C4E" w:rsidRDefault="00DE4E76">
      <w:pPr>
        <w:numPr>
          <w:ilvl w:val="0"/>
          <w:numId w:val="3"/>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Informes emitidos al sistema nacional, anticorrupción que contengan los resultados y evaluaciones de desempeño;</w:t>
      </w:r>
    </w:p>
    <w:p w:rsidR="00737C4E" w:rsidRDefault="00DE4E76">
      <w:pPr>
        <w:numPr>
          <w:ilvl w:val="0"/>
          <w:numId w:val="3"/>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Evaluaciones realizadas al municipio sobre transparencia, rendición de cuentas y control de sus recursos públicos, así como el cumplimiento de obligaciones de la ley general del sistema nacional anticorrupción;</w:t>
      </w:r>
    </w:p>
    <w:p w:rsidR="00737C4E" w:rsidRDefault="00DE4E76">
      <w:pPr>
        <w:numPr>
          <w:ilvl w:val="0"/>
          <w:numId w:val="3"/>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Notas informativas que documenten observaciones relacionadas con la gestión, anticorrupción del Municipio durante el periodo señalado;</w:t>
      </w:r>
    </w:p>
    <w:p w:rsidR="00737C4E" w:rsidRDefault="00DE4E76">
      <w:pPr>
        <w:numPr>
          <w:ilvl w:val="0"/>
          <w:numId w:val="3"/>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Listado de servidores públicos municipales, que tengan contratados que incluya: nombre del puesto nivel jerárquico, tipo de contratación, unidad administrativa a la que pertenecen;</w:t>
      </w:r>
    </w:p>
    <w:p w:rsidR="00737C4E" w:rsidRDefault="00DE4E76">
      <w:pPr>
        <w:numPr>
          <w:ilvl w:val="0"/>
          <w:numId w:val="3"/>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Información sobre el sistema de denuncias del municipio, que incluya: procedimientos vigentes para la recepción y seguimiento de denuncia, ciudadanas o internas por asuntos actos de corrupción, número de </w:t>
      </w:r>
      <w:r>
        <w:rPr>
          <w:rFonts w:ascii="Palatino Linotype" w:eastAsia="Palatino Linotype" w:hAnsi="Palatino Linotype" w:cs="Palatino Linotype"/>
        </w:rPr>
        <w:t>denuncias</w:t>
      </w:r>
      <w:r>
        <w:rPr>
          <w:rFonts w:ascii="Palatino Linotype" w:eastAsia="Palatino Linotype" w:hAnsi="Palatino Linotype" w:cs="Palatino Linotype"/>
          <w:color w:val="000000"/>
        </w:rPr>
        <w:t xml:space="preserve"> recibidas en trámite y concluidas, sanciones impuestas derivadas de </w:t>
      </w:r>
      <w:r>
        <w:rPr>
          <w:rFonts w:ascii="Palatino Linotype" w:eastAsia="Palatino Linotype" w:hAnsi="Palatino Linotype" w:cs="Palatino Linotype"/>
        </w:rPr>
        <w:t>dichas</w:t>
      </w:r>
      <w:r>
        <w:rPr>
          <w:rFonts w:ascii="Palatino Linotype" w:eastAsia="Palatino Linotype" w:hAnsi="Palatino Linotype" w:cs="Palatino Linotype"/>
          <w:color w:val="000000"/>
        </w:rPr>
        <w:t xml:space="preserve"> denuncias.</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Inconforme con la respuesta, el solicitante interpuso recurso de revisión de manera general en contra de la entrega de información incompleta a la solicitud de información pública con número de folio </w:t>
      </w:r>
      <w:r>
        <w:rPr>
          <w:rFonts w:ascii="Palatino Linotype" w:eastAsia="Palatino Linotype" w:hAnsi="Palatino Linotype" w:cs="Palatino Linotype"/>
          <w:b/>
          <w:bCs/>
        </w:rPr>
        <w:t>00080/SESEA/IP/2025</w:t>
      </w:r>
      <w:r>
        <w:rPr>
          <w:rFonts w:ascii="Palatino Linotype" w:eastAsia="Palatino Linotype" w:hAnsi="Palatino Linotype" w:cs="Palatino Linotype"/>
        </w:rPr>
        <w:t>, relativa a la información que compete a la Secretaría respecto al Municipio de Tlalnepantla de Baz.</w:t>
      </w:r>
      <w:r>
        <w:rPr>
          <w:rFonts w:ascii="Palatino Linotype" w:eastAsia="Palatino Linotype" w:hAnsi="Palatino Linotype" w:cs="Palatino Linotype"/>
          <w:color w:val="000000"/>
        </w:rPr>
        <w:t xml:space="preserve"> </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En dichas condiciones, la controversia a resolver en el presente proveído, corresponde a determinar si se actualiza la causal de procedencia prevista en el artículo 179, fracción I, de la Ley de Transparencia y Acceso a la Información Pública del Estado de México y Municipios; fracción que determina la hipótesis relativa a la negativa de la entrega de información; contexto del cual se dolió el Recurrente al momento de interponer su inconformidad. De modo tal que el presente recurso de revisión se abocará en determinar si el Sujeto Obligado con su respuesta ciertamente actualiza la causal de procedencia señalada.</w:t>
      </w:r>
    </w:p>
    <w:p w:rsidR="00737C4E" w:rsidRDefault="00737C4E">
      <w:pPr>
        <w:pBdr>
          <w:top w:val="nil"/>
          <w:left w:val="nil"/>
          <w:bottom w:val="nil"/>
          <w:right w:val="nil"/>
          <w:between w:val="nil"/>
        </w:pBdr>
        <w:ind w:left="720" w:right="-929"/>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w:t>
      </w:r>
      <w:r>
        <w:rPr>
          <w:rFonts w:ascii="Palatino Linotype" w:eastAsia="Palatino Linotype" w:hAnsi="Palatino Linotype" w:cs="Palatino Linotype"/>
        </w:rPr>
        <w:lastRenderedPageBreak/>
        <w:t>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737C4E" w:rsidRDefault="00737C4E">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bookmarkStart w:id="6" w:name="_heading=h.yf0ftai4zii4" w:colFirst="0" w:colLast="0"/>
      <w:bookmarkEnd w:id="6"/>
      <w:r>
        <w:rPr>
          <w:rFonts w:ascii="Palatino Linotype" w:eastAsia="Palatino Linotype" w:hAnsi="Palatino Linotype" w:cs="Palatino Linotype"/>
        </w:rPr>
        <w:lastRenderedPageBreak/>
        <w:t xml:space="preserve">Dicho lo anterior, como quedó asentado en el apartado Antecedentes, la solicitud de información versa respecto de diverso soporte documental en materia anticorrupción del Municipio de Ecatepec. De los diversos rubros que conforman la solicitud de información, se advierte de algunos de ellos una notoria incompetencia, ante el Sistema Nacional Anticorrupción (SNA), como atinadamente se refirió en la respuesta inicial, así como ante el Sujeto Obligado Ayuntamiento de Ecatepec, como lo son los siguientes: </w:t>
      </w:r>
    </w:p>
    <w:p w:rsidR="00737C4E" w:rsidRDefault="00DE4E76">
      <w:pPr>
        <w:numPr>
          <w:ilvl w:val="0"/>
          <w:numId w:val="4"/>
        </w:numPr>
        <w:pBdr>
          <w:top w:val="nil"/>
          <w:left w:val="nil"/>
          <w:bottom w:val="nil"/>
          <w:right w:val="nil"/>
          <w:between w:val="nil"/>
        </w:pBdr>
        <w:spacing w:line="360" w:lineRule="auto"/>
        <w:ind w:left="993"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Informes emitidos al sistema nacional, anticorrupción que contengan los resultados y evaluaciones de desempeño;</w:t>
      </w:r>
    </w:p>
    <w:p w:rsidR="00737C4E" w:rsidRDefault="00DE4E76">
      <w:pPr>
        <w:numPr>
          <w:ilvl w:val="0"/>
          <w:numId w:val="4"/>
        </w:numPr>
        <w:pBdr>
          <w:top w:val="nil"/>
          <w:left w:val="nil"/>
          <w:bottom w:val="nil"/>
          <w:right w:val="nil"/>
          <w:between w:val="nil"/>
        </w:pBdr>
        <w:spacing w:line="360" w:lineRule="auto"/>
        <w:ind w:left="993"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Evaluaciones realizadas al municipio sobre transparencia, rendición de cuentas y control de sus recursos públicos, así como el cumplimiento de obligaciones de la ley general del sistema nacional anticorrupción;</w:t>
      </w:r>
    </w:p>
    <w:p w:rsidR="00737C4E" w:rsidRDefault="00DE4E76">
      <w:pPr>
        <w:numPr>
          <w:ilvl w:val="0"/>
          <w:numId w:val="4"/>
        </w:numPr>
        <w:pBdr>
          <w:top w:val="nil"/>
          <w:left w:val="nil"/>
          <w:bottom w:val="nil"/>
          <w:right w:val="nil"/>
          <w:between w:val="nil"/>
        </w:pBdr>
        <w:spacing w:line="360" w:lineRule="auto"/>
        <w:ind w:left="993"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Información sobre el sistema de denuncias del municipio, que incluya: procedimientos vigentes para la recepción y seguimiento de denuncia, ciudadanas o internas por asuntos actos de corrupción, número de </w:t>
      </w:r>
      <w:r>
        <w:rPr>
          <w:rFonts w:ascii="Palatino Linotype" w:eastAsia="Palatino Linotype" w:hAnsi="Palatino Linotype" w:cs="Palatino Linotype"/>
        </w:rPr>
        <w:t>denuncias</w:t>
      </w:r>
      <w:r>
        <w:rPr>
          <w:rFonts w:ascii="Palatino Linotype" w:eastAsia="Palatino Linotype" w:hAnsi="Palatino Linotype" w:cs="Palatino Linotype"/>
          <w:color w:val="000000"/>
        </w:rPr>
        <w:t xml:space="preserve"> recibidas en trámite y concluidas, sanciones impuestas derivadas de </w:t>
      </w:r>
      <w:r>
        <w:rPr>
          <w:rFonts w:ascii="Palatino Linotype" w:eastAsia="Palatino Linotype" w:hAnsi="Palatino Linotype" w:cs="Palatino Linotype"/>
        </w:rPr>
        <w:t>dichas</w:t>
      </w:r>
      <w:r>
        <w:rPr>
          <w:rFonts w:ascii="Palatino Linotype" w:eastAsia="Palatino Linotype" w:hAnsi="Palatino Linotype" w:cs="Palatino Linotype"/>
          <w:color w:val="000000"/>
        </w:rPr>
        <w:t xml:space="preserve"> denuncias.</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Sin embargo, también se advierten otros dos requerimientos que debió otorgar observancia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y, de ser procedente, entregar información al respecto</w:t>
      </w:r>
      <w:r>
        <w:rPr>
          <w:rFonts w:ascii="Palatino Linotype" w:eastAsia="Palatino Linotype" w:hAnsi="Palatino Linotype" w:cs="Palatino Linotype"/>
          <w:b/>
          <w:bCs/>
        </w:rPr>
        <w:t xml:space="preserve">, </w:t>
      </w:r>
      <w:r>
        <w:rPr>
          <w:rFonts w:ascii="Palatino Linotype" w:eastAsia="Palatino Linotype" w:hAnsi="Palatino Linotype" w:cs="Palatino Linotype"/>
        </w:rPr>
        <w:t>como son los siguientes:</w:t>
      </w:r>
    </w:p>
    <w:p w:rsidR="00737C4E" w:rsidRDefault="00DE4E76">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Notas informativas que documenten observaciones relacionadas con la gestión, anticorrupción del Municipio durante el periodo señalado; y</w:t>
      </w:r>
    </w:p>
    <w:p w:rsidR="00737C4E" w:rsidRDefault="00DE4E76">
      <w:pPr>
        <w:numPr>
          <w:ilvl w:val="0"/>
          <w:numId w:val="5"/>
        </w:num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Listado de servidores públicos municipales, que tengan contratados que incluya: nombre del puesto nivel jerárquico, tipo de contratación, unidad administrativa a la que pertenecen.</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b/>
          <w:bCs/>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b/>
          <w:bCs/>
        </w:rPr>
      </w:pPr>
      <w:r>
        <w:rPr>
          <w:rFonts w:ascii="Palatino Linotype" w:eastAsia="Palatino Linotype" w:hAnsi="Palatino Linotype" w:cs="Palatino Linotype"/>
        </w:rPr>
        <w:t>No obstante, resulta improcedente ingresar al estudio y análisis de los rubros de referencia; toda vez que los motivos de inconformidad vertidos en el escrito del recurso de revisión, son tendientes a impugnar una solicitud de información diversa de la ocupa el presente proveído, impidiendo –se insiste– a este Órgano Garante entrar a su estudio de fondo, por no guardar relación.</w:t>
      </w:r>
    </w:p>
    <w:p w:rsidR="00737C4E" w:rsidRDefault="00737C4E">
      <w:pPr>
        <w:shd w:val="clear" w:color="auto" w:fill="FFFFFF"/>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Puntualizando lo anterior, se advierte con claridad que los motivos de inconformidad impugna la omisión de </w:t>
      </w:r>
      <w:r>
        <w:rPr>
          <w:rFonts w:ascii="Palatino Linotype" w:eastAsia="Palatino Linotype" w:hAnsi="Palatino Linotype" w:cs="Palatino Linotype"/>
          <w:color w:val="000000"/>
        </w:rPr>
        <w:t>respuesta</w:t>
      </w:r>
      <w:r>
        <w:rPr>
          <w:rFonts w:ascii="Palatino Linotype" w:eastAsia="Palatino Linotype" w:hAnsi="Palatino Linotype" w:cs="Palatino Linotype"/>
        </w:rPr>
        <w:t xml:space="preserve"> (o la respuesta incompleta/inexistente) a la solicitud de información pública con número </w:t>
      </w:r>
      <w:r w:rsidRPr="00937EBF">
        <w:rPr>
          <w:rFonts w:ascii="Palatino Linotype" w:eastAsia="Palatino Linotype" w:hAnsi="Palatino Linotype" w:cs="Palatino Linotype"/>
        </w:rPr>
        <w:t xml:space="preserve">de folio </w:t>
      </w:r>
      <w:r w:rsidR="00F93D55" w:rsidRPr="00937EBF">
        <w:rPr>
          <w:rFonts w:ascii="Palatino Linotype" w:eastAsia="Palatino Linotype" w:hAnsi="Palatino Linotype" w:cs="Palatino Linotype"/>
          <w:b/>
          <w:i/>
          <w:iCs/>
        </w:rPr>
        <w:t>00372/SECOGEM/IP/2025</w:t>
      </w:r>
      <w:r w:rsidRPr="00937EBF">
        <w:rPr>
          <w:rFonts w:ascii="Palatino Linotype" w:eastAsia="Palatino Linotype" w:hAnsi="Palatino Linotype" w:cs="Palatino Linotype"/>
        </w:rPr>
        <w:t>;</w:t>
      </w:r>
      <w:r>
        <w:rPr>
          <w:rFonts w:ascii="Palatino Linotype" w:eastAsia="Palatino Linotype" w:hAnsi="Palatino Linotype" w:cs="Palatino Linotype"/>
        </w:rPr>
        <w:t xml:space="preserve"> por lo tanto, se actualiza una causal de improcedencia como se determina en los siguientes párrafos. </w:t>
      </w:r>
    </w:p>
    <w:p w:rsidR="00737C4E" w:rsidRDefault="00737C4E">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Primeramente resulta necesario traer a contexto la Jurisprudencia No. 29 visible a foja </w:t>
      </w:r>
      <w:r>
        <w:rPr>
          <w:rFonts w:ascii="Palatino Linotype" w:eastAsia="Palatino Linotype" w:hAnsi="Palatino Linotype" w:cs="Palatino Linotype"/>
        </w:rPr>
        <w:t>19</w:t>
      </w:r>
      <w:r>
        <w:rPr>
          <w:rFonts w:ascii="Palatino Linotype" w:eastAsia="Palatino Linotype" w:hAnsi="Palatino Linotype" w:cs="Palatino Linotype"/>
          <w:color w:val="000000"/>
        </w:rPr>
        <w:t xml:space="preserve"> del Apéndice al Semanario Judicial de la Federación 1917-1995, Torno VI, Materia Común, Primera Parte, Tesis de la Suprema Corte de Justicia, que contiene:</w:t>
      </w:r>
    </w:p>
    <w:p w:rsidR="00737C4E" w:rsidRDefault="00DE4E76">
      <w:pPr>
        <w:shd w:val="clear" w:color="auto" w:fill="FFFFFF"/>
        <w:spacing w:line="360" w:lineRule="auto"/>
        <w:ind w:left="567"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AGRAVIOS EN LA REVISION. DEBEN ESTAR EN RELACION DIRECTA CON LOS FUNDAMENTOS Y CONSIDERACIONES DE LA SENTENCIA</w:t>
      </w:r>
      <w:r>
        <w:rPr>
          <w:rFonts w:ascii="Palatino Linotype" w:eastAsia="Palatino Linotype" w:hAnsi="Palatino Linotype" w:cs="Palatino Linotype"/>
          <w:i/>
          <w:iCs/>
          <w:color w:val="000000"/>
        </w:rPr>
        <w:t xml:space="preserve">.- Los agravios deben estar en relación directa e inmediata con los fundamentos contenidos en la sentencia que se recurre, y forzosamente deben contener, no sólo la cita de las disposiciones legales que se estimen infringidas y su concepto, sino también la concordancia entre aquellas, este y las consideraciones que </w:t>
      </w:r>
      <w:r>
        <w:rPr>
          <w:rFonts w:ascii="Palatino Linotype" w:eastAsia="Palatino Linotype" w:hAnsi="Palatino Linotype" w:cs="Palatino Linotype"/>
          <w:i/>
          <w:iCs/>
          <w:color w:val="000000"/>
        </w:rPr>
        <w:lastRenderedPageBreak/>
        <w:t>fundamenten esa propia sentencia, pues de adoptar lo contrario, resultaría la introducción de nuevas cuestiones en la revisión, que no constituyen su materia, toda vez que esta se limita al estudio integral del fallo que se combate, con vista de los motivos de inconformidad que plantean los recurrentes.”</w:t>
      </w:r>
    </w:p>
    <w:p w:rsidR="00737C4E" w:rsidRDefault="00737C4E">
      <w:pPr>
        <w:shd w:val="clear" w:color="auto" w:fill="FFFFFF"/>
        <w:spacing w:line="360" w:lineRule="auto"/>
        <w:ind w:left="1134" w:right="-929"/>
        <w:jc w:val="both"/>
        <w:rPr>
          <w:rFonts w:ascii="Palatino Linotype" w:eastAsia="Palatino Linotype" w:hAnsi="Palatino Linotype" w:cs="Palatino Linotype"/>
          <w:i/>
          <w:iCs/>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Expuesto lo anterior, se determina que el recurso de revisión no actualiza ninguna causal de procedencia que se relacione con la solicitud o la respuesta. En consecuencia, l</w:t>
      </w:r>
      <w:r>
        <w:rPr>
          <w:rFonts w:ascii="Palatino Linotype" w:eastAsia="Palatino Linotype" w:hAnsi="Palatino Linotype" w:cs="Palatino Linotype"/>
        </w:rPr>
        <w:t>a falta de actualización de causal de procedencia trae consigo que el recurso de revisión sea desechado por improcedente, de acuerdo con el artículo 191 de la citada ley:</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191.</w:t>
      </w:r>
      <w:r>
        <w:rPr>
          <w:rFonts w:ascii="Palatino Linotype" w:eastAsia="Palatino Linotype" w:hAnsi="Palatino Linotype" w:cs="Palatino Linotype"/>
          <w:i/>
          <w:iCs/>
          <w:color w:val="000000"/>
        </w:rPr>
        <w:t xml:space="preserve"> El recurso será desechado por improcedente cuando:</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 Sea extemporáneo por haber transcurrido el plazo establecido en la presente Ley, a partir de la respuesta;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II. Se esté tramitando ante el Poder Judicial de la Federación algún recurso o medio de defensa interpuesto por el recurrente;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III. No actualice alguno de los supuestos previstos en la presente Ley;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IV. No se haya desahogado la prevención en los términos establecidos en la presente Ley;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Se impugne la veracidad de la información proporcionada;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VI. Se trate de una consulta, o trámite en específico; y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VII. El recurrente amplíe su solicitud en el recurso de revisión, únicamente respecto de los nuevos contenidos.”</w:t>
      </w:r>
    </w:p>
    <w:p w:rsidR="00737C4E" w:rsidRDefault="00737C4E">
      <w:pPr>
        <w:pBdr>
          <w:top w:val="nil"/>
          <w:left w:val="nil"/>
          <w:bottom w:val="nil"/>
          <w:right w:val="nil"/>
          <w:between w:val="nil"/>
        </w:pBdr>
        <w:spacing w:line="360" w:lineRule="auto"/>
        <w:ind w:left="1134" w:right="-929"/>
        <w:jc w:val="both"/>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Al no actualizar ninguna causal de procedencia, el recurso de revisión debe ser </w:t>
      </w:r>
      <w:r>
        <w:rPr>
          <w:rFonts w:ascii="Palatino Linotype" w:eastAsia="Palatino Linotype" w:hAnsi="Palatino Linotype" w:cs="Palatino Linotype"/>
          <w:color w:val="000000"/>
        </w:rPr>
        <w:t>desechados</w:t>
      </w:r>
      <w:r>
        <w:rPr>
          <w:rFonts w:ascii="Palatino Linotype" w:eastAsia="Palatino Linotype" w:hAnsi="Palatino Linotype" w:cs="Palatino Linotype"/>
        </w:rPr>
        <w:t xml:space="preserve"> por improcedentes; sin embargo, una vez admitido, procederá el sobreseimiento </w:t>
      </w:r>
      <w:r>
        <w:rPr>
          <w:rFonts w:ascii="Palatino Linotype" w:eastAsia="Palatino Linotype" w:hAnsi="Palatino Linotype" w:cs="Palatino Linotype"/>
        </w:rPr>
        <w:lastRenderedPageBreak/>
        <w:t>de acuerdo con lo que establece el artículo 192 fracción IV, de la multicitada Ley de Transparencia:</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“Artículo 192.</w:t>
      </w:r>
      <w:r>
        <w:rPr>
          <w:rFonts w:ascii="Palatino Linotype" w:eastAsia="Palatino Linotype" w:hAnsi="Palatino Linotype" w:cs="Palatino Linotype"/>
          <w:i/>
          <w:iCs/>
          <w:color w:val="000000"/>
        </w:rPr>
        <w:t xml:space="preserve"> El recurso será sobreseído, en todo o en parte, cuando una vez admitido, se actualicen alguno de los siguientes supuestos:</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IV. Admitido el recurso de revisión, aparezca alguna causal de improcedencia en los términos de la presente Ley; y </w:t>
      </w:r>
    </w:p>
    <w:p w:rsidR="00737C4E" w:rsidRDefault="00DE4E76">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V. Cuando por cualquier motivo quede sin materia el recurso.” </w:t>
      </w:r>
    </w:p>
    <w:p w:rsidR="00737C4E" w:rsidRDefault="00737C4E">
      <w:pPr>
        <w:pBdr>
          <w:top w:val="nil"/>
          <w:left w:val="nil"/>
          <w:bottom w:val="nil"/>
          <w:right w:val="nil"/>
          <w:between w:val="nil"/>
        </w:pBdr>
        <w:spacing w:line="360" w:lineRule="auto"/>
        <w:ind w:left="1134" w:right="-929"/>
        <w:jc w:val="both"/>
        <w:rPr>
          <w:rFonts w:ascii="Palatino Linotype" w:eastAsia="Palatino Linotype" w:hAnsi="Palatino Linotype" w:cs="Palatino Linotype"/>
          <w:i/>
          <w:iCs/>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Es así como, el recurso de revisión actualiza la causal de sobreseimiento establecida en la fracción IV del artículo 192, en relación a la fracción III del artículo 191, ambos de la Ley de Transparencia y Acceso a la Información Pública del Estado de México y Municipios.</w:t>
      </w:r>
    </w:p>
    <w:p w:rsidR="00737C4E" w:rsidRDefault="00737C4E">
      <w:pPr>
        <w:pBdr>
          <w:top w:val="nil"/>
          <w:left w:val="nil"/>
          <w:bottom w:val="nil"/>
          <w:right w:val="nil"/>
          <w:between w:val="nil"/>
        </w:pBdr>
        <w:spacing w:line="360" w:lineRule="auto"/>
        <w:ind w:right="-929"/>
        <w:jc w:val="both"/>
        <w:rPr>
          <w:rFonts w:ascii="Palatino Linotype" w:eastAsia="Palatino Linotype" w:hAnsi="Palatino Linotype" w:cs="Palatino Linotype"/>
          <w:color w:val="000000"/>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No obstante, a efecto de no vulnerar los derechos del particular, este Órgano Garante deja a salvo los derechos del particular, para que, si así lo desea, presente nuevas solicitudes de acceso a la información, requiriendo información que colme sus pretensiones, ante la </w:t>
      </w:r>
      <w:r>
        <w:rPr>
          <w:rFonts w:ascii="Palatino Linotype" w:eastAsia="Palatino Linotype" w:hAnsi="Palatino Linotype" w:cs="Palatino Linotype"/>
          <w:color w:val="000000"/>
        </w:rPr>
        <w:t>Secretaría Ejecutiva del Sistema Estatal Anticorrupción o, los sujetos obligados que a sus intereses convenga</w:t>
      </w:r>
      <w:r>
        <w:rPr>
          <w:rFonts w:ascii="Palatino Linotype" w:eastAsia="Palatino Linotype" w:hAnsi="Palatino Linotype" w:cs="Palatino Linotype"/>
        </w:rPr>
        <w:t>.</w:t>
      </w:r>
    </w:p>
    <w:p w:rsidR="00737C4E" w:rsidRDefault="00737C4E">
      <w:pPr>
        <w:spacing w:line="360" w:lineRule="auto"/>
        <w:ind w:right="-929"/>
        <w:jc w:val="both"/>
        <w:rPr>
          <w:rFonts w:ascii="Palatino Linotype" w:eastAsia="Palatino Linotype" w:hAnsi="Palatino Linotype" w:cs="Palatino Linotype"/>
        </w:rPr>
      </w:pPr>
    </w:p>
    <w:p w:rsidR="00737C4E" w:rsidRDefault="00DE4E76">
      <w:pPr>
        <w:numPr>
          <w:ilvl w:val="0"/>
          <w:numId w:val="1"/>
        </w:numPr>
        <w:pBdr>
          <w:top w:val="nil"/>
          <w:left w:val="nil"/>
          <w:bottom w:val="nil"/>
          <w:right w:val="nil"/>
          <w:between w:val="nil"/>
        </w:pBdr>
        <w:spacing w:line="360" w:lineRule="auto"/>
        <w:ind w:left="0" w:right="-929" w:firstLine="0"/>
        <w:jc w:val="both"/>
        <w:rPr>
          <w:rFonts w:ascii="Palatino Linotype" w:eastAsia="Palatino Linotype" w:hAnsi="Palatino Linotype" w:cs="Palatino Linotype"/>
          <w:color w:val="000000"/>
        </w:rPr>
      </w:pPr>
      <w:bookmarkStart w:id="7" w:name="_heading=h.lhr51w2rwn4v" w:colFirst="0" w:colLast="0"/>
      <w:bookmarkEnd w:id="7"/>
      <w:r>
        <w:rPr>
          <w:rFonts w:ascii="Palatino Linotype" w:eastAsia="Palatino Linotype" w:hAnsi="Palatino Linotype" w:cs="Palatino Linotype"/>
        </w:rPr>
        <w:t xml:space="preserve">Por lo anteriormente expuesto y fundado, este </w:t>
      </w:r>
      <w:r>
        <w:rPr>
          <w:rFonts w:ascii="Palatino Linotype" w:eastAsia="Palatino Linotype" w:hAnsi="Palatino Linotype" w:cs="Palatino Linotype"/>
          <w:b/>
          <w:bCs/>
        </w:rPr>
        <w:t>ÓRGANO GARANTE</w:t>
      </w:r>
      <w:r>
        <w:rPr>
          <w:rFonts w:ascii="Palatino Linotype" w:eastAsia="Palatino Linotype" w:hAnsi="Palatino Linotype" w:cs="Palatino Linotype"/>
        </w:rPr>
        <w:t xml:space="preserve"> emite los siguientes:</w:t>
      </w:r>
      <w:r>
        <w:rPr>
          <w:rFonts w:ascii="Palatino Linotype" w:eastAsia="Palatino Linotype" w:hAnsi="Palatino Linotype" w:cs="Palatino Linotype"/>
          <w:color w:val="000000"/>
        </w:rPr>
        <w:t xml:space="preserve"> </w:t>
      </w:r>
      <w:r w:rsidR="00066A94">
        <w:rPr>
          <w:rFonts w:ascii="Palatino Linotype" w:eastAsia="Palatino Linotype" w:hAnsi="Palatino Linotype" w:cs="Palatino Linotype"/>
          <w:color w:val="000000"/>
        </w:rPr>
        <w:t>-----------------------------------------------------------------------------------------------------------</w:t>
      </w:r>
    </w:p>
    <w:p w:rsidR="00737C4E" w:rsidRDefault="00737C4E">
      <w:pPr>
        <w:keepNext/>
        <w:keepLines/>
        <w:spacing w:line="360" w:lineRule="auto"/>
        <w:ind w:right="-929"/>
        <w:jc w:val="center"/>
        <w:rPr>
          <w:rFonts w:ascii="Palatino Linotype" w:eastAsia="Palatino Linotype" w:hAnsi="Palatino Linotype" w:cs="Palatino Linotype"/>
          <w:b/>
          <w:bCs/>
        </w:rPr>
      </w:pPr>
    </w:p>
    <w:p w:rsidR="00737C4E" w:rsidRDefault="00DE4E76">
      <w:pPr>
        <w:keepNext/>
        <w:keepLines/>
        <w:spacing w:line="360" w:lineRule="auto"/>
        <w:ind w:right="-9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737C4E" w:rsidRDefault="00737C4E">
      <w:pPr>
        <w:keepNext/>
        <w:keepLines/>
        <w:spacing w:line="360" w:lineRule="auto"/>
        <w:ind w:right="-929"/>
        <w:rPr>
          <w:rFonts w:ascii="Palatino Linotype" w:eastAsia="Palatino Linotype" w:hAnsi="Palatino Linotype" w:cs="Palatino Linotype"/>
          <w:b/>
          <w:bCs/>
          <w:color w:val="000000"/>
        </w:rPr>
      </w:pPr>
    </w:p>
    <w:p w:rsidR="00737C4E" w:rsidRDefault="00DE4E76">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 xml:space="preserve">SOBRESEE </w:t>
      </w:r>
      <w:r>
        <w:rPr>
          <w:rFonts w:ascii="Palatino Linotype" w:eastAsia="Palatino Linotype" w:hAnsi="Palatino Linotype" w:cs="Palatino Linotype"/>
        </w:rPr>
        <w:t>el</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Recurso de Revisión número </w:t>
      </w:r>
      <w:r>
        <w:rPr>
          <w:rFonts w:ascii="Palatino Linotype" w:eastAsia="Palatino Linotype" w:hAnsi="Palatino Linotype" w:cs="Palatino Linotype"/>
          <w:b/>
          <w:bCs/>
        </w:rPr>
        <w:t>12543/INFOEM/IP/RR/2025</w:t>
      </w:r>
      <w:r>
        <w:rPr>
          <w:rFonts w:ascii="Palatino Linotype" w:eastAsia="Palatino Linotype" w:hAnsi="Palatino Linotype" w:cs="Palatino Linotype"/>
        </w:rPr>
        <w:t xml:space="preserve">, conforme al artículo </w:t>
      </w:r>
      <w:r>
        <w:rPr>
          <w:rFonts w:ascii="Palatino Linotype" w:eastAsia="Palatino Linotype" w:hAnsi="Palatino Linotype" w:cs="Palatino Linotype"/>
          <w:b/>
          <w:bCs/>
        </w:rPr>
        <w:t>192 fracción IV</w:t>
      </w:r>
      <w:r>
        <w:rPr>
          <w:rFonts w:ascii="Palatino Linotype" w:eastAsia="Palatino Linotype" w:hAnsi="Palatino Linotype" w:cs="Palatino Linotype"/>
        </w:rPr>
        <w:t xml:space="preserve">, de la Ley de Transparencia y Acceso a la Información Pública del Estado de México y Municipios, en términos del </w:t>
      </w:r>
      <w:r>
        <w:rPr>
          <w:rFonts w:ascii="Palatino Linotype" w:eastAsia="Palatino Linotype" w:hAnsi="Palatino Linotype" w:cs="Palatino Linotype"/>
          <w:b/>
          <w:bCs/>
        </w:rPr>
        <w:t>Considerando TERCERO</w:t>
      </w:r>
      <w:r>
        <w:rPr>
          <w:rFonts w:ascii="Palatino Linotype" w:eastAsia="Palatino Linotype" w:hAnsi="Palatino Linotype" w:cs="Palatino Linotype"/>
        </w:rPr>
        <w:t xml:space="preserve"> de la presente Resolución.</w:t>
      </w:r>
    </w:p>
    <w:p w:rsidR="00737C4E" w:rsidRDefault="00737C4E">
      <w:pPr>
        <w:spacing w:line="360" w:lineRule="auto"/>
        <w:ind w:right="-929"/>
        <w:jc w:val="both"/>
        <w:rPr>
          <w:rFonts w:ascii="Palatino Linotype" w:eastAsia="Palatino Linotype" w:hAnsi="Palatino Linotype" w:cs="Palatino Linotype"/>
        </w:rPr>
      </w:pPr>
    </w:p>
    <w:p w:rsidR="00737C4E" w:rsidRDefault="00DE4E76">
      <w:pPr>
        <w:spacing w:line="360" w:lineRule="auto"/>
        <w:ind w:right="-929"/>
        <w:jc w:val="both"/>
        <w:rPr>
          <w:rFonts w:ascii="Palatino Linotype" w:eastAsia="Palatino Linotype" w:hAnsi="Palatino Linotype" w:cs="Palatino Linotype"/>
        </w:rPr>
      </w:pPr>
      <w:r>
        <w:rPr>
          <w:rFonts w:ascii="Palatino Linotype" w:eastAsia="Palatino Linotype" w:hAnsi="Palatino Linotype" w:cs="Palatino Linotype"/>
          <w:b/>
          <w:bCs/>
        </w:rPr>
        <w:t>SEGUNDO.</w:t>
      </w:r>
      <w:r>
        <w:rPr>
          <w:rFonts w:ascii="Palatino Linotype" w:eastAsia="Palatino Linotype" w:hAnsi="Palatino Linotype" w:cs="Palatino Linotype"/>
          <w:b/>
          <w:bCs/>
          <w:color w:val="2F5496"/>
        </w:rPr>
        <w:t xml:space="preserve"> </w:t>
      </w:r>
      <w:r w:rsidR="00AD6D25">
        <w:rPr>
          <w:rFonts w:ascii="Palatino Linotype" w:eastAsia="Palatino Linotype" w:hAnsi="Palatino Linotype" w:cs="Palatino Linotype"/>
          <w:b/>
          <w:bCs/>
        </w:rPr>
        <w:t>Notifíquese</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través del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la presente Resolución al Titular de la Unidad de Transparencia del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para su conocimiento.</w:t>
      </w:r>
    </w:p>
    <w:p w:rsidR="00737C4E" w:rsidRDefault="00737C4E">
      <w:pPr>
        <w:spacing w:line="360" w:lineRule="auto"/>
        <w:ind w:right="-929"/>
        <w:jc w:val="both"/>
        <w:rPr>
          <w:rFonts w:ascii="Palatino Linotype" w:eastAsia="Palatino Linotype" w:hAnsi="Palatino Linotype" w:cs="Palatino Linotype"/>
        </w:rPr>
      </w:pPr>
    </w:p>
    <w:p w:rsidR="00737C4E" w:rsidRDefault="00DE4E76">
      <w:pPr>
        <w:tabs>
          <w:tab w:val="left" w:pos="8080"/>
        </w:tabs>
        <w:spacing w:line="360" w:lineRule="auto"/>
        <w:ind w:right="-9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al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la presente Resolución, a través del Sistema de Acceso a la Información Mexiquense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y vía</w:t>
      </w:r>
      <w:r>
        <w:rPr>
          <w:rFonts w:ascii="Palatino Linotype" w:eastAsia="Palatino Linotype" w:hAnsi="Palatino Linotype" w:cs="Palatino Linotype"/>
          <w:b/>
          <w:bCs/>
        </w:rPr>
        <w:t xml:space="preserve"> correo electrónico.</w:t>
      </w:r>
    </w:p>
    <w:p w:rsidR="00737C4E" w:rsidRDefault="00737C4E">
      <w:pPr>
        <w:tabs>
          <w:tab w:val="left" w:pos="8080"/>
        </w:tabs>
        <w:spacing w:line="360" w:lineRule="auto"/>
        <w:ind w:right="-929"/>
        <w:jc w:val="both"/>
        <w:rPr>
          <w:rFonts w:ascii="Palatino Linotype" w:eastAsia="Palatino Linotype" w:hAnsi="Palatino Linotype" w:cs="Palatino Linotype"/>
          <w:b/>
          <w:bCs/>
          <w:color w:val="000000"/>
        </w:rPr>
      </w:pPr>
      <w:bookmarkStart w:id="8" w:name="_heading=h.ulbeay3jpuxu" w:colFirst="0" w:colLast="0"/>
      <w:bookmarkEnd w:id="8"/>
    </w:p>
    <w:p w:rsidR="00737C4E" w:rsidRDefault="00DE4E76">
      <w:pPr>
        <w:shd w:val="clear" w:color="auto" w:fill="FFFFFF"/>
        <w:spacing w:line="360" w:lineRule="auto"/>
        <w:ind w:right="-929"/>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CUARTO. </w:t>
      </w:r>
      <w:r>
        <w:rPr>
          <w:rFonts w:ascii="Palatino Linotype" w:eastAsia="Palatino Linotype" w:hAnsi="Palatino Linotype" w:cs="Palatino Linotype"/>
        </w:rPr>
        <w:t xml:space="preserve">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37C4E" w:rsidRDefault="00737C4E">
      <w:pPr>
        <w:shd w:val="clear" w:color="auto" w:fill="FFFFFF"/>
        <w:spacing w:line="360" w:lineRule="auto"/>
        <w:ind w:right="-929"/>
        <w:jc w:val="both"/>
        <w:rPr>
          <w:rFonts w:ascii="Palatino Linotype" w:eastAsia="Palatino Linotype" w:hAnsi="Palatino Linotype" w:cs="Palatino Linotype"/>
        </w:rPr>
      </w:pPr>
    </w:p>
    <w:p w:rsidR="00AD6D25" w:rsidRPr="003E2295" w:rsidRDefault="00AD6D25" w:rsidP="00AD6D25">
      <w:pPr>
        <w:spacing w:before="240" w:after="240" w:line="360" w:lineRule="auto"/>
        <w:ind w:right="-943" w:firstLine="1"/>
        <w:jc w:val="both"/>
        <w:rPr>
          <w:rFonts w:ascii="Palatino Linotype" w:hAnsi="Palatino Linotype"/>
        </w:rPr>
      </w:pPr>
      <w:bookmarkStart w:id="9"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w:t>
      </w:r>
      <w:r w:rsidRPr="003E2295">
        <w:rPr>
          <w:rFonts w:ascii="Palatino Linotype" w:hAnsi="Palatino Linotype" w:cs="Palatino Linotype"/>
        </w:rPr>
        <w:lastRenderedPageBreak/>
        <w:t>LOS COMISIONADOS JOSÉ MARTÍNEZ VILCHIS</w:t>
      </w:r>
      <w:r>
        <w:rPr>
          <w:rFonts w:ascii="Palatino Linotype" w:hAnsi="Palatino Linotype" w:cs="Palatino Linotype"/>
        </w:rPr>
        <w:t xml:space="preserve"> (AUSENCIA JUSTIFICADA)</w:t>
      </w:r>
      <w:r w:rsidRPr="003E2295">
        <w:rPr>
          <w:rFonts w:ascii="Palatino Linotype" w:hAnsi="Palatino Linotype" w:cs="Palatino Linotype"/>
        </w:rPr>
        <w:t xml:space="preserve">, MARÍA DEL ROSARIO MEJÍA AYALA, SHARON CRISTINA MORALES MARTÍNEZ, LUIS GUSTAVO PARRA NORIEGA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NOVENA </w:t>
      </w:r>
      <w:r w:rsidRPr="003E2295">
        <w:rPr>
          <w:rFonts w:ascii="Palatino Linotype" w:hAnsi="Palatino Linotype" w:cs="Palatino Linotype"/>
        </w:rPr>
        <w:t>SESIÓN O</w:t>
      </w:r>
      <w:r>
        <w:rPr>
          <w:rFonts w:ascii="Palatino Linotype" w:hAnsi="Palatino Linotype" w:cs="Palatino Linotype"/>
        </w:rPr>
        <w:t>RDINARIA, CELEBRADA EL VEINTISIETE (27</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9"/>
    <w:p w:rsidR="00737C4E" w:rsidRDefault="00737C4E" w:rsidP="00AD6D25">
      <w:pPr>
        <w:spacing w:line="360" w:lineRule="auto"/>
        <w:ind w:right="-943"/>
        <w:rPr>
          <w:rFonts w:ascii="Palatino Linotype" w:eastAsia="Palatino Linotype" w:hAnsi="Palatino Linotype" w:cs="Palatino Linotype"/>
        </w:rPr>
      </w:pPr>
    </w:p>
    <w:p w:rsidR="00737C4E" w:rsidRDefault="00737C4E" w:rsidP="00AD6D25">
      <w:pPr>
        <w:spacing w:line="360" w:lineRule="auto"/>
        <w:ind w:right="-943"/>
        <w:rPr>
          <w:rFonts w:ascii="Palatino Linotype" w:eastAsia="Palatino Linotype" w:hAnsi="Palatino Linotype" w:cs="Palatino Linotype"/>
        </w:rPr>
      </w:pPr>
    </w:p>
    <w:p w:rsidR="00737C4E" w:rsidRDefault="00737C4E" w:rsidP="00AD6D25">
      <w:pPr>
        <w:spacing w:line="360" w:lineRule="auto"/>
        <w:ind w:right="-943"/>
        <w:rPr>
          <w:rFonts w:ascii="Palatino Linotype" w:eastAsia="Palatino Linotype" w:hAnsi="Palatino Linotype" w:cs="Palatino Linotype"/>
        </w:rPr>
      </w:pPr>
    </w:p>
    <w:p w:rsidR="00737C4E" w:rsidRDefault="00737C4E" w:rsidP="00AD6D25">
      <w:pPr>
        <w:spacing w:line="360" w:lineRule="auto"/>
        <w:ind w:right="-943"/>
        <w:rPr>
          <w:rFonts w:ascii="Palatino Linotype" w:eastAsia="Palatino Linotype" w:hAnsi="Palatino Linotype" w:cs="Palatino Linotype"/>
        </w:rPr>
      </w:pPr>
    </w:p>
    <w:p w:rsidR="00737C4E" w:rsidRDefault="00DE4E76" w:rsidP="00AD6D25">
      <w:pPr>
        <w:tabs>
          <w:tab w:val="left" w:pos="3374"/>
        </w:tabs>
        <w:spacing w:line="360" w:lineRule="auto"/>
        <w:ind w:right="-943"/>
        <w:rPr>
          <w:rFonts w:ascii="Palatino Linotype" w:eastAsia="Palatino Linotype" w:hAnsi="Palatino Linotype" w:cs="Palatino Linotype"/>
        </w:rPr>
      </w:pPr>
      <w:r>
        <w:rPr>
          <w:rFonts w:ascii="Palatino Linotype" w:eastAsia="Palatino Linotype" w:hAnsi="Palatino Linotype" w:cs="Palatino Linotype"/>
        </w:rPr>
        <w:tab/>
      </w: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tabs>
          <w:tab w:val="left" w:pos="3374"/>
        </w:tabs>
        <w:spacing w:line="360" w:lineRule="auto"/>
        <w:ind w:right="-929"/>
        <w:rPr>
          <w:rFonts w:ascii="Palatino Linotype" w:eastAsia="Palatino Linotype" w:hAnsi="Palatino Linotype" w:cs="Palatino Linotype"/>
        </w:rPr>
      </w:pPr>
    </w:p>
    <w:p w:rsidR="00737C4E" w:rsidRDefault="00737C4E">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p w:rsidR="00066A94" w:rsidRDefault="00066A94">
      <w:pPr>
        <w:spacing w:line="360" w:lineRule="auto"/>
        <w:ind w:right="-929"/>
        <w:rPr>
          <w:rFonts w:ascii="Palatino Linotype" w:eastAsia="Palatino Linotype" w:hAnsi="Palatino Linotype" w:cs="Palatino Linotype"/>
        </w:rPr>
      </w:pPr>
    </w:p>
    <w:sectPr w:rsidR="00066A94">
      <w:headerReference w:type="even" r:id="rId8"/>
      <w:headerReference w:type="default" r:id="rId9"/>
      <w:footerReference w:type="default" r:id="rId10"/>
      <w:headerReference w:type="first" r:id="rId11"/>
      <w:footerReference w:type="first" r:id="rId12"/>
      <w:pgSz w:w="12240" w:h="15840"/>
      <w:pgMar w:top="2268" w:right="170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0DCD" w:rsidRDefault="00C00DCD">
      <w:r>
        <w:separator/>
      </w:r>
    </w:p>
  </w:endnote>
  <w:endnote w:type="continuationSeparator" w:id="0">
    <w:p w:rsidR="00C00DCD" w:rsidRDefault="00C0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1C6235B0-B023-4DFD-BB75-EDF16ECF1A8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589F0321-BC26-484D-B154-11021D7DD1D3}"/>
    <w:embedBold r:id="rId3" w:fontKey="{41ABF78C-1A89-467A-B8F5-EC2F5CF7A005}"/>
    <w:embedItalic r:id="rId4" w:fontKey="{38A927AF-E72E-4582-93C4-72980901DAAB}"/>
    <w:embedBoldItalic r:id="rId5" w:fontKey="{066374E1-29E1-45CB-98CE-5E5A1DBA71C4}"/>
  </w:font>
  <w:font w:name="Calibri">
    <w:panose1 w:val="020F0502020204030204"/>
    <w:charset w:val="00"/>
    <w:family w:val="swiss"/>
    <w:pitch w:val="variable"/>
    <w:sig w:usb0="E4002EFF" w:usb1="C200247B" w:usb2="00000009" w:usb3="00000000" w:csb0="000001FF" w:csb1="00000000"/>
    <w:embedRegular r:id="rId6" w:fontKey="{EDBED2DE-C713-464A-8C9C-1B7C4C446606}"/>
    <w:embedBold r:id="rId7" w:fontKey="{098203F4-7C44-4907-AEBA-B08A80244A75}"/>
  </w:font>
  <w:font w:name="Georgia">
    <w:panose1 w:val="02040502050405020303"/>
    <w:charset w:val="00"/>
    <w:family w:val="roman"/>
    <w:pitch w:val="variable"/>
    <w:sig w:usb0="00000287" w:usb1="00000000" w:usb2="00000000" w:usb3="00000000" w:csb0="0000009F" w:csb1="00000000"/>
    <w:embedItalic r:id="rId8" w:fontKey="{9B89A0CC-C236-4CCC-8C76-E40122EA2BFB}"/>
  </w:font>
  <w:font w:name="Cambria">
    <w:panose1 w:val="02040503050406030204"/>
    <w:charset w:val="00"/>
    <w:family w:val="roman"/>
    <w:pitch w:val="variable"/>
    <w:sig w:usb0="E00006FF" w:usb1="420024FF" w:usb2="02000000" w:usb3="00000000" w:csb0="0000019F" w:csb1="00000000"/>
    <w:embedRegular r:id="rId9" w:fontKey="{557F1C00-944F-42DE-9526-A16D8081CD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4E" w:rsidRDefault="00DE4E7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442261">
      <w:rPr>
        <w:rFonts w:ascii="Palatino Linotype" w:eastAsia="Palatino Linotype" w:hAnsi="Palatino Linotype" w:cs="Palatino Linotype"/>
        <w:noProof/>
        <w:color w:val="000000"/>
        <w:sz w:val="22"/>
        <w:szCs w:val="22"/>
      </w:rPr>
      <w:t>5</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442261">
      <w:rPr>
        <w:rFonts w:ascii="Palatino Linotype" w:eastAsia="Palatino Linotype" w:hAnsi="Palatino Linotype" w:cs="Palatino Linotype"/>
        <w:noProof/>
        <w:color w:val="000000"/>
        <w:sz w:val="22"/>
        <w:szCs w:val="22"/>
      </w:rPr>
      <w:t>15</w:t>
    </w:r>
    <w:r>
      <w:rPr>
        <w:rFonts w:ascii="Palatino Linotype" w:eastAsia="Palatino Linotype" w:hAnsi="Palatino Linotype" w:cs="Palatino Linotype"/>
        <w:color w:val="000000"/>
        <w:sz w:val="22"/>
        <w:szCs w:val="22"/>
      </w:rPr>
      <w:fldChar w:fldCharType="end"/>
    </w:r>
  </w:p>
  <w:p w:rsidR="00737C4E" w:rsidRDefault="00737C4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4E" w:rsidRDefault="00DE4E7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442261">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442261">
      <w:rPr>
        <w:rFonts w:ascii="Palatino Linotype" w:eastAsia="Palatino Linotype" w:hAnsi="Palatino Linotype" w:cs="Palatino Linotype"/>
        <w:noProof/>
        <w:color w:val="000000"/>
        <w:sz w:val="22"/>
        <w:szCs w:val="22"/>
      </w:rPr>
      <w:t>15</w:t>
    </w:r>
    <w:r>
      <w:rPr>
        <w:rFonts w:ascii="Palatino Linotype" w:eastAsia="Palatino Linotype" w:hAnsi="Palatino Linotype" w:cs="Palatino Linotype"/>
        <w:color w:val="000000"/>
        <w:sz w:val="22"/>
        <w:szCs w:val="22"/>
      </w:rPr>
      <w:fldChar w:fldCharType="end"/>
    </w:r>
  </w:p>
  <w:p w:rsidR="00737C4E" w:rsidRDefault="00737C4E">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0DCD" w:rsidRDefault="00C00DCD">
      <w:r>
        <w:separator/>
      </w:r>
    </w:p>
  </w:footnote>
  <w:footnote w:type="continuationSeparator" w:id="0">
    <w:p w:rsidR="00C00DCD" w:rsidRDefault="00C00D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C4E" w:rsidRDefault="00C00DCD">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820" w:type="dxa"/>
      <w:tblInd w:w="2694" w:type="dxa"/>
      <w:tblLayout w:type="fixed"/>
      <w:tblLook w:val="0400" w:firstRow="0" w:lastRow="0" w:firstColumn="0" w:lastColumn="0" w:noHBand="0" w:noVBand="1"/>
    </w:tblPr>
    <w:tblGrid>
      <w:gridCol w:w="3510"/>
      <w:gridCol w:w="4310"/>
    </w:tblGrid>
    <w:tr w:rsidR="00737C4E" w:rsidTr="00066A94">
      <w:trPr>
        <w:trHeight w:val="227"/>
      </w:trPr>
      <w:tc>
        <w:tcPr>
          <w:tcW w:w="3510" w:type="dxa"/>
          <w:vAlign w:val="center"/>
        </w:tcPr>
        <w:p w:rsidR="00737C4E" w:rsidRDefault="00DE4E76">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10" w:type="dxa"/>
          <w:vAlign w:val="center"/>
        </w:tcPr>
        <w:p w:rsidR="00737C4E" w:rsidRDefault="00DE4E76">
          <w:pPr>
            <w:pBdr>
              <w:top w:val="nil"/>
              <w:left w:val="nil"/>
              <w:bottom w:val="nil"/>
              <w:right w:val="nil"/>
              <w:between w:val="nil"/>
            </w:pBdr>
            <w:tabs>
              <w:tab w:val="center" w:pos="4419"/>
              <w:tab w:val="right" w:pos="8838"/>
            </w:tabs>
            <w:ind w:right="61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12543/INFOEM/IP/RR/2025</w:t>
          </w:r>
        </w:p>
      </w:tc>
    </w:tr>
    <w:tr w:rsidR="00737C4E" w:rsidTr="00066A94">
      <w:trPr>
        <w:trHeight w:val="242"/>
      </w:trPr>
      <w:tc>
        <w:tcPr>
          <w:tcW w:w="3510" w:type="dxa"/>
          <w:vAlign w:val="center"/>
        </w:tcPr>
        <w:p w:rsidR="00737C4E" w:rsidRDefault="00DE4E76">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10" w:type="dxa"/>
          <w:vAlign w:val="center"/>
        </w:tcPr>
        <w:p w:rsidR="00737C4E" w:rsidRDefault="00DE4E76">
          <w:pPr>
            <w:pBdr>
              <w:top w:val="nil"/>
              <w:left w:val="nil"/>
              <w:bottom w:val="nil"/>
              <w:right w:val="nil"/>
              <w:between w:val="nil"/>
            </w:pBdr>
            <w:tabs>
              <w:tab w:val="center" w:pos="4419"/>
              <w:tab w:val="right" w:pos="8838"/>
            </w:tabs>
            <w:ind w:right="61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Secretaría Ejecutiva del Sistema Estatal Anticorrupción</w:t>
          </w:r>
        </w:p>
      </w:tc>
    </w:tr>
    <w:tr w:rsidR="00737C4E" w:rsidTr="00066A94">
      <w:trPr>
        <w:trHeight w:val="342"/>
      </w:trPr>
      <w:tc>
        <w:tcPr>
          <w:tcW w:w="3510" w:type="dxa"/>
          <w:vAlign w:val="center"/>
        </w:tcPr>
        <w:p w:rsidR="00737C4E" w:rsidRDefault="00DE4E76">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10" w:type="dxa"/>
          <w:vAlign w:val="center"/>
        </w:tcPr>
        <w:p w:rsidR="00737C4E" w:rsidRDefault="00DE4E76">
          <w:pPr>
            <w:pBdr>
              <w:top w:val="nil"/>
              <w:left w:val="nil"/>
              <w:bottom w:val="nil"/>
              <w:right w:val="nil"/>
              <w:between w:val="nil"/>
            </w:pBdr>
            <w:tabs>
              <w:tab w:val="center" w:pos="4419"/>
              <w:tab w:val="right" w:pos="8838"/>
            </w:tabs>
            <w:ind w:right="61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37C4E" w:rsidRDefault="00C00DCD">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95" w:type="dxa"/>
      <w:tblInd w:w="2552" w:type="dxa"/>
      <w:tblLayout w:type="fixed"/>
      <w:tblLook w:val="0400" w:firstRow="0" w:lastRow="0" w:firstColumn="0" w:lastColumn="0" w:noHBand="0" w:noVBand="1"/>
    </w:tblPr>
    <w:tblGrid>
      <w:gridCol w:w="3435"/>
      <w:gridCol w:w="4260"/>
    </w:tblGrid>
    <w:tr w:rsidR="00737C4E">
      <w:trPr>
        <w:trHeight w:val="227"/>
      </w:trPr>
      <w:tc>
        <w:tcPr>
          <w:tcW w:w="3435" w:type="dxa"/>
          <w:vAlign w:val="center"/>
        </w:tcPr>
        <w:p w:rsidR="00737C4E" w:rsidRDefault="00DE4E7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60" w:type="dxa"/>
          <w:vAlign w:val="center"/>
        </w:tcPr>
        <w:p w:rsidR="00737C4E" w:rsidRDefault="00DE4E7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12543/INFOEM/IP/RR/2025</w:t>
          </w:r>
        </w:p>
      </w:tc>
    </w:tr>
    <w:tr w:rsidR="00737C4E">
      <w:trPr>
        <w:trHeight w:val="242"/>
      </w:trPr>
      <w:tc>
        <w:tcPr>
          <w:tcW w:w="3435" w:type="dxa"/>
          <w:vAlign w:val="center"/>
        </w:tcPr>
        <w:p w:rsidR="00737C4E" w:rsidRDefault="00DE4E76">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60" w:type="dxa"/>
        </w:tcPr>
        <w:p w:rsidR="00737C4E" w:rsidRDefault="00442261">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737C4E">
      <w:trPr>
        <w:trHeight w:val="342"/>
      </w:trPr>
      <w:tc>
        <w:tcPr>
          <w:tcW w:w="3435" w:type="dxa"/>
          <w:vAlign w:val="center"/>
        </w:tcPr>
        <w:p w:rsidR="00737C4E" w:rsidRDefault="00DE4E76">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60" w:type="dxa"/>
          <w:vAlign w:val="center"/>
        </w:tcPr>
        <w:p w:rsidR="00737C4E" w:rsidRDefault="00DE4E7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Secretaría Ejecutiva del Sistema Estatal Anticorrupción</w:t>
          </w:r>
        </w:p>
      </w:tc>
    </w:tr>
    <w:tr w:rsidR="00737C4E">
      <w:trPr>
        <w:trHeight w:val="342"/>
      </w:trPr>
      <w:tc>
        <w:tcPr>
          <w:tcW w:w="3435" w:type="dxa"/>
          <w:vAlign w:val="center"/>
        </w:tcPr>
        <w:p w:rsidR="00737C4E" w:rsidRDefault="00DE4E76">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60" w:type="dxa"/>
          <w:vAlign w:val="center"/>
        </w:tcPr>
        <w:p w:rsidR="00737C4E" w:rsidRDefault="00DE4E76">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737C4E" w:rsidRDefault="00C00DCD">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20C91"/>
    <w:multiLevelType w:val="multilevel"/>
    <w:tmpl w:val="790076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1C080B96"/>
    <w:multiLevelType w:val="multilevel"/>
    <w:tmpl w:val="64E4E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CB5735"/>
    <w:multiLevelType w:val="multilevel"/>
    <w:tmpl w:val="B39E6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FF3877"/>
    <w:multiLevelType w:val="multilevel"/>
    <w:tmpl w:val="FA4E3B7E"/>
    <w:lvl w:ilvl="0">
      <w:start w:val="1"/>
      <w:numFmt w:val="decimal"/>
      <w:lvlText w:val="%1."/>
      <w:lvlJc w:val="left"/>
      <w:pPr>
        <w:ind w:left="644" w:hanging="359"/>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F959E8"/>
    <w:multiLevelType w:val="multilevel"/>
    <w:tmpl w:val="B1186B26"/>
    <w:lvl w:ilvl="0">
      <w:start w:val="1"/>
      <w:numFmt w:val="lowerLetter"/>
      <w:lvlText w:val="%1)"/>
      <w:lvlJc w:val="lef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546E5596"/>
    <w:multiLevelType w:val="multilevel"/>
    <w:tmpl w:val="6B80845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6" w15:restartNumberingAfterBreak="0">
    <w:nsid w:val="56B82C29"/>
    <w:multiLevelType w:val="multilevel"/>
    <w:tmpl w:val="97BEE5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5"/>
  </w:num>
  <w:num w:numId="3">
    <w:abstractNumId w:val="4"/>
  </w:num>
  <w:num w:numId="4">
    <w:abstractNumId w:val="0"/>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C4E"/>
    <w:rsid w:val="00066A94"/>
    <w:rsid w:val="00442261"/>
    <w:rsid w:val="0055513B"/>
    <w:rsid w:val="00737C4E"/>
    <w:rsid w:val="00937EBF"/>
    <w:rsid w:val="00A163D7"/>
    <w:rsid w:val="00AD6D25"/>
    <w:rsid w:val="00C00DCD"/>
    <w:rsid w:val="00C0541F"/>
    <w:rsid w:val="00C25F6E"/>
    <w:rsid w:val="00DC5F8C"/>
    <w:rsid w:val="00DE4E76"/>
    <w:rsid w:val="00F93D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18BD5150-F9C8-4D93-99D4-07CAF40CA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AD6D25"/>
    <w:pPr>
      <w:tabs>
        <w:tab w:val="center" w:pos="4419"/>
        <w:tab w:val="right" w:pos="8838"/>
      </w:tabs>
    </w:pPr>
  </w:style>
  <w:style w:type="character" w:customStyle="1" w:styleId="PiedepginaCar">
    <w:name w:val="Pie de página Car"/>
    <w:basedOn w:val="Fuentedeprrafopredeter"/>
    <w:link w:val="Piedepgina"/>
    <w:uiPriority w:val="99"/>
    <w:rsid w:val="00AD6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cm66AkJKFchsuzRmhSuVHAs9OQ==">CgMxLjAyCGguZ2pkZ3hzMgloLjMwajB6bGwyCWguM3pueXNoNzIJaC4yZXQ5MnAwMghoLnR5amN3dDIOaC55ZjBmdGFpNHppaTQyDmgubGhyNTF3MnJ3bjR2Mg5oLnVsYmVheTNqcHV4dTgAciExVWRwRkp4Yjl6cEEzZTVhZnZZOTNzMnhsampVLUNuLUQ=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3102</Words>
  <Characters>17066</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8</cp:revision>
  <cp:lastPrinted>2026-05-29T00:16:00Z</cp:lastPrinted>
  <dcterms:created xsi:type="dcterms:W3CDTF">2026-05-25T17:52:00Z</dcterms:created>
  <dcterms:modified xsi:type="dcterms:W3CDTF">2026-06-03T00:13:00Z</dcterms:modified>
</cp:coreProperties>
</file>