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0C529D" w14:textId="17B08BAF" w:rsidR="00A24DC9" w:rsidRPr="009752B0" w:rsidRDefault="00041B74">
      <w:pPr>
        <w:shd w:val="clear" w:color="auto" w:fill="FFFFFF"/>
        <w:spacing w:line="360" w:lineRule="auto"/>
        <w:jc w:val="both"/>
        <w:rPr>
          <w:rFonts w:ascii="Palatino Linotype" w:eastAsia="Palatino Linotype" w:hAnsi="Palatino Linotype" w:cs="Palatino Linotype"/>
          <w:color w:val="000000"/>
        </w:rPr>
      </w:pPr>
      <w:r w:rsidRPr="009752B0">
        <w:rPr>
          <w:rFonts w:ascii="Palatino Linotype" w:eastAsia="Palatino Linotype" w:hAnsi="Palatino Linotype" w:cs="Palatino Linotype"/>
          <w:color w:val="000000"/>
        </w:rPr>
        <w:t xml:space="preserve">BResolución del Pleno del Instituto de Transparencia, Acceso a la Información Pública y Protección de Datos Personales del Estado de México y Municipios, con domicilio en Metepec, Estado de México, a </w:t>
      </w:r>
      <w:r w:rsidRPr="009752B0">
        <w:rPr>
          <w:rFonts w:ascii="Palatino Linotype" w:eastAsia="Palatino Linotype" w:hAnsi="Palatino Linotype" w:cs="Palatino Linotype"/>
          <w:b/>
          <w:bCs/>
          <w:color w:val="000000"/>
        </w:rPr>
        <w:t>veinticinco de febrero de dos mil veintiséis</w:t>
      </w:r>
      <w:r w:rsidRPr="009752B0">
        <w:rPr>
          <w:rFonts w:ascii="Palatino Linotype" w:eastAsia="Palatino Linotype" w:hAnsi="Palatino Linotype" w:cs="Palatino Linotype"/>
          <w:color w:val="000000"/>
        </w:rPr>
        <w:t>.</w:t>
      </w:r>
    </w:p>
    <w:p w14:paraId="79CA142B" w14:textId="77777777" w:rsidR="00A24DC9" w:rsidRPr="009752B0" w:rsidRDefault="00A24DC9">
      <w:pPr>
        <w:shd w:val="clear" w:color="auto" w:fill="FFFFFF"/>
        <w:spacing w:line="360" w:lineRule="auto"/>
        <w:jc w:val="both"/>
        <w:rPr>
          <w:rFonts w:ascii="Palatino Linotype" w:eastAsia="Palatino Linotype" w:hAnsi="Palatino Linotype" w:cs="Palatino Linotype"/>
          <w:color w:val="000000"/>
        </w:rPr>
      </w:pPr>
    </w:p>
    <w:p w14:paraId="5874AC3B" w14:textId="73196CA1" w:rsidR="00A24DC9" w:rsidRPr="009752B0" w:rsidRDefault="00A561CA">
      <w:pPr>
        <w:tabs>
          <w:tab w:val="left" w:pos="1701"/>
        </w:tabs>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b/>
          <w:bCs/>
        </w:rPr>
        <w:t>VISTO</w:t>
      </w:r>
      <w:r w:rsidRPr="009752B0">
        <w:rPr>
          <w:rFonts w:ascii="Palatino Linotype" w:eastAsia="Palatino Linotype" w:hAnsi="Palatino Linotype" w:cs="Palatino Linotype"/>
        </w:rPr>
        <w:t xml:space="preserve"> el expediente electrónico formado con motivo del recurso de revisión número </w:t>
      </w:r>
      <w:bookmarkStart w:id="0" w:name="_GoBack"/>
      <w:r w:rsidRPr="009752B0">
        <w:rPr>
          <w:rFonts w:ascii="Palatino Linotype" w:eastAsia="Palatino Linotype" w:hAnsi="Palatino Linotype" w:cs="Palatino Linotype"/>
          <w:b/>
          <w:bCs/>
        </w:rPr>
        <w:t>12975/INFOEM/IP/RR/2025</w:t>
      </w:r>
      <w:bookmarkEnd w:id="0"/>
      <w:r w:rsidRPr="009752B0">
        <w:rPr>
          <w:rFonts w:ascii="Palatino Linotype" w:eastAsia="Palatino Linotype" w:hAnsi="Palatino Linotype" w:cs="Palatino Linotype"/>
        </w:rPr>
        <w:t xml:space="preserve">, interpuesto por </w:t>
      </w:r>
      <w:r w:rsidR="007A6319">
        <w:rPr>
          <w:rFonts w:ascii="Palatino Linotype" w:eastAsia="Palatino Linotype" w:hAnsi="Palatino Linotype" w:cs="Palatino Linotype"/>
          <w:b/>
          <w:bCs/>
        </w:rPr>
        <w:t>XXXXXXXXXXXXXXXXXXXXXX</w:t>
      </w:r>
      <w:r w:rsidRPr="009752B0">
        <w:rPr>
          <w:rFonts w:ascii="Palatino Linotype" w:eastAsia="Palatino Linotype" w:hAnsi="Palatino Linotype" w:cs="Palatino Linotype"/>
          <w:b/>
          <w:bCs/>
        </w:rPr>
        <w:t xml:space="preserve"> </w:t>
      </w:r>
      <w:r w:rsidR="007A6319">
        <w:rPr>
          <w:rFonts w:ascii="Palatino Linotype" w:eastAsia="Palatino Linotype" w:hAnsi="Palatino Linotype" w:cs="Palatino Linotype"/>
          <w:b/>
          <w:bCs/>
        </w:rPr>
        <w:t>XXXXX</w:t>
      </w:r>
      <w:r w:rsidRPr="009752B0">
        <w:rPr>
          <w:rFonts w:ascii="Palatino Linotype" w:eastAsia="Palatino Linotype" w:hAnsi="Palatino Linotype" w:cs="Palatino Linotype"/>
        </w:rPr>
        <w:t>,</w:t>
      </w:r>
      <w:r w:rsidRPr="009752B0">
        <w:rPr>
          <w:rFonts w:ascii="Palatino Linotype" w:eastAsia="Palatino Linotype" w:hAnsi="Palatino Linotype" w:cs="Palatino Linotype"/>
          <w:b/>
          <w:bCs/>
        </w:rPr>
        <w:t xml:space="preserve"> </w:t>
      </w:r>
      <w:r w:rsidRPr="009752B0">
        <w:rPr>
          <w:rFonts w:ascii="Palatino Linotype" w:eastAsia="Palatino Linotype" w:hAnsi="Palatino Linotype" w:cs="Palatino Linotype"/>
        </w:rPr>
        <w:t xml:space="preserve">en lo sucesivo </w:t>
      </w:r>
      <w:r w:rsidRPr="009752B0">
        <w:rPr>
          <w:rFonts w:ascii="Palatino Linotype" w:eastAsia="Palatino Linotype" w:hAnsi="Palatino Linotype" w:cs="Palatino Linotype"/>
          <w:b/>
          <w:bCs/>
        </w:rPr>
        <w:t>El Recurrente</w:t>
      </w:r>
      <w:r w:rsidRPr="009752B0">
        <w:rPr>
          <w:rFonts w:ascii="Palatino Linotype" w:eastAsia="Palatino Linotype" w:hAnsi="Palatino Linotype" w:cs="Palatino Linotype"/>
        </w:rPr>
        <w:t xml:space="preserve">, en contra de la respuesta del </w:t>
      </w:r>
      <w:r w:rsidRPr="009752B0">
        <w:rPr>
          <w:rFonts w:ascii="Palatino Linotype" w:eastAsia="Palatino Linotype" w:hAnsi="Palatino Linotype" w:cs="Palatino Linotype"/>
          <w:b/>
          <w:bCs/>
          <w:color w:val="000000"/>
        </w:rPr>
        <w:t>Ayuntamiento de Ecatepec de Morelos</w:t>
      </w:r>
      <w:r w:rsidRPr="009752B0">
        <w:rPr>
          <w:rFonts w:ascii="Palatino Linotype" w:eastAsia="Palatino Linotype" w:hAnsi="Palatino Linotype" w:cs="Palatino Linotype"/>
        </w:rPr>
        <w:t>,</w:t>
      </w:r>
      <w:r w:rsidRPr="009752B0">
        <w:rPr>
          <w:rFonts w:ascii="Palatino Linotype" w:eastAsia="Palatino Linotype" w:hAnsi="Palatino Linotype" w:cs="Palatino Linotype"/>
          <w:b/>
          <w:bCs/>
        </w:rPr>
        <w:t xml:space="preserve"> </w:t>
      </w:r>
      <w:r w:rsidRPr="009752B0">
        <w:rPr>
          <w:rFonts w:ascii="Palatino Linotype" w:eastAsia="Palatino Linotype" w:hAnsi="Palatino Linotype" w:cs="Palatino Linotype"/>
        </w:rPr>
        <w:t>en lo subsecuente</w:t>
      </w:r>
      <w:r w:rsidRPr="009752B0">
        <w:rPr>
          <w:rFonts w:ascii="Palatino Linotype" w:eastAsia="Palatino Linotype" w:hAnsi="Palatino Linotype" w:cs="Palatino Linotype"/>
          <w:b/>
          <w:bCs/>
        </w:rPr>
        <w:t xml:space="preserve"> El Sujeto Obligado, </w:t>
      </w:r>
      <w:r w:rsidRPr="009752B0">
        <w:rPr>
          <w:rFonts w:ascii="Palatino Linotype" w:eastAsia="Palatino Linotype" w:hAnsi="Palatino Linotype" w:cs="Palatino Linotype"/>
        </w:rPr>
        <w:t>se procede a dictar la presente resolución.</w:t>
      </w:r>
    </w:p>
    <w:p w14:paraId="0F0041F5" w14:textId="77777777" w:rsidR="00A24DC9" w:rsidRPr="009752B0" w:rsidRDefault="00A24DC9">
      <w:pPr>
        <w:tabs>
          <w:tab w:val="left" w:pos="1701"/>
        </w:tabs>
        <w:spacing w:line="360" w:lineRule="auto"/>
        <w:jc w:val="both"/>
        <w:rPr>
          <w:rFonts w:ascii="Palatino Linotype" w:eastAsia="Palatino Linotype" w:hAnsi="Palatino Linotype" w:cs="Palatino Linotype"/>
          <w:b/>
          <w:bCs/>
          <w:sz w:val="20"/>
          <w:szCs w:val="20"/>
        </w:rPr>
      </w:pPr>
    </w:p>
    <w:p w14:paraId="17EF0469" w14:textId="77777777" w:rsidR="00A24DC9" w:rsidRPr="009752B0" w:rsidRDefault="00A24DC9">
      <w:pPr>
        <w:tabs>
          <w:tab w:val="left" w:pos="1701"/>
        </w:tabs>
        <w:spacing w:line="360" w:lineRule="auto"/>
        <w:jc w:val="both"/>
        <w:rPr>
          <w:rFonts w:ascii="Palatino Linotype" w:eastAsia="Palatino Linotype" w:hAnsi="Palatino Linotype" w:cs="Palatino Linotype"/>
          <w:b/>
          <w:bCs/>
          <w:sz w:val="20"/>
          <w:szCs w:val="20"/>
        </w:rPr>
      </w:pPr>
    </w:p>
    <w:p w14:paraId="4788F0A8" w14:textId="77777777" w:rsidR="00A24DC9" w:rsidRPr="009752B0" w:rsidRDefault="00A561CA">
      <w:pPr>
        <w:spacing w:line="360" w:lineRule="auto"/>
        <w:jc w:val="center"/>
        <w:rPr>
          <w:rFonts w:ascii="Palatino Linotype" w:eastAsia="Palatino Linotype" w:hAnsi="Palatino Linotype" w:cs="Palatino Linotype"/>
          <w:b/>
          <w:bCs/>
          <w:sz w:val="28"/>
          <w:szCs w:val="28"/>
        </w:rPr>
      </w:pPr>
      <w:r w:rsidRPr="009752B0">
        <w:rPr>
          <w:rFonts w:ascii="Palatino Linotype" w:eastAsia="Palatino Linotype" w:hAnsi="Palatino Linotype" w:cs="Palatino Linotype"/>
          <w:b/>
          <w:bCs/>
          <w:sz w:val="28"/>
          <w:szCs w:val="28"/>
        </w:rPr>
        <w:t>A N T E C E D E N T E S</w:t>
      </w:r>
    </w:p>
    <w:p w14:paraId="6B8545EE" w14:textId="77777777" w:rsidR="00A24DC9" w:rsidRPr="009752B0" w:rsidRDefault="00A24DC9">
      <w:pPr>
        <w:spacing w:line="360" w:lineRule="auto"/>
        <w:jc w:val="center"/>
        <w:rPr>
          <w:rFonts w:ascii="Palatino Linotype" w:eastAsia="Palatino Linotype" w:hAnsi="Palatino Linotype" w:cs="Palatino Linotype"/>
          <w:b/>
          <w:bCs/>
        </w:rPr>
      </w:pPr>
    </w:p>
    <w:p w14:paraId="72D8A0B0" w14:textId="77777777" w:rsidR="00A24DC9" w:rsidRPr="009752B0" w:rsidRDefault="00A24DC9">
      <w:pPr>
        <w:spacing w:line="360" w:lineRule="auto"/>
        <w:jc w:val="center"/>
        <w:rPr>
          <w:rFonts w:ascii="Palatino Linotype" w:eastAsia="Palatino Linotype" w:hAnsi="Palatino Linotype" w:cs="Palatino Linotype"/>
          <w:b/>
          <w:bCs/>
        </w:rPr>
      </w:pPr>
    </w:p>
    <w:p w14:paraId="7B99690F" w14:textId="77777777" w:rsidR="00A24DC9" w:rsidRPr="009752B0" w:rsidRDefault="00A561CA">
      <w:pPr>
        <w:spacing w:line="360" w:lineRule="auto"/>
        <w:jc w:val="both"/>
        <w:rPr>
          <w:rFonts w:ascii="Palatino Linotype" w:eastAsia="Palatino Linotype" w:hAnsi="Palatino Linotype" w:cs="Palatino Linotype"/>
          <w:b/>
          <w:bCs/>
          <w:sz w:val="28"/>
          <w:szCs w:val="28"/>
        </w:rPr>
      </w:pPr>
      <w:r w:rsidRPr="009752B0">
        <w:rPr>
          <w:rFonts w:ascii="Palatino Linotype" w:eastAsia="Palatino Linotype" w:hAnsi="Palatino Linotype" w:cs="Palatino Linotype"/>
          <w:b/>
          <w:bCs/>
          <w:sz w:val="28"/>
          <w:szCs w:val="28"/>
        </w:rPr>
        <w:t>PRIMERO. De la solicitud de información.</w:t>
      </w:r>
    </w:p>
    <w:p w14:paraId="47605EA8" w14:textId="77777777" w:rsidR="00A24DC9" w:rsidRPr="009752B0" w:rsidRDefault="00A561CA">
      <w:pPr>
        <w:spacing w:after="160"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En fecha quince de octubre de dos mil veinticinco, el </w:t>
      </w:r>
      <w:r w:rsidRPr="009752B0">
        <w:rPr>
          <w:rFonts w:ascii="Palatino Linotype" w:eastAsia="Palatino Linotype" w:hAnsi="Palatino Linotype" w:cs="Palatino Linotype"/>
          <w:b/>
          <w:bCs/>
        </w:rPr>
        <w:t>Recurrente</w:t>
      </w:r>
      <w:r w:rsidRPr="009752B0">
        <w:rPr>
          <w:rFonts w:ascii="Palatino Linotype" w:eastAsia="Palatino Linotype" w:hAnsi="Palatino Linotype" w:cs="Palatino Linotype"/>
        </w:rPr>
        <w:t xml:space="preserve">, presentó a través del Sistema de Acceso a la Información Mexiquense </w:t>
      </w:r>
      <w:r w:rsidRPr="009752B0">
        <w:rPr>
          <w:rFonts w:ascii="Palatino Linotype" w:eastAsia="Palatino Linotype" w:hAnsi="Palatino Linotype" w:cs="Palatino Linotype"/>
          <w:b/>
          <w:bCs/>
        </w:rPr>
        <w:t>(SAIMEX),</w:t>
      </w:r>
      <w:r w:rsidRPr="009752B0">
        <w:rPr>
          <w:rFonts w:ascii="Palatino Linotype" w:eastAsia="Palatino Linotype" w:hAnsi="Palatino Linotype" w:cs="Palatino Linotype"/>
        </w:rPr>
        <w:t xml:space="preserve"> ante el </w:t>
      </w:r>
      <w:r w:rsidRPr="009752B0">
        <w:rPr>
          <w:rFonts w:ascii="Palatino Linotype" w:eastAsia="Palatino Linotype" w:hAnsi="Palatino Linotype" w:cs="Palatino Linotype"/>
          <w:b/>
          <w:bCs/>
        </w:rPr>
        <w:t>Sujeto Obligado</w:t>
      </w:r>
      <w:r w:rsidRPr="009752B0">
        <w:rPr>
          <w:rFonts w:ascii="Palatino Linotype" w:eastAsia="Palatino Linotype" w:hAnsi="Palatino Linotype" w:cs="Palatino Linotype"/>
        </w:rPr>
        <w:t xml:space="preserve">, la solicitud de acceso a la información pública, a la que se le asignó el número de expediente </w:t>
      </w:r>
      <w:r w:rsidRPr="009752B0">
        <w:rPr>
          <w:rFonts w:ascii="Palatino Linotype" w:eastAsia="Palatino Linotype" w:hAnsi="Palatino Linotype" w:cs="Palatino Linotype"/>
          <w:b/>
          <w:bCs/>
        </w:rPr>
        <w:t>00833/ECATEPEC/IP/2025</w:t>
      </w:r>
      <w:r w:rsidRPr="009752B0">
        <w:rPr>
          <w:rFonts w:ascii="Palatino Linotype" w:eastAsia="Palatino Linotype" w:hAnsi="Palatino Linotype" w:cs="Palatino Linotype"/>
        </w:rPr>
        <w:t>, mediante la cual solicitó lo siguiente:</w:t>
      </w:r>
    </w:p>
    <w:p w14:paraId="571C36C2" w14:textId="77777777" w:rsidR="00A24DC9" w:rsidRPr="009752B0" w:rsidRDefault="00A561CA">
      <w:pPr>
        <w:spacing w:after="160" w:line="276" w:lineRule="auto"/>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rPr>
        <w:t>“</w:t>
      </w:r>
      <w:r w:rsidRPr="009752B0">
        <w:rPr>
          <w:rFonts w:ascii="Palatino Linotype" w:eastAsia="Palatino Linotype" w:hAnsi="Palatino Linotype" w:cs="Palatino Linotype"/>
          <w:i/>
          <w:iCs/>
          <w:color w:val="000000"/>
        </w:rPr>
        <w:t xml:space="preserve">En el OFICIO No. DPCB/ECA/1368/2025 de fecha 03 de junio de 2025, dirigido al C. Luis Ángel Hernández Soto, Titular de la Unidad de Transparencia, suscrito por el C. Ing. Juan Jesús Clara González, Director de Protección Civil y Bomberos, se cita: "Por lo que se está en espera del oficio de seguimiento y continuidad por </w:t>
      </w:r>
      <w:r w:rsidRPr="009752B0">
        <w:rPr>
          <w:rFonts w:ascii="Palatino Linotype" w:eastAsia="Palatino Linotype" w:hAnsi="Palatino Linotype" w:cs="Palatino Linotype"/>
          <w:i/>
          <w:iCs/>
          <w:color w:val="000000"/>
        </w:rPr>
        <w:lastRenderedPageBreak/>
        <w:t>parte de la Dirección de Medio Ambiente y Ecología." En los archivos físicos y/o electrónicos, del Municipio de Ecatepec de Morelos, se cuenta con información sobre el seguimiento y continuidad de parte de la Dirección de Medio Ambiente y Ecología a 16 de octubre de 2025.</w:t>
      </w:r>
      <w:r w:rsidRPr="009752B0">
        <w:rPr>
          <w:rFonts w:ascii="Palatino Linotype" w:eastAsia="Palatino Linotype" w:hAnsi="Palatino Linotype" w:cs="Palatino Linotype"/>
          <w:i/>
          <w:iCs/>
        </w:rPr>
        <w:t>”</w:t>
      </w:r>
      <w:r w:rsidRPr="009752B0">
        <w:rPr>
          <w:rFonts w:ascii="Palatino Linotype" w:eastAsia="Palatino Linotype" w:hAnsi="Palatino Linotype" w:cs="Palatino Linotype"/>
          <w:i/>
          <w:iCs/>
          <w:sz w:val="22"/>
          <w:szCs w:val="22"/>
        </w:rPr>
        <w:t xml:space="preserve"> (Sic).</w:t>
      </w:r>
    </w:p>
    <w:p w14:paraId="706DA79C" w14:textId="77777777" w:rsidR="00A24DC9" w:rsidRPr="009752B0" w:rsidRDefault="00A24DC9">
      <w:pPr>
        <w:rPr>
          <w:sz w:val="16"/>
          <w:szCs w:val="16"/>
        </w:rPr>
      </w:pPr>
    </w:p>
    <w:p w14:paraId="39C40488" w14:textId="77777777" w:rsidR="00A24DC9" w:rsidRPr="009752B0" w:rsidRDefault="00A24DC9">
      <w:pPr>
        <w:spacing w:after="160" w:line="259" w:lineRule="auto"/>
        <w:rPr>
          <w:rFonts w:ascii="Calibri" w:eastAsia="Calibri" w:hAnsi="Calibri" w:cs="Calibri"/>
          <w:sz w:val="22"/>
          <w:szCs w:val="22"/>
        </w:rPr>
      </w:pPr>
    </w:p>
    <w:p w14:paraId="2FEEAECC" w14:textId="77777777" w:rsidR="00A24DC9" w:rsidRPr="009752B0" w:rsidRDefault="00A561CA">
      <w:pPr>
        <w:tabs>
          <w:tab w:val="left" w:pos="5647"/>
        </w:tabs>
        <w:spacing w:line="360" w:lineRule="auto"/>
        <w:ind w:right="850"/>
        <w:jc w:val="both"/>
        <w:rPr>
          <w:rFonts w:ascii="Palatino Linotype" w:eastAsia="Palatino Linotype" w:hAnsi="Palatino Linotype" w:cs="Palatino Linotype"/>
          <w:color w:val="000000"/>
        </w:rPr>
      </w:pPr>
      <w:r w:rsidRPr="009752B0">
        <w:rPr>
          <w:rFonts w:ascii="Palatino Linotype" w:eastAsia="Palatino Linotype" w:hAnsi="Palatino Linotype" w:cs="Palatino Linotype"/>
          <w:b/>
          <w:bCs/>
        </w:rPr>
        <w:t>MODALIDAD DE ENTREGA:</w:t>
      </w:r>
      <w:r w:rsidRPr="009752B0">
        <w:rPr>
          <w:rFonts w:ascii="Palatino Linotype" w:eastAsia="Palatino Linotype" w:hAnsi="Palatino Linotype" w:cs="Palatino Linotype"/>
        </w:rPr>
        <w:t xml:space="preserve"> </w:t>
      </w:r>
      <w:r w:rsidRPr="009752B0">
        <w:rPr>
          <w:rFonts w:ascii="Palatino Linotype" w:eastAsia="Palatino Linotype" w:hAnsi="Palatino Linotype" w:cs="Palatino Linotype"/>
          <w:color w:val="000000"/>
        </w:rPr>
        <w:t xml:space="preserve">A través del </w:t>
      </w:r>
      <w:r w:rsidRPr="009752B0">
        <w:rPr>
          <w:rFonts w:ascii="Palatino Linotype" w:eastAsia="Palatino Linotype" w:hAnsi="Palatino Linotype" w:cs="Palatino Linotype"/>
          <w:b/>
          <w:bCs/>
          <w:color w:val="000000"/>
        </w:rPr>
        <w:t>SAIMEX</w:t>
      </w:r>
      <w:r w:rsidRPr="009752B0">
        <w:rPr>
          <w:rFonts w:ascii="Palatino Linotype" w:eastAsia="Palatino Linotype" w:hAnsi="Palatino Linotype" w:cs="Palatino Linotype"/>
          <w:color w:val="000000"/>
        </w:rPr>
        <w:t>.</w:t>
      </w:r>
    </w:p>
    <w:p w14:paraId="72B49655" w14:textId="77777777" w:rsidR="00A24DC9" w:rsidRPr="009752B0" w:rsidRDefault="00A24DC9">
      <w:pPr>
        <w:tabs>
          <w:tab w:val="left" w:pos="5647"/>
        </w:tabs>
        <w:spacing w:line="360" w:lineRule="auto"/>
        <w:ind w:right="850"/>
        <w:jc w:val="both"/>
        <w:rPr>
          <w:rFonts w:ascii="Palatino Linotype" w:eastAsia="Palatino Linotype" w:hAnsi="Palatino Linotype" w:cs="Palatino Linotype"/>
          <w:color w:val="000000"/>
        </w:rPr>
      </w:pPr>
    </w:p>
    <w:p w14:paraId="14F82CFF" w14:textId="77777777" w:rsidR="00A24DC9" w:rsidRPr="009752B0" w:rsidRDefault="00A24DC9">
      <w:pPr>
        <w:tabs>
          <w:tab w:val="left" w:pos="5647"/>
        </w:tabs>
        <w:spacing w:line="360" w:lineRule="auto"/>
        <w:ind w:right="850"/>
        <w:jc w:val="both"/>
        <w:rPr>
          <w:rFonts w:ascii="Palatino Linotype" w:eastAsia="Palatino Linotype" w:hAnsi="Palatino Linotype" w:cs="Palatino Linotype"/>
          <w:color w:val="000000"/>
        </w:rPr>
      </w:pPr>
    </w:p>
    <w:p w14:paraId="0FE2FEB1" w14:textId="77777777" w:rsidR="00A24DC9" w:rsidRPr="009752B0" w:rsidRDefault="00A561CA">
      <w:pPr>
        <w:spacing w:line="360" w:lineRule="auto"/>
        <w:jc w:val="both"/>
        <w:rPr>
          <w:rFonts w:ascii="Palatino Linotype" w:eastAsia="Palatino Linotype" w:hAnsi="Palatino Linotype" w:cs="Palatino Linotype"/>
          <w:b/>
          <w:bCs/>
          <w:sz w:val="28"/>
          <w:szCs w:val="28"/>
        </w:rPr>
      </w:pPr>
      <w:r w:rsidRPr="009752B0">
        <w:rPr>
          <w:rFonts w:ascii="Palatino Linotype" w:eastAsia="Palatino Linotype" w:hAnsi="Palatino Linotype" w:cs="Palatino Linotype"/>
          <w:b/>
          <w:bCs/>
          <w:sz w:val="28"/>
          <w:szCs w:val="28"/>
        </w:rPr>
        <w:t xml:space="preserve">SEGUNDO. De la respuesta del Sujeto Obligado. </w:t>
      </w:r>
    </w:p>
    <w:p w14:paraId="12518DCB"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De las constancias que obran en el sistema </w:t>
      </w:r>
      <w:r w:rsidRPr="009752B0">
        <w:rPr>
          <w:rFonts w:ascii="Palatino Linotype" w:eastAsia="Palatino Linotype" w:hAnsi="Palatino Linotype" w:cs="Palatino Linotype"/>
          <w:b/>
          <w:bCs/>
        </w:rPr>
        <w:t>SAIMEX</w:t>
      </w:r>
      <w:r w:rsidRPr="009752B0">
        <w:rPr>
          <w:rFonts w:ascii="Palatino Linotype" w:eastAsia="Palatino Linotype" w:hAnsi="Palatino Linotype" w:cs="Palatino Linotype"/>
        </w:rPr>
        <w:t xml:space="preserve">, se advierte que en fecha veintidós de octubre de dos mil veinticinco, </w:t>
      </w:r>
      <w:r w:rsidRPr="009752B0">
        <w:rPr>
          <w:rFonts w:ascii="Palatino Linotype" w:eastAsia="Palatino Linotype" w:hAnsi="Palatino Linotype" w:cs="Palatino Linotype"/>
          <w:b/>
          <w:bCs/>
        </w:rPr>
        <w:t>El Sujeto Obligado</w:t>
      </w:r>
      <w:r w:rsidRPr="009752B0">
        <w:rPr>
          <w:rFonts w:ascii="Palatino Linotype" w:eastAsia="Palatino Linotype" w:hAnsi="Palatino Linotype" w:cs="Palatino Linotype"/>
        </w:rPr>
        <w:t xml:space="preserve"> emitió su respuesta en los siguientes términos:</w:t>
      </w:r>
    </w:p>
    <w:tbl>
      <w:tblPr>
        <w:tblStyle w:val="3"/>
        <w:tblW w:w="6882" w:type="dxa"/>
        <w:jc w:val="center"/>
        <w:tblInd w:w="0" w:type="dxa"/>
        <w:tblLayout w:type="fixed"/>
        <w:tblLook w:val="0400" w:firstRow="0" w:lastRow="0" w:firstColumn="0" w:lastColumn="0" w:noHBand="0" w:noVBand="1"/>
      </w:tblPr>
      <w:tblGrid>
        <w:gridCol w:w="6882"/>
      </w:tblGrid>
      <w:tr w:rsidR="00A24DC9" w:rsidRPr="009752B0" w14:paraId="291024AD" w14:textId="77777777">
        <w:trPr>
          <w:trHeight w:val="269"/>
          <w:jc w:val="center"/>
        </w:trPr>
        <w:tc>
          <w:tcPr>
            <w:tcW w:w="6882" w:type="dxa"/>
            <w:vAlign w:val="center"/>
          </w:tcPr>
          <w:p w14:paraId="5DB94EC8" w14:textId="77777777" w:rsidR="00A24DC9" w:rsidRPr="009752B0" w:rsidRDefault="00A561CA">
            <w:pPr>
              <w:jc w:val="right"/>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Ecatepec de Morelos, México a 22 de Octubre de 2025</w:t>
            </w:r>
          </w:p>
        </w:tc>
      </w:tr>
      <w:tr w:rsidR="00A24DC9" w:rsidRPr="009752B0" w14:paraId="3B24032A" w14:textId="77777777">
        <w:trPr>
          <w:trHeight w:val="269"/>
          <w:jc w:val="center"/>
        </w:trPr>
        <w:tc>
          <w:tcPr>
            <w:tcW w:w="6882" w:type="dxa"/>
            <w:vAlign w:val="center"/>
          </w:tcPr>
          <w:p w14:paraId="6B5BC867" w14:textId="77777777" w:rsidR="00A24DC9" w:rsidRPr="009752B0" w:rsidRDefault="00A561CA">
            <w:pPr>
              <w:jc w:val="right"/>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Nombre del solicitante: C. Solicitante</w:t>
            </w:r>
          </w:p>
        </w:tc>
      </w:tr>
      <w:tr w:rsidR="00A24DC9" w:rsidRPr="009752B0" w14:paraId="0C2B4F4F" w14:textId="77777777">
        <w:trPr>
          <w:trHeight w:val="269"/>
          <w:jc w:val="center"/>
        </w:trPr>
        <w:tc>
          <w:tcPr>
            <w:tcW w:w="6882" w:type="dxa"/>
            <w:vAlign w:val="center"/>
          </w:tcPr>
          <w:p w14:paraId="6F9A43E3" w14:textId="77777777" w:rsidR="00A24DC9" w:rsidRPr="009752B0" w:rsidRDefault="00A561CA">
            <w:pPr>
              <w:jc w:val="right"/>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Folio de la solicitud: 00833/ECATEPEC/IP/2025</w:t>
            </w:r>
          </w:p>
        </w:tc>
      </w:tr>
      <w:tr w:rsidR="00A24DC9" w:rsidRPr="009752B0" w14:paraId="0EC544EC" w14:textId="77777777">
        <w:trPr>
          <w:trHeight w:val="404"/>
          <w:jc w:val="center"/>
        </w:trPr>
        <w:tc>
          <w:tcPr>
            <w:tcW w:w="6882" w:type="dxa"/>
            <w:vAlign w:val="center"/>
          </w:tcPr>
          <w:p w14:paraId="748E3647" w14:textId="77777777" w:rsidR="00A24DC9" w:rsidRPr="009752B0" w:rsidRDefault="00A24DC9">
            <w:pPr>
              <w:jc w:val="right"/>
              <w:rPr>
                <w:rFonts w:ascii="Palatino Linotype" w:eastAsia="Palatino Linotype" w:hAnsi="Palatino Linotype" w:cs="Palatino Linotype"/>
                <w:i/>
                <w:iCs/>
                <w:sz w:val="22"/>
                <w:szCs w:val="22"/>
              </w:rPr>
            </w:pPr>
          </w:p>
        </w:tc>
      </w:tr>
      <w:tr w:rsidR="00A24DC9" w:rsidRPr="009752B0" w14:paraId="156F8292" w14:textId="77777777">
        <w:trPr>
          <w:trHeight w:val="134"/>
          <w:jc w:val="center"/>
        </w:trPr>
        <w:tc>
          <w:tcPr>
            <w:tcW w:w="6882" w:type="dxa"/>
            <w:vAlign w:val="center"/>
          </w:tcPr>
          <w:p w14:paraId="40F1C06A" w14:textId="77777777" w:rsidR="00A24DC9" w:rsidRPr="009752B0" w:rsidRDefault="00A561CA">
            <w:pPr>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14:paraId="71F0C944" w14:textId="77777777" w:rsidR="00A24DC9" w:rsidRPr="009752B0" w:rsidRDefault="00A24DC9">
      <w:pPr>
        <w:spacing w:line="276" w:lineRule="auto"/>
        <w:ind w:left="567" w:right="567"/>
        <w:jc w:val="right"/>
        <w:rPr>
          <w:rFonts w:ascii="Palatino Linotype" w:eastAsia="Palatino Linotype" w:hAnsi="Palatino Linotype" w:cs="Palatino Linotype"/>
          <w:i/>
          <w:iCs/>
          <w:sz w:val="14"/>
          <w:szCs w:val="14"/>
        </w:rPr>
      </w:pPr>
    </w:p>
    <w:p w14:paraId="3D6638AE" w14:textId="77777777" w:rsidR="00A24DC9" w:rsidRPr="009752B0" w:rsidRDefault="00A24DC9">
      <w:pPr>
        <w:pBdr>
          <w:top w:val="nil"/>
          <w:left w:val="nil"/>
          <w:bottom w:val="nil"/>
          <w:right w:val="nil"/>
          <w:between w:val="nil"/>
        </w:pBdr>
        <w:rPr>
          <w:color w:val="000000"/>
        </w:rPr>
      </w:pPr>
    </w:p>
    <w:p w14:paraId="1599322C" w14:textId="77777777" w:rsidR="00A24DC9" w:rsidRPr="009752B0" w:rsidRDefault="00A561CA">
      <w:pPr>
        <w:spacing w:line="360" w:lineRule="auto"/>
        <w:jc w:val="both"/>
        <w:rPr>
          <w:rFonts w:ascii="Palatino Linotype" w:eastAsia="Palatino Linotype" w:hAnsi="Palatino Linotype" w:cs="Palatino Linotype"/>
          <w:b/>
          <w:bCs/>
          <w:i/>
          <w:iCs/>
        </w:rPr>
      </w:pPr>
      <w:r w:rsidRPr="009752B0">
        <w:rPr>
          <w:rFonts w:ascii="Palatino Linotype" w:eastAsia="Palatino Linotype" w:hAnsi="Palatino Linotype" w:cs="Palatino Linotype"/>
        </w:rPr>
        <w:t xml:space="preserve">El </w:t>
      </w:r>
      <w:r w:rsidRPr="009752B0">
        <w:rPr>
          <w:rFonts w:ascii="Palatino Linotype" w:eastAsia="Palatino Linotype" w:hAnsi="Palatino Linotype" w:cs="Palatino Linotype"/>
          <w:b/>
          <w:bCs/>
        </w:rPr>
        <w:t>Sujeto Obligado</w:t>
      </w:r>
      <w:r w:rsidRPr="009752B0">
        <w:rPr>
          <w:rFonts w:ascii="Palatino Linotype" w:eastAsia="Palatino Linotype" w:hAnsi="Palatino Linotype" w:cs="Palatino Linotype"/>
        </w:rPr>
        <w:t xml:space="preserve"> adjuntó a su respuesta, el archivo electrónico denominado</w:t>
      </w:r>
      <w:r w:rsidRPr="009752B0">
        <w:rPr>
          <w:rFonts w:ascii="Palatino Linotype" w:eastAsia="Palatino Linotype" w:hAnsi="Palatino Linotype" w:cs="Palatino Linotype"/>
          <w:i/>
          <w:iCs/>
        </w:rPr>
        <w:t xml:space="preserve"> “</w:t>
      </w:r>
      <w:r w:rsidRPr="009752B0">
        <w:rPr>
          <w:rFonts w:ascii="Palatino Linotype" w:eastAsia="Palatino Linotype" w:hAnsi="Palatino Linotype" w:cs="Palatino Linotype"/>
          <w:b/>
          <w:bCs/>
          <w:i/>
          <w:iCs/>
        </w:rPr>
        <w:t>833_00945620251022094116.pdf”</w:t>
      </w:r>
      <w:r w:rsidRPr="009752B0">
        <w:rPr>
          <w:rFonts w:ascii="Palatino Linotype" w:eastAsia="Palatino Linotype" w:hAnsi="Palatino Linotype" w:cs="Palatino Linotype"/>
          <w:i/>
          <w:iCs/>
        </w:rPr>
        <w:t>;</w:t>
      </w:r>
      <w:r w:rsidRPr="009752B0">
        <w:rPr>
          <w:rFonts w:ascii="Palatino Linotype" w:eastAsia="Palatino Linotype" w:hAnsi="Palatino Linotype" w:cs="Palatino Linotype"/>
        </w:rPr>
        <w:t xml:space="preserve"> cuyo contenido no se inserta por ser del conocimiento de las partes; sin embargo, serán motivo de estudio en el Considerado respectivo. </w:t>
      </w:r>
    </w:p>
    <w:p w14:paraId="312675FC" w14:textId="77777777" w:rsidR="00A24DC9" w:rsidRPr="009752B0" w:rsidRDefault="00A24DC9">
      <w:pPr>
        <w:spacing w:line="360" w:lineRule="auto"/>
        <w:jc w:val="both"/>
        <w:rPr>
          <w:rFonts w:ascii="Palatino Linotype" w:eastAsia="Palatino Linotype" w:hAnsi="Palatino Linotype" w:cs="Palatino Linotype"/>
        </w:rPr>
      </w:pPr>
    </w:p>
    <w:p w14:paraId="2B8920A3" w14:textId="77777777" w:rsidR="00A24DC9" w:rsidRPr="009752B0" w:rsidRDefault="00A561CA">
      <w:pPr>
        <w:spacing w:line="360" w:lineRule="auto"/>
        <w:jc w:val="both"/>
        <w:rPr>
          <w:rFonts w:ascii="Palatino Linotype" w:eastAsia="Palatino Linotype" w:hAnsi="Palatino Linotype" w:cs="Palatino Linotype"/>
          <w:b/>
          <w:bCs/>
          <w:sz w:val="28"/>
          <w:szCs w:val="28"/>
        </w:rPr>
      </w:pPr>
      <w:r w:rsidRPr="009752B0">
        <w:rPr>
          <w:rFonts w:ascii="Palatino Linotype" w:eastAsia="Palatino Linotype" w:hAnsi="Palatino Linotype" w:cs="Palatino Linotype"/>
          <w:b/>
          <w:bCs/>
          <w:sz w:val="28"/>
          <w:szCs w:val="28"/>
        </w:rPr>
        <w:t>TERCERO. Del recurso de revisión.</w:t>
      </w:r>
    </w:p>
    <w:p w14:paraId="46B5C9C2"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lastRenderedPageBreak/>
        <w:t xml:space="preserve">Inconforme con la respuesta por parte del </w:t>
      </w:r>
      <w:r w:rsidRPr="009752B0">
        <w:rPr>
          <w:rFonts w:ascii="Palatino Linotype" w:eastAsia="Palatino Linotype" w:hAnsi="Palatino Linotype" w:cs="Palatino Linotype"/>
          <w:b/>
          <w:bCs/>
        </w:rPr>
        <w:t>Sujeto Obligado</w:t>
      </w:r>
      <w:r w:rsidRPr="009752B0">
        <w:rPr>
          <w:rFonts w:ascii="Palatino Linotype" w:eastAsia="Palatino Linotype" w:hAnsi="Palatino Linotype" w:cs="Palatino Linotype"/>
        </w:rPr>
        <w:t xml:space="preserve">, el ahora </w:t>
      </w:r>
      <w:r w:rsidRPr="009752B0">
        <w:rPr>
          <w:rFonts w:ascii="Palatino Linotype" w:eastAsia="Palatino Linotype" w:hAnsi="Palatino Linotype" w:cs="Palatino Linotype"/>
          <w:b/>
          <w:bCs/>
        </w:rPr>
        <w:t>Recurrente</w:t>
      </w:r>
      <w:r w:rsidRPr="009752B0">
        <w:rPr>
          <w:rFonts w:ascii="Palatino Linotype" w:eastAsia="Palatino Linotype" w:hAnsi="Palatino Linotype" w:cs="Palatino Linotype"/>
        </w:rPr>
        <w:t xml:space="preserve"> interpuso el presente recurso de revisión en fecha diez de noviembre de dos mil veinticinco, el cual fue registrado</w:t>
      </w:r>
      <w:r w:rsidRPr="009752B0">
        <w:rPr>
          <w:rFonts w:ascii="Palatino Linotype" w:eastAsia="Palatino Linotype" w:hAnsi="Palatino Linotype" w:cs="Palatino Linotype"/>
          <w:b/>
          <w:bCs/>
        </w:rPr>
        <w:t xml:space="preserve"> </w:t>
      </w:r>
      <w:r w:rsidRPr="009752B0">
        <w:rPr>
          <w:rFonts w:ascii="Palatino Linotype" w:eastAsia="Palatino Linotype" w:hAnsi="Palatino Linotype" w:cs="Palatino Linotype"/>
        </w:rPr>
        <w:t xml:space="preserve">en el sistema electrónico con el expediente número </w:t>
      </w:r>
      <w:r w:rsidRPr="009752B0">
        <w:rPr>
          <w:rFonts w:ascii="Palatino Linotype" w:eastAsia="Palatino Linotype" w:hAnsi="Palatino Linotype" w:cs="Palatino Linotype"/>
          <w:b/>
          <w:bCs/>
        </w:rPr>
        <w:t>12975/INFOEM/IP/RR/2025</w:t>
      </w:r>
      <w:r w:rsidRPr="009752B0">
        <w:rPr>
          <w:rFonts w:ascii="Palatino Linotype" w:eastAsia="Palatino Linotype" w:hAnsi="Palatino Linotype" w:cs="Palatino Linotype"/>
        </w:rPr>
        <w:t>, en el cual aduce, las siguientes manifestaciones:</w:t>
      </w:r>
    </w:p>
    <w:p w14:paraId="4709E853" w14:textId="77777777" w:rsidR="00A24DC9" w:rsidRPr="009752B0" w:rsidRDefault="00A561CA">
      <w:pPr>
        <w:numPr>
          <w:ilvl w:val="0"/>
          <w:numId w:val="1"/>
        </w:numPr>
        <w:spacing w:line="259" w:lineRule="auto"/>
        <w:jc w:val="both"/>
        <w:rPr>
          <w:rFonts w:ascii="Palatino Linotype" w:eastAsia="Palatino Linotype" w:hAnsi="Palatino Linotype" w:cs="Palatino Linotype"/>
          <w:sz w:val="26"/>
          <w:szCs w:val="26"/>
        </w:rPr>
      </w:pPr>
      <w:r w:rsidRPr="009752B0">
        <w:rPr>
          <w:rFonts w:ascii="Palatino Linotype" w:eastAsia="Palatino Linotype" w:hAnsi="Palatino Linotype" w:cs="Palatino Linotype"/>
          <w:b/>
          <w:bCs/>
          <w:sz w:val="26"/>
          <w:szCs w:val="26"/>
        </w:rPr>
        <w:t>Acto Impugnado</w:t>
      </w:r>
      <w:r w:rsidRPr="009752B0">
        <w:rPr>
          <w:rFonts w:ascii="Palatino Linotype" w:eastAsia="Palatino Linotype" w:hAnsi="Palatino Linotype" w:cs="Palatino Linotype"/>
          <w:b/>
          <w:bCs/>
          <w:i/>
          <w:iCs/>
        </w:rPr>
        <w:t xml:space="preserve">: </w:t>
      </w:r>
      <w:r w:rsidRPr="009752B0">
        <w:rPr>
          <w:rFonts w:ascii="Palatino Linotype" w:eastAsia="Palatino Linotype" w:hAnsi="Palatino Linotype" w:cs="Palatino Linotype"/>
          <w:i/>
          <w:iCs/>
          <w:color w:val="000000"/>
        </w:rPr>
        <w:t>“En el OFICIO No. DPCB/ECA/1368/2025 de fecha 03 de junio de 2025, dirigido al C. Luis Ángel Hernández Soto, Titular de la Unidad de Transparencia, suscrito por el C. Ing. Juan Jesús Clara González, Director de Protección Civil y Bomberos, se cita: "Por lo que se está en espera del oficio de seguimiento y continuidad por parte de la Dirección de Medio Ambiente y Ecología." En los archivos físicos y/o electrónicos, del Municipio de Ecatepec de Morelos, se cuenta con información sobre el seguimiento y continuidad de parte de la Dirección de Medio Ambiente y Ecología a 16 de octubre de 2025</w:t>
      </w:r>
      <w:r w:rsidRPr="009752B0">
        <w:rPr>
          <w:rFonts w:ascii="Verdana" w:eastAsia="Verdana" w:hAnsi="Verdana" w:cs="Verdana"/>
          <w:color w:val="000000"/>
          <w:sz w:val="14"/>
          <w:szCs w:val="14"/>
        </w:rPr>
        <w:t>.</w:t>
      </w:r>
      <w:r w:rsidRPr="009752B0">
        <w:rPr>
          <w:rFonts w:ascii="Palatino Linotype" w:eastAsia="Palatino Linotype" w:hAnsi="Palatino Linotype" w:cs="Palatino Linotype"/>
          <w:i/>
          <w:iCs/>
          <w:color w:val="000000"/>
        </w:rPr>
        <w:t>” (Sic).</w:t>
      </w:r>
    </w:p>
    <w:p w14:paraId="6222919D" w14:textId="77777777" w:rsidR="00A24DC9" w:rsidRPr="009752B0" w:rsidRDefault="00A24DC9">
      <w:pPr>
        <w:spacing w:line="259" w:lineRule="auto"/>
        <w:ind w:left="720"/>
        <w:jc w:val="both"/>
        <w:rPr>
          <w:rFonts w:ascii="Palatino Linotype" w:eastAsia="Palatino Linotype" w:hAnsi="Palatino Linotype" w:cs="Palatino Linotype"/>
          <w:b/>
          <w:bCs/>
          <w:sz w:val="26"/>
          <w:szCs w:val="26"/>
        </w:rPr>
      </w:pPr>
    </w:p>
    <w:p w14:paraId="63392F97" w14:textId="77777777" w:rsidR="00A24DC9" w:rsidRPr="009752B0" w:rsidRDefault="00A561CA">
      <w:pPr>
        <w:numPr>
          <w:ilvl w:val="0"/>
          <w:numId w:val="1"/>
        </w:numPr>
        <w:spacing w:line="259" w:lineRule="auto"/>
        <w:jc w:val="both"/>
        <w:rPr>
          <w:rFonts w:ascii="Palatino Linotype" w:eastAsia="Palatino Linotype" w:hAnsi="Palatino Linotype" w:cs="Palatino Linotype"/>
          <w:sz w:val="26"/>
          <w:szCs w:val="26"/>
        </w:rPr>
      </w:pPr>
      <w:r w:rsidRPr="009752B0">
        <w:rPr>
          <w:rFonts w:ascii="Palatino Linotype" w:eastAsia="Palatino Linotype" w:hAnsi="Palatino Linotype" w:cs="Palatino Linotype"/>
          <w:b/>
          <w:bCs/>
          <w:sz w:val="26"/>
          <w:szCs w:val="26"/>
        </w:rPr>
        <w:t>Razones o Motivos de Inconformidad</w:t>
      </w:r>
      <w:r w:rsidRPr="009752B0">
        <w:rPr>
          <w:rFonts w:ascii="Palatino Linotype" w:eastAsia="Palatino Linotype" w:hAnsi="Palatino Linotype" w:cs="Palatino Linotype"/>
          <w:i/>
          <w:iCs/>
          <w:sz w:val="26"/>
          <w:szCs w:val="26"/>
        </w:rPr>
        <w:t xml:space="preserve">: </w:t>
      </w:r>
      <w:r w:rsidRPr="009752B0">
        <w:rPr>
          <w:rFonts w:ascii="Palatino Linotype" w:eastAsia="Palatino Linotype" w:hAnsi="Palatino Linotype" w:cs="Palatino Linotype"/>
          <w:i/>
          <w:iCs/>
          <w:color w:val="000000"/>
        </w:rPr>
        <w:t>“La entrega de la información está incompleta, ya que NO se ANEXA COPIA DEL ACTA DEL COMITE DE TRANSPARENCIA de la INEXISTENCIA DE INFORMACION</w:t>
      </w:r>
      <w:r w:rsidRPr="009752B0">
        <w:rPr>
          <w:rFonts w:ascii="Palatino Linotype" w:eastAsia="Palatino Linotype" w:hAnsi="Palatino Linotype" w:cs="Palatino Linotype"/>
          <w:i/>
          <w:iCs/>
        </w:rPr>
        <w:t>.</w:t>
      </w:r>
      <w:r w:rsidRPr="009752B0">
        <w:rPr>
          <w:rFonts w:ascii="Palatino Linotype" w:eastAsia="Palatino Linotype" w:hAnsi="Palatino Linotype" w:cs="Palatino Linotype"/>
          <w:i/>
          <w:iCs/>
          <w:color w:val="000000"/>
        </w:rPr>
        <w:t>” (Sic).</w:t>
      </w:r>
    </w:p>
    <w:p w14:paraId="23E3A1DA" w14:textId="77777777" w:rsidR="00A24DC9" w:rsidRPr="009752B0" w:rsidRDefault="00A24DC9">
      <w:pPr>
        <w:spacing w:line="360" w:lineRule="auto"/>
        <w:jc w:val="both"/>
        <w:rPr>
          <w:rFonts w:ascii="Palatino Linotype" w:eastAsia="Palatino Linotype" w:hAnsi="Palatino Linotype" w:cs="Palatino Linotype"/>
        </w:rPr>
      </w:pPr>
    </w:p>
    <w:p w14:paraId="6EC4F48B" w14:textId="77777777" w:rsidR="00A24DC9" w:rsidRPr="009752B0" w:rsidRDefault="00A561CA">
      <w:pPr>
        <w:spacing w:line="360" w:lineRule="auto"/>
        <w:jc w:val="both"/>
        <w:rPr>
          <w:rFonts w:ascii="Palatino Linotype" w:eastAsia="Palatino Linotype" w:hAnsi="Palatino Linotype" w:cs="Palatino Linotype"/>
          <w:b/>
          <w:bCs/>
          <w:sz w:val="28"/>
          <w:szCs w:val="28"/>
        </w:rPr>
      </w:pPr>
      <w:r w:rsidRPr="009752B0">
        <w:rPr>
          <w:rFonts w:ascii="Palatino Linotype" w:eastAsia="Palatino Linotype" w:hAnsi="Palatino Linotype" w:cs="Palatino Linotype"/>
          <w:b/>
          <w:bCs/>
          <w:sz w:val="28"/>
          <w:szCs w:val="28"/>
        </w:rPr>
        <w:t>CUARTO. Del turno del recurso de revisión.</w:t>
      </w:r>
    </w:p>
    <w:p w14:paraId="14E67C39"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Medio de impugnación que le fue turnado al Comisionado Presidente </w:t>
      </w:r>
      <w:r w:rsidRPr="009752B0">
        <w:rPr>
          <w:rFonts w:ascii="Palatino Linotype" w:eastAsia="Palatino Linotype" w:hAnsi="Palatino Linotype" w:cs="Palatino Linotype"/>
          <w:b/>
          <w:bCs/>
        </w:rPr>
        <w:t>José Martínez Vilchis</w:t>
      </w:r>
      <w:r w:rsidRPr="009752B0">
        <w:rPr>
          <w:rFonts w:ascii="Palatino Linotype" w:eastAsia="Palatino Linotype" w:hAnsi="Palatino Linotype" w:cs="Palatino Linotype"/>
        </w:rPr>
        <w:t>, por medio del sistema electrónico, en términos del arábigo 185, fracción I, de la Ley de Transparencia y Acceso a la información Pública del Estado de México y Municipios, del cual recayó acuerdo de admisión en fecha</w:t>
      </w:r>
      <w:r w:rsidRPr="009752B0">
        <w:rPr>
          <w:rFonts w:ascii="Palatino Linotype" w:eastAsia="Palatino Linotype" w:hAnsi="Palatino Linotype" w:cs="Palatino Linotype"/>
          <w:b/>
          <w:bCs/>
        </w:rPr>
        <w:t xml:space="preserve"> trece de noviembre de dos mil veinticinco,</w:t>
      </w:r>
      <w:r w:rsidRPr="009752B0">
        <w:rPr>
          <w:rFonts w:ascii="Palatino Linotype" w:eastAsia="Palatino Linotype" w:hAnsi="Palatino Linotype" w:cs="Palatino Linotype"/>
        </w:rPr>
        <w:t xml:space="preserve"> determinándose en él, un plazo de siete días para que las partes manifestaran lo que a su derecho corresponda en términos del numeral ya citado.</w:t>
      </w:r>
    </w:p>
    <w:p w14:paraId="693856C5" w14:textId="77777777" w:rsidR="00A24DC9" w:rsidRPr="009752B0" w:rsidRDefault="00A24DC9">
      <w:pPr>
        <w:spacing w:line="360" w:lineRule="auto"/>
        <w:jc w:val="both"/>
        <w:rPr>
          <w:rFonts w:ascii="Palatino Linotype" w:eastAsia="Palatino Linotype" w:hAnsi="Palatino Linotype" w:cs="Palatino Linotype"/>
        </w:rPr>
      </w:pPr>
    </w:p>
    <w:p w14:paraId="3165A905" w14:textId="77777777" w:rsidR="00A24DC9" w:rsidRPr="009752B0" w:rsidRDefault="00A561CA">
      <w:pPr>
        <w:spacing w:line="360" w:lineRule="auto"/>
        <w:jc w:val="both"/>
        <w:rPr>
          <w:rFonts w:ascii="Palatino Linotype" w:eastAsia="Palatino Linotype" w:hAnsi="Palatino Linotype" w:cs="Palatino Linotype"/>
          <w:b/>
          <w:bCs/>
          <w:sz w:val="28"/>
          <w:szCs w:val="28"/>
        </w:rPr>
      </w:pPr>
      <w:r w:rsidRPr="009752B0">
        <w:rPr>
          <w:rFonts w:ascii="Palatino Linotype" w:eastAsia="Palatino Linotype" w:hAnsi="Palatino Linotype" w:cs="Palatino Linotype"/>
          <w:b/>
          <w:bCs/>
          <w:sz w:val="28"/>
          <w:szCs w:val="28"/>
        </w:rPr>
        <w:t>QUINTO. De la etapa de manifestaciones y/o alegatos.</w:t>
      </w:r>
    </w:p>
    <w:p w14:paraId="2411FC69"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lastRenderedPageBreak/>
        <w:t xml:space="preserve">Una vez transcurrido el término legal referido se destaca que el Sujeto Obligado rindió su informe justificado en fecha  catorce de noviembre de dos mil veinticinco por lo que en fecha dieciocho de febrero de dos mil veintiséis se puso a la vista de la Recurrente así mismo se aprecia que la parte </w:t>
      </w:r>
      <w:r w:rsidRPr="009752B0">
        <w:rPr>
          <w:rFonts w:ascii="Palatino Linotype" w:eastAsia="Palatino Linotype" w:hAnsi="Palatino Linotype" w:cs="Palatino Linotype"/>
          <w:b/>
          <w:bCs/>
        </w:rPr>
        <w:t>Recurrente</w:t>
      </w:r>
      <w:r w:rsidRPr="009752B0">
        <w:rPr>
          <w:rFonts w:ascii="Palatino Linotype" w:eastAsia="Palatino Linotype" w:hAnsi="Palatino Linotype" w:cs="Palatino Linotype"/>
        </w:rPr>
        <w:t xml:space="preserve"> realizó alegatos, ofreció pruebas o manifestaciones en fecha diecisiete de julio de dos mil veinticinco la cual será analizada en el considerando respectivo.</w:t>
      </w:r>
    </w:p>
    <w:p w14:paraId="610D0895" w14:textId="77777777" w:rsidR="00A24DC9" w:rsidRPr="009752B0" w:rsidRDefault="00A24DC9">
      <w:pPr>
        <w:spacing w:line="360" w:lineRule="auto"/>
        <w:jc w:val="both"/>
        <w:rPr>
          <w:rFonts w:ascii="Palatino Linotype" w:eastAsia="Palatino Linotype" w:hAnsi="Palatino Linotype" w:cs="Palatino Linotype"/>
        </w:rPr>
      </w:pPr>
    </w:p>
    <w:p w14:paraId="4C0F1E0F" w14:textId="77777777" w:rsidR="00A24DC9" w:rsidRPr="009752B0" w:rsidRDefault="00A561CA">
      <w:pPr>
        <w:tabs>
          <w:tab w:val="left" w:pos="3206"/>
        </w:tabs>
        <w:spacing w:line="360" w:lineRule="auto"/>
        <w:jc w:val="both"/>
        <w:rPr>
          <w:rFonts w:ascii="Palatino Linotype" w:eastAsia="Palatino Linotype" w:hAnsi="Palatino Linotype" w:cs="Palatino Linotype"/>
          <w:b/>
          <w:bCs/>
          <w:sz w:val="28"/>
          <w:szCs w:val="28"/>
        </w:rPr>
      </w:pPr>
      <w:r w:rsidRPr="009752B0">
        <w:rPr>
          <w:rFonts w:ascii="Palatino Linotype" w:eastAsia="Palatino Linotype" w:hAnsi="Palatino Linotype" w:cs="Palatino Linotype"/>
          <w:b/>
          <w:bCs/>
          <w:sz w:val="28"/>
          <w:szCs w:val="28"/>
        </w:rPr>
        <w:t>SEXTO. Del cierre de instrucción.</w:t>
      </w:r>
      <w:r w:rsidRPr="009752B0">
        <w:rPr>
          <w:rFonts w:ascii="Palatino Linotype" w:eastAsia="Palatino Linotype" w:hAnsi="Palatino Linotype" w:cs="Palatino Linotype"/>
          <w:b/>
          <w:bCs/>
          <w:sz w:val="28"/>
          <w:szCs w:val="28"/>
        </w:rPr>
        <w:tab/>
      </w:r>
    </w:p>
    <w:p w14:paraId="7B010ECC"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Así, una vez transcurrido el término legal, permitió decretarse el cierre de instrucción en fecha </w:t>
      </w:r>
      <w:r w:rsidRPr="009752B0">
        <w:rPr>
          <w:rFonts w:ascii="Palatino Linotype" w:eastAsia="Palatino Linotype" w:hAnsi="Palatino Linotype" w:cs="Palatino Linotype"/>
          <w:b/>
          <w:bCs/>
        </w:rPr>
        <w:t>veinticuatro de febrero de dos mil veintiséis</w:t>
      </w:r>
      <w:r w:rsidRPr="009752B0">
        <w:rPr>
          <w:rFonts w:ascii="Palatino Linotype" w:eastAsia="Palatino Linotype" w:hAnsi="Palatino Linotype" w:cs="Palatino Linotype"/>
        </w:rPr>
        <w:t xml:space="preserve"> en términos del artículo 185, Fracción VI, de la Ley de Transparencia y Acceso a la Información Pública del Estado de México y Municipios, iniciando el término legal para dictar resolución definitiva del asunto.</w:t>
      </w:r>
    </w:p>
    <w:p w14:paraId="72A190C8" w14:textId="77777777" w:rsidR="00A24DC9" w:rsidRPr="009752B0" w:rsidRDefault="00A24DC9">
      <w:pPr>
        <w:spacing w:line="360" w:lineRule="auto"/>
        <w:jc w:val="both"/>
        <w:rPr>
          <w:rFonts w:ascii="Palatino Linotype" w:eastAsia="Palatino Linotype" w:hAnsi="Palatino Linotype" w:cs="Palatino Linotype"/>
        </w:rPr>
      </w:pPr>
    </w:p>
    <w:p w14:paraId="3B3C3F6B" w14:textId="77777777" w:rsidR="00A24DC9" w:rsidRPr="009752B0" w:rsidRDefault="00A561CA">
      <w:pPr>
        <w:pBdr>
          <w:top w:val="nil"/>
          <w:left w:val="nil"/>
          <w:bottom w:val="nil"/>
          <w:right w:val="nil"/>
          <w:between w:val="nil"/>
        </w:pBdr>
        <w:spacing w:line="360" w:lineRule="auto"/>
        <w:jc w:val="both"/>
        <w:rPr>
          <w:rFonts w:ascii="Palatino Linotype" w:eastAsia="Palatino Linotype" w:hAnsi="Palatino Linotype" w:cs="Palatino Linotype"/>
          <w:b/>
          <w:bCs/>
          <w:sz w:val="26"/>
          <w:szCs w:val="26"/>
        </w:rPr>
      </w:pPr>
      <w:r w:rsidRPr="009752B0">
        <w:rPr>
          <w:rFonts w:ascii="Palatino Linotype" w:eastAsia="Palatino Linotype" w:hAnsi="Palatino Linotype" w:cs="Palatino Linotype"/>
          <w:b/>
          <w:bCs/>
          <w:sz w:val="26"/>
          <w:szCs w:val="26"/>
        </w:rPr>
        <w:t>SÉPTIMO. De la ampliación del término para resolver.</w:t>
      </w:r>
    </w:p>
    <w:p w14:paraId="1159C1F8"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De las constancias que integran el expediente electrónico, se advierte que han transcurrido los términos de Ley, para la emisión de la resolución en el presente recurso de revisión, por lo que en fecha</w:t>
      </w:r>
      <w:r w:rsidRPr="009752B0">
        <w:rPr>
          <w:rFonts w:ascii="Palatino Linotype" w:eastAsia="Palatino Linotype" w:hAnsi="Palatino Linotype" w:cs="Palatino Linotype"/>
          <w:b/>
          <w:bCs/>
        </w:rPr>
        <w:t xml:space="preserve"> veinticuatro de febrero de dos mil veintiséis</w:t>
      </w:r>
      <w:r w:rsidRPr="009752B0">
        <w:rPr>
          <w:rFonts w:ascii="Palatino Linotype" w:eastAsia="Palatino Linotype" w:hAnsi="Palatino Linotype" w:cs="Palatino Linotype"/>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3B72EF42" w14:textId="77777777" w:rsidR="00A24DC9" w:rsidRPr="009752B0" w:rsidRDefault="00A24DC9">
      <w:pPr>
        <w:spacing w:line="360" w:lineRule="auto"/>
        <w:jc w:val="both"/>
        <w:rPr>
          <w:rFonts w:ascii="Palatino Linotype" w:eastAsia="Palatino Linotype" w:hAnsi="Palatino Linotype" w:cs="Palatino Linotype"/>
        </w:rPr>
      </w:pPr>
    </w:p>
    <w:p w14:paraId="4351783D" w14:textId="77777777" w:rsidR="00A24DC9" w:rsidRPr="009752B0" w:rsidRDefault="00A561CA">
      <w:pPr>
        <w:spacing w:line="360" w:lineRule="auto"/>
        <w:ind w:right="49"/>
        <w:jc w:val="both"/>
        <w:rPr>
          <w:rFonts w:ascii="Palatino Linotype" w:eastAsia="Palatino Linotype" w:hAnsi="Palatino Linotype" w:cs="Palatino Linotype"/>
        </w:rPr>
      </w:pPr>
      <w:r w:rsidRPr="009752B0">
        <w:rPr>
          <w:rFonts w:ascii="Palatino Linotype" w:eastAsia="Palatino Linotype" w:hAnsi="Palatino Linotype" w:cs="Palatino Linotype"/>
        </w:rPr>
        <w:lastRenderedPageBreak/>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277E9E05" w14:textId="77777777" w:rsidR="00A24DC9" w:rsidRPr="009752B0" w:rsidRDefault="00A24DC9">
      <w:pPr>
        <w:spacing w:line="360" w:lineRule="auto"/>
        <w:ind w:right="49"/>
        <w:jc w:val="both"/>
        <w:rPr>
          <w:rFonts w:ascii="Palatino Linotype" w:eastAsia="Palatino Linotype" w:hAnsi="Palatino Linotype" w:cs="Palatino Linotype"/>
        </w:rPr>
      </w:pPr>
    </w:p>
    <w:p w14:paraId="3F80E1D6" w14:textId="77777777" w:rsidR="00A24DC9" w:rsidRPr="009752B0" w:rsidRDefault="00A561CA">
      <w:pPr>
        <w:spacing w:line="360" w:lineRule="auto"/>
        <w:ind w:right="49"/>
        <w:jc w:val="both"/>
        <w:rPr>
          <w:rFonts w:ascii="Palatino Linotype" w:eastAsia="Palatino Linotype" w:hAnsi="Palatino Linotype" w:cs="Palatino Linotype"/>
        </w:rPr>
      </w:pPr>
      <w:r w:rsidRPr="009752B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E64952D" w14:textId="77777777" w:rsidR="00A24DC9" w:rsidRPr="009752B0" w:rsidRDefault="00A24DC9">
      <w:pPr>
        <w:spacing w:line="360" w:lineRule="auto"/>
        <w:ind w:right="49"/>
        <w:jc w:val="both"/>
        <w:rPr>
          <w:rFonts w:ascii="Palatino Linotype" w:eastAsia="Palatino Linotype" w:hAnsi="Palatino Linotype" w:cs="Palatino Linotype"/>
        </w:rPr>
      </w:pPr>
    </w:p>
    <w:p w14:paraId="03BBAF4D" w14:textId="77777777" w:rsidR="00A24DC9" w:rsidRPr="009752B0" w:rsidRDefault="00A561CA">
      <w:pPr>
        <w:spacing w:line="360" w:lineRule="auto"/>
        <w:ind w:right="49"/>
        <w:jc w:val="both"/>
        <w:rPr>
          <w:rFonts w:ascii="Palatino Linotype" w:eastAsia="Palatino Linotype" w:hAnsi="Palatino Linotype" w:cs="Palatino Linotype"/>
        </w:rPr>
      </w:pPr>
      <w:r w:rsidRPr="009752B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240C92E" w14:textId="77777777" w:rsidR="00A24DC9" w:rsidRPr="009752B0" w:rsidRDefault="00A24DC9">
      <w:pPr>
        <w:spacing w:line="360" w:lineRule="auto"/>
        <w:ind w:right="49"/>
        <w:jc w:val="both"/>
        <w:rPr>
          <w:rFonts w:ascii="Palatino Linotype" w:eastAsia="Palatino Linotype" w:hAnsi="Palatino Linotype" w:cs="Palatino Linotype"/>
        </w:rPr>
      </w:pPr>
    </w:p>
    <w:p w14:paraId="1A72C9FF" w14:textId="77777777" w:rsidR="00A24DC9" w:rsidRPr="009752B0" w:rsidRDefault="00A561CA">
      <w:pPr>
        <w:spacing w:line="360" w:lineRule="auto"/>
        <w:ind w:right="49"/>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0BBFEC6" w14:textId="77777777" w:rsidR="00A24DC9" w:rsidRPr="009752B0" w:rsidRDefault="00A561CA">
      <w:pPr>
        <w:spacing w:line="360" w:lineRule="auto"/>
        <w:ind w:left="993" w:right="49" w:hanging="426"/>
        <w:jc w:val="both"/>
        <w:rPr>
          <w:rFonts w:ascii="Palatino Linotype" w:eastAsia="Palatino Linotype" w:hAnsi="Palatino Linotype" w:cs="Palatino Linotype"/>
        </w:rPr>
      </w:pPr>
      <w:r w:rsidRPr="009752B0">
        <w:rPr>
          <w:rFonts w:ascii="Palatino Linotype" w:eastAsia="Palatino Linotype" w:hAnsi="Palatino Linotype" w:cs="Palatino Linotype"/>
          <w:b/>
          <w:bCs/>
        </w:rPr>
        <w:lastRenderedPageBreak/>
        <w:t xml:space="preserve">a) </w:t>
      </w:r>
      <w:r w:rsidRPr="009752B0">
        <w:rPr>
          <w:rFonts w:ascii="Palatino Linotype" w:eastAsia="Palatino Linotype" w:hAnsi="Palatino Linotype" w:cs="Palatino Linotype"/>
          <w:b/>
          <w:bCs/>
        </w:rPr>
        <w:tab/>
        <w:t>Complejidad del asunto:</w:t>
      </w:r>
      <w:r w:rsidRPr="009752B0">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0729C22F" w14:textId="77777777" w:rsidR="00A24DC9" w:rsidRPr="009752B0" w:rsidRDefault="00A561CA">
      <w:pPr>
        <w:spacing w:line="360" w:lineRule="auto"/>
        <w:ind w:left="993" w:right="49" w:hanging="426"/>
        <w:jc w:val="both"/>
        <w:rPr>
          <w:rFonts w:ascii="Palatino Linotype" w:eastAsia="Palatino Linotype" w:hAnsi="Palatino Linotype" w:cs="Palatino Linotype"/>
        </w:rPr>
      </w:pPr>
      <w:r w:rsidRPr="009752B0">
        <w:rPr>
          <w:rFonts w:ascii="Palatino Linotype" w:eastAsia="Palatino Linotype" w:hAnsi="Palatino Linotype" w:cs="Palatino Linotype"/>
          <w:b/>
          <w:bCs/>
        </w:rPr>
        <w:t xml:space="preserve">b) </w:t>
      </w:r>
      <w:r w:rsidRPr="009752B0">
        <w:rPr>
          <w:rFonts w:ascii="Palatino Linotype" w:eastAsia="Palatino Linotype" w:hAnsi="Palatino Linotype" w:cs="Palatino Linotype"/>
          <w:b/>
          <w:bCs/>
        </w:rPr>
        <w:tab/>
        <w:t>Actividad Procesal del interesado:</w:t>
      </w:r>
      <w:r w:rsidRPr="009752B0">
        <w:rPr>
          <w:rFonts w:ascii="Palatino Linotype" w:eastAsia="Palatino Linotype" w:hAnsi="Palatino Linotype" w:cs="Palatino Linotype"/>
        </w:rPr>
        <w:t xml:space="preserve"> Acciones u omisiones del interesado.</w:t>
      </w:r>
    </w:p>
    <w:p w14:paraId="680B26CA" w14:textId="77777777" w:rsidR="00A24DC9" w:rsidRPr="009752B0" w:rsidRDefault="00A561CA">
      <w:pPr>
        <w:spacing w:line="360" w:lineRule="auto"/>
        <w:ind w:left="993" w:right="49" w:hanging="426"/>
        <w:jc w:val="both"/>
        <w:rPr>
          <w:rFonts w:ascii="Palatino Linotype" w:eastAsia="Palatino Linotype" w:hAnsi="Palatino Linotype" w:cs="Palatino Linotype"/>
        </w:rPr>
      </w:pPr>
      <w:r w:rsidRPr="009752B0">
        <w:rPr>
          <w:rFonts w:ascii="Palatino Linotype" w:eastAsia="Palatino Linotype" w:hAnsi="Palatino Linotype" w:cs="Palatino Linotype"/>
          <w:b/>
          <w:bCs/>
        </w:rPr>
        <w:t xml:space="preserve">c) </w:t>
      </w:r>
      <w:r w:rsidRPr="009752B0">
        <w:rPr>
          <w:rFonts w:ascii="Palatino Linotype" w:eastAsia="Palatino Linotype" w:hAnsi="Palatino Linotype" w:cs="Palatino Linotype"/>
          <w:b/>
          <w:bCs/>
        </w:rPr>
        <w:tab/>
        <w:t>Conducta de la Autoridad:</w:t>
      </w:r>
      <w:r w:rsidRPr="009752B0">
        <w:rPr>
          <w:rFonts w:ascii="Palatino Linotype" w:eastAsia="Palatino Linotype" w:hAnsi="Palatino Linotype" w:cs="Palatino Linotype"/>
        </w:rPr>
        <w:t xml:space="preserve"> Las Acciones u omisiones realizadas en el procedimiento. Así como si la autoridad actuó con la debida diligencia.</w:t>
      </w:r>
    </w:p>
    <w:p w14:paraId="0EDC098C" w14:textId="77777777" w:rsidR="00A24DC9" w:rsidRPr="009752B0" w:rsidRDefault="00A561CA">
      <w:pPr>
        <w:spacing w:line="360" w:lineRule="auto"/>
        <w:ind w:left="993" w:right="49" w:hanging="426"/>
        <w:jc w:val="both"/>
        <w:rPr>
          <w:rFonts w:ascii="Palatino Linotype" w:eastAsia="Palatino Linotype" w:hAnsi="Palatino Linotype" w:cs="Palatino Linotype"/>
        </w:rPr>
      </w:pPr>
      <w:r w:rsidRPr="009752B0">
        <w:rPr>
          <w:rFonts w:ascii="Palatino Linotype" w:eastAsia="Palatino Linotype" w:hAnsi="Palatino Linotype" w:cs="Palatino Linotype"/>
          <w:b/>
          <w:bCs/>
        </w:rPr>
        <w:t xml:space="preserve">d) </w:t>
      </w:r>
      <w:r w:rsidRPr="009752B0">
        <w:rPr>
          <w:rFonts w:ascii="Palatino Linotype" w:eastAsia="Palatino Linotype" w:hAnsi="Palatino Linotype" w:cs="Palatino Linotype"/>
          <w:b/>
          <w:bCs/>
        </w:rPr>
        <w:tab/>
        <w:t>La afectación generada en la situación jurídica de la persona involucrada en el proceso:</w:t>
      </w:r>
      <w:r w:rsidRPr="009752B0">
        <w:rPr>
          <w:rFonts w:ascii="Palatino Linotype" w:eastAsia="Palatino Linotype" w:hAnsi="Palatino Linotype" w:cs="Palatino Linotype"/>
        </w:rPr>
        <w:t xml:space="preserve"> Violación a sus derechos humanos.</w:t>
      </w:r>
    </w:p>
    <w:p w14:paraId="2A67047F" w14:textId="77777777" w:rsidR="00A24DC9" w:rsidRPr="009752B0" w:rsidRDefault="00A24DC9">
      <w:pPr>
        <w:spacing w:line="360" w:lineRule="auto"/>
        <w:ind w:left="993" w:right="49" w:hanging="426"/>
        <w:jc w:val="both"/>
        <w:rPr>
          <w:rFonts w:ascii="Palatino Linotype" w:eastAsia="Palatino Linotype" w:hAnsi="Palatino Linotype" w:cs="Palatino Linotype"/>
        </w:rPr>
      </w:pPr>
    </w:p>
    <w:p w14:paraId="4D243E4C" w14:textId="77777777" w:rsidR="00A24DC9" w:rsidRPr="009752B0" w:rsidRDefault="00A561CA">
      <w:pPr>
        <w:spacing w:line="360" w:lineRule="auto"/>
        <w:ind w:right="49"/>
        <w:jc w:val="both"/>
        <w:rPr>
          <w:rFonts w:ascii="Palatino Linotype" w:eastAsia="Palatino Linotype" w:hAnsi="Palatino Linotype" w:cs="Palatino Linotype"/>
        </w:rPr>
      </w:pPr>
      <w:r w:rsidRPr="009752B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76D25D" w14:textId="77777777" w:rsidR="00A24DC9" w:rsidRPr="009752B0" w:rsidRDefault="00A24DC9">
      <w:pPr>
        <w:spacing w:line="360" w:lineRule="auto"/>
        <w:ind w:right="49"/>
        <w:jc w:val="both"/>
        <w:rPr>
          <w:rFonts w:ascii="Palatino Linotype" w:eastAsia="Palatino Linotype" w:hAnsi="Palatino Linotype" w:cs="Palatino Linotype"/>
        </w:rPr>
      </w:pPr>
    </w:p>
    <w:p w14:paraId="2370EAB7" w14:textId="77777777" w:rsidR="00A24DC9" w:rsidRPr="009752B0" w:rsidRDefault="00A561CA">
      <w:pPr>
        <w:spacing w:line="360" w:lineRule="auto"/>
        <w:ind w:right="49"/>
        <w:jc w:val="both"/>
        <w:rPr>
          <w:rFonts w:ascii="Palatino Linotype" w:eastAsia="Palatino Linotype" w:hAnsi="Palatino Linotype" w:cs="Palatino Linotype"/>
        </w:rPr>
      </w:pPr>
      <w:r w:rsidRPr="009752B0">
        <w:rPr>
          <w:rFonts w:ascii="Palatino Linotype" w:eastAsia="Palatino Linotype" w:hAnsi="Palatino Linotype" w:cs="Palatino Linotype"/>
        </w:rPr>
        <w:t>Argumento que encuentra sustento en la jurisprudencia P</w:t>
      </w:r>
      <w:proofErr w:type="gramStart"/>
      <w:r w:rsidRPr="009752B0">
        <w:rPr>
          <w:rFonts w:ascii="Palatino Linotype" w:eastAsia="Palatino Linotype" w:hAnsi="Palatino Linotype" w:cs="Palatino Linotype"/>
        </w:rPr>
        <w:t>./</w:t>
      </w:r>
      <w:proofErr w:type="gramEnd"/>
      <w:r w:rsidRPr="009752B0">
        <w:rPr>
          <w:rFonts w:ascii="Palatino Linotype" w:eastAsia="Palatino Linotype" w:hAnsi="Palatino Linotype" w:cs="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DE93969" w14:textId="77777777" w:rsidR="00A24DC9" w:rsidRPr="009752B0" w:rsidRDefault="00A24DC9">
      <w:pPr>
        <w:spacing w:line="360" w:lineRule="auto"/>
        <w:ind w:right="49"/>
        <w:jc w:val="both"/>
        <w:rPr>
          <w:rFonts w:ascii="Palatino Linotype" w:eastAsia="Palatino Linotype" w:hAnsi="Palatino Linotype" w:cs="Palatino Linotype"/>
        </w:rPr>
      </w:pPr>
    </w:p>
    <w:p w14:paraId="374C5433" w14:textId="77777777" w:rsidR="00A24DC9" w:rsidRPr="009752B0" w:rsidRDefault="00A561CA">
      <w:pPr>
        <w:spacing w:line="360" w:lineRule="auto"/>
        <w:ind w:right="49"/>
        <w:jc w:val="both"/>
        <w:rPr>
          <w:rFonts w:ascii="Palatino Linotype" w:eastAsia="Palatino Linotype" w:hAnsi="Palatino Linotype" w:cs="Palatino Linotype"/>
        </w:rPr>
      </w:pPr>
      <w:r w:rsidRPr="009752B0">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470751" w14:textId="77777777" w:rsidR="00A24DC9" w:rsidRPr="009752B0" w:rsidRDefault="00A24DC9">
      <w:pPr>
        <w:spacing w:line="360" w:lineRule="auto"/>
        <w:ind w:right="49"/>
        <w:jc w:val="both"/>
        <w:rPr>
          <w:rFonts w:ascii="Palatino Linotype" w:eastAsia="Palatino Linotype" w:hAnsi="Palatino Linotype" w:cs="Palatino Linotype"/>
        </w:rPr>
      </w:pPr>
    </w:p>
    <w:p w14:paraId="6DF05948" w14:textId="77777777" w:rsidR="00A24DC9" w:rsidRPr="009752B0" w:rsidRDefault="00A561CA">
      <w:pPr>
        <w:spacing w:line="360" w:lineRule="auto"/>
        <w:ind w:right="49"/>
        <w:jc w:val="both"/>
        <w:rPr>
          <w:rFonts w:ascii="Palatino Linotype" w:eastAsia="Palatino Linotype" w:hAnsi="Palatino Linotype" w:cs="Palatino Linotype"/>
        </w:rPr>
      </w:pPr>
      <w:r w:rsidRPr="009752B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89E1B77" w14:textId="77777777" w:rsidR="00A24DC9" w:rsidRPr="009752B0" w:rsidRDefault="00A561CA">
      <w:pPr>
        <w:spacing w:line="360" w:lineRule="auto"/>
        <w:ind w:left="708" w:right="49"/>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r w:rsidRPr="009752B0">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9752B0">
        <w:rPr>
          <w:rFonts w:ascii="Palatino Linotype" w:eastAsia="Palatino Linotype" w:hAnsi="Palatino Linotype" w:cs="Palatino Linotype"/>
          <w:i/>
          <w:iCs/>
          <w:sz w:val="22"/>
          <w:szCs w:val="22"/>
        </w:rPr>
        <w:t>.” consultable en el Seminario Judicial de la Federación y su gaceta, con el registro digital 2002351.</w:t>
      </w:r>
    </w:p>
    <w:p w14:paraId="249064E5" w14:textId="77777777" w:rsidR="00A24DC9" w:rsidRPr="009752B0" w:rsidRDefault="00A24DC9">
      <w:pPr>
        <w:spacing w:line="360" w:lineRule="auto"/>
        <w:ind w:right="49"/>
        <w:jc w:val="both"/>
        <w:rPr>
          <w:rFonts w:ascii="Palatino Linotype" w:eastAsia="Palatino Linotype" w:hAnsi="Palatino Linotype" w:cs="Palatino Linotype"/>
          <w:i/>
          <w:iCs/>
          <w:sz w:val="22"/>
          <w:szCs w:val="22"/>
        </w:rPr>
      </w:pPr>
    </w:p>
    <w:p w14:paraId="527B75AA" w14:textId="77777777" w:rsidR="00A24DC9" w:rsidRPr="009752B0" w:rsidRDefault="00A561CA">
      <w:pPr>
        <w:spacing w:line="360" w:lineRule="auto"/>
        <w:ind w:left="708" w:right="49"/>
        <w:jc w:val="both"/>
        <w:rPr>
          <w:rFonts w:ascii="Palatino Linotype" w:eastAsia="Palatino Linotype" w:hAnsi="Palatino Linotype" w:cs="Palatino Linotype"/>
          <w:i/>
          <w:iCs/>
        </w:rPr>
      </w:pPr>
      <w:r w:rsidRPr="009752B0">
        <w:rPr>
          <w:rFonts w:ascii="Palatino Linotype" w:eastAsia="Palatino Linotype" w:hAnsi="Palatino Linotype" w:cs="Palatino Linotype"/>
          <w:i/>
          <w:iCs/>
          <w:sz w:val="22"/>
          <w:szCs w:val="22"/>
        </w:rPr>
        <w:t>“</w:t>
      </w:r>
      <w:r w:rsidRPr="009752B0">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9752B0">
        <w:rPr>
          <w:rFonts w:ascii="Palatino Linotype" w:eastAsia="Palatino Linotype" w:hAnsi="Palatino Linotype" w:cs="Palatino Linotype"/>
          <w:i/>
          <w:iCs/>
          <w:sz w:val="22"/>
          <w:szCs w:val="22"/>
        </w:rPr>
        <w:t>”, visible en el Seminario Judicial de la Federación y su gaceta, con el registro digital 2002350</w:t>
      </w:r>
      <w:r w:rsidRPr="009752B0">
        <w:rPr>
          <w:rFonts w:ascii="Palatino Linotype" w:eastAsia="Palatino Linotype" w:hAnsi="Palatino Linotype" w:cs="Palatino Linotype"/>
          <w:i/>
          <w:iCs/>
        </w:rPr>
        <w:t>.</w:t>
      </w:r>
    </w:p>
    <w:p w14:paraId="655DD7BE" w14:textId="77777777" w:rsidR="00A24DC9" w:rsidRPr="009752B0" w:rsidRDefault="00A24DC9">
      <w:pPr>
        <w:spacing w:line="360" w:lineRule="auto"/>
        <w:ind w:right="49"/>
        <w:jc w:val="both"/>
        <w:rPr>
          <w:rFonts w:ascii="Palatino Linotype" w:eastAsia="Palatino Linotype" w:hAnsi="Palatino Linotype" w:cs="Palatino Linotype"/>
        </w:rPr>
      </w:pPr>
    </w:p>
    <w:p w14:paraId="5C2A7DD2" w14:textId="77777777" w:rsidR="00A24DC9" w:rsidRPr="009752B0" w:rsidRDefault="00A561CA">
      <w:pPr>
        <w:spacing w:line="360" w:lineRule="auto"/>
        <w:ind w:right="49"/>
        <w:jc w:val="both"/>
        <w:rPr>
          <w:rFonts w:ascii="Palatino Linotype" w:eastAsia="Palatino Linotype" w:hAnsi="Palatino Linotype" w:cs="Palatino Linotype"/>
        </w:rPr>
      </w:pPr>
      <w:r w:rsidRPr="009752B0">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6529CD69" w14:textId="77777777" w:rsidR="00A24DC9" w:rsidRPr="009752B0" w:rsidRDefault="00A24DC9">
      <w:pPr>
        <w:spacing w:line="360" w:lineRule="auto"/>
        <w:jc w:val="both"/>
        <w:rPr>
          <w:rFonts w:ascii="Palatino Linotype" w:eastAsia="Palatino Linotype" w:hAnsi="Palatino Linotype" w:cs="Palatino Linotype"/>
        </w:rPr>
      </w:pPr>
    </w:p>
    <w:p w14:paraId="0FBA131C" w14:textId="77777777" w:rsidR="00A24DC9" w:rsidRPr="009752B0" w:rsidRDefault="00A561CA">
      <w:pPr>
        <w:spacing w:line="360" w:lineRule="auto"/>
        <w:jc w:val="center"/>
        <w:rPr>
          <w:rFonts w:ascii="Palatino Linotype" w:eastAsia="Palatino Linotype" w:hAnsi="Palatino Linotype" w:cs="Palatino Linotype"/>
          <w:b/>
          <w:bCs/>
          <w:sz w:val="28"/>
          <w:szCs w:val="28"/>
        </w:rPr>
      </w:pPr>
      <w:r w:rsidRPr="009752B0">
        <w:rPr>
          <w:rFonts w:ascii="Palatino Linotype" w:eastAsia="Palatino Linotype" w:hAnsi="Palatino Linotype" w:cs="Palatino Linotype"/>
          <w:b/>
          <w:bCs/>
          <w:sz w:val="28"/>
          <w:szCs w:val="28"/>
        </w:rPr>
        <w:t xml:space="preserve">C O N S I D E R A N D O </w:t>
      </w:r>
    </w:p>
    <w:p w14:paraId="707BC41A" w14:textId="77777777" w:rsidR="00A24DC9" w:rsidRPr="009752B0" w:rsidRDefault="00A24DC9">
      <w:pPr>
        <w:spacing w:line="360" w:lineRule="auto"/>
        <w:rPr>
          <w:rFonts w:ascii="Palatino Linotype" w:eastAsia="Palatino Linotype" w:hAnsi="Palatino Linotype" w:cs="Palatino Linotype"/>
          <w:b/>
          <w:bCs/>
          <w:sz w:val="28"/>
          <w:szCs w:val="28"/>
        </w:rPr>
      </w:pPr>
    </w:p>
    <w:p w14:paraId="571F1CB8" w14:textId="77777777" w:rsidR="00A24DC9" w:rsidRPr="009752B0" w:rsidRDefault="00A24DC9">
      <w:pPr>
        <w:spacing w:line="360" w:lineRule="auto"/>
        <w:jc w:val="center"/>
        <w:rPr>
          <w:rFonts w:ascii="Palatino Linotype" w:eastAsia="Palatino Linotype" w:hAnsi="Palatino Linotype" w:cs="Palatino Linotype"/>
          <w:b/>
          <w:bCs/>
          <w:sz w:val="6"/>
          <w:szCs w:val="6"/>
        </w:rPr>
      </w:pPr>
    </w:p>
    <w:p w14:paraId="5F9DA1AC" w14:textId="77777777" w:rsidR="00A24DC9" w:rsidRPr="009752B0" w:rsidRDefault="00A561CA">
      <w:pPr>
        <w:spacing w:line="360" w:lineRule="auto"/>
        <w:jc w:val="both"/>
        <w:rPr>
          <w:rFonts w:ascii="Palatino Linotype" w:eastAsia="Palatino Linotype" w:hAnsi="Palatino Linotype" w:cs="Palatino Linotype"/>
          <w:sz w:val="28"/>
          <w:szCs w:val="28"/>
        </w:rPr>
      </w:pPr>
      <w:r w:rsidRPr="009752B0">
        <w:rPr>
          <w:rFonts w:ascii="Palatino Linotype" w:eastAsia="Palatino Linotype" w:hAnsi="Palatino Linotype" w:cs="Palatino Linotype"/>
          <w:b/>
          <w:bCs/>
          <w:sz w:val="28"/>
          <w:szCs w:val="28"/>
        </w:rPr>
        <w:t>PRIMERO. De la competencia</w:t>
      </w:r>
      <w:r w:rsidRPr="009752B0">
        <w:rPr>
          <w:rFonts w:ascii="Palatino Linotype" w:eastAsia="Palatino Linotype" w:hAnsi="Palatino Linotype" w:cs="Palatino Linotype"/>
          <w:sz w:val="28"/>
          <w:szCs w:val="28"/>
        </w:rPr>
        <w:t>.</w:t>
      </w:r>
    </w:p>
    <w:p w14:paraId="3D5033BA"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5 párrafos trigésimo séptimo, trigésimo octavo y trigésimo noveno fracciones IV y V de la Constitución Política del Estado Libre y Soberano de México; artículo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48DD4428" w14:textId="77777777" w:rsidR="00A24DC9" w:rsidRPr="009752B0" w:rsidRDefault="00A24DC9">
      <w:pPr>
        <w:spacing w:line="360" w:lineRule="auto"/>
        <w:jc w:val="both"/>
        <w:rPr>
          <w:rFonts w:ascii="Palatino Linotype" w:eastAsia="Palatino Linotype" w:hAnsi="Palatino Linotype" w:cs="Palatino Linotype"/>
        </w:rPr>
      </w:pPr>
    </w:p>
    <w:p w14:paraId="6B8C8759" w14:textId="77777777" w:rsidR="00A24DC9" w:rsidRPr="009752B0" w:rsidRDefault="00A561CA">
      <w:pPr>
        <w:spacing w:line="360" w:lineRule="auto"/>
        <w:jc w:val="both"/>
        <w:rPr>
          <w:rFonts w:ascii="Palatino Linotype" w:eastAsia="Palatino Linotype" w:hAnsi="Palatino Linotype" w:cs="Palatino Linotype"/>
          <w:b/>
          <w:bCs/>
          <w:sz w:val="28"/>
          <w:szCs w:val="28"/>
        </w:rPr>
      </w:pPr>
      <w:r w:rsidRPr="009752B0">
        <w:rPr>
          <w:rFonts w:ascii="Palatino Linotype" w:eastAsia="Palatino Linotype" w:hAnsi="Palatino Linotype" w:cs="Palatino Linotype"/>
          <w:b/>
          <w:bCs/>
          <w:sz w:val="28"/>
          <w:szCs w:val="28"/>
        </w:rPr>
        <w:t xml:space="preserve">SEGUNDO. De los alcances del Recurso de Revisión. </w:t>
      </w:r>
    </w:p>
    <w:p w14:paraId="093152DA"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9752B0">
        <w:rPr>
          <w:rFonts w:ascii="Palatino Linotype" w:eastAsia="Palatino Linotype" w:hAnsi="Palatino Linotype" w:cs="Palatino Linotype"/>
        </w:rPr>
        <w:lastRenderedPageBreak/>
        <w:t>expediente electrónico con la finalidad de reparar cualquier posible afectación al derecho de acceso a la información pública y garantizando el principio rector de máxima publicidad.</w:t>
      </w:r>
    </w:p>
    <w:p w14:paraId="44442FDD" w14:textId="77777777" w:rsidR="00A24DC9" w:rsidRPr="009752B0" w:rsidRDefault="00A24DC9">
      <w:pPr>
        <w:spacing w:line="360" w:lineRule="auto"/>
        <w:jc w:val="both"/>
        <w:rPr>
          <w:rFonts w:ascii="Palatino Linotype" w:eastAsia="Palatino Linotype" w:hAnsi="Palatino Linotype" w:cs="Palatino Linotype"/>
        </w:rPr>
      </w:pPr>
    </w:p>
    <w:p w14:paraId="06ED13BF"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b/>
          <w:bCs/>
          <w:sz w:val="28"/>
          <w:szCs w:val="28"/>
        </w:rPr>
        <w:t>TERCERO</w:t>
      </w:r>
      <w:r w:rsidRPr="009752B0">
        <w:rPr>
          <w:rFonts w:ascii="Palatino Linotype" w:eastAsia="Palatino Linotype" w:hAnsi="Palatino Linotype" w:cs="Palatino Linotype"/>
          <w:b/>
          <w:bCs/>
        </w:rPr>
        <w:t xml:space="preserve">. </w:t>
      </w:r>
      <w:r w:rsidRPr="009752B0">
        <w:rPr>
          <w:rFonts w:ascii="Palatino Linotype" w:eastAsia="Palatino Linotype" w:hAnsi="Palatino Linotype" w:cs="Palatino Linotype"/>
          <w:b/>
          <w:bCs/>
          <w:sz w:val="28"/>
          <w:szCs w:val="28"/>
        </w:rPr>
        <w:t>Cuestiones de previo y especial pronunciamiento.</w:t>
      </w:r>
    </w:p>
    <w:p w14:paraId="501B2D6C"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3DAA7A6D"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b/>
          <w:bCs/>
          <w:i/>
          <w:iCs/>
          <w:sz w:val="22"/>
          <w:szCs w:val="22"/>
        </w:rPr>
        <w:t xml:space="preserve">Artículo 180. </w:t>
      </w:r>
      <w:r w:rsidRPr="009752B0">
        <w:rPr>
          <w:rFonts w:ascii="Palatino Linotype" w:eastAsia="Palatino Linotype" w:hAnsi="Palatino Linotype" w:cs="Palatino Linotype"/>
          <w:i/>
          <w:iCs/>
          <w:sz w:val="22"/>
          <w:szCs w:val="22"/>
        </w:rPr>
        <w:t>El recurso de revisión contendrá:</w:t>
      </w:r>
    </w:p>
    <w:p w14:paraId="50277A8B"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I. El sujeto obligado ante la cual se presentó la solicitud;</w:t>
      </w:r>
    </w:p>
    <w:p w14:paraId="15950343"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b/>
          <w:bCs/>
          <w:i/>
          <w:iCs/>
          <w:sz w:val="22"/>
          <w:szCs w:val="22"/>
        </w:rPr>
        <w:t>II. El nombre del solicitante que recurre</w:t>
      </w:r>
      <w:r w:rsidRPr="009752B0">
        <w:rPr>
          <w:rFonts w:ascii="Palatino Linotype" w:eastAsia="Palatino Linotype" w:hAnsi="Palatino Linotype" w:cs="Palatino Linotype"/>
          <w:i/>
          <w:iCs/>
          <w:sz w:val="22"/>
          <w:szCs w:val="22"/>
        </w:rPr>
        <w:t xml:space="preserve"> o de su representante y, en su caso, del tercero interesado, así como la dirección o medio que señale para recibir notificaciones;</w:t>
      </w:r>
    </w:p>
    <w:p w14:paraId="10AACFE0"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III. El número de folio de respuesta de la solicitud de acceso;</w:t>
      </w:r>
    </w:p>
    <w:p w14:paraId="03F57023"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IV. La fecha en que fue notificada la respuesta al solicitante o tuvo conocimiento del acto reclamado, o de presentación de la solicitud, en caso de falta de respuesta;</w:t>
      </w:r>
    </w:p>
    <w:p w14:paraId="79DBA52F"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V. El acto que se recurre;</w:t>
      </w:r>
    </w:p>
    <w:p w14:paraId="7A5CFE4C"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VI. Las razones o motivos de inconformidad;</w:t>
      </w:r>
    </w:p>
    <w:p w14:paraId="5C949E1F"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VII. La copia de la respuesta que se impugna y, en su caso, de la notificación correspondiente, en el caso de respuesta de la solicitud; y</w:t>
      </w:r>
    </w:p>
    <w:p w14:paraId="4C82F67C"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VIII. Firma del recurrente, en su caso, cuando se presente por escrito, requisito sin el cual se dará trámite al recurso.</w:t>
      </w:r>
    </w:p>
    <w:p w14:paraId="5736CA1D" w14:textId="77777777" w:rsidR="00A24DC9" w:rsidRPr="009752B0" w:rsidRDefault="00A24DC9">
      <w:pPr>
        <w:ind w:left="567" w:right="567"/>
        <w:jc w:val="both"/>
        <w:rPr>
          <w:rFonts w:ascii="Palatino Linotype" w:eastAsia="Palatino Linotype" w:hAnsi="Palatino Linotype" w:cs="Palatino Linotype"/>
          <w:i/>
          <w:iCs/>
          <w:sz w:val="22"/>
          <w:szCs w:val="22"/>
        </w:rPr>
      </w:pPr>
    </w:p>
    <w:p w14:paraId="6BF496EB"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Adicionalmente, se podrán anexar las pruebas y demás elementos que considere procedentes someter a juicio del Instituto.</w:t>
      </w:r>
    </w:p>
    <w:p w14:paraId="214EB427" w14:textId="77777777" w:rsidR="00A24DC9" w:rsidRPr="009752B0" w:rsidRDefault="00A24DC9">
      <w:pPr>
        <w:ind w:left="567" w:right="567"/>
        <w:jc w:val="both"/>
        <w:rPr>
          <w:rFonts w:ascii="Palatino Linotype" w:eastAsia="Palatino Linotype" w:hAnsi="Palatino Linotype" w:cs="Palatino Linotype"/>
          <w:i/>
          <w:iCs/>
          <w:sz w:val="22"/>
          <w:szCs w:val="22"/>
        </w:rPr>
      </w:pPr>
    </w:p>
    <w:p w14:paraId="6361FC88"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En ningún caso será necesario que el particular ratifique el recurso de revisión interpuesto.</w:t>
      </w:r>
    </w:p>
    <w:p w14:paraId="4121C85F" w14:textId="77777777" w:rsidR="00A24DC9" w:rsidRPr="009752B0" w:rsidRDefault="00A24DC9">
      <w:pPr>
        <w:ind w:left="567" w:right="567"/>
        <w:jc w:val="both"/>
        <w:rPr>
          <w:rFonts w:ascii="Palatino Linotype" w:eastAsia="Palatino Linotype" w:hAnsi="Palatino Linotype" w:cs="Palatino Linotype"/>
          <w:i/>
          <w:iCs/>
          <w:sz w:val="22"/>
          <w:szCs w:val="22"/>
        </w:rPr>
      </w:pPr>
    </w:p>
    <w:p w14:paraId="4810AB9E"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b/>
          <w:bCs/>
          <w:i/>
          <w:iCs/>
          <w:sz w:val="22"/>
          <w:szCs w:val="22"/>
        </w:rPr>
        <w:t>En caso de que el recurso se interponga de manera electrónica no será indispensable que contengan los requisitos establecidos en las fracciones II</w:t>
      </w:r>
      <w:r w:rsidRPr="009752B0">
        <w:rPr>
          <w:rFonts w:ascii="Palatino Linotype" w:eastAsia="Palatino Linotype" w:hAnsi="Palatino Linotype" w:cs="Palatino Linotype"/>
          <w:i/>
          <w:iCs/>
          <w:sz w:val="22"/>
          <w:szCs w:val="22"/>
        </w:rPr>
        <w:t>, IV, VII y VIII.</w:t>
      </w:r>
    </w:p>
    <w:p w14:paraId="4294B4B3" w14:textId="77777777" w:rsidR="00A24DC9" w:rsidRPr="009752B0" w:rsidRDefault="00A24DC9">
      <w:pPr>
        <w:spacing w:line="360" w:lineRule="auto"/>
        <w:jc w:val="both"/>
        <w:rPr>
          <w:rFonts w:ascii="Palatino Linotype" w:eastAsia="Palatino Linotype" w:hAnsi="Palatino Linotype" w:cs="Palatino Linotype"/>
          <w:b/>
          <w:bCs/>
          <w:i/>
          <w:iCs/>
        </w:rPr>
      </w:pPr>
    </w:p>
    <w:p w14:paraId="5DE50ADF"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Cabe señalar que el hoy Recurrente en ejercicio de su derecho de acceso a la información pública, </w:t>
      </w:r>
      <w:r w:rsidRPr="009752B0">
        <w:rPr>
          <w:rFonts w:ascii="Palatino Linotype" w:eastAsia="Palatino Linotype" w:hAnsi="Palatino Linotype" w:cs="Palatino Linotype"/>
          <w:u w:val="single"/>
        </w:rPr>
        <w:t>proporcionó su nombre</w:t>
      </w:r>
      <w:r w:rsidRPr="009752B0">
        <w:rPr>
          <w:rFonts w:ascii="Palatino Linotype" w:eastAsia="Palatino Linotype" w:hAnsi="Palatino Linotype" w:cs="Palatino Linotype"/>
        </w:rPr>
        <w:t xml:space="preserve">; sin embargo de haberlo realizado de </w:t>
      </w:r>
      <w:r w:rsidRPr="009752B0">
        <w:rPr>
          <w:rFonts w:ascii="Palatino Linotype" w:eastAsia="Palatino Linotype" w:hAnsi="Palatino Linotype" w:cs="Palatino Linotype"/>
        </w:rPr>
        <w:lastRenderedPageBreak/>
        <w:t>manera anónima, con el nombre incompleto o con un seudónimo no es motivos para desechar las solicitudes de acceso a la información pública conforme a lo previsto en el artículo 155, penúltimo párrafo de la Ley de Transparencia y Acceso a la Información Pública del Estado de México y Municipios que señala lo siguiente:</w:t>
      </w:r>
    </w:p>
    <w:p w14:paraId="36DEF0AB"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b/>
          <w:bCs/>
          <w:i/>
          <w:iCs/>
          <w:sz w:val="22"/>
          <w:szCs w:val="22"/>
        </w:rPr>
        <w:t>Artículo 155.</w:t>
      </w:r>
      <w:r w:rsidRPr="009752B0">
        <w:rPr>
          <w:rFonts w:ascii="Palatino Linotype" w:eastAsia="Palatino Linotype" w:hAnsi="Palatino Linotype" w:cs="Palatino Linotype"/>
          <w:i/>
          <w:iCs/>
          <w:sz w:val="22"/>
          <w:szCs w:val="22"/>
        </w:rPr>
        <w:t xml:space="preserve"> (…)</w:t>
      </w:r>
    </w:p>
    <w:p w14:paraId="21C399ED" w14:textId="77777777" w:rsidR="00A24DC9" w:rsidRPr="009752B0" w:rsidRDefault="00A24DC9">
      <w:pPr>
        <w:ind w:left="567" w:right="567"/>
        <w:jc w:val="both"/>
        <w:rPr>
          <w:rFonts w:ascii="Palatino Linotype" w:eastAsia="Palatino Linotype" w:hAnsi="Palatino Linotype" w:cs="Palatino Linotype"/>
          <w:i/>
          <w:iCs/>
          <w:sz w:val="22"/>
          <w:szCs w:val="22"/>
        </w:rPr>
      </w:pPr>
    </w:p>
    <w:p w14:paraId="67F4EFB6"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A9D186C"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p>
    <w:p w14:paraId="37BEB203" w14:textId="77777777" w:rsidR="00A24DC9" w:rsidRPr="009752B0" w:rsidRDefault="00A24DC9">
      <w:pPr>
        <w:spacing w:line="360" w:lineRule="auto"/>
        <w:jc w:val="both"/>
        <w:rPr>
          <w:rFonts w:ascii="Palatino Linotype" w:eastAsia="Palatino Linotype" w:hAnsi="Palatino Linotype" w:cs="Palatino Linotype"/>
        </w:rPr>
      </w:pPr>
    </w:p>
    <w:p w14:paraId="29C00192"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460907C5" w14:textId="77777777" w:rsidR="00A24DC9" w:rsidRPr="009752B0" w:rsidRDefault="00A24DC9">
      <w:pPr>
        <w:spacing w:line="360" w:lineRule="auto"/>
        <w:jc w:val="both"/>
        <w:rPr>
          <w:rFonts w:ascii="Palatino Linotype" w:eastAsia="Palatino Linotype" w:hAnsi="Palatino Linotype" w:cs="Palatino Linotype"/>
        </w:rPr>
      </w:pPr>
    </w:p>
    <w:p w14:paraId="637BE037" w14:textId="77777777" w:rsidR="00A24DC9" w:rsidRPr="009752B0" w:rsidRDefault="00A561CA">
      <w:pPr>
        <w:ind w:left="567" w:right="567"/>
        <w:jc w:val="center"/>
        <w:rPr>
          <w:rFonts w:ascii="Palatino Linotype" w:eastAsia="Palatino Linotype" w:hAnsi="Palatino Linotype" w:cs="Palatino Linotype"/>
          <w:b/>
          <w:bCs/>
          <w:i/>
          <w:iCs/>
          <w:sz w:val="22"/>
          <w:szCs w:val="22"/>
          <w:u w:val="single"/>
        </w:rPr>
      </w:pPr>
      <w:r w:rsidRPr="009752B0">
        <w:rPr>
          <w:rFonts w:ascii="Palatino Linotype" w:eastAsia="Palatino Linotype" w:hAnsi="Palatino Linotype" w:cs="Palatino Linotype"/>
          <w:b/>
          <w:bCs/>
          <w:i/>
          <w:iCs/>
          <w:sz w:val="22"/>
          <w:szCs w:val="22"/>
          <w:u w:val="single"/>
        </w:rPr>
        <w:t>Constitución Política de los Estados Unidos Mexicanos</w:t>
      </w:r>
    </w:p>
    <w:p w14:paraId="22557B0B"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b/>
          <w:bCs/>
          <w:i/>
          <w:iCs/>
          <w:sz w:val="22"/>
          <w:szCs w:val="22"/>
        </w:rPr>
        <w:t>Artículo 6</w:t>
      </w:r>
      <w:r w:rsidRPr="009752B0">
        <w:rPr>
          <w:rFonts w:ascii="Palatino Linotype" w:eastAsia="Palatino Linotype" w:hAnsi="Palatino Linotype" w:cs="Palatino Linotype"/>
          <w:i/>
          <w:iCs/>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45E1F66"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p>
    <w:p w14:paraId="69E7740E"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 xml:space="preserve">Para efectos de lo dispuesto en el presente artículo se observará lo siguiente: </w:t>
      </w:r>
    </w:p>
    <w:p w14:paraId="6F5C1B6B"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A. Para el ejercicio del derecho de acceso a la información, la Federación, los Estados y el Distrito Federal, en el ámbito de sus respectivas competencias, se regirán por los siguientes principios y bases:</w:t>
      </w:r>
    </w:p>
    <w:p w14:paraId="3B94CC03"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p>
    <w:p w14:paraId="5663578B"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 xml:space="preserve">III. Toda persona, sin necesidad de acreditar interés alguno o justificar su utilización, tendrá acceso gratuito a la información pública, a sus datos personales o a la rectificación de éstos. </w:t>
      </w:r>
    </w:p>
    <w:p w14:paraId="3C226223"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14:paraId="0E1BAF1C" w14:textId="77777777" w:rsidR="00A24DC9" w:rsidRPr="009752B0" w:rsidRDefault="00A24DC9">
      <w:pPr>
        <w:ind w:left="567" w:right="567"/>
        <w:jc w:val="both"/>
        <w:rPr>
          <w:rFonts w:ascii="Palatino Linotype" w:eastAsia="Palatino Linotype" w:hAnsi="Palatino Linotype" w:cs="Palatino Linotype"/>
          <w:i/>
          <w:iCs/>
          <w:sz w:val="22"/>
          <w:szCs w:val="22"/>
        </w:rPr>
      </w:pPr>
    </w:p>
    <w:p w14:paraId="57198935" w14:textId="77777777" w:rsidR="00A24DC9" w:rsidRPr="009752B0" w:rsidRDefault="00A24DC9">
      <w:pPr>
        <w:ind w:left="567" w:right="567"/>
        <w:jc w:val="both"/>
        <w:rPr>
          <w:rFonts w:ascii="Palatino Linotype" w:eastAsia="Palatino Linotype" w:hAnsi="Palatino Linotype" w:cs="Palatino Linotype"/>
          <w:i/>
          <w:iCs/>
          <w:sz w:val="22"/>
          <w:szCs w:val="22"/>
        </w:rPr>
      </w:pPr>
    </w:p>
    <w:p w14:paraId="09B18D66" w14:textId="77777777" w:rsidR="00A24DC9" w:rsidRPr="009752B0" w:rsidRDefault="00A561CA">
      <w:pPr>
        <w:ind w:left="567" w:right="567"/>
        <w:jc w:val="center"/>
        <w:rPr>
          <w:rFonts w:ascii="Palatino Linotype" w:eastAsia="Palatino Linotype" w:hAnsi="Palatino Linotype" w:cs="Palatino Linotype"/>
          <w:b/>
          <w:bCs/>
          <w:i/>
          <w:iCs/>
          <w:sz w:val="22"/>
          <w:szCs w:val="22"/>
          <w:u w:val="single"/>
        </w:rPr>
      </w:pPr>
      <w:r w:rsidRPr="009752B0">
        <w:rPr>
          <w:rFonts w:ascii="Palatino Linotype" w:eastAsia="Palatino Linotype" w:hAnsi="Palatino Linotype" w:cs="Palatino Linotype"/>
          <w:b/>
          <w:bCs/>
          <w:i/>
          <w:iCs/>
          <w:sz w:val="22"/>
          <w:szCs w:val="22"/>
          <w:u w:val="single"/>
        </w:rPr>
        <w:t>Constitución Política del Estado Libre y Soberano de México</w:t>
      </w:r>
    </w:p>
    <w:p w14:paraId="7B8A3F0B"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b/>
          <w:bCs/>
          <w:i/>
          <w:iCs/>
          <w:sz w:val="22"/>
          <w:szCs w:val="22"/>
        </w:rPr>
        <w:t>Artículo 5</w:t>
      </w:r>
      <w:r w:rsidRPr="009752B0">
        <w:rPr>
          <w:rFonts w:ascii="Palatino Linotype" w:eastAsia="Palatino Linotype" w:hAnsi="Palatino Linotype" w:cs="Palatino Linotype"/>
          <w:i/>
          <w:iCs/>
          <w:sz w:val="22"/>
          <w:szCs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1A183A8"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p>
    <w:p w14:paraId="2C4484D9"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Toda persona en el Estado de México, tiene derecho al libre acceso a la información plural y oportuna, así como a buscar recibir y difundir información e ideas de toda índole por cualquier medio de expresión.</w:t>
      </w:r>
    </w:p>
    <w:p w14:paraId="5BA930E1"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p>
    <w:p w14:paraId="04C507FD"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 xml:space="preserve">El derecho a la información será garantizado por el Estado. La ley establecerá las previsiones que permitan asegurar la protección, el respeto y la difusión de este derecho. </w:t>
      </w:r>
    </w:p>
    <w:p w14:paraId="15D0216C" w14:textId="77777777" w:rsidR="00A24DC9" w:rsidRPr="009752B0" w:rsidRDefault="00A24DC9">
      <w:pPr>
        <w:ind w:left="567" w:right="567"/>
        <w:jc w:val="both"/>
        <w:rPr>
          <w:rFonts w:ascii="Palatino Linotype" w:eastAsia="Palatino Linotype" w:hAnsi="Palatino Linotype" w:cs="Palatino Linotype"/>
          <w:i/>
          <w:iCs/>
          <w:sz w:val="22"/>
          <w:szCs w:val="22"/>
        </w:rPr>
      </w:pPr>
    </w:p>
    <w:p w14:paraId="6C9EDBA9"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55DE1C6" w14:textId="77777777" w:rsidR="00A24DC9" w:rsidRPr="009752B0" w:rsidRDefault="00A24DC9">
      <w:pPr>
        <w:ind w:left="567" w:right="567"/>
        <w:jc w:val="both"/>
        <w:rPr>
          <w:rFonts w:ascii="Palatino Linotype" w:eastAsia="Palatino Linotype" w:hAnsi="Palatino Linotype" w:cs="Palatino Linotype"/>
          <w:i/>
          <w:iCs/>
          <w:sz w:val="22"/>
          <w:szCs w:val="22"/>
        </w:rPr>
      </w:pPr>
    </w:p>
    <w:p w14:paraId="1DAB3AAE"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Este derecho se regirá por los principios y bases siguientes:</w:t>
      </w:r>
    </w:p>
    <w:p w14:paraId="4CF6DF34"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p>
    <w:p w14:paraId="35DDBE5C"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b/>
          <w:bCs/>
          <w:i/>
          <w:iCs/>
          <w:sz w:val="22"/>
          <w:szCs w:val="22"/>
        </w:rPr>
        <w:t>III.</w:t>
      </w:r>
      <w:r w:rsidRPr="009752B0">
        <w:rPr>
          <w:rFonts w:ascii="Palatino Linotype" w:eastAsia="Palatino Linotype" w:hAnsi="Palatino Linotype" w:cs="Palatino Linotype"/>
          <w:i/>
          <w:iCs/>
          <w:sz w:val="22"/>
          <w:szCs w:val="22"/>
        </w:rPr>
        <w:t xml:space="preserve"> Toda persona, sin necesidad de acreditar interés alguno o justificar su utilización, tendrá acceso gratuito a la información pública, a sus datos personales o a la rectificación de éstos;</w:t>
      </w:r>
    </w:p>
    <w:p w14:paraId="16DC9B8D"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b/>
          <w:bCs/>
          <w:i/>
          <w:iCs/>
          <w:sz w:val="22"/>
          <w:szCs w:val="22"/>
        </w:rPr>
        <w:t>IV.</w:t>
      </w:r>
      <w:r w:rsidRPr="009752B0">
        <w:rPr>
          <w:rFonts w:ascii="Palatino Linotype" w:eastAsia="Palatino Linotype" w:hAnsi="Palatino Linotype" w:cs="Palatino Linotype"/>
          <w:i/>
          <w:iCs/>
          <w:sz w:val="22"/>
          <w:szCs w:val="22"/>
        </w:rPr>
        <w:t xml:space="preserve"> Se establecerán mecanismos de acceso a la información y procedimientos de revisión expeditos que se sustanciarán ante el organismo autónomo especializado e imparcial que establece esta Constitución.</w:t>
      </w:r>
    </w:p>
    <w:p w14:paraId="284838AE"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p>
    <w:p w14:paraId="75B3377C"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b/>
          <w:bCs/>
          <w:i/>
          <w:iCs/>
          <w:sz w:val="22"/>
          <w:szCs w:val="22"/>
        </w:rPr>
        <w:t>VIII.</w:t>
      </w:r>
      <w:r w:rsidRPr="009752B0">
        <w:rPr>
          <w:rFonts w:ascii="Palatino Linotype" w:eastAsia="Palatino Linotype" w:hAnsi="Palatino Linotype" w:cs="Palatino Linotype"/>
          <w:i/>
          <w:iCs/>
          <w:sz w:val="22"/>
          <w:szCs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w:t>
      </w:r>
      <w:r w:rsidRPr="009752B0">
        <w:rPr>
          <w:rFonts w:ascii="Palatino Linotype" w:eastAsia="Palatino Linotype" w:hAnsi="Palatino Linotype" w:cs="Palatino Linotype"/>
          <w:i/>
          <w:iCs/>
          <w:sz w:val="22"/>
          <w:szCs w:val="22"/>
        </w:rPr>
        <w:lastRenderedPageBreak/>
        <w:t xml:space="preserve">la información pública y a la protección de datos personales en posesión de los sujetos obligados en los términos que establezca la ley. </w:t>
      </w:r>
    </w:p>
    <w:p w14:paraId="77648CCD"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p>
    <w:p w14:paraId="677A7EF2" w14:textId="77777777" w:rsidR="00A24DC9" w:rsidRPr="009752B0" w:rsidRDefault="00A24DC9">
      <w:pPr>
        <w:spacing w:line="360" w:lineRule="auto"/>
        <w:ind w:left="567" w:right="567"/>
        <w:jc w:val="both"/>
        <w:rPr>
          <w:rFonts w:ascii="Palatino Linotype" w:eastAsia="Palatino Linotype" w:hAnsi="Palatino Linotype" w:cs="Palatino Linotype"/>
        </w:rPr>
      </w:pPr>
    </w:p>
    <w:p w14:paraId="6164E819"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Por otra parte, del contenido del artículo 1 de la Constitución Política de los Estados Unidos Mexicanos, se destaca lo siguiente:</w:t>
      </w:r>
    </w:p>
    <w:p w14:paraId="7728ED48"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b/>
          <w:bCs/>
          <w:i/>
          <w:iCs/>
          <w:sz w:val="22"/>
          <w:szCs w:val="22"/>
        </w:rPr>
        <w:t>Artículo 1o</w:t>
      </w:r>
      <w:r w:rsidRPr="009752B0">
        <w:rPr>
          <w:rFonts w:ascii="Palatino Linotype" w:eastAsia="Palatino Linotype" w:hAnsi="Palatino Linotype" w:cs="Palatino Linotype"/>
          <w:i/>
          <w:iCs/>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823DA10" w14:textId="77777777" w:rsidR="00A24DC9" w:rsidRPr="009752B0" w:rsidRDefault="00A24DC9">
      <w:pPr>
        <w:ind w:left="567" w:right="567"/>
        <w:jc w:val="both"/>
        <w:rPr>
          <w:rFonts w:ascii="Palatino Linotype" w:eastAsia="Palatino Linotype" w:hAnsi="Palatino Linotype" w:cs="Palatino Linotype"/>
          <w:i/>
          <w:iCs/>
          <w:sz w:val="22"/>
          <w:szCs w:val="22"/>
        </w:rPr>
      </w:pPr>
    </w:p>
    <w:p w14:paraId="1271A235"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Las normas relativas a los derechos humanos se interpretarán de conformidad con esta Constitución y con los tratados internacionales de la materia favoreciendo en todo tiempo a las personas la protección más amplia.</w:t>
      </w:r>
    </w:p>
    <w:p w14:paraId="2C68919D" w14:textId="77777777" w:rsidR="00A24DC9" w:rsidRPr="009752B0" w:rsidRDefault="00A24DC9">
      <w:pPr>
        <w:ind w:left="567" w:right="567"/>
        <w:jc w:val="both"/>
        <w:rPr>
          <w:rFonts w:ascii="Palatino Linotype" w:eastAsia="Palatino Linotype" w:hAnsi="Palatino Linotype" w:cs="Palatino Linotype"/>
          <w:i/>
          <w:iCs/>
          <w:sz w:val="22"/>
          <w:szCs w:val="22"/>
        </w:rPr>
      </w:pPr>
    </w:p>
    <w:p w14:paraId="42A6FD04" w14:textId="77777777" w:rsidR="00A24DC9" w:rsidRPr="009752B0" w:rsidRDefault="00A561CA">
      <w:pPr>
        <w:ind w:left="567" w:right="567"/>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B455926" w14:textId="77777777" w:rsidR="00A24DC9" w:rsidRPr="009752B0" w:rsidRDefault="00A24DC9">
      <w:pPr>
        <w:spacing w:line="360" w:lineRule="auto"/>
        <w:ind w:left="567" w:right="567"/>
        <w:jc w:val="both"/>
        <w:rPr>
          <w:rFonts w:ascii="Palatino Linotype" w:eastAsia="Palatino Linotype" w:hAnsi="Palatino Linotype" w:cs="Palatino Linotype"/>
        </w:rPr>
      </w:pPr>
    </w:p>
    <w:p w14:paraId="4E79C059"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FD5035B" w14:textId="77777777" w:rsidR="00A24DC9" w:rsidRPr="009752B0" w:rsidRDefault="00A24DC9">
      <w:pPr>
        <w:spacing w:line="360" w:lineRule="auto"/>
        <w:jc w:val="both"/>
        <w:rPr>
          <w:rFonts w:ascii="Palatino Linotype" w:eastAsia="Palatino Linotype" w:hAnsi="Palatino Linotype" w:cs="Palatino Linotype"/>
        </w:rPr>
      </w:pPr>
    </w:p>
    <w:p w14:paraId="19EE788D"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color w:val="000000"/>
        </w:rPr>
        <w:lastRenderedPageBreak/>
        <w:t>En conclusión, se cubrieron los requisitos de procedencia y procedibilidad, conforme a las constancias que obran en el expediente.</w:t>
      </w:r>
    </w:p>
    <w:p w14:paraId="6C937F6E" w14:textId="77777777" w:rsidR="00A24DC9" w:rsidRPr="009752B0" w:rsidRDefault="00A24DC9">
      <w:pPr>
        <w:spacing w:line="360" w:lineRule="auto"/>
        <w:jc w:val="both"/>
        <w:rPr>
          <w:rFonts w:ascii="Palatino Linotype" w:eastAsia="Palatino Linotype" w:hAnsi="Palatino Linotype" w:cs="Palatino Linotype"/>
        </w:rPr>
      </w:pPr>
    </w:p>
    <w:p w14:paraId="718C805D" w14:textId="77777777" w:rsidR="00A24DC9" w:rsidRPr="009752B0" w:rsidRDefault="00A24DC9">
      <w:pPr>
        <w:spacing w:line="360" w:lineRule="auto"/>
        <w:jc w:val="both"/>
        <w:rPr>
          <w:rFonts w:ascii="Palatino Linotype" w:eastAsia="Palatino Linotype" w:hAnsi="Palatino Linotype" w:cs="Palatino Linotype"/>
        </w:rPr>
      </w:pPr>
    </w:p>
    <w:p w14:paraId="36257515" w14:textId="77777777" w:rsidR="00A24DC9" w:rsidRPr="009752B0" w:rsidRDefault="00A561CA">
      <w:pPr>
        <w:spacing w:line="360" w:lineRule="auto"/>
        <w:jc w:val="both"/>
        <w:rPr>
          <w:rFonts w:ascii="Palatino Linotype" w:eastAsia="Palatino Linotype" w:hAnsi="Palatino Linotype" w:cs="Palatino Linotype"/>
          <w:b/>
          <w:bCs/>
          <w:sz w:val="28"/>
          <w:szCs w:val="28"/>
        </w:rPr>
      </w:pPr>
      <w:r w:rsidRPr="009752B0">
        <w:rPr>
          <w:rFonts w:ascii="Palatino Linotype" w:eastAsia="Palatino Linotype" w:hAnsi="Palatino Linotype" w:cs="Palatino Linotype"/>
          <w:b/>
          <w:bCs/>
          <w:sz w:val="28"/>
          <w:szCs w:val="28"/>
        </w:rPr>
        <w:t xml:space="preserve">CUARTO. Del estudio de las causas de improcedencia. </w:t>
      </w:r>
    </w:p>
    <w:p w14:paraId="560985DD"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752B0">
        <w:rPr>
          <w:rFonts w:ascii="Palatino Linotype" w:eastAsia="Palatino Linotype" w:hAnsi="Palatino Linotype" w:cs="Palatino Linotype"/>
          <w:vertAlign w:val="superscript"/>
        </w:rPr>
        <w:footnoteReference w:id="1"/>
      </w:r>
      <w:r w:rsidRPr="009752B0">
        <w:rPr>
          <w:rFonts w:ascii="Palatino Linotype" w:eastAsia="Palatino Linotype" w:hAnsi="Palatino Linotype" w:cs="Palatino Linotype"/>
        </w:rPr>
        <w:t>.</w:t>
      </w:r>
    </w:p>
    <w:p w14:paraId="466143F4" w14:textId="77777777" w:rsidR="00A24DC9" w:rsidRPr="009752B0" w:rsidRDefault="00A24DC9">
      <w:pPr>
        <w:spacing w:line="360" w:lineRule="auto"/>
        <w:jc w:val="both"/>
        <w:rPr>
          <w:rFonts w:ascii="Palatino Linotype" w:eastAsia="Palatino Linotype" w:hAnsi="Palatino Linotype" w:cs="Palatino Linotype"/>
        </w:rPr>
      </w:pPr>
    </w:p>
    <w:p w14:paraId="1C78CB39"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Por lo que una vez que se analizó el expediente en estudio se cae en la cuenta de que no se actualiza ninguna de las casuales a continuación transcritas:</w:t>
      </w:r>
    </w:p>
    <w:p w14:paraId="61190C8B" w14:textId="77777777" w:rsidR="00A24DC9" w:rsidRPr="009752B0" w:rsidRDefault="00A24DC9"/>
    <w:p w14:paraId="19030B3D" w14:textId="77777777" w:rsidR="00A24DC9" w:rsidRPr="009752B0" w:rsidRDefault="00A561CA">
      <w:pPr>
        <w:ind w:left="708" w:right="850"/>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r w:rsidRPr="009752B0">
        <w:rPr>
          <w:rFonts w:ascii="Palatino Linotype" w:eastAsia="Palatino Linotype" w:hAnsi="Palatino Linotype" w:cs="Palatino Linotype"/>
          <w:b/>
          <w:bCs/>
          <w:i/>
          <w:iCs/>
          <w:sz w:val="22"/>
          <w:szCs w:val="22"/>
        </w:rPr>
        <w:t>Artículo 191.</w:t>
      </w:r>
      <w:r w:rsidRPr="009752B0">
        <w:rPr>
          <w:rFonts w:ascii="Palatino Linotype" w:eastAsia="Palatino Linotype" w:hAnsi="Palatino Linotype" w:cs="Palatino Linotype"/>
          <w:i/>
          <w:iCs/>
          <w:sz w:val="22"/>
          <w:szCs w:val="22"/>
        </w:rPr>
        <w:t xml:space="preserve"> El recurso será desechado por improcedente cuando:  </w:t>
      </w:r>
    </w:p>
    <w:p w14:paraId="24D2D55D" w14:textId="77777777" w:rsidR="00A24DC9" w:rsidRPr="009752B0" w:rsidRDefault="00A561CA">
      <w:pPr>
        <w:ind w:left="708" w:right="850"/>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 xml:space="preserve">I. Sea extemporáneo por haber transcurrido el plazo establecido en la presente Ley, a partir de la respuesta;  </w:t>
      </w:r>
    </w:p>
    <w:p w14:paraId="47501F16" w14:textId="77777777" w:rsidR="00A24DC9" w:rsidRPr="009752B0" w:rsidRDefault="00A561CA">
      <w:pPr>
        <w:ind w:left="708" w:right="850"/>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 xml:space="preserve">II. Se esté tramitando ante el Poder Judicial de la Federación algún recurso o medio de defensa interpuesto por el recurrente;  </w:t>
      </w:r>
    </w:p>
    <w:p w14:paraId="67C561B6" w14:textId="77777777" w:rsidR="00A24DC9" w:rsidRPr="009752B0" w:rsidRDefault="00A561CA">
      <w:pPr>
        <w:ind w:left="708" w:right="850"/>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 xml:space="preserve">III. No actualice alguno de los supuestos previstos en la presente Ley;  </w:t>
      </w:r>
    </w:p>
    <w:p w14:paraId="1A427157" w14:textId="77777777" w:rsidR="00A24DC9" w:rsidRPr="009752B0" w:rsidRDefault="00A561CA">
      <w:pPr>
        <w:ind w:left="708" w:right="850"/>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IV. No se haya desahogado la prevención en los términos establecidos en la presente Ley;</w:t>
      </w:r>
    </w:p>
    <w:p w14:paraId="0202D181" w14:textId="77777777" w:rsidR="00A24DC9" w:rsidRPr="009752B0" w:rsidRDefault="00A561CA">
      <w:pPr>
        <w:ind w:left="708" w:right="850"/>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 xml:space="preserve">V. Se impugne la veracidad de la información proporcionada;  </w:t>
      </w:r>
    </w:p>
    <w:p w14:paraId="412BEC7F" w14:textId="77777777" w:rsidR="00A24DC9" w:rsidRPr="009752B0" w:rsidRDefault="00A561CA">
      <w:pPr>
        <w:ind w:left="708" w:right="850"/>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 xml:space="preserve">VI. Se trate de una consulta, o trámite en específico; y  </w:t>
      </w:r>
    </w:p>
    <w:p w14:paraId="4D1CAB8A" w14:textId="77777777" w:rsidR="00A24DC9" w:rsidRPr="009752B0" w:rsidRDefault="00A561CA">
      <w:pPr>
        <w:ind w:left="708" w:right="850"/>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VII. El recurrente amplíe su solicitud en el recurso de revisión, únicamente respecto de los nuevos contenidos.”</w:t>
      </w:r>
    </w:p>
    <w:p w14:paraId="5FEDB116" w14:textId="77777777" w:rsidR="00A24DC9" w:rsidRPr="009752B0" w:rsidRDefault="00A24DC9">
      <w:pPr>
        <w:spacing w:line="360" w:lineRule="auto"/>
        <w:ind w:left="708" w:right="850"/>
        <w:jc w:val="both"/>
        <w:rPr>
          <w:rFonts w:ascii="Palatino Linotype" w:eastAsia="Palatino Linotype" w:hAnsi="Palatino Linotype" w:cs="Palatino Linotype"/>
          <w:i/>
          <w:iCs/>
        </w:rPr>
      </w:pPr>
    </w:p>
    <w:p w14:paraId="3CAF7EAC"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339B529E" w14:textId="77777777" w:rsidR="00A24DC9" w:rsidRPr="009752B0" w:rsidRDefault="00A24DC9">
      <w:pPr>
        <w:spacing w:line="360" w:lineRule="auto"/>
        <w:jc w:val="both"/>
        <w:rPr>
          <w:rFonts w:ascii="Palatino Linotype" w:eastAsia="Palatino Linotype" w:hAnsi="Palatino Linotype" w:cs="Palatino Linotype"/>
        </w:rPr>
      </w:pPr>
    </w:p>
    <w:p w14:paraId="68BD51D6"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Así las cosas, al no existir causas de improcedencia invocadas por las partes ni advertidas de oficio por este Resolutor, se </w:t>
      </w:r>
      <w:proofErr w:type="gramStart"/>
      <w:r w:rsidRPr="009752B0">
        <w:rPr>
          <w:rFonts w:ascii="Palatino Linotype" w:eastAsia="Palatino Linotype" w:hAnsi="Palatino Linotype" w:cs="Palatino Linotype"/>
        </w:rPr>
        <w:t>procede</w:t>
      </w:r>
      <w:proofErr w:type="gramEnd"/>
      <w:r w:rsidRPr="009752B0">
        <w:rPr>
          <w:rFonts w:ascii="Palatino Linotype" w:eastAsia="Palatino Linotype" w:hAnsi="Palatino Linotype" w:cs="Palatino Linotype"/>
        </w:rPr>
        <w:t xml:space="preserve"> al análisis del fondo de los asuntos en los siguientes términos.</w:t>
      </w:r>
    </w:p>
    <w:p w14:paraId="41F961CC" w14:textId="77777777" w:rsidR="00A24DC9" w:rsidRPr="009752B0" w:rsidRDefault="00A24DC9">
      <w:pPr>
        <w:spacing w:line="360" w:lineRule="auto"/>
        <w:jc w:val="both"/>
        <w:rPr>
          <w:rFonts w:ascii="Palatino Linotype" w:eastAsia="Palatino Linotype" w:hAnsi="Palatino Linotype" w:cs="Palatino Linotype"/>
        </w:rPr>
      </w:pPr>
    </w:p>
    <w:p w14:paraId="1729ADE5" w14:textId="77777777" w:rsidR="00A24DC9" w:rsidRPr="009752B0" w:rsidRDefault="00A561CA">
      <w:pPr>
        <w:spacing w:line="360" w:lineRule="auto"/>
        <w:jc w:val="both"/>
        <w:rPr>
          <w:rFonts w:ascii="Palatino Linotype" w:eastAsia="Palatino Linotype" w:hAnsi="Palatino Linotype" w:cs="Palatino Linotype"/>
          <w:sz w:val="28"/>
          <w:szCs w:val="28"/>
        </w:rPr>
      </w:pPr>
      <w:r w:rsidRPr="009752B0">
        <w:rPr>
          <w:rFonts w:ascii="Palatino Linotype" w:eastAsia="Palatino Linotype" w:hAnsi="Palatino Linotype" w:cs="Palatino Linotype"/>
          <w:b/>
          <w:bCs/>
          <w:sz w:val="28"/>
          <w:szCs w:val="28"/>
        </w:rPr>
        <w:lastRenderedPageBreak/>
        <w:t>QUINTO. Del estudio y resolución del asunto.</w:t>
      </w:r>
      <w:r w:rsidRPr="009752B0">
        <w:rPr>
          <w:rFonts w:ascii="Palatino Linotype" w:eastAsia="Palatino Linotype" w:hAnsi="Palatino Linotype" w:cs="Palatino Linotype"/>
          <w:sz w:val="28"/>
          <w:szCs w:val="28"/>
        </w:rPr>
        <w:t xml:space="preserve"> </w:t>
      </w:r>
    </w:p>
    <w:p w14:paraId="3500FB6A"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1B9E774" w14:textId="77777777" w:rsidR="00A24DC9" w:rsidRPr="009752B0" w:rsidRDefault="00A24DC9">
      <w:pPr>
        <w:spacing w:line="360" w:lineRule="auto"/>
        <w:ind w:right="141"/>
        <w:jc w:val="both"/>
        <w:rPr>
          <w:rFonts w:ascii="Palatino Linotype" w:eastAsia="Palatino Linotype" w:hAnsi="Palatino Linotype" w:cs="Palatino Linotype"/>
        </w:rPr>
      </w:pPr>
    </w:p>
    <w:p w14:paraId="53F10DBA" w14:textId="77777777" w:rsidR="00A24DC9" w:rsidRPr="009752B0" w:rsidRDefault="00A561CA">
      <w:pPr>
        <w:spacing w:line="360" w:lineRule="auto"/>
        <w:ind w:right="141"/>
        <w:jc w:val="both"/>
        <w:rPr>
          <w:rFonts w:ascii="Palatino Linotype" w:eastAsia="Palatino Linotype" w:hAnsi="Palatino Linotype" w:cs="Palatino Linotype"/>
        </w:rPr>
      </w:pPr>
      <w:r w:rsidRPr="009752B0">
        <w:rPr>
          <w:rFonts w:ascii="Palatino Linotype" w:eastAsia="Palatino Linotype" w:hAnsi="Palatino Linotype" w:cs="Palatino Linotype"/>
        </w:rPr>
        <w:t>En este sentido nuestro estudio versará en determinar si la información remitida mediante respuesta, colma el derecho de acceso a la información solicitado por la</w:t>
      </w:r>
      <w:r w:rsidRPr="009752B0">
        <w:rPr>
          <w:rFonts w:ascii="Palatino Linotype" w:eastAsia="Palatino Linotype" w:hAnsi="Palatino Linotype" w:cs="Palatino Linotype"/>
          <w:b/>
          <w:bCs/>
        </w:rPr>
        <w:t xml:space="preserve"> </w:t>
      </w:r>
      <w:r w:rsidRPr="009752B0">
        <w:rPr>
          <w:rFonts w:ascii="Palatino Linotype" w:eastAsia="Palatino Linotype" w:hAnsi="Palatino Linotype" w:cs="Palatino Linotype"/>
        </w:rPr>
        <w:t>parte</w:t>
      </w:r>
      <w:r w:rsidRPr="009752B0">
        <w:rPr>
          <w:rFonts w:ascii="Palatino Linotype" w:eastAsia="Palatino Linotype" w:hAnsi="Palatino Linotype" w:cs="Palatino Linotype"/>
          <w:b/>
          <w:bCs/>
        </w:rPr>
        <w:t xml:space="preserve"> Recurrente</w:t>
      </w:r>
      <w:r w:rsidRPr="009752B0">
        <w:rPr>
          <w:rFonts w:ascii="Palatino Linotype" w:eastAsia="Palatino Linotype" w:hAnsi="Palatino Linotype" w:cs="Palatino Linotype"/>
        </w:rPr>
        <w:t>, para ello analizaremos lo solicitado y la información proporcionada.</w:t>
      </w:r>
    </w:p>
    <w:p w14:paraId="61A88870" w14:textId="77777777" w:rsidR="00A24DC9" w:rsidRPr="009752B0" w:rsidRDefault="00A24DC9">
      <w:pPr>
        <w:spacing w:line="360" w:lineRule="auto"/>
        <w:ind w:right="141"/>
        <w:jc w:val="both"/>
        <w:rPr>
          <w:rFonts w:ascii="Palatino Linotype" w:eastAsia="Palatino Linotype" w:hAnsi="Palatino Linotype" w:cs="Palatino Linotype"/>
        </w:rPr>
      </w:pPr>
    </w:p>
    <w:p w14:paraId="198728CD" w14:textId="77777777" w:rsidR="00A24DC9" w:rsidRPr="009752B0" w:rsidRDefault="00A561CA">
      <w:pPr>
        <w:spacing w:line="360" w:lineRule="auto"/>
        <w:ind w:right="141"/>
        <w:jc w:val="both"/>
        <w:rPr>
          <w:rFonts w:ascii="Palatino Linotype" w:eastAsia="Palatino Linotype" w:hAnsi="Palatino Linotype" w:cs="Palatino Linotype"/>
          <w:b/>
          <w:bCs/>
        </w:rPr>
      </w:pPr>
      <w:r w:rsidRPr="009752B0">
        <w:rPr>
          <w:rFonts w:ascii="Palatino Linotype" w:eastAsia="Palatino Linotype" w:hAnsi="Palatino Linotype" w:cs="Palatino Linotype"/>
          <w:b/>
          <w:bCs/>
        </w:rPr>
        <w:t xml:space="preserve">REQUERIMIENTOS SOLICITADOS: </w:t>
      </w:r>
    </w:p>
    <w:p w14:paraId="7134FA77" w14:textId="77777777" w:rsidR="00A24DC9" w:rsidRPr="009752B0" w:rsidRDefault="00A561CA">
      <w:pPr>
        <w:numPr>
          <w:ilvl w:val="0"/>
          <w:numId w:val="4"/>
        </w:numPr>
        <w:pBdr>
          <w:top w:val="nil"/>
          <w:left w:val="nil"/>
          <w:bottom w:val="nil"/>
          <w:right w:val="nil"/>
          <w:between w:val="nil"/>
        </w:pBdr>
        <w:spacing w:line="360" w:lineRule="auto"/>
        <w:ind w:right="141"/>
        <w:jc w:val="both"/>
        <w:rPr>
          <w:rFonts w:ascii="Palatino Linotype" w:eastAsia="Palatino Linotype" w:hAnsi="Palatino Linotype" w:cs="Palatino Linotype"/>
          <w:b/>
          <w:bCs/>
          <w:color w:val="000000"/>
        </w:rPr>
      </w:pPr>
      <w:r w:rsidRPr="009752B0">
        <w:rPr>
          <w:rFonts w:ascii="Palatino Linotype" w:eastAsia="Palatino Linotype" w:hAnsi="Palatino Linotype" w:cs="Palatino Linotype"/>
          <w:color w:val="000000"/>
        </w:rPr>
        <w:t>Soporte documental del seguimiento y continuidad de la Dirección de Medio Ambiente y Ecología del 16 de octubre de 2025 respecto el oficio No. DPCB/ECA/1368/2025 de fecha 03 de junio de 2025.</w:t>
      </w:r>
    </w:p>
    <w:p w14:paraId="187997B3" w14:textId="77777777" w:rsidR="00A24DC9" w:rsidRPr="009752B0" w:rsidRDefault="00A24DC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BBD7A3C" w14:textId="77777777" w:rsidR="00A24DC9" w:rsidRPr="009752B0" w:rsidRDefault="00A561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752B0">
        <w:rPr>
          <w:rFonts w:ascii="Palatino Linotype" w:eastAsia="Palatino Linotype" w:hAnsi="Palatino Linotype" w:cs="Palatino Linotype"/>
          <w:color w:val="000000"/>
        </w:rPr>
        <w:t xml:space="preserve">Consecuentemente, el Sujeto Obligado, emitió su respuesta a través del archivo electrónico de nombre y contenido siguiente: </w:t>
      </w:r>
    </w:p>
    <w:p w14:paraId="7F06F8DB" w14:textId="77777777" w:rsidR="00A24DC9" w:rsidRPr="009752B0" w:rsidRDefault="00A561CA">
      <w:pPr>
        <w:numPr>
          <w:ilvl w:val="0"/>
          <w:numId w:val="5"/>
        </w:numPr>
        <w:pBdr>
          <w:top w:val="nil"/>
          <w:left w:val="nil"/>
          <w:bottom w:val="nil"/>
          <w:right w:val="nil"/>
          <w:between w:val="nil"/>
        </w:pBdr>
        <w:spacing w:line="360" w:lineRule="auto"/>
        <w:ind w:right="141"/>
        <w:jc w:val="both"/>
        <w:rPr>
          <w:b/>
          <w:bCs/>
          <w:i/>
          <w:iCs/>
          <w:color w:val="000000"/>
        </w:rPr>
      </w:pPr>
      <w:r w:rsidRPr="009752B0">
        <w:rPr>
          <w:rFonts w:ascii="Palatino Linotype" w:eastAsia="Palatino Linotype" w:hAnsi="Palatino Linotype" w:cs="Palatino Linotype"/>
          <w:b/>
          <w:bCs/>
          <w:color w:val="000000"/>
        </w:rPr>
        <w:t xml:space="preserve">833_00945620251022094116.pdf: </w:t>
      </w:r>
      <w:r w:rsidRPr="009752B0">
        <w:rPr>
          <w:rFonts w:ascii="Palatino Linotype" w:eastAsia="Palatino Linotype" w:hAnsi="Palatino Linotype" w:cs="Palatino Linotype"/>
          <w:color w:val="000000"/>
        </w:rPr>
        <w:t xml:space="preserve">Soporte documental que consta de dos fojas en formato PDF por medio del cual la Titular de la Dirección de Medio </w:t>
      </w:r>
      <w:r w:rsidRPr="009752B0">
        <w:rPr>
          <w:rFonts w:ascii="Palatino Linotype" w:eastAsia="Palatino Linotype" w:hAnsi="Palatino Linotype" w:cs="Palatino Linotype"/>
          <w:color w:val="000000"/>
        </w:rPr>
        <w:lastRenderedPageBreak/>
        <w:t xml:space="preserve">Ambiente y Ecología manifiesta que no se localizó información respecto el seguimiento y continuidad del </w:t>
      </w:r>
      <w:r w:rsidRPr="009752B0">
        <w:rPr>
          <w:rFonts w:ascii="Palatino Linotype" w:eastAsia="Palatino Linotype" w:hAnsi="Palatino Linotype" w:cs="Palatino Linotype"/>
          <w:b/>
          <w:bCs/>
          <w:color w:val="000000"/>
        </w:rPr>
        <w:t>14 de octubre de 2025</w:t>
      </w:r>
      <w:r w:rsidRPr="009752B0">
        <w:rPr>
          <w:rFonts w:ascii="Palatino Linotype" w:eastAsia="Palatino Linotype" w:hAnsi="Palatino Linotype" w:cs="Palatino Linotype"/>
          <w:color w:val="000000"/>
        </w:rPr>
        <w:t xml:space="preserve">, por lo que no cuenta con información, manifestando que anexa el acta informática de control interno  por medio del cual hace constar la búsqueda relacionada con los datos señalados en el requerimiento. </w:t>
      </w:r>
    </w:p>
    <w:p w14:paraId="4985D814" w14:textId="77777777" w:rsidR="00A24DC9" w:rsidRPr="009752B0" w:rsidRDefault="00A24DC9">
      <w:pPr>
        <w:pBdr>
          <w:top w:val="nil"/>
          <w:left w:val="nil"/>
          <w:bottom w:val="nil"/>
          <w:right w:val="nil"/>
          <w:between w:val="nil"/>
        </w:pBdr>
        <w:spacing w:line="360" w:lineRule="auto"/>
        <w:ind w:left="720" w:right="141"/>
        <w:jc w:val="both"/>
        <w:rPr>
          <w:rFonts w:ascii="Palatino Linotype" w:eastAsia="Palatino Linotype" w:hAnsi="Palatino Linotype" w:cs="Palatino Linotype"/>
          <w:b/>
          <w:bCs/>
          <w:i/>
          <w:iCs/>
          <w:color w:val="000000"/>
        </w:rPr>
      </w:pPr>
    </w:p>
    <w:p w14:paraId="2EBF4E1C" w14:textId="77777777" w:rsidR="00A24DC9" w:rsidRPr="009752B0" w:rsidRDefault="00A561CA">
      <w:pPr>
        <w:numPr>
          <w:ilvl w:val="0"/>
          <w:numId w:val="5"/>
        </w:numPr>
        <w:pBdr>
          <w:top w:val="nil"/>
          <w:left w:val="nil"/>
          <w:bottom w:val="nil"/>
          <w:right w:val="nil"/>
          <w:between w:val="nil"/>
        </w:pBdr>
        <w:spacing w:line="360" w:lineRule="auto"/>
        <w:ind w:right="141"/>
        <w:jc w:val="both"/>
        <w:rPr>
          <w:b/>
          <w:bCs/>
          <w:i/>
          <w:iCs/>
          <w:color w:val="000000"/>
        </w:rPr>
      </w:pPr>
      <w:r w:rsidRPr="009752B0">
        <w:rPr>
          <w:rFonts w:ascii="Palatino Linotype" w:eastAsia="Palatino Linotype" w:hAnsi="Palatino Linotype" w:cs="Palatino Linotype"/>
          <w:color w:val="000000"/>
        </w:rPr>
        <w:t xml:space="preserve">Acta informativa de control interno DMAYEC/ECA/020/2025 por medio el cual el Jefe de departamento de permisos y licencias manifiesta que realizó una búsqueda exhaustiva, minuciosa y razonable en los documentos y registros físicos y electrónicos que se encuentran en la Dirección de Medio Ambiente y Ecología </w:t>
      </w:r>
      <w:r w:rsidRPr="009752B0">
        <w:rPr>
          <w:rFonts w:ascii="Palatino Linotype" w:eastAsia="Palatino Linotype" w:hAnsi="Palatino Linotype" w:cs="Palatino Linotype"/>
          <w:b/>
          <w:bCs/>
          <w:color w:val="000000"/>
        </w:rPr>
        <w:t>no se localizó información detallada</w:t>
      </w:r>
      <w:r w:rsidRPr="009752B0">
        <w:rPr>
          <w:rFonts w:ascii="Palatino Linotype" w:eastAsia="Palatino Linotype" w:hAnsi="Palatino Linotype" w:cs="Palatino Linotype"/>
          <w:color w:val="000000"/>
        </w:rPr>
        <w:t xml:space="preserve">, con relación al requerimiento de información administrativa </w:t>
      </w:r>
      <w:r w:rsidRPr="009752B0">
        <w:rPr>
          <w:rFonts w:ascii="Palatino Linotype" w:eastAsia="Palatino Linotype" w:hAnsi="Palatino Linotype" w:cs="Palatino Linotype"/>
          <w:b/>
          <w:bCs/>
          <w:color w:val="000000"/>
        </w:rPr>
        <w:t>referente a seguimiento y continuidad del oficio No. DCPB/ECA/1368/2025</w:t>
      </w:r>
      <w:r w:rsidRPr="009752B0">
        <w:rPr>
          <w:rFonts w:ascii="Palatino Linotype" w:eastAsia="Palatino Linotype" w:hAnsi="Palatino Linotype" w:cs="Palatino Linotype"/>
          <w:color w:val="000000"/>
        </w:rPr>
        <w:t xml:space="preserve"> por parte de la Dirección de Medio Ambiente y Ecología en el año 2025.</w:t>
      </w:r>
    </w:p>
    <w:p w14:paraId="7C244FA6" w14:textId="77777777" w:rsidR="00A24DC9" w:rsidRPr="009752B0" w:rsidRDefault="00A24DC9">
      <w:pPr>
        <w:spacing w:line="360" w:lineRule="auto"/>
        <w:ind w:right="141"/>
        <w:jc w:val="both"/>
        <w:rPr>
          <w:rFonts w:ascii="Palatino Linotype" w:eastAsia="Palatino Linotype" w:hAnsi="Palatino Linotype" w:cs="Palatino Linotype"/>
          <w:b/>
          <w:bCs/>
          <w:i/>
          <w:iCs/>
        </w:rPr>
      </w:pPr>
    </w:p>
    <w:p w14:paraId="18109E73" w14:textId="77777777" w:rsidR="00A24DC9" w:rsidRPr="009752B0" w:rsidRDefault="00A561CA">
      <w:pPr>
        <w:spacing w:line="360" w:lineRule="auto"/>
        <w:ind w:right="141"/>
        <w:jc w:val="both"/>
        <w:rPr>
          <w:rFonts w:ascii="Palatino Linotype" w:eastAsia="Palatino Linotype" w:hAnsi="Palatino Linotype" w:cs="Palatino Linotype"/>
          <w:i/>
          <w:iCs/>
        </w:rPr>
      </w:pPr>
      <w:r w:rsidRPr="009752B0">
        <w:rPr>
          <w:rFonts w:ascii="Palatino Linotype" w:eastAsia="Palatino Linotype" w:hAnsi="Palatino Linotype" w:cs="Palatino Linotype"/>
        </w:rPr>
        <w:t>Por lo que la Recurrente considero que su derecho al acceso a la información había sido vulnerado refiriendo en su acto impugnado</w:t>
      </w:r>
      <w:r w:rsidRPr="009752B0">
        <w:rPr>
          <w:rFonts w:ascii="Palatino Linotype" w:eastAsia="Palatino Linotype" w:hAnsi="Palatino Linotype" w:cs="Palatino Linotype"/>
          <w:i/>
          <w:iCs/>
        </w:rPr>
        <w:t xml:space="preserve"> “</w:t>
      </w:r>
      <w:r w:rsidRPr="009752B0">
        <w:rPr>
          <w:rFonts w:ascii="Palatino Linotype" w:eastAsia="Palatino Linotype" w:hAnsi="Palatino Linotype" w:cs="Palatino Linotype"/>
          <w:i/>
          <w:iCs/>
          <w:color w:val="000000"/>
          <w:sz w:val="22"/>
          <w:szCs w:val="22"/>
        </w:rPr>
        <w:t>En el OFICIO No. DPCB/ECA/1368/2025 de fecha 03 de junio de 2025, dirigido al C. Luis Ángel Hernández Soto, Titular de la Unidad de Transparencia, suscrito por el C. Ing. Juan Jesús Clara González, Director de Protección Civil y Bomberos, se cita: "Por lo que se está en espera del oficio de seguimiento y continuidad por parte de la Dirección de Medio Ambiente y Ecología." En los archivos físicos y/o electrónicos, del Municipio de Ecatepec de Morelos, se cuenta con información sobre el seguimiento y continuidad de parte de la Dirección de Medio Ambiente y Ecología a 16 de octubre de 2025</w:t>
      </w:r>
      <w:r w:rsidRPr="009752B0">
        <w:rPr>
          <w:rFonts w:ascii="Verdana" w:eastAsia="Verdana" w:hAnsi="Verdana" w:cs="Verdana"/>
          <w:color w:val="000000"/>
          <w:sz w:val="14"/>
          <w:szCs w:val="14"/>
        </w:rPr>
        <w:t>.</w:t>
      </w:r>
      <w:r w:rsidRPr="009752B0">
        <w:rPr>
          <w:rFonts w:ascii="Palatino Linotype" w:eastAsia="Palatino Linotype" w:hAnsi="Palatino Linotype" w:cs="Palatino Linotype"/>
          <w:i/>
          <w:iCs/>
          <w:color w:val="000000"/>
        </w:rPr>
        <w:t xml:space="preserve">” </w:t>
      </w:r>
      <w:r w:rsidRPr="009752B0">
        <w:rPr>
          <w:rFonts w:ascii="Palatino Linotype" w:eastAsia="Palatino Linotype" w:hAnsi="Palatino Linotype" w:cs="Palatino Linotype"/>
          <w:color w:val="000000"/>
        </w:rPr>
        <w:t xml:space="preserve">y como motivo de inconformidad </w:t>
      </w:r>
      <w:r w:rsidRPr="009752B0">
        <w:rPr>
          <w:rFonts w:ascii="Verdana" w:eastAsia="Verdana" w:hAnsi="Verdana" w:cs="Verdana"/>
          <w:color w:val="000000"/>
          <w:sz w:val="14"/>
          <w:szCs w:val="14"/>
        </w:rPr>
        <w:t xml:space="preserve"> </w:t>
      </w:r>
      <w:r w:rsidRPr="009752B0">
        <w:rPr>
          <w:rFonts w:ascii="Palatino Linotype" w:eastAsia="Palatino Linotype" w:hAnsi="Palatino Linotype" w:cs="Palatino Linotype"/>
          <w:i/>
          <w:iCs/>
          <w:color w:val="000000"/>
        </w:rPr>
        <w:t xml:space="preserve">“La entrega de la información está incompleta, ya que NO se ANEXA </w:t>
      </w:r>
      <w:r w:rsidRPr="009752B0">
        <w:rPr>
          <w:rFonts w:ascii="Palatino Linotype" w:eastAsia="Palatino Linotype" w:hAnsi="Palatino Linotype" w:cs="Palatino Linotype"/>
          <w:i/>
          <w:iCs/>
          <w:color w:val="000000"/>
        </w:rPr>
        <w:lastRenderedPageBreak/>
        <w:t>COPIA DEL ACTA DEL COMITE DE TRANSPARENCIA de la INEXISTENCIA DE INFORMACION.”</w:t>
      </w:r>
    </w:p>
    <w:p w14:paraId="509B6117" w14:textId="77777777" w:rsidR="00A24DC9" w:rsidRPr="009752B0" w:rsidRDefault="00A24DC9">
      <w:pPr>
        <w:spacing w:line="360" w:lineRule="auto"/>
        <w:ind w:right="141"/>
        <w:jc w:val="both"/>
        <w:rPr>
          <w:rFonts w:ascii="Palatino Linotype" w:eastAsia="Palatino Linotype" w:hAnsi="Palatino Linotype" w:cs="Palatino Linotype"/>
          <w:b/>
          <w:bCs/>
        </w:rPr>
      </w:pPr>
    </w:p>
    <w:p w14:paraId="73E89BD9" w14:textId="77777777" w:rsidR="00A24DC9" w:rsidRPr="009752B0" w:rsidRDefault="00A561CA">
      <w:pPr>
        <w:spacing w:line="360" w:lineRule="auto"/>
        <w:ind w:right="141"/>
        <w:jc w:val="both"/>
        <w:rPr>
          <w:rFonts w:ascii="Palatino Linotype" w:eastAsia="Palatino Linotype" w:hAnsi="Palatino Linotype" w:cs="Palatino Linotype"/>
          <w:smallCaps/>
        </w:rPr>
      </w:pPr>
      <w:r w:rsidRPr="009752B0">
        <w:rPr>
          <w:rFonts w:ascii="Palatino Linotype" w:eastAsia="Palatino Linotype" w:hAnsi="Palatino Linotype" w:cs="Palatino Linotype"/>
        </w:rPr>
        <w:t xml:space="preserve">De lo anterior a efecto de no vulnerar el derecho al acceso a la información de la Recurrente el Sujeto Obligado rindió su informe justificado a través del archivo electrónico denominado </w:t>
      </w:r>
      <w:r w:rsidRPr="009752B0">
        <w:rPr>
          <w:rFonts w:ascii="Palatino Linotype" w:eastAsia="Palatino Linotype" w:hAnsi="Palatino Linotype" w:cs="Palatino Linotype"/>
          <w:b/>
          <w:bCs/>
          <w:i/>
          <w:iCs/>
        </w:rPr>
        <w:t xml:space="preserve">CT_UT_ECA_1254_2025 informe justificado RR12975.pdf </w:t>
      </w:r>
      <w:r w:rsidRPr="009752B0">
        <w:rPr>
          <w:rFonts w:ascii="Palatino Linotype" w:eastAsia="Palatino Linotype" w:hAnsi="Palatino Linotype" w:cs="Palatino Linotype"/>
        </w:rPr>
        <w:t xml:space="preserve"> por medio del cual ratifica su respuesta primigenia. </w:t>
      </w:r>
    </w:p>
    <w:p w14:paraId="3DAFD4A2" w14:textId="77777777" w:rsidR="00A24DC9" w:rsidRPr="009752B0" w:rsidRDefault="00A24DC9">
      <w:pPr>
        <w:spacing w:line="360" w:lineRule="auto"/>
        <w:ind w:right="141"/>
        <w:jc w:val="both"/>
        <w:rPr>
          <w:rFonts w:ascii="Palatino Linotype" w:eastAsia="Palatino Linotype" w:hAnsi="Palatino Linotype" w:cs="Palatino Linotype"/>
        </w:rPr>
      </w:pPr>
    </w:p>
    <w:p w14:paraId="1D7D2DFC" w14:textId="77777777" w:rsidR="00A24DC9" w:rsidRPr="009752B0" w:rsidRDefault="00A561CA">
      <w:pPr>
        <w:spacing w:line="360" w:lineRule="auto"/>
        <w:ind w:right="141"/>
        <w:jc w:val="both"/>
        <w:rPr>
          <w:rFonts w:ascii="Palatino Linotype" w:eastAsia="Palatino Linotype" w:hAnsi="Palatino Linotype" w:cs="Palatino Linotype"/>
        </w:rPr>
      </w:pPr>
      <w:r w:rsidRPr="009752B0">
        <w:rPr>
          <w:rFonts w:ascii="Palatino Linotype" w:eastAsia="Palatino Linotype" w:hAnsi="Palatino Linotype" w:cs="Palatino Linotype"/>
        </w:rPr>
        <w:t>Precisado lo anterior, es de señalar que el artículo 4, párrafo segundo de la Ley de Transparencia y Acceso a la Información Pública del Estado de México y Municipios, dispone:</w:t>
      </w:r>
    </w:p>
    <w:p w14:paraId="6659DBEF" w14:textId="77777777" w:rsidR="00A24DC9" w:rsidRPr="009752B0" w:rsidRDefault="00A561CA">
      <w:pPr>
        <w:ind w:left="567" w:right="616"/>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r w:rsidRPr="009752B0">
        <w:rPr>
          <w:rFonts w:ascii="Palatino Linotype" w:eastAsia="Palatino Linotype" w:hAnsi="Palatino Linotype" w:cs="Palatino Linotype"/>
          <w:b/>
          <w:bCs/>
          <w:i/>
          <w:iCs/>
          <w:sz w:val="22"/>
          <w:szCs w:val="22"/>
        </w:rPr>
        <w:t xml:space="preserve">Artículo 4. </w:t>
      </w:r>
      <w:r w:rsidRPr="009752B0">
        <w:rPr>
          <w:rFonts w:ascii="Palatino Linotype" w:eastAsia="Palatino Linotype" w:hAnsi="Palatino Linotype" w:cs="Palatino Linotype"/>
          <w:i/>
          <w:iCs/>
          <w:sz w:val="22"/>
          <w:szCs w:val="22"/>
        </w:rPr>
        <w:t xml:space="preserve">… </w:t>
      </w:r>
    </w:p>
    <w:p w14:paraId="2057534A" w14:textId="77777777" w:rsidR="00A24DC9" w:rsidRPr="009752B0" w:rsidRDefault="00A561CA">
      <w:pPr>
        <w:ind w:left="567" w:right="616"/>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1231433" w14:textId="77777777" w:rsidR="00A24DC9" w:rsidRPr="009752B0" w:rsidRDefault="00A24DC9">
      <w:pPr>
        <w:tabs>
          <w:tab w:val="left" w:pos="709"/>
        </w:tabs>
        <w:spacing w:line="360" w:lineRule="auto"/>
        <w:jc w:val="both"/>
        <w:rPr>
          <w:rFonts w:ascii="Palatino Linotype" w:eastAsia="Palatino Linotype" w:hAnsi="Palatino Linotype" w:cs="Palatino Linotype"/>
        </w:rPr>
      </w:pPr>
    </w:p>
    <w:p w14:paraId="49CACBF5" w14:textId="77777777" w:rsidR="00A24DC9" w:rsidRPr="009752B0" w:rsidRDefault="00A561CA">
      <w:pPr>
        <w:tabs>
          <w:tab w:val="left" w:pos="709"/>
        </w:tabs>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03FF5145" w14:textId="77777777" w:rsidR="00A24DC9" w:rsidRPr="009752B0" w:rsidRDefault="00A24DC9">
      <w:pPr>
        <w:tabs>
          <w:tab w:val="left" w:pos="709"/>
        </w:tabs>
        <w:spacing w:line="360" w:lineRule="auto"/>
        <w:jc w:val="both"/>
        <w:rPr>
          <w:rFonts w:ascii="Palatino Linotype" w:eastAsia="Palatino Linotype" w:hAnsi="Palatino Linotype" w:cs="Palatino Linotype"/>
        </w:rPr>
      </w:pPr>
    </w:p>
    <w:p w14:paraId="74DD80AE" w14:textId="77777777" w:rsidR="00A24DC9" w:rsidRPr="009752B0" w:rsidRDefault="00A561CA">
      <w:pPr>
        <w:tabs>
          <w:tab w:val="left" w:pos="709"/>
        </w:tabs>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09E9163" w14:textId="77777777" w:rsidR="00A24DC9" w:rsidRPr="009752B0" w:rsidRDefault="00A24DC9">
      <w:pPr>
        <w:pBdr>
          <w:top w:val="nil"/>
          <w:left w:val="nil"/>
          <w:bottom w:val="nil"/>
          <w:right w:val="nil"/>
          <w:between w:val="nil"/>
        </w:pBdr>
        <w:rPr>
          <w:color w:val="000000"/>
          <w:sz w:val="16"/>
          <w:szCs w:val="16"/>
        </w:rPr>
      </w:pPr>
    </w:p>
    <w:p w14:paraId="0E3C7EAD" w14:textId="77777777" w:rsidR="00A24DC9" w:rsidRPr="009752B0" w:rsidRDefault="00A561CA">
      <w:pPr>
        <w:ind w:left="567" w:right="616"/>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r w:rsidRPr="009752B0">
        <w:rPr>
          <w:rFonts w:ascii="Palatino Linotype" w:eastAsia="Palatino Linotype" w:hAnsi="Palatino Linotype" w:cs="Palatino Linotype"/>
          <w:b/>
          <w:bCs/>
          <w:i/>
          <w:iCs/>
          <w:sz w:val="22"/>
          <w:szCs w:val="22"/>
        </w:rPr>
        <w:t>Artículo 12.</w:t>
      </w:r>
      <w:r w:rsidRPr="009752B0">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41D46221" w14:textId="77777777" w:rsidR="00A24DC9" w:rsidRPr="009752B0" w:rsidRDefault="00A24DC9">
      <w:pPr>
        <w:ind w:left="567" w:right="616"/>
        <w:jc w:val="both"/>
        <w:rPr>
          <w:rFonts w:ascii="Palatino Linotype" w:eastAsia="Palatino Linotype" w:hAnsi="Palatino Linotype" w:cs="Palatino Linotype"/>
          <w:i/>
          <w:iCs/>
          <w:sz w:val="22"/>
          <w:szCs w:val="22"/>
        </w:rPr>
      </w:pPr>
    </w:p>
    <w:p w14:paraId="0BC55712" w14:textId="77777777" w:rsidR="00A24DC9" w:rsidRPr="009752B0" w:rsidRDefault="00A561CA">
      <w:pPr>
        <w:ind w:left="567" w:right="616"/>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CAA012B" w14:textId="77777777" w:rsidR="00A24DC9" w:rsidRPr="009752B0" w:rsidRDefault="00A24DC9">
      <w:pPr>
        <w:tabs>
          <w:tab w:val="left" w:pos="709"/>
        </w:tabs>
        <w:spacing w:line="360" w:lineRule="auto"/>
        <w:jc w:val="both"/>
        <w:rPr>
          <w:rFonts w:ascii="Palatino Linotype" w:eastAsia="Palatino Linotype" w:hAnsi="Palatino Linotype" w:cs="Palatino Linotype"/>
        </w:rPr>
      </w:pPr>
    </w:p>
    <w:p w14:paraId="10FB87DF" w14:textId="77777777" w:rsidR="00A24DC9" w:rsidRPr="009752B0" w:rsidRDefault="00A561CA">
      <w:pPr>
        <w:tabs>
          <w:tab w:val="left" w:pos="709"/>
        </w:tabs>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C9820CC" w14:textId="77777777" w:rsidR="00A24DC9" w:rsidRPr="009752B0" w:rsidRDefault="00A24DC9">
      <w:pPr>
        <w:tabs>
          <w:tab w:val="left" w:pos="709"/>
        </w:tabs>
        <w:spacing w:line="360" w:lineRule="auto"/>
        <w:jc w:val="both"/>
        <w:rPr>
          <w:rFonts w:ascii="Palatino Linotype" w:eastAsia="Palatino Linotype" w:hAnsi="Palatino Linotype" w:cs="Palatino Linotype"/>
        </w:rPr>
      </w:pPr>
    </w:p>
    <w:p w14:paraId="132F0116" w14:textId="77777777" w:rsidR="00A24DC9" w:rsidRPr="009752B0" w:rsidRDefault="00A561CA">
      <w:pPr>
        <w:tabs>
          <w:tab w:val="left" w:pos="709"/>
        </w:tabs>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En esta misma tesitura, el derecho de acceso a la información pública, consiste en que la información solicitada conste en un soporte documental en cualquiera de sus formas, a saber: </w:t>
      </w:r>
      <w:r w:rsidRPr="009752B0">
        <w:rPr>
          <w:rFonts w:ascii="Palatino Linotype" w:eastAsia="Palatino Linotype" w:hAnsi="Palatino Linotype" w:cs="Palatino Linotype"/>
          <w:b/>
          <w:bCs/>
          <w:u w:val="single"/>
        </w:rPr>
        <w:t xml:space="preserve">expedientes, reportes, estudios, actas, resoluciones, oficios, correspondencia, acuerdos, directivas, directrices, circulares, contratos, convenios, instructivos, notas, </w:t>
      </w:r>
      <w:r w:rsidRPr="009752B0">
        <w:rPr>
          <w:rFonts w:ascii="Palatino Linotype" w:eastAsia="Palatino Linotype" w:hAnsi="Palatino Linotype" w:cs="Palatino Linotype"/>
          <w:b/>
          <w:bCs/>
          <w:u w:val="single"/>
        </w:rPr>
        <w:lastRenderedPageBreak/>
        <w:t>memorandos, estadísticas o bien, cualquier otro registro que documente el ejercicio de las facultades, funciones y competencias</w:t>
      </w:r>
      <w:r w:rsidRPr="009752B0">
        <w:rPr>
          <w:rFonts w:ascii="Palatino Linotype" w:eastAsia="Palatino Linotype" w:hAnsi="Palatino Linotype" w:cs="Palatino Linotype"/>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0D496DB4" w14:textId="77777777" w:rsidR="00A24DC9" w:rsidRPr="009752B0" w:rsidRDefault="00A24DC9">
      <w:pPr>
        <w:pBdr>
          <w:top w:val="nil"/>
          <w:left w:val="nil"/>
          <w:bottom w:val="nil"/>
          <w:right w:val="nil"/>
          <w:between w:val="nil"/>
        </w:pBdr>
        <w:rPr>
          <w:color w:val="000000"/>
        </w:rPr>
      </w:pPr>
    </w:p>
    <w:p w14:paraId="55025B85" w14:textId="77777777" w:rsidR="00A24DC9" w:rsidRPr="009752B0" w:rsidRDefault="00A561CA">
      <w:pPr>
        <w:ind w:left="567" w:right="616"/>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r w:rsidRPr="009752B0">
        <w:rPr>
          <w:rFonts w:ascii="Palatino Linotype" w:eastAsia="Palatino Linotype" w:hAnsi="Palatino Linotype" w:cs="Palatino Linotype"/>
          <w:b/>
          <w:bCs/>
          <w:i/>
          <w:iCs/>
          <w:sz w:val="22"/>
          <w:szCs w:val="22"/>
        </w:rPr>
        <w:t xml:space="preserve">Artículo 3. </w:t>
      </w:r>
      <w:r w:rsidRPr="009752B0">
        <w:rPr>
          <w:rFonts w:ascii="Palatino Linotype" w:eastAsia="Palatino Linotype" w:hAnsi="Palatino Linotype" w:cs="Palatino Linotype"/>
          <w:i/>
          <w:iCs/>
          <w:sz w:val="22"/>
          <w:szCs w:val="22"/>
        </w:rPr>
        <w:t>Para los efectos de la presente Ley se entenderá por:</w:t>
      </w:r>
    </w:p>
    <w:p w14:paraId="567DE1F2" w14:textId="77777777" w:rsidR="00A24DC9" w:rsidRPr="009752B0" w:rsidRDefault="00A561CA">
      <w:pPr>
        <w:ind w:left="567" w:right="616"/>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p>
    <w:p w14:paraId="3651D895" w14:textId="77777777" w:rsidR="00A24DC9" w:rsidRPr="009752B0" w:rsidRDefault="00A561CA">
      <w:pPr>
        <w:ind w:left="567" w:right="616"/>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b/>
          <w:bCs/>
          <w:i/>
          <w:iCs/>
          <w:sz w:val="22"/>
          <w:szCs w:val="22"/>
        </w:rPr>
        <w:t>XI. Documento:</w:t>
      </w:r>
      <w:r w:rsidRPr="009752B0">
        <w:rPr>
          <w:rFonts w:ascii="Palatino Linotype" w:eastAsia="Palatino Linotype" w:hAnsi="Palatino Linotype" w:cs="Palatino Linotype"/>
          <w:i/>
          <w:iCs/>
          <w:sz w:val="22"/>
          <w:szCs w:val="22"/>
        </w:rPr>
        <w:t xml:space="preserve"> Los expedientes, reportes, estudios, actas, resoluciones, oficios, correspondencia, acuerdos, directivas, directrices, circulares, contratos, convenios, instructivos, notas, memorandos, estadísticas o bien, cualquier otro </w:t>
      </w:r>
      <w:r w:rsidRPr="009752B0">
        <w:rPr>
          <w:rFonts w:ascii="Palatino Linotype" w:eastAsia="Palatino Linotype" w:hAnsi="Palatino Linotype" w:cs="Palatino Linotype"/>
          <w:b/>
          <w:bCs/>
          <w:i/>
          <w:iCs/>
          <w:sz w:val="22"/>
          <w:szCs w:val="22"/>
          <w:u w:val="single"/>
        </w:rPr>
        <w:t>registro que documente el ejercicio de las facultades, funciones y competencias de los sujetos obligados</w:t>
      </w:r>
      <w:r w:rsidRPr="009752B0">
        <w:rPr>
          <w:rFonts w:ascii="Palatino Linotype" w:eastAsia="Palatino Linotype" w:hAnsi="Palatino Linotype" w:cs="Palatino Linotype"/>
          <w:i/>
          <w:iCs/>
          <w:sz w:val="22"/>
          <w:szCs w:val="22"/>
          <w:u w:val="single"/>
        </w:rPr>
        <w:t>,</w:t>
      </w:r>
      <w:r w:rsidRPr="009752B0">
        <w:rPr>
          <w:rFonts w:ascii="Palatino Linotype" w:eastAsia="Palatino Linotype" w:hAnsi="Palatino Linotype" w:cs="Palatino Linotype"/>
          <w:i/>
          <w:iCs/>
          <w:sz w:val="22"/>
          <w:szCs w:val="22"/>
        </w:rPr>
        <w:t xml:space="preserve"> sus servidores públicos e integrantes, </w:t>
      </w:r>
      <w:r w:rsidRPr="009752B0">
        <w:rPr>
          <w:rFonts w:ascii="Palatino Linotype" w:eastAsia="Palatino Linotype" w:hAnsi="Palatino Linotype" w:cs="Palatino Linotype"/>
          <w:b/>
          <w:bCs/>
          <w:i/>
          <w:iCs/>
          <w:sz w:val="22"/>
          <w:szCs w:val="22"/>
          <w:u w:val="single"/>
        </w:rPr>
        <w:t>sin importar su fuente o fecha de elaboración.</w:t>
      </w:r>
      <w:r w:rsidRPr="009752B0">
        <w:rPr>
          <w:rFonts w:ascii="Palatino Linotype" w:eastAsia="Palatino Linotype" w:hAnsi="Palatino Linotype" w:cs="Palatino Linotype"/>
          <w:i/>
          <w:iCs/>
          <w:sz w:val="22"/>
          <w:szCs w:val="22"/>
        </w:rPr>
        <w:t xml:space="preserve"> Los documentos podrán estar en cualquier medio, sea escrito, impreso, sonoro, visual, electrónico, informático u holográfico;</w:t>
      </w:r>
    </w:p>
    <w:p w14:paraId="7CEE9388" w14:textId="77777777" w:rsidR="00A24DC9" w:rsidRPr="009752B0" w:rsidRDefault="00A561CA">
      <w:pPr>
        <w:ind w:left="567" w:right="616"/>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p>
    <w:p w14:paraId="679ECC94" w14:textId="77777777" w:rsidR="00A24DC9" w:rsidRPr="009752B0" w:rsidRDefault="00A24DC9">
      <w:pPr>
        <w:rPr>
          <w:sz w:val="14"/>
          <w:szCs w:val="14"/>
        </w:rPr>
      </w:pPr>
    </w:p>
    <w:p w14:paraId="521B337D" w14:textId="77777777" w:rsidR="00A24DC9" w:rsidRPr="009752B0" w:rsidRDefault="00A24DC9"/>
    <w:p w14:paraId="7893278F" w14:textId="77777777" w:rsidR="00A24DC9" w:rsidRPr="009752B0" w:rsidRDefault="00A561CA">
      <w:pPr>
        <w:spacing w:line="360" w:lineRule="auto"/>
        <w:ind w:right="49"/>
        <w:jc w:val="both"/>
        <w:rPr>
          <w:rFonts w:ascii="Palatino Linotype" w:eastAsia="Palatino Linotype" w:hAnsi="Palatino Linotype" w:cs="Palatino Linotype"/>
        </w:rPr>
      </w:pPr>
      <w:r w:rsidRPr="009752B0">
        <w:rPr>
          <w:rFonts w:ascii="Palatino Linotype" w:eastAsia="Palatino Linotype" w:hAnsi="Palatino Linotype" w:cs="Palatino Linotype"/>
        </w:rPr>
        <w:t>Además, 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4061A165" w14:textId="77777777" w:rsidR="00A24DC9" w:rsidRPr="009752B0" w:rsidRDefault="00A24DC9">
      <w:pPr>
        <w:ind w:right="616"/>
        <w:jc w:val="both"/>
        <w:rPr>
          <w:rFonts w:ascii="Palatino Linotype" w:eastAsia="Palatino Linotype" w:hAnsi="Palatino Linotype" w:cs="Palatino Linotype"/>
          <w:i/>
          <w:iCs/>
          <w:sz w:val="22"/>
          <w:szCs w:val="22"/>
        </w:rPr>
      </w:pPr>
    </w:p>
    <w:p w14:paraId="7C7970AF" w14:textId="77777777" w:rsidR="00A24DC9" w:rsidRPr="009752B0" w:rsidRDefault="00A24DC9">
      <w:pPr>
        <w:ind w:left="851" w:right="616"/>
        <w:jc w:val="both"/>
        <w:rPr>
          <w:rFonts w:ascii="Palatino Linotype" w:eastAsia="Palatino Linotype" w:hAnsi="Palatino Linotype" w:cs="Palatino Linotype"/>
          <w:i/>
          <w:iCs/>
          <w:sz w:val="14"/>
          <w:szCs w:val="14"/>
        </w:rPr>
      </w:pPr>
    </w:p>
    <w:p w14:paraId="59E4F756"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Además, a Ley de Transparencia y Acceso a la Información Pública del Estado de México y Municipios, prevé en su artículo 23, fracción IV, que son Sujetos Obligados a Transparentar y permitir el acceso a su información y proteger los datos que obren en su poder:</w:t>
      </w:r>
    </w:p>
    <w:p w14:paraId="3FF1918F" w14:textId="77777777" w:rsidR="00A24DC9" w:rsidRPr="009752B0" w:rsidRDefault="00A561CA">
      <w:pPr>
        <w:ind w:left="567" w:right="616"/>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b/>
          <w:bCs/>
          <w:i/>
          <w:iCs/>
          <w:sz w:val="22"/>
          <w:szCs w:val="22"/>
        </w:rPr>
        <w:t>Artículo 23.</w:t>
      </w:r>
      <w:r w:rsidRPr="009752B0">
        <w:rPr>
          <w:rFonts w:ascii="Palatino Linotype" w:eastAsia="Palatino Linotype" w:hAnsi="Palatino Linotype" w:cs="Palatino Linotype"/>
          <w:i/>
          <w:iCs/>
          <w:sz w:val="22"/>
          <w:szCs w:val="22"/>
        </w:rPr>
        <w:t xml:space="preserve"> Son sujetos obligados a transparentar y permitir el acceso a su información y proteger los datos personales que obren en su poder:</w:t>
      </w:r>
    </w:p>
    <w:p w14:paraId="3169E355" w14:textId="77777777" w:rsidR="00A24DC9" w:rsidRPr="009752B0" w:rsidRDefault="00A561CA">
      <w:pPr>
        <w:ind w:left="567" w:right="616"/>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p>
    <w:p w14:paraId="4642F930" w14:textId="77777777" w:rsidR="00A24DC9" w:rsidRPr="009752B0" w:rsidRDefault="00A561CA">
      <w:pPr>
        <w:ind w:left="567" w:right="616"/>
        <w:jc w:val="both"/>
        <w:rPr>
          <w:rFonts w:ascii="Palatino Linotype" w:eastAsia="Palatino Linotype" w:hAnsi="Palatino Linotype" w:cs="Palatino Linotype"/>
          <w:b/>
          <w:bCs/>
          <w:i/>
          <w:iCs/>
          <w:color w:val="000000"/>
          <w:sz w:val="22"/>
          <w:szCs w:val="22"/>
        </w:rPr>
      </w:pPr>
      <w:r w:rsidRPr="009752B0">
        <w:rPr>
          <w:rFonts w:ascii="Palatino Linotype" w:eastAsia="Palatino Linotype" w:hAnsi="Palatino Linotype" w:cs="Palatino Linotype"/>
          <w:b/>
          <w:bCs/>
          <w:i/>
          <w:iCs/>
          <w:color w:val="000000"/>
          <w:sz w:val="22"/>
          <w:szCs w:val="22"/>
        </w:rPr>
        <w:t xml:space="preserve">IV. </w:t>
      </w:r>
      <w:r w:rsidRPr="009752B0">
        <w:rPr>
          <w:rFonts w:ascii="Palatino Linotype" w:eastAsia="Palatino Linotype" w:hAnsi="Palatino Linotype" w:cs="Palatino Linotype"/>
          <w:i/>
          <w:iCs/>
          <w:color w:val="000000"/>
          <w:sz w:val="22"/>
          <w:szCs w:val="22"/>
        </w:rPr>
        <w:t xml:space="preserve">Los ayuntamientos y las dependencias, organismos, órganos y entidades de la administración municipal; </w:t>
      </w:r>
    </w:p>
    <w:p w14:paraId="125E80F4" w14:textId="77777777" w:rsidR="00A24DC9" w:rsidRPr="009752B0" w:rsidRDefault="00A24DC9">
      <w:pPr>
        <w:spacing w:line="360" w:lineRule="auto"/>
        <w:jc w:val="both"/>
        <w:rPr>
          <w:rFonts w:ascii="Palatino Linotype" w:eastAsia="Palatino Linotype" w:hAnsi="Palatino Linotype" w:cs="Palatino Linotype"/>
        </w:rPr>
      </w:pPr>
    </w:p>
    <w:p w14:paraId="4E85D44D"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Por lo que, se debe a traer a colación los artículos 59 y 60 del Bando Municipal del Sujeto Obligado a efecto de advertir que le corresponde a la Dirección de Medio Ambiente y Ecología la formulación, conducción y evaluación de la política ambiental municipal así como analizar y justificar técnicamente los dictámenes de riesgo emitidos por la Dirección de Protección Civil y Bomberos para la ejecución de trabajos en árboles que, por la magnitud del riesgo, se ejecuten sin previa autorización entre otras conforme lo siguiente;</w:t>
      </w:r>
    </w:p>
    <w:p w14:paraId="7F2E68A2" w14:textId="77777777" w:rsidR="00A24DC9" w:rsidRPr="009752B0" w:rsidRDefault="00A561CA">
      <w:pPr>
        <w:spacing w:line="360" w:lineRule="auto"/>
        <w:ind w:left="708"/>
        <w:jc w:val="center"/>
        <w:rPr>
          <w:rFonts w:ascii="Palatino Linotype" w:eastAsia="Palatino Linotype" w:hAnsi="Palatino Linotype" w:cs="Palatino Linotype"/>
          <w:b/>
          <w:bCs/>
          <w:i/>
          <w:iCs/>
          <w:sz w:val="22"/>
          <w:szCs w:val="22"/>
        </w:rPr>
      </w:pPr>
      <w:r w:rsidRPr="009752B0">
        <w:rPr>
          <w:rFonts w:ascii="Palatino Linotype" w:eastAsia="Palatino Linotype" w:hAnsi="Palatino Linotype" w:cs="Palatino Linotype"/>
          <w:b/>
          <w:bCs/>
          <w:i/>
          <w:iCs/>
          <w:sz w:val="22"/>
          <w:szCs w:val="22"/>
        </w:rPr>
        <w:t>De la Dirección de Medio Ambiente y Ecología</w:t>
      </w:r>
    </w:p>
    <w:p w14:paraId="327106D0" w14:textId="77777777" w:rsidR="00A24DC9" w:rsidRPr="009752B0" w:rsidRDefault="00A561CA">
      <w:pPr>
        <w:spacing w:line="360" w:lineRule="auto"/>
        <w:ind w:left="708"/>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b/>
          <w:bCs/>
          <w:i/>
          <w:iCs/>
          <w:sz w:val="22"/>
          <w:szCs w:val="22"/>
        </w:rPr>
        <w:t>Artículo 59.</w:t>
      </w:r>
      <w:r w:rsidRPr="009752B0">
        <w:rPr>
          <w:rFonts w:ascii="Palatino Linotype" w:eastAsia="Palatino Linotype" w:hAnsi="Palatino Linotype" w:cs="Palatino Linotype"/>
          <w:i/>
          <w:iCs/>
          <w:sz w:val="22"/>
          <w:szCs w:val="22"/>
        </w:rPr>
        <w:t xml:space="preserve"> La Dirección de Medio Ambiente y Ecología fortalecerá las relaciones armónicas de la Zona Metropolitana del Valle de México, de acuerdo con las políticas que acuerden los gobiernos involucrados y vigilará el cumplimiento de las disposiciones cuyo objeto es el registro de personas físicas y/o jurídico colectivas que realicen actividades en relación al medio ambiente; así como la conservación, restauración, protección, preservación y mejoramiento de éste, de conformidad con la legislación aplicable. </w:t>
      </w:r>
    </w:p>
    <w:p w14:paraId="351F2C0F" w14:textId="77777777" w:rsidR="00A24DC9" w:rsidRPr="009752B0" w:rsidRDefault="00A24DC9">
      <w:pPr>
        <w:spacing w:line="360" w:lineRule="auto"/>
        <w:ind w:left="708"/>
        <w:jc w:val="both"/>
        <w:rPr>
          <w:rFonts w:ascii="Palatino Linotype" w:eastAsia="Palatino Linotype" w:hAnsi="Palatino Linotype" w:cs="Palatino Linotype"/>
          <w:i/>
          <w:iCs/>
          <w:sz w:val="22"/>
          <w:szCs w:val="22"/>
        </w:rPr>
      </w:pPr>
    </w:p>
    <w:p w14:paraId="07EA14C4" w14:textId="77777777" w:rsidR="00A24DC9" w:rsidRPr="009752B0" w:rsidRDefault="00A561CA">
      <w:pPr>
        <w:spacing w:line="360" w:lineRule="auto"/>
        <w:ind w:left="708"/>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lastRenderedPageBreak/>
        <w:t xml:space="preserve">Esta Dirección tendrá a su cargo la formulación, conducción y evaluación de la política ambiental municipal promoviendo estrategias de reforestación y disminución de gases contaminantes a efecto de combatir el cambio climático y deberá coordinarse con la Secretaría del Medio Ambiente del Gobierno del Estado de México, atendiendo a la Ley General del Equilibrio Ecológico y la Protección al Ambiente, así como la Ley de Cambio Climático del Estado de México, Código para la Biodiversidad del Estado de México y demás ordenamientos legales de la materia. </w:t>
      </w:r>
    </w:p>
    <w:p w14:paraId="3A2B6A76" w14:textId="77777777" w:rsidR="00A24DC9" w:rsidRPr="009752B0" w:rsidRDefault="00A24DC9">
      <w:pPr>
        <w:spacing w:line="360" w:lineRule="auto"/>
        <w:ind w:left="708"/>
        <w:jc w:val="both"/>
        <w:rPr>
          <w:rFonts w:ascii="Palatino Linotype" w:eastAsia="Palatino Linotype" w:hAnsi="Palatino Linotype" w:cs="Palatino Linotype"/>
          <w:i/>
          <w:iCs/>
          <w:sz w:val="22"/>
          <w:szCs w:val="22"/>
        </w:rPr>
      </w:pPr>
    </w:p>
    <w:p w14:paraId="2EA000BE" w14:textId="77777777" w:rsidR="00A24DC9" w:rsidRPr="009752B0" w:rsidRDefault="00A561CA">
      <w:pPr>
        <w:spacing w:line="360" w:lineRule="auto"/>
        <w:ind w:left="708"/>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i/>
          <w:iCs/>
          <w:sz w:val="22"/>
          <w:szCs w:val="22"/>
        </w:rPr>
        <w:t>…</w:t>
      </w:r>
    </w:p>
    <w:p w14:paraId="4B4944A0" w14:textId="77777777" w:rsidR="00A24DC9" w:rsidRPr="009752B0" w:rsidRDefault="00A561CA">
      <w:pPr>
        <w:spacing w:line="360" w:lineRule="auto"/>
        <w:ind w:left="708"/>
        <w:jc w:val="both"/>
        <w:rPr>
          <w:rFonts w:ascii="Palatino Linotype" w:eastAsia="Palatino Linotype" w:hAnsi="Palatino Linotype" w:cs="Palatino Linotype"/>
          <w:i/>
          <w:iCs/>
          <w:sz w:val="22"/>
          <w:szCs w:val="22"/>
        </w:rPr>
      </w:pPr>
      <w:r w:rsidRPr="009752B0">
        <w:rPr>
          <w:rFonts w:ascii="Palatino Linotype" w:eastAsia="Palatino Linotype" w:hAnsi="Palatino Linotype" w:cs="Palatino Linotype"/>
          <w:b/>
          <w:bCs/>
          <w:i/>
          <w:iCs/>
          <w:sz w:val="22"/>
          <w:szCs w:val="22"/>
        </w:rPr>
        <w:t>Artículo 60</w:t>
      </w:r>
      <w:r w:rsidRPr="009752B0">
        <w:rPr>
          <w:rFonts w:ascii="Palatino Linotype" w:eastAsia="Palatino Linotype" w:hAnsi="Palatino Linotype" w:cs="Palatino Linotype"/>
          <w:i/>
          <w:iCs/>
          <w:sz w:val="22"/>
          <w:szCs w:val="22"/>
        </w:rPr>
        <w:t>. La Dirección de Medio Ambiente y Ecología tendrá las siguientes atribuciones:</w:t>
      </w:r>
    </w:p>
    <w:p w14:paraId="54DA9287" w14:textId="77777777" w:rsidR="00A24DC9" w:rsidRPr="009752B0" w:rsidRDefault="00A561CA">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 xml:space="preserve">Recibir, integrar, evaluar y, en su caso, expedir las autorizaciones, licencias, permisos y/o registros de carácter municipal, así como aquellos que son atribución de la Secretaría del Medio Ambiente del Gobierno del Estado de México y que, por los instrumentos legales, le hayan sido legalmente delegados al Municipio; </w:t>
      </w:r>
    </w:p>
    <w:p w14:paraId="60342E2A" w14:textId="77777777" w:rsidR="00A24DC9" w:rsidRPr="009752B0" w:rsidRDefault="00A561CA">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 xml:space="preserve">Aplicar las disposiciones jurídicas en materia de prevención y control de la contaminación atmosférica y auditiva generada por fuentes fijas que funcionen como establecimientos mercantiles o de servicios de jurisdicción municipal, así como fuentes de emisiones de contaminantes a la atmósfera, provenientes de fuentes móviles de su competencia, en términos de la Norma Oficial Mexicana NOM-081- SEMARNAT-1994, la cual establece los límites máximos permisibles y los horarios de acuerdo a la Unidad Económica; </w:t>
      </w:r>
    </w:p>
    <w:p w14:paraId="4CDBFB64" w14:textId="77777777" w:rsidR="00A24DC9" w:rsidRPr="009752B0" w:rsidRDefault="00A561CA">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Aplicar las disposiciones jurídicas en materia de prevención¸ control y, en su caso, sanción por la disposición inadecuada de los residuos sólidos urbanos, contaminación de agua y suelo, maltrato animal y manejo inadecuado del arbolado urbano, en apego a lo dispuesto en las Leyes Generales, Normas Oficiales Mexicanas, Normas Técnicas, Códigos y Reglamentos locales aplicables en la materia;</w:t>
      </w:r>
    </w:p>
    <w:p w14:paraId="2E480804" w14:textId="77777777" w:rsidR="00A24DC9" w:rsidRPr="009752B0" w:rsidRDefault="00A561CA">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lastRenderedPageBreak/>
        <w:t xml:space="preserve"> Participar en la evaluación del impacto ambiental de obras o actividades de competencia estatal, cuando estas se realicen dentro de los límites territoriales del municipio; </w:t>
      </w:r>
    </w:p>
    <w:p w14:paraId="1C684F62" w14:textId="77777777" w:rsidR="00A24DC9" w:rsidRPr="009752B0" w:rsidRDefault="00A561CA">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 xml:space="preserve">Convocar, capacitar e integrar un padrón de podadores acreditados ante esta Dirección, los cuales serán los únicos autorizados que podrán ofrecer los servicios de poda, derribo trasplante y/o sustitución de arbolado urbano; </w:t>
      </w:r>
    </w:p>
    <w:p w14:paraId="68BA127B" w14:textId="77777777" w:rsidR="00A24DC9" w:rsidRPr="009752B0" w:rsidRDefault="00A561CA">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 xml:space="preserve">Analizar y justificar técnicamente los dictámenes de riesgo emitidos por la Dirección de Protección Civil y Bomberos para la ejecución de trabajos en árboles que, por la magnitud del riesgo, se ejecuten sin previa autorización; asimismo, determinará en las autorizaciones que emita si se requiere la intervención de la Dirección de Protección Civil y Bomberos derivado del riesgo; </w:t>
      </w:r>
    </w:p>
    <w:p w14:paraId="4563D525" w14:textId="77777777" w:rsidR="00A24DC9" w:rsidRPr="009752B0" w:rsidRDefault="00A561CA">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Implementar campañas de reforestación y restauración dentro de las áreas naturales protegidas y zonas urbanas del Municipio, así como eventos de educación ambiental y bienestar animal;</w:t>
      </w:r>
    </w:p>
    <w:p w14:paraId="21F4CBD4" w14:textId="77777777" w:rsidR="00A24DC9" w:rsidRPr="009752B0" w:rsidRDefault="00A561CA">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 xml:space="preserve">Realizar visitas de inspección con el objeto de constatar el cumplimiento del Código para la Biodiversidad del Estado de México y demás ordenamientos aplicables; </w:t>
      </w:r>
    </w:p>
    <w:p w14:paraId="473C4042" w14:textId="77777777" w:rsidR="00A24DC9" w:rsidRPr="009752B0" w:rsidRDefault="00A561CA">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 xml:space="preserve">Formular, ejecutar y evaluar los Programas Municipales en Materia de Protección al Ambiente, Residuos Sólidos Urbanos, Cambio Climático y demás previstos en las leyes de la materia; y </w:t>
      </w:r>
    </w:p>
    <w:p w14:paraId="6D79FF50" w14:textId="77777777" w:rsidR="00A24DC9" w:rsidRPr="009752B0" w:rsidRDefault="00A561CA">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Contar con la Célula de Rescate de Fauna Silvestre y coordinar el manejo de las especies de vida silvestre bajo resguardo del municipio.;</w:t>
      </w:r>
    </w:p>
    <w:p w14:paraId="7C448A02" w14:textId="77777777" w:rsidR="00A24DC9" w:rsidRPr="009752B0" w:rsidRDefault="00A24DC9">
      <w:pPr>
        <w:spacing w:line="360" w:lineRule="auto"/>
        <w:jc w:val="both"/>
        <w:rPr>
          <w:rFonts w:ascii="Palatino Linotype" w:eastAsia="Palatino Linotype" w:hAnsi="Palatino Linotype" w:cs="Palatino Linotype"/>
          <w:i/>
          <w:iCs/>
          <w:sz w:val="22"/>
          <w:szCs w:val="22"/>
        </w:rPr>
      </w:pPr>
    </w:p>
    <w:p w14:paraId="6C6F68EF" w14:textId="77777777" w:rsidR="00A24DC9" w:rsidRPr="009752B0" w:rsidRDefault="00A24DC9">
      <w:pPr>
        <w:spacing w:line="360" w:lineRule="auto"/>
        <w:jc w:val="both"/>
        <w:rPr>
          <w:rFonts w:ascii="Palatino Linotype" w:eastAsia="Palatino Linotype" w:hAnsi="Palatino Linotype" w:cs="Palatino Linotype"/>
        </w:rPr>
      </w:pPr>
    </w:p>
    <w:p w14:paraId="09197C8F"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En ese contexto, en términos de lo establecido por el artículo 70 y 71 le corresponde a la Dirección de Protección Civil y Bomberos las bases de coordinación entre los distintos órdenes de gobierno en materia de gestión integral de riesgos y protección civil, así como con los sectores privado y social entendiendo como valoración de riesgo, </w:t>
      </w:r>
      <w:r w:rsidRPr="009752B0">
        <w:rPr>
          <w:rFonts w:ascii="Palatino Linotype" w:eastAsia="Palatino Linotype" w:hAnsi="Palatino Linotype" w:cs="Palatino Linotype"/>
        </w:rPr>
        <w:lastRenderedPageBreak/>
        <w:t>al documento que se emite por la Dirección de Protección Civil y Bomberos mediante el cual se identifican los riesgos existentes señalando el grado de estos, las posibles pérdidas, así como las recomendaciones de acciones para la gestión integral de riesgos, a efecto de mitigar o eliminar los efectos entre otras.</w:t>
      </w:r>
    </w:p>
    <w:p w14:paraId="31CC246F" w14:textId="77777777" w:rsidR="00A24DC9" w:rsidRPr="009752B0" w:rsidRDefault="00A24DC9">
      <w:pPr>
        <w:spacing w:line="360" w:lineRule="auto"/>
        <w:jc w:val="both"/>
        <w:rPr>
          <w:rFonts w:ascii="Palatino Linotype" w:eastAsia="Palatino Linotype" w:hAnsi="Palatino Linotype" w:cs="Palatino Linotype"/>
          <w:color w:val="000000"/>
          <w:u w:val="single"/>
        </w:rPr>
      </w:pPr>
    </w:p>
    <w:p w14:paraId="7F9E8FC9"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color w:val="000000"/>
        </w:rPr>
        <w:t xml:space="preserve">Por lo que este Instituto en el ámbito de sus atribuciones bajo los principios de Certeza, Imparcialidad, Legalidad y Máxima Publicidad consagrados en el artículo 9 de la Ley de Transparencia Local </w:t>
      </w:r>
      <w:r w:rsidRPr="009752B0">
        <w:rPr>
          <w:rFonts w:ascii="Palatino Linotype" w:eastAsia="Palatino Linotype" w:hAnsi="Palatino Linotype" w:cs="Palatino Linotype"/>
        </w:rPr>
        <w:t>puede advertir que el Sujeto Obligado cumplió el procedimiento que establece el artículo 162 de la Ley de Transparencia Local pues turno la solicitud de información a la unidad administrativa que en el ámbito de sus atribuciones podrían generar, poseer o administrar la información requerida por el Recurrente pues se reitera la Recurrente manifestó requerir</w:t>
      </w:r>
      <w:r w:rsidRPr="009752B0">
        <w:rPr>
          <w:rFonts w:ascii="Palatino Linotype" w:eastAsia="Palatino Linotype" w:hAnsi="Palatino Linotype" w:cs="Palatino Linotype"/>
          <w:u w:val="single"/>
        </w:rPr>
        <w:t xml:space="preserve"> </w:t>
      </w:r>
      <w:r w:rsidRPr="009752B0">
        <w:rPr>
          <w:rFonts w:ascii="Palatino Linotype" w:eastAsia="Palatino Linotype" w:hAnsi="Palatino Linotype" w:cs="Palatino Linotype"/>
          <w:color w:val="000000"/>
        </w:rPr>
        <w:t>el soporte documental del seguimiento y continuidad de la Dirección de Medio Ambiente y Ecología del 16 de octubre de 2025 respecto el oficio No. DPCB/ECA/1368/2025 de fecha 03 de junio de 2025</w:t>
      </w:r>
      <w:r w:rsidRPr="009752B0">
        <w:rPr>
          <w:rFonts w:ascii="Palatino Linotype" w:eastAsia="Palatino Linotype" w:hAnsi="Palatino Linotype" w:cs="Palatino Linotype"/>
          <w:u w:val="single"/>
        </w:rPr>
        <w:t>,</w:t>
      </w:r>
      <w:r w:rsidRPr="009752B0">
        <w:rPr>
          <w:rFonts w:ascii="Palatino Linotype" w:eastAsia="Palatino Linotype" w:hAnsi="Palatino Linotype" w:cs="Palatino Linotype"/>
        </w:rPr>
        <w:t xml:space="preserve"> </w:t>
      </w:r>
      <w:r w:rsidRPr="009752B0">
        <w:rPr>
          <w:rFonts w:ascii="Palatino Linotype" w:eastAsia="Palatino Linotype" w:hAnsi="Palatino Linotype" w:cs="Palatino Linotype"/>
          <w:color w:val="000000"/>
        </w:rPr>
        <w:t xml:space="preserve">sin embargo la servidora pública </w:t>
      </w:r>
      <w:r w:rsidRPr="009752B0">
        <w:rPr>
          <w:rFonts w:ascii="Palatino Linotype" w:eastAsia="Palatino Linotype" w:hAnsi="Palatino Linotype" w:cs="Palatino Linotype"/>
        </w:rPr>
        <w:t xml:space="preserve">de la Dirección de Medio Ambiente y Ecología manifiesto </w:t>
      </w:r>
      <w:r w:rsidRPr="009752B0">
        <w:rPr>
          <w:rFonts w:ascii="Palatino Linotype" w:eastAsia="Palatino Linotype" w:hAnsi="Palatino Linotype" w:cs="Palatino Linotype"/>
          <w:b/>
          <w:bCs/>
        </w:rPr>
        <w:t>que no se localizó información respecto el seguimiento y continuidad del</w:t>
      </w:r>
      <w:r w:rsidRPr="009752B0">
        <w:rPr>
          <w:rFonts w:ascii="Palatino Linotype" w:eastAsia="Palatino Linotype" w:hAnsi="Palatino Linotype" w:cs="Palatino Linotype"/>
        </w:rPr>
        <w:t xml:space="preserve"> </w:t>
      </w:r>
      <w:r w:rsidRPr="009752B0">
        <w:rPr>
          <w:rFonts w:ascii="Palatino Linotype" w:eastAsia="Palatino Linotype" w:hAnsi="Palatino Linotype" w:cs="Palatino Linotype"/>
          <w:b/>
          <w:bCs/>
        </w:rPr>
        <w:t>14 de octubre de 2025</w:t>
      </w:r>
      <w:r w:rsidRPr="009752B0">
        <w:rPr>
          <w:rFonts w:ascii="Palatino Linotype" w:eastAsia="Palatino Linotype" w:hAnsi="Palatino Linotype" w:cs="Palatino Linotype"/>
        </w:rPr>
        <w:t xml:space="preserve">, por lo que no cuenta con información, manifestando que anexa el acta informática de control interno  en el que se precisa que se realizó una búsqueda exhaustiva, minuciosa y razonable en los documentos y registros físicos y electrónicos que se encuentran en la Dirección de Medio Ambiente y Ecología </w:t>
      </w:r>
      <w:r w:rsidRPr="009752B0">
        <w:rPr>
          <w:rFonts w:ascii="Palatino Linotype" w:eastAsia="Palatino Linotype" w:hAnsi="Palatino Linotype" w:cs="Palatino Linotype"/>
          <w:b/>
          <w:bCs/>
        </w:rPr>
        <w:t>no se localizó información detallada</w:t>
      </w:r>
      <w:r w:rsidRPr="009752B0">
        <w:rPr>
          <w:rFonts w:ascii="Palatino Linotype" w:eastAsia="Palatino Linotype" w:hAnsi="Palatino Linotype" w:cs="Palatino Linotype"/>
        </w:rPr>
        <w:t xml:space="preserve">, con relación al requerimiento de información administrativa </w:t>
      </w:r>
      <w:r w:rsidRPr="009752B0">
        <w:rPr>
          <w:rFonts w:ascii="Palatino Linotype" w:eastAsia="Palatino Linotype" w:hAnsi="Palatino Linotype" w:cs="Palatino Linotype"/>
          <w:b/>
          <w:bCs/>
        </w:rPr>
        <w:t>referente a seguimiento y continuidad del oficio No. DCPB/ECA/1368/2025</w:t>
      </w:r>
      <w:r w:rsidRPr="009752B0">
        <w:rPr>
          <w:rFonts w:ascii="Palatino Linotype" w:eastAsia="Palatino Linotype" w:hAnsi="Palatino Linotype" w:cs="Palatino Linotype"/>
        </w:rPr>
        <w:t xml:space="preserve"> por parte de la Dirección de Medio Ambiente y Ecología en el año 2025.</w:t>
      </w:r>
    </w:p>
    <w:p w14:paraId="00FF0D95" w14:textId="77777777" w:rsidR="00A24DC9" w:rsidRPr="009752B0" w:rsidRDefault="00A24DC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3B8AE79" w14:textId="77777777" w:rsidR="00A24DC9" w:rsidRPr="009752B0" w:rsidRDefault="00A561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752B0">
        <w:rPr>
          <w:rFonts w:ascii="Palatino Linotype" w:eastAsia="Palatino Linotype" w:hAnsi="Palatino Linotype" w:cs="Palatino Linotype"/>
          <w:color w:val="000000"/>
        </w:rPr>
        <w:lastRenderedPageBreak/>
        <w:t>Así mismo este Instituto debe precisar que la Recurrente requirió información del oficio No. DPCB/ECA/1368/2025 con relación a las acciones de seguimiento y continuidad de la</w:t>
      </w:r>
      <w:r w:rsidRPr="009752B0">
        <w:rPr>
          <w:rFonts w:ascii="Verdana" w:eastAsia="Verdana" w:hAnsi="Verdana" w:cs="Verdana"/>
          <w:color w:val="000000"/>
          <w:sz w:val="14"/>
          <w:szCs w:val="14"/>
        </w:rPr>
        <w:t xml:space="preserve"> </w:t>
      </w:r>
      <w:r w:rsidRPr="009752B0">
        <w:rPr>
          <w:rFonts w:ascii="Palatino Linotype" w:eastAsia="Palatino Linotype" w:hAnsi="Palatino Linotype" w:cs="Palatino Linotype"/>
          <w:color w:val="000000"/>
        </w:rPr>
        <w:t xml:space="preserve">Dirección de Medio Ambiente y Ecología de fecha 16 de Octubre de 2025, sin embargo como se advierte en respuesta </w:t>
      </w:r>
      <w:r w:rsidRPr="009752B0">
        <w:rPr>
          <w:rFonts w:ascii="Palatino Linotype" w:eastAsia="Palatino Linotype" w:hAnsi="Palatino Linotype" w:cs="Palatino Linotype"/>
          <w:color w:val="000000"/>
          <w:u w:val="single"/>
        </w:rPr>
        <w:t>la Servidora Pública Habilitada se manifestó de un oficio y fecha diversa a la solicitud</w:t>
      </w:r>
      <w:r w:rsidRPr="009752B0">
        <w:rPr>
          <w:rFonts w:ascii="Palatino Linotype" w:eastAsia="Palatino Linotype" w:hAnsi="Palatino Linotype" w:cs="Palatino Linotype"/>
          <w:color w:val="000000"/>
        </w:rPr>
        <w:t xml:space="preserve"> pues realizo una búsqueda exhaustiva, minuciosa y razonable en los documentos y registros físicos y electrónicos que se encuentran en la Dirección de Medio Ambiente y Ecología respecto el oficio No.</w:t>
      </w:r>
      <w:r w:rsidRPr="009752B0">
        <w:rPr>
          <w:rFonts w:ascii="Palatino Linotype" w:eastAsia="Palatino Linotype" w:hAnsi="Palatino Linotype" w:cs="Palatino Linotype"/>
          <w:b/>
          <w:bCs/>
          <w:color w:val="000000"/>
        </w:rPr>
        <w:t xml:space="preserve"> DCPB/</w:t>
      </w:r>
      <w:r w:rsidRPr="009752B0">
        <w:rPr>
          <w:rFonts w:ascii="Palatino Linotype" w:eastAsia="Palatino Linotype" w:hAnsi="Palatino Linotype" w:cs="Palatino Linotype"/>
          <w:color w:val="000000"/>
        </w:rPr>
        <w:t>ECA/1368/2025</w:t>
      </w:r>
      <w:r w:rsidRPr="009752B0">
        <w:rPr>
          <w:rFonts w:ascii="Palatino Linotype" w:eastAsia="Palatino Linotype" w:hAnsi="Palatino Linotype" w:cs="Palatino Linotype"/>
          <w:b/>
          <w:bCs/>
          <w:color w:val="000000"/>
        </w:rPr>
        <w:t xml:space="preserve"> </w:t>
      </w:r>
      <w:r w:rsidRPr="009752B0">
        <w:rPr>
          <w:rFonts w:ascii="Palatino Linotype" w:eastAsia="Palatino Linotype" w:hAnsi="Palatino Linotype" w:cs="Palatino Linotype"/>
          <w:color w:val="000000"/>
        </w:rPr>
        <w:t xml:space="preserve"> sin embargo el oficio referido por la Recurrente corresponde a </w:t>
      </w:r>
      <w:r w:rsidRPr="009752B0">
        <w:rPr>
          <w:rFonts w:ascii="Palatino Linotype" w:eastAsia="Palatino Linotype" w:hAnsi="Palatino Linotype" w:cs="Palatino Linotype"/>
          <w:b/>
          <w:bCs/>
          <w:color w:val="000000"/>
        </w:rPr>
        <w:t>DPCB</w:t>
      </w:r>
      <w:r w:rsidRPr="009752B0">
        <w:rPr>
          <w:rFonts w:ascii="Palatino Linotype" w:eastAsia="Palatino Linotype" w:hAnsi="Palatino Linotype" w:cs="Palatino Linotype"/>
          <w:color w:val="000000"/>
        </w:rPr>
        <w:t>/ECA/1368/2025 así mismo la Titular de la Unidad administrativa en comento se manifestó respecto un día diverso al referido en solicitud.</w:t>
      </w:r>
    </w:p>
    <w:p w14:paraId="6F0A2B47" w14:textId="77777777" w:rsidR="00A24DC9" w:rsidRPr="009752B0" w:rsidRDefault="00A24DC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42B277E" w14:textId="77777777" w:rsidR="00A24DC9" w:rsidRPr="009752B0" w:rsidRDefault="00A561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752B0">
        <w:rPr>
          <w:rFonts w:ascii="Palatino Linotype" w:eastAsia="Palatino Linotype" w:hAnsi="Palatino Linotype" w:cs="Palatino Linotype"/>
          <w:color w:val="000000"/>
        </w:rPr>
        <w:t>Lo anterior ocasiona que para el presente caso no se cumpliera con el principio de búsqueda exhaustiva de la información requerida, cuyo alcance se encuentra establecido en el Criterio Reiterado 02/19 emitido por el Pleno de este Organismo Garante, a saber:</w:t>
      </w:r>
    </w:p>
    <w:p w14:paraId="369711C6" w14:textId="77777777" w:rsidR="00A24DC9" w:rsidRPr="009752B0" w:rsidRDefault="00A561CA">
      <w:pPr>
        <w:spacing w:line="276" w:lineRule="auto"/>
        <w:ind w:left="567" w:right="706"/>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b/>
          <w:bCs/>
          <w:i/>
          <w:iCs/>
          <w:color w:val="000000"/>
          <w:sz w:val="22"/>
          <w:szCs w:val="22"/>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9752B0">
        <w:rPr>
          <w:rFonts w:ascii="Palatino Linotype" w:eastAsia="Palatino Linotype" w:hAnsi="Palatino Linotype" w:cs="Palatino Linotype"/>
          <w:i/>
          <w:iCs/>
          <w:color w:val="000000"/>
          <w:sz w:val="22"/>
          <w:szCs w:val="22"/>
        </w:rPr>
        <w:t xml:space="preserve">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w:t>
      </w:r>
      <w:r w:rsidRPr="009752B0">
        <w:rPr>
          <w:rFonts w:ascii="Palatino Linotype" w:eastAsia="Palatino Linotype" w:hAnsi="Palatino Linotype" w:cs="Palatino Linotype"/>
          <w:i/>
          <w:iCs/>
          <w:color w:val="000000"/>
          <w:sz w:val="22"/>
          <w:szCs w:val="22"/>
        </w:rPr>
        <w:lastRenderedPageBreak/>
        <w:t>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5C919C4A" w14:textId="77777777" w:rsidR="00A24DC9" w:rsidRPr="009752B0" w:rsidRDefault="00A24DC9">
      <w:pPr>
        <w:spacing w:line="360" w:lineRule="auto"/>
        <w:jc w:val="both"/>
        <w:rPr>
          <w:rFonts w:ascii="Palatino Linotype" w:eastAsia="Palatino Linotype" w:hAnsi="Palatino Linotype" w:cs="Palatino Linotype"/>
          <w:color w:val="000000"/>
        </w:rPr>
      </w:pPr>
    </w:p>
    <w:p w14:paraId="5925A809" w14:textId="77777777" w:rsidR="00A24DC9" w:rsidRPr="009752B0" w:rsidRDefault="00A561CA">
      <w:pPr>
        <w:spacing w:line="360" w:lineRule="auto"/>
        <w:jc w:val="both"/>
        <w:rPr>
          <w:rFonts w:ascii="Palatino Linotype" w:eastAsia="Palatino Linotype" w:hAnsi="Palatino Linotype" w:cs="Palatino Linotype"/>
          <w:color w:val="000000"/>
        </w:rPr>
      </w:pPr>
      <w:r w:rsidRPr="009752B0">
        <w:rPr>
          <w:rFonts w:ascii="Palatino Linotype" w:eastAsia="Palatino Linotype" w:hAnsi="Palatino Linotype" w:cs="Palatino Linotype"/>
          <w:color w:val="000000"/>
        </w:rPr>
        <w:t>En tal sentido, resulta aplicable el Criterio 02/17 emitido por el Peno del Instituto Nacional de Transparencia y Acceso a la Información y Protección de Datos Personales, de título y texto siguientes:</w:t>
      </w:r>
    </w:p>
    <w:p w14:paraId="14AC435B" w14:textId="77777777" w:rsidR="00A24DC9" w:rsidRPr="009752B0" w:rsidRDefault="00A561CA">
      <w:pPr>
        <w:ind w:left="851" w:right="851"/>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b/>
          <w:bCs/>
          <w:i/>
          <w:iCs/>
          <w:color w:val="000000"/>
          <w:sz w:val="22"/>
          <w:szCs w:val="22"/>
        </w:rPr>
        <w:t xml:space="preserve">“Congruencia y exhaustividad. Sus alcances para garantizar el derecho de acceso a la información. </w:t>
      </w:r>
      <w:r w:rsidRPr="009752B0">
        <w:rPr>
          <w:rFonts w:ascii="Palatino Linotype" w:eastAsia="Palatino Linotype" w:hAnsi="Palatino Linotype" w:cs="Palatino Linotype"/>
          <w:i/>
          <w:iCs/>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9752B0">
        <w:rPr>
          <w:rFonts w:ascii="Palatino Linotype" w:eastAsia="Palatino Linotype" w:hAnsi="Palatino Linotype" w:cs="Palatino Linotype"/>
          <w:b/>
          <w:bCs/>
          <w:i/>
          <w:iCs/>
          <w:color w:val="000000"/>
          <w:sz w:val="22"/>
          <w:szCs w:val="22"/>
        </w:rPr>
        <w:t>la congruencia implica que exista concordancia entre el requerimiento formulado por el particular y la respuesta proporcionada por el sujeto obligado</w:t>
      </w:r>
      <w:r w:rsidRPr="009752B0">
        <w:rPr>
          <w:rFonts w:ascii="Palatino Linotype" w:eastAsia="Palatino Linotype" w:hAnsi="Palatino Linotype" w:cs="Palatino Linotype"/>
          <w:i/>
          <w:iCs/>
          <w:color w:val="000000"/>
          <w:sz w:val="22"/>
          <w:szCs w:val="22"/>
        </w:rPr>
        <w:t xml:space="preserve">; mientras que </w:t>
      </w:r>
      <w:r w:rsidRPr="009752B0">
        <w:rPr>
          <w:rFonts w:ascii="Palatino Linotype" w:eastAsia="Palatino Linotype" w:hAnsi="Palatino Linotype" w:cs="Palatino Linotype"/>
          <w:b/>
          <w:bCs/>
          <w:i/>
          <w:iCs/>
          <w:color w:val="000000"/>
          <w:sz w:val="22"/>
          <w:szCs w:val="22"/>
        </w:rPr>
        <w:t>la exhaustividad significa que dicha respuesta se refiera expresamente a cada uno de los puntos solicitados</w:t>
      </w:r>
      <w:r w:rsidRPr="009752B0">
        <w:rPr>
          <w:rFonts w:ascii="Palatino Linotype" w:eastAsia="Palatino Linotype" w:hAnsi="Palatino Linotype" w:cs="Palatino Linotype"/>
          <w:i/>
          <w:iCs/>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FA0A49F" w14:textId="77777777" w:rsidR="00A24DC9" w:rsidRPr="009752B0" w:rsidRDefault="00A24DC9">
      <w:pPr>
        <w:spacing w:after="160" w:line="360" w:lineRule="auto"/>
        <w:jc w:val="both"/>
        <w:rPr>
          <w:rFonts w:ascii="Palatino Linotype" w:eastAsia="Palatino Linotype" w:hAnsi="Palatino Linotype" w:cs="Palatino Linotype"/>
          <w:sz w:val="22"/>
          <w:szCs w:val="22"/>
        </w:rPr>
      </w:pPr>
    </w:p>
    <w:p w14:paraId="40D821D5" w14:textId="77777777" w:rsidR="00A24DC9" w:rsidRPr="009752B0" w:rsidRDefault="00A561CA">
      <w:pPr>
        <w:spacing w:line="360" w:lineRule="auto"/>
        <w:jc w:val="both"/>
        <w:rPr>
          <w:rFonts w:ascii="Palatino Linotype" w:eastAsia="Palatino Linotype" w:hAnsi="Palatino Linotype" w:cs="Palatino Linotype"/>
          <w:color w:val="000000"/>
        </w:rPr>
      </w:pPr>
      <w:r w:rsidRPr="009752B0">
        <w:rPr>
          <w:rFonts w:ascii="Palatino Linotype" w:eastAsia="Palatino Linotype" w:hAnsi="Palatino Linotype" w:cs="Palatino Linotype"/>
        </w:rPr>
        <w:t xml:space="preserve">En este sentido conforme lo vertido en líneas anteriores resulta dable ordenar de ser procedente en versión pública el soporte documental que dé cuenta </w:t>
      </w:r>
      <w:r w:rsidRPr="009752B0">
        <w:rPr>
          <w:rFonts w:ascii="Palatino Linotype" w:eastAsia="Palatino Linotype" w:hAnsi="Palatino Linotype" w:cs="Palatino Linotype"/>
          <w:color w:val="000000"/>
        </w:rPr>
        <w:t xml:space="preserve">del seguimiento y </w:t>
      </w:r>
      <w:r w:rsidRPr="009752B0">
        <w:rPr>
          <w:rFonts w:ascii="Palatino Linotype" w:eastAsia="Palatino Linotype" w:hAnsi="Palatino Linotype" w:cs="Palatino Linotype"/>
          <w:color w:val="000000"/>
        </w:rPr>
        <w:lastRenderedPageBreak/>
        <w:t xml:space="preserve">continuidad realizado por la Dirección de Medio Ambiente y Ecología </w:t>
      </w:r>
      <w:r w:rsidRPr="009752B0">
        <w:rPr>
          <w:rFonts w:ascii="Palatino Linotype" w:eastAsia="Palatino Linotype" w:hAnsi="Palatino Linotype" w:cs="Palatino Linotype"/>
        </w:rPr>
        <w:t xml:space="preserve">al </w:t>
      </w:r>
      <w:r w:rsidRPr="009752B0">
        <w:rPr>
          <w:rFonts w:ascii="Palatino Linotype" w:eastAsia="Palatino Linotype" w:hAnsi="Palatino Linotype" w:cs="Palatino Linotype"/>
          <w:color w:val="000000"/>
        </w:rPr>
        <w:t>1</w:t>
      </w:r>
      <w:r w:rsidRPr="009752B0">
        <w:rPr>
          <w:rFonts w:ascii="Palatino Linotype" w:eastAsia="Palatino Linotype" w:hAnsi="Palatino Linotype" w:cs="Palatino Linotype"/>
        </w:rPr>
        <w:t>5</w:t>
      </w:r>
      <w:r w:rsidRPr="009752B0">
        <w:rPr>
          <w:rFonts w:ascii="Palatino Linotype" w:eastAsia="Palatino Linotype" w:hAnsi="Palatino Linotype" w:cs="Palatino Linotype"/>
          <w:color w:val="000000"/>
        </w:rPr>
        <w:t xml:space="preserve"> de octubre de 2025 respecto el oficio No. DPCB/ECA/1368/2025 de fecha 03 de junio de 2025.</w:t>
      </w:r>
    </w:p>
    <w:p w14:paraId="3E96B974" w14:textId="77777777" w:rsidR="00A24DC9" w:rsidRPr="009752B0" w:rsidRDefault="00A24DC9">
      <w:pPr>
        <w:spacing w:line="360" w:lineRule="auto"/>
        <w:jc w:val="both"/>
        <w:rPr>
          <w:rFonts w:ascii="Palatino Linotype" w:eastAsia="Palatino Linotype" w:hAnsi="Palatino Linotype" w:cs="Palatino Linotype"/>
        </w:rPr>
      </w:pPr>
    </w:p>
    <w:p w14:paraId="37555F26" w14:textId="54EC2C8C"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Lo anterior en virtud que toda vez que si bien la Recurrente </w:t>
      </w:r>
      <w:r w:rsidR="00EB35A2" w:rsidRPr="009752B0">
        <w:rPr>
          <w:rFonts w:ascii="Palatino Linotype" w:eastAsia="Palatino Linotype" w:hAnsi="Palatino Linotype" w:cs="Palatino Linotype"/>
        </w:rPr>
        <w:t>manifestó</w:t>
      </w:r>
      <w:r w:rsidRPr="009752B0">
        <w:rPr>
          <w:rFonts w:ascii="Palatino Linotype" w:eastAsia="Palatino Linotype" w:hAnsi="Palatino Linotype" w:cs="Palatino Linotype"/>
        </w:rPr>
        <w:t xml:space="preserve"> requerir información al 16 de Octubre de 2025 este Órgano Garante advierte que la fecha de solicitud de acceso a la información pública fue realizada el 15 de Otubre de 2025 por lo que en atención al principio de Eficacia y que se trataría de hechos futuros se </w:t>
      </w:r>
      <w:r w:rsidR="00EB35A2" w:rsidRPr="009752B0">
        <w:rPr>
          <w:rFonts w:ascii="Palatino Linotype" w:eastAsia="Palatino Linotype" w:hAnsi="Palatino Linotype" w:cs="Palatino Linotype"/>
        </w:rPr>
        <w:t>ajustó</w:t>
      </w:r>
      <w:r w:rsidRPr="009752B0">
        <w:rPr>
          <w:rFonts w:ascii="Palatino Linotype" w:eastAsia="Palatino Linotype" w:hAnsi="Palatino Linotype" w:cs="Palatino Linotype"/>
        </w:rPr>
        <w:t xml:space="preserve"> la temporalidad para ordenar la información a la fecha del ejercicio del Derecho al Acceso a la Información Pública.</w:t>
      </w:r>
    </w:p>
    <w:p w14:paraId="612FFDA2" w14:textId="77777777" w:rsidR="00A24DC9" w:rsidRPr="009752B0" w:rsidRDefault="00A24DC9">
      <w:pPr>
        <w:spacing w:line="360" w:lineRule="auto"/>
        <w:jc w:val="both"/>
        <w:rPr>
          <w:rFonts w:ascii="Palatino Linotype" w:eastAsia="Palatino Linotype" w:hAnsi="Palatino Linotype" w:cs="Palatino Linotype"/>
        </w:rPr>
      </w:pPr>
    </w:p>
    <w:p w14:paraId="09221EF9" w14:textId="5B83614D"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De ser el caso que el Sujeto Obligado no cuante con la información que se ordena bastara con que asi lo manifieste en </w:t>
      </w:r>
      <w:r w:rsidR="00EB35A2" w:rsidRPr="009752B0">
        <w:rPr>
          <w:rFonts w:ascii="Palatino Linotype" w:eastAsia="Palatino Linotype" w:hAnsi="Palatino Linotype" w:cs="Palatino Linotype"/>
        </w:rPr>
        <w:t>términos</w:t>
      </w:r>
      <w:r w:rsidRPr="009752B0">
        <w:rPr>
          <w:rFonts w:ascii="Palatino Linotype" w:eastAsia="Palatino Linotype" w:hAnsi="Palatino Linotype" w:cs="Palatino Linotype"/>
        </w:rPr>
        <w:t xml:space="preserve"> de lo establecido por el segundo párrafo del </w:t>
      </w:r>
      <w:proofErr w:type="gramStart"/>
      <w:r w:rsidRPr="009752B0">
        <w:rPr>
          <w:rFonts w:ascii="Palatino Linotype" w:eastAsia="Palatino Linotype" w:hAnsi="Palatino Linotype" w:cs="Palatino Linotype"/>
        </w:rPr>
        <w:t>articulo</w:t>
      </w:r>
      <w:proofErr w:type="gramEnd"/>
      <w:r w:rsidRPr="009752B0">
        <w:rPr>
          <w:rFonts w:ascii="Palatino Linotype" w:eastAsia="Palatino Linotype" w:hAnsi="Palatino Linotype" w:cs="Palatino Linotype"/>
        </w:rPr>
        <w:t xml:space="preserve"> 19 de la Ley de Transparencia Local.</w:t>
      </w:r>
    </w:p>
    <w:p w14:paraId="7D0AF83E" w14:textId="77777777" w:rsidR="00A24DC9" w:rsidRPr="009752B0" w:rsidRDefault="00A24DC9">
      <w:pPr>
        <w:spacing w:line="360" w:lineRule="auto"/>
        <w:jc w:val="both"/>
        <w:rPr>
          <w:rFonts w:ascii="Palatino Linotype" w:eastAsia="Palatino Linotype" w:hAnsi="Palatino Linotype" w:cs="Palatino Linotype"/>
        </w:rPr>
      </w:pPr>
    </w:p>
    <w:p w14:paraId="28E24ECC" w14:textId="77777777" w:rsidR="00A24DC9" w:rsidRPr="009752B0" w:rsidRDefault="00A24DC9">
      <w:pPr>
        <w:spacing w:line="360" w:lineRule="auto"/>
        <w:jc w:val="both"/>
        <w:rPr>
          <w:rFonts w:ascii="Palatino Linotype" w:eastAsia="Palatino Linotype" w:hAnsi="Palatino Linotype" w:cs="Palatino Linotype"/>
        </w:rPr>
      </w:pPr>
    </w:p>
    <w:p w14:paraId="0CF5ADB9" w14:textId="77777777" w:rsidR="00A24DC9" w:rsidRPr="009752B0" w:rsidRDefault="00A561CA">
      <w:pPr>
        <w:numPr>
          <w:ilvl w:val="0"/>
          <w:numId w:val="2"/>
        </w:numPr>
        <w:pBdr>
          <w:top w:val="nil"/>
          <w:left w:val="nil"/>
          <w:bottom w:val="nil"/>
          <w:right w:val="nil"/>
          <w:between w:val="nil"/>
        </w:pBdr>
        <w:spacing w:line="360" w:lineRule="auto"/>
        <w:jc w:val="both"/>
        <w:rPr>
          <w:b/>
          <w:bCs/>
          <w:color w:val="000000"/>
        </w:rPr>
      </w:pPr>
      <w:r w:rsidRPr="009752B0">
        <w:rPr>
          <w:rFonts w:ascii="Palatino Linotype" w:eastAsia="Palatino Linotype" w:hAnsi="Palatino Linotype" w:cs="Palatino Linotype"/>
          <w:b/>
          <w:bCs/>
          <w:color w:val="000000"/>
        </w:rPr>
        <w:t>DE LA VERSIÓN PÚBLICA</w:t>
      </w:r>
    </w:p>
    <w:p w14:paraId="48163BDE"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18038D31"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b/>
          <w:bCs/>
          <w:i/>
          <w:iCs/>
          <w:color w:val="000000"/>
          <w:sz w:val="22"/>
          <w:szCs w:val="22"/>
        </w:rPr>
        <w:t>Artículo 3.</w:t>
      </w:r>
      <w:r w:rsidRPr="009752B0">
        <w:rPr>
          <w:rFonts w:ascii="Palatino Linotype" w:eastAsia="Palatino Linotype" w:hAnsi="Palatino Linotype" w:cs="Palatino Linotype"/>
          <w:i/>
          <w:iCs/>
          <w:color w:val="000000"/>
          <w:sz w:val="22"/>
          <w:szCs w:val="22"/>
        </w:rPr>
        <w:t xml:space="preserve"> Para los efectos de la presente Ley se entenderá por:</w:t>
      </w:r>
    </w:p>
    <w:p w14:paraId="5B4C4699"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w:t>
      </w:r>
    </w:p>
    <w:p w14:paraId="183D4575"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b/>
          <w:bCs/>
          <w:i/>
          <w:iCs/>
          <w:color w:val="000000"/>
          <w:sz w:val="22"/>
          <w:szCs w:val="22"/>
        </w:rPr>
        <w:t>IX. Datos personales:</w:t>
      </w:r>
      <w:r w:rsidRPr="009752B0">
        <w:rPr>
          <w:rFonts w:ascii="Palatino Linotype" w:eastAsia="Palatino Linotype" w:hAnsi="Palatino Linotype" w:cs="Palatino Linotype"/>
          <w:i/>
          <w:iCs/>
          <w:color w:val="000000"/>
          <w:sz w:val="22"/>
          <w:szCs w:val="22"/>
        </w:rPr>
        <w:t xml:space="preserve"> La información concerniente a una persona, identificada o identificable según lo dispuesto por la Ley de Protección de Datos Personales del Estado de México; </w:t>
      </w:r>
    </w:p>
    <w:p w14:paraId="019E663C"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b/>
          <w:bCs/>
          <w:i/>
          <w:iCs/>
          <w:color w:val="000000"/>
          <w:sz w:val="22"/>
          <w:szCs w:val="22"/>
        </w:rPr>
        <w:lastRenderedPageBreak/>
        <w:t>XX.</w:t>
      </w:r>
      <w:r w:rsidRPr="009752B0">
        <w:rPr>
          <w:rFonts w:ascii="Palatino Linotype" w:eastAsia="Palatino Linotype" w:hAnsi="Palatino Linotype" w:cs="Palatino Linotype"/>
          <w:i/>
          <w:iCs/>
          <w:color w:val="000000"/>
          <w:sz w:val="22"/>
          <w:szCs w:val="22"/>
        </w:rPr>
        <w:t xml:space="preserve"> </w:t>
      </w:r>
      <w:r w:rsidRPr="009752B0">
        <w:rPr>
          <w:rFonts w:ascii="Palatino Linotype" w:eastAsia="Palatino Linotype" w:hAnsi="Palatino Linotype" w:cs="Palatino Linotype"/>
          <w:b/>
          <w:bCs/>
          <w:i/>
          <w:iCs/>
          <w:color w:val="000000"/>
          <w:sz w:val="22"/>
          <w:szCs w:val="22"/>
        </w:rPr>
        <w:t>Información clasificada:</w:t>
      </w:r>
      <w:r w:rsidRPr="009752B0">
        <w:rPr>
          <w:rFonts w:ascii="Palatino Linotype" w:eastAsia="Palatino Linotype" w:hAnsi="Palatino Linotype" w:cs="Palatino Linotype"/>
          <w:i/>
          <w:iCs/>
          <w:color w:val="000000"/>
          <w:sz w:val="22"/>
          <w:szCs w:val="22"/>
        </w:rPr>
        <w:t xml:space="preserve"> Aquella considerada por la presente Ley como reservada o confidencial;</w:t>
      </w:r>
    </w:p>
    <w:p w14:paraId="34C4BF46"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b/>
          <w:bCs/>
          <w:i/>
          <w:iCs/>
          <w:color w:val="000000"/>
          <w:sz w:val="22"/>
          <w:szCs w:val="22"/>
        </w:rPr>
        <w:t>XXI.</w:t>
      </w:r>
      <w:r w:rsidRPr="009752B0">
        <w:rPr>
          <w:rFonts w:ascii="Palatino Linotype" w:eastAsia="Palatino Linotype" w:hAnsi="Palatino Linotype" w:cs="Palatino Linotype"/>
          <w:i/>
          <w:iCs/>
          <w:color w:val="000000"/>
          <w:sz w:val="22"/>
          <w:szCs w:val="22"/>
        </w:rPr>
        <w:t xml:space="preserve"> </w:t>
      </w:r>
      <w:r w:rsidRPr="009752B0">
        <w:rPr>
          <w:rFonts w:ascii="Palatino Linotype" w:eastAsia="Palatino Linotype" w:hAnsi="Palatino Linotype" w:cs="Palatino Linotype"/>
          <w:b/>
          <w:bCs/>
          <w:i/>
          <w:iCs/>
          <w:color w:val="000000"/>
          <w:sz w:val="22"/>
          <w:szCs w:val="22"/>
        </w:rPr>
        <w:t>Información confidencial:</w:t>
      </w:r>
      <w:r w:rsidRPr="009752B0">
        <w:rPr>
          <w:rFonts w:ascii="Palatino Linotype" w:eastAsia="Palatino Linotype" w:hAnsi="Palatino Linotype" w:cs="Palatino Linotype"/>
          <w:i/>
          <w:iCs/>
          <w:color w:val="000000"/>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AEAB219"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b/>
          <w:bCs/>
          <w:i/>
          <w:iCs/>
          <w:color w:val="000000"/>
          <w:sz w:val="22"/>
          <w:szCs w:val="22"/>
        </w:rPr>
        <w:t>…</w:t>
      </w:r>
    </w:p>
    <w:p w14:paraId="18BF7457"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b/>
          <w:bCs/>
          <w:i/>
          <w:iCs/>
          <w:color w:val="000000"/>
          <w:sz w:val="22"/>
          <w:szCs w:val="22"/>
        </w:rPr>
        <w:t>XLV.</w:t>
      </w:r>
      <w:r w:rsidRPr="009752B0">
        <w:rPr>
          <w:rFonts w:ascii="Palatino Linotype" w:eastAsia="Palatino Linotype" w:hAnsi="Palatino Linotype" w:cs="Palatino Linotype"/>
          <w:i/>
          <w:iCs/>
          <w:color w:val="000000"/>
          <w:sz w:val="22"/>
          <w:szCs w:val="22"/>
        </w:rPr>
        <w:t xml:space="preserve"> </w:t>
      </w:r>
      <w:r w:rsidRPr="009752B0">
        <w:rPr>
          <w:rFonts w:ascii="Palatino Linotype" w:eastAsia="Palatino Linotype" w:hAnsi="Palatino Linotype" w:cs="Palatino Linotype"/>
          <w:b/>
          <w:bCs/>
          <w:i/>
          <w:iCs/>
          <w:color w:val="000000"/>
          <w:sz w:val="22"/>
          <w:szCs w:val="22"/>
        </w:rPr>
        <w:t>Versión pública:</w:t>
      </w:r>
      <w:r w:rsidRPr="009752B0">
        <w:rPr>
          <w:rFonts w:ascii="Palatino Linotype" w:eastAsia="Palatino Linotype" w:hAnsi="Palatino Linotype" w:cs="Palatino Linotype"/>
          <w:i/>
          <w:iCs/>
          <w:color w:val="000000"/>
          <w:sz w:val="22"/>
          <w:szCs w:val="22"/>
        </w:rPr>
        <w:t xml:space="preserve"> Documento en el que se elimine, suprime o borra la información clasificada como reservada o confidencial para permitir su acceso.</w:t>
      </w:r>
    </w:p>
    <w:p w14:paraId="03DEE43B"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w:t>
      </w:r>
    </w:p>
    <w:p w14:paraId="18E66EDF" w14:textId="77777777" w:rsidR="00A24DC9" w:rsidRPr="009752B0" w:rsidRDefault="00A24DC9">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p>
    <w:p w14:paraId="5B3826C5"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b/>
          <w:bCs/>
          <w:i/>
          <w:iCs/>
          <w:color w:val="000000"/>
          <w:sz w:val="22"/>
          <w:szCs w:val="22"/>
        </w:rPr>
        <w:t xml:space="preserve">Artículo 91. </w:t>
      </w:r>
      <w:r w:rsidRPr="009752B0">
        <w:rPr>
          <w:rFonts w:ascii="Palatino Linotype" w:eastAsia="Palatino Linotype" w:hAnsi="Palatino Linotype" w:cs="Palatino Linotype"/>
          <w:i/>
          <w:iCs/>
          <w:color w:val="000000"/>
          <w:sz w:val="22"/>
          <w:szCs w:val="22"/>
        </w:rPr>
        <w:t>El acceso a la información pública será restringido excepcionalmente, cuando ésta sea clasificada como reservada o confidencial.</w:t>
      </w:r>
    </w:p>
    <w:p w14:paraId="14343188" w14:textId="77777777" w:rsidR="00A24DC9" w:rsidRPr="009752B0" w:rsidRDefault="00A24DC9">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p>
    <w:p w14:paraId="315CD957"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b/>
          <w:bCs/>
          <w:i/>
          <w:iCs/>
          <w:color w:val="000000"/>
          <w:sz w:val="22"/>
          <w:szCs w:val="22"/>
        </w:rPr>
        <w:t>Artículo 132.</w:t>
      </w:r>
      <w:r w:rsidRPr="009752B0">
        <w:rPr>
          <w:rFonts w:ascii="Palatino Linotype" w:eastAsia="Palatino Linotype" w:hAnsi="Palatino Linotype" w:cs="Palatino Linotype"/>
          <w:i/>
          <w:iCs/>
          <w:color w:val="000000"/>
          <w:sz w:val="22"/>
          <w:szCs w:val="22"/>
        </w:rPr>
        <w:t xml:space="preserve"> </w:t>
      </w:r>
      <w:r w:rsidRPr="009752B0">
        <w:rPr>
          <w:rFonts w:ascii="Palatino Linotype" w:eastAsia="Palatino Linotype" w:hAnsi="Palatino Linotype" w:cs="Palatino Linotype"/>
          <w:i/>
          <w:iCs/>
          <w:color w:val="000000"/>
          <w:sz w:val="22"/>
          <w:szCs w:val="22"/>
          <w:u w:val="single"/>
        </w:rPr>
        <w:t>La clasificación de la información se llevará a cabo en el momento en que</w:t>
      </w:r>
      <w:r w:rsidRPr="009752B0">
        <w:rPr>
          <w:rFonts w:ascii="Palatino Linotype" w:eastAsia="Palatino Linotype" w:hAnsi="Palatino Linotype" w:cs="Palatino Linotype"/>
          <w:i/>
          <w:iCs/>
          <w:color w:val="000000"/>
          <w:sz w:val="22"/>
          <w:szCs w:val="22"/>
        </w:rPr>
        <w:t>:</w:t>
      </w:r>
    </w:p>
    <w:p w14:paraId="520ABB84"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b/>
          <w:bCs/>
          <w:i/>
          <w:iCs/>
          <w:color w:val="000000"/>
          <w:sz w:val="22"/>
          <w:szCs w:val="22"/>
        </w:rPr>
        <w:t>I.</w:t>
      </w:r>
      <w:r w:rsidRPr="009752B0">
        <w:rPr>
          <w:rFonts w:ascii="Palatino Linotype" w:eastAsia="Palatino Linotype" w:hAnsi="Palatino Linotype" w:cs="Palatino Linotype"/>
          <w:i/>
          <w:iCs/>
          <w:color w:val="000000"/>
          <w:sz w:val="22"/>
          <w:szCs w:val="22"/>
        </w:rPr>
        <w:t xml:space="preserve"> Se reciba una solicitud de acceso a la información;</w:t>
      </w:r>
    </w:p>
    <w:p w14:paraId="00C899CA"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b/>
          <w:bCs/>
          <w:i/>
          <w:iCs/>
          <w:color w:val="000000"/>
          <w:sz w:val="22"/>
          <w:szCs w:val="22"/>
        </w:rPr>
        <w:t>II.</w:t>
      </w:r>
      <w:r w:rsidRPr="009752B0">
        <w:rPr>
          <w:rFonts w:ascii="Palatino Linotype" w:eastAsia="Palatino Linotype" w:hAnsi="Palatino Linotype" w:cs="Palatino Linotype"/>
          <w:i/>
          <w:iCs/>
          <w:color w:val="000000"/>
          <w:sz w:val="22"/>
          <w:szCs w:val="22"/>
        </w:rPr>
        <w:t xml:space="preserve"> </w:t>
      </w:r>
      <w:r w:rsidRPr="009752B0">
        <w:rPr>
          <w:rFonts w:ascii="Palatino Linotype" w:eastAsia="Palatino Linotype" w:hAnsi="Palatino Linotype" w:cs="Palatino Linotype"/>
          <w:i/>
          <w:iCs/>
          <w:color w:val="000000"/>
          <w:sz w:val="22"/>
          <w:szCs w:val="22"/>
          <w:u w:val="single"/>
        </w:rPr>
        <w:t>Se determine mediante resolución de autoridad competente; o</w:t>
      </w:r>
    </w:p>
    <w:p w14:paraId="2AC07DE7"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u w:val="single"/>
        </w:rPr>
      </w:pPr>
      <w:r w:rsidRPr="009752B0">
        <w:rPr>
          <w:rFonts w:ascii="Palatino Linotype" w:eastAsia="Palatino Linotype" w:hAnsi="Palatino Linotype" w:cs="Palatino Linotype"/>
          <w:b/>
          <w:bCs/>
          <w:i/>
          <w:iCs/>
          <w:color w:val="000000"/>
          <w:sz w:val="22"/>
          <w:szCs w:val="22"/>
        </w:rPr>
        <w:t>III.</w:t>
      </w:r>
      <w:r w:rsidRPr="009752B0">
        <w:rPr>
          <w:rFonts w:ascii="Palatino Linotype" w:eastAsia="Palatino Linotype" w:hAnsi="Palatino Linotype" w:cs="Palatino Linotype"/>
          <w:i/>
          <w:iCs/>
          <w:color w:val="000000"/>
          <w:sz w:val="22"/>
          <w:szCs w:val="22"/>
        </w:rPr>
        <w:t xml:space="preserve"> </w:t>
      </w:r>
      <w:r w:rsidRPr="009752B0">
        <w:rPr>
          <w:rFonts w:ascii="Palatino Linotype" w:eastAsia="Palatino Linotype" w:hAnsi="Palatino Linotype" w:cs="Palatino Linotype"/>
          <w:i/>
          <w:iCs/>
          <w:color w:val="000000"/>
          <w:sz w:val="22"/>
          <w:szCs w:val="22"/>
          <w:u w:val="single"/>
        </w:rPr>
        <w:t>Se generen versiones públicas para dar cumplimiento a las obligaciones de transparencia previstas en esta Ley.</w:t>
      </w:r>
    </w:p>
    <w:p w14:paraId="35AABE24"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w:t>
      </w:r>
    </w:p>
    <w:p w14:paraId="724D4B65" w14:textId="77777777" w:rsidR="00A24DC9" w:rsidRPr="009752B0" w:rsidRDefault="00A24DC9">
      <w:pPr>
        <w:spacing w:line="360" w:lineRule="auto"/>
        <w:jc w:val="both"/>
        <w:rPr>
          <w:rFonts w:ascii="Palatino Linotype" w:eastAsia="Palatino Linotype" w:hAnsi="Palatino Linotype" w:cs="Palatino Linotype"/>
          <w:i/>
          <w:iCs/>
          <w:sz w:val="22"/>
          <w:szCs w:val="22"/>
        </w:rPr>
      </w:pPr>
    </w:p>
    <w:p w14:paraId="1A5261D2"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57F8024" w14:textId="77777777" w:rsidR="00A24DC9" w:rsidRPr="009752B0" w:rsidRDefault="00A24DC9">
      <w:pPr>
        <w:spacing w:line="360" w:lineRule="auto"/>
        <w:jc w:val="both"/>
        <w:rPr>
          <w:rFonts w:ascii="Palatino Linotype" w:eastAsia="Palatino Linotype" w:hAnsi="Palatino Linotype" w:cs="Palatino Linotype"/>
        </w:rPr>
      </w:pPr>
    </w:p>
    <w:p w14:paraId="6763D086"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Por otro lado, los </w:t>
      </w:r>
      <w:r w:rsidRPr="009752B0">
        <w:rPr>
          <w:rFonts w:ascii="Palatino Linotype" w:eastAsia="Palatino Linotype" w:hAnsi="Palatino Linotype" w:cs="Palatino Linotype"/>
          <w:i/>
          <w:iCs/>
        </w:rPr>
        <w:t>Lineamientos Generales en Materia de Clasificación y Desclasificación de la Información, así como para la elaboración de Versiones Públicas</w:t>
      </w:r>
      <w:r w:rsidRPr="009752B0">
        <w:rPr>
          <w:rFonts w:ascii="Palatino Linotype" w:eastAsia="Palatino Linotype" w:hAnsi="Palatino Linotype" w:cs="Palatino Linotype"/>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w:t>
      </w:r>
      <w:r w:rsidRPr="009752B0">
        <w:rPr>
          <w:rFonts w:ascii="Palatino Linotype" w:eastAsia="Palatino Linotype" w:hAnsi="Palatino Linotype" w:cs="Palatino Linotype"/>
        </w:rPr>
        <w:lastRenderedPageBreak/>
        <w:t>información que posean, desclasificarán y generarán, en su caso, versiones públicas de expedientes o documentos que contengan partes o secciones clasificadas.</w:t>
      </w:r>
    </w:p>
    <w:p w14:paraId="7B4390A6" w14:textId="77777777" w:rsidR="00A24DC9" w:rsidRPr="009752B0" w:rsidRDefault="00A24DC9">
      <w:pPr>
        <w:spacing w:line="360" w:lineRule="auto"/>
        <w:jc w:val="both"/>
        <w:rPr>
          <w:rFonts w:ascii="Palatino Linotype" w:eastAsia="Palatino Linotype" w:hAnsi="Palatino Linotype" w:cs="Palatino Linotype"/>
        </w:rPr>
      </w:pPr>
    </w:p>
    <w:p w14:paraId="6A1126B0"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2F062DD7"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b/>
          <w:bCs/>
          <w:i/>
          <w:iCs/>
          <w:color w:val="000000"/>
          <w:sz w:val="22"/>
          <w:szCs w:val="22"/>
        </w:rPr>
        <w:t>Quincuagésimo sexto.</w:t>
      </w:r>
      <w:r w:rsidRPr="009752B0">
        <w:rPr>
          <w:rFonts w:ascii="Palatino Linotype" w:eastAsia="Palatino Linotype" w:hAnsi="Palatino Linotype" w:cs="Palatino Linotype"/>
          <w:i/>
          <w:iCs/>
          <w:color w:val="000000"/>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B196D45" w14:textId="77777777" w:rsidR="00A24DC9" w:rsidRPr="009752B0" w:rsidRDefault="00A24DC9">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p>
    <w:p w14:paraId="3981B394"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b/>
          <w:bCs/>
          <w:i/>
          <w:iCs/>
          <w:color w:val="000000"/>
          <w:sz w:val="22"/>
          <w:szCs w:val="22"/>
        </w:rPr>
        <w:t>Quincuagésimo séptimo.</w:t>
      </w:r>
      <w:r w:rsidRPr="009752B0">
        <w:rPr>
          <w:rFonts w:ascii="Palatino Linotype" w:eastAsia="Palatino Linotype" w:hAnsi="Palatino Linotype" w:cs="Palatino Linotype"/>
          <w:i/>
          <w:iCs/>
          <w:color w:val="000000"/>
          <w:sz w:val="22"/>
          <w:szCs w:val="22"/>
        </w:rPr>
        <w:t xml:space="preserve"> Se considera, en principio, como información pública y no podrá omitirse de las versiones públicas la siguiente:</w:t>
      </w:r>
    </w:p>
    <w:p w14:paraId="3FD3017E"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 xml:space="preserve"> </w:t>
      </w:r>
    </w:p>
    <w:p w14:paraId="1CED189D"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 xml:space="preserve">I. La relativa a las Obligaciones de Transparencia que contempla el Título V de la Ley General y las demás disposiciones legales aplicables; </w:t>
      </w:r>
    </w:p>
    <w:p w14:paraId="4ED610B5"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 xml:space="preserve">II. El nombre de los servidores públicos en los documentos, y sus firmas autógrafas, cuando sean utilizados en el ejercicio de las facultades conferidas para el desempeño del servicio público, y </w:t>
      </w:r>
    </w:p>
    <w:p w14:paraId="054BC926"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7705EAB" w14:textId="77777777" w:rsidR="00A24DC9" w:rsidRPr="009752B0" w:rsidRDefault="00A24DC9">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p>
    <w:p w14:paraId="3CEC91E0"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 xml:space="preserve">Lo anterior, siempre y cuando no se acredite alguna causal de clasificación, prevista en las leyes o en los tratados internacionales suscritos por el Estado mexicano. </w:t>
      </w:r>
    </w:p>
    <w:p w14:paraId="5AA50A5A" w14:textId="77777777" w:rsidR="00A24DC9" w:rsidRPr="009752B0" w:rsidRDefault="00A24DC9">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p>
    <w:p w14:paraId="088AFF95" w14:textId="77777777" w:rsidR="00A24DC9" w:rsidRPr="009752B0" w:rsidRDefault="00A561CA">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b/>
          <w:bCs/>
          <w:i/>
          <w:iCs/>
          <w:color w:val="000000"/>
          <w:sz w:val="22"/>
          <w:szCs w:val="22"/>
        </w:rPr>
        <w:t>Quincuagésimo octavo.</w:t>
      </w:r>
      <w:r w:rsidRPr="009752B0">
        <w:rPr>
          <w:rFonts w:ascii="Palatino Linotype" w:eastAsia="Palatino Linotype" w:hAnsi="Palatino Linotype" w:cs="Palatino Linotype"/>
          <w:i/>
          <w:iCs/>
          <w:color w:val="000000"/>
          <w:sz w:val="22"/>
          <w:szCs w:val="22"/>
        </w:rPr>
        <w:t xml:space="preserve"> Los sujetos obligados garantizarán que los sistemas o medios empleados para eliminar la información en las versiones públicas no permitan la recuperación o visualización de la misma.</w:t>
      </w:r>
    </w:p>
    <w:p w14:paraId="577BA549" w14:textId="77777777" w:rsidR="00A24DC9" w:rsidRPr="009752B0" w:rsidRDefault="00A24DC9">
      <w:pPr>
        <w:spacing w:line="360" w:lineRule="auto"/>
        <w:jc w:val="both"/>
        <w:rPr>
          <w:rFonts w:ascii="Palatino Linotype" w:eastAsia="Palatino Linotype" w:hAnsi="Palatino Linotype" w:cs="Palatino Linotype"/>
          <w:i/>
          <w:iCs/>
        </w:rPr>
      </w:pPr>
    </w:p>
    <w:p w14:paraId="3D80B72A"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w:t>
      </w:r>
      <w:r w:rsidRPr="009752B0">
        <w:rPr>
          <w:rFonts w:ascii="Palatino Linotype" w:eastAsia="Palatino Linotype" w:hAnsi="Palatino Linotype" w:cs="Palatino Linotype"/>
        </w:rPr>
        <w:lastRenderedPageBreak/>
        <w:t>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0DFF9157" w14:textId="77777777" w:rsidR="00A24DC9" w:rsidRPr="009752B0" w:rsidRDefault="00A24DC9">
      <w:pPr>
        <w:spacing w:line="360" w:lineRule="auto"/>
        <w:jc w:val="both"/>
        <w:rPr>
          <w:rFonts w:ascii="Palatino Linotype" w:eastAsia="Palatino Linotype" w:hAnsi="Palatino Linotype" w:cs="Palatino Linotype"/>
        </w:rPr>
      </w:pPr>
    </w:p>
    <w:p w14:paraId="20776A3C"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Por lo que respecta al Acuerdo del Comité de Transparencia que sustente la versión pública de la documentación a entregar, deberá ser notificado mediante el SAIMEX. </w:t>
      </w:r>
      <w:r w:rsidRPr="009752B0">
        <w:rPr>
          <w:rFonts w:ascii="Palatino Linotype" w:eastAsia="Palatino Linotype" w:hAnsi="Palatino Linotype" w:cs="Palatino Linotype"/>
          <w:color w:val="000000"/>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2033390B" w14:textId="77777777" w:rsidR="00A24DC9" w:rsidRPr="009752B0" w:rsidRDefault="00A24DC9">
      <w:pPr>
        <w:spacing w:line="360" w:lineRule="auto"/>
        <w:jc w:val="both"/>
        <w:rPr>
          <w:rFonts w:ascii="Palatino Linotype" w:eastAsia="Palatino Linotype" w:hAnsi="Palatino Linotype" w:cs="Palatino Linotype"/>
        </w:rPr>
      </w:pPr>
    </w:p>
    <w:p w14:paraId="68202C24"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Finalmente, y en mérito de lo expuesto en líneas anteriores, con fundamento el artículo 186, fracción III, de la Ley de Transparencia y Acceso a la Información Pública del Estado de México y Municipios, se </w:t>
      </w:r>
      <w:r w:rsidRPr="009752B0">
        <w:rPr>
          <w:rFonts w:ascii="Palatino Linotype" w:eastAsia="Palatino Linotype" w:hAnsi="Palatino Linotype" w:cs="Palatino Linotype"/>
          <w:b/>
          <w:bCs/>
        </w:rPr>
        <w:t xml:space="preserve">REVOCA </w:t>
      </w:r>
      <w:r w:rsidRPr="009752B0">
        <w:rPr>
          <w:rFonts w:ascii="Palatino Linotype" w:eastAsia="Palatino Linotype" w:hAnsi="Palatino Linotype" w:cs="Palatino Linotype"/>
        </w:rPr>
        <w:t xml:space="preserve">la respuesta a la solicitud de </w:t>
      </w:r>
      <w:r w:rsidRPr="009752B0">
        <w:rPr>
          <w:rFonts w:ascii="Palatino Linotype" w:eastAsia="Palatino Linotype" w:hAnsi="Palatino Linotype" w:cs="Palatino Linotype"/>
          <w:b/>
          <w:bCs/>
        </w:rPr>
        <w:t xml:space="preserve">00833/ECATEPEC/IP/2025 </w:t>
      </w:r>
      <w:r w:rsidRPr="009752B0">
        <w:rPr>
          <w:rFonts w:ascii="Palatino Linotype" w:eastAsia="Palatino Linotype" w:hAnsi="Palatino Linotype" w:cs="Palatino Linotype"/>
        </w:rPr>
        <w:t>que ha sido materia del presente fallo.</w:t>
      </w:r>
    </w:p>
    <w:p w14:paraId="354A566B" w14:textId="77777777" w:rsidR="00A24DC9" w:rsidRPr="009752B0" w:rsidRDefault="00A24DC9">
      <w:pPr>
        <w:spacing w:line="360" w:lineRule="auto"/>
        <w:jc w:val="both"/>
        <w:rPr>
          <w:rFonts w:ascii="Palatino Linotype" w:eastAsia="Palatino Linotype" w:hAnsi="Palatino Linotype" w:cs="Palatino Linotype"/>
        </w:rPr>
      </w:pPr>
    </w:p>
    <w:p w14:paraId="7FE20B94"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t xml:space="preserve">Por lo antes expuesto y fundado. </w:t>
      </w:r>
    </w:p>
    <w:p w14:paraId="1DE31C43" w14:textId="77777777" w:rsidR="00A24DC9" w:rsidRPr="009752B0" w:rsidRDefault="00A24DC9">
      <w:pPr>
        <w:spacing w:line="360" w:lineRule="auto"/>
        <w:jc w:val="both"/>
        <w:rPr>
          <w:rFonts w:ascii="Palatino Linotype" w:eastAsia="Palatino Linotype" w:hAnsi="Palatino Linotype" w:cs="Palatino Linotype"/>
        </w:rPr>
      </w:pPr>
    </w:p>
    <w:p w14:paraId="2CBFF49B" w14:textId="77777777" w:rsidR="00A24DC9" w:rsidRPr="009752B0" w:rsidRDefault="00A24DC9">
      <w:pPr>
        <w:spacing w:line="360" w:lineRule="auto"/>
        <w:jc w:val="both"/>
        <w:rPr>
          <w:rFonts w:ascii="Palatino Linotype" w:eastAsia="Palatino Linotype" w:hAnsi="Palatino Linotype" w:cs="Palatino Linotype"/>
        </w:rPr>
      </w:pPr>
    </w:p>
    <w:p w14:paraId="5B17B5F9" w14:textId="77777777" w:rsidR="00A24DC9" w:rsidRPr="009752B0" w:rsidRDefault="00A561CA">
      <w:pPr>
        <w:spacing w:line="360" w:lineRule="auto"/>
        <w:jc w:val="center"/>
        <w:rPr>
          <w:rFonts w:ascii="Palatino Linotype" w:eastAsia="Palatino Linotype" w:hAnsi="Palatino Linotype" w:cs="Palatino Linotype"/>
          <w:b/>
          <w:bCs/>
          <w:sz w:val="28"/>
          <w:szCs w:val="28"/>
        </w:rPr>
      </w:pPr>
      <w:r w:rsidRPr="009752B0">
        <w:rPr>
          <w:rFonts w:ascii="Palatino Linotype" w:eastAsia="Palatino Linotype" w:hAnsi="Palatino Linotype" w:cs="Palatino Linotype"/>
          <w:b/>
          <w:bCs/>
          <w:sz w:val="28"/>
          <w:szCs w:val="28"/>
        </w:rPr>
        <w:t>SE    RESUELVE</w:t>
      </w:r>
    </w:p>
    <w:p w14:paraId="37ACFF3A" w14:textId="77777777" w:rsidR="00A24DC9" w:rsidRPr="009752B0" w:rsidRDefault="00A24DC9">
      <w:pPr>
        <w:spacing w:line="360" w:lineRule="auto"/>
        <w:jc w:val="center"/>
        <w:rPr>
          <w:rFonts w:ascii="Palatino Linotype" w:eastAsia="Palatino Linotype" w:hAnsi="Palatino Linotype" w:cs="Palatino Linotype"/>
          <w:b/>
          <w:bCs/>
          <w:sz w:val="28"/>
          <w:szCs w:val="28"/>
        </w:rPr>
      </w:pPr>
    </w:p>
    <w:p w14:paraId="02C831E2" w14:textId="77777777" w:rsidR="00A24DC9" w:rsidRPr="009752B0" w:rsidRDefault="00A24DC9">
      <w:pPr>
        <w:rPr>
          <w:rFonts w:ascii="Palatino Linotype" w:eastAsia="Palatino Linotype" w:hAnsi="Palatino Linotype" w:cs="Palatino Linotype"/>
        </w:rPr>
      </w:pPr>
    </w:p>
    <w:p w14:paraId="552E6E76" w14:textId="77777777" w:rsidR="00A24DC9" w:rsidRPr="009752B0" w:rsidRDefault="00A561CA">
      <w:pPr>
        <w:spacing w:line="360" w:lineRule="auto"/>
        <w:ind w:right="49"/>
        <w:jc w:val="both"/>
        <w:rPr>
          <w:rFonts w:ascii="Palatino Linotype" w:eastAsia="Palatino Linotype" w:hAnsi="Palatino Linotype" w:cs="Palatino Linotype"/>
        </w:rPr>
      </w:pPr>
      <w:r w:rsidRPr="009752B0">
        <w:rPr>
          <w:rFonts w:ascii="Palatino Linotype" w:eastAsia="Palatino Linotype" w:hAnsi="Palatino Linotype" w:cs="Palatino Linotype"/>
          <w:b/>
          <w:bCs/>
          <w:sz w:val="28"/>
          <w:szCs w:val="28"/>
        </w:rPr>
        <w:t>PRIMERO.</w:t>
      </w:r>
      <w:r w:rsidRPr="009752B0">
        <w:rPr>
          <w:rFonts w:ascii="Palatino Linotype" w:eastAsia="Palatino Linotype" w:hAnsi="Palatino Linotype" w:cs="Palatino Linotype"/>
        </w:rPr>
        <w:t xml:space="preserve"> Se</w:t>
      </w:r>
      <w:r w:rsidRPr="009752B0">
        <w:rPr>
          <w:rFonts w:ascii="Palatino Linotype" w:eastAsia="Palatino Linotype" w:hAnsi="Palatino Linotype" w:cs="Palatino Linotype"/>
          <w:b/>
          <w:bCs/>
        </w:rPr>
        <w:t xml:space="preserve"> REVOCA </w:t>
      </w:r>
      <w:r w:rsidRPr="009752B0">
        <w:rPr>
          <w:rFonts w:ascii="Palatino Linotype" w:eastAsia="Palatino Linotype" w:hAnsi="Palatino Linotype" w:cs="Palatino Linotype"/>
        </w:rPr>
        <w:t xml:space="preserve">la respuesta entregada por </w:t>
      </w:r>
      <w:r w:rsidRPr="009752B0">
        <w:rPr>
          <w:rFonts w:ascii="Palatino Linotype" w:eastAsia="Palatino Linotype" w:hAnsi="Palatino Linotype" w:cs="Palatino Linotype"/>
          <w:b/>
          <w:bCs/>
        </w:rPr>
        <w:t xml:space="preserve">El Sujeto Obligado </w:t>
      </w:r>
      <w:r w:rsidRPr="009752B0">
        <w:rPr>
          <w:rFonts w:ascii="Palatino Linotype" w:eastAsia="Palatino Linotype" w:hAnsi="Palatino Linotype" w:cs="Palatino Linotype"/>
        </w:rPr>
        <w:t xml:space="preserve">a la solicitud de información número </w:t>
      </w:r>
      <w:r w:rsidRPr="009752B0">
        <w:rPr>
          <w:rFonts w:ascii="Palatino Linotype" w:eastAsia="Palatino Linotype" w:hAnsi="Palatino Linotype" w:cs="Palatino Linotype"/>
          <w:b/>
          <w:bCs/>
        </w:rPr>
        <w:t>00833/ECATEPEC/IP/2025</w:t>
      </w:r>
      <w:r w:rsidRPr="009752B0">
        <w:rPr>
          <w:rFonts w:ascii="Palatino Linotype" w:eastAsia="Palatino Linotype" w:hAnsi="Palatino Linotype" w:cs="Palatino Linotype"/>
        </w:rPr>
        <w:t xml:space="preserve">, en términos del Considerando </w:t>
      </w:r>
      <w:r w:rsidRPr="009752B0">
        <w:rPr>
          <w:rFonts w:ascii="Palatino Linotype" w:eastAsia="Palatino Linotype" w:hAnsi="Palatino Linotype" w:cs="Palatino Linotype"/>
          <w:b/>
          <w:bCs/>
        </w:rPr>
        <w:t>QUINTO</w:t>
      </w:r>
      <w:r w:rsidRPr="009752B0">
        <w:rPr>
          <w:rFonts w:ascii="Palatino Linotype" w:eastAsia="Palatino Linotype" w:hAnsi="Palatino Linotype" w:cs="Palatino Linotype"/>
        </w:rPr>
        <w:t xml:space="preserve"> de esta resolución.</w:t>
      </w:r>
    </w:p>
    <w:p w14:paraId="71508A05" w14:textId="77777777" w:rsidR="00A24DC9" w:rsidRPr="009752B0" w:rsidRDefault="00A24DC9">
      <w:pPr>
        <w:spacing w:line="360" w:lineRule="auto"/>
        <w:ind w:right="49"/>
        <w:jc w:val="both"/>
        <w:rPr>
          <w:rFonts w:ascii="Palatino Linotype" w:eastAsia="Palatino Linotype" w:hAnsi="Palatino Linotype" w:cs="Palatino Linotype"/>
        </w:rPr>
      </w:pPr>
    </w:p>
    <w:p w14:paraId="39CBDAE7"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b/>
          <w:bCs/>
          <w:sz w:val="28"/>
          <w:szCs w:val="28"/>
        </w:rPr>
        <w:t>SEGUNDO.</w:t>
      </w:r>
      <w:r w:rsidRPr="009752B0">
        <w:rPr>
          <w:rFonts w:ascii="Palatino Linotype" w:eastAsia="Palatino Linotype" w:hAnsi="Palatino Linotype" w:cs="Palatino Linotype"/>
        </w:rPr>
        <w:t xml:space="preserve"> Se </w:t>
      </w:r>
      <w:r w:rsidRPr="009752B0">
        <w:rPr>
          <w:rFonts w:ascii="Palatino Linotype" w:eastAsia="Palatino Linotype" w:hAnsi="Palatino Linotype" w:cs="Palatino Linotype"/>
          <w:b/>
          <w:bCs/>
        </w:rPr>
        <w:t>ORDENA</w:t>
      </w:r>
      <w:r w:rsidRPr="009752B0">
        <w:rPr>
          <w:rFonts w:ascii="Palatino Linotype" w:eastAsia="Palatino Linotype" w:hAnsi="Palatino Linotype" w:cs="Palatino Linotype"/>
        </w:rPr>
        <w:t xml:space="preserve"> al </w:t>
      </w:r>
      <w:r w:rsidRPr="009752B0">
        <w:rPr>
          <w:rFonts w:ascii="Palatino Linotype" w:eastAsia="Palatino Linotype" w:hAnsi="Palatino Linotype" w:cs="Palatino Linotype"/>
          <w:b/>
          <w:bCs/>
        </w:rPr>
        <w:t xml:space="preserve">Sujeto Obligado </w:t>
      </w:r>
      <w:r w:rsidRPr="009752B0">
        <w:rPr>
          <w:rFonts w:ascii="Palatino Linotype" w:eastAsia="Palatino Linotype" w:hAnsi="Palatino Linotype" w:cs="Palatino Linotype"/>
        </w:rPr>
        <w:t xml:space="preserve">haga entrega al </w:t>
      </w:r>
      <w:r w:rsidRPr="009752B0">
        <w:rPr>
          <w:rFonts w:ascii="Palatino Linotype" w:eastAsia="Palatino Linotype" w:hAnsi="Palatino Linotype" w:cs="Palatino Linotype"/>
          <w:b/>
          <w:bCs/>
        </w:rPr>
        <w:t xml:space="preserve">Recurrente, </w:t>
      </w:r>
      <w:r w:rsidRPr="009752B0">
        <w:rPr>
          <w:rFonts w:ascii="Palatino Linotype" w:eastAsia="Palatino Linotype" w:hAnsi="Palatino Linotype" w:cs="Palatino Linotype"/>
        </w:rPr>
        <w:t xml:space="preserve">en términos del Considerando </w:t>
      </w:r>
      <w:r w:rsidRPr="009752B0">
        <w:rPr>
          <w:rFonts w:ascii="Palatino Linotype" w:eastAsia="Palatino Linotype" w:hAnsi="Palatino Linotype" w:cs="Palatino Linotype"/>
          <w:b/>
          <w:bCs/>
        </w:rPr>
        <w:t xml:space="preserve">QUINTO </w:t>
      </w:r>
      <w:r w:rsidRPr="009752B0">
        <w:rPr>
          <w:rFonts w:ascii="Palatino Linotype" w:eastAsia="Palatino Linotype" w:hAnsi="Palatino Linotype" w:cs="Palatino Linotype"/>
        </w:rPr>
        <w:t>de esta resolución, a través del</w:t>
      </w:r>
      <w:r w:rsidRPr="009752B0">
        <w:rPr>
          <w:rFonts w:ascii="Palatino Linotype" w:eastAsia="Palatino Linotype" w:hAnsi="Palatino Linotype" w:cs="Palatino Linotype"/>
          <w:b/>
          <w:bCs/>
        </w:rPr>
        <w:t xml:space="preserve"> </w:t>
      </w:r>
      <w:r w:rsidRPr="009752B0">
        <w:rPr>
          <w:rFonts w:ascii="Palatino Linotype" w:eastAsia="Palatino Linotype" w:hAnsi="Palatino Linotype" w:cs="Palatino Linotype"/>
        </w:rPr>
        <w:t xml:space="preserve">Sistema de Acceso a la Información Mexiquense </w:t>
      </w:r>
      <w:r w:rsidRPr="009752B0">
        <w:rPr>
          <w:rFonts w:ascii="Palatino Linotype" w:eastAsia="Palatino Linotype" w:hAnsi="Palatino Linotype" w:cs="Palatino Linotype"/>
          <w:b/>
          <w:bCs/>
        </w:rPr>
        <w:t>(SAIMEX)</w:t>
      </w:r>
      <w:r w:rsidRPr="009752B0">
        <w:rPr>
          <w:rFonts w:ascii="Palatino Linotype" w:eastAsia="Palatino Linotype" w:hAnsi="Palatino Linotype" w:cs="Palatino Linotype"/>
        </w:rPr>
        <w:t>, de ser procedente en versión pública, del o los documentos en donde conste lo siguiente:</w:t>
      </w:r>
    </w:p>
    <w:p w14:paraId="5C9997C6" w14:textId="77777777" w:rsidR="00A24DC9" w:rsidRPr="009752B0" w:rsidRDefault="00A24DC9">
      <w:pPr>
        <w:spacing w:line="360" w:lineRule="auto"/>
        <w:jc w:val="both"/>
        <w:rPr>
          <w:rFonts w:ascii="Palatino Linotype" w:eastAsia="Palatino Linotype" w:hAnsi="Palatino Linotype" w:cs="Palatino Linotype"/>
        </w:rPr>
      </w:pPr>
    </w:p>
    <w:p w14:paraId="0B606831" w14:textId="77777777" w:rsidR="00A24DC9" w:rsidRPr="009752B0" w:rsidRDefault="00A561C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752B0">
        <w:rPr>
          <w:rFonts w:ascii="Palatino Linotype" w:eastAsia="Palatino Linotype" w:hAnsi="Palatino Linotype" w:cs="Palatino Linotype"/>
          <w:color w:val="000000"/>
        </w:rPr>
        <w:t xml:space="preserve">Soporte documental que dé cuenta del seguimiento y continuidad realizado por la Dirección de Medio Ambiente y Ecología </w:t>
      </w:r>
      <w:r w:rsidRPr="009752B0">
        <w:rPr>
          <w:rFonts w:ascii="Palatino Linotype" w:eastAsia="Palatino Linotype" w:hAnsi="Palatino Linotype" w:cs="Palatino Linotype"/>
        </w:rPr>
        <w:t>al</w:t>
      </w:r>
      <w:r w:rsidRPr="009752B0">
        <w:rPr>
          <w:rFonts w:ascii="Palatino Linotype" w:eastAsia="Palatino Linotype" w:hAnsi="Palatino Linotype" w:cs="Palatino Linotype"/>
          <w:color w:val="000000"/>
        </w:rPr>
        <w:t xml:space="preserve"> 1</w:t>
      </w:r>
      <w:r w:rsidRPr="009752B0">
        <w:rPr>
          <w:rFonts w:ascii="Palatino Linotype" w:eastAsia="Palatino Linotype" w:hAnsi="Palatino Linotype" w:cs="Palatino Linotype"/>
        </w:rPr>
        <w:t>5</w:t>
      </w:r>
      <w:r w:rsidRPr="009752B0">
        <w:rPr>
          <w:rFonts w:ascii="Palatino Linotype" w:eastAsia="Palatino Linotype" w:hAnsi="Palatino Linotype" w:cs="Palatino Linotype"/>
          <w:color w:val="000000"/>
        </w:rPr>
        <w:t xml:space="preserve"> de octubre de 2025 respecto el oficio No. DPCB/ECA/1368/2025 de fecha 03 de junio de 2025.</w:t>
      </w:r>
    </w:p>
    <w:p w14:paraId="0C89CA70" w14:textId="77777777" w:rsidR="00A24DC9" w:rsidRPr="009752B0" w:rsidRDefault="00A24DC9">
      <w:pPr>
        <w:spacing w:line="360" w:lineRule="auto"/>
        <w:jc w:val="both"/>
      </w:pPr>
    </w:p>
    <w:p w14:paraId="1D27EBBA" w14:textId="77777777" w:rsidR="00A24DC9" w:rsidRPr="009752B0" w:rsidRDefault="00A561CA">
      <w:pPr>
        <w:pBdr>
          <w:top w:val="nil"/>
          <w:left w:val="nil"/>
          <w:bottom w:val="nil"/>
          <w:right w:val="nil"/>
          <w:between w:val="nil"/>
        </w:pBdr>
        <w:spacing w:line="360" w:lineRule="auto"/>
        <w:ind w:left="720" w:right="567"/>
        <w:jc w:val="both"/>
        <w:rPr>
          <w:rFonts w:ascii="Palatino Linotype" w:eastAsia="Palatino Linotype" w:hAnsi="Palatino Linotype" w:cs="Palatino Linotype"/>
          <w:i/>
          <w:iCs/>
          <w:color w:val="000000"/>
          <w:sz w:val="22"/>
          <w:szCs w:val="22"/>
        </w:rPr>
      </w:pPr>
      <w:r w:rsidRPr="009752B0">
        <w:rPr>
          <w:rFonts w:ascii="Palatino Linotype" w:eastAsia="Palatino Linotype" w:hAnsi="Palatino Linotype" w:cs="Palatino Linotype"/>
          <w:i/>
          <w:iCs/>
          <w:color w:val="000000"/>
          <w:sz w:val="22"/>
          <w:szCs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9752B0">
        <w:rPr>
          <w:rFonts w:ascii="Palatino Linotype" w:eastAsia="Palatino Linotype" w:hAnsi="Palatino Linotype" w:cs="Palatino Linotype"/>
          <w:b/>
          <w:bCs/>
          <w:i/>
          <w:iCs/>
          <w:color w:val="000000"/>
          <w:sz w:val="22"/>
          <w:szCs w:val="22"/>
        </w:rPr>
        <w:t>Recurrente</w:t>
      </w:r>
      <w:r w:rsidRPr="009752B0">
        <w:rPr>
          <w:rFonts w:ascii="Palatino Linotype" w:eastAsia="Palatino Linotype" w:hAnsi="Palatino Linotype" w:cs="Palatino Linotype"/>
          <w:i/>
          <w:iCs/>
          <w:color w:val="000000"/>
          <w:sz w:val="22"/>
          <w:szCs w:val="22"/>
        </w:rPr>
        <w:t>.</w:t>
      </w:r>
    </w:p>
    <w:p w14:paraId="1F8B0B86" w14:textId="77777777" w:rsidR="00A24DC9" w:rsidRPr="009752B0" w:rsidRDefault="00A24DC9">
      <w:pPr>
        <w:spacing w:line="360" w:lineRule="auto"/>
        <w:ind w:right="567"/>
        <w:jc w:val="both"/>
        <w:rPr>
          <w:rFonts w:ascii="Palatino Linotype" w:eastAsia="Palatino Linotype" w:hAnsi="Palatino Linotype" w:cs="Palatino Linotype"/>
          <w:i/>
          <w:iCs/>
          <w:sz w:val="22"/>
          <w:szCs w:val="22"/>
        </w:rPr>
      </w:pPr>
    </w:p>
    <w:p w14:paraId="3445DC10" w14:textId="0CF7CB29"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rPr>
        <w:lastRenderedPageBreak/>
        <w:t xml:space="preserve">De ser el caso que el Sujeto Obligado no cuante con la información que se ordena bastara con que </w:t>
      </w:r>
      <w:r w:rsidR="00EB35A2" w:rsidRPr="009752B0">
        <w:rPr>
          <w:rFonts w:ascii="Palatino Linotype" w:eastAsia="Palatino Linotype" w:hAnsi="Palatino Linotype" w:cs="Palatino Linotype"/>
        </w:rPr>
        <w:t>así</w:t>
      </w:r>
      <w:r w:rsidRPr="009752B0">
        <w:rPr>
          <w:rFonts w:ascii="Palatino Linotype" w:eastAsia="Palatino Linotype" w:hAnsi="Palatino Linotype" w:cs="Palatino Linotype"/>
        </w:rPr>
        <w:t xml:space="preserve"> lo manifieste en </w:t>
      </w:r>
      <w:r w:rsidR="00EB35A2" w:rsidRPr="009752B0">
        <w:rPr>
          <w:rFonts w:ascii="Palatino Linotype" w:eastAsia="Palatino Linotype" w:hAnsi="Palatino Linotype" w:cs="Palatino Linotype"/>
        </w:rPr>
        <w:t>términos</w:t>
      </w:r>
      <w:r w:rsidRPr="009752B0">
        <w:rPr>
          <w:rFonts w:ascii="Palatino Linotype" w:eastAsia="Palatino Linotype" w:hAnsi="Palatino Linotype" w:cs="Palatino Linotype"/>
        </w:rPr>
        <w:t xml:space="preserve"> de lo establecido por el segundo párrafo del </w:t>
      </w:r>
      <w:r w:rsidR="00EB35A2" w:rsidRPr="009752B0">
        <w:rPr>
          <w:rFonts w:ascii="Palatino Linotype" w:eastAsia="Palatino Linotype" w:hAnsi="Palatino Linotype" w:cs="Palatino Linotype"/>
        </w:rPr>
        <w:t>artículo</w:t>
      </w:r>
      <w:r w:rsidRPr="009752B0">
        <w:rPr>
          <w:rFonts w:ascii="Palatino Linotype" w:eastAsia="Palatino Linotype" w:hAnsi="Palatino Linotype" w:cs="Palatino Linotype"/>
        </w:rPr>
        <w:t xml:space="preserve"> 19 de la Ley de Transparencia Local.</w:t>
      </w:r>
    </w:p>
    <w:p w14:paraId="7718171E" w14:textId="77777777" w:rsidR="00A24DC9" w:rsidRPr="009752B0" w:rsidRDefault="00A24DC9">
      <w:pPr>
        <w:spacing w:line="360" w:lineRule="auto"/>
        <w:jc w:val="both"/>
        <w:rPr>
          <w:rFonts w:ascii="Palatino Linotype" w:eastAsia="Palatino Linotype" w:hAnsi="Palatino Linotype" w:cs="Palatino Linotype"/>
        </w:rPr>
      </w:pPr>
    </w:p>
    <w:p w14:paraId="723BDAC6" w14:textId="77777777" w:rsidR="00A24DC9" w:rsidRPr="009752B0" w:rsidRDefault="00A561CA">
      <w:pPr>
        <w:spacing w:line="360" w:lineRule="auto"/>
        <w:ind w:right="49"/>
        <w:jc w:val="both"/>
        <w:rPr>
          <w:rFonts w:ascii="Palatino Linotype" w:eastAsia="Palatino Linotype" w:hAnsi="Palatino Linotype" w:cs="Palatino Linotype"/>
        </w:rPr>
      </w:pPr>
      <w:r w:rsidRPr="009752B0">
        <w:rPr>
          <w:rFonts w:ascii="Palatino Linotype" w:eastAsia="Palatino Linotype" w:hAnsi="Palatino Linotype" w:cs="Palatino Linotype"/>
          <w:b/>
          <w:bCs/>
          <w:sz w:val="28"/>
          <w:szCs w:val="28"/>
        </w:rPr>
        <w:t xml:space="preserve">TERCERO. </w:t>
      </w:r>
      <w:r w:rsidRPr="009752B0">
        <w:rPr>
          <w:rFonts w:ascii="Palatino Linotype" w:eastAsia="Palatino Linotype" w:hAnsi="Palatino Linotype" w:cs="Palatino Linotype"/>
          <w:b/>
          <w:bCs/>
        </w:rPr>
        <w:t xml:space="preserve">NOTIFÍQUESE </w:t>
      </w:r>
      <w:r w:rsidRPr="009752B0">
        <w:rPr>
          <w:rFonts w:ascii="Palatino Linotype" w:eastAsia="Palatino Linotype" w:hAnsi="Palatino Linotype" w:cs="Palatino Linotype"/>
        </w:rPr>
        <w:t xml:space="preserve">la presente resolución a través del Sistema de Acceso a la Información Mexiquense </w:t>
      </w:r>
      <w:r w:rsidRPr="009752B0">
        <w:rPr>
          <w:rFonts w:ascii="Palatino Linotype" w:eastAsia="Palatino Linotype" w:hAnsi="Palatino Linotype" w:cs="Palatino Linotype"/>
          <w:b/>
          <w:bCs/>
        </w:rPr>
        <w:t>(SAIMEX)</w:t>
      </w:r>
      <w:r w:rsidRPr="009752B0">
        <w:rPr>
          <w:rFonts w:ascii="Palatino Linotype" w:eastAsia="Palatino Linotype" w:hAnsi="Palatino Linotype" w:cs="Palatino Linotype"/>
        </w:rPr>
        <w:t xml:space="preserve"> al Titular de la Unidad de Transparencia del </w:t>
      </w:r>
      <w:r w:rsidRPr="009752B0">
        <w:rPr>
          <w:rFonts w:ascii="Palatino Linotype" w:eastAsia="Palatino Linotype" w:hAnsi="Palatino Linotype" w:cs="Palatino Linotype"/>
          <w:b/>
          <w:bCs/>
        </w:rPr>
        <w:t>Sujeto Obligado</w:t>
      </w:r>
      <w:r w:rsidRPr="009752B0">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D44C7F3" w14:textId="77777777" w:rsidR="00A24DC9" w:rsidRPr="009752B0" w:rsidRDefault="00A24DC9">
      <w:pPr>
        <w:spacing w:line="360" w:lineRule="auto"/>
        <w:ind w:right="49"/>
        <w:jc w:val="both"/>
        <w:rPr>
          <w:rFonts w:ascii="Palatino Linotype" w:eastAsia="Palatino Linotype" w:hAnsi="Palatino Linotype" w:cs="Palatino Linotype"/>
        </w:rPr>
      </w:pPr>
    </w:p>
    <w:p w14:paraId="52B7B661" w14:textId="77777777" w:rsidR="00A24DC9" w:rsidRPr="009752B0" w:rsidRDefault="00A561CA">
      <w:pPr>
        <w:spacing w:line="360" w:lineRule="auto"/>
        <w:jc w:val="both"/>
        <w:rPr>
          <w:rFonts w:ascii="Palatino Linotype" w:eastAsia="Palatino Linotype" w:hAnsi="Palatino Linotype" w:cs="Palatino Linotype"/>
        </w:rPr>
      </w:pPr>
      <w:r w:rsidRPr="009752B0">
        <w:rPr>
          <w:rFonts w:ascii="Palatino Linotype" w:eastAsia="Palatino Linotype" w:hAnsi="Palatino Linotype" w:cs="Palatino Linotype"/>
          <w:b/>
          <w:bCs/>
          <w:sz w:val="28"/>
          <w:szCs w:val="28"/>
        </w:rPr>
        <w:t>CUARTO.</w:t>
      </w:r>
      <w:r w:rsidRPr="009752B0">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9752B0">
        <w:rPr>
          <w:rFonts w:ascii="Palatino Linotype" w:eastAsia="Palatino Linotype" w:hAnsi="Palatino Linotype" w:cs="Palatino Linotype"/>
          <w:b/>
          <w:bCs/>
        </w:rPr>
        <w:t>Sujeto Obligado</w:t>
      </w:r>
      <w:r w:rsidRPr="009752B0">
        <w:rPr>
          <w:rFonts w:ascii="Palatino Linotype" w:eastAsia="Palatino Linotype" w:hAnsi="Palatino Linotype" w:cs="Palatino Linotype"/>
        </w:rPr>
        <w:t xml:space="preserve"> de manera fundada y motivada, podrá solicitar una ampliación de plazo para el cumplimiento de la presente resolución.</w:t>
      </w:r>
    </w:p>
    <w:p w14:paraId="6CDC7FE0" w14:textId="77777777" w:rsidR="00A24DC9" w:rsidRPr="009752B0" w:rsidRDefault="00A24DC9">
      <w:pPr>
        <w:spacing w:line="360" w:lineRule="auto"/>
        <w:ind w:right="49"/>
        <w:jc w:val="both"/>
        <w:rPr>
          <w:rFonts w:ascii="Palatino Linotype" w:eastAsia="Palatino Linotype" w:hAnsi="Palatino Linotype" w:cs="Palatino Linotype"/>
          <w:b/>
          <w:bCs/>
        </w:rPr>
      </w:pPr>
    </w:p>
    <w:p w14:paraId="6222B001" w14:textId="77777777" w:rsidR="00A24DC9" w:rsidRPr="009752B0" w:rsidRDefault="00A561CA">
      <w:pPr>
        <w:spacing w:line="360" w:lineRule="auto"/>
        <w:ind w:right="49"/>
        <w:jc w:val="both"/>
        <w:rPr>
          <w:rFonts w:ascii="Palatino Linotype" w:eastAsia="Palatino Linotype" w:hAnsi="Palatino Linotype" w:cs="Palatino Linotype"/>
        </w:rPr>
      </w:pPr>
      <w:r w:rsidRPr="009752B0">
        <w:rPr>
          <w:rFonts w:ascii="Palatino Linotype" w:eastAsia="Palatino Linotype" w:hAnsi="Palatino Linotype" w:cs="Palatino Linotype"/>
          <w:b/>
          <w:bCs/>
          <w:sz w:val="28"/>
          <w:szCs w:val="28"/>
        </w:rPr>
        <w:t>QUINTO.</w:t>
      </w:r>
      <w:r w:rsidRPr="009752B0">
        <w:rPr>
          <w:rFonts w:ascii="Palatino Linotype" w:eastAsia="Palatino Linotype" w:hAnsi="Palatino Linotype" w:cs="Palatino Linotype"/>
          <w:b/>
          <w:bCs/>
        </w:rPr>
        <w:t xml:space="preserve"> NOTIFÍQUESE</w:t>
      </w:r>
      <w:r w:rsidRPr="009752B0">
        <w:rPr>
          <w:rFonts w:ascii="Palatino Linotype" w:eastAsia="Palatino Linotype" w:hAnsi="Palatino Linotype" w:cs="Palatino Linotype"/>
        </w:rPr>
        <w:t xml:space="preserve"> al </w:t>
      </w:r>
      <w:r w:rsidRPr="009752B0">
        <w:rPr>
          <w:rFonts w:ascii="Palatino Linotype" w:eastAsia="Palatino Linotype" w:hAnsi="Palatino Linotype" w:cs="Palatino Linotype"/>
          <w:b/>
          <w:bCs/>
        </w:rPr>
        <w:t>Recurrente</w:t>
      </w:r>
      <w:r w:rsidRPr="009752B0">
        <w:rPr>
          <w:rFonts w:ascii="Palatino Linotype" w:eastAsia="Palatino Linotype" w:hAnsi="Palatino Linotype" w:cs="Palatino Linotype"/>
        </w:rPr>
        <w:t xml:space="preserve"> la presente resolución a través del Sistema de Acceso a la Información Mexiquense </w:t>
      </w:r>
      <w:r w:rsidRPr="009752B0">
        <w:rPr>
          <w:rFonts w:ascii="Palatino Linotype" w:eastAsia="Palatino Linotype" w:hAnsi="Palatino Linotype" w:cs="Palatino Linotype"/>
          <w:b/>
          <w:bCs/>
        </w:rPr>
        <w:t>(SAIMEX),</w:t>
      </w:r>
      <w:r w:rsidRPr="009752B0">
        <w:rPr>
          <w:rFonts w:ascii="Palatino Linotype" w:eastAsia="Palatino Linotype" w:hAnsi="Palatino Linotype" w:cs="Palatino Linotype"/>
        </w:rPr>
        <w:t xml:space="preserve"> y hágase de su conocimiento que </w:t>
      </w:r>
      <w:r w:rsidRPr="009752B0">
        <w:rPr>
          <w:rFonts w:ascii="Palatino Linotype" w:eastAsia="Palatino Linotype" w:hAnsi="Palatino Linotype" w:cs="Palatino Linotype"/>
        </w:rPr>
        <w:lastRenderedPageBreak/>
        <w:t>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7C70B79" w14:textId="77777777" w:rsidR="00A24DC9" w:rsidRPr="009752B0" w:rsidRDefault="00A24DC9">
      <w:pPr>
        <w:spacing w:line="360" w:lineRule="auto"/>
        <w:ind w:right="49"/>
        <w:jc w:val="both"/>
        <w:rPr>
          <w:rFonts w:ascii="Palatino Linotype" w:eastAsia="Palatino Linotype" w:hAnsi="Palatino Linotype" w:cs="Palatino Linotype"/>
        </w:rPr>
      </w:pPr>
    </w:p>
    <w:p w14:paraId="5A101D7D" w14:textId="61CF3F8E" w:rsidR="00A24DC9" w:rsidRPr="009752B0" w:rsidRDefault="00A561CA">
      <w:pPr>
        <w:spacing w:line="360" w:lineRule="auto"/>
        <w:jc w:val="both"/>
        <w:rPr>
          <w:rFonts w:ascii="Palatino Linotype" w:eastAsia="Palatino Linotype" w:hAnsi="Palatino Linotype" w:cs="Palatino Linotype"/>
        </w:rPr>
      </w:pPr>
      <w:bookmarkStart w:id="1" w:name="_4o1nzswaxc0w" w:colFirst="0" w:colLast="0"/>
      <w:bookmarkEnd w:id="1"/>
      <w:r w:rsidRPr="009752B0">
        <w:rPr>
          <w:rFonts w:ascii="Palatino Linotype" w:eastAsia="Palatino Linotype" w:hAnsi="Palatino Linotype" w:cs="Palatino Linotype"/>
        </w:rPr>
        <w:t xml:space="preserve">ASÍ LO RESUELVE, POR </w:t>
      </w:r>
      <w:r w:rsidRPr="009752B0">
        <w:rPr>
          <w:rFonts w:ascii="Palatino Linotype" w:eastAsia="Palatino Linotype" w:hAnsi="Palatino Linotype" w:cs="Palatino Linotype"/>
          <w:b/>
          <w:bCs/>
        </w:rPr>
        <w:t>UNANIMIDAD DE VOTOS</w:t>
      </w:r>
      <w:r w:rsidRPr="009752B0">
        <w:rPr>
          <w:rFonts w:ascii="Palatino Linotype" w:eastAsia="Palatino Linotype" w:hAnsi="Palatino Linotype" w:cs="Palatino Linotype"/>
        </w:rPr>
        <w:t xml:space="preserve">, EL PLENO DEL INSTITUTO DE TRANSPARENCIA, ACCESO A LA INFORMACIÓN PÚBLICA Y PROTECCIÓN DE DATOS PERSONALES DEL ESTADO DE MÉXICO Y MUNICIPIOS, CONFORMADO POR LOS COMISIONADOS JOSÉ MARTÍNEZ VILCHIS; MARÍA DEL ROSARIO MEJÍA AYALA SHARON CRISTINA MORALES MARTÍNEZ ; LUIS GUSTAVO PARRA NORIEGA  Y GUADALUPE RAMÍREZ PEÑA; EN LA </w:t>
      </w:r>
      <w:r w:rsidR="00721969" w:rsidRPr="009752B0">
        <w:rPr>
          <w:rFonts w:ascii="Palatino Linotype" w:eastAsia="Palatino Linotype" w:hAnsi="Palatino Linotype" w:cs="Palatino Linotype"/>
          <w:b/>
          <w:bCs/>
        </w:rPr>
        <w:t>SÉPTIMA</w:t>
      </w:r>
      <w:r w:rsidRPr="009752B0">
        <w:rPr>
          <w:rFonts w:ascii="Palatino Linotype" w:eastAsia="Palatino Linotype" w:hAnsi="Palatino Linotype" w:cs="Palatino Linotype"/>
          <w:b/>
          <w:bCs/>
        </w:rPr>
        <w:t xml:space="preserve"> SESIÓN ORDINARIA CELEBRADA EL </w:t>
      </w:r>
      <w:r w:rsidR="007A2C40" w:rsidRPr="009752B0">
        <w:rPr>
          <w:rFonts w:ascii="Palatino Linotype" w:eastAsia="Palatino Linotype" w:hAnsi="Palatino Linotype" w:cs="Palatino Linotype"/>
          <w:b/>
          <w:bCs/>
        </w:rPr>
        <w:t>V</w:t>
      </w:r>
      <w:r w:rsidR="00721969" w:rsidRPr="009752B0">
        <w:rPr>
          <w:rFonts w:ascii="Palatino Linotype" w:eastAsia="Palatino Linotype" w:hAnsi="Palatino Linotype" w:cs="Palatino Linotype"/>
          <w:b/>
          <w:bCs/>
        </w:rPr>
        <w:t>EINTICINCO DE FEBRERO</w:t>
      </w:r>
      <w:r w:rsidRPr="009752B0">
        <w:rPr>
          <w:rFonts w:ascii="Palatino Linotype" w:eastAsia="Palatino Linotype" w:hAnsi="Palatino Linotype" w:cs="Palatino Linotype"/>
          <w:b/>
          <w:bCs/>
        </w:rPr>
        <w:t xml:space="preserve"> DE DOS MIL VEINTISÉIS, ANTE EL SECRETARIO TÉCNICO DEL PLENO, ALEXIS TAPIA RAMÍREZ</w:t>
      </w:r>
      <w:r w:rsidRPr="009752B0">
        <w:rPr>
          <w:rFonts w:ascii="Palatino Linotype" w:eastAsia="Palatino Linotype" w:hAnsi="Palatino Linotype" w:cs="Palatino Linotype"/>
        </w:rPr>
        <w:t>--------------------------------------------------------------------------------------------------------------------------------------------------------------------------------------------------------------------------------------------------------------------------------------------------------------------------------------------------------------------------------------------</w:t>
      </w:r>
    </w:p>
    <w:p w14:paraId="374819E7" w14:textId="77777777" w:rsidR="00A24DC9" w:rsidRDefault="00A561CA">
      <w:pPr>
        <w:spacing w:line="360" w:lineRule="auto"/>
        <w:jc w:val="both"/>
        <w:rPr>
          <w:rFonts w:ascii="Palatino Linotype" w:eastAsia="Palatino Linotype" w:hAnsi="Palatino Linotype" w:cs="Palatino Linotype"/>
          <w:sz w:val="18"/>
          <w:szCs w:val="18"/>
        </w:rPr>
      </w:pPr>
      <w:r w:rsidRPr="009752B0">
        <w:rPr>
          <w:rFonts w:ascii="Palatino Linotype" w:eastAsia="Palatino Linotype" w:hAnsi="Palatino Linotype" w:cs="Palatino Linotype"/>
          <w:sz w:val="18"/>
          <w:szCs w:val="18"/>
        </w:rPr>
        <w:t>JMV/CCR/NJMB</w:t>
      </w:r>
    </w:p>
    <w:p w14:paraId="6416966C" w14:textId="77777777" w:rsidR="00A24DC9" w:rsidRDefault="00A24DC9">
      <w:pPr>
        <w:spacing w:line="360" w:lineRule="auto"/>
        <w:jc w:val="both"/>
        <w:rPr>
          <w:rFonts w:ascii="Palatino Linotype" w:eastAsia="Palatino Linotype" w:hAnsi="Palatino Linotype" w:cs="Palatino Linotype"/>
        </w:rPr>
      </w:pPr>
    </w:p>
    <w:p w14:paraId="51958F77" w14:textId="77777777" w:rsidR="00A24DC9" w:rsidRDefault="00A24DC9"/>
    <w:p w14:paraId="71ADA716" w14:textId="77777777" w:rsidR="00A24DC9" w:rsidRDefault="00A24DC9"/>
    <w:p w14:paraId="2DEFF58C" w14:textId="77777777" w:rsidR="00A24DC9" w:rsidRDefault="00A24DC9"/>
    <w:p w14:paraId="69ABCDC1" w14:textId="77777777" w:rsidR="00A24DC9" w:rsidRDefault="00A24DC9"/>
    <w:p w14:paraId="7F015367" w14:textId="77777777" w:rsidR="00A24DC9" w:rsidRDefault="00A24DC9"/>
    <w:p w14:paraId="70E9A501" w14:textId="77777777" w:rsidR="00A24DC9" w:rsidRDefault="00A24DC9"/>
    <w:p w14:paraId="4E6C0AAD" w14:textId="77777777" w:rsidR="00A24DC9" w:rsidRDefault="00A24DC9"/>
    <w:p w14:paraId="21E27DAB" w14:textId="77777777" w:rsidR="00A24DC9" w:rsidRDefault="00A24DC9"/>
    <w:p w14:paraId="08FBD567" w14:textId="77777777" w:rsidR="00A24DC9" w:rsidRDefault="00A24DC9"/>
    <w:p w14:paraId="40368073" w14:textId="77777777" w:rsidR="00A24DC9" w:rsidRDefault="00A24DC9"/>
    <w:p w14:paraId="05EA7FD1" w14:textId="77777777" w:rsidR="00A24DC9" w:rsidRDefault="00A24DC9"/>
    <w:p w14:paraId="103625B5" w14:textId="77777777" w:rsidR="00A24DC9" w:rsidRDefault="00A24DC9"/>
    <w:p w14:paraId="08514DC0" w14:textId="77777777" w:rsidR="00A24DC9" w:rsidRDefault="00A24DC9"/>
    <w:p w14:paraId="32206CAF" w14:textId="77777777" w:rsidR="00A24DC9" w:rsidRDefault="00A24DC9"/>
    <w:p w14:paraId="20F63651" w14:textId="77777777" w:rsidR="00A24DC9" w:rsidRDefault="00A24DC9"/>
    <w:p w14:paraId="208E7282" w14:textId="77777777" w:rsidR="00A24DC9" w:rsidRDefault="00A24DC9"/>
    <w:p w14:paraId="13CB97BB" w14:textId="77777777" w:rsidR="00A24DC9" w:rsidRDefault="00A24DC9"/>
    <w:p w14:paraId="0488A4BF" w14:textId="77777777" w:rsidR="00A24DC9" w:rsidRDefault="00A24DC9"/>
    <w:p w14:paraId="0924F5A1" w14:textId="77777777" w:rsidR="00A24DC9" w:rsidRDefault="00A24DC9"/>
    <w:p w14:paraId="69EFC47A" w14:textId="77777777" w:rsidR="00A24DC9" w:rsidRDefault="00A24DC9"/>
    <w:p w14:paraId="2E5175DB" w14:textId="77777777" w:rsidR="00A24DC9" w:rsidRDefault="00A24DC9"/>
    <w:p w14:paraId="06231DDE" w14:textId="77777777" w:rsidR="00A24DC9" w:rsidRDefault="00A24DC9"/>
    <w:p w14:paraId="0C3D6FD2" w14:textId="77777777" w:rsidR="00A24DC9" w:rsidRDefault="00A24DC9"/>
    <w:p w14:paraId="2BF7782C" w14:textId="77777777" w:rsidR="00A24DC9" w:rsidRDefault="00A24DC9"/>
    <w:p w14:paraId="4FCA0241" w14:textId="77777777" w:rsidR="00A24DC9" w:rsidRDefault="00A24DC9"/>
    <w:p w14:paraId="13C56264" w14:textId="77777777" w:rsidR="00A24DC9" w:rsidRDefault="00A24DC9"/>
    <w:p w14:paraId="165C4396" w14:textId="77777777" w:rsidR="00A24DC9" w:rsidRDefault="00A24DC9"/>
    <w:p w14:paraId="6C99A03D" w14:textId="77777777" w:rsidR="00A24DC9" w:rsidRDefault="00A24DC9"/>
    <w:p w14:paraId="5CA540B1" w14:textId="77777777" w:rsidR="00A24DC9" w:rsidRDefault="00A24DC9"/>
    <w:p w14:paraId="4AAF9BF2" w14:textId="77777777" w:rsidR="00A24DC9" w:rsidRDefault="00A24DC9"/>
    <w:p w14:paraId="4DFE5DFE" w14:textId="77777777" w:rsidR="00A24DC9" w:rsidRDefault="00A24DC9"/>
    <w:p w14:paraId="3268B343" w14:textId="77777777" w:rsidR="00A24DC9" w:rsidRDefault="00A24DC9"/>
    <w:p w14:paraId="75B1F0F2" w14:textId="77777777" w:rsidR="00A24DC9" w:rsidRDefault="00A24DC9"/>
    <w:p w14:paraId="46756B6D" w14:textId="77777777" w:rsidR="00A24DC9" w:rsidRDefault="00A24DC9"/>
    <w:p w14:paraId="21A703A6" w14:textId="77777777" w:rsidR="00A24DC9" w:rsidRDefault="00A24DC9"/>
    <w:p w14:paraId="1F43C2FC" w14:textId="77777777" w:rsidR="00A24DC9" w:rsidRDefault="00A24DC9"/>
    <w:p w14:paraId="059C028F" w14:textId="77777777" w:rsidR="00A24DC9" w:rsidRDefault="00A24DC9"/>
    <w:p w14:paraId="4D1AE697" w14:textId="77777777" w:rsidR="00A24DC9" w:rsidRDefault="00A24DC9"/>
    <w:p w14:paraId="1C0D0301" w14:textId="77777777" w:rsidR="00A24DC9" w:rsidRDefault="00A24DC9"/>
    <w:p w14:paraId="3A38F02A" w14:textId="77777777" w:rsidR="00A24DC9" w:rsidRDefault="00A24DC9"/>
    <w:sectPr w:rsidR="00A24DC9">
      <w:headerReference w:type="even" r:id="rId7"/>
      <w:headerReference w:type="default" r:id="rId8"/>
      <w:footerReference w:type="default" r:id="rId9"/>
      <w:headerReference w:type="first" r:id="rId10"/>
      <w:footerReference w:type="first" r:id="rId11"/>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B333A" w14:textId="77777777" w:rsidR="009A62A1" w:rsidRDefault="009A62A1">
      <w:r>
        <w:separator/>
      </w:r>
    </w:p>
  </w:endnote>
  <w:endnote w:type="continuationSeparator" w:id="0">
    <w:p w14:paraId="667BF292" w14:textId="77777777" w:rsidR="009A62A1" w:rsidRDefault="009A6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75AB677-9237-4AFA-855B-588F27488C8F}"/>
  </w:font>
  <w:font w:name="Palatino Linotype">
    <w:panose1 w:val="02040502050505030304"/>
    <w:charset w:val="00"/>
    <w:family w:val="roman"/>
    <w:pitch w:val="variable"/>
    <w:sig w:usb0="E0000287" w:usb1="40000013" w:usb2="00000000" w:usb3="00000000" w:csb0="0000019F" w:csb1="00000000"/>
    <w:embedRegular r:id="rId2" w:fontKey="{5CD7E4F1-82E0-4B44-861B-42E209025248}"/>
    <w:embedBold r:id="rId3" w:fontKey="{9E93630E-2A31-46E6-A947-32B1329BFD68}"/>
    <w:embedItalic r:id="rId4" w:fontKey="{C069E127-E69A-4DA4-9CA8-EC5D419595A1}"/>
    <w:embedBoldItalic r:id="rId5" w:fontKey="{7196C3A0-5E55-42F4-AB99-48EDAB019DCE}"/>
  </w:font>
  <w:font w:name="Calibri">
    <w:panose1 w:val="020F0502020204030204"/>
    <w:charset w:val="00"/>
    <w:family w:val="swiss"/>
    <w:pitch w:val="variable"/>
    <w:sig w:usb0="E4002EFF" w:usb1="C200247B" w:usb2="00000009" w:usb3="00000000" w:csb0="000001FF" w:csb1="00000000"/>
    <w:embedRegular r:id="rId6" w:fontKey="{7B963001-4328-4C1E-AF82-060F7A5B12C5}"/>
  </w:font>
  <w:font w:name="Verdana">
    <w:panose1 w:val="020B0604030504040204"/>
    <w:charset w:val="00"/>
    <w:family w:val="swiss"/>
    <w:pitch w:val="variable"/>
    <w:sig w:usb0="A00006FF" w:usb1="4000205B" w:usb2="00000010" w:usb3="00000000" w:csb0="0000019F" w:csb1="00000000"/>
    <w:embedRegular r:id="rId7" w:fontKey="{FBC9079B-1BD9-4059-8D38-F335800C6EB6}"/>
  </w:font>
  <w:font w:name="Cambria">
    <w:panose1 w:val="02040503050406030204"/>
    <w:charset w:val="00"/>
    <w:family w:val="roman"/>
    <w:pitch w:val="variable"/>
    <w:sig w:usb0="E00006FF" w:usb1="420024FF" w:usb2="02000000" w:usb3="00000000" w:csb0="0000019F" w:csb1="00000000"/>
    <w:embedRegular r:id="rId8" w:fontKey="{01995278-A8F9-46F6-A88E-C76C3B1BA3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DC34F" w14:textId="77777777" w:rsidR="00A24DC9" w:rsidRDefault="00A561C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A6319">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A6319">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97F38" w14:textId="77777777" w:rsidR="00A24DC9" w:rsidRDefault="00A561C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A6319">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A6319">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6DB4B8" w14:textId="77777777" w:rsidR="009A62A1" w:rsidRDefault="009A62A1">
      <w:r>
        <w:separator/>
      </w:r>
    </w:p>
  </w:footnote>
  <w:footnote w:type="continuationSeparator" w:id="0">
    <w:p w14:paraId="31ACF8CB" w14:textId="77777777" w:rsidR="009A62A1" w:rsidRDefault="009A62A1">
      <w:r>
        <w:continuationSeparator/>
      </w:r>
    </w:p>
  </w:footnote>
  <w:footnote w:id="1">
    <w:p w14:paraId="1E660042" w14:textId="77777777" w:rsidR="00A24DC9" w:rsidRDefault="00A561CA">
      <w:pPr>
        <w:ind w:right="49"/>
        <w:jc w:val="both"/>
        <w:rPr>
          <w:rFonts w:ascii="Palatino Linotype" w:eastAsia="Palatino Linotype" w:hAnsi="Palatino Linotype" w:cs="Palatino Linotype"/>
          <w:b/>
          <w:bCs/>
          <w:i/>
          <w:iCs/>
          <w:sz w:val="18"/>
          <w:szCs w:val="18"/>
        </w:rPr>
      </w:pPr>
      <w:r>
        <w:rPr>
          <w:vertAlign w:val="superscript"/>
        </w:rPr>
        <w:footnoteRef/>
      </w:r>
      <w:r>
        <w:t xml:space="preserve"> </w:t>
      </w:r>
      <w:r>
        <w:rPr>
          <w:rFonts w:ascii="Palatino Linotype" w:eastAsia="Palatino Linotype" w:hAnsi="Palatino Linotype" w:cs="Palatino Linotype"/>
          <w:b/>
          <w:bCs/>
          <w:i/>
          <w:iCs/>
          <w:sz w:val="18"/>
          <w:szCs w:val="18"/>
        </w:rPr>
        <w:t>IMPROCEDENCIA Y SOBRESEIMIENTO EN EL JUICIO DE AMPARO. LAS CAUSAS PREVISTAS EN LOS ARTÍCULOS 73 Y 74 DE LA LEY DE LA MATERIA, RESPECTIVAMENTE, NO SON INCOMPATIBLES CON EL ARTÍCULO 25.1 DE LA CONVENCIÓN AMERICANA SOBRE DERECHOS HUMANOS.</w:t>
      </w:r>
    </w:p>
    <w:p w14:paraId="4A24B2F3" w14:textId="77777777" w:rsidR="00A24DC9" w:rsidRDefault="00A24DC9">
      <w:pPr>
        <w:ind w:right="49"/>
        <w:jc w:val="both"/>
        <w:rPr>
          <w:rFonts w:ascii="Palatino Linotype" w:eastAsia="Palatino Linotype" w:hAnsi="Palatino Linotype" w:cs="Palatino Linotype"/>
          <w:i/>
          <w:iCs/>
          <w:sz w:val="18"/>
          <w:szCs w:val="18"/>
        </w:rPr>
      </w:pPr>
    </w:p>
    <w:p w14:paraId="7CF1FF59" w14:textId="77777777" w:rsidR="00A24DC9" w:rsidRDefault="00A561CA">
      <w:pPr>
        <w:ind w:right="49"/>
        <w:jc w:val="both"/>
        <w:rPr>
          <w:rFonts w:ascii="Palatino Linotype" w:eastAsia="Palatino Linotype" w:hAnsi="Palatino Linotype" w:cs="Palatino Linotype"/>
          <w:sz w:val="18"/>
          <w:szCs w:val="18"/>
        </w:rPr>
      </w:pPr>
      <w:r>
        <w:rPr>
          <w:rFonts w:ascii="Palatino Linotype" w:eastAsia="Palatino Linotype" w:hAnsi="Palatino Linotype" w:cs="Palatino Linotype"/>
          <w:i/>
          <w:iCs/>
          <w:sz w:val="18"/>
          <w:szCs w:val="18"/>
        </w:rPr>
        <w:t>Del examen de compatibilidad de los artículos </w:t>
      </w:r>
      <w:hyperlink r:id="rId1">
        <w:r>
          <w:rPr>
            <w:rFonts w:ascii="Palatino Linotype" w:eastAsia="Palatino Linotype" w:hAnsi="Palatino Linotype" w:cs="Palatino Linotype"/>
            <w:i/>
            <w:iCs/>
            <w:color w:val="0563C1"/>
            <w:sz w:val="18"/>
            <w:szCs w:val="18"/>
            <w:u w:val="single"/>
          </w:rPr>
          <w:t>73 y 74 de la Ley de Amparo</w:t>
        </w:r>
      </w:hyperlink>
      <w:r>
        <w:rPr>
          <w:rFonts w:ascii="Palatino Linotype" w:eastAsia="Palatino Linotype" w:hAnsi="Palatino Linotype" w:cs="Palatino Linotype"/>
          <w:i/>
          <w:iCs/>
          <w:sz w:val="18"/>
          <w:szCs w:val="18"/>
        </w:rPr>
        <w:t> con el artículo </w:t>
      </w:r>
      <w:hyperlink r:id="rId2">
        <w:r>
          <w:rPr>
            <w:rFonts w:ascii="Palatino Linotype" w:eastAsia="Palatino Linotype" w:hAnsi="Palatino Linotype" w:cs="Palatino Linotype"/>
            <w:i/>
            <w:iCs/>
            <w:color w:val="0563C1"/>
            <w:sz w:val="18"/>
            <w:szCs w:val="18"/>
            <w:u w:val="single"/>
          </w:rPr>
          <w:t>25.1 de la Convención Americana sobre Derechos Humanos</w:t>
        </w:r>
      </w:hyperlink>
      <w:r>
        <w:rPr>
          <w:rFonts w:ascii="Palatino Linotype" w:eastAsia="Palatino Linotype" w:hAnsi="Palatino Linotype" w:cs="Palatino Linotype"/>
          <w:i/>
          <w:iCs/>
          <w:sz w:val="18"/>
          <w:szCs w:val="18"/>
        </w:rPr>
        <w:t> </w:t>
      </w:r>
      <w:r>
        <w:rPr>
          <w:rFonts w:ascii="Palatino Linotype" w:eastAsia="Palatino Linotype" w:hAnsi="Palatino Linotype" w:cs="Palatino Linotype"/>
          <w:b/>
          <w:bCs/>
          <w:i/>
          <w:iCs/>
          <w:sz w:val="18"/>
          <w:szCs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iCs/>
          <w:sz w:val="18"/>
          <w:szCs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ADDE8D3" w14:textId="77777777" w:rsidR="00A24DC9" w:rsidRDefault="00A24DC9">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08CC8" w14:textId="77777777" w:rsidR="00A24DC9" w:rsidRDefault="009A62A1">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10E68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40B8E" w14:textId="77777777" w:rsidR="00A24DC9" w:rsidRDefault="00A24DC9">
    <w:pPr>
      <w:widowControl w:val="0"/>
      <w:pBdr>
        <w:top w:val="nil"/>
        <w:left w:val="nil"/>
        <w:bottom w:val="nil"/>
        <w:right w:val="nil"/>
        <w:between w:val="nil"/>
      </w:pBdr>
      <w:spacing w:line="276" w:lineRule="auto"/>
      <w:rPr>
        <w:rFonts w:ascii="Calibri" w:eastAsia="Calibri" w:hAnsi="Calibri" w:cs="Calibri"/>
        <w:color w:val="000000"/>
      </w:rPr>
    </w:pPr>
  </w:p>
  <w:tbl>
    <w:tblPr>
      <w:tblStyle w:val="2"/>
      <w:tblW w:w="6667" w:type="dxa"/>
      <w:tblInd w:w="2547" w:type="dxa"/>
      <w:tblLayout w:type="fixed"/>
      <w:tblLook w:val="0400" w:firstRow="0" w:lastRow="0" w:firstColumn="0" w:lastColumn="0" w:noHBand="0" w:noVBand="1"/>
    </w:tblPr>
    <w:tblGrid>
      <w:gridCol w:w="2551"/>
      <w:gridCol w:w="4116"/>
    </w:tblGrid>
    <w:tr w:rsidR="00A24DC9" w14:paraId="23A8310F" w14:textId="77777777">
      <w:tc>
        <w:tcPr>
          <w:tcW w:w="2551" w:type="dxa"/>
          <w:vAlign w:val="center"/>
        </w:tcPr>
        <w:p w14:paraId="762C3819" w14:textId="77777777" w:rsidR="00A24DC9" w:rsidRDefault="00A561CA">
          <w:pPr>
            <w:spacing w:line="276" w:lineRule="auto"/>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16" w:type="dxa"/>
          <w:vAlign w:val="center"/>
        </w:tcPr>
        <w:p w14:paraId="19711E68" w14:textId="77777777" w:rsidR="00A24DC9" w:rsidRDefault="00A561CA">
          <w:pPr>
            <w:spacing w:line="276" w:lineRule="auto"/>
            <w:jc w:val="right"/>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12975/INFOEM/IP/RR/2025</w:t>
          </w:r>
        </w:p>
      </w:tc>
    </w:tr>
    <w:tr w:rsidR="00A24DC9" w14:paraId="47EF3CC1" w14:textId="77777777">
      <w:trPr>
        <w:trHeight w:val="228"/>
      </w:trPr>
      <w:tc>
        <w:tcPr>
          <w:tcW w:w="2551" w:type="dxa"/>
          <w:vAlign w:val="center"/>
        </w:tcPr>
        <w:p w14:paraId="066EC58C" w14:textId="77777777" w:rsidR="00A24DC9" w:rsidRDefault="00A561CA">
          <w:pPr>
            <w:spacing w:line="276" w:lineRule="auto"/>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116" w:type="dxa"/>
          <w:vAlign w:val="center"/>
        </w:tcPr>
        <w:p w14:paraId="629D4F11" w14:textId="77777777" w:rsidR="00A24DC9" w:rsidRDefault="00A561CA">
          <w:pPr>
            <w:spacing w:line="276" w:lineRule="auto"/>
            <w:jc w:val="right"/>
            <w:rPr>
              <w:rFonts w:ascii="Palatino Linotype" w:eastAsia="Palatino Linotype" w:hAnsi="Palatino Linotype" w:cs="Palatino Linotype"/>
              <w:sz w:val="22"/>
              <w:szCs w:val="22"/>
            </w:rPr>
          </w:pPr>
          <w:r>
            <w:rPr>
              <w:rFonts w:ascii="Palatino Linotype" w:eastAsia="Palatino Linotype" w:hAnsi="Palatino Linotype" w:cs="Palatino Linotype"/>
              <w:b/>
              <w:bCs/>
              <w:color w:val="000000"/>
            </w:rPr>
            <w:t>Ayuntamiento de Ecatepec de Morelos</w:t>
          </w:r>
        </w:p>
      </w:tc>
    </w:tr>
    <w:tr w:rsidR="00A24DC9" w14:paraId="7CE14965" w14:textId="77777777">
      <w:tc>
        <w:tcPr>
          <w:tcW w:w="2551" w:type="dxa"/>
          <w:vAlign w:val="center"/>
        </w:tcPr>
        <w:p w14:paraId="3FFAA270" w14:textId="77777777" w:rsidR="00A24DC9" w:rsidRDefault="00A561CA">
          <w:pPr>
            <w:spacing w:line="276" w:lineRule="auto"/>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116" w:type="dxa"/>
          <w:vAlign w:val="center"/>
        </w:tcPr>
        <w:p w14:paraId="0D3672DD" w14:textId="77777777" w:rsidR="00A24DC9" w:rsidRDefault="00A561CA">
          <w:pPr>
            <w:spacing w:line="276" w:lineRule="auto"/>
            <w:jc w:val="right"/>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José Martínez Vilchis</w:t>
          </w:r>
        </w:p>
      </w:tc>
    </w:tr>
  </w:tbl>
  <w:p w14:paraId="69C9A1F9" w14:textId="77777777" w:rsidR="00A24DC9" w:rsidRDefault="009A62A1">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pict w14:anchorId="76A18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5.25pt;margin-top:-116.45pt;width:649.35pt;height:845.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6CD51" w14:textId="77777777" w:rsidR="00A24DC9" w:rsidRDefault="00A24DC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0"/>
        <w:szCs w:val="20"/>
      </w:rPr>
    </w:pPr>
  </w:p>
  <w:tbl>
    <w:tblPr>
      <w:tblStyle w:val="1"/>
      <w:tblW w:w="6667" w:type="dxa"/>
      <w:tblInd w:w="2547" w:type="dxa"/>
      <w:tblLayout w:type="fixed"/>
      <w:tblLook w:val="0400" w:firstRow="0" w:lastRow="0" w:firstColumn="0" w:lastColumn="0" w:noHBand="0" w:noVBand="1"/>
    </w:tblPr>
    <w:tblGrid>
      <w:gridCol w:w="2551"/>
      <w:gridCol w:w="4116"/>
    </w:tblGrid>
    <w:tr w:rsidR="00A24DC9" w14:paraId="4887FFF3" w14:textId="77777777">
      <w:tc>
        <w:tcPr>
          <w:tcW w:w="2551" w:type="dxa"/>
          <w:vAlign w:val="center"/>
        </w:tcPr>
        <w:p w14:paraId="2BFF9E0E" w14:textId="77777777" w:rsidR="00A24DC9" w:rsidRDefault="00A561CA">
          <w:pPr>
            <w:spacing w:line="276" w:lineRule="auto"/>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16" w:type="dxa"/>
          <w:vAlign w:val="center"/>
        </w:tcPr>
        <w:p w14:paraId="085F3BDB" w14:textId="77777777" w:rsidR="00A24DC9" w:rsidRDefault="00A561CA">
          <w:pPr>
            <w:spacing w:line="276" w:lineRule="auto"/>
            <w:jc w:val="right"/>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12975/INFOEM/IP/RR/2025</w:t>
          </w:r>
        </w:p>
      </w:tc>
    </w:tr>
    <w:tr w:rsidR="00A24DC9" w14:paraId="134CD805" w14:textId="77777777">
      <w:tc>
        <w:tcPr>
          <w:tcW w:w="2551" w:type="dxa"/>
          <w:vAlign w:val="center"/>
        </w:tcPr>
        <w:p w14:paraId="2472DA61" w14:textId="77777777" w:rsidR="00A24DC9" w:rsidRDefault="00A561CA">
          <w:pPr>
            <w:spacing w:line="276" w:lineRule="auto"/>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116" w:type="dxa"/>
          <w:vAlign w:val="center"/>
        </w:tcPr>
        <w:p w14:paraId="6530918E" w14:textId="1BD2ACC1" w:rsidR="00A24DC9" w:rsidRDefault="007A6319">
          <w:pPr>
            <w:spacing w:line="276" w:lineRule="auto"/>
            <w:jc w:val="right"/>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XXXXXXXXXXXXXXXXXXXXXXXXXXXX</w:t>
          </w:r>
        </w:p>
      </w:tc>
    </w:tr>
    <w:tr w:rsidR="00A24DC9" w14:paraId="1DF185B0" w14:textId="77777777">
      <w:trPr>
        <w:trHeight w:val="228"/>
      </w:trPr>
      <w:tc>
        <w:tcPr>
          <w:tcW w:w="2551" w:type="dxa"/>
          <w:vAlign w:val="center"/>
        </w:tcPr>
        <w:p w14:paraId="0607ECB8" w14:textId="77777777" w:rsidR="00A24DC9" w:rsidRDefault="00A561CA">
          <w:pPr>
            <w:spacing w:line="276" w:lineRule="auto"/>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116" w:type="dxa"/>
          <w:vAlign w:val="center"/>
        </w:tcPr>
        <w:p w14:paraId="79110B75" w14:textId="77777777" w:rsidR="00A24DC9" w:rsidRDefault="00A561CA">
          <w:pPr>
            <w:spacing w:line="276" w:lineRule="auto"/>
            <w:jc w:val="right"/>
            <w:rPr>
              <w:rFonts w:ascii="Palatino Linotype" w:eastAsia="Palatino Linotype" w:hAnsi="Palatino Linotype" w:cs="Palatino Linotype"/>
            </w:rPr>
          </w:pPr>
          <w:r>
            <w:rPr>
              <w:rFonts w:ascii="Palatino Linotype" w:eastAsia="Palatino Linotype" w:hAnsi="Palatino Linotype" w:cs="Palatino Linotype"/>
              <w:b/>
              <w:bCs/>
              <w:color w:val="000000"/>
            </w:rPr>
            <w:t>Ayuntamiento de Ecatepec de Morelos</w:t>
          </w:r>
        </w:p>
      </w:tc>
    </w:tr>
    <w:tr w:rsidR="00A24DC9" w14:paraId="1B0CD4AA" w14:textId="77777777">
      <w:tc>
        <w:tcPr>
          <w:tcW w:w="2551" w:type="dxa"/>
          <w:vAlign w:val="center"/>
        </w:tcPr>
        <w:p w14:paraId="55A25FEB" w14:textId="77777777" w:rsidR="00A24DC9" w:rsidRDefault="00A561CA">
          <w:pPr>
            <w:spacing w:line="276" w:lineRule="auto"/>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116" w:type="dxa"/>
          <w:vAlign w:val="center"/>
        </w:tcPr>
        <w:p w14:paraId="51468FF0" w14:textId="77777777" w:rsidR="00A24DC9" w:rsidRDefault="00A561CA">
          <w:pPr>
            <w:spacing w:line="276" w:lineRule="auto"/>
            <w:jc w:val="right"/>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José Martínez Vilchis</w:t>
          </w:r>
        </w:p>
      </w:tc>
    </w:tr>
    <w:tr w:rsidR="00A24DC9" w14:paraId="188514C1" w14:textId="77777777">
      <w:tc>
        <w:tcPr>
          <w:tcW w:w="2551" w:type="dxa"/>
          <w:vAlign w:val="center"/>
        </w:tcPr>
        <w:p w14:paraId="56473581" w14:textId="77777777" w:rsidR="00A24DC9" w:rsidRDefault="00A24DC9">
          <w:pPr>
            <w:spacing w:line="276" w:lineRule="auto"/>
            <w:jc w:val="right"/>
            <w:rPr>
              <w:rFonts w:ascii="Palatino Linotype" w:eastAsia="Palatino Linotype" w:hAnsi="Palatino Linotype" w:cs="Palatino Linotype"/>
              <w:b/>
              <w:bCs/>
              <w:sz w:val="22"/>
              <w:szCs w:val="22"/>
            </w:rPr>
          </w:pPr>
        </w:p>
      </w:tc>
      <w:tc>
        <w:tcPr>
          <w:tcW w:w="4116" w:type="dxa"/>
          <w:vAlign w:val="center"/>
        </w:tcPr>
        <w:p w14:paraId="04DC751A" w14:textId="77777777" w:rsidR="00A24DC9" w:rsidRDefault="00A24DC9">
          <w:pPr>
            <w:spacing w:line="276" w:lineRule="auto"/>
            <w:rPr>
              <w:rFonts w:ascii="Palatino Linotype" w:eastAsia="Palatino Linotype" w:hAnsi="Palatino Linotype" w:cs="Palatino Linotype"/>
              <w:sz w:val="14"/>
              <w:szCs w:val="14"/>
            </w:rPr>
          </w:pPr>
        </w:p>
      </w:tc>
    </w:tr>
  </w:tbl>
  <w:p w14:paraId="4479ED54" w14:textId="77777777" w:rsidR="00A24DC9" w:rsidRDefault="009A62A1">
    <w:pPr>
      <w:pBdr>
        <w:top w:val="nil"/>
        <w:left w:val="nil"/>
        <w:bottom w:val="nil"/>
        <w:right w:val="nil"/>
        <w:between w:val="nil"/>
      </w:pBdr>
      <w:tabs>
        <w:tab w:val="center" w:pos="4252"/>
        <w:tab w:val="right" w:pos="8504"/>
      </w:tabs>
      <w:rPr>
        <w:rFonts w:ascii="Calibri" w:eastAsia="Calibri" w:hAnsi="Calibri" w:cs="Calibri"/>
        <w:color w:val="000000"/>
        <w:sz w:val="10"/>
        <w:szCs w:val="10"/>
      </w:rPr>
    </w:pPr>
    <w:r>
      <w:rPr>
        <w:rFonts w:ascii="Calibri" w:eastAsia="Calibri" w:hAnsi="Calibri" w:cs="Calibri"/>
        <w:color w:val="000000"/>
        <w:sz w:val="10"/>
        <w:szCs w:val="10"/>
      </w:rPr>
      <w:pict w14:anchorId="2DA14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5.05pt;margin-top:-194.65pt;width:628.7pt;height:818.9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04546"/>
    <w:multiLevelType w:val="multilevel"/>
    <w:tmpl w:val="BD865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357544"/>
    <w:multiLevelType w:val="multilevel"/>
    <w:tmpl w:val="1B2E214E"/>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 w15:restartNumberingAfterBreak="0">
    <w:nsid w:val="43792946"/>
    <w:multiLevelType w:val="multilevel"/>
    <w:tmpl w:val="17823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6C0DCA"/>
    <w:multiLevelType w:val="multilevel"/>
    <w:tmpl w:val="72EA02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E17FD0"/>
    <w:multiLevelType w:val="multilevel"/>
    <w:tmpl w:val="259E8D34"/>
    <w:lvl w:ilvl="0">
      <w:start w:val="1"/>
      <w:numFmt w:val="upperRoman"/>
      <w:lvlText w:val="%1."/>
      <w:lvlJc w:val="left"/>
      <w:pPr>
        <w:ind w:left="1425" w:hanging="72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5" w15:restartNumberingAfterBreak="0">
    <w:nsid w:val="6097505F"/>
    <w:multiLevelType w:val="multilevel"/>
    <w:tmpl w:val="0950C1DE"/>
    <w:lvl w:ilvl="0">
      <w:start w:val="1"/>
      <w:numFmt w:val="lowerLetter"/>
      <w:lvlText w:val="%1)"/>
      <w:lvlJc w:val="left"/>
      <w:pPr>
        <w:ind w:left="720" w:hanging="360"/>
      </w:pPr>
      <w:rPr>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0"/>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DC9"/>
    <w:rsid w:val="00041B74"/>
    <w:rsid w:val="00203BFE"/>
    <w:rsid w:val="00721969"/>
    <w:rsid w:val="00752C80"/>
    <w:rsid w:val="007A2C40"/>
    <w:rsid w:val="007A6319"/>
    <w:rsid w:val="009752B0"/>
    <w:rsid w:val="009A62A1"/>
    <w:rsid w:val="00A24DC9"/>
    <w:rsid w:val="00A561CA"/>
    <w:rsid w:val="00C9645D"/>
    <w:rsid w:val="00EB35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EA25EF"/>
  <w15:docId w15:val="{FE0E109E-BF2F-44E8-8ED7-060233B9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3">
    <w:name w:val="3"/>
    <w:basedOn w:val="TableNormal"/>
    <w:tblPr>
      <w:tblStyleRowBandSize w:val="1"/>
      <w:tblStyleColBandSize w:val="1"/>
      <w:tblCellMar>
        <w:top w:w="0" w:type="dxa"/>
        <w:left w:w="0" w:type="dxa"/>
        <w:bottom w:w="0" w:type="dxa"/>
        <w:right w:w="0" w:type="dxa"/>
      </w:tblCellMar>
    </w:tblPr>
  </w:style>
  <w:style w:type="table" w:customStyle="1" w:styleId="2">
    <w:name w:val="2"/>
    <w:basedOn w:val="TableNormal"/>
    <w:tblPr>
      <w:tblStyleRowBandSize w:val="1"/>
      <w:tblStyleColBandSize w:val="1"/>
      <w:tblCellMar>
        <w:top w:w="0" w:type="dxa"/>
        <w:left w:w="115" w:type="dxa"/>
        <w:bottom w:w="0" w:type="dxa"/>
        <w:right w:w="115" w:type="dxa"/>
      </w:tblCellMar>
    </w:tblPr>
  </w:style>
  <w:style w:type="table" w:customStyle="1" w:styleId="1">
    <w:name w:val="1"/>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7A6319"/>
    <w:pPr>
      <w:tabs>
        <w:tab w:val="center" w:pos="4419"/>
        <w:tab w:val="right" w:pos="8838"/>
      </w:tabs>
    </w:pPr>
  </w:style>
  <w:style w:type="character" w:customStyle="1" w:styleId="PiedepginaCar">
    <w:name w:val="Pie de página Car"/>
    <w:basedOn w:val="Fuentedeprrafopredeter"/>
    <w:link w:val="Piedepgina"/>
    <w:uiPriority w:val="99"/>
    <w:rsid w:val="007A6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33</Pages>
  <Words>8065</Words>
  <Characters>44360</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 jesus mejia bernal</dc:creator>
  <cp:lastModifiedBy>INFOEM557</cp:lastModifiedBy>
  <cp:revision>7</cp:revision>
  <cp:lastPrinted>2026-02-27T16:47:00Z</cp:lastPrinted>
  <dcterms:created xsi:type="dcterms:W3CDTF">2026-02-26T14:32:00Z</dcterms:created>
  <dcterms:modified xsi:type="dcterms:W3CDTF">2026-04-07T18:51:00Z</dcterms:modified>
</cp:coreProperties>
</file>