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617F2C" w:rsidRDefault="009D3673" w:rsidP="003E42B6">
      <w:pPr>
        <w:tabs>
          <w:tab w:val="left" w:pos="3465"/>
        </w:tabs>
        <w:spacing w:line="360" w:lineRule="auto"/>
        <w:ind w:right="49"/>
        <w:jc w:val="both"/>
        <w:rPr>
          <w:rFonts w:ascii="Palatino Linotype" w:eastAsia="Palatino Linotype" w:hAnsi="Palatino Linotype" w:cs="Palatino Linotype"/>
        </w:rPr>
      </w:pPr>
      <w:r w:rsidRPr="00617F2C">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617F2C">
        <w:rPr>
          <w:rFonts w:ascii="Palatino Linotype" w:eastAsia="Palatino Linotype" w:hAnsi="Palatino Linotype" w:cs="Palatino Linotype"/>
        </w:rPr>
        <w:t xml:space="preserve">tado de México; de fecha </w:t>
      </w:r>
      <w:r w:rsidR="00235EA0" w:rsidRPr="00617F2C">
        <w:rPr>
          <w:rFonts w:ascii="Palatino Linotype" w:eastAsia="Palatino Linotype" w:hAnsi="Palatino Linotype" w:cs="Palatino Linotype"/>
        </w:rPr>
        <w:t>trece</w:t>
      </w:r>
      <w:r w:rsidR="00617F2C">
        <w:rPr>
          <w:rFonts w:ascii="Palatino Linotype" w:eastAsia="Palatino Linotype" w:hAnsi="Palatino Linotype" w:cs="Palatino Linotype"/>
        </w:rPr>
        <w:t xml:space="preserve"> (13)</w:t>
      </w:r>
      <w:r w:rsidR="004B5F96" w:rsidRPr="00617F2C">
        <w:rPr>
          <w:rFonts w:ascii="Palatino Linotype" w:eastAsia="Palatino Linotype" w:hAnsi="Palatino Linotype" w:cs="Palatino Linotype"/>
        </w:rPr>
        <w:t xml:space="preserve"> de </w:t>
      </w:r>
      <w:r w:rsidR="00955388" w:rsidRPr="00617F2C">
        <w:rPr>
          <w:rFonts w:ascii="Palatino Linotype" w:eastAsia="Palatino Linotype" w:hAnsi="Palatino Linotype" w:cs="Palatino Linotype"/>
        </w:rPr>
        <w:t>mayo</w:t>
      </w:r>
      <w:r w:rsidR="007D013F" w:rsidRPr="00617F2C">
        <w:rPr>
          <w:rFonts w:ascii="Palatino Linotype" w:eastAsia="Palatino Linotype" w:hAnsi="Palatino Linotype" w:cs="Palatino Linotype"/>
        </w:rPr>
        <w:t xml:space="preserve"> de dos mil veintiséis</w:t>
      </w:r>
      <w:r w:rsidRPr="00617F2C">
        <w:rPr>
          <w:rFonts w:ascii="Palatino Linotype" w:eastAsia="Palatino Linotype" w:hAnsi="Palatino Linotype" w:cs="Palatino Linotype"/>
        </w:rPr>
        <w:t>.</w:t>
      </w:r>
    </w:p>
    <w:p w:rsidR="00B84DF1" w:rsidRPr="00617F2C" w:rsidRDefault="00B84DF1" w:rsidP="003E42B6">
      <w:pPr>
        <w:tabs>
          <w:tab w:val="left" w:pos="3465"/>
        </w:tabs>
        <w:spacing w:line="360" w:lineRule="auto"/>
        <w:ind w:right="49"/>
        <w:jc w:val="both"/>
        <w:rPr>
          <w:rFonts w:ascii="Palatino Linotype" w:eastAsia="Palatino Linotype" w:hAnsi="Palatino Linotype" w:cs="Palatino Linotype"/>
        </w:rPr>
      </w:pPr>
    </w:p>
    <w:p w:rsidR="00B84DF1" w:rsidRPr="00617F2C" w:rsidRDefault="009D3673" w:rsidP="003E42B6">
      <w:pPr>
        <w:spacing w:line="360" w:lineRule="auto"/>
        <w:ind w:right="49"/>
        <w:jc w:val="both"/>
        <w:rPr>
          <w:rFonts w:ascii="Palatino Linotype" w:eastAsia="Palatino Linotype" w:hAnsi="Palatino Linotype" w:cs="Palatino Linotype"/>
        </w:rPr>
      </w:pPr>
      <w:r w:rsidRPr="00617F2C">
        <w:rPr>
          <w:rFonts w:ascii="Palatino Linotype" w:eastAsia="Palatino Linotype" w:hAnsi="Palatino Linotype" w:cs="Palatino Linotype"/>
          <w:b/>
        </w:rPr>
        <w:t xml:space="preserve">VISTAS </w:t>
      </w:r>
      <w:r w:rsidRPr="00617F2C">
        <w:rPr>
          <w:rFonts w:ascii="Palatino Linotype" w:eastAsia="Palatino Linotype" w:hAnsi="Palatino Linotype" w:cs="Palatino Linotype"/>
        </w:rPr>
        <w:t xml:space="preserve">las constancias para resolver el Recurso de Revisión </w:t>
      </w:r>
      <w:r w:rsidR="00955388" w:rsidRPr="00617F2C">
        <w:rPr>
          <w:rFonts w:ascii="Palatino Linotype" w:eastAsia="Palatino Linotype" w:hAnsi="Palatino Linotype" w:cs="Palatino Linotype"/>
          <w:b/>
        </w:rPr>
        <w:t>12943/INFOEM/ICR-29/IP/RR/2025</w:t>
      </w:r>
      <w:r w:rsidRPr="00617F2C">
        <w:rPr>
          <w:rFonts w:ascii="Palatino Linotype" w:eastAsia="Palatino Linotype" w:hAnsi="Palatino Linotype" w:cs="Palatino Linotype"/>
          <w:b/>
        </w:rPr>
        <w:t>,</w:t>
      </w:r>
      <w:r w:rsidRPr="00617F2C">
        <w:rPr>
          <w:rFonts w:ascii="Palatino Linotype" w:eastAsia="Palatino Linotype" w:hAnsi="Palatino Linotype" w:cs="Palatino Linotype"/>
        </w:rPr>
        <w:t xml:space="preserve"> presentado por </w:t>
      </w:r>
      <w:r w:rsidR="00680F71" w:rsidRPr="00617F2C">
        <w:rPr>
          <w:rFonts w:ascii="Palatino Linotype" w:eastAsia="Palatino Linotype" w:hAnsi="Palatino Linotype" w:cs="Palatino Linotype"/>
          <w:b/>
        </w:rPr>
        <w:t>una persona que no aportó datos de identificación</w:t>
      </w:r>
      <w:r w:rsidRPr="00617F2C">
        <w:rPr>
          <w:rFonts w:ascii="Palatino Linotype" w:eastAsia="Palatino Linotype" w:hAnsi="Palatino Linotype" w:cs="Palatino Linotype"/>
          <w:b/>
        </w:rPr>
        <w:t>,</w:t>
      </w:r>
      <w:r w:rsidRPr="00617F2C">
        <w:rPr>
          <w:rFonts w:ascii="Palatino Linotype" w:eastAsia="Palatino Linotype" w:hAnsi="Palatino Linotype" w:cs="Palatino Linotype"/>
        </w:rPr>
        <w:t xml:space="preserve"> a quie</w:t>
      </w:r>
      <w:r w:rsidR="0064652D" w:rsidRPr="00617F2C">
        <w:rPr>
          <w:rFonts w:ascii="Palatino Linotype" w:eastAsia="Palatino Linotype" w:hAnsi="Palatino Linotype" w:cs="Palatino Linotype"/>
        </w:rPr>
        <w:t xml:space="preserve">n en lo sucesivo se denominará </w:t>
      </w:r>
      <w:r w:rsidRPr="00617F2C">
        <w:rPr>
          <w:rFonts w:ascii="Palatino Linotype" w:eastAsia="Palatino Linotype" w:hAnsi="Palatino Linotype" w:cs="Palatino Linotype"/>
          <w:b/>
        </w:rPr>
        <w:t>L</w:t>
      </w:r>
      <w:r w:rsidR="00716EDF" w:rsidRPr="00617F2C">
        <w:rPr>
          <w:rFonts w:ascii="Palatino Linotype" w:eastAsia="Palatino Linotype" w:hAnsi="Palatino Linotype" w:cs="Palatino Linotype"/>
          <w:b/>
        </w:rPr>
        <w:t>A</w:t>
      </w:r>
      <w:r w:rsidRPr="00617F2C">
        <w:rPr>
          <w:rFonts w:ascii="Palatino Linotype" w:eastAsia="Palatino Linotype" w:hAnsi="Palatino Linotype" w:cs="Palatino Linotype"/>
          <w:b/>
        </w:rPr>
        <w:t xml:space="preserve"> RECURRENTE</w:t>
      </w:r>
      <w:r w:rsidRPr="00617F2C">
        <w:rPr>
          <w:rFonts w:ascii="Palatino Linotype" w:eastAsia="Palatino Linotype" w:hAnsi="Palatino Linotype" w:cs="Palatino Linotype"/>
        </w:rPr>
        <w:t>, en contra</w:t>
      </w:r>
      <w:r w:rsidR="00EF2A28" w:rsidRPr="00617F2C">
        <w:rPr>
          <w:rFonts w:ascii="Palatino Linotype" w:eastAsia="Palatino Linotype" w:hAnsi="Palatino Linotype" w:cs="Palatino Linotype"/>
        </w:rPr>
        <w:t xml:space="preserve"> de la respuesta otorgada a la Solicitud de I</w:t>
      </w:r>
      <w:r w:rsidRPr="00617F2C">
        <w:rPr>
          <w:rFonts w:ascii="Palatino Linotype" w:eastAsia="Palatino Linotype" w:hAnsi="Palatino Linotype" w:cs="Palatino Linotype"/>
        </w:rPr>
        <w:t xml:space="preserve">nformación con número de folio </w:t>
      </w:r>
      <w:r w:rsidR="00955388" w:rsidRPr="00617F2C">
        <w:rPr>
          <w:rFonts w:ascii="Palatino Linotype" w:eastAsia="Palatino Linotype" w:hAnsi="Palatino Linotype" w:cs="Palatino Linotype"/>
          <w:b/>
        </w:rPr>
        <w:t>00605/TEPOTZOT/IP/2025</w:t>
      </w:r>
      <w:r w:rsidRPr="00617F2C">
        <w:rPr>
          <w:rFonts w:ascii="Palatino Linotype" w:eastAsia="Palatino Linotype" w:hAnsi="Palatino Linotype" w:cs="Palatino Linotype"/>
        </w:rPr>
        <w:t>, por parte de</w:t>
      </w:r>
      <w:r w:rsidR="004B5F96" w:rsidRPr="00617F2C">
        <w:rPr>
          <w:rFonts w:ascii="Palatino Linotype" w:eastAsia="Palatino Linotype" w:hAnsi="Palatino Linotype" w:cs="Palatino Linotype"/>
        </w:rPr>
        <w:t xml:space="preserve"> </w:t>
      </w:r>
      <w:r w:rsidRPr="00617F2C">
        <w:rPr>
          <w:rFonts w:ascii="Palatino Linotype" w:eastAsia="Palatino Linotype" w:hAnsi="Palatino Linotype" w:cs="Palatino Linotype"/>
        </w:rPr>
        <w:t>l</w:t>
      </w:r>
      <w:r w:rsidR="004B5F96" w:rsidRPr="00617F2C">
        <w:rPr>
          <w:rFonts w:ascii="Palatino Linotype" w:eastAsia="Palatino Linotype" w:hAnsi="Palatino Linotype" w:cs="Palatino Linotype"/>
        </w:rPr>
        <w:t>a</w:t>
      </w:r>
      <w:r w:rsidRPr="00617F2C">
        <w:rPr>
          <w:rFonts w:ascii="Palatino Linotype" w:eastAsia="Palatino Linotype" w:hAnsi="Palatino Linotype" w:cs="Palatino Linotype"/>
        </w:rPr>
        <w:t xml:space="preserve"> </w:t>
      </w:r>
      <w:r w:rsidR="00955388" w:rsidRPr="00617F2C">
        <w:rPr>
          <w:rFonts w:ascii="Palatino Linotype" w:eastAsia="Palatino Linotype" w:hAnsi="Palatino Linotype" w:cs="Palatino Linotype"/>
          <w:b/>
        </w:rPr>
        <w:t>Ayuntamiento de Tepotzotlán</w:t>
      </w:r>
      <w:r w:rsidRPr="00617F2C">
        <w:rPr>
          <w:rFonts w:ascii="Palatino Linotype" w:eastAsia="Palatino Linotype" w:hAnsi="Palatino Linotype" w:cs="Palatino Linotype"/>
          <w:b/>
        </w:rPr>
        <w:t xml:space="preserve">, </w:t>
      </w:r>
      <w:r w:rsidRPr="00617F2C">
        <w:rPr>
          <w:rFonts w:ascii="Palatino Linotype" w:eastAsia="Palatino Linotype" w:hAnsi="Palatino Linotype" w:cs="Palatino Linotype"/>
        </w:rPr>
        <w:t xml:space="preserve">en adelante </w:t>
      </w:r>
      <w:r w:rsidRPr="00617F2C">
        <w:rPr>
          <w:rFonts w:ascii="Palatino Linotype" w:eastAsia="Palatino Linotype" w:hAnsi="Palatino Linotype" w:cs="Palatino Linotype"/>
          <w:b/>
        </w:rPr>
        <w:t>EL SUJETO OBLIGADO,</w:t>
      </w:r>
      <w:r w:rsidRPr="00617F2C">
        <w:rPr>
          <w:rFonts w:ascii="Palatino Linotype" w:eastAsia="Palatino Linotype" w:hAnsi="Palatino Linotype" w:cs="Palatino Linotype"/>
        </w:rPr>
        <w:t xml:space="preserve"> se emite la presente </w:t>
      </w:r>
      <w:r w:rsidR="0081462E" w:rsidRPr="00617F2C">
        <w:rPr>
          <w:rFonts w:ascii="Palatino Linotype" w:eastAsia="Palatino Linotype" w:hAnsi="Palatino Linotype" w:cs="Palatino Linotype"/>
        </w:rPr>
        <w:t>R</w:t>
      </w:r>
      <w:r w:rsidRPr="00617F2C">
        <w:rPr>
          <w:rFonts w:ascii="Palatino Linotype" w:eastAsia="Palatino Linotype" w:hAnsi="Palatino Linotype" w:cs="Palatino Linotype"/>
        </w:rPr>
        <w:t>esolución con base en los siguientes:</w:t>
      </w:r>
    </w:p>
    <w:p w:rsidR="00B84DF1" w:rsidRPr="00617F2C" w:rsidRDefault="00B84DF1" w:rsidP="003E42B6">
      <w:pPr>
        <w:spacing w:line="360" w:lineRule="auto"/>
        <w:ind w:right="49"/>
        <w:jc w:val="both"/>
        <w:rPr>
          <w:rFonts w:ascii="Palatino Linotype" w:eastAsia="Palatino Linotype" w:hAnsi="Palatino Linotype" w:cs="Palatino Linotype"/>
        </w:rPr>
      </w:pPr>
    </w:p>
    <w:p w:rsidR="00B84DF1" w:rsidRPr="00617F2C" w:rsidRDefault="009D3673" w:rsidP="003E42B6">
      <w:pPr>
        <w:pStyle w:val="Ttulo1"/>
        <w:spacing w:before="0" w:line="360" w:lineRule="auto"/>
        <w:ind w:right="49"/>
        <w:jc w:val="center"/>
        <w:rPr>
          <w:rFonts w:ascii="Palatino Linotype" w:eastAsia="Palatino Linotype" w:hAnsi="Palatino Linotype" w:cs="Palatino Linotype"/>
          <w:b/>
          <w:color w:val="000000"/>
          <w:sz w:val="24"/>
          <w:szCs w:val="24"/>
        </w:rPr>
      </w:pPr>
      <w:bookmarkStart w:id="0" w:name="_heading=h.gjdgxs" w:colFirst="0" w:colLast="0"/>
      <w:bookmarkEnd w:id="0"/>
      <w:r w:rsidRPr="00617F2C">
        <w:rPr>
          <w:rFonts w:ascii="Palatino Linotype" w:eastAsia="Palatino Linotype" w:hAnsi="Palatino Linotype" w:cs="Palatino Linotype"/>
          <w:b/>
          <w:color w:val="000000"/>
          <w:sz w:val="24"/>
          <w:szCs w:val="24"/>
        </w:rPr>
        <w:t>A N T E C E D E N T E S</w:t>
      </w:r>
    </w:p>
    <w:p w:rsidR="00B84DF1" w:rsidRPr="00617F2C" w:rsidRDefault="00B84DF1" w:rsidP="003E42B6">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617F2C" w:rsidRDefault="009D3673" w:rsidP="003E42B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El día</w:t>
      </w:r>
      <w:r w:rsidRPr="00617F2C">
        <w:rPr>
          <w:rFonts w:ascii="Palatino Linotype" w:eastAsia="Palatino Linotype" w:hAnsi="Palatino Linotype" w:cs="Palatino Linotype"/>
          <w:b/>
          <w:color w:val="000000"/>
        </w:rPr>
        <w:t xml:space="preserve"> </w:t>
      </w:r>
      <w:r w:rsidR="00955388" w:rsidRPr="00617F2C">
        <w:rPr>
          <w:rFonts w:ascii="Palatino Linotype" w:eastAsia="Palatino Linotype" w:hAnsi="Palatino Linotype" w:cs="Palatino Linotype"/>
          <w:b/>
          <w:color w:val="000000"/>
        </w:rPr>
        <w:t>seis</w:t>
      </w:r>
      <w:r w:rsidR="00172F33" w:rsidRPr="00617F2C">
        <w:rPr>
          <w:rFonts w:ascii="Palatino Linotype" w:eastAsia="Palatino Linotype" w:hAnsi="Palatino Linotype" w:cs="Palatino Linotype"/>
          <w:b/>
          <w:color w:val="000000"/>
        </w:rPr>
        <w:t xml:space="preserve"> de o</w:t>
      </w:r>
      <w:r w:rsidR="00955388" w:rsidRPr="00617F2C">
        <w:rPr>
          <w:rFonts w:ascii="Palatino Linotype" w:eastAsia="Palatino Linotype" w:hAnsi="Palatino Linotype" w:cs="Palatino Linotype"/>
          <w:b/>
          <w:color w:val="000000"/>
        </w:rPr>
        <w:t>ctubre</w:t>
      </w:r>
      <w:r w:rsidRPr="00617F2C">
        <w:rPr>
          <w:rFonts w:ascii="Palatino Linotype" w:eastAsia="Palatino Linotype" w:hAnsi="Palatino Linotype" w:cs="Palatino Linotype"/>
          <w:b/>
          <w:color w:val="000000"/>
        </w:rPr>
        <w:t xml:space="preserve"> dos mil veintic</w:t>
      </w:r>
      <w:r w:rsidR="00AC01CA" w:rsidRPr="00617F2C">
        <w:rPr>
          <w:rFonts w:ascii="Palatino Linotype" w:eastAsia="Palatino Linotype" w:hAnsi="Palatino Linotype" w:cs="Palatino Linotype"/>
          <w:b/>
          <w:color w:val="000000"/>
        </w:rPr>
        <w:t>inco</w:t>
      </w:r>
      <w:r w:rsidRPr="00617F2C">
        <w:rPr>
          <w:rFonts w:ascii="Palatino Linotype" w:eastAsia="Palatino Linotype" w:hAnsi="Palatino Linotype" w:cs="Palatino Linotype"/>
          <w:color w:val="000000"/>
        </w:rPr>
        <w:t>,</w:t>
      </w:r>
      <w:r w:rsidRPr="00617F2C">
        <w:rPr>
          <w:rFonts w:ascii="Palatino Linotype" w:eastAsia="Palatino Linotype" w:hAnsi="Palatino Linotype" w:cs="Palatino Linotype"/>
          <w:b/>
          <w:color w:val="000000"/>
        </w:rPr>
        <w:t xml:space="preserve"> </w:t>
      </w:r>
      <w:r w:rsidRPr="00617F2C">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B84DF1" w:rsidRPr="00617F2C" w:rsidRDefault="00B84DF1" w:rsidP="003E42B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617F2C" w:rsidRDefault="009D3673" w:rsidP="00FA5405">
      <w:pPr>
        <w:pBdr>
          <w:top w:val="nil"/>
          <w:left w:val="nil"/>
          <w:bottom w:val="nil"/>
          <w:right w:val="nil"/>
          <w:between w:val="nil"/>
        </w:pBdr>
        <w:spacing w:line="360" w:lineRule="auto"/>
        <w:ind w:left="425" w:right="474"/>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w:t>
      </w:r>
      <w:r w:rsidR="00955388" w:rsidRPr="00617F2C">
        <w:rPr>
          <w:rFonts w:ascii="Palatino Linotype" w:eastAsia="Palatino Linotype" w:hAnsi="Palatino Linotype" w:cs="Palatino Linotype"/>
          <w:i/>
        </w:rPr>
        <w:t>Los nombres comoletos, cargos, imagen de sus gafetes y funciones de las personas a las que el municipio les pagó en el 2024, 2023 y 2022 con recursos públicos los estudios de maestría indicando el sueldo que actualmente tienen.</w:t>
      </w:r>
      <w:r w:rsidRPr="00617F2C">
        <w:rPr>
          <w:rFonts w:ascii="Palatino Linotype" w:eastAsia="Palatino Linotype" w:hAnsi="Palatino Linotype" w:cs="Palatino Linotype"/>
          <w:i/>
          <w:color w:val="000000"/>
        </w:rPr>
        <w:t>”</w:t>
      </w:r>
    </w:p>
    <w:p w:rsidR="00955388" w:rsidRPr="00617F2C" w:rsidRDefault="00955388" w:rsidP="00FA5405">
      <w:pPr>
        <w:pBdr>
          <w:top w:val="nil"/>
          <w:left w:val="nil"/>
          <w:bottom w:val="nil"/>
          <w:right w:val="nil"/>
          <w:between w:val="nil"/>
        </w:pBdr>
        <w:spacing w:line="360" w:lineRule="auto"/>
        <w:ind w:left="425" w:right="474"/>
        <w:jc w:val="both"/>
        <w:rPr>
          <w:rFonts w:ascii="Palatino Linotype" w:eastAsia="Palatino Linotype" w:hAnsi="Palatino Linotype" w:cs="Palatino Linotype"/>
          <w:i/>
          <w:color w:val="000000"/>
        </w:rPr>
      </w:pPr>
    </w:p>
    <w:p w:rsidR="00B84DF1" w:rsidRPr="00617F2C" w:rsidRDefault="009D3673" w:rsidP="003E42B6">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Se eligió como modalidad de entrega de la información: </w:t>
      </w:r>
      <w:r w:rsidR="00CB1566" w:rsidRPr="00617F2C">
        <w:rPr>
          <w:rFonts w:ascii="Palatino Linotype" w:eastAsia="Palatino Linotype" w:hAnsi="Palatino Linotype" w:cs="Palatino Linotype"/>
          <w:b/>
          <w:color w:val="000000"/>
        </w:rPr>
        <w:t>a través de SAIMEX</w:t>
      </w:r>
    </w:p>
    <w:p w:rsidR="00CB1566" w:rsidRPr="00617F2C" w:rsidRDefault="00955388" w:rsidP="0095538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color w:val="000000"/>
        </w:rPr>
        <w:lastRenderedPageBreak/>
        <w:t xml:space="preserve">El </w:t>
      </w:r>
      <w:r w:rsidRPr="00617F2C">
        <w:rPr>
          <w:rFonts w:ascii="Palatino Linotype" w:hAnsi="Palatino Linotype"/>
          <w:b/>
        </w:rPr>
        <w:t xml:space="preserve">SUJETO OBLIGADO, </w:t>
      </w:r>
      <w:r w:rsidRPr="00617F2C">
        <w:rPr>
          <w:rFonts w:ascii="Palatino Linotype" w:hAnsi="Palatino Linotype"/>
        </w:rPr>
        <w:t>fue omiso en emitir una respuesta, lo que motivo que en fecha diez noviembre de dos mil veinticinco, el solicitante interpusiera recurso de revisión</w:t>
      </w:r>
      <w:r w:rsidR="00CB1566" w:rsidRPr="00617F2C">
        <w:rPr>
          <w:rFonts w:ascii="Palatino Linotype" w:eastAsia="Palatino Linotype" w:hAnsi="Palatino Linotype" w:cs="Palatino Linotype"/>
        </w:rPr>
        <w:t xml:space="preserve"> a través de </w:t>
      </w:r>
      <w:r w:rsidR="00CB1566" w:rsidRPr="00617F2C">
        <w:rPr>
          <w:rFonts w:ascii="Palatino Linotype" w:eastAsia="Palatino Linotype" w:hAnsi="Palatino Linotype" w:cs="Palatino Linotype"/>
          <w:b/>
        </w:rPr>
        <w:t xml:space="preserve">SAIMEX, </w:t>
      </w:r>
      <w:r w:rsidR="00CB1566" w:rsidRPr="00617F2C">
        <w:rPr>
          <w:rFonts w:ascii="Palatino Linotype" w:eastAsia="Palatino Linotype" w:hAnsi="Palatino Linotype" w:cs="Palatino Linotype"/>
        </w:rPr>
        <w:t xml:space="preserve">en donde se manifestó </w:t>
      </w:r>
      <w:r w:rsidR="001D7945" w:rsidRPr="00617F2C">
        <w:rPr>
          <w:rFonts w:ascii="Palatino Linotype" w:eastAsia="Palatino Linotype" w:hAnsi="Palatino Linotype" w:cs="Palatino Linotype"/>
        </w:rPr>
        <w:t>lo siguiente</w:t>
      </w:r>
      <w:r w:rsidR="00CB1566" w:rsidRPr="00617F2C">
        <w:rPr>
          <w:rFonts w:ascii="Palatino Linotype" w:eastAsia="Palatino Linotype" w:hAnsi="Palatino Linotype" w:cs="Palatino Linotype"/>
        </w:rPr>
        <w:t>:</w:t>
      </w:r>
    </w:p>
    <w:p w:rsidR="00CB1566" w:rsidRPr="00617F2C" w:rsidRDefault="00CB1566" w:rsidP="003E42B6">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617F2C" w:rsidRDefault="00CB1566" w:rsidP="003E42B6">
      <w:pPr>
        <w:tabs>
          <w:tab w:val="left" w:pos="2745"/>
        </w:tabs>
        <w:spacing w:line="360" w:lineRule="auto"/>
        <w:ind w:left="851" w:right="616"/>
        <w:jc w:val="both"/>
        <w:rPr>
          <w:rFonts w:ascii="Palatino Linotype" w:eastAsia="Palatino Linotype" w:hAnsi="Palatino Linotype" w:cs="Palatino Linotype"/>
          <w:b/>
        </w:rPr>
      </w:pPr>
      <w:r w:rsidRPr="00617F2C">
        <w:rPr>
          <w:rFonts w:ascii="Palatino Linotype" w:eastAsia="Palatino Linotype" w:hAnsi="Palatino Linotype" w:cs="Palatino Linotype"/>
          <w:b/>
        </w:rPr>
        <w:t xml:space="preserve">Acto impugnado: </w:t>
      </w:r>
    </w:p>
    <w:p w:rsidR="00CB1566" w:rsidRPr="00617F2C" w:rsidRDefault="00CB1566" w:rsidP="003E42B6">
      <w:pPr>
        <w:tabs>
          <w:tab w:val="left" w:pos="2745"/>
        </w:tabs>
        <w:spacing w:line="360" w:lineRule="auto"/>
        <w:ind w:left="851" w:right="616"/>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r w:rsidR="00955388" w:rsidRPr="00617F2C">
        <w:rPr>
          <w:rFonts w:ascii="Palatino Linotype" w:eastAsia="Palatino Linotype" w:hAnsi="Palatino Linotype" w:cs="Palatino Linotype"/>
          <w:i/>
        </w:rPr>
        <w:t>La falta de respuesta a una solicitud de acceso a la información.</w:t>
      </w:r>
      <w:r w:rsidR="009F6E27" w:rsidRPr="00617F2C">
        <w:rPr>
          <w:rFonts w:ascii="Palatino Linotype" w:eastAsia="Palatino Linotype" w:hAnsi="Palatino Linotype" w:cs="Palatino Linotype"/>
          <w:i/>
        </w:rPr>
        <w:t>”</w:t>
      </w:r>
    </w:p>
    <w:p w:rsidR="00CB1566" w:rsidRPr="00617F2C" w:rsidRDefault="00CB1566" w:rsidP="003E42B6">
      <w:pPr>
        <w:tabs>
          <w:tab w:val="left" w:pos="2745"/>
        </w:tabs>
        <w:spacing w:line="360" w:lineRule="auto"/>
        <w:ind w:left="851" w:right="616"/>
        <w:jc w:val="both"/>
        <w:rPr>
          <w:rFonts w:ascii="Palatino Linotype" w:eastAsia="Palatino Linotype" w:hAnsi="Palatino Linotype" w:cs="Palatino Linotype"/>
          <w:i/>
        </w:rPr>
      </w:pPr>
    </w:p>
    <w:p w:rsidR="00CB1566" w:rsidRPr="00617F2C" w:rsidRDefault="00CB1566" w:rsidP="003E42B6">
      <w:pPr>
        <w:spacing w:line="360" w:lineRule="auto"/>
        <w:ind w:left="851" w:right="616"/>
        <w:jc w:val="both"/>
        <w:rPr>
          <w:rFonts w:ascii="Palatino Linotype" w:eastAsia="Palatino Linotype" w:hAnsi="Palatino Linotype" w:cs="Palatino Linotype"/>
        </w:rPr>
      </w:pPr>
      <w:bookmarkStart w:id="1" w:name="_heading=h.30j0zll" w:colFirst="0" w:colLast="0"/>
      <w:bookmarkEnd w:id="1"/>
      <w:r w:rsidRPr="00617F2C">
        <w:rPr>
          <w:rFonts w:ascii="Palatino Linotype" w:eastAsia="Palatino Linotype" w:hAnsi="Palatino Linotype" w:cs="Palatino Linotype"/>
          <w:b/>
        </w:rPr>
        <w:t>Razones o motivos de inconformidad</w:t>
      </w:r>
      <w:r w:rsidRPr="00617F2C">
        <w:rPr>
          <w:rFonts w:ascii="Palatino Linotype" w:eastAsia="Palatino Linotype" w:hAnsi="Palatino Linotype" w:cs="Palatino Linotype"/>
        </w:rPr>
        <w:t>:</w:t>
      </w:r>
    </w:p>
    <w:p w:rsidR="00CB1566" w:rsidRPr="00617F2C" w:rsidRDefault="00CB1566" w:rsidP="003E42B6">
      <w:pPr>
        <w:tabs>
          <w:tab w:val="left" w:pos="2745"/>
        </w:tabs>
        <w:spacing w:line="360" w:lineRule="auto"/>
        <w:ind w:left="851" w:right="616"/>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r w:rsidR="00955388" w:rsidRPr="00617F2C">
        <w:rPr>
          <w:rFonts w:ascii="Palatino Linotype" w:eastAsia="Palatino Linotype" w:hAnsi="Palatino Linotype" w:cs="Palatino Linotype"/>
          <w:i/>
        </w:rPr>
        <w:t>La falta de respuesta a una solicitud de acceso a la información, con lo que se configura una abuso de autoridad y una violación a los derechos de la ciudadanía.</w:t>
      </w:r>
      <w:r w:rsidR="009F6E27" w:rsidRPr="00617F2C">
        <w:rPr>
          <w:rFonts w:ascii="Palatino Linotype" w:eastAsia="Palatino Linotype" w:hAnsi="Palatino Linotype" w:cs="Palatino Linotype"/>
          <w:b/>
          <w:i/>
        </w:rPr>
        <w:t>”</w:t>
      </w:r>
    </w:p>
    <w:p w:rsidR="00AF6023" w:rsidRPr="00617F2C" w:rsidRDefault="00AF6023" w:rsidP="003E42B6">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rsidR="00B84DF1" w:rsidRPr="00617F2C" w:rsidRDefault="00CB1566"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rPr>
        <w:t>Con fecha</w:t>
      </w:r>
      <w:r w:rsidRPr="00617F2C">
        <w:rPr>
          <w:rFonts w:ascii="Palatino Linotype" w:eastAsia="Palatino Linotype" w:hAnsi="Palatino Linotype" w:cs="Palatino Linotype"/>
          <w:b/>
        </w:rPr>
        <w:t xml:space="preserve"> </w:t>
      </w:r>
      <w:r w:rsidR="00955388" w:rsidRPr="00617F2C">
        <w:rPr>
          <w:rFonts w:ascii="Palatino Linotype" w:eastAsia="Palatino Linotype" w:hAnsi="Palatino Linotype" w:cs="Palatino Linotype"/>
          <w:b/>
        </w:rPr>
        <w:t>dieciocho de noviembre</w:t>
      </w:r>
      <w:r w:rsidR="0090156E" w:rsidRPr="00617F2C">
        <w:rPr>
          <w:rFonts w:ascii="Palatino Linotype" w:eastAsia="Palatino Linotype" w:hAnsi="Palatino Linotype" w:cs="Palatino Linotype"/>
          <w:b/>
        </w:rPr>
        <w:t xml:space="preserve"> </w:t>
      </w:r>
      <w:r w:rsidRPr="00617F2C">
        <w:rPr>
          <w:rFonts w:ascii="Palatino Linotype" w:eastAsia="Palatino Linotype" w:hAnsi="Palatino Linotype" w:cs="Palatino Linotype"/>
          <w:b/>
        </w:rPr>
        <w:t xml:space="preserve">dos mil veinticinco, </w:t>
      </w:r>
      <w:r w:rsidRPr="00617F2C">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617F2C">
        <w:rPr>
          <w:rFonts w:ascii="Palatino Linotype" w:eastAsia="Palatino Linotype" w:hAnsi="Palatino Linotype" w:cs="Palatino Linotype"/>
          <w:b/>
        </w:rPr>
        <w:t xml:space="preserve">Sujeto Obligado </w:t>
      </w:r>
      <w:r w:rsidRPr="00617F2C">
        <w:rPr>
          <w:rFonts w:ascii="Palatino Linotype" w:eastAsia="Palatino Linotype" w:hAnsi="Palatino Linotype" w:cs="Palatino Linotype"/>
        </w:rPr>
        <w:t>presentara su informe justificado.</w:t>
      </w:r>
    </w:p>
    <w:p w:rsidR="00C273BD" w:rsidRPr="00617F2C" w:rsidRDefault="00C273BD" w:rsidP="003E42B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617F2C" w:rsidRDefault="00760330" w:rsidP="0054320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617F2C">
        <w:rPr>
          <w:rFonts w:ascii="Palatino Linotype" w:eastAsia="Palatino Linotype" w:hAnsi="Palatino Linotype" w:cs="Palatino Linotype"/>
          <w:color w:val="000000"/>
        </w:rPr>
        <w:t>E</w:t>
      </w:r>
      <w:r w:rsidR="00874872" w:rsidRPr="00617F2C">
        <w:rPr>
          <w:rFonts w:ascii="Palatino Linotype" w:eastAsia="Palatino Linotype" w:hAnsi="Palatino Linotype" w:cs="Palatino Linotype"/>
          <w:color w:val="000000"/>
        </w:rPr>
        <w:t>l</w:t>
      </w:r>
      <w:r w:rsidR="00874872" w:rsidRPr="00617F2C">
        <w:rPr>
          <w:rFonts w:ascii="Palatino Linotype" w:eastAsia="Palatino Linotype" w:hAnsi="Palatino Linotype" w:cs="Palatino Linotype"/>
          <w:b/>
          <w:color w:val="000000"/>
        </w:rPr>
        <w:t xml:space="preserve"> SUJETO OBLIGADO </w:t>
      </w:r>
      <w:r w:rsidR="00955388" w:rsidRPr="00617F2C">
        <w:rPr>
          <w:rFonts w:ascii="Palatino Linotype" w:eastAsia="Palatino Linotype" w:hAnsi="Palatino Linotype" w:cs="Palatino Linotype"/>
          <w:color w:val="000000"/>
        </w:rPr>
        <w:t>fue omiso en rendir el informe justificado correspondiente; por su parte, el solicitante fue omiso en realizar manifestaciones que a su derecho conviniera y asistiera, por lo que se decretó el cierre de instrucción en fecha uno de diciembre de dos mil veinticinco.</w:t>
      </w:r>
    </w:p>
    <w:p w:rsidR="00617F2C" w:rsidRDefault="00617F2C" w:rsidP="00617F2C">
      <w:pPr>
        <w:pStyle w:val="Prrafodelista"/>
        <w:rPr>
          <w:rFonts w:ascii="Palatino Linotype" w:eastAsia="Palatino Linotype" w:hAnsi="Palatino Linotype" w:cs="Palatino Linotype"/>
          <w:b/>
          <w:color w:val="000000"/>
        </w:rPr>
      </w:pPr>
    </w:p>
    <w:p w:rsidR="00617F2C" w:rsidRPr="00617F2C" w:rsidRDefault="00617F2C" w:rsidP="00617F2C">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C52578" w:rsidRPr="00617F2C" w:rsidRDefault="00C52578" w:rsidP="00DA5C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lastRenderedPageBreak/>
        <w:t xml:space="preserve">En la Cuadragésima Cuarta Sesión Ordinaria, de fecha diez de diciembre de dos mil veinticinco, el Pleno de este Instituto aprobó la resolución que recayó al Recurso de Revisión </w:t>
      </w:r>
      <w:r w:rsidRPr="00617F2C">
        <w:rPr>
          <w:rFonts w:ascii="Palatino Linotype" w:eastAsia="Palatino Linotype" w:hAnsi="Palatino Linotype" w:cs="Palatino Linotype"/>
          <w:b/>
          <w:color w:val="000000"/>
        </w:rPr>
        <w:t>12943/INFOEM/IP/RR/2025</w:t>
      </w:r>
      <w:r w:rsidRPr="00617F2C">
        <w:rPr>
          <w:rFonts w:ascii="Palatino Linotype" w:eastAsia="Palatino Linotype" w:hAnsi="Palatino Linotype" w:cs="Palatino Linotype"/>
          <w:color w:val="000000"/>
        </w:rPr>
        <w:t>, misma que le fue notificada a la parte Recurrente en fecha quince de diciembre de dos mil veinticinco y, en la que se resolvió de manera general, lo siguiente:</w:t>
      </w:r>
    </w:p>
    <w:p w:rsidR="00DA5CA8" w:rsidRPr="00617F2C" w:rsidRDefault="00DA5CA8" w:rsidP="00DA5CA8">
      <w:pPr>
        <w:pStyle w:val="Prrafodelista"/>
        <w:rPr>
          <w:rFonts w:ascii="Palatino Linotype" w:eastAsia="Palatino Linotype" w:hAnsi="Palatino Linotype" w:cs="Palatino Linotype"/>
          <w:b/>
          <w:color w:val="000000"/>
        </w:rPr>
      </w:pP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 xml:space="preserve">“PRIMERO. Resultan fundadas las razones o motivos de inconformidad hechos valer por EL RECURRENTE, en términos del considerando TERCERO, de la presente resolución. SEGUNDO. Se ORDENA al Sujeto Obligado atienda la solicitud de información  folio  00605/TEPOTZOT/IP/2025, vía Sistema de Acceso a la Información Mexiquense (SAIMEX), en términos del Considerando TERCERO de esta resolución. </w:t>
      </w: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 xml:space="preserve">SEGUNDO. Se ORDENA al Sujeto Obligado atienda la solicitud de información  folio  00605/TEPOTZOT/IP/2025, vía Sistema de Acceso a la Información Mexiquense (SAIMEX), en términos del Considerando TERCERO de esta resolución. </w:t>
      </w: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w:t>
      </w:r>
    </w:p>
    <w:p w:rsidR="00C52578" w:rsidRPr="00617F2C" w:rsidRDefault="00C52578" w:rsidP="00C52578">
      <w:pPr>
        <w:pStyle w:val="Prrafodelista"/>
        <w:rPr>
          <w:rFonts w:ascii="Palatino Linotype" w:eastAsia="Palatino Linotype" w:hAnsi="Palatino Linotype" w:cs="Palatino Linotype"/>
          <w:b/>
          <w:color w:val="000000"/>
        </w:rPr>
      </w:pPr>
    </w:p>
    <w:p w:rsidR="00C52578" w:rsidRPr="00617F2C" w:rsidRDefault="00C52578" w:rsidP="00DA5C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En fecha</w:t>
      </w:r>
      <w:r w:rsidRPr="00617F2C">
        <w:rPr>
          <w:rFonts w:ascii="Palatino Linotype" w:eastAsia="Palatino Linotype" w:hAnsi="Palatino Linotype" w:cs="Palatino Linotype"/>
          <w:b/>
          <w:color w:val="000000"/>
        </w:rPr>
        <w:t xml:space="preserve"> cinco de enero de dos mil veintiséis, </w:t>
      </w:r>
      <w:r w:rsidRPr="00617F2C">
        <w:rPr>
          <w:rFonts w:ascii="Palatino Linotype" w:eastAsia="Palatino Linotype" w:hAnsi="Palatino Linotype" w:cs="Palatino Linotype"/>
          <w:color w:val="000000"/>
        </w:rPr>
        <w:t>el</w:t>
      </w:r>
      <w:r w:rsidRPr="00617F2C">
        <w:rPr>
          <w:rFonts w:ascii="Palatino Linotype" w:eastAsia="Palatino Linotype" w:hAnsi="Palatino Linotype" w:cs="Palatino Linotype"/>
          <w:b/>
          <w:color w:val="000000"/>
        </w:rPr>
        <w:t xml:space="preserve"> SUJETO OBLIGADO </w:t>
      </w:r>
      <w:r w:rsidR="00DA5CA8" w:rsidRPr="00617F2C">
        <w:rPr>
          <w:rFonts w:ascii="Palatino Linotype" w:eastAsia="Palatino Linotype" w:hAnsi="Palatino Linotype" w:cs="Palatino Linotype"/>
          <w:color w:val="000000"/>
        </w:rPr>
        <w:t>emitió</w:t>
      </w:r>
      <w:r w:rsidRPr="00617F2C">
        <w:rPr>
          <w:rFonts w:ascii="Palatino Linotype" w:eastAsia="Palatino Linotype" w:hAnsi="Palatino Linotype" w:cs="Palatino Linotype"/>
          <w:color w:val="000000"/>
        </w:rPr>
        <w:t xml:space="preserve"> una respuesta mediante la cual </w:t>
      </w:r>
      <w:r w:rsidR="00DA5CA8" w:rsidRPr="00617F2C">
        <w:rPr>
          <w:rFonts w:ascii="Palatino Linotype" w:eastAsia="Palatino Linotype" w:hAnsi="Palatino Linotype" w:cs="Palatino Linotype"/>
          <w:color w:val="000000"/>
        </w:rPr>
        <w:t>pretendió</w:t>
      </w:r>
      <w:r w:rsidRPr="00617F2C">
        <w:rPr>
          <w:rFonts w:ascii="Palatino Linotype" w:eastAsia="Palatino Linotype" w:hAnsi="Palatino Linotype" w:cs="Palatino Linotype"/>
          <w:color w:val="000000"/>
        </w:rPr>
        <w:t xml:space="preserve"> dar cumplimiento a la resolución emitida a través del archivo denominado </w:t>
      </w:r>
      <w:r w:rsidRPr="00617F2C">
        <w:rPr>
          <w:rFonts w:ascii="Palatino Linotype" w:eastAsia="Palatino Linotype" w:hAnsi="Palatino Linotype" w:cs="Palatino Linotype"/>
          <w:b/>
          <w:i/>
          <w:color w:val="000000"/>
        </w:rPr>
        <w:t>DAyF-499-2025.pdf</w:t>
      </w:r>
      <w:r w:rsidRPr="00617F2C">
        <w:rPr>
          <w:rFonts w:ascii="Palatino Linotype" w:eastAsia="Palatino Linotype" w:hAnsi="Palatino Linotype" w:cs="Palatino Linotype"/>
          <w:color w:val="000000"/>
        </w:rPr>
        <w:t>, cuyo co</w:t>
      </w:r>
      <w:r w:rsidR="00DA5CA8" w:rsidRPr="00617F2C">
        <w:rPr>
          <w:rFonts w:ascii="Palatino Linotype" w:eastAsia="Palatino Linotype" w:hAnsi="Palatino Linotype" w:cs="Palatino Linotype"/>
          <w:color w:val="000000"/>
        </w:rPr>
        <w:t>ntenido corresponde a un oficio</w:t>
      </w:r>
      <w:r w:rsidRPr="00617F2C">
        <w:rPr>
          <w:rFonts w:ascii="Palatino Linotype" w:eastAsia="Palatino Linotype" w:hAnsi="Palatino Linotype" w:cs="Palatino Linotype"/>
          <w:color w:val="000000"/>
        </w:rPr>
        <w:t xml:space="preserve"> suscrito por el Director de Administración y Finanzas, mediante el cual informa del nombre, puesto, funciones y sueldo bruto de los servidores públicos a las que el Municipio pago en los años 2022 a 2024, estudios de maestría.</w:t>
      </w:r>
    </w:p>
    <w:p w:rsidR="00C52578" w:rsidRPr="00617F2C" w:rsidRDefault="00C52578" w:rsidP="00DA5CA8">
      <w:pPr>
        <w:pBdr>
          <w:top w:val="nil"/>
          <w:left w:val="nil"/>
          <w:bottom w:val="nil"/>
          <w:right w:val="nil"/>
          <w:between w:val="nil"/>
        </w:pBdr>
        <w:spacing w:line="360" w:lineRule="auto"/>
        <w:ind w:left="502" w:right="49"/>
        <w:jc w:val="both"/>
        <w:rPr>
          <w:rFonts w:ascii="Palatino Linotype" w:eastAsia="Palatino Linotype" w:hAnsi="Palatino Linotype" w:cs="Palatino Linotype"/>
          <w:b/>
          <w:color w:val="000000"/>
        </w:rPr>
      </w:pPr>
    </w:p>
    <w:p w:rsidR="00DA5CA8" w:rsidRPr="00617F2C" w:rsidRDefault="00C52578" w:rsidP="002365AB">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bCs/>
        </w:rPr>
      </w:pPr>
      <w:r w:rsidRPr="00617F2C">
        <w:rPr>
          <w:rFonts w:ascii="Palatino Linotype" w:eastAsia="Palatino Linotype" w:hAnsi="Palatino Linotype" w:cs="Palatino Linotype"/>
          <w:color w:val="000000"/>
        </w:rPr>
        <w:lastRenderedPageBreak/>
        <w:t>Inconforme con el pretendido cumplimiento, en fecha</w:t>
      </w:r>
      <w:r w:rsidR="00DA5CA8" w:rsidRPr="00617F2C">
        <w:rPr>
          <w:rFonts w:ascii="Palatino Linotype" w:eastAsia="Palatino Linotype" w:hAnsi="Palatino Linotype" w:cs="Palatino Linotype"/>
          <w:color w:val="000000"/>
        </w:rPr>
        <w:t xml:space="preserve"> veintiuno de enero del año en</w:t>
      </w:r>
      <w:r w:rsidR="00DA5CA8" w:rsidRPr="00617F2C">
        <w:rPr>
          <w:rFonts w:ascii="Palatino Linotype" w:eastAsia="Palatino Linotype" w:hAnsi="Palatino Linotype" w:cs="Palatino Linotype"/>
          <w:b/>
          <w:color w:val="000000"/>
        </w:rPr>
        <w:t xml:space="preserve"> </w:t>
      </w:r>
      <w:r w:rsidR="00DA5CA8" w:rsidRPr="00617F2C">
        <w:rPr>
          <w:rFonts w:ascii="Palatino Linotype" w:eastAsia="Palatino Linotype" w:hAnsi="Palatino Linotype" w:cs="Palatino Linotype"/>
          <w:color w:val="000000"/>
        </w:rPr>
        <w:t>curso</w:t>
      </w:r>
      <w:r w:rsidR="00DA5CA8" w:rsidRPr="00617F2C">
        <w:rPr>
          <w:rFonts w:ascii="Palatino Linotype" w:eastAsia="Palatino Linotype" w:hAnsi="Palatino Linotype" w:cs="Palatino Linotype"/>
          <w:b/>
          <w:color w:val="000000"/>
        </w:rPr>
        <w:t>, el RECURRENTE</w:t>
      </w:r>
      <w:r w:rsidR="00DA5CA8" w:rsidRPr="00617F2C">
        <w:rPr>
          <w:rFonts w:ascii="Palatino Linotype" w:eastAsia="Palatino Linotype" w:hAnsi="Palatino Linotype" w:cs="Palatino Linotype"/>
          <w:color w:val="000000"/>
        </w:rPr>
        <w:t xml:space="preserve"> interpuso segundo recurso de revisión,</w:t>
      </w:r>
      <w:r w:rsidR="00DA5CA8" w:rsidRPr="00617F2C">
        <w:rPr>
          <w:rFonts w:ascii="Palatino Linotype" w:hAnsi="Palatino Linotype" w:cs="Arial"/>
        </w:rPr>
        <w:t xml:space="preserve"> recurso de revisión al que le recayó el número </w:t>
      </w:r>
      <w:r w:rsidR="00DA5CA8" w:rsidRPr="00617F2C">
        <w:rPr>
          <w:rFonts w:ascii="Palatino Linotype" w:hAnsi="Palatino Linotype" w:cs="Arial"/>
          <w:b/>
          <w:bCs/>
          <w:lang w:val="es-419"/>
        </w:rPr>
        <w:t>12943/INFOEM/ICR-29/IP/RR/2025</w:t>
      </w:r>
      <w:r w:rsidR="00DA5CA8" w:rsidRPr="00617F2C">
        <w:rPr>
          <w:rFonts w:ascii="Palatino Linotype" w:hAnsi="Palatino Linotype" w:cs="Arial"/>
          <w:bCs/>
        </w:rPr>
        <w:t>, aduciendo lo siguiente:</w:t>
      </w:r>
    </w:p>
    <w:p w:rsidR="00955388" w:rsidRPr="00617F2C" w:rsidRDefault="00955388" w:rsidP="00DA5CA8">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b/>
          <w:color w:val="000000"/>
        </w:rPr>
      </w:pPr>
      <w:r w:rsidRPr="00617F2C">
        <w:rPr>
          <w:rFonts w:ascii="Palatino Linotype" w:eastAsia="Palatino Linotype" w:hAnsi="Palatino Linotype" w:cs="Palatino Linotype"/>
          <w:b/>
          <w:color w:val="000000"/>
        </w:rPr>
        <w:t>ACTO IMPUGNADO</w:t>
      </w:r>
      <w:r w:rsidRPr="00617F2C">
        <w:rPr>
          <w:rFonts w:ascii="Palatino Linotype" w:eastAsia="Palatino Linotype" w:hAnsi="Palatino Linotype" w:cs="Palatino Linotype"/>
          <w:b/>
          <w:color w:val="000000"/>
        </w:rPr>
        <w:tab/>
      </w: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Respuesta con información incompleta.</w:t>
      </w: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b/>
          <w:color w:val="000000"/>
        </w:rPr>
      </w:pP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b/>
          <w:color w:val="000000"/>
        </w:rPr>
      </w:pPr>
      <w:r w:rsidRPr="00617F2C">
        <w:rPr>
          <w:rFonts w:ascii="Palatino Linotype" w:eastAsia="Palatino Linotype" w:hAnsi="Palatino Linotype" w:cs="Palatino Linotype"/>
          <w:b/>
          <w:color w:val="000000"/>
        </w:rPr>
        <w:t>RAZONES O MOTIVOS DE LA INCONFORMIDAD</w:t>
      </w:r>
      <w:r w:rsidRPr="00617F2C">
        <w:rPr>
          <w:rFonts w:ascii="Palatino Linotype" w:eastAsia="Palatino Linotype" w:hAnsi="Palatino Linotype" w:cs="Palatino Linotype"/>
          <w:b/>
          <w:color w:val="000000"/>
        </w:rPr>
        <w:tab/>
      </w:r>
    </w:p>
    <w:p w:rsidR="00DA5CA8" w:rsidRPr="00617F2C" w:rsidRDefault="00DA5CA8" w:rsidP="00DA5CA8">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No se especifica sin los sueldos indicados son mensuales o quincenales. La información no tiene sustento algo, por lo que podrían haber inventado los sueldos, además, las personas mencionadas no tienen esos sueldos.</w:t>
      </w:r>
    </w:p>
    <w:p w:rsidR="00270D3E" w:rsidRPr="00617F2C" w:rsidRDefault="00270D3E" w:rsidP="00270D3E">
      <w:pPr>
        <w:pStyle w:val="Prrafodelista"/>
        <w:rPr>
          <w:rFonts w:ascii="Palatino Linotype" w:eastAsia="Palatino Linotype" w:hAnsi="Palatino Linotype" w:cs="Palatino Linotype"/>
          <w:b/>
          <w:color w:val="000000"/>
        </w:rPr>
      </w:pPr>
    </w:p>
    <w:p w:rsidR="002365AB" w:rsidRPr="00617F2C" w:rsidRDefault="002365AB" w:rsidP="002365AB">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617F2C">
        <w:rPr>
          <w:rFonts w:ascii="Palatino Linotype" w:hAnsi="Palatino Linotype" w:cs="Arial"/>
          <w:bCs/>
        </w:rPr>
        <w:t>Por lo que en esa misma fecha el expediente de mérito se turnó a la Comisionada Ponente de origen,</w:t>
      </w:r>
      <w:r w:rsidRPr="00617F2C">
        <w:rPr>
          <w:rFonts w:ascii="Palatino Linotype" w:hAnsi="Palatino Linotype" w:cs="Arial"/>
          <w:b/>
          <w:bCs/>
        </w:rPr>
        <w:t xml:space="preserve"> María del Rosario Mejía Ayala</w:t>
      </w:r>
      <w:r w:rsidRPr="00617F2C">
        <w:rPr>
          <w:rFonts w:ascii="Palatino Linotype" w:hAnsi="Palatino Linotype" w:cs="Arial"/>
          <w:bCs/>
        </w:rPr>
        <w:t>, a efecto de que desechara o admitiera el segundo Recurso de Revisión.</w:t>
      </w:r>
    </w:p>
    <w:p w:rsidR="002365AB" w:rsidRPr="00617F2C" w:rsidRDefault="002365AB" w:rsidP="002365AB">
      <w:pPr>
        <w:pBdr>
          <w:top w:val="nil"/>
          <w:left w:val="nil"/>
          <w:bottom w:val="nil"/>
          <w:right w:val="nil"/>
          <w:between w:val="nil"/>
        </w:pBdr>
        <w:spacing w:line="360" w:lineRule="auto"/>
        <w:ind w:right="49"/>
        <w:jc w:val="both"/>
        <w:rPr>
          <w:rFonts w:ascii="Palatino Linotype" w:hAnsi="Palatino Linotype" w:cs="Arial"/>
        </w:rPr>
      </w:pPr>
    </w:p>
    <w:p w:rsidR="00DA5CA8" w:rsidRPr="00617F2C" w:rsidRDefault="002365AB" w:rsidP="0054320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617F2C">
        <w:rPr>
          <w:rFonts w:ascii="Palatino Linotype" w:eastAsia="Palatino Linotype" w:hAnsi="Palatino Linotype" w:cs="Palatino Linotype"/>
          <w:bCs/>
          <w:color w:val="000000"/>
        </w:rPr>
        <w:t>En fecha</w:t>
      </w:r>
      <w:r w:rsidRPr="00617F2C">
        <w:rPr>
          <w:rFonts w:ascii="Palatino Linotype" w:eastAsia="Palatino Linotype" w:hAnsi="Palatino Linotype" w:cs="Palatino Linotype"/>
          <w:b/>
          <w:bCs/>
          <w:color w:val="000000"/>
        </w:rPr>
        <w:t xml:space="preserve"> tres de febrero de dos mil veintiséis, </w:t>
      </w:r>
      <w:r w:rsidRPr="00617F2C">
        <w:rPr>
          <w:rFonts w:ascii="Palatino Linotype" w:eastAsia="Palatino Linotype" w:hAnsi="Palatino Linotype" w:cs="Palatino Linotype"/>
          <w:bCs/>
          <w:color w:val="000000"/>
        </w:rPr>
        <w:t xml:space="preserve">se admitió a trámite el segundo recurso de revisión y se puso a disposición de las partes para que el </w:t>
      </w:r>
      <w:r w:rsidRPr="00617F2C">
        <w:rPr>
          <w:rFonts w:ascii="Palatino Linotype" w:eastAsia="Palatino Linotype" w:hAnsi="Palatino Linotype" w:cs="Palatino Linotype"/>
          <w:b/>
          <w:bCs/>
          <w:color w:val="000000"/>
        </w:rPr>
        <w:t>SUJETO OBLIGADO</w:t>
      </w:r>
      <w:r w:rsidRPr="00617F2C">
        <w:rPr>
          <w:rFonts w:ascii="Palatino Linotype" w:eastAsia="Palatino Linotype" w:hAnsi="Palatino Linotype" w:cs="Palatino Linotype"/>
          <w:bCs/>
          <w:color w:val="000000"/>
        </w:rPr>
        <w:t xml:space="preserve"> rindiera informe justificado y la parte</w:t>
      </w:r>
      <w:r w:rsidRPr="00617F2C">
        <w:rPr>
          <w:rFonts w:ascii="Palatino Linotype" w:eastAsia="Palatino Linotype" w:hAnsi="Palatino Linotype" w:cs="Palatino Linotype"/>
          <w:b/>
          <w:bCs/>
          <w:color w:val="000000"/>
        </w:rPr>
        <w:t xml:space="preserve"> RECURRENTE</w:t>
      </w:r>
      <w:r w:rsidRPr="00617F2C">
        <w:rPr>
          <w:rFonts w:ascii="Palatino Linotype" w:eastAsia="Palatino Linotype" w:hAnsi="Palatino Linotype" w:cs="Palatino Linotype"/>
          <w:bCs/>
          <w:color w:val="000000"/>
        </w:rPr>
        <w:t xml:space="preserve"> manifestara lo que a su derecho conviniera y asistiera; no obstante ambas partes fueron omisas.</w:t>
      </w:r>
    </w:p>
    <w:p w:rsidR="002365AB" w:rsidRPr="00617F2C" w:rsidRDefault="002365AB" w:rsidP="002365AB">
      <w:pPr>
        <w:pStyle w:val="Prrafodelista"/>
        <w:rPr>
          <w:rFonts w:ascii="Palatino Linotype" w:eastAsia="Palatino Linotype" w:hAnsi="Palatino Linotype" w:cs="Palatino Linotype"/>
          <w:b/>
          <w:bCs/>
          <w:color w:val="000000"/>
        </w:rPr>
      </w:pPr>
    </w:p>
    <w:p w:rsidR="00EF2A28" w:rsidRPr="00617F2C" w:rsidRDefault="002365AB" w:rsidP="00FD56E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617F2C">
        <w:rPr>
          <w:rFonts w:ascii="Palatino Linotype" w:hAnsi="Palatino Linotype" w:cs="Arial"/>
        </w:rPr>
        <w:t xml:space="preserve">Así, una vez </w:t>
      </w:r>
      <w:r w:rsidRPr="00617F2C">
        <w:rPr>
          <w:rFonts w:ascii="Palatino Linotype" w:eastAsia="Palatino Linotype" w:hAnsi="Palatino Linotype" w:cs="Palatino Linotype"/>
          <w:bCs/>
          <w:color w:val="000000"/>
        </w:rPr>
        <w:t>transcurrido</w:t>
      </w:r>
      <w:r w:rsidRPr="00617F2C">
        <w:rPr>
          <w:rFonts w:ascii="Palatino Linotype" w:hAnsi="Palatino Linotype" w:cs="Arial"/>
        </w:rPr>
        <w:t xml:space="preserve"> el término legal, se decretó el cierre de instrucción del recurso de revisión, en fecha </w:t>
      </w:r>
      <w:r w:rsidR="0095485A" w:rsidRPr="00617F2C">
        <w:rPr>
          <w:rFonts w:ascii="Palatino Linotype" w:hAnsi="Palatino Linotype" w:cs="Arial"/>
          <w:b/>
          <w:lang w:val="es-419"/>
        </w:rPr>
        <w:t>veintinueve de abril</w:t>
      </w:r>
      <w:r w:rsidR="0095485A" w:rsidRPr="00617F2C">
        <w:rPr>
          <w:rFonts w:ascii="Palatino Linotype" w:hAnsi="Palatino Linotype" w:cs="Arial"/>
          <w:b/>
        </w:rPr>
        <w:t xml:space="preserve"> de dos mil veintiséis</w:t>
      </w:r>
      <w:r w:rsidRPr="00617F2C">
        <w:rPr>
          <w:rFonts w:ascii="Palatino Linotype" w:hAnsi="Palatino Linotype" w:cs="Arial"/>
        </w:rPr>
        <w:t>, en términos del artículo 185 Fracción VI de la Ley de Transparencia y Acceso a la Información Pública del Estado de México y Municipios</w:t>
      </w:r>
      <w:r w:rsidR="0054320A" w:rsidRPr="00617F2C">
        <w:rPr>
          <w:rFonts w:ascii="Palatino Linotype" w:eastAsia="Palatino Linotype" w:hAnsi="Palatino Linotype" w:cs="Palatino Linotype"/>
          <w:color w:val="000000"/>
        </w:rPr>
        <w:t>, por lo que no habiendo más que hacer constar y</w:t>
      </w:r>
      <w:r w:rsidR="0095485A" w:rsidRPr="00617F2C">
        <w:rPr>
          <w:rFonts w:ascii="Palatino Linotype" w:eastAsia="Palatino Linotype" w:hAnsi="Palatino Linotype" w:cs="Palatino Linotype"/>
          <w:color w:val="000000"/>
        </w:rPr>
        <w:t>,</w:t>
      </w:r>
      <w:r w:rsidR="00617F2C">
        <w:rPr>
          <w:rFonts w:ascii="Palatino Linotype" w:eastAsia="Palatino Linotype" w:hAnsi="Palatino Linotype" w:cs="Palatino Linotype"/>
          <w:color w:val="000000"/>
        </w:rPr>
        <w:t xml:space="preserve"> ------------</w:t>
      </w:r>
    </w:p>
    <w:p w:rsidR="00B84DF1" w:rsidRPr="00617F2C" w:rsidRDefault="0095485A" w:rsidP="003E42B6">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617F2C">
        <w:rPr>
          <w:rFonts w:ascii="Palatino Linotype" w:eastAsia="Palatino Linotype" w:hAnsi="Palatino Linotype" w:cs="Palatino Linotype"/>
          <w:b/>
          <w:color w:val="000000"/>
        </w:rPr>
        <w:lastRenderedPageBreak/>
        <w:t>C O N S I D E R A N D O</w:t>
      </w:r>
    </w:p>
    <w:p w:rsidR="00B84DF1" w:rsidRPr="00617F2C" w:rsidRDefault="00B84DF1" w:rsidP="003E42B6">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617F2C" w:rsidRDefault="003B59FA" w:rsidP="003E42B6">
      <w:pPr>
        <w:pStyle w:val="Ttulo2"/>
        <w:spacing w:before="0" w:line="360" w:lineRule="auto"/>
        <w:ind w:right="49"/>
        <w:rPr>
          <w:rFonts w:ascii="Palatino Linotype" w:eastAsia="Palatino Linotype" w:hAnsi="Palatino Linotype" w:cs="Palatino Linotype"/>
          <w:b/>
          <w:color w:val="000000"/>
          <w:sz w:val="24"/>
          <w:szCs w:val="24"/>
        </w:rPr>
      </w:pPr>
      <w:bookmarkStart w:id="2" w:name="_heading=h.3znysh7" w:colFirst="0" w:colLast="0"/>
      <w:bookmarkEnd w:id="2"/>
      <w:r w:rsidRPr="00617F2C">
        <w:rPr>
          <w:rFonts w:ascii="Palatino Linotype" w:eastAsia="Palatino Linotype" w:hAnsi="Palatino Linotype" w:cs="Palatino Linotype"/>
          <w:b/>
          <w:color w:val="000000"/>
          <w:sz w:val="24"/>
          <w:szCs w:val="24"/>
        </w:rPr>
        <w:t>PRIMERO</w:t>
      </w:r>
      <w:r w:rsidR="009D3673" w:rsidRPr="00617F2C">
        <w:rPr>
          <w:rFonts w:ascii="Palatino Linotype" w:eastAsia="Palatino Linotype" w:hAnsi="Palatino Linotype" w:cs="Palatino Linotype"/>
          <w:b/>
          <w:color w:val="000000"/>
          <w:sz w:val="24"/>
          <w:szCs w:val="24"/>
        </w:rPr>
        <w:t>. Competencia</w:t>
      </w:r>
    </w:p>
    <w:p w:rsidR="00B84DF1" w:rsidRDefault="0090156E"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617F2C">
        <w:rPr>
          <w:rFonts w:ascii="Palatino Linotype" w:eastAsia="Palatino Linotype" w:hAnsi="Palatino Linotype" w:cs="Palatino Linotype"/>
        </w:rPr>
        <w:t>trigésimo</w:t>
      </w:r>
      <w:r w:rsidRPr="00617F2C">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17F2C" w:rsidRPr="00617F2C" w:rsidRDefault="00617F2C" w:rsidP="00617F2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617F2C" w:rsidRDefault="009D3673" w:rsidP="003E42B6">
      <w:pPr>
        <w:pStyle w:val="Ttulo2"/>
        <w:spacing w:before="0" w:line="360" w:lineRule="auto"/>
        <w:ind w:right="49"/>
        <w:rPr>
          <w:rFonts w:ascii="Palatino Linotype" w:eastAsia="Palatino Linotype" w:hAnsi="Palatino Linotype" w:cs="Palatino Linotype"/>
          <w:b/>
          <w:color w:val="000000"/>
          <w:sz w:val="24"/>
          <w:szCs w:val="24"/>
        </w:rPr>
      </w:pPr>
      <w:bookmarkStart w:id="3" w:name="_heading=h.2et92p0" w:colFirst="0" w:colLast="0"/>
      <w:bookmarkEnd w:id="3"/>
      <w:r w:rsidRPr="00617F2C">
        <w:rPr>
          <w:rFonts w:ascii="Palatino Linotype" w:eastAsia="Palatino Linotype" w:hAnsi="Palatino Linotype" w:cs="Palatino Linotype"/>
          <w:b/>
          <w:color w:val="000000"/>
          <w:sz w:val="24"/>
          <w:szCs w:val="24"/>
        </w:rPr>
        <w:t>SEGUND</w:t>
      </w:r>
      <w:r w:rsidR="003B59FA" w:rsidRPr="00617F2C">
        <w:rPr>
          <w:rFonts w:ascii="Palatino Linotype" w:eastAsia="Palatino Linotype" w:hAnsi="Palatino Linotype" w:cs="Palatino Linotype"/>
          <w:b/>
          <w:color w:val="000000"/>
          <w:sz w:val="24"/>
          <w:szCs w:val="24"/>
        </w:rPr>
        <w:t>O</w:t>
      </w:r>
      <w:r w:rsidRPr="00617F2C">
        <w:rPr>
          <w:rFonts w:ascii="Palatino Linotype" w:eastAsia="Palatino Linotype" w:hAnsi="Palatino Linotype" w:cs="Palatino Linotype"/>
          <w:b/>
          <w:color w:val="000000"/>
          <w:sz w:val="24"/>
          <w:szCs w:val="24"/>
        </w:rPr>
        <w:t>. Procedencia.</w:t>
      </w:r>
    </w:p>
    <w:p w:rsidR="00B84DF1" w:rsidRPr="00617F2C" w:rsidRDefault="009D3673"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Este Órgano Garante considera que el medio de impugnación reúne los requisitos de </w:t>
      </w:r>
      <w:r w:rsidRPr="00617F2C">
        <w:rPr>
          <w:rFonts w:ascii="Palatino Linotype" w:eastAsia="Palatino Linotype" w:hAnsi="Palatino Linotype" w:cs="Palatino Linotype"/>
          <w:color w:val="000000"/>
        </w:rPr>
        <w:t>procedencia</w:t>
      </w:r>
      <w:r w:rsidRPr="00617F2C">
        <w:rPr>
          <w:rFonts w:ascii="Palatino Linotype" w:eastAsia="Palatino Linotype" w:hAnsi="Palatino Linotype" w:cs="Palatino Linotype"/>
        </w:rPr>
        <w:t xml:space="preserve"> </w:t>
      </w:r>
      <w:r w:rsidR="0095485A" w:rsidRPr="00617F2C">
        <w:rPr>
          <w:rFonts w:ascii="Palatino Linotype" w:eastAsia="Palatino Linotype" w:hAnsi="Palatino Linotype" w:cs="Palatino Linotype"/>
          <w:color w:val="000000"/>
        </w:rPr>
        <w:t>toda vez que</w:t>
      </w:r>
      <w:r w:rsidRPr="00617F2C">
        <w:rPr>
          <w:rFonts w:ascii="Palatino Linotype" w:eastAsia="Palatino Linotype" w:hAnsi="Palatino Linotype" w:cs="Palatino Linotype"/>
          <w:color w:val="000000"/>
        </w:rPr>
        <w:t xml:space="preserve"> el recurso fue presentado dentro del plazo establecido en el artículo 178 </w:t>
      </w:r>
      <w:r w:rsidR="0095485A" w:rsidRPr="00617F2C">
        <w:rPr>
          <w:rFonts w:ascii="Palatino Linotype" w:eastAsia="Palatino Linotype" w:hAnsi="Palatino Linotype" w:cs="Palatino Linotype"/>
          <w:color w:val="000000"/>
        </w:rPr>
        <w:t xml:space="preserve">y 179 último párrafo </w:t>
      </w:r>
      <w:r w:rsidRPr="00617F2C">
        <w:rPr>
          <w:rFonts w:ascii="Palatino Linotype" w:eastAsia="Palatino Linotype" w:hAnsi="Palatino Linotype" w:cs="Palatino Linotype"/>
          <w:color w:val="000000"/>
        </w:rPr>
        <w:t>de la Ley de Transparencia y Acceso a la Información Pública del Estado de México y Municipios; asimismo no se tiene conocimiento de que se encuentre en trámite algún medio de defensa presentado por el Recurrente ante otra instancia.</w:t>
      </w:r>
    </w:p>
    <w:p w:rsidR="006958A0" w:rsidRPr="00617F2C" w:rsidRDefault="006958A0" w:rsidP="006958A0">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6958A0" w:rsidRPr="00617F2C" w:rsidRDefault="006958A0" w:rsidP="006958A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Por otro lado, es de suma importancia señalar que la parte recurrente no proporciona un nombre o datos de </w:t>
      </w:r>
      <w:r w:rsidRPr="00617F2C">
        <w:rPr>
          <w:rFonts w:ascii="Palatino Linotype" w:eastAsia="Palatino Linotype" w:hAnsi="Palatino Linotype" w:cs="Palatino Linotype"/>
          <w:color w:val="000000"/>
        </w:rPr>
        <w:t>identificación</w:t>
      </w:r>
      <w:r w:rsidRPr="00617F2C">
        <w:rPr>
          <w:rFonts w:ascii="Palatino Linotype" w:eastAsia="Palatino Linotype" w:hAnsi="Palatino Linotype" w:cs="Palatino Linotype"/>
        </w:rPr>
        <w:t xml:space="preserve"> como se advierte en el detalle de seguimiento del SAIMEX, no obstante lo anterior, no proporcionar el nombre completo no es motivo para </w:t>
      </w:r>
      <w:r w:rsidRPr="00617F2C">
        <w:rPr>
          <w:rFonts w:ascii="Palatino Linotype" w:eastAsia="Palatino Linotype" w:hAnsi="Palatino Linotype" w:cs="Palatino Linotype"/>
        </w:rPr>
        <w:lastRenderedPageBreak/>
        <w:t>archivar la solicitud de acceso a la información pública como concluida, conforme a lo previsto en el artículo 155, penúltimo párrafo de la Ley de Transparencia y Acceso a la Información Pública del Estado de México y Municipios que establece lo siguiente:</w:t>
      </w:r>
      <w:bookmarkStart w:id="4" w:name="_GoBack"/>
      <w:bookmarkEnd w:id="4"/>
    </w:p>
    <w:p w:rsidR="006958A0" w:rsidRPr="00617F2C" w:rsidRDefault="006958A0" w:rsidP="006958A0">
      <w:pPr>
        <w:pStyle w:val="Prrafodelista"/>
        <w:spacing w:line="360" w:lineRule="auto"/>
        <w:rPr>
          <w:rFonts w:ascii="Palatino Linotype" w:eastAsia="Palatino Linotype" w:hAnsi="Palatino Linotype" w:cs="Palatino Linotype"/>
        </w:rPr>
      </w:pPr>
    </w:p>
    <w:p w:rsidR="006958A0" w:rsidRPr="00617F2C" w:rsidRDefault="006958A0" w:rsidP="006958A0">
      <w:pPr>
        <w:spacing w:line="360" w:lineRule="auto"/>
        <w:ind w:left="567" w:right="426"/>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r w:rsidRPr="00617F2C">
        <w:rPr>
          <w:rFonts w:ascii="Palatino Linotype" w:eastAsia="Palatino Linotype" w:hAnsi="Palatino Linotype" w:cs="Palatino Linotype"/>
          <w:b/>
          <w:i/>
        </w:rPr>
        <w:t>Las solicitudes anónimas</w:t>
      </w:r>
      <w:r w:rsidRPr="00617F2C">
        <w:rPr>
          <w:rFonts w:ascii="Palatino Linotype" w:eastAsia="Palatino Linotype" w:hAnsi="Palatino Linotype" w:cs="Palatino Linotype"/>
          <w:i/>
        </w:rPr>
        <w:t xml:space="preserve">, con nombre incompleto o seudónimo </w:t>
      </w:r>
      <w:r w:rsidRPr="00617F2C">
        <w:rPr>
          <w:rFonts w:ascii="Palatino Linotype" w:eastAsia="Palatino Linotype" w:hAnsi="Palatino Linotype" w:cs="Palatino Linotype"/>
          <w:b/>
          <w:i/>
        </w:rPr>
        <w:t>serán procedentes para su trámite por parte del sujeto obligado ante quien se presente</w:t>
      </w:r>
      <w:r w:rsidRPr="00617F2C">
        <w:rPr>
          <w:rFonts w:ascii="Palatino Linotype" w:eastAsia="Palatino Linotype" w:hAnsi="Palatino Linotype" w:cs="Palatino Linotype"/>
          <w:i/>
        </w:rPr>
        <w:t>. No podrá requerirse información adicional con motivo del nombre proporcionado por el solicitante."</w:t>
      </w:r>
    </w:p>
    <w:p w:rsidR="006958A0" w:rsidRPr="00617F2C" w:rsidRDefault="006958A0" w:rsidP="006958A0">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6958A0" w:rsidRPr="00617F2C" w:rsidRDefault="006958A0" w:rsidP="006958A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Consecuencia de lo anterior, este Órgano Garante advierte que el escrito </w:t>
      </w:r>
      <w:r w:rsidRPr="00617F2C">
        <w:rPr>
          <w:rFonts w:ascii="Palatino Linotype" w:eastAsia="Palatino Linotype" w:hAnsi="Palatino Linotype" w:cs="Palatino Linotype"/>
        </w:rPr>
        <w:t>contiene</w:t>
      </w:r>
      <w:r w:rsidRPr="00617F2C">
        <w:rPr>
          <w:rFonts w:ascii="Palatino Linotype" w:eastAsia="Palatino Linotype" w:hAnsi="Palatino Linotype" w:cs="Palatino Linotype"/>
          <w:color w:val="000000"/>
        </w:rPr>
        <w:t xml:space="preserve"> las </w:t>
      </w:r>
      <w:r w:rsidRPr="00617F2C">
        <w:rPr>
          <w:rFonts w:ascii="Palatino Linotype" w:eastAsia="Palatino Linotype" w:hAnsi="Palatino Linotype" w:cs="Palatino Linotype"/>
        </w:rPr>
        <w:t>formalidades</w:t>
      </w:r>
      <w:r w:rsidRPr="00617F2C">
        <w:rPr>
          <w:rFonts w:ascii="Palatino Linotype" w:eastAsia="Palatino Linotype" w:hAnsi="Palatino Linotype" w:cs="Palatino Linotype"/>
          <w:color w:val="000000"/>
        </w:rPr>
        <w:t xml:space="preserve"> previstas por el artículo 180 último párrafo de la Ley de </w:t>
      </w:r>
      <w:r w:rsidRPr="00617F2C">
        <w:rPr>
          <w:rFonts w:ascii="Palatino Linotype" w:eastAsia="Palatino Linotype" w:hAnsi="Palatino Linotype" w:cs="Palatino Linotype"/>
        </w:rPr>
        <w:t>Transparencia</w:t>
      </w:r>
      <w:r w:rsidRPr="00617F2C">
        <w:rPr>
          <w:rFonts w:ascii="Palatino Linotype" w:eastAsia="Palatino Linotype" w:hAnsi="Palatino Linotype" w:cs="Palatino Linotype"/>
          <w:color w:val="000000"/>
        </w:rPr>
        <w:t xml:space="preserve"> y Acceso a la </w:t>
      </w:r>
      <w:r w:rsidRPr="00617F2C">
        <w:rPr>
          <w:rFonts w:ascii="Palatino Linotype" w:eastAsia="Palatino Linotype" w:hAnsi="Palatino Linotype" w:cs="Palatino Linotype"/>
        </w:rPr>
        <w:t>Información</w:t>
      </w:r>
      <w:r w:rsidRPr="00617F2C">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90156E" w:rsidRPr="00617F2C" w:rsidRDefault="0090156E" w:rsidP="003E42B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84DF1" w:rsidRPr="00617F2C" w:rsidRDefault="009D3673"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Finalmente, el escrito contiene las formalidades previstas por el artículo 180 último </w:t>
      </w:r>
      <w:r w:rsidR="00A227E2" w:rsidRPr="00617F2C">
        <w:rPr>
          <w:rFonts w:ascii="Palatino Linotype" w:eastAsia="Palatino Linotype" w:hAnsi="Palatino Linotype" w:cs="Palatino Linotype"/>
        </w:rPr>
        <w:t>párrafo de la citada Ley de la M</w:t>
      </w:r>
      <w:r w:rsidRPr="00617F2C">
        <w:rPr>
          <w:rFonts w:ascii="Palatino Linotype" w:eastAsia="Palatino Linotype" w:hAnsi="Palatino Linotype" w:cs="Palatino Linotype"/>
        </w:rPr>
        <w:t>ateria, por lo que es procedente que este Instituto conozca y resuelva el presente Recurso de Revisión.</w:t>
      </w:r>
    </w:p>
    <w:p w:rsidR="00B84DF1" w:rsidRPr="00617F2C" w:rsidRDefault="00B84DF1" w:rsidP="003E42B6">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13EA6" w:rsidRPr="00617F2C" w:rsidRDefault="00313EA6" w:rsidP="003E42B6">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617F2C">
        <w:rPr>
          <w:rFonts w:ascii="Palatino Linotype" w:hAnsi="Palatino Linotype"/>
          <w:b/>
          <w:bCs/>
          <w:color w:val="000000" w:themeColor="text1"/>
          <w:sz w:val="24"/>
          <w:szCs w:val="24"/>
        </w:rPr>
        <w:t xml:space="preserve">TERCERO. </w:t>
      </w:r>
      <w:bookmarkEnd w:id="6"/>
      <w:bookmarkEnd w:id="7"/>
      <w:r w:rsidRPr="00617F2C">
        <w:rPr>
          <w:rFonts w:ascii="Palatino Linotype" w:hAnsi="Palatino Linotype"/>
          <w:b/>
          <w:bCs/>
          <w:color w:val="000000" w:themeColor="text1"/>
          <w:sz w:val="24"/>
          <w:szCs w:val="24"/>
        </w:rPr>
        <w:t xml:space="preserve">Del planteamiento de la </w:t>
      </w:r>
      <w:r w:rsidRPr="00617F2C">
        <w:rPr>
          <w:rFonts w:ascii="Palatino Linotype" w:hAnsi="Palatino Linotype"/>
          <w:b/>
          <w:bCs/>
          <w:i/>
          <w:color w:val="000000" w:themeColor="text1"/>
          <w:sz w:val="24"/>
          <w:szCs w:val="24"/>
        </w:rPr>
        <w:t>Litis.</w:t>
      </w:r>
    </w:p>
    <w:p w:rsidR="00313EA6" w:rsidRPr="00617F2C" w:rsidRDefault="0071179B" w:rsidP="0071179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17F2C">
        <w:rPr>
          <w:rFonts w:ascii="Palatino Linotype" w:hAnsi="Palatino Linotype"/>
        </w:rPr>
        <w:t>En la resolución de origen que recayó al Recurso de Revisión 12943/INFOEM/IP/RR/2025, se ordenó se atendiera la Solicitud de Información 00605/TEPOTZOT/IP/2025, en la que se solicitó lo siguiente:</w:t>
      </w:r>
      <w:r w:rsidR="00313EA6" w:rsidRPr="00617F2C">
        <w:rPr>
          <w:rFonts w:ascii="Palatino Linotype" w:hAnsi="Palatino Linotype"/>
        </w:rPr>
        <w:t>:</w:t>
      </w:r>
    </w:p>
    <w:p w:rsidR="009D0F55" w:rsidRPr="00617F2C" w:rsidRDefault="009D0F55" w:rsidP="003E42B6">
      <w:pPr>
        <w:pBdr>
          <w:top w:val="nil"/>
          <w:left w:val="nil"/>
          <w:bottom w:val="nil"/>
          <w:right w:val="nil"/>
          <w:between w:val="nil"/>
        </w:pBdr>
        <w:spacing w:line="360" w:lineRule="auto"/>
        <w:ind w:right="49"/>
        <w:jc w:val="both"/>
        <w:rPr>
          <w:rFonts w:ascii="Palatino Linotype" w:hAnsi="Palatino Linotype"/>
          <w:b/>
        </w:rPr>
      </w:pPr>
    </w:p>
    <w:p w:rsidR="009D0F55" w:rsidRPr="00617F2C" w:rsidRDefault="0071179B" w:rsidP="0071179B">
      <w:pPr>
        <w:pStyle w:val="Prrafodelista"/>
        <w:numPr>
          <w:ilvl w:val="0"/>
          <w:numId w:val="35"/>
        </w:numPr>
        <w:spacing w:line="360" w:lineRule="auto"/>
        <w:ind w:right="567"/>
        <w:contextualSpacing w:val="0"/>
        <w:jc w:val="both"/>
        <w:rPr>
          <w:rFonts w:ascii="Palatino Linotype" w:eastAsia="Calibri" w:hAnsi="Palatino Linotype" w:cs="Arial"/>
          <w:b/>
          <w:lang w:val="es-AR"/>
        </w:rPr>
      </w:pPr>
      <w:r w:rsidRPr="00617F2C">
        <w:rPr>
          <w:rFonts w:ascii="Palatino Linotype" w:eastAsia="Palatino Linotype" w:hAnsi="Palatino Linotype" w:cs="Palatino Linotype"/>
          <w:b/>
        </w:rPr>
        <w:lastRenderedPageBreak/>
        <w:t>Nombres, cargos, gafetes instituciones y funciones de las personas a las que el municipio les pagó en los años 2022 a 2024 estudios de maestría indicando el sueldo que actualmente tienen.</w:t>
      </w:r>
    </w:p>
    <w:p w:rsidR="0054320A" w:rsidRPr="00617F2C" w:rsidRDefault="0054320A" w:rsidP="0054320A">
      <w:pPr>
        <w:pStyle w:val="Prrafodelista"/>
        <w:spacing w:line="360" w:lineRule="auto"/>
        <w:ind w:left="1080" w:right="567"/>
        <w:contextualSpacing w:val="0"/>
        <w:jc w:val="both"/>
        <w:rPr>
          <w:rFonts w:ascii="Palatino Linotype" w:eastAsia="Calibri" w:hAnsi="Palatino Linotype" w:cs="Arial"/>
          <w:b/>
          <w:lang w:val="es-AR"/>
        </w:rPr>
      </w:pPr>
    </w:p>
    <w:p w:rsidR="00313EA6" w:rsidRPr="00617F2C"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17F2C">
        <w:rPr>
          <w:rFonts w:ascii="Palatino Linotype" w:hAnsi="Palatino Linotype"/>
        </w:rPr>
        <w:t>Inconforme con la respuesta</w:t>
      </w:r>
      <w:r w:rsidR="0071179B" w:rsidRPr="00617F2C">
        <w:rPr>
          <w:rFonts w:ascii="Palatino Linotype" w:hAnsi="Palatino Linotype"/>
        </w:rPr>
        <w:t xml:space="preserve"> emitida en cumplimiento a la resolución del Recurso de Revisión 12943/INFOEM/IP/RR/2025</w:t>
      </w:r>
      <w:r w:rsidRPr="00617F2C">
        <w:rPr>
          <w:rFonts w:ascii="Palatino Linotype" w:hAnsi="Palatino Linotype"/>
        </w:rPr>
        <w:t xml:space="preserve">, el solicitante interpuso recurso de revisión </w:t>
      </w:r>
      <w:r w:rsidR="00945C3B" w:rsidRPr="00617F2C">
        <w:rPr>
          <w:rFonts w:ascii="Palatino Linotype" w:hAnsi="Palatino Linotype"/>
        </w:rPr>
        <w:t xml:space="preserve">de manera general </w:t>
      </w:r>
      <w:r w:rsidR="00F11260" w:rsidRPr="00617F2C">
        <w:rPr>
          <w:rFonts w:ascii="Palatino Linotype" w:hAnsi="Palatino Linotype"/>
        </w:rPr>
        <w:t>en contra de</w:t>
      </w:r>
      <w:r w:rsidR="0054320A" w:rsidRPr="00617F2C">
        <w:rPr>
          <w:rFonts w:ascii="Palatino Linotype" w:hAnsi="Palatino Linotype"/>
        </w:rPr>
        <w:t xml:space="preserve"> </w:t>
      </w:r>
      <w:r w:rsidR="009618D7" w:rsidRPr="00617F2C">
        <w:rPr>
          <w:rFonts w:ascii="Palatino Linotype" w:hAnsi="Palatino Linotype"/>
        </w:rPr>
        <w:t>la entrega de información incompleta</w:t>
      </w:r>
      <w:r w:rsidRPr="00617F2C">
        <w:rPr>
          <w:rFonts w:ascii="Palatino Linotype" w:eastAsia="Palatino Linotype" w:hAnsi="Palatino Linotype" w:cs="Palatino Linotype"/>
          <w:color w:val="000000"/>
        </w:rPr>
        <w:t xml:space="preserve">. </w:t>
      </w:r>
      <w:r w:rsidRPr="00617F2C">
        <w:rPr>
          <w:rFonts w:ascii="Palatino Linotype" w:hAnsi="Palatino Linotype"/>
        </w:rPr>
        <w:t>En dichas condiciones, la controversia a resolver en el presente proveído, corresponde a determinar si se actualiza la causal de procedencia previst</w:t>
      </w:r>
      <w:r w:rsidR="007147C0" w:rsidRPr="00617F2C">
        <w:rPr>
          <w:rFonts w:ascii="Palatino Linotype" w:hAnsi="Palatino Linotype"/>
        </w:rPr>
        <w:t xml:space="preserve">a en el artículo 179, fracción </w:t>
      </w:r>
      <w:r w:rsidR="009618D7" w:rsidRPr="00617F2C">
        <w:rPr>
          <w:rFonts w:ascii="Palatino Linotype" w:hAnsi="Palatino Linotype"/>
        </w:rPr>
        <w:t>V</w:t>
      </w:r>
      <w:r w:rsidRPr="00617F2C">
        <w:rPr>
          <w:rFonts w:ascii="Palatino Linotype" w:hAnsi="Palatino Linotype"/>
        </w:rPr>
        <w:t>, de la Ley de Transparencia y Acceso a la Información Pública del Estado de México y Municipios; fracción que determina la hipótesis relativa a la</w:t>
      </w:r>
      <w:r w:rsidR="0054320A" w:rsidRPr="00617F2C">
        <w:rPr>
          <w:rFonts w:ascii="Palatino Linotype" w:hAnsi="Palatino Linotype"/>
        </w:rPr>
        <w:t xml:space="preserve"> negativa de</w:t>
      </w:r>
      <w:r w:rsidRPr="00617F2C">
        <w:rPr>
          <w:rFonts w:ascii="Palatino Linotype" w:hAnsi="Palatino Linotype"/>
        </w:rPr>
        <w:t xml:space="preserve"> </w:t>
      </w:r>
      <w:r w:rsidR="0054320A" w:rsidRPr="00617F2C">
        <w:rPr>
          <w:rFonts w:ascii="Palatino Linotype" w:hAnsi="Palatino Linotype"/>
        </w:rPr>
        <w:t xml:space="preserve">la </w:t>
      </w:r>
      <w:r w:rsidR="00E8333A" w:rsidRPr="00617F2C">
        <w:rPr>
          <w:rFonts w:ascii="Palatino Linotype" w:hAnsi="Palatino Linotype"/>
        </w:rPr>
        <w:t xml:space="preserve">entrega de </w:t>
      </w:r>
      <w:r w:rsidR="0054320A" w:rsidRPr="00617F2C">
        <w:rPr>
          <w:rFonts w:ascii="Palatino Linotype" w:hAnsi="Palatino Linotype"/>
        </w:rPr>
        <w:t xml:space="preserve">la </w:t>
      </w:r>
      <w:r w:rsidR="00E8333A" w:rsidRPr="00617F2C">
        <w:rPr>
          <w:rFonts w:ascii="Palatino Linotype" w:hAnsi="Palatino Linotype"/>
        </w:rPr>
        <w:t>información</w:t>
      </w:r>
      <w:r w:rsidR="00F11260" w:rsidRPr="00617F2C">
        <w:rPr>
          <w:rFonts w:ascii="Palatino Linotype" w:hAnsi="Palatino Linotype"/>
        </w:rPr>
        <w:t>;</w:t>
      </w:r>
      <w:r w:rsidRPr="00617F2C">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rsidR="00313EA6" w:rsidRPr="00617F2C" w:rsidRDefault="00313EA6" w:rsidP="003E42B6">
      <w:pPr>
        <w:pStyle w:val="Prrafodelista"/>
        <w:spacing w:line="360" w:lineRule="auto"/>
        <w:rPr>
          <w:rFonts w:ascii="Palatino Linotype" w:hAnsi="Palatino Linotype"/>
        </w:rPr>
      </w:pPr>
    </w:p>
    <w:p w:rsidR="00313EA6" w:rsidRPr="00617F2C" w:rsidRDefault="00313EA6" w:rsidP="003E42B6">
      <w:pPr>
        <w:spacing w:line="360" w:lineRule="auto"/>
        <w:rPr>
          <w:rFonts w:ascii="Palatino Linotype" w:hAnsi="Palatino Linotype"/>
          <w:b/>
          <w:bCs/>
        </w:rPr>
      </w:pPr>
      <w:r w:rsidRPr="00617F2C">
        <w:rPr>
          <w:rFonts w:ascii="Palatino Linotype" w:hAnsi="Palatino Linotype"/>
          <w:b/>
          <w:bCs/>
        </w:rPr>
        <w:t>CUARTO. Del estudio y resolución del asunto.</w:t>
      </w:r>
    </w:p>
    <w:p w:rsidR="00313EA6" w:rsidRPr="00617F2C"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17F2C">
        <w:rPr>
          <w:rFonts w:ascii="Palatino Linotype" w:hAnsi="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w:t>
      </w:r>
      <w:r w:rsidRPr="00617F2C">
        <w:rPr>
          <w:rFonts w:ascii="Palatino Linotype" w:hAnsi="Palatino Linotype"/>
        </w:rPr>
        <w:lastRenderedPageBreak/>
        <w:t>competencias o funciones desde su origen la eventual publicidad y reutilización de la información que generen.</w:t>
      </w:r>
    </w:p>
    <w:p w:rsidR="00FF3CDE" w:rsidRPr="00617F2C" w:rsidRDefault="00FF3CDE" w:rsidP="00FF3CDE">
      <w:pPr>
        <w:pBdr>
          <w:top w:val="nil"/>
          <w:left w:val="nil"/>
          <w:bottom w:val="nil"/>
          <w:right w:val="nil"/>
          <w:between w:val="nil"/>
        </w:pBdr>
        <w:spacing w:line="360" w:lineRule="auto"/>
        <w:ind w:right="49"/>
        <w:jc w:val="both"/>
        <w:rPr>
          <w:rFonts w:ascii="Palatino Linotype" w:hAnsi="Palatino Linotype"/>
        </w:rPr>
      </w:pPr>
    </w:p>
    <w:p w:rsidR="00313EA6" w:rsidRPr="00617F2C"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17F2C">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13EA6" w:rsidRPr="00617F2C" w:rsidRDefault="00313EA6" w:rsidP="003E42B6">
      <w:pPr>
        <w:pStyle w:val="Prrafodelista"/>
        <w:spacing w:line="360" w:lineRule="auto"/>
        <w:rPr>
          <w:rFonts w:ascii="Palatino Linotype" w:hAnsi="Palatino Linotype"/>
        </w:rPr>
      </w:pPr>
    </w:p>
    <w:p w:rsidR="00313EA6" w:rsidRPr="00617F2C"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17F2C">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617F2C" w:rsidRDefault="00F867E2" w:rsidP="003E42B6">
      <w:pPr>
        <w:pStyle w:val="Prrafodelista"/>
        <w:spacing w:line="360" w:lineRule="auto"/>
        <w:rPr>
          <w:rFonts w:ascii="Palatino Linotype" w:hAnsi="Palatino Linotype"/>
        </w:rPr>
      </w:pPr>
    </w:p>
    <w:p w:rsidR="00270D3E" w:rsidRPr="00617F2C" w:rsidRDefault="00313EA6" w:rsidP="0082733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617F2C">
        <w:rPr>
          <w:rFonts w:ascii="Palatino Linotype" w:eastAsia="Palatino Linotype" w:hAnsi="Palatino Linotype" w:cs="Palatino Linotype"/>
        </w:rPr>
        <w:t xml:space="preserve">Dicho lo anterior </w:t>
      </w:r>
      <w:r w:rsidR="00E8333A" w:rsidRPr="00617F2C">
        <w:rPr>
          <w:rFonts w:ascii="Palatino Linotype" w:eastAsia="Palatino Linotype" w:hAnsi="Palatino Linotype" w:cs="Palatino Linotype"/>
        </w:rPr>
        <w:t xml:space="preserve">por razones de orden argumentativo, </w:t>
      </w:r>
      <w:r w:rsidRPr="00617F2C">
        <w:rPr>
          <w:rFonts w:ascii="Palatino Linotype" w:eastAsia="Palatino Linotype" w:hAnsi="Palatino Linotype" w:cs="Palatino Linotype"/>
        </w:rPr>
        <w:t xml:space="preserve">es necesario </w:t>
      </w:r>
      <w:r w:rsidR="008D2D54" w:rsidRPr="00617F2C">
        <w:rPr>
          <w:rFonts w:ascii="Palatino Linotype" w:eastAsia="Palatino Linotype" w:hAnsi="Palatino Linotype" w:cs="Palatino Linotype"/>
        </w:rPr>
        <w:t xml:space="preserve">traer a contexto </w:t>
      </w:r>
      <w:r w:rsidR="00FF3CDE" w:rsidRPr="00617F2C">
        <w:rPr>
          <w:rFonts w:ascii="Palatino Linotype" w:eastAsia="Palatino Linotype" w:hAnsi="Palatino Linotype" w:cs="Palatino Linotype"/>
          <w:color w:val="000000"/>
        </w:rPr>
        <w:t xml:space="preserve">los motivos de inconformidad, toda vez que estos tienden a impugnar únicamente el rubro relativo a los sueldos, de tal forma que se tiene por consentido el resto de rubros que </w:t>
      </w:r>
      <w:r w:rsidR="00FF3CDE" w:rsidRPr="00617F2C">
        <w:rPr>
          <w:rFonts w:ascii="Palatino Linotype" w:eastAsia="Palatino Linotype" w:hAnsi="Palatino Linotype" w:cs="Palatino Linotype"/>
          <w:color w:val="000000"/>
        </w:rPr>
        <w:lastRenderedPageBreak/>
        <w:t>integraron la solicitud de información, así como el resto de información que se remitió en calidad de respuesta y, que no está relacionada a los sueldos.</w:t>
      </w:r>
    </w:p>
    <w:p w:rsidR="00B93B05" w:rsidRPr="00617F2C" w:rsidRDefault="00B93B05" w:rsidP="00B93B05">
      <w:pPr>
        <w:pStyle w:val="Prrafodelista"/>
        <w:rPr>
          <w:rFonts w:ascii="Palatino Linotype" w:eastAsia="Palatino Linotype" w:hAnsi="Palatino Linotype" w:cs="Palatino Linotype"/>
        </w:rPr>
      </w:pPr>
    </w:p>
    <w:p w:rsidR="00B93B05" w:rsidRPr="00617F2C" w:rsidRDefault="00B93B05" w:rsidP="00B93B0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B93B05" w:rsidRPr="00617F2C" w:rsidRDefault="00B93B05" w:rsidP="00B93B05">
      <w:pPr>
        <w:pStyle w:val="Prrafodelista"/>
        <w:rPr>
          <w:rFonts w:ascii="Palatino Linotype" w:eastAsia="Palatino Linotype" w:hAnsi="Palatino Linotype" w:cs="Palatino Linotype"/>
        </w:rPr>
      </w:pPr>
    </w:p>
    <w:p w:rsidR="00B93B05" w:rsidRPr="00617F2C" w:rsidRDefault="00B93B05" w:rsidP="00B93B0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B93B05" w:rsidRPr="00617F2C" w:rsidRDefault="00B93B05" w:rsidP="00B93B05">
      <w:pPr>
        <w:pStyle w:val="Prrafodelista"/>
        <w:rPr>
          <w:rFonts w:ascii="Palatino Linotype" w:eastAsia="Palatino Linotype" w:hAnsi="Palatino Linotype" w:cs="Palatino Linotype"/>
        </w:rPr>
      </w:pPr>
    </w:p>
    <w:p w:rsidR="00B93B05" w:rsidRPr="00617F2C" w:rsidRDefault="00B93B05" w:rsidP="00B93B05">
      <w:pPr>
        <w:pStyle w:val="Prrafodelista"/>
        <w:tabs>
          <w:tab w:val="left" w:pos="851"/>
        </w:tabs>
        <w:ind w:left="502" w:right="616"/>
        <w:jc w:val="both"/>
        <w:rPr>
          <w:rFonts w:ascii="Palatino Linotype" w:eastAsia="Palatino Linotype" w:hAnsi="Palatino Linotype" w:cs="Palatino Linotype"/>
          <w:i/>
        </w:rPr>
      </w:pPr>
      <w:r w:rsidRPr="00617F2C">
        <w:rPr>
          <w:rFonts w:ascii="Palatino Linotype" w:eastAsia="Palatino Linotype" w:hAnsi="Palatino Linotype" w:cs="Palatino Linotype"/>
          <w:b/>
          <w:i/>
        </w:rPr>
        <w:t xml:space="preserve">“ACTOS CONSENTIDOS. SON LOS QUE NO SE IMPUGNAN MEDIANTE EL RECURSO IDÓNEO. </w:t>
      </w:r>
      <w:r w:rsidRPr="00617F2C">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B93B05" w:rsidRPr="00617F2C" w:rsidRDefault="00B93B05" w:rsidP="00B93B05">
      <w:pPr>
        <w:pStyle w:val="Prrafodelista"/>
        <w:tabs>
          <w:tab w:val="left" w:pos="851"/>
        </w:tabs>
        <w:ind w:left="502" w:right="616"/>
        <w:jc w:val="both"/>
        <w:rPr>
          <w:rFonts w:ascii="Palatino Linotype" w:eastAsia="Palatino Linotype" w:hAnsi="Palatino Linotype" w:cs="Palatino Linotype"/>
          <w:i/>
        </w:rPr>
      </w:pPr>
    </w:p>
    <w:p w:rsidR="00B93B05" w:rsidRPr="00617F2C" w:rsidRDefault="00B93B05" w:rsidP="00B93B0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De la interpretación del criterio antes citado, se advierte que cuando el particular impugnó la respuesta del </w:t>
      </w:r>
      <w:r w:rsidRPr="00617F2C">
        <w:rPr>
          <w:rFonts w:ascii="Palatino Linotype" w:eastAsia="Palatino Linotype" w:hAnsi="Palatino Linotype" w:cs="Palatino Linotype"/>
          <w:b/>
        </w:rPr>
        <w:t>SUJETO OBLIGADO</w:t>
      </w:r>
      <w:r w:rsidRPr="00617F2C">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sidRPr="00617F2C">
        <w:rPr>
          <w:rFonts w:ascii="Palatino Linotype" w:eastAsia="Palatino Linotype" w:hAnsi="Palatino Linotype" w:cs="Palatino Linotype"/>
          <w:b/>
        </w:rPr>
        <w:t>EL RECURRENTE</w:t>
      </w:r>
      <w:r w:rsidRPr="00617F2C">
        <w:rPr>
          <w:rFonts w:ascii="Palatino Linotype" w:eastAsia="Palatino Linotype" w:hAnsi="Palatino Linotype" w:cs="Palatino Linotype"/>
        </w:rPr>
        <w:t xml:space="preserve"> está conforme con la respuesta proporcionada por </w:t>
      </w:r>
      <w:r w:rsidRPr="00617F2C">
        <w:rPr>
          <w:rFonts w:ascii="Palatino Linotype" w:eastAsia="Palatino Linotype" w:hAnsi="Palatino Linotype" w:cs="Palatino Linotype"/>
          <w:b/>
        </w:rPr>
        <w:t>EL SUJETO OBLIGADO,</w:t>
      </w:r>
      <w:r w:rsidRPr="00617F2C">
        <w:rPr>
          <w:rFonts w:ascii="Palatino Linotype" w:eastAsia="Palatino Linotype" w:hAnsi="Palatino Linotype" w:cs="Palatino Linotype"/>
        </w:rPr>
        <w:t xml:space="preserve"> al no contravenir la misma.</w:t>
      </w:r>
    </w:p>
    <w:p w:rsidR="00B93B05" w:rsidRPr="00617F2C" w:rsidRDefault="00B93B05" w:rsidP="00B93B05">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93B05" w:rsidRPr="00617F2C" w:rsidRDefault="00B93B05" w:rsidP="00B93B0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lastRenderedPageBreak/>
        <w:t>Atento a ello, es importante traer a contexto la Tesis Jurisprudencial Número 3ª./J.7/91, Publicada en el Semanario Judicial de la Federación y su Gaceta bajo el número de registro 174,177, que establece lo siguiente:</w:t>
      </w:r>
    </w:p>
    <w:p w:rsidR="00B93B05" w:rsidRPr="00617F2C" w:rsidRDefault="00B93B05" w:rsidP="00B93B05">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93B05" w:rsidRPr="00617F2C" w:rsidRDefault="00B93B05" w:rsidP="00B93B05">
      <w:pPr>
        <w:pStyle w:val="Prrafodelista"/>
        <w:tabs>
          <w:tab w:val="left" w:pos="7937"/>
          <w:tab w:val="left" w:pos="8222"/>
        </w:tabs>
        <w:ind w:left="502" w:right="901"/>
        <w:jc w:val="both"/>
        <w:rPr>
          <w:rFonts w:ascii="Palatino Linotype" w:eastAsia="Palatino Linotype" w:hAnsi="Palatino Linotype" w:cs="Palatino Linotype"/>
          <w:i/>
        </w:rPr>
      </w:pPr>
      <w:r w:rsidRPr="00617F2C">
        <w:rPr>
          <w:rFonts w:ascii="Palatino Linotype" w:eastAsia="Palatino Linotype" w:hAnsi="Palatino Linotype" w:cs="Palatino Linotype"/>
          <w:b/>
          <w:i/>
        </w:rPr>
        <w:t xml:space="preserve">“REVISIÓN EN AMPARO. LOS RESOLUTIVOS NO COMBATIDOS DEBEN DECLARARSE FIRMES. </w:t>
      </w:r>
      <w:r w:rsidRPr="00617F2C">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B93B05" w:rsidRPr="00617F2C" w:rsidRDefault="00B93B05" w:rsidP="00B93B05">
      <w:pPr>
        <w:pStyle w:val="Prrafodelista"/>
        <w:tabs>
          <w:tab w:val="left" w:pos="7937"/>
          <w:tab w:val="left" w:pos="8222"/>
        </w:tabs>
        <w:ind w:left="502" w:right="901"/>
        <w:jc w:val="both"/>
        <w:rPr>
          <w:rFonts w:ascii="Palatino Linotype" w:eastAsia="Palatino Linotype" w:hAnsi="Palatino Linotype" w:cs="Palatino Linotype"/>
          <w:i/>
        </w:rPr>
      </w:pPr>
    </w:p>
    <w:p w:rsidR="00B93B05" w:rsidRPr="00617F2C" w:rsidRDefault="00B93B05" w:rsidP="00B93B0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del mismo por las razones hasta aquí expuestas. </w:t>
      </w:r>
    </w:p>
    <w:p w:rsidR="00B93B05" w:rsidRPr="00617F2C" w:rsidRDefault="00B93B05" w:rsidP="00B93B05">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93B05" w:rsidRPr="00617F2C" w:rsidRDefault="00B93B05" w:rsidP="00B93B0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Acotado lo anterior, respecto del motivo de inconformidad relativo a:</w:t>
      </w:r>
      <w:r w:rsidRPr="00617F2C">
        <w:rPr>
          <w:rFonts w:ascii="Palatino Linotype" w:eastAsia="Palatino Linotype" w:hAnsi="Palatino Linotype" w:cs="Palatino Linotype"/>
          <w:i/>
        </w:rPr>
        <w:t xml:space="preserve"> “La información no tiene sustento algo, por lo que podrían haber inventado los sueldos, además, las personas mencionadas no tienen esos sueldos.”</w:t>
      </w:r>
    </w:p>
    <w:p w:rsidR="00270D3E" w:rsidRPr="00617F2C" w:rsidRDefault="00270D3E" w:rsidP="00270D3E">
      <w:pPr>
        <w:pStyle w:val="Prrafodelista"/>
        <w:rPr>
          <w:rFonts w:ascii="Palatino Linotype" w:eastAsia="Palatino Linotype" w:hAnsi="Palatino Linotype" w:cs="Palatino Linotype"/>
        </w:rPr>
      </w:pPr>
    </w:p>
    <w:p w:rsidR="00B93B05" w:rsidRDefault="00B93B05" w:rsidP="000C38D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Corresponde a un contexto improcedente; ya que es de explorado derecho que no se puede dudar de la veracidad de la información entregada como lo sugiere el ahora </w:t>
      </w:r>
      <w:r w:rsidRPr="00617F2C">
        <w:rPr>
          <w:rFonts w:ascii="Palatino Linotype" w:eastAsia="Palatino Linotype" w:hAnsi="Palatino Linotype" w:cs="Palatino Linotype"/>
          <w:b/>
        </w:rPr>
        <w:t xml:space="preserve">RECURRENTE. </w:t>
      </w:r>
      <w:r w:rsidR="000C38D0" w:rsidRPr="00617F2C">
        <w:rPr>
          <w:rFonts w:ascii="Palatino Linotype" w:eastAsia="Palatino Linotype" w:hAnsi="Palatino Linotype" w:cs="Palatino Linotype"/>
        </w:rPr>
        <w:t>Siendo</w:t>
      </w:r>
      <w:r w:rsidRPr="00617F2C">
        <w:rPr>
          <w:rFonts w:ascii="Palatino Linotype" w:eastAsia="Palatino Linotype" w:hAnsi="Palatino Linotype" w:cs="Palatino Linotype"/>
        </w:rPr>
        <w:t xml:space="preserve"> incluso una causal de desechamiento del recurso de revisión; sin embargo al existir en el presente asunto una causal de procedencia como lo es la entrega de información incompleta, no se dio observancia a dicha causal de </w:t>
      </w:r>
      <w:r w:rsidR="000C38D0" w:rsidRPr="00617F2C">
        <w:rPr>
          <w:rFonts w:ascii="Palatino Linotype" w:eastAsia="Palatino Linotype" w:hAnsi="Palatino Linotype" w:cs="Palatino Linotype"/>
        </w:rPr>
        <w:t>desecamiento</w:t>
      </w:r>
      <w:r w:rsidRPr="00617F2C">
        <w:rPr>
          <w:rFonts w:ascii="Palatino Linotype" w:eastAsia="Palatino Linotype" w:hAnsi="Palatino Linotype" w:cs="Palatino Linotype"/>
        </w:rPr>
        <w:t xml:space="preserve"> que </w:t>
      </w:r>
      <w:r w:rsidRPr="00617F2C">
        <w:rPr>
          <w:rFonts w:ascii="Palatino Linotype" w:eastAsia="Palatino Linotype" w:hAnsi="Palatino Linotype" w:cs="Palatino Linotype"/>
        </w:rPr>
        <w:lastRenderedPageBreak/>
        <w:t>contempla</w:t>
      </w:r>
      <w:r w:rsidR="000C38D0" w:rsidRPr="00617F2C">
        <w:rPr>
          <w:rFonts w:ascii="Palatino Linotype" w:eastAsia="Palatino Linotype" w:hAnsi="Palatino Linotype" w:cs="Palatino Linotype"/>
        </w:rPr>
        <w:t xml:space="preserve"> el </w:t>
      </w:r>
      <w:r w:rsidR="000C38D0" w:rsidRPr="00617F2C">
        <w:rPr>
          <w:rFonts w:ascii="Palatino Linotype" w:eastAsia="Palatino Linotype" w:hAnsi="Palatino Linotype" w:cs="Palatino Linotype"/>
          <w:u w:val="single"/>
        </w:rPr>
        <w:t>artículo 191 fracción fracción V</w:t>
      </w:r>
      <w:r w:rsidR="000C38D0" w:rsidRPr="00617F2C">
        <w:rPr>
          <w:rFonts w:ascii="Palatino Linotype" w:eastAsia="Palatino Linotype" w:hAnsi="Palatino Linotype" w:cs="Palatino Linotype"/>
        </w:rPr>
        <w:t xml:space="preserve"> de la Ley de Transparencia y Acceso a la Información Pública del Estado de México y Municipios.</w:t>
      </w:r>
    </w:p>
    <w:p w:rsidR="00617F2C" w:rsidRPr="00617F2C" w:rsidRDefault="00617F2C" w:rsidP="00617F2C">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F93A36" w:rsidRPr="00617F2C" w:rsidRDefault="000C38D0" w:rsidP="00F93A36">
      <w:pPr>
        <w:numPr>
          <w:ilvl w:val="0"/>
          <w:numId w:val="1"/>
        </w:numPr>
        <w:pBdr>
          <w:top w:val="nil"/>
          <w:left w:val="nil"/>
          <w:bottom w:val="nil"/>
          <w:right w:val="nil"/>
          <w:between w:val="nil"/>
        </w:pBdr>
        <w:spacing w:line="360" w:lineRule="auto"/>
        <w:ind w:left="0" w:right="49" w:firstLine="0"/>
        <w:jc w:val="both"/>
        <w:rPr>
          <w:rFonts w:ascii="Palatino Linotype" w:hAnsi="Palatino Linotype"/>
          <w:b/>
          <w:color w:val="000000"/>
        </w:rPr>
      </w:pPr>
      <w:r w:rsidRPr="00617F2C">
        <w:rPr>
          <w:rFonts w:ascii="Palatino Linotype" w:eastAsia="Palatino Linotype" w:hAnsi="Palatino Linotype" w:cs="Palatino Linotype"/>
        </w:rPr>
        <w:t>Sin embargo, es importante</w:t>
      </w:r>
      <w:r w:rsidR="00F93A36" w:rsidRPr="00617F2C">
        <w:rPr>
          <w:rFonts w:ascii="Palatino Linotype" w:hAnsi="Palatino Linotype" w:cs="Arial"/>
        </w:rPr>
        <w:t xml:space="preserve"> puntualizar con claridad que éste Órgano Garante no </w:t>
      </w:r>
      <w:r w:rsidR="00F93A36" w:rsidRPr="00617F2C">
        <w:rPr>
          <w:rFonts w:ascii="Palatino Linotype" w:eastAsia="Palatino Linotype" w:hAnsi="Palatino Linotype" w:cs="Palatino Linotype"/>
        </w:rPr>
        <w:t>está</w:t>
      </w:r>
      <w:r w:rsidR="00F93A36" w:rsidRPr="00617F2C">
        <w:rPr>
          <w:rFonts w:ascii="Palatino Linotype" w:hAnsi="Palatino Linotype" w:cs="Arial"/>
        </w:rPr>
        <w:t xml:space="preserve"> facultado para pronunciarse sobre la veracidad de la información que los Sujetos Obligados ponen a disposición de los solicitantes; situación que se aleja de las atribuciones de este Instituto </w:t>
      </w:r>
      <w:r w:rsidR="00F93A36" w:rsidRPr="00617F2C">
        <w:rPr>
          <w:rFonts w:ascii="Palatino Linotype" w:hAnsi="Palatino Linotype"/>
          <w:i/>
          <w:color w:val="000000"/>
        </w:rPr>
        <w:t>máxime</w:t>
      </w:r>
      <w:r w:rsidR="00F93A36" w:rsidRPr="00617F2C">
        <w:rPr>
          <w:rFonts w:ascii="Palatino Linotype" w:hAnsi="Palatino Linotype"/>
          <w:color w:val="000000"/>
        </w:rPr>
        <w:t xml:space="preserve"> que </w:t>
      </w:r>
      <w:r w:rsidR="00F93A36" w:rsidRPr="00617F2C">
        <w:rPr>
          <w:rFonts w:ascii="Palatino Linotype" w:hAnsi="Palatino Linotype"/>
          <w:b/>
          <w:color w:val="000000"/>
          <w:u w:val="single"/>
        </w:rPr>
        <w:t>al momento que ponen a disposición ésta, la misma tiene el carácter oficial y se presume veraz, tan es así que la misma queda registrada en el Sistema de Acceso a la Información Mexiquense (SAIMEX).</w:t>
      </w:r>
    </w:p>
    <w:p w:rsidR="00F93A36" w:rsidRPr="00617F2C" w:rsidRDefault="00F93A36" w:rsidP="00F93A36">
      <w:pPr>
        <w:pStyle w:val="Default"/>
        <w:spacing w:line="360" w:lineRule="auto"/>
        <w:ind w:left="851" w:right="850"/>
        <w:jc w:val="both"/>
        <w:rPr>
          <w:rFonts w:ascii="Palatino Linotype" w:hAnsi="Palatino Linotype"/>
          <w:i/>
        </w:rPr>
      </w:pPr>
    </w:p>
    <w:p w:rsidR="00F93A36" w:rsidRPr="00617F2C" w:rsidRDefault="00F93A36" w:rsidP="00F93A36">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617F2C">
        <w:rPr>
          <w:rFonts w:ascii="Palatino Linotype" w:hAnsi="Palatino Linotype" w:cs="Arial"/>
        </w:rPr>
        <w:t xml:space="preserve">Así mismo, la </w:t>
      </w:r>
      <w:r w:rsidRPr="00617F2C">
        <w:rPr>
          <w:rFonts w:ascii="Palatino Linotype" w:hAnsi="Palatino Linotype" w:cs="Arial"/>
          <w:b/>
        </w:rPr>
        <w:t>Ley de Transparencia y Acceso a la Información Pública del Estado de México y Municipios</w:t>
      </w:r>
      <w:r w:rsidRPr="00617F2C">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F93A36" w:rsidRPr="00617F2C" w:rsidRDefault="00F93A36" w:rsidP="00F93A36">
      <w:pPr>
        <w:pStyle w:val="Prrafodelista"/>
        <w:spacing w:line="360" w:lineRule="auto"/>
        <w:ind w:left="0"/>
        <w:jc w:val="both"/>
        <w:rPr>
          <w:rFonts w:ascii="Palatino Linotype" w:hAnsi="Palatino Linotype" w:cs="Arial"/>
        </w:rPr>
      </w:pPr>
    </w:p>
    <w:p w:rsidR="00F93A36" w:rsidRPr="00617F2C" w:rsidRDefault="00F93A36" w:rsidP="00F93A36">
      <w:pPr>
        <w:pStyle w:val="Prrafodelista"/>
        <w:spacing w:line="360" w:lineRule="auto"/>
        <w:ind w:left="644" w:right="902"/>
        <w:jc w:val="both"/>
        <w:rPr>
          <w:rFonts w:ascii="Palatino Linotype" w:hAnsi="Palatino Linotype" w:cs="Arial"/>
          <w:b/>
          <w:i/>
        </w:rPr>
      </w:pPr>
      <w:r w:rsidRPr="00617F2C">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617F2C">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F93A36" w:rsidRPr="00617F2C" w:rsidRDefault="00F93A36" w:rsidP="00F93A36">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noProof/>
        </w:rPr>
      </w:pPr>
      <w:r w:rsidRPr="00617F2C">
        <w:rPr>
          <w:rFonts w:ascii="Palatino Linotype" w:hAnsi="Palatino Linotype" w:cs="Arial"/>
          <w:noProof/>
        </w:rPr>
        <w:lastRenderedPageBreak/>
        <w:t xml:space="preserve">Numerales que compelen al </w:t>
      </w:r>
      <w:r w:rsidRPr="00617F2C">
        <w:rPr>
          <w:rFonts w:ascii="Palatino Linotype" w:hAnsi="Palatino Linotype" w:cs="Arial"/>
          <w:b/>
          <w:noProof/>
        </w:rPr>
        <w:t>SUJETO OBLIGADO</w:t>
      </w:r>
      <w:r w:rsidRPr="00617F2C">
        <w:rPr>
          <w:rFonts w:ascii="Palatino Linotype" w:hAnsi="Palatino Linotype" w:cs="Arial"/>
          <w:noProof/>
        </w:rPr>
        <w:t xml:space="preserve"> a apegarse en todo momento a los </w:t>
      </w:r>
      <w:r w:rsidRPr="00617F2C">
        <w:rPr>
          <w:rFonts w:ascii="Palatino Linotype" w:hAnsi="Palatino Linotype" w:cs="Arial"/>
        </w:rPr>
        <w:t>criterios</w:t>
      </w:r>
      <w:r w:rsidRPr="00617F2C">
        <w:rPr>
          <w:rFonts w:ascii="Palatino Linotype" w:hAnsi="Palatino Linotype" w:cs="Arial"/>
          <w:noProof/>
        </w:rPr>
        <w:t xml:space="preserve">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617F2C">
        <w:rPr>
          <w:rFonts w:ascii="Palatino Linotype" w:eastAsia="MS Gothic" w:hAnsi="Palatino Linotype" w:cstheme="majorBidi"/>
        </w:rPr>
        <w:t>.</w:t>
      </w:r>
    </w:p>
    <w:p w:rsidR="00F93A36" w:rsidRPr="00617F2C" w:rsidRDefault="00F93A36" w:rsidP="00F93A36">
      <w:pPr>
        <w:pBdr>
          <w:top w:val="nil"/>
          <w:left w:val="nil"/>
          <w:bottom w:val="nil"/>
          <w:right w:val="nil"/>
          <w:between w:val="nil"/>
        </w:pBdr>
        <w:spacing w:line="360" w:lineRule="auto"/>
        <w:ind w:right="49"/>
        <w:jc w:val="both"/>
        <w:rPr>
          <w:rFonts w:ascii="Palatino Linotype" w:hAnsi="Palatino Linotype" w:cs="Arial"/>
          <w:noProof/>
        </w:rPr>
      </w:pPr>
    </w:p>
    <w:p w:rsidR="00B93B05" w:rsidRPr="00617F2C" w:rsidRDefault="00F93A36" w:rsidP="00984C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Ahora bien, respecto a los sueldos, se debe señalar que ciertamente corresponde a un respuesta ambigua; pues ciertamente se desconoce si el monto informado corresponde a las percepciones mensuales o quincenales; asimismo se debe añadir que tampoco se informe de las percepciones netas, pues como se desprende del listado entregado, corresponde a percepciones brutas.</w:t>
      </w:r>
    </w:p>
    <w:p w:rsidR="00F93A36" w:rsidRPr="00617F2C" w:rsidRDefault="00F93A36" w:rsidP="00F93A3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270D3E" w:rsidRPr="00617F2C" w:rsidRDefault="00804E12" w:rsidP="0054523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Ante relatadas circunstancia, es necesario señalar lo siguiente:</w:t>
      </w:r>
      <w:r w:rsidR="00270D3E" w:rsidRPr="00617F2C">
        <w:rPr>
          <w:rFonts w:ascii="Palatino Linotype" w:eastAsia="Palatino Linotype" w:hAnsi="Palatino Linotype" w:cs="Palatino Linotype"/>
        </w:rPr>
        <w:t xml:space="preserve"> que </w:t>
      </w:r>
      <w:r w:rsidRPr="00617F2C">
        <w:rPr>
          <w:rFonts w:ascii="Palatino Linotype" w:eastAsia="Palatino Linotype" w:hAnsi="Palatino Linotype" w:cs="Palatino Linotype"/>
        </w:rPr>
        <w:t>lo solicitado al corresponder a sueldos y percepciones; es información</w:t>
      </w:r>
      <w:r w:rsidR="00D603DA" w:rsidRPr="00617F2C">
        <w:rPr>
          <w:rFonts w:ascii="Palatino Linotype" w:eastAsia="Palatino Linotype" w:hAnsi="Palatino Linotype" w:cs="Palatino Linotype"/>
        </w:rPr>
        <w:t xml:space="preserve"> que resulta na</w:t>
      </w:r>
      <w:r w:rsidRPr="00617F2C">
        <w:rPr>
          <w:rFonts w:ascii="Palatino Linotype" w:eastAsia="Palatino Linotype" w:hAnsi="Palatino Linotype" w:cs="Palatino Linotype"/>
        </w:rPr>
        <w:t xml:space="preserve">turalmente procedente ordenar su entrega, al ser </w:t>
      </w:r>
      <w:r w:rsidR="00D603DA" w:rsidRPr="00617F2C">
        <w:rPr>
          <w:rFonts w:ascii="Palatino Linotype" w:eastAsia="Palatino Linotype" w:hAnsi="Palatino Linotype" w:cs="Palatino Linotype"/>
        </w:rPr>
        <w:t xml:space="preserve">información que tiene el carácter de oficiosa; es decir </w:t>
      </w:r>
      <w:r w:rsidR="00D43940" w:rsidRPr="00617F2C">
        <w:rPr>
          <w:rFonts w:ascii="Palatino Linotype" w:eastAsia="Palatino Linotype" w:hAnsi="Palatino Linotype" w:cs="Palatino Linotype"/>
        </w:rPr>
        <w:t xml:space="preserve">que decir que pertenece a las obligaciones de transparencia común con que cuenta el </w:t>
      </w:r>
      <w:r w:rsidR="00955388" w:rsidRPr="00617F2C">
        <w:rPr>
          <w:rFonts w:ascii="Palatino Linotype" w:eastAsia="Palatino Linotype" w:hAnsi="Palatino Linotype" w:cs="Palatino Linotype"/>
        </w:rPr>
        <w:t>Ayuntamiento de Tepotzotlán</w:t>
      </w:r>
      <w:r w:rsidR="00D43940" w:rsidRPr="00617F2C">
        <w:rPr>
          <w:rFonts w:ascii="Palatino Linotype" w:eastAsia="Palatino Linotype" w:hAnsi="Palatino Linotype" w:cs="Palatino Linotype"/>
        </w:rPr>
        <w:t>, para entender lo anterior, resulta necesario traer a contexto el artículo 90, de la Ley de la Materia en su siguiente fracción:</w:t>
      </w:r>
    </w:p>
    <w:p w:rsidR="00D43940" w:rsidRPr="00617F2C" w:rsidRDefault="00D43940" w:rsidP="00D43940">
      <w:pPr>
        <w:pBdr>
          <w:top w:val="nil"/>
          <w:left w:val="nil"/>
          <w:bottom w:val="nil"/>
          <w:right w:val="nil"/>
          <w:between w:val="nil"/>
        </w:pBdr>
        <w:spacing w:line="360" w:lineRule="auto"/>
        <w:ind w:left="426" w:right="474"/>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w:t>
      </w:r>
      <w:r w:rsidRPr="00617F2C">
        <w:rPr>
          <w:rFonts w:ascii="Palatino Linotype" w:eastAsia="Palatino Linotype" w:hAnsi="Palatino Linotype" w:cs="Palatino Linotype"/>
          <w:i/>
        </w:rPr>
        <w:lastRenderedPageBreak/>
        <w:t>corresponda, la información, por lo menos, de los temas, documentos y políticas que a continuación se señalan:</w:t>
      </w:r>
    </w:p>
    <w:p w:rsidR="00D43940" w:rsidRPr="00617F2C" w:rsidRDefault="00D43940" w:rsidP="00D43940">
      <w:pPr>
        <w:pBdr>
          <w:top w:val="nil"/>
          <w:left w:val="nil"/>
          <w:bottom w:val="nil"/>
          <w:right w:val="nil"/>
          <w:between w:val="nil"/>
        </w:pBdr>
        <w:spacing w:line="360" w:lineRule="auto"/>
        <w:ind w:left="426" w:right="474"/>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p>
    <w:p w:rsidR="00D43940" w:rsidRPr="00617F2C" w:rsidRDefault="00D43940" w:rsidP="00D43940">
      <w:pPr>
        <w:pBdr>
          <w:top w:val="nil"/>
          <w:left w:val="nil"/>
          <w:bottom w:val="nil"/>
          <w:right w:val="nil"/>
          <w:between w:val="nil"/>
        </w:pBdr>
        <w:spacing w:line="360" w:lineRule="auto"/>
        <w:ind w:left="426" w:right="474"/>
        <w:jc w:val="both"/>
        <w:rPr>
          <w:rFonts w:ascii="Palatino Linotype" w:eastAsia="Palatino Linotype" w:hAnsi="Palatino Linotype" w:cs="Palatino Linotype"/>
          <w:i/>
        </w:rPr>
      </w:pPr>
      <w:r w:rsidRPr="00617F2C">
        <w:rPr>
          <w:rFonts w:ascii="Palatino Linotype" w:eastAsia="Palatino Linotype" w:hAnsi="Palatino Linotype" w:cs="Palatino Linotype"/>
          <w:i/>
        </w:rPr>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D603DA" w:rsidRPr="00617F2C" w:rsidRDefault="00D43940" w:rsidP="00D43940">
      <w:pPr>
        <w:pBdr>
          <w:top w:val="nil"/>
          <w:left w:val="nil"/>
          <w:bottom w:val="nil"/>
          <w:right w:val="nil"/>
          <w:between w:val="nil"/>
        </w:pBdr>
        <w:spacing w:line="360" w:lineRule="auto"/>
        <w:ind w:left="426" w:right="474"/>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p>
    <w:p w:rsidR="00D603DA" w:rsidRPr="00617F2C" w:rsidRDefault="00D603DA" w:rsidP="00D603DA">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D43940" w:rsidRPr="00617F2C" w:rsidRDefault="00D43940" w:rsidP="00D4394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Esta fracción es parte de la lista de 51 obligaciones que todos los sujetos obligados (dependencias, municipios, organismos autónomos, etc.) deben publicar de manera proactiva en el </w:t>
      </w:r>
      <w:r w:rsidR="00132BF0" w:rsidRPr="00617F2C">
        <w:rPr>
          <w:rFonts w:ascii="Palatino Linotype" w:eastAsia="Palatino Linotype" w:hAnsi="Palatino Linotype" w:cs="Palatino Linotype"/>
        </w:rPr>
        <w:t>multi</w:t>
      </w:r>
      <w:r w:rsidRPr="00617F2C">
        <w:rPr>
          <w:rFonts w:ascii="Palatino Linotype" w:eastAsia="Palatino Linotype" w:hAnsi="Palatino Linotype" w:cs="Palatino Linotype"/>
        </w:rPr>
        <w:t xml:space="preserve">citado IPOMEX, por tanto es información que genera, posee y administra y que como se ha venido señalando, puede ser colmada con la entrega de los enlaces en que ya obra publicada; no obstante esto es de manera </w:t>
      </w:r>
      <w:r w:rsidRPr="00617F2C">
        <w:rPr>
          <w:rFonts w:ascii="Palatino Linotype" w:eastAsia="Palatino Linotype" w:hAnsi="Palatino Linotype" w:cs="Palatino Linotype"/>
          <w:u w:val="single"/>
        </w:rPr>
        <w:t>enunciativa mas no limitativa</w:t>
      </w:r>
      <w:r w:rsidRPr="00617F2C">
        <w:rPr>
          <w:rFonts w:ascii="Palatino Linotype" w:eastAsia="Palatino Linotype" w:hAnsi="Palatino Linotype" w:cs="Palatino Linotype"/>
        </w:rPr>
        <w:t>; pues el soporte documental en el que por excelencia se encuentra la información con el  grado de desagregación que requiere el particular es propiamente en los recibos de nómina</w:t>
      </w:r>
      <w:r w:rsidR="00804E12" w:rsidRPr="00617F2C">
        <w:rPr>
          <w:rFonts w:ascii="Palatino Linotype" w:eastAsia="Palatino Linotype" w:hAnsi="Palatino Linotype" w:cs="Palatino Linotype"/>
        </w:rPr>
        <w:t>.</w:t>
      </w:r>
    </w:p>
    <w:p w:rsidR="00D43940" w:rsidRPr="00617F2C" w:rsidRDefault="00D43940" w:rsidP="00D43940">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745638" w:rsidRPr="00617F2C" w:rsidRDefault="00745638" w:rsidP="0082733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Luego entonces, al resultar ambigua la solicitud de información </w:t>
      </w:r>
      <w:r w:rsidR="00804E12" w:rsidRPr="00617F2C">
        <w:rPr>
          <w:rFonts w:ascii="Palatino Linotype" w:eastAsia="Palatino Linotype" w:hAnsi="Palatino Linotype" w:cs="Palatino Linotype"/>
        </w:rPr>
        <w:t>y no especificar si requería sueldo bruto o neto o, quincenal o mensual</w:t>
      </w:r>
      <w:r w:rsidRPr="00617F2C">
        <w:rPr>
          <w:rFonts w:ascii="Palatino Linotype" w:eastAsia="Palatino Linotype" w:hAnsi="Palatino Linotype" w:cs="Palatino Linotype"/>
        </w:rPr>
        <w:t xml:space="preserve">, a efecto de colmar en su sentido más amplio el derecho de acceso a la información del solicitante, se estima procedente ordenar la información de ambos; toda vez que se colige pretender conocer la información de </w:t>
      </w:r>
      <w:r w:rsidR="00804E12" w:rsidRPr="00617F2C">
        <w:rPr>
          <w:rFonts w:ascii="Palatino Linotype" w:eastAsia="Palatino Linotype" w:hAnsi="Palatino Linotype" w:cs="Palatino Linotype"/>
        </w:rPr>
        <w:t>remuneraciones de servidores públicos aun y cuando estos hayan causado baja como se desprende del cuadro remitido</w:t>
      </w:r>
      <w:r w:rsidRPr="00617F2C">
        <w:rPr>
          <w:rFonts w:ascii="Palatino Linotype" w:eastAsia="Palatino Linotype" w:hAnsi="Palatino Linotype" w:cs="Palatino Linotype"/>
        </w:rPr>
        <w:t>.</w:t>
      </w:r>
    </w:p>
    <w:p w:rsidR="00EE43F4" w:rsidRPr="00617F2C" w:rsidRDefault="00804E12" w:rsidP="00FA540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lastRenderedPageBreak/>
        <w:t xml:space="preserve">Ahora bien, como se señaló un documento que de manera enunciativa mas no limitativa puede colmar la pretensión, es el recibo de nómina, que al respecto </w:t>
      </w:r>
      <w:r w:rsidR="00EE43F4" w:rsidRPr="00617F2C">
        <w:rPr>
          <w:rFonts w:ascii="Palatino Linotype" w:eastAsia="Palatino Linotype" w:hAnsi="Palatino Linotype" w:cs="Palatino Linotype"/>
        </w:rPr>
        <w:t xml:space="preserve">nuestra legislación no existe como tal una definición de nómina;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w:t>
      </w:r>
    </w:p>
    <w:p w:rsidR="00716EDF" w:rsidRPr="00617F2C" w:rsidRDefault="00716EDF" w:rsidP="00716EDF">
      <w:pPr>
        <w:pStyle w:val="Prrafodelista"/>
        <w:rPr>
          <w:rFonts w:ascii="Palatino Linotype" w:eastAsia="Palatino Linotype" w:hAnsi="Palatino Linotype" w:cs="Palatino Linotype"/>
        </w:rPr>
      </w:pPr>
    </w:p>
    <w:p w:rsidR="00EE43F4"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“NÓMINA: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rsidR="00617F2C" w:rsidRPr="00617F2C" w:rsidRDefault="00617F2C" w:rsidP="003E42B6">
      <w:pPr>
        <w:spacing w:line="360" w:lineRule="auto"/>
        <w:ind w:left="851" w:right="900"/>
        <w:jc w:val="both"/>
        <w:rPr>
          <w:rFonts w:ascii="Palatino Linotype" w:eastAsia="Palatino Linotype" w:hAnsi="Palatino Linotype" w:cs="Palatino Linotype"/>
          <w:i/>
        </w:rPr>
      </w:pPr>
    </w:p>
    <w:p w:rsidR="00EE43F4" w:rsidRPr="00617F2C" w:rsidRDefault="00EE43F4" w:rsidP="0072557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Aunado a lo anterior, debe destacarse que dicho término es mencionado en diferentes ordenamientos legales, tal es el caso del artículo 804 de la Ley Federal de Trabajo, fracción II que establece:</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“Artículo 804.- El patrón tiene obligación de conservar y exhibir en juicio los documentos que a continuación se precisan:</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lastRenderedPageBreak/>
        <w:t>II. Listas de raya o nómina de personal, cuando se lleven en el centro de trabajo; o recibos de pagos de salarios;</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p>
    <w:p w:rsidR="00F62D4D" w:rsidRPr="00617F2C" w:rsidRDefault="00F62D4D" w:rsidP="003E42B6">
      <w:pPr>
        <w:spacing w:line="360" w:lineRule="auto"/>
        <w:ind w:left="851" w:right="900"/>
        <w:jc w:val="both"/>
        <w:rPr>
          <w:rFonts w:ascii="Palatino Linotype" w:eastAsia="Palatino Linotype" w:hAnsi="Palatino Linotype" w:cs="Palatino Linotype"/>
          <w:i/>
        </w:rPr>
      </w:pPr>
    </w:p>
    <w:p w:rsidR="00EE43F4" w:rsidRPr="00617F2C" w:rsidRDefault="00EE43F4" w:rsidP="003E42B6">
      <w:pPr>
        <w:numPr>
          <w:ilvl w:val="0"/>
          <w:numId w:val="1"/>
        </w:numP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De lo anteriormente señalado, se puede llegar a la conclusión de que la nómina o recibos de pago, consisten en un registro conformado por el conjunto de trabajadores a los cuales se les va a remunerar por los servicios que éstos le prestan al patrón, en el cual se asientan las percepciones brutas, deducciones y el neto a recibir de dichos trabajadores.</w:t>
      </w:r>
    </w:p>
    <w:p w:rsidR="00F62D4D" w:rsidRPr="00617F2C" w:rsidRDefault="00F62D4D" w:rsidP="003E42B6">
      <w:pPr>
        <w:spacing w:line="360" w:lineRule="auto"/>
        <w:ind w:right="49"/>
        <w:jc w:val="both"/>
        <w:rPr>
          <w:rFonts w:ascii="Palatino Linotype" w:eastAsia="Palatino Linotype" w:hAnsi="Palatino Linotype" w:cs="Palatino Linotype"/>
        </w:rPr>
      </w:pPr>
    </w:p>
    <w:p w:rsidR="00EE43F4" w:rsidRPr="00617F2C" w:rsidRDefault="00EE43F4" w:rsidP="003E42B6">
      <w:pPr>
        <w:numPr>
          <w:ilvl w:val="0"/>
          <w:numId w:val="1"/>
        </w:numP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Ahora bien, tratándose de servidores públicos, la Ley del Trabajo de los Servidores Públicos del Estado y Municipios, en su artículo 220-K fracciones II y IV y último párrafo, establecen lo siguiente:</w:t>
      </w:r>
    </w:p>
    <w:p w:rsidR="00172F33" w:rsidRPr="00617F2C" w:rsidRDefault="00172F33" w:rsidP="00172F33">
      <w:pPr>
        <w:spacing w:line="360" w:lineRule="auto"/>
        <w:ind w:right="49"/>
        <w:jc w:val="both"/>
        <w:rPr>
          <w:rFonts w:ascii="Palatino Linotype" w:eastAsia="Palatino Linotype" w:hAnsi="Palatino Linotype" w:cs="Palatino Linotype"/>
        </w:rPr>
      </w:pP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“ARTÍCULO 220 K.- La institución o dependencia pública tiene la obligación de conservar y exhibir en el proceso los documentos que a continuación se precisan: … </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II. Recibos de pagos de salarios o las constancias documentales del pago de salario cuando sea por depósito o mediante información electrónica; </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 </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IV. </w:t>
      </w:r>
      <w:r w:rsidRPr="00617F2C">
        <w:rPr>
          <w:rFonts w:ascii="Palatino Linotype" w:eastAsia="Palatino Linotype" w:hAnsi="Palatino Linotype" w:cs="Palatino Linotype"/>
          <w:i/>
          <w:u w:val="single"/>
        </w:rPr>
        <w:t>Recibos o las constancias de depósito</w:t>
      </w:r>
      <w:r w:rsidRPr="00617F2C">
        <w:rPr>
          <w:rFonts w:ascii="Palatino Linotype" w:eastAsia="Palatino Linotype" w:hAnsi="Palatino Linotype" w:cs="Palatino Linotype"/>
          <w:i/>
        </w:rPr>
        <w:t xml:space="preserve"> o del medio de información magnética o electrónica que sean utilizadas para el </w:t>
      </w:r>
      <w:r w:rsidRPr="00617F2C">
        <w:rPr>
          <w:rFonts w:ascii="Palatino Linotype" w:eastAsia="Palatino Linotype" w:hAnsi="Palatino Linotype" w:cs="Palatino Linotype"/>
          <w:i/>
          <w:u w:val="single"/>
        </w:rPr>
        <w:t xml:space="preserve">pago de salarios, prima vacacional, aguinaldo </w:t>
      </w:r>
      <w:r w:rsidRPr="00617F2C">
        <w:rPr>
          <w:rFonts w:ascii="Palatino Linotype" w:eastAsia="Palatino Linotype" w:hAnsi="Palatino Linotype" w:cs="Palatino Linotype"/>
          <w:i/>
        </w:rPr>
        <w:t xml:space="preserve">y demás prestaciones establecidas en la presente ley; y </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 </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lastRenderedPageBreak/>
        <w:t xml:space="preserve">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w:t>
      </w:r>
    </w:p>
    <w:p w:rsidR="00EE43F4" w:rsidRPr="00617F2C" w:rsidRDefault="00EE43F4"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w:t>
      </w:r>
      <w:r w:rsidR="00172F33" w:rsidRPr="00617F2C">
        <w:rPr>
          <w:rFonts w:ascii="Palatino Linotype" w:eastAsia="Palatino Linotype" w:hAnsi="Palatino Linotype" w:cs="Palatino Linotype"/>
          <w:i/>
        </w:rPr>
        <w:t>l de éstas, harán prueba plena.”</w:t>
      </w:r>
    </w:p>
    <w:p w:rsidR="00172F33" w:rsidRPr="00617F2C" w:rsidRDefault="00172F33" w:rsidP="003E42B6">
      <w:pPr>
        <w:spacing w:line="360" w:lineRule="auto"/>
        <w:ind w:left="851" w:right="900"/>
        <w:jc w:val="both"/>
        <w:rPr>
          <w:rFonts w:ascii="Palatino Linotype" w:eastAsia="Palatino Linotype" w:hAnsi="Palatino Linotype" w:cs="Palatino Linotype"/>
          <w:i/>
        </w:rPr>
      </w:pPr>
    </w:p>
    <w:p w:rsidR="00EE43F4" w:rsidRPr="00617F2C" w:rsidRDefault="00EE43F4" w:rsidP="00804E12">
      <w:pPr>
        <w:numPr>
          <w:ilvl w:val="0"/>
          <w:numId w:val="1"/>
        </w:numPr>
        <w:spacing w:line="360" w:lineRule="auto"/>
        <w:ind w:left="0" w:right="49"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En este sentido, se advierte que toda institución pública o dependencia pública del Estado de México debe conservar los recibos o constancias de pago de salarios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rsidR="00EE43F4" w:rsidRPr="00617F2C" w:rsidRDefault="00EE43F4" w:rsidP="003E42B6">
      <w:pPr>
        <w:spacing w:line="360" w:lineRule="auto"/>
        <w:ind w:right="49"/>
        <w:jc w:val="both"/>
        <w:rPr>
          <w:rFonts w:ascii="Palatino Linotype" w:eastAsia="Palatino Linotype" w:hAnsi="Palatino Linotype" w:cs="Palatino Linotype"/>
        </w:rPr>
      </w:pPr>
    </w:p>
    <w:p w:rsidR="002A3372" w:rsidRPr="00617F2C" w:rsidRDefault="00EE43F4" w:rsidP="002A3372">
      <w:pPr>
        <w:numPr>
          <w:ilvl w:val="0"/>
          <w:numId w:val="1"/>
        </w:numPr>
        <w:pBdr>
          <w:top w:val="nil"/>
          <w:left w:val="nil"/>
          <w:bottom w:val="nil"/>
          <w:right w:val="nil"/>
          <w:between w:val="nil"/>
        </w:pBdr>
        <w:spacing w:line="360" w:lineRule="auto"/>
        <w:ind w:left="0" w:right="49" w:firstLine="0"/>
        <w:jc w:val="both"/>
        <w:rPr>
          <w:rFonts w:ascii="Palatino Linotype" w:hAnsi="Palatino Linotype"/>
          <w:color w:val="000000" w:themeColor="text1"/>
        </w:rPr>
      </w:pPr>
      <w:r w:rsidRPr="00617F2C">
        <w:rPr>
          <w:rFonts w:ascii="Palatino Linotype" w:eastAsia="Palatino Linotype" w:hAnsi="Palatino Linotype" w:cs="Palatino Linotype"/>
        </w:rPr>
        <w:t xml:space="preserve">En resumen, los recibos de nómina, es el documento que contiene los salarios de todos los funcionarios de la administración pública del </w:t>
      </w:r>
      <w:r w:rsidR="00425B7C" w:rsidRPr="00617F2C">
        <w:rPr>
          <w:rFonts w:ascii="Palatino Linotype" w:eastAsia="Palatino Linotype" w:hAnsi="Palatino Linotype" w:cs="Palatino Linotype"/>
          <w:b/>
        </w:rPr>
        <w:t>SUJETO OBLIGADO</w:t>
      </w:r>
      <w:r w:rsidR="00425B7C" w:rsidRPr="00617F2C">
        <w:rPr>
          <w:rFonts w:ascii="Palatino Linotype" w:eastAsia="Palatino Linotype" w:hAnsi="Palatino Linotype" w:cs="Palatino Linotype"/>
        </w:rPr>
        <w:t xml:space="preserve"> </w:t>
      </w:r>
      <w:r w:rsidRPr="00617F2C">
        <w:rPr>
          <w:rFonts w:ascii="Palatino Linotype" w:eastAsia="Palatino Linotype" w:hAnsi="Palatino Linotype" w:cs="Palatino Linotype"/>
        </w:rPr>
        <w:t>y que debió haber</w:t>
      </w:r>
      <w:r w:rsidRPr="00617F2C">
        <w:rPr>
          <w:rFonts w:ascii="Palatino Linotype" w:eastAsia="Palatino Linotype" w:hAnsi="Palatino Linotype" w:cs="Palatino Linotype"/>
          <w:b/>
        </w:rPr>
        <w:t xml:space="preserve"> </w:t>
      </w:r>
      <w:r w:rsidRPr="00617F2C">
        <w:rPr>
          <w:rFonts w:ascii="Palatino Linotype" w:eastAsia="Palatino Linotype" w:hAnsi="Palatino Linotype" w:cs="Palatino Linotype"/>
        </w:rPr>
        <w:t xml:space="preserve">generado, administrado o poseído de acuerdo a lo establecido en el presente considerando; </w:t>
      </w:r>
      <w:r w:rsidR="00804E12" w:rsidRPr="00617F2C">
        <w:rPr>
          <w:rFonts w:ascii="Palatino Linotype" w:eastAsia="Palatino Linotype" w:hAnsi="Palatino Linotype" w:cs="Palatino Linotype"/>
        </w:rPr>
        <w:t>no pasando desapercibido que los sujetos obligados no están obligados a generar documentos ad hoc, como se desprende del caso concreto en el oficio remitido</w:t>
      </w:r>
      <w:r w:rsidR="002A3372" w:rsidRPr="00617F2C">
        <w:rPr>
          <w:rFonts w:ascii="Palatino Linotype" w:eastAsia="Palatino Linotype" w:hAnsi="Palatino Linotype" w:cs="Palatino Linotype"/>
        </w:rPr>
        <w:t>.</w:t>
      </w:r>
      <w:r w:rsidR="002A3372" w:rsidRPr="00617F2C">
        <w:rPr>
          <w:rFonts w:ascii="Palatino Linotype" w:hAnsi="Palatino Linotype" w:cs="Arial"/>
        </w:rPr>
        <w:t xml:space="preserve"> Como apoyo a lo anterior, es aplicable por analogía el </w:t>
      </w:r>
      <w:r w:rsidR="002A3372" w:rsidRPr="00617F2C">
        <w:rPr>
          <w:rFonts w:ascii="Palatino Linotype" w:hAnsi="Palatino Linotype" w:cs="Arial"/>
          <w:b/>
        </w:rPr>
        <w:t>Criterio 03/17</w:t>
      </w:r>
      <w:r w:rsidR="002A3372" w:rsidRPr="00617F2C">
        <w:rPr>
          <w:rFonts w:ascii="Palatino Linotype" w:hAnsi="Palatino Linotype" w:cs="Arial"/>
        </w:rPr>
        <w:t xml:space="preserve">, emitido por el Pleno </w:t>
      </w:r>
      <w:r w:rsidR="002A3372" w:rsidRPr="00617F2C">
        <w:rPr>
          <w:rFonts w:ascii="Palatino Linotype" w:hAnsi="Palatino Linotype" w:cs="Arial"/>
        </w:rPr>
        <w:lastRenderedPageBreak/>
        <w:t>del Instituto Nacional de Transparencia, Acceso a la Información y Protección de Datos Personales (INAI)</w:t>
      </w:r>
      <w:r w:rsidR="002A3372" w:rsidRPr="00617F2C">
        <w:rPr>
          <w:rFonts w:ascii="Palatino Linotype" w:hAnsi="Palatino Linotype" w:cs="Arial"/>
          <w:bCs/>
        </w:rPr>
        <w:t>, que a la letra dice:</w:t>
      </w:r>
    </w:p>
    <w:p w:rsidR="002A3372" w:rsidRPr="00617F2C" w:rsidRDefault="002A3372" w:rsidP="002A3372">
      <w:pPr>
        <w:pStyle w:val="Prrafodelista"/>
        <w:spacing w:line="360" w:lineRule="auto"/>
        <w:rPr>
          <w:rFonts w:ascii="Palatino Linotype" w:hAnsi="Palatino Linotype" w:cs="Arial"/>
          <w:i/>
          <w:lang w:eastAsia="es-MX"/>
        </w:rPr>
      </w:pPr>
    </w:p>
    <w:p w:rsidR="002A3372" w:rsidRPr="00617F2C" w:rsidRDefault="002A3372" w:rsidP="002A3372">
      <w:pPr>
        <w:pStyle w:val="Prrafodelista"/>
        <w:ind w:left="567" w:right="618"/>
        <w:jc w:val="both"/>
        <w:rPr>
          <w:rFonts w:ascii="Palatino Linotype" w:hAnsi="Palatino Linotype" w:cs="Arial"/>
          <w:bCs/>
          <w:i/>
        </w:rPr>
      </w:pPr>
      <w:r w:rsidRPr="00617F2C">
        <w:rPr>
          <w:rFonts w:ascii="Palatino Linotype" w:hAnsi="Palatino Linotype" w:cs="Arial"/>
          <w:b/>
          <w:bCs/>
          <w:i/>
        </w:rPr>
        <w:t xml:space="preserve">“No existe obligación de elaborar documentos ad hoc para atender las solicitudes de acceso a la información. </w:t>
      </w:r>
      <w:r w:rsidRPr="00617F2C">
        <w:rPr>
          <w:rFonts w:ascii="Palatino Linotype" w:hAnsi="Palatino Linotype" w:cs="Arial"/>
          <w:bCs/>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2A3372" w:rsidRPr="00617F2C" w:rsidRDefault="002A3372" w:rsidP="002A3372">
      <w:pPr>
        <w:pStyle w:val="Prrafodelista"/>
        <w:spacing w:line="360" w:lineRule="auto"/>
        <w:ind w:left="567" w:right="618"/>
        <w:jc w:val="both"/>
        <w:rPr>
          <w:rFonts w:ascii="Palatino Linotype" w:hAnsi="Palatino Linotype" w:cs="Arial"/>
          <w:bCs/>
          <w:i/>
        </w:rPr>
      </w:pPr>
    </w:p>
    <w:p w:rsidR="002A3372" w:rsidRPr="00617F2C" w:rsidRDefault="002A3372" w:rsidP="00617F2C">
      <w:pPr>
        <w:pStyle w:val="Sinespaciado"/>
        <w:numPr>
          <w:ilvl w:val="0"/>
          <w:numId w:val="1"/>
        </w:numPr>
        <w:spacing w:line="360" w:lineRule="auto"/>
        <w:ind w:left="0" w:firstLine="0"/>
        <w:jc w:val="both"/>
        <w:rPr>
          <w:rFonts w:ascii="Palatino Linotype" w:hAnsi="Palatino Linotype" w:cs="Arial"/>
          <w:i/>
        </w:rPr>
      </w:pPr>
      <w:r w:rsidRPr="00617F2C">
        <w:rPr>
          <w:rFonts w:ascii="Palatino Linotype" w:hAnsi="Palatino Linotype"/>
          <w:color w:val="000000" w:themeColor="text1"/>
        </w:rPr>
        <w:t>También lo es que</w:t>
      </w:r>
      <w:r w:rsidRPr="00617F2C">
        <w:rPr>
          <w:rFonts w:ascii="Palatino Linotype" w:hAnsi="Palatino Linotype"/>
        </w:rPr>
        <w:t xml:space="preserve"> no existe normatividad o precepto legal </w:t>
      </w:r>
      <w:r w:rsidRPr="00617F2C">
        <w:rPr>
          <w:rFonts w:ascii="Palatino Linotype" w:hAnsi="Palatino Linotype"/>
          <w:b/>
        </w:rPr>
        <w:t>que lo impida</w:t>
      </w:r>
      <w:r w:rsidRPr="00617F2C">
        <w:rPr>
          <w:rFonts w:ascii="Palatino Linotype" w:hAnsi="Palatino Linotype"/>
        </w:rPr>
        <w:t xml:space="preserve">, de modo tal </w:t>
      </w:r>
      <w:r w:rsidRPr="00617F2C">
        <w:rPr>
          <w:rFonts w:ascii="Palatino Linotype" w:hAnsi="Palatino Linotype"/>
          <w:color w:val="000000" w:themeColor="text1"/>
          <w:lang w:eastAsia="en-US"/>
        </w:rPr>
        <w:t>que</w:t>
      </w:r>
      <w:r w:rsidRPr="00617F2C">
        <w:rPr>
          <w:rFonts w:ascii="Palatino Linotype" w:hAnsi="Palatino Linotype"/>
        </w:rPr>
        <w:t xml:space="preserve"> un pronunciamiento que de atención a lo requerido eventualmente puede </w:t>
      </w:r>
      <w:r w:rsidRPr="00617F2C">
        <w:rPr>
          <w:rFonts w:ascii="Palatino Linotype" w:hAnsi="Palatino Linotype" w:cs="Arial"/>
        </w:rPr>
        <w:t>colmar</w:t>
      </w:r>
      <w:r w:rsidRPr="00617F2C">
        <w:rPr>
          <w:rFonts w:ascii="Palatino Linotype" w:hAnsi="Palatino Linotype"/>
        </w:rPr>
        <w:t xml:space="preserve"> el cumplimiento de la presente resolución, lo cual no implica que el </w:t>
      </w:r>
      <w:r w:rsidRPr="00617F2C">
        <w:rPr>
          <w:rFonts w:ascii="Palatino Linotype" w:hAnsi="Palatino Linotype"/>
          <w:b/>
        </w:rPr>
        <w:t>SUJETO OBLIGADO</w:t>
      </w:r>
      <w:r w:rsidRPr="00617F2C">
        <w:rPr>
          <w:rFonts w:ascii="Palatino Linotype" w:hAnsi="Palatino Linotype"/>
        </w:rPr>
        <w:t xml:space="preserve"> procese la información.</w:t>
      </w:r>
    </w:p>
    <w:p w:rsidR="00716EDF" w:rsidRPr="00617F2C" w:rsidRDefault="00716EDF" w:rsidP="00716EDF">
      <w:pPr>
        <w:pStyle w:val="Prrafodelista"/>
        <w:rPr>
          <w:rFonts w:ascii="Palatino Linotype" w:hAnsi="Palatino Linotype"/>
          <w:color w:val="000000" w:themeColor="text1"/>
          <w:lang w:eastAsia="en-US"/>
        </w:rPr>
      </w:pPr>
    </w:p>
    <w:p w:rsidR="00313EA6" w:rsidRPr="00617F2C" w:rsidRDefault="00313EA6" w:rsidP="00617F2C">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Con la determinación anterior, se estima quedara por colmado el derecho de acceso a la </w:t>
      </w:r>
      <w:r w:rsidRPr="00617F2C">
        <w:rPr>
          <w:rFonts w:ascii="Palatino Linotype" w:eastAsia="Palatino Linotype" w:hAnsi="Palatino Linotype" w:cs="Palatino Linotype"/>
        </w:rPr>
        <w:t>información</w:t>
      </w:r>
      <w:r w:rsidRPr="00617F2C">
        <w:rPr>
          <w:rFonts w:ascii="Palatino Linotype" w:eastAsia="Palatino Linotype" w:hAnsi="Palatino Linotype" w:cs="Palatino Linotype"/>
          <w:color w:val="000000"/>
        </w:rPr>
        <w:t xml:space="preserve"> del ahora Recurrente; toda vez que el Derecho que tutela este </w:t>
      </w:r>
      <w:r w:rsidRPr="00617F2C">
        <w:rPr>
          <w:rFonts w:ascii="Palatino Linotype" w:eastAsia="Palatino Linotype" w:hAnsi="Palatino Linotype" w:cs="Palatino Linotype"/>
        </w:rPr>
        <w:t>Órgano</w:t>
      </w:r>
      <w:r w:rsidRPr="00617F2C">
        <w:rPr>
          <w:rFonts w:ascii="Palatino Linotype" w:eastAsia="Palatino Linotype" w:hAnsi="Palatino Linotype" w:cs="Palatino Linotype"/>
          <w:color w:val="000000"/>
        </w:rPr>
        <w:t xml:space="preserve"> </w:t>
      </w:r>
      <w:r w:rsidRPr="00617F2C">
        <w:rPr>
          <w:rFonts w:ascii="Palatino Linotype" w:hAnsi="Palatino Linotype"/>
        </w:rPr>
        <w:t>Garante</w:t>
      </w:r>
      <w:r w:rsidRPr="00617F2C">
        <w:rPr>
          <w:rFonts w:ascii="Palatino Linotype" w:eastAsia="Palatino Linotype" w:hAnsi="Palatino Linotype" w:cs="Palatino Linotype"/>
          <w:color w:val="000000"/>
        </w:rPr>
        <w:t xml:space="preserve"> corresponde a la  </w:t>
      </w:r>
      <w:r w:rsidRPr="00617F2C">
        <w:rPr>
          <w:rFonts w:ascii="Palatino Linotype" w:eastAsia="Palatino Linotype" w:hAnsi="Palatino Linotype" w:cs="Palatino Linotype"/>
          <w:i/>
          <w:color w:val="000000"/>
        </w:rPr>
        <w:t>igualdad de oportunidades para recibir, buscar e impartir información</w:t>
      </w:r>
      <w:r w:rsidRPr="00617F2C">
        <w:rPr>
          <w:rFonts w:ascii="Palatino Linotype" w:eastAsia="Palatino Linotype" w:hAnsi="Palatino Linotype" w:cs="Palatino Linotype"/>
          <w:i/>
          <w:color w:val="000000"/>
          <w:vertAlign w:val="superscript"/>
        </w:rPr>
        <w:footnoteReference w:id="1"/>
      </w:r>
      <w:r w:rsidRPr="00617F2C">
        <w:rPr>
          <w:rFonts w:ascii="Palatino Linotype" w:eastAsia="Palatino Linotype" w:hAnsi="Palatino Linotype" w:cs="Palatino Linotype"/>
          <w:i/>
          <w:color w:val="000000"/>
        </w:rPr>
        <w:t xml:space="preserve"> en posesión de cualquier autoridad, entidad, órgano y organismo de los </w:t>
      </w:r>
      <w:r w:rsidRPr="00617F2C">
        <w:rPr>
          <w:rFonts w:ascii="Palatino Linotype" w:eastAsia="Palatino Linotype" w:hAnsi="Palatino Linotype" w:cs="Palatino Linotype"/>
          <w:color w:val="000000"/>
        </w:rPr>
        <w:t>poderes</w:t>
      </w:r>
      <w:r w:rsidRPr="00617F2C">
        <w:rPr>
          <w:rFonts w:ascii="Palatino Linotype" w:eastAsia="Palatino Linotype" w:hAnsi="Palatino Linotype" w:cs="Palatino Linotype"/>
          <w:i/>
          <w:color w:val="000000"/>
        </w:rPr>
        <w:t xml:space="preserve"> Ejecutivo, Legislativo y Judicial, órganos autónomos, partidos políticos, </w:t>
      </w:r>
      <w:r w:rsidRPr="00617F2C">
        <w:rPr>
          <w:rFonts w:ascii="Palatino Linotype" w:eastAsia="Palatino Linotype" w:hAnsi="Palatino Linotype" w:cs="Palatino Linotype"/>
        </w:rPr>
        <w:t>fideicomisos</w:t>
      </w:r>
      <w:r w:rsidRPr="00617F2C">
        <w:rPr>
          <w:rFonts w:ascii="Palatino Linotype" w:eastAsia="Palatino Linotype" w:hAnsi="Palatino Linotype" w:cs="Palatino Linotype"/>
          <w:i/>
          <w:color w:val="000000"/>
        </w:rPr>
        <w:t xml:space="preserve">, y fondos públicos, así como de cualquier persona física, moral o sindicato que reciba y ejerza recursos públicos o realice actos </w:t>
      </w:r>
      <w:r w:rsidRPr="00617F2C">
        <w:rPr>
          <w:rFonts w:ascii="Palatino Linotype" w:eastAsia="Palatino Linotype" w:hAnsi="Palatino Linotype" w:cs="Palatino Linotype"/>
          <w:i/>
          <w:color w:val="000000"/>
        </w:rPr>
        <w:lastRenderedPageBreak/>
        <w:t>de autoridad en el ámbito federal, estatal y municipal</w:t>
      </w:r>
      <w:r w:rsidRPr="00617F2C">
        <w:rPr>
          <w:rFonts w:ascii="Palatino Linotype" w:eastAsia="Palatino Linotype" w:hAnsi="Palatino Linotype" w:cs="Palatino Linotype"/>
          <w:color w:val="000000"/>
          <w:vertAlign w:val="superscript"/>
        </w:rPr>
        <w:footnoteReference w:id="2"/>
      </w:r>
      <w:r w:rsidRPr="00617F2C">
        <w:rPr>
          <w:rFonts w:ascii="Palatino Linotype" w:eastAsia="Palatino Linotype" w:hAnsi="Palatino Linotype" w:cs="Palatino Linotype"/>
          <w:i/>
          <w:color w:val="000000"/>
        </w:rPr>
        <w:t xml:space="preserve"> </w:t>
      </w:r>
      <w:r w:rsidRPr="00617F2C">
        <w:rPr>
          <w:rFonts w:ascii="Palatino Linotype" w:eastAsia="Palatino Linotype" w:hAnsi="Palatino Linotype" w:cs="Palatino Linotype"/>
          <w:color w:val="000000"/>
        </w:rPr>
        <w:t xml:space="preserve">que se constituye como una herramienta fundamental para </w:t>
      </w:r>
      <w:r w:rsidRPr="00617F2C">
        <w:rPr>
          <w:rFonts w:ascii="Palatino Linotype" w:eastAsia="Palatino Linotype" w:hAnsi="Palatino Linotype" w:cs="Palatino Linotype"/>
          <w:i/>
          <w:color w:val="000000"/>
        </w:rPr>
        <w:t>ejercer control democrático de las gestiones estatales, de forma tal que puedan cuestionar, indagar y considerar si se está dando un adecuado cumplimiento de las funciones públicas,</w:t>
      </w:r>
      <w:r w:rsidRPr="00617F2C">
        <w:rPr>
          <w:rFonts w:ascii="Palatino Linotype" w:eastAsia="Palatino Linotype" w:hAnsi="Palatino Linotype" w:cs="Palatino Linotype"/>
          <w:i/>
          <w:color w:val="000000"/>
          <w:vertAlign w:val="superscript"/>
        </w:rPr>
        <w:footnoteReference w:id="3"/>
      </w:r>
      <w:r w:rsidRPr="00617F2C">
        <w:rPr>
          <w:rFonts w:ascii="Palatino Linotype" w:eastAsia="Palatino Linotype" w:hAnsi="Palatino Linotype" w:cs="Palatino Linotype"/>
          <w:color w:val="000000"/>
        </w:rPr>
        <w:t>fomentando</w:t>
      </w:r>
      <w:r w:rsidRPr="00617F2C">
        <w:rPr>
          <w:rFonts w:ascii="Palatino Linotype" w:eastAsia="Palatino Linotype" w:hAnsi="Palatino Linotype" w:cs="Palatino Linotype"/>
          <w:i/>
          <w:color w:val="000000"/>
        </w:rPr>
        <w:t xml:space="preserve"> la transparencia de las actividades estatales y</w:t>
      </w:r>
      <w:r w:rsidRPr="00617F2C">
        <w:rPr>
          <w:rFonts w:ascii="Palatino Linotype" w:eastAsia="Palatino Linotype" w:hAnsi="Palatino Linotype" w:cs="Palatino Linotype"/>
          <w:color w:val="000000"/>
        </w:rPr>
        <w:t xml:space="preserve"> promoviendo</w:t>
      </w:r>
      <w:r w:rsidRPr="00617F2C">
        <w:rPr>
          <w:rFonts w:ascii="Palatino Linotype" w:eastAsia="Palatino Linotype" w:hAnsi="Palatino Linotype" w:cs="Palatino Linotype"/>
          <w:i/>
          <w:color w:val="000000"/>
        </w:rPr>
        <w:t xml:space="preserve"> la responsabilidad de los funcionarios sobre su gestión pública</w:t>
      </w:r>
      <w:r w:rsidRPr="00617F2C">
        <w:rPr>
          <w:rFonts w:ascii="Palatino Linotype" w:eastAsia="Palatino Linotype" w:hAnsi="Palatino Linotype" w:cs="Palatino Linotype"/>
          <w:i/>
          <w:color w:val="000000"/>
          <w:vertAlign w:val="superscript"/>
        </w:rPr>
        <w:footnoteReference w:id="4"/>
      </w:r>
      <w:r w:rsidRPr="00617F2C">
        <w:rPr>
          <w:rFonts w:ascii="Palatino Linotype" w:eastAsia="Palatino Linotype" w:hAnsi="Palatino Linotype" w:cs="Palatino Linotype"/>
          <w:i/>
          <w:color w:val="000000"/>
        </w:rPr>
        <w:t xml:space="preserve"> </w:t>
      </w:r>
      <w:r w:rsidRPr="00617F2C">
        <w:rPr>
          <w:rFonts w:ascii="Palatino Linotype" w:eastAsia="Palatino Linotype" w:hAnsi="Palatino Linotype" w:cs="Palatino Linotype"/>
          <w:color w:val="000000"/>
        </w:rPr>
        <w:t>que permite</w:t>
      </w:r>
      <w:r w:rsidRPr="00617F2C">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Pr="00617F2C">
        <w:rPr>
          <w:rFonts w:ascii="Palatino Linotype" w:eastAsia="Palatino Linotype" w:hAnsi="Palatino Linotype" w:cs="Palatino Linotype"/>
          <w:i/>
          <w:color w:val="000000"/>
          <w:vertAlign w:val="superscript"/>
        </w:rPr>
        <w:footnoteReference w:id="5"/>
      </w:r>
      <w:r w:rsidRPr="00617F2C">
        <w:rPr>
          <w:rFonts w:ascii="Palatino Linotype" w:eastAsia="Palatino Linotype" w:hAnsi="Palatino Linotype" w:cs="Palatino Linotype"/>
          <w:color w:val="000000"/>
        </w:rPr>
        <w:t xml:space="preserve"> ” </w:t>
      </w:r>
    </w:p>
    <w:p w:rsidR="002A3372" w:rsidRPr="00617F2C" w:rsidRDefault="002A3372" w:rsidP="002A3372">
      <w:pPr>
        <w:pStyle w:val="Sinespaciado"/>
        <w:spacing w:line="360" w:lineRule="auto"/>
        <w:jc w:val="both"/>
        <w:rPr>
          <w:rFonts w:ascii="Palatino Linotype" w:eastAsia="Palatino Linotype" w:hAnsi="Palatino Linotype" w:cs="Palatino Linotype"/>
          <w:color w:val="000000"/>
        </w:rPr>
      </w:pPr>
    </w:p>
    <w:p w:rsidR="00313EA6" w:rsidRPr="00617F2C" w:rsidRDefault="00313EA6" w:rsidP="00617F2C">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313EA6" w:rsidRPr="00617F2C" w:rsidRDefault="00313EA6" w:rsidP="003E42B6">
      <w:pPr>
        <w:spacing w:line="360" w:lineRule="auto"/>
        <w:ind w:left="426" w:right="567"/>
        <w:jc w:val="both"/>
        <w:rPr>
          <w:rFonts w:ascii="Palatino Linotype" w:eastAsia="Palatino Linotype" w:hAnsi="Palatino Linotype" w:cs="Palatino Linotype"/>
          <w:b/>
          <w:i/>
          <w:color w:val="000000"/>
        </w:rPr>
      </w:pPr>
      <w:r w:rsidRPr="00617F2C">
        <w:rPr>
          <w:rFonts w:ascii="Palatino Linotype" w:eastAsia="Palatino Linotype" w:hAnsi="Palatino Linotype" w:cs="Palatino Linotype"/>
          <w:b/>
          <w:i/>
          <w:color w:val="000000"/>
        </w:rPr>
        <w:t>“CRITERIO 0002-11</w:t>
      </w:r>
    </w:p>
    <w:p w:rsidR="00313EA6" w:rsidRPr="00617F2C" w:rsidRDefault="00313EA6" w:rsidP="003E42B6">
      <w:pPr>
        <w:spacing w:line="360" w:lineRule="auto"/>
        <w:ind w:left="425" w:right="567"/>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617F2C">
        <w:rPr>
          <w:rFonts w:ascii="Palatino Linotype" w:eastAsia="Palatino Linotype" w:hAnsi="Palatino Linotype" w:cs="Palatino Linotype"/>
          <w:i/>
          <w:color w:val="000000"/>
        </w:rPr>
        <w:t xml:space="preserve"> De conformidad con los artículos antes referidos, el derecho de acceso a la información pública, se define en cuanto a su alcance y resultado </w:t>
      </w:r>
      <w:r w:rsidRPr="00617F2C">
        <w:rPr>
          <w:rFonts w:ascii="Palatino Linotype" w:eastAsia="Palatino Linotype" w:hAnsi="Palatino Linotype" w:cs="Palatino Linotype"/>
          <w:i/>
          <w:color w:val="000000"/>
        </w:rPr>
        <w:lastRenderedPageBreak/>
        <w:t>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13EA6" w:rsidRPr="00617F2C" w:rsidRDefault="00313EA6" w:rsidP="003E42B6">
      <w:pPr>
        <w:spacing w:line="360" w:lineRule="auto"/>
        <w:ind w:left="425" w:right="567"/>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En consecuencia el acceso a la información se refiere a que se cumplan cualquiera de los siguientes tres supuestos:</w:t>
      </w:r>
    </w:p>
    <w:p w:rsidR="00313EA6" w:rsidRPr="00617F2C" w:rsidRDefault="00313EA6" w:rsidP="003E42B6">
      <w:pPr>
        <w:spacing w:line="360" w:lineRule="auto"/>
        <w:ind w:left="425" w:right="567"/>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rsidR="00313EA6" w:rsidRPr="00617F2C" w:rsidRDefault="00313EA6" w:rsidP="003E42B6">
      <w:pPr>
        <w:spacing w:line="360" w:lineRule="auto"/>
        <w:ind w:left="425" w:right="567"/>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rsidR="00313EA6" w:rsidRPr="00617F2C" w:rsidRDefault="00313EA6" w:rsidP="003E42B6">
      <w:pPr>
        <w:spacing w:line="360" w:lineRule="auto"/>
        <w:ind w:left="425" w:right="567"/>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rsidR="00313EA6" w:rsidRPr="00617F2C" w:rsidRDefault="00313EA6" w:rsidP="003E42B6">
      <w:pPr>
        <w:spacing w:line="360" w:lineRule="auto"/>
        <w:jc w:val="both"/>
        <w:rPr>
          <w:rFonts w:ascii="Palatino Linotype" w:eastAsia="Palatino Linotype" w:hAnsi="Palatino Linotype" w:cs="Palatino Linotype"/>
          <w:color w:val="000000"/>
        </w:rPr>
      </w:pPr>
    </w:p>
    <w:p w:rsidR="00313EA6" w:rsidRPr="00617F2C" w:rsidRDefault="00313EA6" w:rsidP="00617F2C">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Es así que, todos los actos de autoridad que realicen los Sujetos Obligados </w:t>
      </w:r>
      <w:r w:rsidRPr="00617F2C">
        <w:rPr>
          <w:rFonts w:ascii="Palatino Linotype" w:eastAsia="Palatino Linotype" w:hAnsi="Palatino Linotype" w:cs="Palatino Linotype"/>
          <w:b/>
          <w:color w:val="000000"/>
        </w:rPr>
        <w:t xml:space="preserve">deben </w:t>
      </w:r>
      <w:r w:rsidRPr="00617F2C">
        <w:rPr>
          <w:rFonts w:ascii="Palatino Linotype" w:eastAsia="Palatino Linotype" w:hAnsi="Palatino Linotype" w:cs="Palatino Linotype"/>
          <w:color w:val="000000"/>
        </w:rPr>
        <w:t>estar</w:t>
      </w:r>
      <w:r w:rsidRPr="00617F2C">
        <w:rPr>
          <w:rFonts w:ascii="Palatino Linotype" w:eastAsia="Palatino Linotype" w:hAnsi="Palatino Linotype" w:cs="Palatino Linotype"/>
          <w:b/>
          <w:color w:val="000000"/>
        </w:rPr>
        <w:t xml:space="preserve"> </w:t>
      </w:r>
      <w:r w:rsidRPr="00617F2C">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651421" w:rsidRPr="00617F2C" w:rsidRDefault="00651421" w:rsidP="003E42B6">
      <w:pPr>
        <w:pStyle w:val="Sinespaciado"/>
        <w:spacing w:line="360" w:lineRule="auto"/>
        <w:jc w:val="both"/>
        <w:rPr>
          <w:rFonts w:ascii="Palatino Linotype" w:eastAsia="Palatino Linotype" w:hAnsi="Palatino Linotype" w:cs="Palatino Linotype"/>
          <w:color w:val="000000"/>
        </w:rPr>
      </w:pPr>
    </w:p>
    <w:p w:rsidR="00313EA6" w:rsidRPr="00617F2C" w:rsidRDefault="00313EA6" w:rsidP="00617F2C">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313EA6" w:rsidRPr="00617F2C" w:rsidRDefault="00313EA6" w:rsidP="003E42B6">
      <w:pPr>
        <w:spacing w:line="360" w:lineRule="auto"/>
        <w:ind w:left="425" w:right="333"/>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b/>
          <w:i/>
          <w:color w:val="000000"/>
        </w:rPr>
        <w:t xml:space="preserve">“Artículo 4. </w:t>
      </w:r>
      <w:r w:rsidRPr="00617F2C">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rsidR="00313EA6" w:rsidRPr="00617F2C" w:rsidRDefault="00313EA6" w:rsidP="003E42B6">
      <w:pPr>
        <w:spacing w:line="360" w:lineRule="auto"/>
        <w:ind w:left="426" w:right="333"/>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b/>
          <w:i/>
          <w:color w:val="000000"/>
        </w:rPr>
        <w:lastRenderedPageBreak/>
        <w:t>Toda la información</w:t>
      </w:r>
      <w:r w:rsidRPr="00617F2C">
        <w:rPr>
          <w:rFonts w:ascii="Palatino Linotype" w:eastAsia="Palatino Linotype" w:hAnsi="Palatino Linotype" w:cs="Palatino Linotype"/>
          <w:i/>
          <w:color w:val="000000"/>
        </w:rPr>
        <w:t xml:space="preserve"> generada, obtenida, adquirida, transformada, administrada o </w:t>
      </w:r>
      <w:r w:rsidRPr="00617F2C">
        <w:rPr>
          <w:rFonts w:ascii="Palatino Linotype" w:eastAsia="Palatino Linotype" w:hAnsi="Palatino Linotype" w:cs="Palatino Linotype"/>
          <w:b/>
          <w:i/>
          <w:color w:val="000000"/>
        </w:rPr>
        <w:t>en posesión de los sujetos obligados es pública</w:t>
      </w:r>
      <w:r w:rsidRPr="00617F2C">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13EA6" w:rsidRPr="00617F2C" w:rsidRDefault="00313EA6" w:rsidP="003E42B6">
      <w:pPr>
        <w:spacing w:line="360" w:lineRule="auto"/>
        <w:ind w:left="426" w:right="333"/>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rsidR="00313EA6" w:rsidRPr="00617F2C" w:rsidRDefault="00313EA6" w:rsidP="003E42B6">
      <w:pPr>
        <w:spacing w:line="360" w:lineRule="auto"/>
        <w:jc w:val="both"/>
        <w:rPr>
          <w:rFonts w:ascii="Palatino Linotype" w:eastAsia="Palatino Linotype" w:hAnsi="Palatino Linotype" w:cs="Palatino Linotype"/>
          <w:color w:val="000000"/>
        </w:rPr>
      </w:pPr>
    </w:p>
    <w:p w:rsidR="00313EA6" w:rsidRPr="00617F2C" w:rsidRDefault="00313EA6" w:rsidP="00617F2C">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617F2C">
        <w:rPr>
          <w:rFonts w:ascii="Palatino Linotype" w:eastAsia="Palatino Linotype" w:hAnsi="Palatino Linotype" w:cs="Palatino Linotype"/>
          <w:color w:val="000000"/>
          <w:vertAlign w:val="superscript"/>
        </w:rPr>
        <w:footnoteReference w:id="6"/>
      </w:r>
      <w:r w:rsidRPr="00617F2C">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313EA6" w:rsidRPr="00617F2C" w:rsidRDefault="00313EA6" w:rsidP="003E42B6">
      <w:pPr>
        <w:spacing w:line="360" w:lineRule="auto"/>
        <w:jc w:val="both"/>
        <w:rPr>
          <w:rFonts w:ascii="Palatino Linotype" w:eastAsia="Palatino Linotype" w:hAnsi="Palatino Linotype" w:cs="Palatino Linotype"/>
          <w:color w:val="000000"/>
        </w:rPr>
      </w:pPr>
    </w:p>
    <w:p w:rsidR="00313EA6" w:rsidRPr="00617F2C" w:rsidRDefault="00313EA6" w:rsidP="00617F2C">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313EA6" w:rsidRPr="00617F2C" w:rsidRDefault="00313EA6" w:rsidP="003E42B6">
      <w:pPr>
        <w:pBdr>
          <w:top w:val="nil"/>
          <w:left w:val="nil"/>
          <w:bottom w:val="nil"/>
          <w:right w:val="nil"/>
          <w:between w:val="nil"/>
        </w:pBdr>
        <w:tabs>
          <w:tab w:val="left" w:pos="851"/>
        </w:tabs>
        <w:spacing w:line="360" w:lineRule="auto"/>
        <w:ind w:left="425" w:right="425"/>
        <w:jc w:val="both"/>
        <w:rPr>
          <w:rFonts w:ascii="Palatino Linotype" w:eastAsia="Palatino Linotype" w:hAnsi="Palatino Linotype" w:cs="Palatino Linotype"/>
          <w:i/>
          <w:color w:val="000000"/>
        </w:rPr>
      </w:pPr>
      <w:r w:rsidRPr="00617F2C">
        <w:rPr>
          <w:rFonts w:ascii="Palatino Linotype" w:eastAsia="Palatino Linotype" w:hAnsi="Palatino Linotype" w:cs="Palatino Linotype"/>
          <w:b/>
          <w:i/>
          <w:color w:val="000000"/>
        </w:rPr>
        <w:t>“ACCESO A LA INFORMACIÓN. IMPLICACIÓN DEL PRINCIPIO DE MÁXIMA PUBLICIDAD EN EL DERECHO FUNDAMENTAL RELATIVO.</w:t>
      </w:r>
      <w:r w:rsidRPr="00617F2C">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w:t>
      </w:r>
      <w:r w:rsidRPr="00617F2C">
        <w:rPr>
          <w:rFonts w:ascii="Palatino Linotype" w:eastAsia="Palatino Linotype" w:hAnsi="Palatino Linotype" w:cs="Palatino Linotype"/>
          <w:i/>
          <w:color w:val="000000"/>
        </w:rPr>
        <w:lastRenderedPageBreak/>
        <w:t>secundaria y justificados bajo determinadas circunstancias, se podrá clasificar como confidencial o reservada, esto es, considerarla con una calidad diversa. “</w:t>
      </w:r>
    </w:p>
    <w:p w:rsidR="00313EA6" w:rsidRPr="00617F2C" w:rsidRDefault="00313EA6" w:rsidP="006077D4">
      <w:pPr>
        <w:spacing w:line="360" w:lineRule="auto"/>
        <w:rPr>
          <w:rFonts w:ascii="Palatino Linotype" w:eastAsia="Palatino Linotype" w:hAnsi="Palatino Linotype" w:cs="Palatino Linotype"/>
          <w:b/>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313EA6" w:rsidRPr="00617F2C" w:rsidRDefault="00313EA6" w:rsidP="003E42B6">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617F2C">
        <w:rPr>
          <w:rFonts w:ascii="Palatino Linotype" w:eastAsia="Palatino Linotype" w:hAnsi="Palatino Linotype" w:cs="Palatino Linotype"/>
          <w:b/>
        </w:rPr>
        <w:t>QUINTO. De la versión pública.</w:t>
      </w: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Finalmente, debe señalarse que dada la propia y especial naturaleza de lo solicitado, </w:t>
      </w:r>
      <w:r w:rsidR="002A3372" w:rsidRPr="00617F2C">
        <w:rPr>
          <w:rFonts w:ascii="Palatino Linotype" w:eastAsia="Palatino Linotype" w:hAnsi="Palatino Linotype" w:cs="Palatino Linotype"/>
        </w:rPr>
        <w:t>eventualmente pudiera contener</w:t>
      </w:r>
      <w:r w:rsidRPr="00617F2C">
        <w:rPr>
          <w:rFonts w:ascii="Palatino Linotype" w:eastAsia="Palatino Linotype" w:hAnsi="Palatino Linotype" w:cs="Palatino Linotype"/>
        </w:rPr>
        <w:t xml:space="preserve"> datos personales que deberán ser protegidos como ya quedó asentado en el Considerando anterior del presente proveído. </w:t>
      </w:r>
      <w:r w:rsidRPr="00617F2C">
        <w:rPr>
          <w:rFonts w:ascii="Palatino Linotype" w:eastAsia="Palatino Linotype" w:hAnsi="Palatino Linotype" w:cs="Palatino Linotype"/>
          <w:color w:val="000000"/>
        </w:rPr>
        <w:t>Para</w:t>
      </w:r>
      <w:r w:rsidRPr="00617F2C">
        <w:rPr>
          <w:rFonts w:ascii="Palatino Linotype" w:eastAsia="Palatino Linotype" w:hAnsi="Palatino Linotype" w:cs="Palatino Linotype"/>
        </w:rPr>
        <w:t xml:space="preserve"> dar cumplimiento a la presente resolución, contengan datos que deban ser clasificados, el </w:t>
      </w:r>
      <w:r w:rsidR="00651421" w:rsidRPr="00617F2C">
        <w:rPr>
          <w:rFonts w:ascii="Palatino Linotype" w:eastAsia="Palatino Linotype" w:hAnsi="Palatino Linotype" w:cs="Palatino Linotype"/>
          <w:b/>
        </w:rPr>
        <w:t>SUJETO OBLIGADO</w:t>
      </w:r>
      <w:r w:rsidR="00651421" w:rsidRPr="00617F2C">
        <w:rPr>
          <w:rFonts w:ascii="Palatino Linotype" w:eastAsia="Palatino Linotype" w:hAnsi="Palatino Linotype" w:cs="Palatino Linotype"/>
        </w:rPr>
        <w:t xml:space="preserve"> </w:t>
      </w:r>
      <w:r w:rsidRPr="00617F2C">
        <w:rPr>
          <w:rFonts w:ascii="Palatino Linotype" w:eastAsia="Palatino Linotype" w:hAnsi="Palatino Linotype" w:cs="Palatino Linotype"/>
        </w:rPr>
        <w:t>deberá hacer la elaboración de la versión pública de tales documentos a fin de satisfacer el derecho de acceso a la información pública del recurrente sin menoscabo al derecho a la protección de los datos personales de terceros.</w:t>
      </w:r>
    </w:p>
    <w:p w:rsidR="00246311" w:rsidRPr="00617F2C" w:rsidRDefault="00246311" w:rsidP="003E42B6">
      <w:pPr>
        <w:pStyle w:val="Prrafodelista"/>
        <w:spacing w:line="360" w:lineRule="auto"/>
        <w:ind w:left="0"/>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651421" w:rsidRPr="00617F2C" w:rsidRDefault="00651421" w:rsidP="003E42B6">
      <w:pPr>
        <w:pStyle w:val="Prrafodelista"/>
        <w:spacing w:line="360" w:lineRule="auto"/>
        <w:rPr>
          <w:rFonts w:ascii="Palatino Linotype" w:eastAsia="Palatino Linotype" w:hAnsi="Palatino Linotype" w:cs="Palatino Linotype"/>
        </w:rPr>
      </w:pPr>
    </w:p>
    <w:p w:rsidR="00246311" w:rsidRPr="00617F2C" w:rsidRDefault="00246311" w:rsidP="003E42B6">
      <w:pPr>
        <w:spacing w:line="360" w:lineRule="auto"/>
        <w:ind w:left="993" w:right="1041"/>
        <w:jc w:val="both"/>
        <w:rPr>
          <w:rFonts w:ascii="Palatino Linotype" w:eastAsia="Palatino Linotype" w:hAnsi="Palatino Linotype" w:cs="Palatino Linotype"/>
          <w:b/>
          <w:i/>
        </w:rPr>
      </w:pPr>
      <w:r w:rsidRPr="00617F2C">
        <w:rPr>
          <w:rFonts w:ascii="Palatino Linotype" w:eastAsia="Palatino Linotype" w:hAnsi="Palatino Linotype" w:cs="Palatino Linotype"/>
          <w:b/>
          <w:i/>
        </w:rPr>
        <w:t xml:space="preserve"> “Artículo 3. Para los efectos de la presente Ley se entenderá por:</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t>IX. Datos personales:</w:t>
      </w:r>
      <w:r w:rsidRPr="00617F2C">
        <w:rPr>
          <w:rFonts w:ascii="Palatino Linotype" w:eastAsia="Palatino Linotype" w:hAnsi="Palatino Linotype" w:cs="Palatino Linotype"/>
          <w:i/>
        </w:rPr>
        <w:t xml:space="preserve"> </w:t>
      </w:r>
      <w:r w:rsidRPr="00617F2C">
        <w:rPr>
          <w:rFonts w:ascii="Palatino Linotype" w:eastAsia="Palatino Linotype" w:hAnsi="Palatino Linotype" w:cs="Palatino Linotype"/>
          <w:b/>
          <w:i/>
        </w:rPr>
        <w:t>La información concerniente a una persona, identificada o identificable</w:t>
      </w:r>
      <w:r w:rsidRPr="00617F2C">
        <w:rPr>
          <w:rFonts w:ascii="Palatino Linotype" w:eastAsia="Palatino Linotype" w:hAnsi="Palatino Linotype" w:cs="Palatino Linotype"/>
          <w:i/>
        </w:rPr>
        <w:t xml:space="preserve"> según lo dispuesto por la Ley de Protección de Datos Personales del Estado de México;</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t>XX. Información clasificada:</w:t>
      </w:r>
      <w:r w:rsidRPr="00617F2C">
        <w:rPr>
          <w:rFonts w:ascii="Palatino Linotype" w:eastAsia="Palatino Linotype" w:hAnsi="Palatino Linotype" w:cs="Palatino Linotype"/>
          <w:i/>
        </w:rPr>
        <w:t xml:space="preserve"> Aquella considerada por la presente Ley como reservada o confidencial;</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lastRenderedPageBreak/>
        <w:t>XXXII. Protección de Datos Personales:</w:t>
      </w:r>
      <w:r w:rsidRPr="00617F2C">
        <w:rPr>
          <w:rFonts w:ascii="Palatino Linotype" w:eastAsia="Palatino Linotype" w:hAnsi="Palatino Linotype" w:cs="Palatino Linotype"/>
          <w:i/>
        </w:rPr>
        <w:t xml:space="preserve"> Derecho humano que tutela la privacidad de datos personales en poder de los sujetos obligados y sujetos particulares;</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t>XLV. Versión pública</w:t>
      </w:r>
      <w:r w:rsidRPr="00617F2C">
        <w:rPr>
          <w:rFonts w:ascii="Palatino Linotype" w:eastAsia="Palatino Linotype" w:hAnsi="Palatino Linotype" w:cs="Palatino Linotype"/>
          <w:i/>
        </w:rPr>
        <w:t>: Documento en el que se elimine, suprime o borra la información clasificada como reservada o confidencial para permitir su acceso.”</w:t>
      </w:r>
    </w:p>
    <w:p w:rsidR="00246311" w:rsidRPr="00617F2C" w:rsidRDefault="00246311" w:rsidP="003E42B6">
      <w:pPr>
        <w:spacing w:line="360" w:lineRule="auto"/>
        <w:ind w:left="993" w:right="1041"/>
        <w:jc w:val="both"/>
        <w:rPr>
          <w:rFonts w:ascii="Palatino Linotype" w:eastAsia="Palatino Linotype" w:hAnsi="Palatino Linotype" w:cs="Palatino Linotype"/>
          <w:i/>
        </w:rPr>
      </w:pP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t>“Artículo 6.</w:t>
      </w:r>
      <w:r w:rsidRPr="00617F2C">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246311" w:rsidRPr="00617F2C" w:rsidRDefault="00246311" w:rsidP="003E42B6">
      <w:pPr>
        <w:spacing w:line="360" w:lineRule="auto"/>
        <w:ind w:left="993" w:right="1041"/>
        <w:jc w:val="both"/>
        <w:rPr>
          <w:rFonts w:ascii="Palatino Linotype" w:eastAsia="Palatino Linotype" w:hAnsi="Palatino Linotype" w:cs="Palatino Linotype"/>
          <w:i/>
        </w:rPr>
      </w:pP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i/>
        </w:rPr>
        <w:t> </w:t>
      </w:r>
      <w:r w:rsidRPr="00617F2C">
        <w:rPr>
          <w:rFonts w:ascii="Palatino Linotype" w:eastAsia="Palatino Linotype" w:hAnsi="Palatino Linotype" w:cs="Palatino Linotype"/>
          <w:b/>
          <w:i/>
        </w:rPr>
        <w:t>Artículo 49.</w:t>
      </w:r>
      <w:r w:rsidRPr="00617F2C">
        <w:rPr>
          <w:rFonts w:ascii="Palatino Linotype" w:eastAsia="Palatino Linotype" w:hAnsi="Palatino Linotype" w:cs="Palatino Linotype"/>
          <w:i/>
        </w:rPr>
        <w:t> Los Comités de Transparencia tendrán las siguientes atribuciones:</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t>VIII</w:t>
      </w:r>
      <w:r w:rsidRPr="00617F2C">
        <w:rPr>
          <w:rFonts w:ascii="Palatino Linotype" w:eastAsia="Palatino Linotype" w:hAnsi="Palatino Linotype" w:cs="Palatino Linotype"/>
          <w:i/>
        </w:rPr>
        <w:t>. Aprobar, modificar o revocar la clasificación de la información;</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t xml:space="preserve">Artículo 91. </w:t>
      </w:r>
      <w:r w:rsidRPr="00617F2C">
        <w:rPr>
          <w:rFonts w:ascii="Palatino Linotype" w:eastAsia="Palatino Linotype" w:hAnsi="Palatino Linotype" w:cs="Palatino Linotype"/>
          <w:i/>
        </w:rPr>
        <w:t>El acceso a la información pública será restringido excepcionalmente, cuando ésta sea clasificada como reservada o confidencial.</w:t>
      </w:r>
    </w:p>
    <w:p w:rsidR="00246311" w:rsidRPr="00617F2C" w:rsidRDefault="00246311" w:rsidP="003E42B6">
      <w:pPr>
        <w:spacing w:line="360" w:lineRule="auto"/>
        <w:ind w:left="993" w:right="1041"/>
        <w:jc w:val="both"/>
        <w:rPr>
          <w:rFonts w:ascii="Palatino Linotype" w:eastAsia="Palatino Linotype" w:hAnsi="Palatino Linotype" w:cs="Palatino Linotype"/>
          <w:i/>
        </w:rPr>
      </w:pPr>
    </w:p>
    <w:p w:rsidR="00246311" w:rsidRPr="00617F2C" w:rsidRDefault="00246311" w:rsidP="003E42B6">
      <w:pPr>
        <w:spacing w:line="360" w:lineRule="auto"/>
        <w:ind w:left="993" w:right="1041"/>
        <w:jc w:val="both"/>
        <w:rPr>
          <w:rFonts w:ascii="Palatino Linotype" w:eastAsia="Palatino Linotype" w:hAnsi="Palatino Linotype" w:cs="Palatino Linotype"/>
          <w:b/>
          <w:i/>
        </w:rPr>
      </w:pPr>
      <w:r w:rsidRPr="00617F2C">
        <w:rPr>
          <w:rFonts w:ascii="Palatino Linotype" w:eastAsia="Palatino Linotype" w:hAnsi="Palatino Linotype" w:cs="Palatino Linotype"/>
          <w:b/>
          <w:i/>
        </w:rPr>
        <w:lastRenderedPageBreak/>
        <w:t>“Artículo 137.</w:t>
      </w:r>
      <w:r w:rsidRPr="00617F2C">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246311" w:rsidRPr="00617F2C" w:rsidRDefault="00246311" w:rsidP="003E42B6">
      <w:pPr>
        <w:spacing w:line="360" w:lineRule="auto"/>
        <w:ind w:left="993" w:right="1041"/>
        <w:jc w:val="both"/>
        <w:rPr>
          <w:rFonts w:ascii="Palatino Linotype" w:eastAsia="Palatino Linotype" w:hAnsi="Palatino Linotype" w:cs="Palatino Linotype"/>
          <w:b/>
          <w:i/>
        </w:rPr>
      </w:pP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t>“Artículo 143</w:t>
      </w:r>
      <w:r w:rsidRPr="00617F2C">
        <w:rPr>
          <w:rFonts w:ascii="Palatino Linotype" w:eastAsia="Palatino Linotype" w:hAnsi="Palatino Linotype" w:cs="Palatino Linotype"/>
          <w:i/>
        </w:rPr>
        <w:t>. Para los efectos de esta Ley se considera información confidencial, la clasificada como tal, de manera permanente, por su naturaleza, cuando:</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b/>
          <w:i/>
        </w:rPr>
        <w:t>I.</w:t>
      </w:r>
      <w:r w:rsidRPr="00617F2C">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rsidR="00246311" w:rsidRPr="00617F2C" w:rsidRDefault="00246311" w:rsidP="003E42B6">
      <w:pPr>
        <w:spacing w:line="360" w:lineRule="auto"/>
        <w:ind w:left="993" w:right="1041"/>
        <w:jc w:val="both"/>
        <w:rPr>
          <w:rFonts w:ascii="Palatino Linotype" w:eastAsia="Palatino Linotype" w:hAnsi="Palatino Linotype" w:cs="Palatino Linotype"/>
          <w:i/>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w:t>
      </w:r>
      <w:r w:rsidRPr="00617F2C">
        <w:rPr>
          <w:rFonts w:ascii="Palatino Linotype" w:eastAsia="Palatino Linotype" w:hAnsi="Palatino Linotype" w:cs="Palatino Linotype"/>
        </w:rPr>
        <w:lastRenderedPageBreak/>
        <w:t>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F413BE" w:rsidRPr="00617F2C" w:rsidRDefault="00F413BE" w:rsidP="003E42B6">
      <w:pPr>
        <w:pStyle w:val="Sinespaciado"/>
        <w:spacing w:line="360" w:lineRule="auto"/>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246311" w:rsidRPr="00617F2C" w:rsidRDefault="00246311" w:rsidP="003E42B6">
      <w:pPr>
        <w:spacing w:line="360" w:lineRule="auto"/>
        <w:ind w:right="50"/>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172F33" w:rsidRPr="00617F2C" w:rsidRDefault="00172F33" w:rsidP="00172F33">
      <w:pPr>
        <w:pStyle w:val="Prrafodelista"/>
        <w:rPr>
          <w:rFonts w:ascii="Palatino Linotype" w:eastAsia="Palatino Linotype" w:hAnsi="Palatino Linotype" w:cs="Palatino Linotype"/>
        </w:rPr>
      </w:pPr>
    </w:p>
    <w:p w:rsidR="00246311" w:rsidRPr="00617F2C" w:rsidRDefault="00246311" w:rsidP="003E42B6">
      <w:pPr>
        <w:spacing w:line="360" w:lineRule="auto"/>
        <w:ind w:left="851" w:right="1043"/>
        <w:jc w:val="both"/>
        <w:rPr>
          <w:rFonts w:ascii="Palatino Linotype" w:eastAsia="Palatino Linotype" w:hAnsi="Palatino Linotype" w:cs="Palatino Linotype"/>
          <w:i/>
        </w:rPr>
      </w:pPr>
      <w:r w:rsidRPr="00617F2C">
        <w:rPr>
          <w:rFonts w:ascii="Palatino Linotype" w:eastAsia="Palatino Linotype" w:hAnsi="Palatino Linotype" w:cs="Palatino Linotype"/>
          <w:b/>
          <w:i/>
        </w:rPr>
        <w:t>“Artículo 49.</w:t>
      </w:r>
      <w:r w:rsidRPr="00617F2C">
        <w:rPr>
          <w:rFonts w:ascii="Palatino Linotype" w:eastAsia="Palatino Linotype" w:hAnsi="Palatino Linotype" w:cs="Palatino Linotype"/>
          <w:i/>
        </w:rPr>
        <w:t xml:space="preserve"> </w:t>
      </w:r>
      <w:r w:rsidRPr="00617F2C">
        <w:rPr>
          <w:rFonts w:ascii="Palatino Linotype" w:eastAsia="Palatino Linotype" w:hAnsi="Palatino Linotype" w:cs="Palatino Linotype"/>
          <w:b/>
          <w:i/>
        </w:rPr>
        <w:t>Los Comités de Transparencia</w:t>
      </w:r>
      <w:r w:rsidRPr="00617F2C">
        <w:rPr>
          <w:rFonts w:ascii="Palatino Linotype" w:eastAsia="Palatino Linotype" w:hAnsi="Palatino Linotype" w:cs="Palatino Linotype"/>
          <w:i/>
        </w:rPr>
        <w:t xml:space="preserve"> tendrán las siguientes atribuciones:</w:t>
      </w:r>
    </w:p>
    <w:p w:rsidR="00246311" w:rsidRPr="00617F2C" w:rsidRDefault="00246311" w:rsidP="003E42B6">
      <w:pPr>
        <w:spacing w:line="360" w:lineRule="auto"/>
        <w:ind w:left="851" w:right="1043"/>
        <w:jc w:val="both"/>
        <w:rPr>
          <w:rFonts w:ascii="Palatino Linotype" w:eastAsia="Palatino Linotype" w:hAnsi="Palatino Linotype" w:cs="Palatino Linotype"/>
          <w:i/>
        </w:rPr>
      </w:pPr>
      <w:r w:rsidRPr="00617F2C">
        <w:rPr>
          <w:rFonts w:ascii="Palatino Linotype" w:eastAsia="Palatino Linotype" w:hAnsi="Palatino Linotype" w:cs="Palatino Linotype"/>
          <w:b/>
          <w:i/>
        </w:rPr>
        <w:t>VIII. Aprobar, modificar o revocar la clasificación de la información</w:t>
      </w:r>
      <w:r w:rsidRPr="00617F2C">
        <w:rPr>
          <w:rFonts w:ascii="Palatino Linotype" w:eastAsia="Palatino Linotype" w:hAnsi="Palatino Linotype" w:cs="Palatino Linotype"/>
          <w:i/>
        </w:rPr>
        <w:t>…”</w:t>
      </w:r>
    </w:p>
    <w:p w:rsidR="00246311" w:rsidRPr="00617F2C" w:rsidRDefault="00246311" w:rsidP="003E42B6">
      <w:pPr>
        <w:spacing w:line="360" w:lineRule="auto"/>
        <w:ind w:left="851" w:right="1043"/>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r w:rsidRPr="00617F2C">
        <w:rPr>
          <w:rFonts w:ascii="Palatino Linotype" w:eastAsia="Palatino Linotype" w:hAnsi="Palatino Linotype" w:cs="Palatino Linotype"/>
          <w:b/>
          <w:i/>
        </w:rPr>
        <w:t>Artículo 53.</w:t>
      </w:r>
      <w:r w:rsidRPr="00617F2C">
        <w:rPr>
          <w:rFonts w:ascii="Palatino Linotype" w:eastAsia="Palatino Linotype" w:hAnsi="Palatino Linotype" w:cs="Palatino Linotype"/>
          <w:i/>
        </w:rPr>
        <w:t xml:space="preserve"> Las </w:t>
      </w:r>
      <w:r w:rsidRPr="00617F2C">
        <w:rPr>
          <w:rFonts w:ascii="Palatino Linotype" w:eastAsia="Palatino Linotype" w:hAnsi="Palatino Linotype" w:cs="Palatino Linotype"/>
          <w:b/>
          <w:i/>
        </w:rPr>
        <w:t>Unidades de Transparencia</w:t>
      </w:r>
      <w:r w:rsidRPr="00617F2C">
        <w:rPr>
          <w:rFonts w:ascii="Palatino Linotype" w:eastAsia="Palatino Linotype" w:hAnsi="Palatino Linotype" w:cs="Palatino Linotype"/>
          <w:i/>
        </w:rPr>
        <w:t xml:space="preserve"> tendrán las siguientes </w:t>
      </w:r>
      <w:r w:rsidRPr="00617F2C">
        <w:rPr>
          <w:rFonts w:ascii="Palatino Linotype" w:eastAsia="Palatino Linotype" w:hAnsi="Palatino Linotype" w:cs="Palatino Linotype"/>
          <w:b/>
          <w:i/>
        </w:rPr>
        <w:t>funciones</w:t>
      </w:r>
      <w:r w:rsidRPr="00617F2C">
        <w:rPr>
          <w:rFonts w:ascii="Palatino Linotype" w:eastAsia="Palatino Linotype" w:hAnsi="Palatino Linotype" w:cs="Palatino Linotype"/>
          <w:i/>
        </w:rPr>
        <w:t>:</w:t>
      </w:r>
    </w:p>
    <w:p w:rsidR="00246311" w:rsidRPr="00617F2C" w:rsidRDefault="00246311" w:rsidP="003E42B6">
      <w:pPr>
        <w:spacing w:line="360" w:lineRule="auto"/>
        <w:ind w:left="851" w:right="1043"/>
        <w:jc w:val="both"/>
        <w:rPr>
          <w:rFonts w:ascii="Palatino Linotype" w:eastAsia="Palatino Linotype" w:hAnsi="Palatino Linotype" w:cs="Palatino Linotype"/>
          <w:i/>
        </w:rPr>
      </w:pPr>
      <w:r w:rsidRPr="00617F2C">
        <w:rPr>
          <w:rFonts w:ascii="Palatino Linotype" w:eastAsia="Palatino Linotype" w:hAnsi="Palatino Linotype" w:cs="Palatino Linotype"/>
          <w:b/>
          <w:i/>
        </w:rPr>
        <w:lastRenderedPageBreak/>
        <w:t>X. Presentar ante el Comité, el proyecto de clasificación de información</w:t>
      </w:r>
      <w:r w:rsidRPr="00617F2C">
        <w:rPr>
          <w:rFonts w:ascii="Palatino Linotype" w:eastAsia="Palatino Linotype" w:hAnsi="Palatino Linotype" w:cs="Palatino Linotype"/>
          <w:i/>
        </w:rPr>
        <w:t xml:space="preserve">…” </w:t>
      </w:r>
    </w:p>
    <w:p w:rsidR="00246311" w:rsidRPr="00617F2C" w:rsidRDefault="00246311" w:rsidP="003E42B6">
      <w:pPr>
        <w:spacing w:line="360" w:lineRule="auto"/>
        <w:ind w:left="851" w:right="1043"/>
        <w:jc w:val="both"/>
        <w:rPr>
          <w:rFonts w:ascii="Palatino Linotype" w:eastAsia="Palatino Linotype" w:hAnsi="Palatino Linotype" w:cs="Palatino Linotype"/>
          <w:i/>
        </w:rPr>
      </w:pPr>
      <w:r w:rsidRPr="00617F2C">
        <w:rPr>
          <w:rFonts w:ascii="Palatino Linotype" w:eastAsia="Palatino Linotype" w:hAnsi="Palatino Linotype" w:cs="Palatino Linotype"/>
          <w:b/>
          <w:i/>
        </w:rPr>
        <w:t>“Artículo 59.</w:t>
      </w:r>
      <w:r w:rsidRPr="00617F2C">
        <w:rPr>
          <w:rFonts w:ascii="Palatino Linotype" w:eastAsia="Palatino Linotype" w:hAnsi="Palatino Linotype" w:cs="Palatino Linotype"/>
          <w:i/>
        </w:rPr>
        <w:t xml:space="preserve"> Los </w:t>
      </w:r>
      <w:r w:rsidRPr="00617F2C">
        <w:rPr>
          <w:rFonts w:ascii="Palatino Linotype" w:eastAsia="Palatino Linotype" w:hAnsi="Palatino Linotype" w:cs="Palatino Linotype"/>
          <w:b/>
          <w:i/>
        </w:rPr>
        <w:t>servidores públicos habilitados</w:t>
      </w:r>
      <w:r w:rsidRPr="00617F2C">
        <w:rPr>
          <w:rFonts w:ascii="Palatino Linotype" w:eastAsia="Palatino Linotype" w:hAnsi="Palatino Linotype" w:cs="Palatino Linotype"/>
          <w:i/>
        </w:rPr>
        <w:t xml:space="preserve"> tendrán las </w:t>
      </w:r>
      <w:r w:rsidRPr="00617F2C">
        <w:rPr>
          <w:rFonts w:ascii="Palatino Linotype" w:eastAsia="Palatino Linotype" w:hAnsi="Palatino Linotype" w:cs="Palatino Linotype"/>
          <w:b/>
          <w:i/>
        </w:rPr>
        <w:t>funciones</w:t>
      </w:r>
      <w:r w:rsidRPr="00617F2C">
        <w:rPr>
          <w:rFonts w:ascii="Palatino Linotype" w:eastAsia="Palatino Linotype" w:hAnsi="Palatino Linotype" w:cs="Palatino Linotype"/>
          <w:i/>
        </w:rPr>
        <w:t xml:space="preserve"> siguientes:</w:t>
      </w:r>
    </w:p>
    <w:p w:rsidR="00246311" w:rsidRPr="00617F2C" w:rsidRDefault="00246311" w:rsidP="003E42B6">
      <w:pPr>
        <w:spacing w:line="360" w:lineRule="auto"/>
        <w:ind w:left="851" w:right="1043"/>
        <w:jc w:val="both"/>
        <w:rPr>
          <w:rFonts w:ascii="Palatino Linotype" w:eastAsia="Palatino Linotype" w:hAnsi="Palatino Linotype" w:cs="Palatino Linotype"/>
          <w:i/>
        </w:rPr>
      </w:pPr>
      <w:r w:rsidRPr="00617F2C">
        <w:rPr>
          <w:rFonts w:ascii="Palatino Linotype" w:eastAsia="Palatino Linotype" w:hAnsi="Palatino Linotype" w:cs="Palatino Linotype"/>
          <w:b/>
          <w:i/>
        </w:rPr>
        <w:t>V. Integrar y presentar al responsable de la Unidad de Transparencia la propuesta de clasificación de información</w:t>
      </w:r>
      <w:r w:rsidRPr="00617F2C">
        <w:rPr>
          <w:rFonts w:ascii="Palatino Linotype" w:eastAsia="Palatino Linotype" w:hAnsi="Palatino Linotype" w:cs="Palatino Linotype"/>
          <w:i/>
        </w:rPr>
        <w:t>, la cual tendrá los fundamentos y argumentos en que se basa dicha propuesta…”</w:t>
      </w:r>
    </w:p>
    <w:p w:rsidR="00854B9E" w:rsidRPr="00617F2C" w:rsidRDefault="00854B9E" w:rsidP="003E42B6">
      <w:pPr>
        <w:spacing w:line="360" w:lineRule="auto"/>
        <w:ind w:left="851" w:right="1043"/>
        <w:jc w:val="both"/>
        <w:rPr>
          <w:rFonts w:ascii="Palatino Linotype" w:eastAsia="Palatino Linotype" w:hAnsi="Palatino Linotype" w:cs="Palatino Linotype"/>
          <w:i/>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246311" w:rsidRPr="00617F2C" w:rsidRDefault="00246311" w:rsidP="003E42B6">
      <w:pPr>
        <w:spacing w:line="360" w:lineRule="auto"/>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Para lo cual, a su vez en el caso de información de carácter confidencial, se debe atender a lo que señala el artículo 149 de la Ley de Transparencia Local vigente, que se lee como sigue:</w:t>
      </w:r>
    </w:p>
    <w:p w:rsidR="00246311" w:rsidRPr="00617F2C" w:rsidRDefault="00246311" w:rsidP="003E42B6">
      <w:pPr>
        <w:spacing w:line="360" w:lineRule="auto"/>
        <w:ind w:left="993" w:right="1041"/>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r w:rsidRPr="00617F2C">
        <w:rPr>
          <w:rFonts w:ascii="Palatino Linotype" w:eastAsia="Palatino Linotype" w:hAnsi="Palatino Linotype" w:cs="Palatino Linotype"/>
          <w:b/>
          <w:i/>
        </w:rPr>
        <w:t>Artículo 149.</w:t>
      </w:r>
      <w:r w:rsidRPr="00617F2C">
        <w:rPr>
          <w:rFonts w:ascii="Palatino Linotype" w:eastAsia="Palatino Linotype" w:hAnsi="Palatino Linotype" w:cs="Palatino Linotype"/>
          <w:i/>
        </w:rPr>
        <w:t xml:space="preserve"> El </w:t>
      </w:r>
      <w:r w:rsidRPr="00617F2C">
        <w:rPr>
          <w:rFonts w:ascii="Palatino Linotype" w:eastAsia="Palatino Linotype" w:hAnsi="Palatino Linotype" w:cs="Palatino Linotype"/>
          <w:b/>
          <w:i/>
        </w:rPr>
        <w:t>acuerdo que clasifique la información como confidencial</w:t>
      </w:r>
      <w:r w:rsidRPr="00617F2C">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lastRenderedPageBreak/>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734293" w:rsidRPr="00617F2C" w:rsidRDefault="00734293" w:rsidP="00734293">
      <w:pPr>
        <w:pStyle w:val="Sinespaciado"/>
        <w:spacing w:line="360" w:lineRule="auto"/>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En el caso específico, los documentos probatorios también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617F2C">
        <w:rPr>
          <w:rFonts w:ascii="Palatino Linotype" w:eastAsia="Palatino Linotype" w:hAnsi="Palatino Linotype" w:cs="Palatino Linotype"/>
          <w:b/>
        </w:rPr>
        <w:t>Registro Federal de Contribuyentes</w:t>
      </w:r>
      <w:r w:rsidRPr="00617F2C">
        <w:rPr>
          <w:rFonts w:ascii="Palatino Linotype" w:eastAsia="Palatino Linotype" w:hAnsi="Palatino Linotype" w:cs="Palatino Linotype"/>
        </w:rPr>
        <w:t xml:space="preserve"> (RFC), la </w:t>
      </w:r>
      <w:r w:rsidRPr="00617F2C">
        <w:rPr>
          <w:rFonts w:ascii="Palatino Linotype" w:eastAsia="Palatino Linotype" w:hAnsi="Palatino Linotype" w:cs="Palatino Linotype"/>
          <w:b/>
        </w:rPr>
        <w:t>Clave Única de Registro de Población</w:t>
      </w:r>
      <w:r w:rsidRPr="00617F2C">
        <w:rPr>
          <w:rFonts w:ascii="Palatino Linotype" w:eastAsia="Palatino Linotype" w:hAnsi="Palatino Linotype" w:cs="Palatino Linotype"/>
        </w:rPr>
        <w:t xml:space="preserve"> (CURP), la </w:t>
      </w:r>
      <w:r w:rsidRPr="00617F2C">
        <w:rPr>
          <w:rFonts w:ascii="Palatino Linotype" w:eastAsia="Palatino Linotype" w:hAnsi="Palatino Linotype" w:cs="Palatino Linotype"/>
          <w:b/>
        </w:rPr>
        <w:t>Clave de cualquier tipo de seguridad social</w:t>
      </w:r>
      <w:r w:rsidRPr="00617F2C">
        <w:rPr>
          <w:rFonts w:ascii="Palatino Linotype" w:eastAsia="Palatino Linotype" w:hAnsi="Palatino Linotype" w:cs="Palatino Linotype"/>
        </w:rPr>
        <w:t xml:space="preserve"> (ISSEMYM, u otros), y los descuentos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246311" w:rsidRPr="00617F2C" w:rsidRDefault="00246311" w:rsidP="003E42B6">
      <w:pPr>
        <w:pStyle w:val="Prrafodelista"/>
        <w:spacing w:line="360" w:lineRule="auto"/>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Por cuanto hace al </w:t>
      </w:r>
      <w:r w:rsidRPr="00617F2C">
        <w:rPr>
          <w:rFonts w:ascii="Palatino Linotype" w:eastAsia="Palatino Linotype" w:hAnsi="Palatino Linotype" w:cs="Palatino Linotype"/>
          <w:b/>
        </w:rPr>
        <w:t>Registro Federal de Contribuyentes (RFC),</w:t>
      </w:r>
      <w:r w:rsidRPr="00617F2C">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w:t>
      </w:r>
      <w:r w:rsidRPr="00617F2C">
        <w:rPr>
          <w:rFonts w:ascii="Palatino Linotype" w:eastAsia="Palatino Linotype" w:hAnsi="Palatino Linotype" w:cs="Palatino Linotype"/>
        </w:rPr>
        <w:lastRenderedPageBreak/>
        <w:t>para su obtención es necesario acreditar ante la autoridad fiscal previamente la identidad de la persona, su fecha de nacimiento, entre otros aspectos.</w:t>
      </w:r>
    </w:p>
    <w:p w:rsidR="00246311" w:rsidRPr="00617F2C" w:rsidRDefault="00246311" w:rsidP="003E42B6">
      <w:pPr>
        <w:pStyle w:val="Prrafodelista"/>
        <w:spacing w:line="360" w:lineRule="auto"/>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246311" w:rsidRPr="00617F2C"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Lo anterior es compartido por el entonces Instituto Federal de Acceso a la Información Pública y Protección de Datos Personales (IFAI) a través del Criterio </w:t>
      </w:r>
      <w:r w:rsidRPr="00617F2C">
        <w:rPr>
          <w:rFonts w:ascii="Palatino Linotype" w:eastAsia="Palatino Linotype" w:hAnsi="Palatino Linotype" w:cs="Palatino Linotype"/>
          <w:highlight w:val="white"/>
        </w:rPr>
        <w:t xml:space="preserve">19/17, </w:t>
      </w:r>
      <w:r w:rsidRPr="00617F2C">
        <w:rPr>
          <w:rFonts w:ascii="Palatino Linotype" w:eastAsia="Palatino Linotype" w:hAnsi="Palatino Linotype" w:cs="Palatino Linotype"/>
        </w:rPr>
        <w:t>el cual es del tenor literal siguiente:</w:t>
      </w:r>
    </w:p>
    <w:p w:rsidR="00246311" w:rsidRPr="00617F2C" w:rsidRDefault="00246311" w:rsidP="003E42B6">
      <w:pPr>
        <w:spacing w:line="360" w:lineRule="auto"/>
        <w:ind w:left="851" w:right="900"/>
        <w:jc w:val="both"/>
        <w:rPr>
          <w:rFonts w:ascii="Palatino Linotype" w:eastAsia="Palatino Linotype" w:hAnsi="Palatino Linotype" w:cs="Palatino Linotype"/>
          <w:i/>
        </w:rPr>
      </w:pPr>
      <w:r w:rsidRPr="00617F2C">
        <w:rPr>
          <w:rFonts w:ascii="Palatino Linotype" w:eastAsia="Palatino Linotype" w:hAnsi="Palatino Linotype" w:cs="Palatino Linotype"/>
          <w:b/>
          <w:i/>
        </w:rPr>
        <w:t>“Registro Federal de Contribuyentes (RFC) de personas físicas</w:t>
      </w:r>
      <w:r w:rsidRPr="00617F2C">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rsidR="00172F33" w:rsidRPr="00617F2C" w:rsidRDefault="00172F33" w:rsidP="003E42B6">
      <w:pPr>
        <w:spacing w:line="360" w:lineRule="auto"/>
        <w:ind w:left="851" w:right="900"/>
        <w:jc w:val="both"/>
        <w:rPr>
          <w:rFonts w:ascii="Palatino Linotype" w:eastAsia="Palatino Linotype" w:hAnsi="Palatino Linotype" w:cs="Palatino Linotype"/>
          <w:i/>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lastRenderedPageBreak/>
        <w:t xml:space="preserve">De igual manera la </w:t>
      </w:r>
      <w:r w:rsidRPr="00617F2C">
        <w:rPr>
          <w:rFonts w:ascii="Palatino Linotype" w:eastAsia="Palatino Linotype" w:hAnsi="Palatino Linotype" w:cs="Palatino Linotype"/>
          <w:b/>
        </w:rPr>
        <w:t>Clave Única de Registro de Población (CURP)</w:t>
      </w:r>
      <w:r w:rsidRPr="00617F2C">
        <w:rPr>
          <w:rFonts w:ascii="Palatino Linotype" w:eastAsia="Palatino Linotype" w:hAnsi="Palatino Linotype" w:cs="Palatino Linotype"/>
        </w:rPr>
        <w:t>,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246311" w:rsidRPr="00617F2C" w:rsidRDefault="00246311" w:rsidP="003E42B6">
      <w:pPr>
        <w:pStyle w:val="Prrafodelista"/>
        <w:spacing w:line="360" w:lineRule="auto"/>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Argumento que es compartido por el Instituto </w:t>
      </w:r>
      <w:r w:rsidRPr="00617F2C">
        <w:rPr>
          <w:rFonts w:ascii="Palatino Linotype" w:eastAsia="Palatino Linotype" w:hAnsi="Palatino Linotype" w:cs="Palatino Linotype"/>
          <w:highlight w:val="white"/>
        </w:rPr>
        <w:t xml:space="preserve">Nacional de Transparencia, Acceso a la </w:t>
      </w:r>
      <w:r w:rsidRPr="00617F2C">
        <w:rPr>
          <w:rFonts w:ascii="Palatino Linotype" w:eastAsia="Palatino Linotype" w:hAnsi="Palatino Linotype" w:cs="Palatino Linotype"/>
        </w:rPr>
        <w:t>Información</w:t>
      </w:r>
      <w:r w:rsidRPr="00617F2C">
        <w:rPr>
          <w:rFonts w:ascii="Palatino Linotype" w:eastAsia="Palatino Linotype" w:hAnsi="Palatino Linotype" w:cs="Palatino Linotype"/>
          <w:highlight w:val="white"/>
        </w:rPr>
        <w:t xml:space="preserve"> y Protección de Datos Personales, INAI</w:t>
      </w:r>
      <w:r w:rsidRPr="00617F2C">
        <w:rPr>
          <w:rFonts w:ascii="Palatino Linotype" w:eastAsia="Palatino Linotype" w:hAnsi="Palatino Linotype" w:cs="Palatino Linotype"/>
          <w:b/>
        </w:rPr>
        <w:t xml:space="preserve">, conforme al </w:t>
      </w:r>
      <w:r w:rsidRPr="00617F2C">
        <w:rPr>
          <w:rFonts w:ascii="Palatino Linotype" w:eastAsia="Palatino Linotype" w:hAnsi="Palatino Linotype" w:cs="Palatino Linotype"/>
        </w:rPr>
        <w:t xml:space="preserve">criterio 18/17, el cual refiere: </w:t>
      </w:r>
    </w:p>
    <w:p w:rsidR="00246311" w:rsidRPr="00617F2C" w:rsidRDefault="00246311" w:rsidP="003E42B6">
      <w:pPr>
        <w:spacing w:line="360" w:lineRule="auto"/>
        <w:ind w:left="851" w:right="851"/>
        <w:jc w:val="both"/>
        <w:rPr>
          <w:rFonts w:ascii="Palatino Linotype" w:eastAsia="Palatino Linotype" w:hAnsi="Palatino Linotype" w:cs="Palatino Linotype"/>
          <w:i/>
        </w:rPr>
      </w:pPr>
      <w:r w:rsidRPr="00617F2C">
        <w:rPr>
          <w:rFonts w:ascii="Palatino Linotype" w:eastAsia="Palatino Linotype" w:hAnsi="Palatino Linotype" w:cs="Palatino Linotype"/>
          <w:b/>
          <w:i/>
        </w:rPr>
        <w:t xml:space="preserve">“Clave Única de Registro de Población (CURP). </w:t>
      </w:r>
      <w:r w:rsidRPr="00617F2C">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246311" w:rsidRPr="00617F2C" w:rsidRDefault="00246311" w:rsidP="003E42B6">
      <w:pPr>
        <w:spacing w:line="360" w:lineRule="auto"/>
        <w:ind w:left="851" w:right="851"/>
        <w:jc w:val="both"/>
        <w:rPr>
          <w:rFonts w:ascii="Palatino Linotype" w:eastAsia="Palatino Linotype" w:hAnsi="Palatino Linotype" w:cs="Palatino Linotype"/>
          <w:i/>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Por cuanto hace a la </w:t>
      </w:r>
      <w:r w:rsidRPr="00617F2C">
        <w:rPr>
          <w:rFonts w:ascii="Palatino Linotype" w:eastAsia="Palatino Linotype" w:hAnsi="Palatino Linotype" w:cs="Palatino Linotype"/>
          <w:b/>
        </w:rPr>
        <w:t xml:space="preserve">Clave de cualquier tipo de seguridad social (ISSEMyM, u otros), </w:t>
      </w:r>
      <w:r w:rsidRPr="00617F2C">
        <w:rPr>
          <w:rFonts w:ascii="Palatino Linotype" w:eastAsia="Palatino Linotype" w:hAnsi="Palatino Linotype" w:cs="Palatino Linotype"/>
        </w:rPr>
        <w:t xml:space="preserve">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w:t>
      </w:r>
      <w:r w:rsidRPr="00617F2C">
        <w:rPr>
          <w:rFonts w:ascii="Palatino Linotype" w:eastAsia="Palatino Linotype" w:hAnsi="Palatino Linotype" w:cs="Palatino Linotype"/>
        </w:rPr>
        <w:lastRenderedPageBreak/>
        <w:t>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246311" w:rsidRPr="00617F2C"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u w:val="single"/>
        </w:rPr>
      </w:pPr>
      <w:r w:rsidRPr="00617F2C">
        <w:rPr>
          <w:rFonts w:ascii="Palatino Linotype" w:eastAsia="Palatino Linotype" w:hAnsi="Palatino Linotype" w:cs="Palatino Linotype"/>
        </w:rPr>
        <w:t xml:space="preserve">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w:t>
      </w:r>
      <w:r w:rsidRPr="00617F2C">
        <w:rPr>
          <w:rFonts w:ascii="Palatino Linotype" w:eastAsia="Palatino Linotype" w:hAnsi="Palatino Linotype" w:cs="Palatino Linotype"/>
          <w:u w:val="single"/>
        </w:rPr>
        <w:t>se le asigna una clave para hacer identificable al trabajador con el objetivo de poder proporcionar los servicios que brinda el ISSEMYM.</w:t>
      </w:r>
    </w:p>
    <w:p w:rsidR="00246311" w:rsidRPr="00617F2C" w:rsidRDefault="00246311" w:rsidP="003E42B6">
      <w:pPr>
        <w:spacing w:line="360" w:lineRule="auto"/>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Como se advierte, la clave ISSEMYM es un dato personal que permite identificar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246311" w:rsidRPr="00617F2C" w:rsidRDefault="00246311" w:rsidP="003E42B6">
      <w:pPr>
        <w:spacing w:line="360" w:lineRule="auto"/>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se </w:t>
      </w:r>
      <w:r w:rsidRPr="00617F2C">
        <w:rPr>
          <w:rFonts w:ascii="Palatino Linotype" w:eastAsia="Palatino Linotype" w:hAnsi="Palatino Linotype" w:cs="Palatino Linotype"/>
        </w:rPr>
        <w:lastRenderedPageBreak/>
        <w:t>elaboren, toda vez que actualiza el supuesto de confidencialidad del artículo 143, fracción I de la Ley de Transparencia y Acceso a la Información Pública del Estado de México y Municipios.</w:t>
      </w:r>
    </w:p>
    <w:p w:rsidR="00651421" w:rsidRPr="00617F2C" w:rsidRDefault="00651421" w:rsidP="003E42B6">
      <w:pPr>
        <w:pStyle w:val="Prrafodelista"/>
        <w:spacing w:line="360" w:lineRule="auto"/>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hAnsi="Palatino Linotype"/>
        </w:rPr>
      </w:pPr>
      <w:r w:rsidRPr="00617F2C">
        <w:rPr>
          <w:rFonts w:ascii="Palatino Linotype" w:eastAsia="Palatino Linotype" w:hAnsi="Palatino Linotype" w:cs="Palatino Linotype"/>
        </w:rPr>
        <w:t xml:space="preserve">Respecto de los </w:t>
      </w:r>
      <w:r w:rsidRPr="00617F2C">
        <w:rPr>
          <w:rFonts w:ascii="Palatino Linotype" w:eastAsia="Palatino Linotype" w:hAnsi="Palatino Linotype" w:cs="Palatino Linotype"/>
          <w:b/>
        </w:rPr>
        <w:t>préstamos o descuentos</w:t>
      </w:r>
      <w:r w:rsidRPr="00617F2C">
        <w:rPr>
          <w:rFonts w:ascii="Palatino Linotype" w:eastAsia="Palatino Linotype" w:hAnsi="Palatino Linotype" w:cs="Palatino Linotype"/>
        </w:rPr>
        <w:t xml:space="preserve"> </w:t>
      </w:r>
      <w:r w:rsidRPr="00617F2C">
        <w:rPr>
          <w:rFonts w:ascii="Palatino Linotype" w:eastAsia="Palatino Linotype" w:hAnsi="Palatino Linotype" w:cs="Palatino Linotype"/>
          <w:b/>
        </w:rPr>
        <w:t>de carácter personal</w:t>
      </w:r>
      <w:r w:rsidRPr="00617F2C">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rsidR="00745638" w:rsidRPr="00617F2C" w:rsidRDefault="00745638" w:rsidP="00745638">
      <w:pPr>
        <w:pStyle w:val="Prrafodelista"/>
        <w:rPr>
          <w:rFonts w:ascii="Palatino Linotype" w:hAnsi="Palatino Linotype"/>
        </w:rPr>
      </w:pPr>
    </w:p>
    <w:p w:rsidR="00246311" w:rsidRPr="00617F2C" w:rsidRDefault="00246311" w:rsidP="00617F2C">
      <w:pPr>
        <w:pStyle w:val="Sinespaciado"/>
        <w:numPr>
          <w:ilvl w:val="0"/>
          <w:numId w:val="1"/>
        </w:numPr>
        <w:spacing w:line="360" w:lineRule="auto"/>
        <w:ind w:left="0" w:firstLine="0"/>
        <w:jc w:val="both"/>
        <w:rPr>
          <w:rFonts w:ascii="Palatino Linotype" w:hAnsi="Palatino Linotype"/>
        </w:rPr>
      </w:pPr>
      <w:r w:rsidRPr="00617F2C">
        <w:rPr>
          <w:rFonts w:ascii="Palatino Linotype" w:eastAsia="Palatino Linotype" w:hAnsi="Palatino Linotype" w:cs="Palatino Linotype"/>
        </w:rPr>
        <w:t>Por su parte, el artículo 84 de la Ley del Trabajo de los Servidores Públicos del Estado y Municipios, señala:</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i/>
        </w:rPr>
        <w:t>“</w:t>
      </w:r>
      <w:r w:rsidRPr="00617F2C">
        <w:rPr>
          <w:rFonts w:ascii="Palatino Linotype" w:eastAsia="Palatino Linotype" w:hAnsi="Palatino Linotype" w:cs="Palatino Linotype"/>
          <w:b/>
          <w:i/>
        </w:rPr>
        <w:t>ARTICULO 84. Sólo podrán hacerse retenciones, descuentos o deducciones al sueldo de los servidores públicos por concepto de:</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i/>
        </w:rPr>
        <w:t>I. Gravámenes fiscales relacionados con el sueldo;</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b/>
          <w:i/>
        </w:rPr>
        <w:t>II. Deudas contraídas con las instituciones públicas o dependencias</w:t>
      </w:r>
      <w:r w:rsidRPr="00617F2C">
        <w:rPr>
          <w:rFonts w:ascii="Palatino Linotype" w:eastAsia="Palatino Linotype" w:hAnsi="Palatino Linotype" w:cs="Palatino Linotype"/>
          <w:i/>
        </w:rPr>
        <w:t xml:space="preserve"> por concepto de anticipos de sueldo, pagos hechos con exceso, errores o pérdidas debidamente comprobados;</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b/>
          <w:i/>
        </w:rPr>
        <w:t>III. Cuotas sindicales</w:t>
      </w:r>
      <w:r w:rsidRPr="00617F2C">
        <w:rPr>
          <w:rFonts w:ascii="Palatino Linotype" w:eastAsia="Palatino Linotype" w:hAnsi="Palatino Linotype" w:cs="Palatino Linotype"/>
          <w:i/>
        </w:rPr>
        <w:t>;</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i/>
        </w:rPr>
        <w:t>IV. Cuotas de aportación a fondos para la constitución de cooperativas y de cajas de ahorro, siempre que el servidor público hubiese manifestado previamente, de manera expresa, su conformidad;</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i/>
        </w:rPr>
        <w:lastRenderedPageBreak/>
        <w:t>V. Descuentos ordenados por el Instituto de Seguridad Social del Estado de México y Municipios, con motivo de cuotas y obligaciones contraídas con éste por los servidores públicos;</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b/>
          <w:i/>
        </w:rPr>
        <w:t>VI. Obligaciones a cargo del servidor público con las que haya consentido</w:t>
      </w:r>
      <w:r w:rsidRPr="00617F2C">
        <w:rPr>
          <w:rFonts w:ascii="Palatino Linotype" w:eastAsia="Palatino Linotype" w:hAnsi="Palatino Linotype" w:cs="Palatino Linotype"/>
          <w:i/>
        </w:rPr>
        <w:t>, derivadas de la adquisición o del uso de habitaciones consideradas como de interés social;</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i/>
        </w:rPr>
        <w:t>VII. Faltas de puntualidad o de asistencia injustificadas;</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b/>
          <w:i/>
        </w:rPr>
        <w:t>VIII. Pensiones alimenticias ordenadas por la autoridad judicial;</w:t>
      </w:r>
      <w:r w:rsidRPr="00617F2C">
        <w:rPr>
          <w:rFonts w:ascii="Palatino Linotype" w:eastAsia="Palatino Linotype" w:hAnsi="Palatino Linotype" w:cs="Palatino Linotype"/>
          <w:i/>
        </w:rPr>
        <w:t xml:space="preserve"> o</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b/>
          <w:i/>
        </w:rPr>
        <w:t>IX. Cualquier otro convenido con instituciones de servicios y aceptado por el servidor público.</w:t>
      </w:r>
    </w:p>
    <w:p w:rsidR="00246311" w:rsidRPr="00617F2C" w:rsidRDefault="00246311" w:rsidP="003E42B6">
      <w:pPr>
        <w:spacing w:line="360" w:lineRule="auto"/>
        <w:ind w:left="851" w:right="902"/>
        <w:jc w:val="both"/>
        <w:rPr>
          <w:rFonts w:ascii="Palatino Linotype" w:hAnsi="Palatino Linotype"/>
        </w:rPr>
      </w:pPr>
      <w:r w:rsidRPr="00617F2C">
        <w:rPr>
          <w:rFonts w:ascii="Palatino Linotype" w:eastAsia="Palatino Linotype" w:hAnsi="Palatino Linotype" w:cs="Palatino Linotype"/>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246311" w:rsidRPr="00617F2C" w:rsidRDefault="00246311" w:rsidP="003E42B6">
      <w:pPr>
        <w:spacing w:line="360" w:lineRule="auto"/>
        <w:ind w:left="851" w:right="902"/>
        <w:jc w:val="both"/>
        <w:rPr>
          <w:rFonts w:ascii="Palatino Linotype" w:eastAsia="Palatino Linotype" w:hAnsi="Palatino Linotype" w:cs="Palatino Linotype"/>
        </w:rPr>
      </w:pPr>
      <w:r w:rsidRPr="00617F2C">
        <w:rPr>
          <w:rFonts w:ascii="Palatino Linotype" w:eastAsia="Palatino Linotype" w:hAnsi="Palatino Linotype" w:cs="Palatino Linotype"/>
        </w:rPr>
        <w:t>(Énfasis añadido)</w:t>
      </w:r>
    </w:p>
    <w:p w:rsidR="00246311" w:rsidRPr="00617F2C" w:rsidRDefault="00246311" w:rsidP="003E42B6">
      <w:pPr>
        <w:spacing w:line="360" w:lineRule="auto"/>
        <w:ind w:left="851" w:right="902"/>
        <w:jc w:val="both"/>
        <w:rPr>
          <w:rFonts w:ascii="Palatino Linotype" w:hAnsi="Palatino Linotype"/>
        </w:rPr>
      </w:pPr>
    </w:p>
    <w:p w:rsidR="00246311" w:rsidRPr="00617F2C" w:rsidRDefault="00246311" w:rsidP="00617F2C">
      <w:pPr>
        <w:pStyle w:val="Sinespaciado"/>
        <w:numPr>
          <w:ilvl w:val="0"/>
          <w:numId w:val="1"/>
        </w:numPr>
        <w:spacing w:line="360" w:lineRule="auto"/>
        <w:ind w:left="0" w:firstLine="0"/>
        <w:jc w:val="both"/>
        <w:rPr>
          <w:rFonts w:ascii="Palatino Linotype" w:hAnsi="Palatino Linotype"/>
        </w:rPr>
      </w:pPr>
      <w:r w:rsidRPr="00617F2C">
        <w:rPr>
          <w:rFonts w:ascii="Palatino Linotype" w:eastAsia="Palatino Linotype" w:hAnsi="Palatino Linotype" w:cs="Palatino Linotype"/>
        </w:rPr>
        <w:t xml:space="preserve">Derivado de lo anterior, la ley establece claramente cuáles son esos descuentos o gravámenes que directamente se relacionan con las obligaciones adquiridas como servidores públicos y aquéllos que </w:t>
      </w:r>
      <w:r w:rsidRPr="00617F2C">
        <w:rPr>
          <w:rFonts w:ascii="Palatino Linotype" w:eastAsia="Palatino Linotype" w:hAnsi="Palatino Linotype" w:cs="Palatino Linotype"/>
          <w:b/>
        </w:rPr>
        <w:t>únicamente inciden en su vida privada</w:t>
      </w:r>
      <w:r w:rsidRPr="00617F2C">
        <w:rPr>
          <w:rFonts w:ascii="Palatino Linotype" w:eastAsia="Palatino Linotype" w:hAnsi="Palatino Linotype" w:cs="Palatino Linotype"/>
        </w:rPr>
        <w:t xml:space="preserve">. De este modo, descuentos por pensiones alimenticias o créditos adquiridos con instituciones privadas o </w:t>
      </w:r>
      <w:r w:rsidRPr="00617F2C">
        <w:rPr>
          <w:rFonts w:ascii="Palatino Linotype" w:eastAsia="Palatino Linotype" w:hAnsi="Palatino Linotype" w:cs="Palatino Linotype"/>
        </w:rPr>
        <w:lastRenderedPageBreak/>
        <w:t>públicas pero que fueron contraídas en forma individual, son información que debe clasificarse como confidencial</w:t>
      </w:r>
    </w:p>
    <w:p w:rsidR="00246311" w:rsidRPr="00617F2C" w:rsidRDefault="00246311" w:rsidP="003E42B6">
      <w:pPr>
        <w:pStyle w:val="Prrafodelista"/>
        <w:tabs>
          <w:tab w:val="left" w:pos="284"/>
          <w:tab w:val="left" w:pos="426"/>
        </w:tabs>
        <w:spacing w:line="360" w:lineRule="auto"/>
        <w:ind w:left="0" w:right="49"/>
        <w:jc w:val="both"/>
        <w:rPr>
          <w:rFonts w:ascii="Palatino Linotype" w:hAnsi="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246311" w:rsidRPr="00617F2C" w:rsidRDefault="00246311" w:rsidP="003E42B6">
      <w:pPr>
        <w:pStyle w:val="Prrafodelista"/>
        <w:spacing w:line="360" w:lineRule="auto"/>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Sirven de sustento a lo anterior, las tesis jurisprudenciales </w:t>
      </w:r>
      <w:r w:rsidRPr="00617F2C">
        <w:rPr>
          <w:rFonts w:ascii="Palatino Linotype" w:eastAsia="Palatino Linotype" w:hAnsi="Palatino Linotype" w:cs="Palatino Linotype"/>
          <w:i/>
        </w:rPr>
        <w:t xml:space="preserve">P. LX/2000 </w:t>
      </w:r>
      <w:r w:rsidRPr="00617F2C">
        <w:rPr>
          <w:rFonts w:ascii="Palatino Linotype" w:eastAsia="Palatino Linotype" w:hAnsi="Palatino Linotype" w:cs="Palatino Linotype"/>
        </w:rPr>
        <w:t xml:space="preserve">y </w:t>
      </w:r>
      <w:r w:rsidRPr="00617F2C">
        <w:rPr>
          <w:rFonts w:ascii="Palatino Linotype" w:eastAsia="Palatino Linotype" w:hAnsi="Palatino Linotype" w:cs="Palatino Linotype"/>
          <w:i/>
        </w:rPr>
        <w:t>2a. XLIII/2008</w:t>
      </w:r>
      <w:r w:rsidRPr="00617F2C">
        <w:rPr>
          <w:rFonts w:ascii="Palatino Linotype" w:eastAsia="Tahoma" w:hAnsi="Palatino Linotype" w:cs="Tahoma"/>
          <w:b/>
        </w:rPr>
        <w:t xml:space="preserve"> </w:t>
      </w:r>
      <w:r w:rsidRPr="00617F2C">
        <w:rPr>
          <w:rFonts w:ascii="Palatino Linotype" w:eastAsia="Palatino Linotype" w:hAnsi="Palatino Linotype" w:cs="Palatino Linotype"/>
        </w:rPr>
        <w:t>emitidas por el Peno y la Segunda Sala de la Suprema Corte de Justicia de la Nación, respectivamente, que son del tenor literal siguiente:</w:t>
      </w:r>
    </w:p>
    <w:p w:rsidR="00246311" w:rsidRPr="00617F2C" w:rsidRDefault="00246311" w:rsidP="003E42B6">
      <w:pPr>
        <w:spacing w:line="360" w:lineRule="auto"/>
        <w:ind w:left="851" w:right="851"/>
        <w:jc w:val="both"/>
        <w:rPr>
          <w:rFonts w:ascii="Palatino Linotype" w:eastAsia="Palatino Linotype" w:hAnsi="Palatino Linotype" w:cs="Palatino Linotype"/>
          <w:i/>
        </w:rPr>
      </w:pPr>
      <w:r w:rsidRPr="00617F2C">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617F2C">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w:t>
      </w:r>
      <w:r w:rsidRPr="00617F2C">
        <w:rPr>
          <w:rFonts w:ascii="Palatino Linotype" w:eastAsia="Palatino Linotype" w:hAnsi="Palatino Linotype" w:cs="Palatino Linotype"/>
          <w:i/>
        </w:rPr>
        <w:lastRenderedPageBreak/>
        <w:t xml:space="preserve">garantizado indiscriminadamente, sino que el respeto a su ejercicio encuentra excepciones que lo regulan y a su vez lo garantizan, en atención a la materia a que se refiera; así, en cuanto a la seguridad nacional, se tienen normas que, por un lado, </w:t>
      </w:r>
      <w:r w:rsidRPr="00617F2C">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617F2C">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617F2C">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617F2C">
        <w:rPr>
          <w:rFonts w:ascii="Palatino Linotype" w:eastAsia="Palatino Linotype" w:hAnsi="Palatino Linotype" w:cs="Palatino Linotype"/>
          <w:i/>
        </w:rPr>
        <w:t>.”</w:t>
      </w:r>
    </w:p>
    <w:p w:rsidR="00246311" w:rsidRPr="00617F2C" w:rsidRDefault="00246311" w:rsidP="003E42B6">
      <w:pPr>
        <w:spacing w:line="360" w:lineRule="auto"/>
        <w:ind w:left="851" w:right="851"/>
        <w:jc w:val="both"/>
        <w:rPr>
          <w:rFonts w:ascii="Palatino Linotype" w:eastAsia="Palatino Linotype" w:hAnsi="Palatino Linotype" w:cs="Palatino Linotype"/>
          <w:i/>
        </w:rPr>
      </w:pPr>
    </w:p>
    <w:p w:rsidR="00246311" w:rsidRPr="00617F2C" w:rsidRDefault="00246311" w:rsidP="003E42B6">
      <w:pPr>
        <w:spacing w:line="360" w:lineRule="auto"/>
        <w:ind w:left="851" w:right="851"/>
        <w:jc w:val="both"/>
        <w:rPr>
          <w:rFonts w:ascii="Palatino Linotype" w:eastAsia="Palatino Linotype" w:hAnsi="Palatino Linotype" w:cs="Palatino Linotype"/>
          <w:i/>
        </w:rPr>
      </w:pPr>
      <w:r w:rsidRPr="00617F2C">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617F2C">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w:t>
      </w:r>
      <w:r w:rsidRPr="00617F2C">
        <w:rPr>
          <w:rFonts w:ascii="Palatino Linotype" w:eastAsia="Palatino Linotype" w:hAnsi="Palatino Linotype" w:cs="Palatino Linotype"/>
          <w:i/>
        </w:rPr>
        <w:lastRenderedPageBreak/>
        <w:t xml:space="preserve">restricciones a la información, no viola la garantía de acceso a la información contenida en el artículo 6o. de la Constitución Política de los Estados Unidos Mexicanos, porque es jurídicamente adecuado que en las leyes reguladoras de cada materia, </w:t>
      </w:r>
      <w:r w:rsidRPr="00617F2C">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617F2C">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246311" w:rsidRPr="00617F2C" w:rsidRDefault="00246311" w:rsidP="003E42B6">
      <w:pPr>
        <w:spacing w:line="360" w:lineRule="auto"/>
        <w:ind w:left="851" w:right="851"/>
        <w:jc w:val="both"/>
        <w:rPr>
          <w:rFonts w:ascii="Palatino Linotype" w:eastAsia="Palatino Linotype" w:hAnsi="Palatino Linotype" w:cs="Palatino Linotype"/>
          <w:i/>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b/>
        </w:rPr>
      </w:pPr>
      <w:r w:rsidRPr="00617F2C">
        <w:rPr>
          <w:rFonts w:ascii="Palatino Linotype" w:eastAsia="Palatino Linotype" w:hAnsi="Palatino Linotype" w:cs="Palatino Linotype"/>
        </w:rPr>
        <w:t>También,</w:t>
      </w:r>
      <w:r w:rsidRPr="00617F2C">
        <w:rPr>
          <w:rFonts w:ascii="Palatino Linotype" w:eastAsia="Palatino Linotype" w:hAnsi="Palatino Linotype" w:cs="Palatino Linotype"/>
          <w:b/>
        </w:rPr>
        <w:t xml:space="preserve"> el número de cuenta bancario</w:t>
      </w:r>
      <w:r w:rsidRPr="00617F2C">
        <w:rPr>
          <w:rFonts w:ascii="Palatino Linotype" w:eastAsia="Palatino Linotype" w:hAnsi="Palatino Linotype" w:cs="Palatino Linotype"/>
        </w:rPr>
        <w:t>, en el Criterio 10/17 emitido por el Pleno del Instituto Nacional de Transparencia, Acceso a la Información y Protección de Datos Personales  se establece lo siguiente:</w:t>
      </w:r>
    </w:p>
    <w:p w:rsidR="00246311" w:rsidRPr="00617F2C" w:rsidRDefault="00246311" w:rsidP="003E42B6">
      <w:pPr>
        <w:shd w:val="clear" w:color="auto" w:fill="FFFFFF"/>
        <w:spacing w:line="360" w:lineRule="auto"/>
        <w:ind w:left="567" w:right="567"/>
        <w:jc w:val="both"/>
        <w:rPr>
          <w:rFonts w:ascii="Palatino Linotype" w:eastAsia="Palatino Linotype" w:hAnsi="Palatino Linotype" w:cs="Palatino Linotype"/>
        </w:rPr>
      </w:pPr>
      <w:r w:rsidRPr="00617F2C">
        <w:rPr>
          <w:rFonts w:ascii="Palatino Linotype" w:eastAsia="Palatino Linotype" w:hAnsi="Palatino Linotype" w:cs="Palatino Linotype"/>
        </w:rPr>
        <w:t>“</w:t>
      </w:r>
      <w:r w:rsidRPr="00617F2C">
        <w:rPr>
          <w:rFonts w:ascii="Palatino Linotype" w:eastAsia="Palatino Linotype" w:hAnsi="Palatino Linotype" w:cs="Palatino Linotype"/>
          <w:b/>
          <w:i/>
        </w:rPr>
        <w:t>Cuentas bancarias y/o CLABE interbancaria de personas físicas y morales privadas.</w:t>
      </w:r>
      <w:r w:rsidRPr="00617F2C">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w:t>
      </w:r>
      <w:r w:rsidRPr="00617F2C">
        <w:rPr>
          <w:rFonts w:ascii="Palatino Linotype" w:eastAsia="Palatino Linotype" w:hAnsi="Palatino Linotype" w:cs="Palatino Linotype"/>
          <w:i/>
        </w:rPr>
        <w:lastRenderedPageBreak/>
        <w:t>artículos 116 de la Ley General de Transparencia y Acceso a la Información Pública y 113 de la Ley Federal de Transparencia y Acceso a la Información Pública</w:t>
      </w:r>
      <w:r w:rsidRPr="00617F2C">
        <w:rPr>
          <w:rFonts w:ascii="Palatino Linotype" w:eastAsia="Palatino Linotype" w:hAnsi="Palatino Linotype" w:cs="Palatino Linotype"/>
        </w:rPr>
        <w:t>.”</w:t>
      </w:r>
    </w:p>
    <w:p w:rsidR="00246311" w:rsidRPr="00617F2C" w:rsidRDefault="00246311" w:rsidP="003E42B6">
      <w:pPr>
        <w:spacing w:line="360" w:lineRule="auto"/>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Esta cuenta es de uso personal y no guarda relación con la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246311" w:rsidRPr="00617F2C" w:rsidRDefault="00246311" w:rsidP="003E42B6">
      <w:pPr>
        <w:spacing w:line="360" w:lineRule="auto"/>
        <w:ind w:right="-93"/>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b/>
        </w:rPr>
      </w:pPr>
      <w:r w:rsidRPr="00617F2C">
        <w:rPr>
          <w:rFonts w:ascii="Palatino Linotype" w:eastAsia="Palatino Linotype" w:hAnsi="Palatino Linotype" w:cs="Palatino Linotype"/>
        </w:rPr>
        <w:t xml:space="preserve">El </w:t>
      </w:r>
      <w:r w:rsidRPr="00617F2C">
        <w:rPr>
          <w:rFonts w:ascii="Palatino Linotype" w:eastAsia="Palatino Linotype" w:hAnsi="Palatino Linotype" w:cs="Palatino Linotype"/>
          <w:b/>
        </w:rPr>
        <w:t>Código de barras bidimensional (QR)</w:t>
      </w:r>
      <w:r w:rsidRPr="00617F2C">
        <w:rPr>
          <w:rFonts w:ascii="Palatino Linotype" w:eastAsia="Palatino Linotype" w:hAnsi="Palatino Linotype" w:cs="Palatino Linotype"/>
        </w:rPr>
        <w:t xml:space="preserve">, resulta necesario señalar que los comprobantes fiscales digitales por Internet, deben de incluir un código bidimensional conforme al formato </w:t>
      </w:r>
      <w:r w:rsidRPr="00617F2C">
        <w:rPr>
          <w:rFonts w:ascii="Palatino Linotype" w:eastAsia="Palatino Linotype" w:hAnsi="Palatino Linotype" w:cs="Palatino Linotype"/>
          <w:i/>
        </w:rPr>
        <w:t>QR Code (Quick Response Code)</w:t>
      </w:r>
      <w:r w:rsidRPr="00617F2C">
        <w:rPr>
          <w:rFonts w:ascii="Palatino Linotype" w:eastAsia="Palatino Linotype" w:hAnsi="Palatino Linotype" w:cs="Palatino Linotype"/>
        </w:rPr>
        <w:t>, el cual contiene el Registro Federal de Contribuyentes del r</w:t>
      </w:r>
      <w:r w:rsidR="00286A7B" w:rsidRPr="00617F2C">
        <w:rPr>
          <w:rFonts w:ascii="Palatino Linotype" w:eastAsia="Palatino Linotype" w:hAnsi="Palatino Linotype" w:cs="Palatino Linotype"/>
        </w:rPr>
        <w:t>eceptor, del emisor, o de ambos</w:t>
      </w:r>
      <w:r w:rsidRPr="00617F2C">
        <w:rPr>
          <w:rFonts w:ascii="Palatino Linotype" w:eastAsia="Palatino Linotype" w:hAnsi="Palatino Linotype" w:cs="Palatino Linotype"/>
        </w:rPr>
        <w:t xml:space="preserve">. Incluso con la captura de dicho código, a través de la aplicación móvil del Servicio de Administración Tributaria, permite el acceso al Registro Federal de Contribuyentes, como del </w:t>
      </w:r>
      <w:r w:rsidRPr="00617F2C">
        <w:rPr>
          <w:rFonts w:ascii="Palatino Linotype" w:eastAsia="Palatino Linotype" w:hAnsi="Palatino Linotype" w:cs="Palatino Linotype"/>
          <w:b/>
        </w:rPr>
        <w:t>Sujeto Obligado</w:t>
      </w:r>
      <w:r w:rsidRPr="00617F2C">
        <w:rPr>
          <w:rFonts w:ascii="Palatino Linotype" w:eastAsia="Palatino Linotype" w:hAnsi="Palatino Linotype" w:cs="Palatino Linotype"/>
        </w:rPr>
        <w:t>, como de la persona física o moral correspondiente.</w:t>
      </w:r>
    </w:p>
    <w:p w:rsidR="00246311" w:rsidRPr="00617F2C" w:rsidRDefault="00246311" w:rsidP="003E42B6">
      <w:pPr>
        <w:spacing w:line="360" w:lineRule="auto"/>
        <w:ind w:right="-93"/>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De tales circunstancias, se considera que se actualiza la causal de clasificación prevista </w:t>
      </w:r>
      <w:r w:rsidRPr="00617F2C">
        <w:rPr>
          <w:rFonts w:ascii="Palatino Linotype" w:eastAsia="Palatino Linotype" w:hAnsi="Palatino Linotype" w:cs="Palatino Linotype"/>
          <w:color w:val="222222"/>
        </w:rPr>
        <w:t>en</w:t>
      </w:r>
      <w:r w:rsidRPr="00617F2C">
        <w:rPr>
          <w:rFonts w:ascii="Palatino Linotype" w:eastAsia="Palatino Linotype" w:hAnsi="Palatino Linotype" w:cs="Palatino Linotype"/>
        </w:rPr>
        <w:t xml:space="preserve"> el artículo 143, fracción I de la Ley de la materia, toda vez que el Registro Federal </w:t>
      </w:r>
      <w:r w:rsidRPr="00617F2C">
        <w:rPr>
          <w:rFonts w:ascii="Palatino Linotype" w:eastAsia="Palatino Linotype" w:hAnsi="Palatino Linotype" w:cs="Palatino Linotype"/>
        </w:rPr>
        <w:lastRenderedPageBreak/>
        <w:t>de Contribuyentes corresponde a los servidores públicos, pues como se señaló en párrafos anteriores el mismo hace identificable o identificada al mismo.</w:t>
      </w:r>
    </w:p>
    <w:p w:rsidR="00246311" w:rsidRPr="00617F2C" w:rsidRDefault="00246311" w:rsidP="003E42B6">
      <w:pPr>
        <w:pStyle w:val="Prrafodelista"/>
        <w:spacing w:line="360" w:lineRule="auto"/>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hAnsi="Palatino Linotype"/>
          <w:color w:val="222222"/>
        </w:rPr>
      </w:pPr>
      <w:r w:rsidRPr="00617F2C">
        <w:rPr>
          <w:rFonts w:ascii="Palatino Linotype" w:eastAsia="Palatino Linotype" w:hAnsi="Palatino Linotype" w:cs="Palatino Linotype"/>
          <w:color w:val="222222"/>
        </w:rPr>
        <w:t>Por otra parte y respecto a</w:t>
      </w:r>
      <w:r w:rsidRPr="00617F2C">
        <w:rPr>
          <w:rFonts w:ascii="Palatino Linotype" w:eastAsia="Palatino Linotype" w:hAnsi="Palatino Linotype" w:cs="Palatino Linotype"/>
          <w:b/>
          <w:color w:val="222222"/>
        </w:rPr>
        <w:t xml:space="preserve"> la clave de seguridad social y en su caso clave o número del servidor público –trabajador-,</w:t>
      </w:r>
      <w:r w:rsidRPr="00617F2C">
        <w:rPr>
          <w:rFonts w:ascii="Palatino Linotype" w:eastAsia="Palatino Linotype" w:hAnsi="Palatino Linotype" w:cs="Palatino Linotype"/>
          <w:color w:val="222222"/>
        </w:rPr>
        <w:t xml:space="preserve"> en virtud de que su divulgación no aporta a la transparencia o a la rendición de cuentas y sí provoca una transgresión a la vida privada e intimidad de la persona, esta información también resulta ser de carácter confidencial; siendo aplicable como orientador el criterio número 15/10 emitido por el entonces Instituto Federal de Transparencia y Acceso a la Información (INAI, cuyo texto y sentido literal es el siguiente:</w:t>
      </w:r>
    </w:p>
    <w:p w:rsidR="00745638" w:rsidRPr="00617F2C" w:rsidRDefault="00745638" w:rsidP="00745638">
      <w:pPr>
        <w:pStyle w:val="Prrafodelista"/>
        <w:rPr>
          <w:rFonts w:ascii="Palatino Linotype" w:hAnsi="Palatino Linotype"/>
          <w:color w:val="222222"/>
        </w:rPr>
      </w:pPr>
    </w:p>
    <w:p w:rsidR="00246311" w:rsidRPr="00617F2C" w:rsidRDefault="00246311" w:rsidP="003E42B6">
      <w:pPr>
        <w:shd w:val="clear" w:color="auto" w:fill="FFFFFF"/>
        <w:spacing w:line="360" w:lineRule="auto"/>
        <w:ind w:left="567" w:right="900"/>
        <w:jc w:val="both"/>
        <w:rPr>
          <w:rFonts w:ascii="Palatino Linotype" w:hAnsi="Palatino Linotype"/>
          <w:color w:val="222222"/>
        </w:rPr>
      </w:pPr>
      <w:r w:rsidRPr="00617F2C">
        <w:rPr>
          <w:rFonts w:ascii="Palatino Linotype" w:eastAsia="Palatino Linotype" w:hAnsi="Palatino Linotype" w:cs="Palatino Linotype"/>
          <w:b/>
          <w:i/>
          <w:color w:val="222222"/>
        </w:rPr>
        <w:t>“El número de ficha de identificación única de los trabajadores es información de carácter confidencial.</w:t>
      </w:r>
      <w:r w:rsidRPr="00617F2C">
        <w:rPr>
          <w:rFonts w:ascii="Palatino Linotype" w:eastAsia="Palatino Linotype" w:hAnsi="Palatino Linotype" w:cs="Palatino Linotype"/>
          <w:i/>
          <w:color w:val="222222"/>
        </w:rPr>
        <w:t> </w:t>
      </w:r>
      <w:r w:rsidRPr="00617F2C">
        <w:rPr>
          <w:rFonts w:ascii="Palatino Linotype" w:eastAsia="Palatino Linotype" w:hAnsi="Palatino Linotype" w:cs="Palatino Linotype"/>
          <w:i/>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617F2C">
        <w:rPr>
          <w:rFonts w:ascii="Palatino Linotype" w:eastAsia="Palatino Linotype" w:hAnsi="Palatino Linotype" w:cs="Palatino Linotype"/>
          <w:i/>
          <w:color w:val="222222"/>
        </w:rPr>
        <w:t>, </w:t>
      </w:r>
      <w:r w:rsidRPr="00617F2C">
        <w:rPr>
          <w:rFonts w:ascii="Palatino Linotype" w:eastAsia="Palatino Linotype" w:hAnsi="Palatino Linotype" w:cs="Palatino Linotype"/>
          <w:i/>
          <w:color w:val="222222"/>
          <w:u w:val="single"/>
        </w:rPr>
        <w:t>dicha información es susceptible de clasificarse con el carácter de confidencial</w:t>
      </w:r>
      <w:r w:rsidRPr="00617F2C">
        <w:rPr>
          <w:rFonts w:ascii="Palatino Linotype" w:eastAsia="Palatino Linotype" w:hAnsi="Palatino Linotype" w:cs="Palatino Linotype"/>
          <w:i/>
          <w:color w:val="222222"/>
        </w:rPr>
        <w:t xml:space="preserve">, en términos de lo establecido en el artículo 18, fracción II de la Ley Federal de Transparencia y Acceso a la Información Pública Gubernamental, en virtud de que a través de la misma es posible conocer información personal de su titular.” </w:t>
      </w:r>
    </w:p>
    <w:p w:rsidR="00246311" w:rsidRPr="00617F2C" w:rsidRDefault="00246311" w:rsidP="003E42B6">
      <w:pPr>
        <w:spacing w:line="360" w:lineRule="auto"/>
        <w:ind w:right="-93"/>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Al </w:t>
      </w:r>
      <w:r w:rsidRPr="00617F2C">
        <w:rPr>
          <w:rFonts w:ascii="Palatino Linotype" w:eastAsia="Palatino Linotype" w:hAnsi="Palatino Linotype" w:cs="Palatino Linotype"/>
          <w:color w:val="222222"/>
        </w:rPr>
        <w:t>respecto</w:t>
      </w:r>
      <w:r w:rsidRPr="00617F2C">
        <w:rPr>
          <w:rFonts w:ascii="Palatino Linotype" w:eastAsia="Palatino Linotype" w:hAnsi="Palatino Linotype" w:cs="Palatino Linotype"/>
        </w:rPr>
        <w:t xml:space="preserve">, es de señalar que </w:t>
      </w:r>
      <w:r w:rsidRPr="00617F2C">
        <w:rPr>
          <w:rFonts w:ascii="Palatino Linotype" w:eastAsia="Palatino Linotype" w:hAnsi="Palatino Linotype" w:cs="Palatino Linotype"/>
          <w:b/>
        </w:rPr>
        <w:t xml:space="preserve">la firma </w:t>
      </w:r>
      <w:r w:rsidRPr="00617F2C">
        <w:rPr>
          <w:rFonts w:ascii="Palatino Linotype" w:eastAsia="Palatino Linotype" w:hAnsi="Palatino Linotype" w:cs="Palatino Linotype"/>
        </w:rPr>
        <w:t xml:space="preserve">es considerada un dato personal, al tratarse de información gráfica a través de la cual su titular exterioriza su voluntad en actos públicos </w:t>
      </w:r>
      <w:r w:rsidRPr="00617F2C">
        <w:rPr>
          <w:rFonts w:ascii="Palatino Linotype" w:eastAsia="Palatino Linotype" w:hAnsi="Palatino Linotype" w:cs="Palatino Linotype"/>
        </w:rPr>
        <w:lastRenderedPageBreak/>
        <w:t xml:space="preserve">y privados; no obstante, en el presente caso, dicho dato, es de la autoridad emisora del comprobante de los arqueos de caja. </w:t>
      </w:r>
    </w:p>
    <w:p w:rsidR="00246311" w:rsidRPr="00617F2C" w:rsidRDefault="00246311" w:rsidP="003E42B6">
      <w:pPr>
        <w:spacing w:line="360" w:lineRule="auto"/>
        <w:ind w:right="-93"/>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Al respecto, este Instituto, considera que entregar la firmas del servidor público, si abona a la transparencia, dado que con esta se acredita que fue emitida por autoridad competente en uso de las facultades que le otorga la legislación; por lo que, guarda cierto interés público dar a conocer la firma, dado que le da validez al documento.</w:t>
      </w:r>
    </w:p>
    <w:p w:rsidR="00246311" w:rsidRPr="00617F2C" w:rsidRDefault="00246311" w:rsidP="003E42B6">
      <w:pPr>
        <w:spacing w:line="360" w:lineRule="auto"/>
        <w:ind w:right="-93"/>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rsidR="00246311" w:rsidRPr="00617F2C" w:rsidRDefault="00246311" w:rsidP="003E42B6">
      <w:pPr>
        <w:spacing w:line="360" w:lineRule="auto"/>
        <w:ind w:right="-93"/>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Sirve de sustento a lo anterior el Criterio de Interpretación 02/19 emitido por el Instituto Nacional de Transparencia, Acceso a la Información y Protección de Datos Personales, cuyo rubro y texto establecen lo siguiente:</w:t>
      </w:r>
    </w:p>
    <w:p w:rsidR="00246311" w:rsidRPr="00617F2C" w:rsidRDefault="00246311" w:rsidP="003E42B6">
      <w:pPr>
        <w:spacing w:line="360" w:lineRule="auto"/>
        <w:ind w:left="1134" w:right="1041"/>
        <w:jc w:val="both"/>
        <w:rPr>
          <w:rFonts w:ascii="Palatino Linotype" w:eastAsia="Palatino Linotype" w:hAnsi="Palatino Linotype" w:cs="Palatino Linotype"/>
          <w:i/>
        </w:rPr>
      </w:pPr>
      <w:r w:rsidRPr="00617F2C">
        <w:rPr>
          <w:rFonts w:ascii="Palatino Linotype" w:eastAsia="Palatino Linotype" w:hAnsi="Palatino Linotype" w:cs="Palatino Linotype"/>
          <w:i/>
        </w:rPr>
        <w:t>“</w:t>
      </w:r>
      <w:r w:rsidRPr="00617F2C">
        <w:rPr>
          <w:rFonts w:ascii="Palatino Linotype" w:eastAsia="Palatino Linotype" w:hAnsi="Palatino Linotype" w:cs="Palatino Linotype"/>
          <w:b/>
          <w:i/>
        </w:rPr>
        <w:t>FIRMA Y RÚBRICA DE SERVIDORES PÚBLICOS.</w:t>
      </w:r>
      <w:r w:rsidRPr="00617F2C">
        <w:rPr>
          <w:rFonts w:ascii="Palatino Linotype" w:eastAsia="Palatino Linotype" w:hAnsi="Palatino Linotype" w:cs="Palatino Linotype"/>
          <w:i/>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246311" w:rsidRPr="00617F2C" w:rsidRDefault="00246311" w:rsidP="003E42B6">
      <w:pPr>
        <w:spacing w:line="360" w:lineRule="auto"/>
        <w:ind w:left="1134" w:right="1041"/>
        <w:jc w:val="both"/>
        <w:rPr>
          <w:rFonts w:ascii="Palatino Linotype" w:eastAsia="Palatino Linotype" w:hAnsi="Palatino Linotype" w:cs="Palatino Linotype"/>
          <w:i/>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highlight w:val="white"/>
        </w:rPr>
      </w:pPr>
      <w:r w:rsidRPr="00617F2C">
        <w:rPr>
          <w:rFonts w:ascii="Palatino Linotype" w:eastAsia="Palatino Linotype" w:hAnsi="Palatino Linotype" w:cs="Palatino Linotype"/>
        </w:rPr>
        <w:t xml:space="preserve">Al respecto, se destaca que la versión pública que elabore el </w:t>
      </w:r>
      <w:r w:rsidRPr="00617F2C">
        <w:rPr>
          <w:rFonts w:ascii="Palatino Linotype" w:eastAsia="Palatino Linotype" w:hAnsi="Palatino Linotype" w:cs="Palatino Linotype"/>
          <w:b/>
        </w:rPr>
        <w:t>SUJETO OBLIGADO</w:t>
      </w:r>
      <w:r w:rsidRPr="00617F2C">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w:t>
      </w:r>
      <w:r w:rsidRPr="00617F2C">
        <w:rPr>
          <w:rFonts w:ascii="Palatino Linotype" w:eastAsia="Palatino Linotype" w:hAnsi="Palatino Linotype" w:cs="Palatino Linotype"/>
        </w:rPr>
        <w:lastRenderedPageBreak/>
        <w:t>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617F2C">
        <w:rPr>
          <w:rFonts w:ascii="Palatino Linotype" w:eastAsia="Palatino Linotype" w:hAnsi="Palatino Linotype" w:cs="Palatino Linotype"/>
          <w:highlight w:val="white"/>
        </w:rPr>
        <w:t>.</w:t>
      </w:r>
    </w:p>
    <w:p w:rsidR="00246311" w:rsidRPr="00617F2C"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highlight w:val="whit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Efectivamente, cuando se clasifica información como confidencial o reservada es importante someterlo al Comité de Transparencia, quien debe confirmar, modificar o revocar la clasificación.</w:t>
      </w:r>
    </w:p>
    <w:p w:rsidR="00651421" w:rsidRPr="00617F2C" w:rsidRDefault="00651421" w:rsidP="003E42B6">
      <w:pPr>
        <w:pStyle w:val="Prrafodelista"/>
        <w:spacing w:line="360" w:lineRule="auto"/>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617F2C">
        <w:rPr>
          <w:rFonts w:ascii="Palatino Linotype" w:eastAsia="Palatino Linotype" w:hAnsi="Palatino Linotype" w:cs="Palatino Linotype"/>
          <w:b/>
        </w:rPr>
        <w:t>SUJETO OBLIGADO</w:t>
      </w:r>
      <w:r w:rsidRPr="00617F2C">
        <w:rPr>
          <w:rFonts w:ascii="Palatino Linotype" w:eastAsia="Palatino Linotype" w:hAnsi="Palatino Linotype" w:cs="Palatino Linotype"/>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617F2C">
        <w:rPr>
          <w:rFonts w:ascii="Palatino Linotype" w:eastAsia="Palatino Linotype" w:hAnsi="Palatino Linotype" w:cs="Palatino Linotype"/>
          <w:b/>
        </w:rPr>
        <w:t>RECURRENTE.</w:t>
      </w:r>
    </w:p>
    <w:p w:rsidR="00246311" w:rsidRPr="00617F2C" w:rsidRDefault="00246311" w:rsidP="003E42B6">
      <w:pPr>
        <w:pStyle w:val="Prrafodelista"/>
        <w:spacing w:line="360" w:lineRule="auto"/>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w:t>
      </w:r>
      <w:r w:rsidRPr="00617F2C">
        <w:rPr>
          <w:rFonts w:ascii="Palatino Linotype" w:eastAsia="Palatino Linotype" w:hAnsi="Palatino Linotype" w:cs="Palatino Linotype"/>
        </w:rPr>
        <w:lastRenderedPageBreak/>
        <w:t xml:space="preserve">Ley de Transparencia y Acceso a la Información Pública del Estado de México y Municipios permite la elaboración de versiones públicas en las que se suprima aquella información relacionada con la vida privada de los servidores públicos. </w:t>
      </w:r>
    </w:p>
    <w:p w:rsidR="00246311" w:rsidRPr="00617F2C" w:rsidRDefault="00246311" w:rsidP="003E42B6">
      <w:pPr>
        <w:pStyle w:val="Prrafodelista"/>
        <w:spacing w:line="360" w:lineRule="auto"/>
        <w:rPr>
          <w:rFonts w:ascii="Palatino Linotype" w:eastAsia="Palatino Linotype" w:hAnsi="Palatino Linotype" w:cs="Palatino Linotype"/>
        </w:rPr>
      </w:pPr>
    </w:p>
    <w:p w:rsidR="00246311"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617F2C" w:rsidRPr="00617F2C" w:rsidRDefault="00617F2C" w:rsidP="00617F2C">
      <w:pPr>
        <w:pStyle w:val="Sinespaciado"/>
        <w:spacing w:line="360" w:lineRule="auto"/>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246311" w:rsidRPr="00617F2C" w:rsidRDefault="00246311" w:rsidP="003E42B6">
      <w:pPr>
        <w:spacing w:line="360" w:lineRule="auto"/>
        <w:ind w:left="851" w:right="902"/>
        <w:jc w:val="both"/>
        <w:rPr>
          <w:rFonts w:ascii="Palatino Linotype" w:eastAsia="Palatino Linotype" w:hAnsi="Palatino Linotype" w:cs="Palatino Linotype"/>
          <w:i/>
        </w:rPr>
      </w:pPr>
      <w:r w:rsidRPr="00617F2C">
        <w:rPr>
          <w:rFonts w:ascii="Palatino Linotype" w:eastAsia="Palatino Linotype" w:hAnsi="Palatino Linotype" w:cs="Palatino Linotype"/>
          <w:i/>
        </w:rPr>
        <w:t>“Quincuagésimo sexto</w:t>
      </w:r>
      <w:r w:rsidRPr="00617F2C">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246311" w:rsidRPr="00617F2C" w:rsidRDefault="00246311" w:rsidP="003E42B6">
      <w:pPr>
        <w:spacing w:line="360" w:lineRule="auto"/>
        <w:ind w:left="851" w:right="902"/>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rsidR="00246311" w:rsidRPr="00617F2C" w:rsidRDefault="00246311" w:rsidP="003E42B6">
      <w:pPr>
        <w:spacing w:line="360" w:lineRule="auto"/>
        <w:ind w:left="851" w:right="902"/>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rsidR="00246311" w:rsidRPr="00617F2C" w:rsidRDefault="00246311" w:rsidP="003E42B6">
      <w:pPr>
        <w:spacing w:line="360" w:lineRule="auto"/>
        <w:ind w:left="851" w:right="902"/>
        <w:jc w:val="both"/>
        <w:rPr>
          <w:rFonts w:ascii="Palatino Linotype" w:eastAsia="Palatino Linotype" w:hAnsi="Palatino Linotype" w:cs="Palatino Linotype"/>
          <w:i/>
        </w:rPr>
      </w:pPr>
      <w:r w:rsidRPr="00617F2C">
        <w:rPr>
          <w:rFonts w:ascii="Palatino Linotype" w:eastAsia="Palatino Linotype" w:hAnsi="Palatino Linotype" w:cs="Palatino Linotype"/>
          <w:i/>
        </w:rPr>
        <w:lastRenderedPageBreak/>
        <w:t xml:space="preserve">II. El nombre de los servidores públicos en los documentos, y sus firmas autógrafas, cuando sean utilizados en el ejercicio de las facultades conferidas para el desempeño del servicio público, y </w:t>
      </w:r>
    </w:p>
    <w:p w:rsidR="00246311" w:rsidRPr="00617F2C" w:rsidRDefault="00246311" w:rsidP="003E42B6">
      <w:pPr>
        <w:spacing w:line="360" w:lineRule="auto"/>
        <w:ind w:left="851" w:right="902"/>
        <w:jc w:val="both"/>
        <w:rPr>
          <w:rFonts w:ascii="Palatino Linotype" w:eastAsia="Palatino Linotype" w:hAnsi="Palatino Linotype" w:cs="Palatino Linotype"/>
          <w:i/>
        </w:rPr>
      </w:pPr>
      <w:r w:rsidRPr="00617F2C">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rsidR="00246311" w:rsidRPr="00617F2C" w:rsidRDefault="00246311" w:rsidP="003E42B6">
      <w:pPr>
        <w:spacing w:line="360" w:lineRule="auto"/>
        <w:ind w:left="851" w:right="902"/>
        <w:jc w:val="both"/>
        <w:rPr>
          <w:rFonts w:ascii="Palatino Linotype" w:eastAsia="Palatino Linotype" w:hAnsi="Palatino Linotype" w:cs="Palatino Linotype"/>
          <w:i/>
        </w:rPr>
      </w:pPr>
      <w:r w:rsidRPr="00617F2C">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rsidR="00246311" w:rsidRPr="00617F2C" w:rsidRDefault="00246311" w:rsidP="003E42B6">
      <w:pPr>
        <w:spacing w:line="360" w:lineRule="auto"/>
        <w:ind w:left="851" w:right="902"/>
        <w:jc w:val="both"/>
        <w:rPr>
          <w:rFonts w:ascii="Palatino Linotype" w:eastAsia="Palatino Linotype" w:hAnsi="Palatino Linotype" w:cs="Palatino Linotype"/>
          <w:i/>
        </w:rPr>
      </w:pPr>
      <w:r w:rsidRPr="00617F2C">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rsidR="002A3372" w:rsidRPr="00617F2C" w:rsidRDefault="002A3372" w:rsidP="003E42B6">
      <w:pPr>
        <w:spacing w:line="360" w:lineRule="auto"/>
        <w:ind w:left="851" w:right="902"/>
        <w:jc w:val="both"/>
        <w:rPr>
          <w:rFonts w:ascii="Palatino Linotype" w:eastAsia="Palatino Linotype" w:hAnsi="Palatino Linotype" w:cs="Palatino Linotype"/>
          <w:i/>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Por lo tanto, </w:t>
      </w:r>
      <w:r w:rsidRPr="00617F2C">
        <w:rPr>
          <w:rFonts w:ascii="Palatino Linotype" w:eastAsia="Palatino Linotype" w:hAnsi="Palatino Linotype" w:cs="Palatino Linotype"/>
          <w:b/>
        </w:rPr>
        <w:t xml:space="preserve">la entrega de documentos en su versión pública debe </w:t>
      </w:r>
      <w:r w:rsidRPr="00617F2C">
        <w:rPr>
          <w:rFonts w:ascii="Palatino Linotype" w:eastAsia="Palatino Linotype" w:hAnsi="Palatino Linotype" w:cs="Palatino Linotype"/>
          <w:color w:val="000000"/>
        </w:rPr>
        <w:t>acompañarse</w:t>
      </w:r>
      <w:r w:rsidRPr="00617F2C">
        <w:rPr>
          <w:rFonts w:ascii="Palatino Linotype" w:eastAsia="Palatino Linotype" w:hAnsi="Palatino Linotype" w:cs="Palatino Linotype"/>
          <w:b/>
        </w:rPr>
        <w:t xml:space="preserve"> </w:t>
      </w:r>
      <w:r w:rsidRPr="00617F2C">
        <w:rPr>
          <w:rFonts w:ascii="Palatino Linotype" w:eastAsia="Palatino Linotype" w:hAnsi="Palatino Linotype" w:cs="Palatino Linotype"/>
        </w:rPr>
        <w:t>necesariamente</w:t>
      </w:r>
      <w:r w:rsidRPr="00617F2C">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617F2C">
        <w:rPr>
          <w:rFonts w:ascii="Palatino Linotype" w:eastAsia="Palatino Linotype" w:hAnsi="Palatino Linotype" w:cs="Palatino Linotype"/>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246311" w:rsidRPr="00617F2C"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lastRenderedPageBreak/>
        <w:t>Los sujetos obligados</w:t>
      </w:r>
      <w:r w:rsidRPr="00617F2C">
        <w:rPr>
          <w:rFonts w:ascii="Palatino Linotype" w:eastAsia="Palatino Linotype" w:hAnsi="Palatino Linotype" w:cs="Palatino Linotype"/>
          <w:b/>
          <w:color w:val="000000"/>
        </w:rPr>
        <w:t xml:space="preserve"> </w:t>
      </w:r>
      <w:r w:rsidRPr="00617F2C">
        <w:rPr>
          <w:rFonts w:ascii="Palatino Linotype" w:eastAsia="Palatino Linotype" w:hAnsi="Palatino Linotype" w:cs="Palatino Linotype"/>
          <w:color w:val="000000"/>
        </w:rPr>
        <w:t xml:space="preserve">serán responsables de los datos personales en su </w:t>
      </w:r>
      <w:r w:rsidRPr="00617F2C">
        <w:rPr>
          <w:rFonts w:ascii="Palatino Linotype" w:eastAsia="Palatino Linotype" w:hAnsi="Palatino Linotype" w:cs="Palatino Linotype"/>
        </w:rPr>
        <w:t>posesión</w:t>
      </w:r>
      <w:r w:rsidRPr="00617F2C">
        <w:rPr>
          <w:rFonts w:ascii="Palatino Linotype" w:eastAsia="Palatino Linotype" w:hAnsi="Palatino Linotype" w:cs="Palatino Linotype"/>
          <w:color w:val="000000"/>
        </w:rPr>
        <w:t xml:space="preserve"> y que, en caso de localizarse datos concernientes a terceros, éstos no podrán difundir, </w:t>
      </w:r>
      <w:r w:rsidRPr="00617F2C">
        <w:rPr>
          <w:rFonts w:ascii="Palatino Linotype" w:eastAsia="Palatino Linotype" w:hAnsi="Palatino Linotype" w:cs="Palatino Linotype"/>
        </w:rPr>
        <w:t>distribuir</w:t>
      </w:r>
      <w:r w:rsidRPr="00617F2C">
        <w:rPr>
          <w:rFonts w:ascii="Palatino Linotype" w:eastAsia="Palatino Linotype" w:hAnsi="Palatino Linotype" w:cs="Palatino Linotype"/>
          <w:color w:val="000000"/>
        </w:rPr>
        <w:t xml:space="preserve"> o comercializar los datos personales.  Cabe destacar que, para la </w:t>
      </w:r>
      <w:r w:rsidRPr="00617F2C">
        <w:rPr>
          <w:rFonts w:ascii="Palatino Linotype" w:eastAsia="Palatino Linotype" w:hAnsi="Palatino Linotype" w:cs="Palatino Linotype"/>
        </w:rPr>
        <w:t>realización</w:t>
      </w:r>
      <w:r w:rsidRPr="00617F2C">
        <w:rPr>
          <w:rFonts w:ascii="Palatino Linotype" w:eastAsia="Palatino Linotype" w:hAnsi="Palatino Linotype" w:cs="Palatino Linotype"/>
          <w:color w:val="000000"/>
        </w:rPr>
        <w:t xml:space="preserve"> de la clasificación de la información, se deben seguir una serie de pasos y procedimientos, por lo que es menester reiterar los mismos:</w:t>
      </w: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246311" w:rsidRPr="00617F2C" w:rsidTr="00617F2C">
        <w:tc>
          <w:tcPr>
            <w:tcW w:w="2689" w:type="dxa"/>
          </w:tcPr>
          <w:p w:rsidR="00246311" w:rsidRPr="00617F2C" w:rsidRDefault="00246311" w:rsidP="003E42B6">
            <w:pPr>
              <w:tabs>
                <w:tab w:val="left" w:pos="284"/>
              </w:tabs>
              <w:rPr>
                <w:rFonts w:ascii="Palatino Linotype" w:eastAsia="Palatino Linotype" w:hAnsi="Palatino Linotype" w:cs="Palatino Linotype"/>
              </w:rPr>
            </w:pPr>
            <w:r w:rsidRPr="00617F2C">
              <w:rPr>
                <w:rFonts w:ascii="Palatino Linotype" w:eastAsia="Palatino Linotype" w:hAnsi="Palatino Linotype" w:cs="Palatino Linotype"/>
              </w:rPr>
              <w:t>a) Requisitos previos.</w:t>
            </w:r>
          </w:p>
        </w:tc>
        <w:tc>
          <w:tcPr>
            <w:tcW w:w="7087" w:type="dxa"/>
          </w:tcPr>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246311" w:rsidRPr="00617F2C" w:rsidRDefault="00246311" w:rsidP="003E42B6">
            <w:pPr>
              <w:tabs>
                <w:tab w:val="left" w:pos="284"/>
              </w:tabs>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17F2C">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17F2C">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246311" w:rsidRPr="00617F2C" w:rsidRDefault="00246311" w:rsidP="003E42B6">
            <w:pPr>
              <w:tabs>
                <w:tab w:val="left" w:pos="284"/>
              </w:tabs>
              <w:jc w:val="both"/>
              <w:rPr>
                <w:rFonts w:ascii="Palatino Linotype" w:eastAsia="Palatino Linotype" w:hAnsi="Palatino Linotype" w:cs="Palatino Linotype"/>
              </w:rPr>
            </w:pPr>
          </w:p>
        </w:tc>
      </w:tr>
      <w:tr w:rsidR="00246311" w:rsidRPr="00617F2C" w:rsidTr="00617F2C">
        <w:tc>
          <w:tcPr>
            <w:tcW w:w="2689" w:type="dxa"/>
          </w:tcPr>
          <w:p w:rsidR="00246311" w:rsidRPr="00617F2C" w:rsidRDefault="00246311" w:rsidP="003E42B6">
            <w:pPr>
              <w:tabs>
                <w:tab w:val="left" w:pos="284"/>
              </w:tabs>
              <w:rPr>
                <w:rFonts w:ascii="Palatino Linotype" w:eastAsia="Palatino Linotype" w:hAnsi="Palatino Linotype" w:cs="Palatino Linotype"/>
              </w:rPr>
            </w:pPr>
            <w:r w:rsidRPr="00617F2C">
              <w:rPr>
                <w:rFonts w:ascii="Palatino Linotype" w:eastAsia="Palatino Linotype" w:hAnsi="Palatino Linotype" w:cs="Palatino Linotype"/>
              </w:rPr>
              <w:t>b) Supuestos de clasificación.</w:t>
            </w:r>
          </w:p>
        </w:tc>
        <w:tc>
          <w:tcPr>
            <w:tcW w:w="7087" w:type="dxa"/>
          </w:tcPr>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w:t>
            </w:r>
            <w:r w:rsidRPr="00617F2C">
              <w:rPr>
                <w:rFonts w:ascii="Palatino Linotype" w:eastAsia="Palatino Linotype" w:hAnsi="Palatino Linotype" w:cs="Palatino Linotype"/>
                <w:color w:val="000000"/>
              </w:rPr>
              <w:lastRenderedPageBreak/>
              <w:t>acreditarse que se cumple con esta condición y no se pueden ampliar las excepciones o supuestos de clasificación aduciendo analogía o mayoría de razón.</w:t>
            </w:r>
          </w:p>
          <w:p w:rsidR="00246311" w:rsidRPr="00617F2C" w:rsidRDefault="00246311" w:rsidP="003E42B6">
            <w:pPr>
              <w:tabs>
                <w:tab w:val="left" w:pos="284"/>
              </w:tabs>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El </w:t>
            </w:r>
            <w:r w:rsidRPr="00617F2C">
              <w:rPr>
                <w:rFonts w:ascii="Palatino Linotype" w:eastAsia="Palatino Linotype" w:hAnsi="Palatino Linotype" w:cs="Palatino Linotype"/>
                <w:b/>
                <w:color w:val="000000"/>
              </w:rPr>
              <w:t>Sujeto Obligado</w:t>
            </w:r>
            <w:r w:rsidRPr="00617F2C">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246311" w:rsidRPr="00617F2C" w:rsidRDefault="00246311" w:rsidP="003E42B6">
            <w:pPr>
              <w:tabs>
                <w:tab w:val="left" w:pos="284"/>
              </w:tabs>
              <w:jc w:val="both"/>
              <w:rPr>
                <w:rFonts w:ascii="Palatino Linotype" w:eastAsia="Palatino Linotype" w:hAnsi="Palatino Linotype" w:cs="Palatino Linotype"/>
              </w:rPr>
            </w:pPr>
          </w:p>
        </w:tc>
      </w:tr>
      <w:tr w:rsidR="00246311" w:rsidRPr="00617F2C" w:rsidTr="00617F2C">
        <w:tc>
          <w:tcPr>
            <w:tcW w:w="2689" w:type="dxa"/>
          </w:tcPr>
          <w:p w:rsidR="00246311" w:rsidRPr="00617F2C" w:rsidRDefault="00246311" w:rsidP="003E42B6">
            <w:pPr>
              <w:tabs>
                <w:tab w:val="left" w:pos="284"/>
              </w:tabs>
              <w:rPr>
                <w:rFonts w:ascii="Palatino Linotype" w:eastAsia="Palatino Linotype" w:hAnsi="Palatino Linotype" w:cs="Palatino Linotype"/>
              </w:rPr>
            </w:pPr>
            <w:r w:rsidRPr="00617F2C">
              <w:rPr>
                <w:rFonts w:ascii="Palatino Linotype" w:eastAsia="Palatino Linotype" w:hAnsi="Palatino Linotype" w:cs="Palatino Linotype"/>
              </w:rPr>
              <w:lastRenderedPageBreak/>
              <w:t>c) Formalidades para emitir el acuerdo de clasificación.</w:t>
            </w:r>
          </w:p>
        </w:tc>
        <w:tc>
          <w:tcPr>
            <w:tcW w:w="7087" w:type="dxa"/>
          </w:tcPr>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Es necesario que </w:t>
            </w:r>
            <w:r w:rsidRPr="00617F2C">
              <w:rPr>
                <w:rFonts w:ascii="Palatino Linotype" w:eastAsia="Palatino Linotype" w:hAnsi="Palatino Linotype" w:cs="Palatino Linotype"/>
                <w:b/>
                <w:color w:val="000000"/>
                <w:u w:val="single"/>
              </w:rPr>
              <w:t>el acto reúna con los requisitos elementales</w:t>
            </w:r>
            <w:r w:rsidRPr="00617F2C">
              <w:rPr>
                <w:rFonts w:ascii="Palatino Linotype" w:eastAsia="Palatino Linotype" w:hAnsi="Palatino Linotype" w:cs="Palatino Linotype"/>
                <w:color w:val="000000"/>
              </w:rPr>
              <w:t>, entre ellos, que la autoridad que va a emitir el acto de autoridad sea la legalmente facultada para ello.</w:t>
            </w:r>
          </w:p>
          <w:p w:rsidR="00246311" w:rsidRPr="00617F2C" w:rsidRDefault="00246311" w:rsidP="003E42B6">
            <w:pPr>
              <w:tabs>
                <w:tab w:val="left" w:pos="284"/>
              </w:tabs>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246311" w:rsidRPr="00617F2C" w:rsidRDefault="00246311" w:rsidP="003E42B6">
            <w:pPr>
              <w:tabs>
                <w:tab w:val="left" w:pos="284"/>
              </w:tabs>
              <w:jc w:val="both"/>
              <w:rPr>
                <w:rFonts w:ascii="Palatino Linotype" w:eastAsia="Palatino Linotype" w:hAnsi="Palatino Linotype" w:cs="Palatino Linotype"/>
              </w:rPr>
            </w:pPr>
          </w:p>
        </w:tc>
      </w:tr>
      <w:tr w:rsidR="00246311" w:rsidRPr="00617F2C" w:rsidTr="00617F2C">
        <w:tc>
          <w:tcPr>
            <w:tcW w:w="2689" w:type="dxa"/>
          </w:tcPr>
          <w:p w:rsidR="00246311" w:rsidRPr="00617F2C" w:rsidRDefault="00246311" w:rsidP="003E42B6">
            <w:pPr>
              <w:tabs>
                <w:tab w:val="left" w:pos="284"/>
              </w:tabs>
              <w:rPr>
                <w:rFonts w:ascii="Palatino Linotype" w:eastAsia="Palatino Linotype" w:hAnsi="Palatino Linotype" w:cs="Palatino Linotype"/>
              </w:rPr>
            </w:pPr>
          </w:p>
          <w:p w:rsidR="00246311" w:rsidRPr="00617F2C" w:rsidRDefault="00246311" w:rsidP="003E42B6">
            <w:pPr>
              <w:tabs>
                <w:tab w:val="left" w:pos="284"/>
              </w:tabs>
              <w:jc w:val="both"/>
              <w:rPr>
                <w:rFonts w:ascii="Palatino Linotype" w:eastAsia="Palatino Linotype" w:hAnsi="Palatino Linotype" w:cs="Palatino Linotype"/>
              </w:rPr>
            </w:pPr>
            <w:r w:rsidRPr="00617F2C">
              <w:rPr>
                <w:rFonts w:ascii="Palatino Linotype" w:eastAsia="Palatino Linotype" w:hAnsi="Palatino Linotype" w:cs="Palatino Linotype"/>
                <w:color w:val="000000"/>
              </w:rPr>
              <w:t xml:space="preserve">d) Requisitos de fondo del acuerdo de clasificación. </w:t>
            </w:r>
          </w:p>
        </w:tc>
        <w:tc>
          <w:tcPr>
            <w:tcW w:w="7087" w:type="dxa"/>
          </w:tcPr>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17F2C">
              <w:rPr>
                <w:rFonts w:ascii="Palatino Linotype" w:eastAsia="Palatino Linotype" w:hAnsi="Palatino Linotype" w:cs="Palatino Linotype"/>
                <w:b/>
                <w:color w:val="000000"/>
              </w:rPr>
              <w:t>Sujetos Obligados</w:t>
            </w:r>
            <w:r w:rsidRPr="00617F2C">
              <w:rPr>
                <w:rFonts w:ascii="Palatino Linotype" w:eastAsia="Palatino Linotype" w:hAnsi="Palatino Linotype" w:cs="Palatino Linotype"/>
                <w:color w:val="000000"/>
              </w:rPr>
              <w:t xml:space="preserve">, por lo que deberán fundar y motivar debidamente la clasificación. </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De lo anterior, se desprende que para una correcta </w:t>
            </w:r>
            <w:r w:rsidRPr="00617F2C">
              <w:rPr>
                <w:rFonts w:ascii="Palatino Linotype" w:eastAsia="Palatino Linotype" w:hAnsi="Palatino Linotype" w:cs="Palatino Linotype"/>
                <w:b/>
                <w:color w:val="000000"/>
              </w:rPr>
              <w:t>clasificación total o parcial</w:t>
            </w:r>
            <w:r w:rsidRPr="00617F2C">
              <w:rPr>
                <w:rFonts w:ascii="Palatino Linotype" w:eastAsia="Palatino Linotype" w:hAnsi="Palatino Linotype" w:cs="Palatino Linotype"/>
                <w:color w:val="000000"/>
              </w:rPr>
              <w:t xml:space="preserve">, esto es determinar los datos que se suprimen en </w:t>
            </w:r>
            <w:r w:rsidRPr="00617F2C">
              <w:rPr>
                <w:rFonts w:ascii="Palatino Linotype" w:eastAsia="Palatino Linotype" w:hAnsi="Palatino Linotype" w:cs="Palatino Linotype"/>
                <w:color w:val="000000"/>
              </w:rPr>
              <w:lastRenderedPageBreak/>
              <w:t>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Ahora bien, </w:t>
            </w:r>
            <w:r w:rsidRPr="00617F2C">
              <w:rPr>
                <w:rFonts w:ascii="Palatino Linotype" w:eastAsia="Palatino Linotype" w:hAnsi="Palatino Linotype" w:cs="Palatino Linotype"/>
                <w:b/>
                <w:color w:val="000000"/>
                <w:u w:val="single"/>
              </w:rPr>
              <w:t>para cada caso además de fundar y motivar</w:t>
            </w:r>
            <w:r w:rsidRPr="00617F2C">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p>
        </w:tc>
      </w:tr>
      <w:tr w:rsidR="00246311" w:rsidRPr="00617F2C" w:rsidTr="00617F2C">
        <w:tc>
          <w:tcPr>
            <w:tcW w:w="2689" w:type="dxa"/>
          </w:tcPr>
          <w:p w:rsidR="00246311" w:rsidRPr="00617F2C" w:rsidRDefault="00246311" w:rsidP="003E42B6">
            <w:pPr>
              <w:tabs>
                <w:tab w:val="left" w:pos="284"/>
              </w:tabs>
              <w:ind w:right="49"/>
              <w:jc w:val="both"/>
              <w:rPr>
                <w:rFonts w:ascii="Palatino Linotype" w:eastAsia="Palatino Linotype" w:hAnsi="Palatino Linotype" w:cs="Palatino Linotype"/>
              </w:rPr>
            </w:pPr>
            <w:r w:rsidRPr="00617F2C">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246311" w:rsidRPr="00617F2C" w:rsidRDefault="00246311" w:rsidP="003E42B6">
            <w:pPr>
              <w:tabs>
                <w:tab w:val="left" w:pos="284"/>
              </w:tabs>
              <w:ind w:right="49"/>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46311" w:rsidRPr="00617F2C" w:rsidRDefault="00246311" w:rsidP="003E42B6">
            <w:pPr>
              <w:tabs>
                <w:tab w:val="left" w:pos="284"/>
              </w:tabs>
              <w:rPr>
                <w:rFonts w:ascii="Palatino Linotype" w:eastAsia="Palatino Linotype" w:hAnsi="Palatino Linotype" w:cs="Palatino Linotype"/>
                <w:color w:val="000000"/>
              </w:rPr>
            </w:pPr>
            <w:r w:rsidRPr="00617F2C">
              <w:rPr>
                <w:rFonts w:ascii="Palatino Linotype" w:eastAsia="Palatino Linotype" w:hAnsi="Palatino Linotype" w:cs="Palatino Linotype"/>
                <w:color w:val="000000"/>
              </w:rPr>
              <w:t xml:space="preserve">Pero si la información que se pretende clasificar como confidencial no se encuentra en los supuestos de los artículos </w:t>
            </w:r>
            <w:r w:rsidRPr="00617F2C">
              <w:rPr>
                <w:rFonts w:ascii="Palatino Linotype" w:eastAsia="Palatino Linotype" w:hAnsi="Palatino Linotype" w:cs="Palatino Linotype"/>
                <w:color w:val="000000"/>
              </w:rPr>
              <w:lastRenderedPageBreak/>
              <w:t>señalados y es posible, se deberá consultar al titular de los datos si permite o no el acceso. De no ser posible, la realización de la consulta, procede, fundando y motivando, la clasificación.</w:t>
            </w:r>
          </w:p>
          <w:p w:rsidR="00246311" w:rsidRPr="00617F2C" w:rsidRDefault="00246311" w:rsidP="003E42B6">
            <w:pPr>
              <w:tabs>
                <w:tab w:val="left" w:pos="284"/>
              </w:tabs>
              <w:rPr>
                <w:rFonts w:ascii="Palatino Linotype" w:eastAsia="Palatino Linotype" w:hAnsi="Palatino Linotype" w:cs="Palatino Linotype"/>
              </w:rPr>
            </w:pPr>
          </w:p>
        </w:tc>
      </w:tr>
    </w:tbl>
    <w:p w:rsidR="00246311" w:rsidRPr="00617F2C" w:rsidRDefault="00246311" w:rsidP="003E42B6">
      <w:pPr>
        <w:tabs>
          <w:tab w:val="left" w:pos="284"/>
        </w:tabs>
        <w:spacing w:line="360" w:lineRule="auto"/>
        <w:rPr>
          <w:rFonts w:ascii="Palatino Linotype" w:eastAsia="Palatino Linotype" w:hAnsi="Palatino Linotype" w:cs="Palatino Linotype"/>
          <w:color w:val="000000"/>
        </w:rPr>
      </w:pPr>
    </w:p>
    <w:p w:rsidR="00246311" w:rsidRPr="00617F2C" w:rsidRDefault="00246311" w:rsidP="00617F2C">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617F2C">
        <w:rPr>
          <w:rFonts w:ascii="Palatino Linotype" w:eastAsia="Palatino Linotype" w:hAnsi="Palatino Linotype" w:cs="Palatino Linotype"/>
        </w:rPr>
        <w:t xml:space="preserve">Si el </w:t>
      </w:r>
      <w:r w:rsidRPr="00617F2C">
        <w:rPr>
          <w:rFonts w:ascii="Palatino Linotype" w:eastAsia="Palatino Linotype" w:hAnsi="Palatino Linotype" w:cs="Palatino Linotype"/>
          <w:color w:val="000000"/>
        </w:rPr>
        <w:t>servidor</w:t>
      </w:r>
      <w:r w:rsidRPr="00617F2C">
        <w:rPr>
          <w:rFonts w:ascii="Palatino Linotype" w:eastAsia="Palatino Linotype" w:hAnsi="Palatino Linotype" w:cs="Palatino Linotype"/>
        </w:rPr>
        <w:t xml:space="preserve"> </w:t>
      </w:r>
      <w:r w:rsidRPr="00617F2C">
        <w:rPr>
          <w:rFonts w:ascii="Palatino Linotype" w:eastAsia="Arial Unicode MS" w:hAnsi="Palatino Linotype" w:cs="Arial"/>
        </w:rPr>
        <w:t>público</w:t>
      </w:r>
      <w:r w:rsidRPr="00617F2C">
        <w:rPr>
          <w:rFonts w:ascii="Palatino Linotype" w:eastAsia="Palatino Linotype" w:hAnsi="Palatino Linotype" w:cs="Palatino Linotype"/>
        </w:rPr>
        <w:t xml:space="preserve"> incumple con estas formalidades y entrega la información </w:t>
      </w:r>
      <w:r w:rsidRPr="00617F2C">
        <w:rPr>
          <w:rFonts w:ascii="Palatino Linotype" w:eastAsia="Arial Unicode MS" w:hAnsi="Palatino Linotype" w:cs="Arial"/>
        </w:rPr>
        <w:t>sin</w:t>
      </w:r>
      <w:r w:rsidRPr="00617F2C">
        <w:rPr>
          <w:rFonts w:ascii="Palatino Linotype" w:eastAsia="Palatino Linotype" w:hAnsi="Palatino Linotype" w:cs="Palatino Linotype"/>
        </w:rPr>
        <w:t xml:space="preserve"> proteger los datos personales incumple con lo que estipula las </w:t>
      </w:r>
      <w:r w:rsidRPr="00617F2C">
        <w:rPr>
          <w:rFonts w:ascii="Palatino Linotype" w:eastAsia="Palatino Linotype" w:hAnsi="Palatino Linotype" w:cs="Palatino Linotype"/>
          <w:color w:val="000000"/>
        </w:rPr>
        <w:t>disposiciones</w:t>
      </w:r>
      <w:r w:rsidRPr="00617F2C">
        <w:rPr>
          <w:rFonts w:ascii="Palatino Linotype" w:eastAsia="Palatino Linotype" w:hAnsi="Palatino Linotype" w:cs="Palatino Linotype"/>
        </w:rPr>
        <w:t xml:space="preserve"> legales </w:t>
      </w:r>
      <w:r w:rsidRPr="00617F2C">
        <w:rPr>
          <w:rFonts w:ascii="Palatino Linotype" w:eastAsia="Palatino Linotype" w:hAnsi="Palatino Linotype" w:cs="Palatino Linotype"/>
          <w:color w:val="000000"/>
        </w:rPr>
        <w:t>establecidas</w:t>
      </w:r>
      <w:r w:rsidRPr="00617F2C">
        <w:rPr>
          <w:rFonts w:ascii="Palatino Linotype" w:eastAsia="Palatino Linotype" w:hAnsi="Palatino Linotype" w:cs="Palatino Linotype"/>
        </w:rPr>
        <w:t>, asimismo que si entrega un documento testado sin el debido acuerdo de clasificación.</w:t>
      </w:r>
    </w:p>
    <w:p w:rsidR="00246311" w:rsidRPr="00617F2C" w:rsidRDefault="00246311" w:rsidP="003E42B6">
      <w:pPr>
        <w:pStyle w:val="Prrafodelista"/>
        <w:widowControl w:val="0"/>
        <w:autoSpaceDE w:val="0"/>
        <w:autoSpaceDN w:val="0"/>
        <w:adjustRightInd w:val="0"/>
        <w:spacing w:line="360" w:lineRule="auto"/>
        <w:ind w:left="0"/>
        <w:jc w:val="both"/>
        <w:rPr>
          <w:rFonts w:ascii="Palatino Linotype" w:eastAsia="Calibri" w:hAnsi="Palatino Linotype" w:cs="Arial"/>
        </w:rPr>
      </w:pPr>
    </w:p>
    <w:p w:rsidR="00246311" w:rsidRPr="00617F2C" w:rsidRDefault="00246311" w:rsidP="00617F2C">
      <w:pPr>
        <w:pStyle w:val="Sinespaciado"/>
        <w:numPr>
          <w:ilvl w:val="0"/>
          <w:numId w:val="1"/>
        </w:numPr>
        <w:spacing w:line="360" w:lineRule="auto"/>
        <w:ind w:left="0" w:firstLine="0"/>
        <w:jc w:val="both"/>
        <w:rPr>
          <w:rFonts w:ascii="Palatino Linotype" w:hAnsi="Palatino Linotype" w:cs="Arial"/>
        </w:rPr>
      </w:pPr>
      <w:r w:rsidRPr="00617F2C">
        <w:rPr>
          <w:rFonts w:ascii="Palatino Linotype" w:eastAsia="Arial Unicode MS" w:hAnsi="Palatino Linotype" w:cs="Arial"/>
        </w:rPr>
        <w:t>Por</w:t>
      </w:r>
      <w:r w:rsidRPr="00617F2C">
        <w:rPr>
          <w:rFonts w:ascii="Palatino Linotype" w:eastAsia="MS Mincho" w:hAnsi="Palatino Linotype"/>
          <w:color w:val="000000"/>
        </w:rPr>
        <w:t xml:space="preserve"> lo </w:t>
      </w:r>
      <w:r w:rsidRPr="00617F2C">
        <w:rPr>
          <w:rFonts w:ascii="Palatino Linotype" w:eastAsia="Arial Unicode MS" w:hAnsi="Palatino Linotype" w:cs="Arial"/>
        </w:rPr>
        <w:t>anteriormente</w:t>
      </w:r>
      <w:r w:rsidRPr="00617F2C">
        <w:rPr>
          <w:rFonts w:ascii="Palatino Linotype" w:eastAsia="MS Mincho" w:hAnsi="Palatino Linotype"/>
          <w:color w:val="000000"/>
        </w:rPr>
        <w:t xml:space="preserve"> expuesto y fundado, este Órgano Garante emite los siguientes: </w:t>
      </w:r>
    </w:p>
    <w:p w:rsidR="00617F2C" w:rsidRDefault="00617F2C" w:rsidP="00617F2C">
      <w:pPr>
        <w:pStyle w:val="Prrafodelista"/>
        <w:rPr>
          <w:rFonts w:ascii="Palatino Linotype" w:hAnsi="Palatino Linotype" w:cs="Arial"/>
        </w:rPr>
      </w:pPr>
    </w:p>
    <w:p w:rsidR="00617F2C" w:rsidRPr="00617F2C" w:rsidRDefault="00617F2C" w:rsidP="00617F2C">
      <w:pPr>
        <w:pStyle w:val="Sinespaciado"/>
        <w:spacing w:line="360" w:lineRule="auto"/>
        <w:jc w:val="both"/>
        <w:rPr>
          <w:rFonts w:ascii="Palatino Linotype" w:hAnsi="Palatino Linotype" w:cs="Arial"/>
        </w:rPr>
      </w:pPr>
    </w:p>
    <w:p w:rsidR="00313EA6" w:rsidRPr="00617F2C" w:rsidRDefault="00313EA6" w:rsidP="003E42B6">
      <w:pPr>
        <w:pStyle w:val="Ttulo1"/>
        <w:spacing w:before="0" w:line="360" w:lineRule="auto"/>
        <w:jc w:val="center"/>
        <w:rPr>
          <w:rFonts w:ascii="Palatino Linotype" w:hAnsi="Palatino Linotype"/>
          <w:b/>
          <w:color w:val="000000" w:themeColor="text1"/>
          <w:sz w:val="24"/>
          <w:szCs w:val="24"/>
        </w:rPr>
      </w:pPr>
      <w:bookmarkStart w:id="36" w:name="_Toc81233128"/>
      <w:r w:rsidRPr="00617F2C">
        <w:rPr>
          <w:rFonts w:ascii="Palatino Linotype" w:hAnsi="Palatino Linotype"/>
          <w:b/>
          <w:color w:val="000000" w:themeColor="text1"/>
          <w:sz w:val="24"/>
          <w:szCs w:val="24"/>
        </w:rPr>
        <w:t>R E S O L U T I V O S</w:t>
      </w:r>
      <w:bookmarkEnd w:id="32"/>
      <w:bookmarkEnd w:id="33"/>
      <w:bookmarkEnd w:id="34"/>
      <w:bookmarkEnd w:id="35"/>
      <w:bookmarkEnd w:id="36"/>
    </w:p>
    <w:p w:rsidR="00313EA6" w:rsidRPr="00617F2C" w:rsidRDefault="00313EA6" w:rsidP="003E42B6">
      <w:pPr>
        <w:spacing w:line="360" w:lineRule="auto"/>
        <w:rPr>
          <w:rFonts w:ascii="Palatino Linotype" w:hAnsi="Palatino Linotype"/>
        </w:rPr>
      </w:pPr>
    </w:p>
    <w:p w:rsidR="00313EA6" w:rsidRPr="00617F2C" w:rsidRDefault="00313EA6" w:rsidP="003E42B6">
      <w:pPr>
        <w:spacing w:line="360" w:lineRule="auto"/>
        <w:jc w:val="both"/>
        <w:rPr>
          <w:rFonts w:ascii="Palatino Linotype" w:eastAsia="Palatino Linotype" w:hAnsi="Palatino Linotype" w:cs="Palatino Linotype"/>
        </w:rPr>
      </w:pPr>
      <w:r w:rsidRPr="00617F2C">
        <w:rPr>
          <w:rFonts w:ascii="Palatino Linotype" w:eastAsia="Palatino Linotype" w:hAnsi="Palatino Linotype" w:cs="Palatino Linotype"/>
          <w:b/>
        </w:rPr>
        <w:t>PRIMERO</w:t>
      </w:r>
      <w:r w:rsidRPr="00617F2C">
        <w:rPr>
          <w:rFonts w:ascii="Palatino Linotype" w:eastAsia="Palatino Linotype" w:hAnsi="Palatino Linotype" w:cs="Palatino Linotype"/>
        </w:rPr>
        <w:t xml:space="preserve">. Resultan </w:t>
      </w:r>
      <w:r w:rsidR="002A3372" w:rsidRPr="00617F2C">
        <w:rPr>
          <w:rFonts w:ascii="Palatino Linotype" w:eastAsia="Palatino Linotype" w:hAnsi="Palatino Linotype" w:cs="Palatino Linotype"/>
        </w:rPr>
        <w:t xml:space="preserve">parcialmente </w:t>
      </w:r>
      <w:r w:rsidRPr="00617F2C">
        <w:rPr>
          <w:rFonts w:ascii="Palatino Linotype" w:eastAsia="Palatino Linotype" w:hAnsi="Palatino Linotype" w:cs="Palatino Linotype"/>
        </w:rPr>
        <w:t>fundadas las</w:t>
      </w:r>
      <w:r w:rsidRPr="00617F2C">
        <w:rPr>
          <w:rFonts w:ascii="Palatino Linotype" w:eastAsia="Palatino Linotype" w:hAnsi="Palatino Linotype" w:cs="Palatino Linotype"/>
          <w:b/>
        </w:rPr>
        <w:t xml:space="preserve"> </w:t>
      </w:r>
      <w:r w:rsidRPr="00617F2C">
        <w:rPr>
          <w:rFonts w:ascii="Palatino Linotype" w:eastAsia="Palatino Linotype" w:hAnsi="Palatino Linotype" w:cs="Palatino Linotype"/>
        </w:rPr>
        <w:t xml:space="preserve">razones o motivos de inconformidad hechos valer en el Recurso de Revisión </w:t>
      </w:r>
      <w:r w:rsidR="00955388" w:rsidRPr="00617F2C">
        <w:rPr>
          <w:rFonts w:ascii="Palatino Linotype" w:hAnsi="Palatino Linotype"/>
          <w:b/>
          <w:bCs/>
          <w:color w:val="000000"/>
        </w:rPr>
        <w:t>12943/INFOEM/ICR-29/IP/RR/2025</w:t>
      </w:r>
      <w:r w:rsidRPr="00617F2C">
        <w:rPr>
          <w:rFonts w:ascii="Palatino Linotype" w:eastAsia="Palatino Linotype" w:hAnsi="Palatino Linotype" w:cs="Palatino Linotype"/>
          <w:b/>
        </w:rPr>
        <w:t xml:space="preserve">, </w:t>
      </w:r>
      <w:r w:rsidRPr="00617F2C">
        <w:rPr>
          <w:rFonts w:ascii="Palatino Linotype" w:eastAsia="Palatino Linotype" w:hAnsi="Palatino Linotype" w:cs="Palatino Linotype"/>
        </w:rPr>
        <w:t xml:space="preserve">en términos de los </w:t>
      </w:r>
      <w:r w:rsidRPr="00617F2C">
        <w:rPr>
          <w:rFonts w:ascii="Palatino Linotype" w:eastAsia="Palatino Linotype" w:hAnsi="Palatino Linotype" w:cs="Palatino Linotype"/>
          <w:b/>
        </w:rPr>
        <w:t>Considerandos</w:t>
      </w:r>
      <w:r w:rsidRPr="00617F2C">
        <w:rPr>
          <w:rFonts w:ascii="Palatino Linotype" w:eastAsia="Palatino Linotype" w:hAnsi="Palatino Linotype" w:cs="Palatino Linotype"/>
        </w:rPr>
        <w:t xml:space="preserve"> </w:t>
      </w:r>
      <w:r w:rsidRPr="00617F2C">
        <w:rPr>
          <w:rFonts w:ascii="Palatino Linotype" w:eastAsia="Palatino Linotype" w:hAnsi="Palatino Linotype" w:cs="Palatino Linotype"/>
          <w:b/>
        </w:rPr>
        <w:t>CUARTO</w:t>
      </w:r>
      <w:r w:rsidRPr="00617F2C">
        <w:rPr>
          <w:rFonts w:ascii="Palatino Linotype" w:eastAsia="Palatino Linotype" w:hAnsi="Palatino Linotype" w:cs="Palatino Linotype"/>
        </w:rPr>
        <w:t xml:space="preserve"> y </w:t>
      </w:r>
      <w:r w:rsidRPr="00617F2C">
        <w:rPr>
          <w:rFonts w:ascii="Palatino Linotype" w:eastAsia="Palatino Linotype" w:hAnsi="Palatino Linotype" w:cs="Palatino Linotype"/>
          <w:b/>
        </w:rPr>
        <w:t xml:space="preserve">QUINTO </w:t>
      </w:r>
      <w:r w:rsidRPr="00617F2C">
        <w:rPr>
          <w:rFonts w:ascii="Palatino Linotype" w:eastAsia="Palatino Linotype" w:hAnsi="Palatino Linotype" w:cs="Palatino Linotype"/>
        </w:rPr>
        <w:t>de la presente Resolución.</w:t>
      </w:r>
    </w:p>
    <w:p w:rsidR="009F74E7" w:rsidRPr="00617F2C" w:rsidRDefault="009F74E7" w:rsidP="003E42B6">
      <w:pPr>
        <w:spacing w:line="360" w:lineRule="auto"/>
        <w:jc w:val="both"/>
        <w:rPr>
          <w:rFonts w:ascii="Palatino Linotype" w:eastAsia="Palatino Linotype" w:hAnsi="Palatino Linotype" w:cs="Palatino Linotype"/>
        </w:rPr>
      </w:pPr>
    </w:p>
    <w:p w:rsidR="00313EA6" w:rsidRPr="00617F2C" w:rsidRDefault="00313EA6" w:rsidP="003E42B6">
      <w:pPr>
        <w:spacing w:line="360" w:lineRule="auto"/>
        <w:jc w:val="both"/>
        <w:rPr>
          <w:rFonts w:ascii="Palatino Linotype" w:hAnsi="Palatino Linotype" w:cs="Arial"/>
        </w:rPr>
      </w:pPr>
      <w:r w:rsidRPr="00617F2C">
        <w:rPr>
          <w:rFonts w:ascii="Palatino Linotype" w:hAnsi="Palatino Linotype"/>
          <w:b/>
        </w:rPr>
        <w:t xml:space="preserve">SEGUNDO. </w:t>
      </w:r>
      <w:bookmarkStart w:id="37" w:name="_Toc503891610"/>
      <w:bookmarkStart w:id="38" w:name="_Toc453696503"/>
      <w:bookmarkStart w:id="39" w:name="_Toc454301156"/>
      <w:bookmarkStart w:id="40" w:name="_Toc462653938"/>
      <w:bookmarkStart w:id="41" w:name="_Toc477891769"/>
      <w:bookmarkStart w:id="42" w:name="_Toc477891859"/>
      <w:bookmarkStart w:id="43" w:name="_Toc481576260"/>
      <w:bookmarkStart w:id="44" w:name="_Toc492590392"/>
      <w:r w:rsidR="000C7A51" w:rsidRPr="00617F2C">
        <w:rPr>
          <w:rFonts w:ascii="Palatino Linotype" w:eastAsia="MS Mincho" w:hAnsi="Palatino Linotype"/>
          <w:color w:val="000000" w:themeColor="text1"/>
        </w:rPr>
        <w:t xml:space="preserve">Se </w:t>
      </w:r>
      <w:r w:rsidR="000C7A51" w:rsidRPr="00617F2C">
        <w:rPr>
          <w:rFonts w:ascii="Palatino Linotype" w:eastAsia="MS Mincho" w:hAnsi="Palatino Linotype"/>
          <w:b/>
          <w:color w:val="000000" w:themeColor="text1"/>
        </w:rPr>
        <w:t>MODIFICA</w:t>
      </w:r>
      <w:r w:rsidR="000C7A51" w:rsidRPr="00617F2C">
        <w:rPr>
          <w:rFonts w:ascii="Palatino Linotype" w:eastAsia="MS Mincho" w:hAnsi="Palatino Linotype"/>
          <w:color w:val="000000" w:themeColor="text1"/>
        </w:rPr>
        <w:t xml:space="preserve"> la respuesta emitida en cumplimiento al Recurso de Revisión </w:t>
      </w:r>
      <w:r w:rsidR="000C7A51" w:rsidRPr="00617F2C">
        <w:rPr>
          <w:rFonts w:ascii="Palatino Linotype" w:hAnsi="Palatino Linotype"/>
          <w:b/>
          <w:bCs/>
          <w:color w:val="000000"/>
        </w:rPr>
        <w:t xml:space="preserve">12943/INFOEM/IP/RR/2025, </w:t>
      </w:r>
      <w:r w:rsidR="000C7A51" w:rsidRPr="00617F2C">
        <w:rPr>
          <w:rFonts w:ascii="Palatino Linotype" w:eastAsia="MS Mincho" w:hAnsi="Palatino Linotype"/>
          <w:color w:val="000000" w:themeColor="text1"/>
        </w:rPr>
        <w:t xml:space="preserve">por el Ayuntamiento de Tepotzotlán y, se </w:t>
      </w:r>
      <w:r w:rsidR="000C7A51" w:rsidRPr="00617F2C">
        <w:rPr>
          <w:rFonts w:ascii="Palatino Linotype" w:eastAsia="MS Mincho" w:hAnsi="Palatino Linotype"/>
          <w:b/>
          <w:color w:val="000000" w:themeColor="text1"/>
        </w:rPr>
        <w:t>ORDENA</w:t>
      </w:r>
      <w:r w:rsidR="000C7A51" w:rsidRPr="00617F2C">
        <w:rPr>
          <w:rFonts w:ascii="Palatino Linotype" w:eastAsia="MS Mincho" w:hAnsi="Palatino Linotype"/>
          <w:color w:val="000000" w:themeColor="text1"/>
        </w:rPr>
        <w:t xml:space="preserve"> entregar, vía Sistema de Acceso a la Información Mexiquense (SAIMEX), en versión pública, la siguiente información:</w:t>
      </w:r>
    </w:p>
    <w:p w:rsidR="00313EA6" w:rsidRPr="00617F2C" w:rsidRDefault="00313EA6" w:rsidP="003E42B6">
      <w:pPr>
        <w:pStyle w:val="Prrafodelista"/>
        <w:tabs>
          <w:tab w:val="left" w:pos="8080"/>
        </w:tabs>
        <w:spacing w:line="360" w:lineRule="auto"/>
        <w:ind w:left="709" w:right="474"/>
        <w:jc w:val="both"/>
        <w:rPr>
          <w:rFonts w:ascii="Palatino Linotype" w:hAnsi="Palatino Linotype" w:cs="Arial"/>
          <w:i/>
          <w:color w:val="000000" w:themeColor="text1"/>
        </w:rPr>
      </w:pPr>
    </w:p>
    <w:p w:rsidR="00172F33" w:rsidRPr="00617F2C" w:rsidRDefault="00172F33" w:rsidP="00172F33">
      <w:pPr>
        <w:pStyle w:val="Prrafodelista"/>
        <w:numPr>
          <w:ilvl w:val="0"/>
          <w:numId w:val="34"/>
        </w:numPr>
        <w:spacing w:line="360" w:lineRule="auto"/>
        <w:ind w:right="567"/>
        <w:jc w:val="both"/>
        <w:rPr>
          <w:rFonts w:ascii="Palatino Linotype" w:eastAsia="Palatino Linotype" w:hAnsi="Palatino Linotype" w:cs="Palatino Linotype"/>
          <w:b/>
        </w:rPr>
      </w:pPr>
      <w:r w:rsidRPr="00617F2C">
        <w:rPr>
          <w:rFonts w:ascii="Palatino Linotype" w:eastAsia="Palatino Linotype" w:hAnsi="Palatino Linotype" w:cs="Palatino Linotype"/>
          <w:b/>
        </w:rPr>
        <w:lastRenderedPageBreak/>
        <w:t>Soporte documental en que conste</w:t>
      </w:r>
      <w:r w:rsidR="00745638" w:rsidRPr="00617F2C">
        <w:rPr>
          <w:rFonts w:ascii="Palatino Linotype" w:eastAsia="Palatino Linotype" w:hAnsi="Palatino Linotype" w:cs="Palatino Linotype"/>
          <w:b/>
        </w:rPr>
        <w:t>n</w:t>
      </w:r>
      <w:r w:rsidRPr="00617F2C">
        <w:rPr>
          <w:rFonts w:ascii="Palatino Linotype" w:eastAsia="Palatino Linotype" w:hAnsi="Palatino Linotype" w:cs="Palatino Linotype"/>
          <w:b/>
        </w:rPr>
        <w:t xml:space="preserve"> o se adviertan las percepciones </w:t>
      </w:r>
      <w:r w:rsidR="002A3372" w:rsidRPr="00617F2C">
        <w:rPr>
          <w:rFonts w:ascii="Palatino Linotype" w:eastAsia="Palatino Linotype" w:hAnsi="Palatino Linotype" w:cs="Palatino Linotype"/>
          <w:b/>
        </w:rPr>
        <w:t>quincenales,</w:t>
      </w:r>
      <w:r w:rsidRPr="00617F2C">
        <w:rPr>
          <w:rFonts w:ascii="Palatino Linotype" w:eastAsia="Palatino Linotype" w:hAnsi="Palatino Linotype" w:cs="Palatino Linotype"/>
          <w:b/>
        </w:rPr>
        <w:t xml:space="preserve"> brutas y netas, </w:t>
      </w:r>
      <w:r w:rsidR="002A3372" w:rsidRPr="00617F2C">
        <w:rPr>
          <w:rFonts w:ascii="Palatino Linotype" w:eastAsia="Palatino Linotype" w:hAnsi="Palatino Linotype" w:cs="Palatino Linotype"/>
          <w:b/>
        </w:rPr>
        <w:t xml:space="preserve">de los servidores públicos referidos en respuesta a la resolución del Recurso de Revisión </w:t>
      </w:r>
      <w:r w:rsidR="002A3372" w:rsidRPr="00617F2C">
        <w:rPr>
          <w:rFonts w:ascii="Palatino Linotype" w:hAnsi="Palatino Linotype"/>
          <w:b/>
          <w:bCs/>
          <w:color w:val="000000"/>
        </w:rPr>
        <w:t>12943/INFOEM/IP/RR/2025.</w:t>
      </w:r>
    </w:p>
    <w:p w:rsidR="00172F33" w:rsidRPr="00617F2C" w:rsidRDefault="00172F33" w:rsidP="00172F33">
      <w:pPr>
        <w:pStyle w:val="Prrafodelista"/>
        <w:spacing w:line="360" w:lineRule="auto"/>
        <w:ind w:right="567"/>
        <w:jc w:val="both"/>
        <w:rPr>
          <w:rFonts w:ascii="Palatino Linotype" w:eastAsia="Palatino Linotype" w:hAnsi="Palatino Linotype" w:cs="Palatino Linotype"/>
          <w:b/>
        </w:rPr>
      </w:pPr>
    </w:p>
    <w:p w:rsidR="00313EA6" w:rsidRPr="00617F2C" w:rsidRDefault="00313EA6" w:rsidP="003E42B6">
      <w:pPr>
        <w:tabs>
          <w:tab w:val="left" w:pos="8080"/>
        </w:tabs>
        <w:spacing w:line="360" w:lineRule="auto"/>
        <w:ind w:right="49"/>
        <w:jc w:val="both"/>
        <w:rPr>
          <w:rFonts w:ascii="Palatino Linotype" w:eastAsia="Palatino Linotype" w:hAnsi="Palatino Linotype" w:cs="Palatino Linotype"/>
        </w:rPr>
      </w:pPr>
      <w:r w:rsidRPr="00617F2C">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617F2C">
        <w:rPr>
          <w:rFonts w:ascii="Palatino Linotype" w:eastAsia="Palatino Linotype" w:hAnsi="Palatino Linotype" w:cs="Palatino Linotype"/>
          <w:b/>
          <w:color w:val="000000" w:themeColor="text1"/>
        </w:rPr>
        <w:t>RECURRENTE</w:t>
      </w:r>
      <w:r w:rsidRPr="00617F2C">
        <w:rPr>
          <w:rFonts w:ascii="Palatino Linotype" w:eastAsia="Palatino Linotype" w:hAnsi="Palatino Linotype" w:cs="Palatino Linotype"/>
        </w:rPr>
        <w:t>.</w:t>
      </w:r>
    </w:p>
    <w:p w:rsidR="002B7A6B" w:rsidRPr="00617F2C" w:rsidRDefault="002B7A6B" w:rsidP="003E42B6">
      <w:pPr>
        <w:tabs>
          <w:tab w:val="left" w:pos="8080"/>
        </w:tabs>
        <w:spacing w:line="360" w:lineRule="auto"/>
        <w:ind w:right="49"/>
        <w:jc w:val="both"/>
        <w:rPr>
          <w:rFonts w:ascii="Palatino Linotype" w:eastAsia="Palatino Linotype" w:hAnsi="Palatino Linotype" w:cs="Palatino Linotype"/>
        </w:rPr>
      </w:pPr>
    </w:p>
    <w:bookmarkEnd w:id="37"/>
    <w:bookmarkEnd w:id="38"/>
    <w:bookmarkEnd w:id="39"/>
    <w:bookmarkEnd w:id="40"/>
    <w:bookmarkEnd w:id="41"/>
    <w:bookmarkEnd w:id="42"/>
    <w:bookmarkEnd w:id="43"/>
    <w:bookmarkEnd w:id="44"/>
    <w:p w:rsidR="00313EA6" w:rsidRPr="00617F2C" w:rsidRDefault="00313EA6" w:rsidP="003E42B6">
      <w:pPr>
        <w:spacing w:line="360" w:lineRule="auto"/>
        <w:jc w:val="both"/>
        <w:rPr>
          <w:rFonts w:ascii="Palatino Linotype" w:hAnsi="Palatino Linotype"/>
        </w:rPr>
      </w:pPr>
      <w:r w:rsidRPr="00617F2C">
        <w:rPr>
          <w:rFonts w:ascii="Palatino Linotype" w:hAnsi="Palatino Linotype" w:cs="Arial"/>
          <w:b/>
          <w:bCs/>
        </w:rPr>
        <w:t>TERCERO</w:t>
      </w:r>
      <w:r w:rsidRPr="00617F2C">
        <w:rPr>
          <w:rFonts w:ascii="Palatino Linotype" w:hAnsi="Palatino Linotype" w:cs="Arial"/>
          <w:b/>
        </w:rPr>
        <w:t>.</w:t>
      </w:r>
      <w:r w:rsidRPr="00617F2C">
        <w:rPr>
          <w:rFonts w:ascii="Palatino Linotype" w:eastAsia="Palatino Linotype" w:hAnsi="Palatino Linotype" w:cs="Palatino Linotype"/>
          <w:b/>
        </w:rPr>
        <w:t xml:space="preserve"> </w:t>
      </w:r>
      <w:r w:rsidRPr="00617F2C">
        <w:rPr>
          <w:rFonts w:ascii="Palatino Linotype" w:hAnsi="Palatino Linotype"/>
          <w:b/>
        </w:rPr>
        <w:t xml:space="preserve">Notifíquese </w:t>
      </w:r>
      <w:r w:rsidRPr="00617F2C">
        <w:rPr>
          <w:rFonts w:ascii="Palatino Linotype" w:hAnsi="Palatino Linotype"/>
        </w:rPr>
        <w:t xml:space="preserve">la presente Resolución al Titular de la Unidad de Transparencia del Sujeto Obligado vía </w:t>
      </w:r>
      <w:r w:rsidRPr="00617F2C">
        <w:rPr>
          <w:rFonts w:ascii="Palatino Linotype" w:hAnsi="Palatino Linotype"/>
          <w:b/>
        </w:rPr>
        <w:t>SAIMEX</w:t>
      </w:r>
      <w:r w:rsidRPr="00617F2C">
        <w:rPr>
          <w:rFonts w:ascii="Palatino Linotype" w:hAnsi="Palatino Linotype"/>
        </w:rPr>
        <w:t xml:space="preserve">, para que conforme al artículo 186 último párrafo, 189 segundo párrafo y 194 de la Ley de Transparencia y Acceso a la Información Pública del Estado de México y Municipios; </w:t>
      </w:r>
      <w:r w:rsidRPr="00617F2C">
        <w:rPr>
          <w:rFonts w:ascii="Palatino Linotype" w:hAnsi="Palatino Linotype"/>
          <w:b/>
        </w:rPr>
        <w:t>dé cumplimiento a lo ordenado dentro del plazo de diez días hábiles</w:t>
      </w:r>
      <w:r w:rsidRPr="00617F2C">
        <w:rPr>
          <w:rFonts w:ascii="Palatino Linotype" w:hAnsi="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13EA6" w:rsidRPr="00617F2C" w:rsidRDefault="00313EA6" w:rsidP="003E42B6">
      <w:pPr>
        <w:spacing w:line="360" w:lineRule="auto"/>
        <w:jc w:val="both"/>
        <w:rPr>
          <w:rFonts w:ascii="Palatino Linotype" w:hAnsi="Palatino Linotype"/>
        </w:rPr>
      </w:pPr>
    </w:p>
    <w:p w:rsidR="00313EA6" w:rsidRPr="00617F2C" w:rsidRDefault="00313EA6" w:rsidP="000C7A51">
      <w:pPr>
        <w:spacing w:line="360" w:lineRule="auto"/>
        <w:jc w:val="both"/>
        <w:rPr>
          <w:rFonts w:ascii="Palatino Linotype" w:hAnsi="Palatino Linotype"/>
        </w:rPr>
      </w:pPr>
      <w:r w:rsidRPr="00617F2C">
        <w:rPr>
          <w:rFonts w:ascii="Palatino Linotype" w:hAnsi="Palatino Linotype" w:cs="Arial"/>
          <w:b/>
        </w:rPr>
        <w:t>CUARTO.</w:t>
      </w:r>
      <w:bookmarkStart w:id="45" w:name="_Toc492590393"/>
      <w:bookmarkStart w:id="46" w:name="_Toc503891611"/>
      <w:bookmarkStart w:id="47" w:name="_Toc511647759"/>
      <w:bookmarkStart w:id="48" w:name="_Toc511647820"/>
      <w:r w:rsidRPr="00617F2C">
        <w:rPr>
          <w:rFonts w:ascii="Palatino Linotype" w:hAnsi="Palatino Linotype"/>
          <w:b/>
        </w:rPr>
        <w:t xml:space="preserve"> </w:t>
      </w:r>
      <w:r w:rsidRPr="00617F2C">
        <w:rPr>
          <w:rFonts w:ascii="Palatino Linotype" w:hAnsi="Palatino Linotype"/>
        </w:rPr>
        <w:t>Notifíquese</w:t>
      </w:r>
      <w:bookmarkEnd w:id="45"/>
      <w:bookmarkEnd w:id="46"/>
      <w:bookmarkEnd w:id="47"/>
      <w:bookmarkEnd w:id="48"/>
      <w:r w:rsidRPr="00617F2C">
        <w:rPr>
          <w:rFonts w:ascii="Palatino Linotype" w:hAnsi="Palatino Linotype"/>
        </w:rPr>
        <w:t xml:space="preserve"> al </w:t>
      </w:r>
      <w:r w:rsidRPr="00617F2C">
        <w:rPr>
          <w:rFonts w:ascii="Palatino Linotype" w:hAnsi="Palatino Linotype"/>
          <w:b/>
        </w:rPr>
        <w:t>RECURRENTE</w:t>
      </w:r>
      <w:r w:rsidRPr="00617F2C">
        <w:rPr>
          <w:rFonts w:ascii="Palatino Linotype" w:hAnsi="Palatino Linotype"/>
        </w:rPr>
        <w:t xml:space="preserve"> la presente Resolución, vía </w:t>
      </w:r>
      <w:r w:rsidRPr="00617F2C">
        <w:rPr>
          <w:rFonts w:ascii="Palatino Linotype" w:hAnsi="Palatino Linotype"/>
          <w:b/>
        </w:rPr>
        <w:t>SAIMEX</w:t>
      </w:r>
      <w:r w:rsidRPr="00617F2C">
        <w:rPr>
          <w:rFonts w:ascii="Palatino Linotype" w:hAnsi="Palatino Linotype"/>
        </w:rPr>
        <w:t>.</w:t>
      </w:r>
    </w:p>
    <w:p w:rsidR="00745FC2" w:rsidRPr="00617F2C" w:rsidRDefault="00745FC2" w:rsidP="003E42B6">
      <w:pPr>
        <w:tabs>
          <w:tab w:val="left" w:pos="8080"/>
        </w:tabs>
        <w:spacing w:line="360" w:lineRule="auto"/>
        <w:ind w:right="49"/>
        <w:jc w:val="both"/>
        <w:rPr>
          <w:rFonts w:ascii="Palatino Linotype" w:hAnsi="Palatino Linotype"/>
        </w:rPr>
      </w:pPr>
    </w:p>
    <w:p w:rsidR="00313EA6" w:rsidRPr="00617F2C" w:rsidRDefault="000C7A51" w:rsidP="003E42B6">
      <w:pPr>
        <w:shd w:val="clear" w:color="auto" w:fill="FFFFFF"/>
        <w:spacing w:line="360" w:lineRule="auto"/>
        <w:jc w:val="both"/>
        <w:rPr>
          <w:rFonts w:ascii="Palatino Linotype" w:hAnsi="Palatino Linotype"/>
          <w:lang w:eastAsia="en-US"/>
        </w:rPr>
      </w:pPr>
      <w:r w:rsidRPr="00617F2C">
        <w:rPr>
          <w:rFonts w:ascii="Palatino Linotype" w:hAnsi="Palatino Linotype"/>
          <w:b/>
        </w:rPr>
        <w:lastRenderedPageBreak/>
        <w:t>QUINTO.</w:t>
      </w:r>
      <w:r w:rsidR="00313EA6" w:rsidRPr="00617F2C">
        <w:rPr>
          <w:rFonts w:ascii="Palatino Linotype" w:hAnsi="Palatino Linotype"/>
          <w:b/>
          <w:lang w:eastAsia="en-US"/>
        </w:rPr>
        <w:t xml:space="preserve"> </w:t>
      </w:r>
      <w:r w:rsidR="00313EA6" w:rsidRPr="00617F2C">
        <w:rPr>
          <w:rFonts w:ascii="Palatino Linotype" w:hAnsi="Palatino Linotype"/>
          <w:lang w:eastAsia="en-US"/>
        </w:rPr>
        <w:t>Se hace del conocimiento del</w:t>
      </w:r>
      <w:r w:rsidR="00313EA6" w:rsidRPr="00617F2C">
        <w:rPr>
          <w:rFonts w:ascii="Palatino Linotype" w:hAnsi="Palatino Linotype"/>
          <w:b/>
          <w:lang w:eastAsia="en-US"/>
        </w:rPr>
        <w:t xml:space="preserve"> RECURRENTE </w:t>
      </w:r>
      <w:r w:rsidR="00313EA6" w:rsidRPr="00617F2C">
        <w:rPr>
          <w:rFonts w:ascii="Palatino Linotype"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0C7A51" w:rsidRPr="00617F2C" w:rsidRDefault="000C7A51" w:rsidP="003E42B6">
      <w:pPr>
        <w:shd w:val="clear" w:color="auto" w:fill="FFFFFF"/>
        <w:spacing w:line="360" w:lineRule="auto"/>
        <w:jc w:val="both"/>
        <w:rPr>
          <w:rFonts w:ascii="Palatino Linotype" w:hAnsi="Palatino Linotype"/>
          <w:lang w:eastAsia="en-US"/>
        </w:rPr>
      </w:pPr>
    </w:p>
    <w:p w:rsidR="002B7A6B" w:rsidRPr="00617F2C" w:rsidRDefault="002B7A6B" w:rsidP="002B7A6B">
      <w:pPr>
        <w:spacing w:before="240" w:after="240" w:line="360" w:lineRule="auto"/>
        <w:ind w:firstLine="1"/>
        <w:jc w:val="both"/>
        <w:rPr>
          <w:rFonts w:ascii="Palatino Linotype" w:hAnsi="Palatino Linotype"/>
        </w:rPr>
      </w:pPr>
      <w:bookmarkStart w:id="49" w:name="_Hlk99014733"/>
      <w:r w:rsidRPr="00617F2C">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617F2C">
        <w:rPr>
          <w:rFonts w:ascii="Palatino Linotype" w:hAnsi="Palatino Linotype" w:cs="Palatino Linotype"/>
          <w:color w:val="000000" w:themeColor="text1"/>
        </w:rPr>
        <w:t>ALEXIS TAPIA RAMÍREZ.</w:t>
      </w:r>
    </w:p>
    <w:bookmarkEnd w:id="49"/>
    <w:p w:rsidR="00B84DF1" w:rsidRPr="00617F2C" w:rsidRDefault="00B84DF1" w:rsidP="003E42B6">
      <w:pPr>
        <w:spacing w:line="360" w:lineRule="auto"/>
        <w:ind w:right="49"/>
        <w:jc w:val="both"/>
        <w:rPr>
          <w:rFonts w:ascii="Palatino Linotype" w:eastAsia="Palatino Linotype" w:hAnsi="Palatino Linotype" w:cs="Palatino Linotype"/>
        </w:rPr>
      </w:pPr>
    </w:p>
    <w:p w:rsidR="00B84DF1" w:rsidRPr="00617F2C" w:rsidRDefault="00B84DF1" w:rsidP="003E42B6">
      <w:pPr>
        <w:spacing w:line="360" w:lineRule="auto"/>
        <w:ind w:right="49"/>
        <w:jc w:val="both"/>
        <w:rPr>
          <w:rFonts w:ascii="Palatino Linotype" w:eastAsia="Palatino Linotype" w:hAnsi="Palatino Linotype" w:cs="Palatino Linotype"/>
        </w:rPr>
      </w:pPr>
    </w:p>
    <w:p w:rsidR="00B84DF1" w:rsidRPr="00617F2C" w:rsidRDefault="00B84DF1" w:rsidP="003E42B6">
      <w:pPr>
        <w:spacing w:line="360" w:lineRule="auto"/>
        <w:ind w:right="49"/>
        <w:jc w:val="both"/>
        <w:rPr>
          <w:rFonts w:ascii="Palatino Linotype" w:eastAsia="Palatino Linotype" w:hAnsi="Palatino Linotype" w:cs="Palatino Linotype"/>
        </w:rPr>
      </w:pPr>
    </w:p>
    <w:p w:rsidR="00B84DF1" w:rsidRPr="00617F2C" w:rsidRDefault="00B84DF1" w:rsidP="003E42B6">
      <w:pPr>
        <w:spacing w:line="360" w:lineRule="auto"/>
        <w:ind w:right="49"/>
        <w:jc w:val="both"/>
        <w:rPr>
          <w:rFonts w:ascii="Palatino Linotype" w:eastAsia="Palatino Linotype" w:hAnsi="Palatino Linotype" w:cs="Palatino Linotype"/>
        </w:rPr>
      </w:pPr>
    </w:p>
    <w:p w:rsidR="00B84DF1" w:rsidRPr="00617F2C" w:rsidRDefault="00B84DF1" w:rsidP="003E42B6">
      <w:pPr>
        <w:spacing w:line="360" w:lineRule="auto"/>
        <w:ind w:right="49"/>
        <w:rPr>
          <w:rFonts w:ascii="Palatino Linotype" w:eastAsia="Palatino Linotype" w:hAnsi="Palatino Linotype" w:cs="Palatino Linotype"/>
        </w:rPr>
      </w:pPr>
    </w:p>
    <w:p w:rsidR="00B84DF1" w:rsidRPr="00617F2C" w:rsidRDefault="00B84DF1" w:rsidP="003E42B6">
      <w:pPr>
        <w:spacing w:line="360" w:lineRule="auto"/>
        <w:ind w:right="49"/>
        <w:rPr>
          <w:rFonts w:ascii="Palatino Linotype" w:eastAsia="Palatino Linotype" w:hAnsi="Palatino Linotype" w:cs="Palatino Linotype"/>
        </w:rPr>
      </w:pPr>
    </w:p>
    <w:p w:rsidR="00B84DF1" w:rsidRPr="00617F2C" w:rsidRDefault="00B84DF1" w:rsidP="003E42B6">
      <w:pPr>
        <w:spacing w:line="360" w:lineRule="auto"/>
        <w:ind w:right="49"/>
        <w:rPr>
          <w:rFonts w:ascii="Palatino Linotype" w:eastAsia="Palatino Linotype" w:hAnsi="Palatino Linotype" w:cs="Palatino Linotype"/>
        </w:rPr>
      </w:pPr>
    </w:p>
    <w:p w:rsidR="00B84DF1" w:rsidRPr="00617F2C" w:rsidRDefault="00B84DF1" w:rsidP="003E42B6">
      <w:pPr>
        <w:spacing w:line="360" w:lineRule="auto"/>
        <w:ind w:right="49"/>
        <w:rPr>
          <w:rFonts w:ascii="Palatino Linotype" w:eastAsia="Palatino Linotype" w:hAnsi="Palatino Linotype" w:cs="Palatino Linotype"/>
        </w:rPr>
      </w:pPr>
    </w:p>
    <w:p w:rsidR="00B84DF1" w:rsidRPr="00617F2C" w:rsidRDefault="00B84DF1" w:rsidP="003E42B6">
      <w:pPr>
        <w:spacing w:line="360" w:lineRule="auto"/>
        <w:ind w:right="49"/>
        <w:rPr>
          <w:rFonts w:ascii="Palatino Linotype" w:eastAsia="Palatino Linotype" w:hAnsi="Palatino Linotype" w:cs="Palatino Linotype"/>
        </w:rPr>
      </w:pPr>
    </w:p>
    <w:p w:rsidR="00B84DF1" w:rsidRPr="00617F2C" w:rsidRDefault="00B84DF1" w:rsidP="003E42B6">
      <w:pPr>
        <w:spacing w:line="360" w:lineRule="auto"/>
        <w:ind w:right="49"/>
        <w:rPr>
          <w:rFonts w:ascii="Palatino Linotype" w:eastAsia="Palatino Linotype" w:hAnsi="Palatino Linotype" w:cs="Palatino Linotype"/>
        </w:rPr>
      </w:pPr>
    </w:p>
    <w:p w:rsidR="00B84DF1" w:rsidRPr="00617F2C" w:rsidRDefault="00B84DF1" w:rsidP="003E42B6">
      <w:pPr>
        <w:spacing w:line="360" w:lineRule="auto"/>
        <w:ind w:right="49"/>
        <w:rPr>
          <w:rFonts w:ascii="Palatino Linotype" w:eastAsia="Palatino Linotype" w:hAnsi="Palatino Linotype" w:cs="Palatino Linotype"/>
        </w:rPr>
      </w:pPr>
    </w:p>
    <w:p w:rsidR="00B84DF1" w:rsidRPr="00617F2C" w:rsidRDefault="009D3673" w:rsidP="003E42B6">
      <w:pPr>
        <w:tabs>
          <w:tab w:val="left" w:pos="3374"/>
        </w:tabs>
        <w:spacing w:line="360" w:lineRule="auto"/>
        <w:ind w:right="49"/>
        <w:rPr>
          <w:rFonts w:ascii="Palatino Linotype" w:eastAsia="Palatino Linotype" w:hAnsi="Palatino Linotype" w:cs="Palatino Linotype"/>
        </w:rPr>
      </w:pPr>
      <w:r w:rsidRPr="00617F2C">
        <w:rPr>
          <w:rFonts w:ascii="Palatino Linotype" w:eastAsia="Palatino Linotype" w:hAnsi="Palatino Linotype" w:cs="Palatino Linotype"/>
        </w:rPr>
        <w:tab/>
      </w:r>
    </w:p>
    <w:p w:rsidR="00B84DF1" w:rsidRPr="00617F2C" w:rsidRDefault="00B84DF1" w:rsidP="003E42B6">
      <w:pPr>
        <w:tabs>
          <w:tab w:val="left" w:pos="3374"/>
        </w:tabs>
        <w:spacing w:line="360" w:lineRule="auto"/>
        <w:ind w:right="49"/>
        <w:rPr>
          <w:rFonts w:ascii="Palatino Linotype" w:eastAsia="Palatino Linotype" w:hAnsi="Palatino Linotype" w:cs="Palatino Linotype"/>
        </w:rPr>
      </w:pPr>
    </w:p>
    <w:p w:rsidR="00B84DF1" w:rsidRPr="00617F2C" w:rsidRDefault="00B84DF1" w:rsidP="003E42B6">
      <w:pPr>
        <w:tabs>
          <w:tab w:val="left" w:pos="3374"/>
        </w:tabs>
        <w:spacing w:line="360" w:lineRule="auto"/>
        <w:ind w:right="49"/>
        <w:rPr>
          <w:rFonts w:ascii="Palatino Linotype" w:eastAsia="Palatino Linotype" w:hAnsi="Palatino Linotype" w:cs="Palatino Linotype"/>
        </w:rPr>
      </w:pPr>
    </w:p>
    <w:p w:rsidR="00B84DF1" w:rsidRPr="00617F2C" w:rsidRDefault="00B84DF1" w:rsidP="003E42B6">
      <w:pPr>
        <w:tabs>
          <w:tab w:val="left" w:pos="3374"/>
        </w:tabs>
        <w:spacing w:line="360" w:lineRule="auto"/>
        <w:ind w:right="49"/>
        <w:rPr>
          <w:rFonts w:ascii="Palatino Linotype" w:eastAsia="Palatino Linotype" w:hAnsi="Palatino Linotype" w:cs="Palatino Linotype"/>
        </w:rPr>
      </w:pPr>
    </w:p>
    <w:p w:rsidR="00B84DF1" w:rsidRPr="00617F2C" w:rsidRDefault="00B84DF1" w:rsidP="003E42B6">
      <w:pPr>
        <w:tabs>
          <w:tab w:val="left" w:pos="3374"/>
        </w:tabs>
        <w:spacing w:line="360" w:lineRule="auto"/>
        <w:ind w:right="49"/>
        <w:rPr>
          <w:rFonts w:ascii="Palatino Linotype" w:eastAsia="Palatino Linotype" w:hAnsi="Palatino Linotype" w:cs="Palatino Linotype"/>
        </w:rPr>
      </w:pPr>
    </w:p>
    <w:p w:rsidR="00B84DF1" w:rsidRPr="00617F2C" w:rsidRDefault="00B84DF1" w:rsidP="003E42B6">
      <w:pPr>
        <w:tabs>
          <w:tab w:val="left" w:pos="3374"/>
        </w:tabs>
        <w:spacing w:line="360" w:lineRule="auto"/>
        <w:ind w:right="49"/>
        <w:rPr>
          <w:rFonts w:ascii="Palatino Linotype" w:eastAsia="Palatino Linotype" w:hAnsi="Palatino Linotype" w:cs="Palatino Linotype"/>
        </w:rPr>
      </w:pPr>
    </w:p>
    <w:p w:rsidR="00B84DF1" w:rsidRPr="00617F2C" w:rsidRDefault="00B84DF1" w:rsidP="003E42B6">
      <w:pPr>
        <w:tabs>
          <w:tab w:val="left" w:pos="3374"/>
        </w:tabs>
        <w:spacing w:line="360" w:lineRule="auto"/>
        <w:ind w:right="49"/>
        <w:rPr>
          <w:rFonts w:ascii="Palatino Linotype" w:eastAsia="Palatino Linotype" w:hAnsi="Palatino Linotype" w:cs="Palatino Linotype"/>
        </w:rPr>
      </w:pPr>
    </w:p>
    <w:p w:rsidR="00B84DF1" w:rsidRPr="00617F2C" w:rsidRDefault="00B84DF1" w:rsidP="003E42B6">
      <w:pPr>
        <w:tabs>
          <w:tab w:val="left" w:pos="3374"/>
        </w:tabs>
        <w:spacing w:line="360" w:lineRule="auto"/>
        <w:ind w:right="49"/>
        <w:rPr>
          <w:rFonts w:ascii="Palatino Linotype" w:eastAsia="Palatino Linotype" w:hAnsi="Palatino Linotype" w:cs="Palatino Linotype"/>
        </w:rPr>
      </w:pPr>
    </w:p>
    <w:p w:rsidR="00B84DF1" w:rsidRPr="00617F2C" w:rsidRDefault="00B84DF1" w:rsidP="003E42B6">
      <w:pPr>
        <w:tabs>
          <w:tab w:val="left" w:pos="3374"/>
        </w:tabs>
        <w:spacing w:line="360" w:lineRule="auto"/>
        <w:ind w:right="49"/>
        <w:rPr>
          <w:rFonts w:ascii="Palatino Linotype" w:eastAsia="Palatino Linotype" w:hAnsi="Palatino Linotype" w:cs="Palatino Linotype"/>
        </w:rPr>
      </w:pPr>
    </w:p>
    <w:p w:rsidR="00B84DF1" w:rsidRPr="00617F2C" w:rsidRDefault="00B84DF1" w:rsidP="003E42B6">
      <w:pPr>
        <w:spacing w:line="360" w:lineRule="auto"/>
        <w:ind w:right="49"/>
        <w:rPr>
          <w:rFonts w:ascii="Palatino Linotype" w:eastAsia="Palatino Linotype" w:hAnsi="Palatino Linotype" w:cs="Palatino Linotype"/>
        </w:rPr>
      </w:pPr>
    </w:p>
    <w:sectPr w:rsidR="00B84DF1" w:rsidRPr="00617F2C" w:rsidSect="00617F2C">
      <w:headerReference w:type="even" r:id="rId9"/>
      <w:headerReference w:type="default" r:id="rId10"/>
      <w:footerReference w:type="default" r:id="rId11"/>
      <w:headerReference w:type="first" r:id="rId12"/>
      <w:footerReference w:type="first" r:id="rId13"/>
      <w:pgSz w:w="12240" w:h="15840"/>
      <w:pgMar w:top="2127"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E30" w:rsidRDefault="004F2E30">
      <w:r>
        <w:separator/>
      </w:r>
    </w:p>
  </w:endnote>
  <w:endnote w:type="continuationSeparator" w:id="0">
    <w:p w:rsidR="004F2E30" w:rsidRDefault="004F2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88" w:rsidRDefault="0095538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sidRPr="00617F2C">
      <w:rPr>
        <w:rFonts w:ascii="Palatino Linotype" w:eastAsia="Palatino Linotype" w:hAnsi="Palatino Linotype" w:cs="Palatino Linotype"/>
        <w:color w:val="000000"/>
        <w:sz w:val="22"/>
        <w:szCs w:val="20"/>
      </w:rPr>
      <w:t xml:space="preserve">Página </w:t>
    </w:r>
    <w:r w:rsidRPr="00617F2C">
      <w:rPr>
        <w:rFonts w:ascii="Palatino Linotype" w:eastAsia="Palatino Linotype" w:hAnsi="Palatino Linotype" w:cs="Palatino Linotype"/>
        <w:color w:val="000000"/>
        <w:sz w:val="22"/>
        <w:szCs w:val="20"/>
      </w:rPr>
      <w:fldChar w:fldCharType="begin"/>
    </w:r>
    <w:r w:rsidRPr="00617F2C">
      <w:rPr>
        <w:rFonts w:ascii="Palatino Linotype" w:eastAsia="Palatino Linotype" w:hAnsi="Palatino Linotype" w:cs="Palatino Linotype"/>
        <w:color w:val="000000"/>
        <w:sz w:val="22"/>
        <w:szCs w:val="20"/>
      </w:rPr>
      <w:instrText>PAGE</w:instrText>
    </w:r>
    <w:r w:rsidRPr="00617F2C">
      <w:rPr>
        <w:rFonts w:ascii="Palatino Linotype" w:eastAsia="Palatino Linotype" w:hAnsi="Palatino Linotype" w:cs="Palatino Linotype"/>
        <w:color w:val="000000"/>
        <w:sz w:val="22"/>
        <w:szCs w:val="20"/>
      </w:rPr>
      <w:fldChar w:fldCharType="separate"/>
    </w:r>
    <w:r w:rsidR="00A9659E">
      <w:rPr>
        <w:rFonts w:ascii="Palatino Linotype" w:eastAsia="Palatino Linotype" w:hAnsi="Palatino Linotype" w:cs="Palatino Linotype"/>
        <w:noProof/>
        <w:color w:val="000000"/>
        <w:sz w:val="22"/>
        <w:szCs w:val="20"/>
      </w:rPr>
      <w:t>2</w:t>
    </w:r>
    <w:r w:rsidRPr="00617F2C">
      <w:rPr>
        <w:rFonts w:ascii="Palatino Linotype" w:eastAsia="Palatino Linotype" w:hAnsi="Palatino Linotype" w:cs="Palatino Linotype"/>
        <w:color w:val="000000"/>
        <w:sz w:val="22"/>
        <w:szCs w:val="20"/>
      </w:rPr>
      <w:fldChar w:fldCharType="end"/>
    </w:r>
    <w:r w:rsidRPr="00617F2C">
      <w:rPr>
        <w:rFonts w:ascii="Palatino Linotype" w:eastAsia="Palatino Linotype" w:hAnsi="Palatino Linotype" w:cs="Palatino Linotype"/>
        <w:color w:val="000000"/>
        <w:sz w:val="22"/>
        <w:szCs w:val="20"/>
      </w:rPr>
      <w:t xml:space="preserve"> de </w:t>
    </w:r>
    <w:r w:rsidRPr="00617F2C">
      <w:rPr>
        <w:rFonts w:ascii="Palatino Linotype" w:eastAsia="Palatino Linotype" w:hAnsi="Palatino Linotype" w:cs="Palatino Linotype"/>
        <w:color w:val="000000"/>
        <w:sz w:val="22"/>
        <w:szCs w:val="20"/>
      </w:rPr>
      <w:fldChar w:fldCharType="begin"/>
    </w:r>
    <w:r w:rsidRPr="00617F2C">
      <w:rPr>
        <w:rFonts w:ascii="Palatino Linotype" w:eastAsia="Palatino Linotype" w:hAnsi="Palatino Linotype" w:cs="Palatino Linotype"/>
        <w:color w:val="000000"/>
        <w:sz w:val="22"/>
        <w:szCs w:val="20"/>
      </w:rPr>
      <w:instrText>NUMPAGES</w:instrText>
    </w:r>
    <w:r w:rsidRPr="00617F2C">
      <w:rPr>
        <w:rFonts w:ascii="Palatino Linotype" w:eastAsia="Palatino Linotype" w:hAnsi="Palatino Linotype" w:cs="Palatino Linotype"/>
        <w:color w:val="000000"/>
        <w:sz w:val="22"/>
        <w:szCs w:val="20"/>
      </w:rPr>
      <w:fldChar w:fldCharType="separate"/>
    </w:r>
    <w:r w:rsidR="00A9659E">
      <w:rPr>
        <w:rFonts w:ascii="Palatino Linotype" w:eastAsia="Palatino Linotype" w:hAnsi="Palatino Linotype" w:cs="Palatino Linotype"/>
        <w:noProof/>
        <w:color w:val="000000"/>
        <w:sz w:val="22"/>
        <w:szCs w:val="20"/>
      </w:rPr>
      <w:t>48</w:t>
    </w:r>
    <w:r w:rsidRPr="00617F2C">
      <w:rPr>
        <w:rFonts w:ascii="Palatino Linotype" w:eastAsia="Palatino Linotype" w:hAnsi="Palatino Linotype" w:cs="Palatino Linotype"/>
        <w:color w:val="000000"/>
        <w:sz w:val="22"/>
        <w:szCs w:val="20"/>
      </w:rPr>
      <w:fldChar w:fldCharType="end"/>
    </w:r>
  </w:p>
  <w:p w:rsidR="00955388" w:rsidRDefault="0095538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88" w:rsidRPr="00617F2C" w:rsidRDefault="0095538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617F2C">
      <w:rPr>
        <w:rFonts w:ascii="Palatino Linotype" w:eastAsia="Palatino Linotype" w:hAnsi="Palatino Linotype" w:cs="Palatino Linotype"/>
        <w:color w:val="000000"/>
        <w:sz w:val="22"/>
        <w:szCs w:val="20"/>
      </w:rPr>
      <w:t xml:space="preserve">Página </w:t>
    </w:r>
    <w:r w:rsidRPr="00617F2C">
      <w:rPr>
        <w:rFonts w:ascii="Palatino Linotype" w:eastAsia="Palatino Linotype" w:hAnsi="Palatino Linotype" w:cs="Palatino Linotype"/>
        <w:color w:val="000000"/>
        <w:sz w:val="22"/>
        <w:szCs w:val="20"/>
      </w:rPr>
      <w:fldChar w:fldCharType="begin"/>
    </w:r>
    <w:r w:rsidRPr="00617F2C">
      <w:rPr>
        <w:rFonts w:ascii="Palatino Linotype" w:eastAsia="Palatino Linotype" w:hAnsi="Palatino Linotype" w:cs="Palatino Linotype"/>
        <w:color w:val="000000"/>
        <w:sz w:val="22"/>
        <w:szCs w:val="20"/>
      </w:rPr>
      <w:instrText>PAGE</w:instrText>
    </w:r>
    <w:r w:rsidRPr="00617F2C">
      <w:rPr>
        <w:rFonts w:ascii="Palatino Linotype" w:eastAsia="Palatino Linotype" w:hAnsi="Palatino Linotype" w:cs="Palatino Linotype"/>
        <w:color w:val="000000"/>
        <w:sz w:val="22"/>
        <w:szCs w:val="20"/>
      </w:rPr>
      <w:fldChar w:fldCharType="separate"/>
    </w:r>
    <w:r w:rsidR="00A9659E">
      <w:rPr>
        <w:rFonts w:ascii="Palatino Linotype" w:eastAsia="Palatino Linotype" w:hAnsi="Palatino Linotype" w:cs="Palatino Linotype"/>
        <w:noProof/>
        <w:color w:val="000000"/>
        <w:sz w:val="22"/>
        <w:szCs w:val="20"/>
      </w:rPr>
      <w:t>1</w:t>
    </w:r>
    <w:r w:rsidRPr="00617F2C">
      <w:rPr>
        <w:rFonts w:ascii="Palatino Linotype" w:eastAsia="Palatino Linotype" w:hAnsi="Palatino Linotype" w:cs="Palatino Linotype"/>
        <w:color w:val="000000"/>
        <w:sz w:val="22"/>
        <w:szCs w:val="20"/>
      </w:rPr>
      <w:fldChar w:fldCharType="end"/>
    </w:r>
    <w:r w:rsidRPr="00617F2C">
      <w:rPr>
        <w:rFonts w:ascii="Palatino Linotype" w:eastAsia="Palatino Linotype" w:hAnsi="Palatino Linotype" w:cs="Palatino Linotype"/>
        <w:color w:val="000000"/>
        <w:sz w:val="22"/>
        <w:szCs w:val="20"/>
      </w:rPr>
      <w:t xml:space="preserve"> de </w:t>
    </w:r>
    <w:r w:rsidRPr="00617F2C">
      <w:rPr>
        <w:rFonts w:ascii="Palatino Linotype" w:eastAsia="Palatino Linotype" w:hAnsi="Palatino Linotype" w:cs="Palatino Linotype"/>
        <w:color w:val="000000"/>
        <w:sz w:val="22"/>
        <w:szCs w:val="20"/>
      </w:rPr>
      <w:fldChar w:fldCharType="begin"/>
    </w:r>
    <w:r w:rsidRPr="00617F2C">
      <w:rPr>
        <w:rFonts w:ascii="Palatino Linotype" w:eastAsia="Palatino Linotype" w:hAnsi="Palatino Linotype" w:cs="Palatino Linotype"/>
        <w:color w:val="000000"/>
        <w:sz w:val="22"/>
        <w:szCs w:val="20"/>
      </w:rPr>
      <w:instrText>NUMPAGES</w:instrText>
    </w:r>
    <w:r w:rsidRPr="00617F2C">
      <w:rPr>
        <w:rFonts w:ascii="Palatino Linotype" w:eastAsia="Palatino Linotype" w:hAnsi="Palatino Linotype" w:cs="Palatino Linotype"/>
        <w:color w:val="000000"/>
        <w:sz w:val="22"/>
        <w:szCs w:val="20"/>
      </w:rPr>
      <w:fldChar w:fldCharType="separate"/>
    </w:r>
    <w:r w:rsidR="00A9659E">
      <w:rPr>
        <w:rFonts w:ascii="Palatino Linotype" w:eastAsia="Palatino Linotype" w:hAnsi="Palatino Linotype" w:cs="Palatino Linotype"/>
        <w:noProof/>
        <w:color w:val="000000"/>
        <w:sz w:val="22"/>
        <w:szCs w:val="20"/>
      </w:rPr>
      <w:t>48</w:t>
    </w:r>
    <w:r w:rsidRPr="00617F2C">
      <w:rPr>
        <w:rFonts w:ascii="Palatino Linotype" w:eastAsia="Palatino Linotype" w:hAnsi="Palatino Linotype" w:cs="Palatino Linotype"/>
        <w:color w:val="000000"/>
        <w:sz w:val="22"/>
        <w:szCs w:val="20"/>
      </w:rPr>
      <w:fldChar w:fldCharType="end"/>
    </w:r>
  </w:p>
  <w:p w:rsidR="00955388" w:rsidRDefault="0095538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E30" w:rsidRDefault="004F2E30">
      <w:r>
        <w:separator/>
      </w:r>
    </w:p>
  </w:footnote>
  <w:footnote w:type="continuationSeparator" w:id="0">
    <w:p w:rsidR="004F2E30" w:rsidRDefault="004F2E30">
      <w:r>
        <w:continuationSeparator/>
      </w:r>
    </w:p>
  </w:footnote>
  <w:footnote w:id="1">
    <w:p w:rsidR="00955388" w:rsidRPr="006C4668" w:rsidRDefault="00955388"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Convención Americana sobre Derechos Humanos. Artículo 13.</w:t>
      </w:r>
    </w:p>
  </w:footnote>
  <w:footnote w:id="2">
    <w:p w:rsidR="00955388" w:rsidRPr="006C4668" w:rsidRDefault="00955388"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Constitución Política de los Estados Unidos Mexicanos. Artículo sexto, sección A, Fracción I.</w:t>
      </w:r>
    </w:p>
  </w:footnote>
  <w:footnote w:id="3">
    <w:p w:rsidR="00955388" w:rsidRDefault="00955388"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955388" w:rsidRDefault="00955388"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955388" w:rsidRDefault="00955388" w:rsidP="00313EA6">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955388" w:rsidRDefault="00955388"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955388" w:rsidRDefault="00955388" w:rsidP="00313EA6">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955388" w:rsidRDefault="00955388" w:rsidP="00313EA6">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88" w:rsidRDefault="004F2E3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945" w:type="dxa"/>
      <w:tblInd w:w="2977" w:type="dxa"/>
      <w:tblLayout w:type="fixed"/>
      <w:tblLook w:val="0400" w:firstRow="0" w:lastRow="0" w:firstColumn="0" w:lastColumn="0" w:noHBand="0" w:noVBand="1"/>
    </w:tblPr>
    <w:tblGrid>
      <w:gridCol w:w="2976"/>
      <w:gridCol w:w="3969"/>
    </w:tblGrid>
    <w:tr w:rsidR="00955388" w:rsidTr="00617F2C">
      <w:trPr>
        <w:trHeight w:val="227"/>
      </w:trPr>
      <w:tc>
        <w:tcPr>
          <w:tcW w:w="2976" w:type="dxa"/>
          <w:vAlign w:val="center"/>
        </w:tcPr>
        <w:p w:rsidR="00955388" w:rsidRPr="00617F2C" w:rsidRDefault="00955388">
          <w:pPr>
            <w:ind w:right="34"/>
            <w:jc w:val="right"/>
            <w:rPr>
              <w:rFonts w:ascii="Palatino Linotype" w:eastAsia="Palatino Linotype" w:hAnsi="Palatino Linotype" w:cs="Palatino Linotype"/>
              <w:b/>
              <w:szCs w:val="22"/>
            </w:rPr>
          </w:pPr>
          <w:r w:rsidRPr="00617F2C">
            <w:rPr>
              <w:rFonts w:ascii="Palatino Linotype" w:eastAsia="Palatino Linotype" w:hAnsi="Palatino Linotype" w:cs="Palatino Linotype"/>
              <w:b/>
              <w:szCs w:val="22"/>
            </w:rPr>
            <w:t>Recurso de Revisión:</w:t>
          </w:r>
        </w:p>
      </w:tc>
      <w:tc>
        <w:tcPr>
          <w:tcW w:w="3969" w:type="dxa"/>
          <w:vAlign w:val="center"/>
        </w:tcPr>
        <w:p w:rsidR="00955388" w:rsidRPr="00617F2C" w:rsidRDefault="00955388" w:rsidP="005E7B68">
          <w:pPr>
            <w:pBdr>
              <w:top w:val="nil"/>
              <w:left w:val="nil"/>
              <w:bottom w:val="nil"/>
              <w:right w:val="nil"/>
              <w:between w:val="nil"/>
            </w:pBdr>
            <w:tabs>
              <w:tab w:val="center" w:pos="4419"/>
              <w:tab w:val="right" w:pos="8838"/>
            </w:tabs>
            <w:ind w:right="-213"/>
            <w:rPr>
              <w:rFonts w:ascii="Palatino Linotype" w:eastAsia="Palatino Linotype" w:hAnsi="Palatino Linotype" w:cs="Palatino Linotype"/>
              <w:color w:val="000000"/>
              <w:szCs w:val="22"/>
              <w:highlight w:val="green"/>
            </w:rPr>
          </w:pPr>
          <w:r w:rsidRPr="00617F2C">
            <w:rPr>
              <w:rFonts w:ascii="Palatino Linotype" w:eastAsia="Palatino Linotype" w:hAnsi="Palatino Linotype" w:cs="Palatino Linotype"/>
              <w:color w:val="000000"/>
              <w:szCs w:val="22"/>
            </w:rPr>
            <w:t>12943/INFOEM/ICR-29/IP/RR/2025</w:t>
          </w:r>
        </w:p>
      </w:tc>
    </w:tr>
    <w:tr w:rsidR="00955388" w:rsidTr="00617F2C">
      <w:trPr>
        <w:trHeight w:val="242"/>
      </w:trPr>
      <w:tc>
        <w:tcPr>
          <w:tcW w:w="2976" w:type="dxa"/>
          <w:vAlign w:val="center"/>
        </w:tcPr>
        <w:p w:rsidR="00955388" w:rsidRPr="00617F2C" w:rsidRDefault="00955388">
          <w:pPr>
            <w:ind w:right="34"/>
            <w:jc w:val="right"/>
            <w:rPr>
              <w:rFonts w:ascii="Palatino Linotype" w:eastAsia="Palatino Linotype" w:hAnsi="Palatino Linotype" w:cs="Palatino Linotype"/>
              <w:b/>
              <w:szCs w:val="22"/>
            </w:rPr>
          </w:pPr>
          <w:r w:rsidRPr="00617F2C">
            <w:rPr>
              <w:rFonts w:ascii="Palatino Linotype" w:eastAsia="Palatino Linotype" w:hAnsi="Palatino Linotype" w:cs="Palatino Linotype"/>
              <w:b/>
              <w:szCs w:val="22"/>
            </w:rPr>
            <w:t>Sujeto Obligado:</w:t>
          </w:r>
        </w:p>
      </w:tc>
      <w:tc>
        <w:tcPr>
          <w:tcW w:w="3969" w:type="dxa"/>
          <w:vAlign w:val="center"/>
        </w:tcPr>
        <w:p w:rsidR="00955388" w:rsidRPr="00617F2C" w:rsidRDefault="00955388"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617F2C">
            <w:rPr>
              <w:rFonts w:ascii="Palatino Linotype" w:eastAsia="Palatino Linotype" w:hAnsi="Palatino Linotype" w:cs="Palatino Linotype"/>
              <w:color w:val="000000"/>
              <w:szCs w:val="22"/>
            </w:rPr>
            <w:t>Ayuntamiento de Tepotzotlán</w:t>
          </w:r>
        </w:p>
      </w:tc>
    </w:tr>
    <w:tr w:rsidR="00955388" w:rsidTr="00617F2C">
      <w:trPr>
        <w:trHeight w:val="342"/>
      </w:trPr>
      <w:tc>
        <w:tcPr>
          <w:tcW w:w="2976" w:type="dxa"/>
          <w:vAlign w:val="center"/>
        </w:tcPr>
        <w:p w:rsidR="00955388" w:rsidRPr="00617F2C" w:rsidRDefault="00955388">
          <w:pPr>
            <w:ind w:right="34"/>
            <w:jc w:val="right"/>
            <w:rPr>
              <w:rFonts w:ascii="Palatino Linotype" w:eastAsia="Palatino Linotype" w:hAnsi="Palatino Linotype" w:cs="Palatino Linotype"/>
              <w:b/>
              <w:szCs w:val="22"/>
            </w:rPr>
          </w:pPr>
          <w:r w:rsidRPr="00617F2C">
            <w:rPr>
              <w:rFonts w:ascii="Palatino Linotype" w:eastAsia="Palatino Linotype" w:hAnsi="Palatino Linotype" w:cs="Palatino Linotype"/>
              <w:b/>
              <w:szCs w:val="22"/>
            </w:rPr>
            <w:t>Comisionada Ponente:</w:t>
          </w:r>
        </w:p>
      </w:tc>
      <w:tc>
        <w:tcPr>
          <w:tcW w:w="3969" w:type="dxa"/>
          <w:vAlign w:val="center"/>
        </w:tcPr>
        <w:p w:rsidR="00955388" w:rsidRPr="00617F2C" w:rsidRDefault="0095538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617F2C">
            <w:rPr>
              <w:rFonts w:ascii="Palatino Linotype" w:eastAsia="Palatino Linotype" w:hAnsi="Palatino Linotype" w:cs="Palatino Linotype"/>
              <w:color w:val="000000"/>
              <w:szCs w:val="22"/>
            </w:rPr>
            <w:t>María del Rosario Mejía Ayala</w:t>
          </w:r>
        </w:p>
      </w:tc>
    </w:tr>
  </w:tbl>
  <w:p w:rsidR="00955388" w:rsidRDefault="004F2E30">
    <w:pPr>
      <w:pBdr>
        <w:top w:val="nil"/>
        <w:left w:val="nil"/>
        <w:bottom w:val="nil"/>
        <w:right w:val="nil"/>
        <w:between w:val="nil"/>
      </w:pBdr>
      <w:tabs>
        <w:tab w:val="center" w:pos="4419"/>
        <w:tab w:val="right" w:pos="8838"/>
        <w:tab w:val="left" w:pos="6005"/>
      </w:tabs>
      <w:rPr>
        <w:color w:val="000000"/>
        <w:sz w:val="14"/>
        <w:szCs w:val="14"/>
      </w:rPr>
    </w:pPr>
    <w:r>
      <w:rPr>
        <w:color w:val="000000"/>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2.5pt;margin-top:-125.9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229" w:type="dxa"/>
      <w:tblInd w:w="2694" w:type="dxa"/>
      <w:tblLayout w:type="fixed"/>
      <w:tblLook w:val="0400" w:firstRow="0" w:lastRow="0" w:firstColumn="0" w:lastColumn="0" w:noHBand="0" w:noVBand="1"/>
    </w:tblPr>
    <w:tblGrid>
      <w:gridCol w:w="2977"/>
      <w:gridCol w:w="4252"/>
    </w:tblGrid>
    <w:tr w:rsidR="00955388" w:rsidTr="00617F2C">
      <w:trPr>
        <w:trHeight w:val="227"/>
      </w:trPr>
      <w:tc>
        <w:tcPr>
          <w:tcW w:w="2977" w:type="dxa"/>
          <w:vAlign w:val="center"/>
        </w:tcPr>
        <w:p w:rsidR="00955388" w:rsidRPr="00617F2C" w:rsidRDefault="00955388" w:rsidP="00617F2C">
          <w:pPr>
            <w:jc w:val="right"/>
            <w:rPr>
              <w:rFonts w:ascii="Palatino Linotype" w:eastAsia="Palatino Linotype" w:hAnsi="Palatino Linotype" w:cs="Palatino Linotype"/>
              <w:b/>
              <w:szCs w:val="22"/>
            </w:rPr>
          </w:pPr>
          <w:r w:rsidRPr="00617F2C">
            <w:rPr>
              <w:rFonts w:ascii="Palatino Linotype" w:eastAsia="Palatino Linotype" w:hAnsi="Palatino Linotype" w:cs="Palatino Linotype"/>
              <w:b/>
              <w:szCs w:val="22"/>
            </w:rPr>
            <w:t>Recurso de Revisión:</w:t>
          </w:r>
        </w:p>
      </w:tc>
      <w:tc>
        <w:tcPr>
          <w:tcW w:w="4252" w:type="dxa"/>
          <w:vAlign w:val="center"/>
        </w:tcPr>
        <w:p w:rsidR="00955388" w:rsidRPr="00617F2C" w:rsidRDefault="00955388" w:rsidP="00617F2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617F2C">
            <w:rPr>
              <w:rFonts w:ascii="Palatino Linotype" w:eastAsia="Palatino Linotype" w:hAnsi="Palatino Linotype" w:cs="Palatino Linotype"/>
              <w:color w:val="000000"/>
              <w:szCs w:val="22"/>
            </w:rPr>
            <w:t>12943/INFOEM/ICR-29/IP/RR/2025</w:t>
          </w:r>
        </w:p>
      </w:tc>
    </w:tr>
    <w:tr w:rsidR="00955388" w:rsidTr="00617F2C">
      <w:trPr>
        <w:trHeight w:val="242"/>
      </w:trPr>
      <w:tc>
        <w:tcPr>
          <w:tcW w:w="2977" w:type="dxa"/>
          <w:vAlign w:val="center"/>
        </w:tcPr>
        <w:p w:rsidR="00955388" w:rsidRPr="00617F2C" w:rsidRDefault="00955388" w:rsidP="00617F2C">
          <w:pPr>
            <w:jc w:val="right"/>
            <w:rPr>
              <w:rFonts w:ascii="Palatino Linotype" w:eastAsia="Palatino Linotype" w:hAnsi="Palatino Linotype" w:cs="Palatino Linotype"/>
              <w:b/>
              <w:szCs w:val="22"/>
            </w:rPr>
          </w:pPr>
          <w:r w:rsidRPr="00617F2C">
            <w:rPr>
              <w:rFonts w:ascii="Palatino Linotype" w:eastAsia="Palatino Linotype" w:hAnsi="Palatino Linotype" w:cs="Palatino Linotype"/>
              <w:b/>
              <w:szCs w:val="22"/>
            </w:rPr>
            <w:t>Recurrente:</w:t>
          </w:r>
        </w:p>
      </w:tc>
      <w:tc>
        <w:tcPr>
          <w:tcW w:w="4252" w:type="dxa"/>
        </w:tcPr>
        <w:p w:rsidR="00955388" w:rsidRPr="00617F2C" w:rsidRDefault="00955388" w:rsidP="00617F2C">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p>
      </w:tc>
    </w:tr>
    <w:tr w:rsidR="00955388" w:rsidTr="00617F2C">
      <w:trPr>
        <w:trHeight w:val="342"/>
      </w:trPr>
      <w:tc>
        <w:tcPr>
          <w:tcW w:w="2977" w:type="dxa"/>
          <w:vAlign w:val="center"/>
        </w:tcPr>
        <w:p w:rsidR="00955388" w:rsidRPr="00617F2C" w:rsidRDefault="00955388" w:rsidP="00617F2C">
          <w:pPr>
            <w:jc w:val="right"/>
            <w:rPr>
              <w:rFonts w:ascii="Palatino Linotype" w:eastAsia="Palatino Linotype" w:hAnsi="Palatino Linotype" w:cs="Palatino Linotype"/>
              <w:b/>
              <w:szCs w:val="22"/>
            </w:rPr>
          </w:pPr>
          <w:r w:rsidRPr="00617F2C">
            <w:rPr>
              <w:rFonts w:ascii="Palatino Linotype" w:eastAsia="Palatino Linotype" w:hAnsi="Palatino Linotype" w:cs="Palatino Linotype"/>
              <w:b/>
              <w:szCs w:val="22"/>
            </w:rPr>
            <w:t>Sujeto Obligado:</w:t>
          </w:r>
        </w:p>
      </w:tc>
      <w:tc>
        <w:tcPr>
          <w:tcW w:w="4252" w:type="dxa"/>
          <w:vAlign w:val="center"/>
        </w:tcPr>
        <w:p w:rsidR="00955388" w:rsidRPr="00617F2C" w:rsidRDefault="00955388" w:rsidP="00617F2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617F2C">
            <w:rPr>
              <w:rFonts w:ascii="Palatino Linotype" w:eastAsia="Palatino Linotype" w:hAnsi="Palatino Linotype" w:cs="Palatino Linotype"/>
              <w:color w:val="000000"/>
              <w:szCs w:val="22"/>
            </w:rPr>
            <w:t>Ayuntamiento de Tepotzotlán</w:t>
          </w:r>
        </w:p>
      </w:tc>
    </w:tr>
    <w:tr w:rsidR="00955388" w:rsidTr="00617F2C">
      <w:trPr>
        <w:trHeight w:val="342"/>
      </w:trPr>
      <w:tc>
        <w:tcPr>
          <w:tcW w:w="2977" w:type="dxa"/>
          <w:vAlign w:val="center"/>
        </w:tcPr>
        <w:p w:rsidR="00955388" w:rsidRPr="00617F2C" w:rsidRDefault="00955388" w:rsidP="00617F2C">
          <w:pPr>
            <w:jc w:val="right"/>
            <w:rPr>
              <w:rFonts w:ascii="Palatino Linotype" w:eastAsia="Palatino Linotype" w:hAnsi="Palatino Linotype" w:cs="Palatino Linotype"/>
              <w:b/>
              <w:szCs w:val="22"/>
            </w:rPr>
          </w:pPr>
          <w:r w:rsidRPr="00617F2C">
            <w:rPr>
              <w:rFonts w:ascii="Palatino Linotype" w:eastAsia="Palatino Linotype" w:hAnsi="Palatino Linotype" w:cs="Palatino Linotype"/>
              <w:b/>
              <w:szCs w:val="22"/>
            </w:rPr>
            <w:t>Comisionada Ponente:</w:t>
          </w:r>
        </w:p>
      </w:tc>
      <w:tc>
        <w:tcPr>
          <w:tcW w:w="4252" w:type="dxa"/>
          <w:vAlign w:val="center"/>
        </w:tcPr>
        <w:p w:rsidR="00955388" w:rsidRPr="00617F2C" w:rsidRDefault="00955388" w:rsidP="00617F2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617F2C">
            <w:rPr>
              <w:rFonts w:ascii="Palatino Linotype" w:eastAsia="Palatino Linotype" w:hAnsi="Palatino Linotype" w:cs="Palatino Linotype"/>
              <w:color w:val="000000"/>
              <w:szCs w:val="22"/>
            </w:rPr>
            <w:t>María del Rosario Mejía Ayala</w:t>
          </w:r>
        </w:p>
      </w:tc>
    </w:tr>
  </w:tbl>
  <w:p w:rsidR="00955388" w:rsidRDefault="004F2E30">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101733"/>
    <w:multiLevelType w:val="multilevel"/>
    <w:tmpl w:val="5C64F6F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0C5B26"/>
    <w:multiLevelType w:val="hybridMultilevel"/>
    <w:tmpl w:val="1102C37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4" w15:restartNumberingAfterBreak="0">
    <w:nsid w:val="2C8078EB"/>
    <w:multiLevelType w:val="multilevel"/>
    <w:tmpl w:val="5C581CF8"/>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6"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8C96DD5"/>
    <w:multiLevelType w:val="multilevel"/>
    <w:tmpl w:val="89249512"/>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38"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0"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1"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2"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3"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13"/>
  </w:num>
  <w:num w:numId="3">
    <w:abstractNumId w:val="25"/>
  </w:num>
  <w:num w:numId="4">
    <w:abstractNumId w:val="39"/>
  </w:num>
  <w:num w:numId="5">
    <w:abstractNumId w:val="37"/>
  </w:num>
  <w:num w:numId="6">
    <w:abstractNumId w:val="3"/>
  </w:num>
  <w:num w:numId="7">
    <w:abstractNumId w:val="11"/>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44"/>
    <w:lvlOverride w:ilvl="0">
      <w:lvl w:ilvl="0">
        <w:numFmt w:val="decimal"/>
        <w:lvlText w:val="%1."/>
        <w:lvlJc w:val="left"/>
        <w:rPr>
          <w:b/>
        </w:rPr>
      </w:lvl>
    </w:lvlOverride>
  </w:num>
  <w:num w:numId="11">
    <w:abstractNumId w:val="16"/>
  </w:num>
  <w:num w:numId="12">
    <w:abstractNumId w:val="19"/>
  </w:num>
  <w:num w:numId="13">
    <w:abstractNumId w:val="7"/>
  </w:num>
  <w:num w:numId="14">
    <w:abstractNumId w:val="41"/>
  </w:num>
  <w:num w:numId="15">
    <w:abstractNumId w:val="23"/>
  </w:num>
  <w:num w:numId="16">
    <w:abstractNumId w:val="15"/>
  </w:num>
  <w:num w:numId="17">
    <w:abstractNumId w:val="0"/>
  </w:num>
  <w:num w:numId="18">
    <w:abstractNumId w:val="5"/>
  </w:num>
  <w:num w:numId="19">
    <w:abstractNumId w:val="30"/>
  </w:num>
  <w:num w:numId="20">
    <w:abstractNumId w:val="40"/>
  </w:num>
  <w:num w:numId="21">
    <w:abstractNumId w:val="2"/>
  </w:num>
  <w:num w:numId="22">
    <w:abstractNumId w:val="26"/>
  </w:num>
  <w:num w:numId="23">
    <w:abstractNumId w:val="35"/>
  </w:num>
  <w:num w:numId="24">
    <w:abstractNumId w:val="45"/>
  </w:num>
  <w:num w:numId="25">
    <w:abstractNumId w:val="4"/>
  </w:num>
  <w:num w:numId="26">
    <w:abstractNumId w:val="20"/>
  </w:num>
  <w:num w:numId="27">
    <w:abstractNumId w:val="21"/>
  </w:num>
  <w:num w:numId="28">
    <w:abstractNumId w:val="1"/>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9"/>
  </w:num>
  <w:num w:numId="33">
    <w:abstractNumId w:val="22"/>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3"/>
  </w:num>
  <w:num w:numId="37">
    <w:abstractNumId w:val="42"/>
  </w:num>
  <w:num w:numId="38">
    <w:abstractNumId w:val="8"/>
  </w:num>
  <w:num w:numId="39">
    <w:abstractNumId w:val="36"/>
  </w:num>
  <w:num w:numId="40">
    <w:abstractNumId w:val="10"/>
  </w:num>
  <w:num w:numId="41">
    <w:abstractNumId w:val="43"/>
  </w:num>
  <w:num w:numId="42">
    <w:abstractNumId w:val="29"/>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7"/>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15CA6"/>
    <w:rsid w:val="00025289"/>
    <w:rsid w:val="00031DF2"/>
    <w:rsid w:val="00034F10"/>
    <w:rsid w:val="000378F8"/>
    <w:rsid w:val="00041443"/>
    <w:rsid w:val="000444BD"/>
    <w:rsid w:val="00053809"/>
    <w:rsid w:val="00071823"/>
    <w:rsid w:val="000877E9"/>
    <w:rsid w:val="000A6691"/>
    <w:rsid w:val="000A6833"/>
    <w:rsid w:val="000B137A"/>
    <w:rsid w:val="000B554D"/>
    <w:rsid w:val="000C38D0"/>
    <w:rsid w:val="000C7A51"/>
    <w:rsid w:val="000C7A68"/>
    <w:rsid w:val="000D3385"/>
    <w:rsid w:val="000E5750"/>
    <w:rsid w:val="000E7F59"/>
    <w:rsid w:val="000F0720"/>
    <w:rsid w:val="000F1E77"/>
    <w:rsid w:val="00120600"/>
    <w:rsid w:val="001268E9"/>
    <w:rsid w:val="00132BF0"/>
    <w:rsid w:val="00134848"/>
    <w:rsid w:val="001360AA"/>
    <w:rsid w:val="00137E3A"/>
    <w:rsid w:val="0015227A"/>
    <w:rsid w:val="00172F33"/>
    <w:rsid w:val="001737E1"/>
    <w:rsid w:val="001857C9"/>
    <w:rsid w:val="00194544"/>
    <w:rsid w:val="001964B7"/>
    <w:rsid w:val="001C3453"/>
    <w:rsid w:val="001D7945"/>
    <w:rsid w:val="001E06BF"/>
    <w:rsid w:val="001E3052"/>
    <w:rsid w:val="0021003A"/>
    <w:rsid w:val="00212FD8"/>
    <w:rsid w:val="00235EA0"/>
    <w:rsid w:val="0023609E"/>
    <w:rsid w:val="002365AB"/>
    <w:rsid w:val="00246311"/>
    <w:rsid w:val="00256C47"/>
    <w:rsid w:val="00260274"/>
    <w:rsid w:val="00261EEB"/>
    <w:rsid w:val="0026445F"/>
    <w:rsid w:val="0026452F"/>
    <w:rsid w:val="00267DE2"/>
    <w:rsid w:val="00270D3E"/>
    <w:rsid w:val="00271109"/>
    <w:rsid w:val="00275205"/>
    <w:rsid w:val="00286A7B"/>
    <w:rsid w:val="0029404D"/>
    <w:rsid w:val="002A3372"/>
    <w:rsid w:val="002B1760"/>
    <w:rsid w:val="002B6B27"/>
    <w:rsid w:val="002B7A6B"/>
    <w:rsid w:val="002C2106"/>
    <w:rsid w:val="002C7E3D"/>
    <w:rsid w:val="002D3FE5"/>
    <w:rsid w:val="002D50F0"/>
    <w:rsid w:val="002E0DF4"/>
    <w:rsid w:val="002E5220"/>
    <w:rsid w:val="003063EE"/>
    <w:rsid w:val="00313EA6"/>
    <w:rsid w:val="00320F2D"/>
    <w:rsid w:val="00320FD6"/>
    <w:rsid w:val="003244F7"/>
    <w:rsid w:val="0032619C"/>
    <w:rsid w:val="0034676E"/>
    <w:rsid w:val="00380BD1"/>
    <w:rsid w:val="003A10C2"/>
    <w:rsid w:val="003B54B3"/>
    <w:rsid w:val="003B59FA"/>
    <w:rsid w:val="003B6629"/>
    <w:rsid w:val="003D2130"/>
    <w:rsid w:val="003D3EFA"/>
    <w:rsid w:val="003D408C"/>
    <w:rsid w:val="003D7E7B"/>
    <w:rsid w:val="003E15C4"/>
    <w:rsid w:val="003E42B6"/>
    <w:rsid w:val="00402665"/>
    <w:rsid w:val="004204F5"/>
    <w:rsid w:val="00425628"/>
    <w:rsid w:val="00425B7C"/>
    <w:rsid w:val="00430300"/>
    <w:rsid w:val="00435EA5"/>
    <w:rsid w:val="00447084"/>
    <w:rsid w:val="00454DEC"/>
    <w:rsid w:val="00456AC6"/>
    <w:rsid w:val="004656BC"/>
    <w:rsid w:val="00472A9C"/>
    <w:rsid w:val="00481DE3"/>
    <w:rsid w:val="004A0C6B"/>
    <w:rsid w:val="004A2ACD"/>
    <w:rsid w:val="004A3279"/>
    <w:rsid w:val="004B459A"/>
    <w:rsid w:val="004B5F96"/>
    <w:rsid w:val="004D4188"/>
    <w:rsid w:val="004D47CA"/>
    <w:rsid w:val="004E4318"/>
    <w:rsid w:val="004E4B9F"/>
    <w:rsid w:val="004F2E30"/>
    <w:rsid w:val="00514236"/>
    <w:rsid w:val="00520E76"/>
    <w:rsid w:val="005311B9"/>
    <w:rsid w:val="0054320A"/>
    <w:rsid w:val="005432FF"/>
    <w:rsid w:val="00546F6F"/>
    <w:rsid w:val="005531B6"/>
    <w:rsid w:val="00555782"/>
    <w:rsid w:val="00561B00"/>
    <w:rsid w:val="00564C26"/>
    <w:rsid w:val="005705FE"/>
    <w:rsid w:val="0057241F"/>
    <w:rsid w:val="00582B7B"/>
    <w:rsid w:val="005A0D41"/>
    <w:rsid w:val="005B2DCD"/>
    <w:rsid w:val="005C66F7"/>
    <w:rsid w:val="005D442D"/>
    <w:rsid w:val="005E7B68"/>
    <w:rsid w:val="00601B00"/>
    <w:rsid w:val="006027C3"/>
    <w:rsid w:val="006077D4"/>
    <w:rsid w:val="00617F2C"/>
    <w:rsid w:val="006261B6"/>
    <w:rsid w:val="00637FE8"/>
    <w:rsid w:val="00644E0D"/>
    <w:rsid w:val="0064652D"/>
    <w:rsid w:val="00651421"/>
    <w:rsid w:val="006535A3"/>
    <w:rsid w:val="00654047"/>
    <w:rsid w:val="00655B77"/>
    <w:rsid w:val="0066627C"/>
    <w:rsid w:val="00671E11"/>
    <w:rsid w:val="00680F71"/>
    <w:rsid w:val="00681C04"/>
    <w:rsid w:val="006958A0"/>
    <w:rsid w:val="006B7977"/>
    <w:rsid w:val="006C294E"/>
    <w:rsid w:val="006C4668"/>
    <w:rsid w:val="006C4EFA"/>
    <w:rsid w:val="006E36A4"/>
    <w:rsid w:val="006E7948"/>
    <w:rsid w:val="006E79B6"/>
    <w:rsid w:val="00704604"/>
    <w:rsid w:val="0071179B"/>
    <w:rsid w:val="007137AB"/>
    <w:rsid w:val="007147C0"/>
    <w:rsid w:val="00714C89"/>
    <w:rsid w:val="00716EDF"/>
    <w:rsid w:val="00725576"/>
    <w:rsid w:val="00725BBA"/>
    <w:rsid w:val="0073213D"/>
    <w:rsid w:val="00734293"/>
    <w:rsid w:val="00745638"/>
    <w:rsid w:val="00745FC2"/>
    <w:rsid w:val="00760330"/>
    <w:rsid w:val="00780B76"/>
    <w:rsid w:val="00792763"/>
    <w:rsid w:val="007939B9"/>
    <w:rsid w:val="007A402E"/>
    <w:rsid w:val="007D013F"/>
    <w:rsid w:val="007D1050"/>
    <w:rsid w:val="007D4A48"/>
    <w:rsid w:val="007D523A"/>
    <w:rsid w:val="007E1DBF"/>
    <w:rsid w:val="007E6134"/>
    <w:rsid w:val="007F745B"/>
    <w:rsid w:val="007F7F26"/>
    <w:rsid w:val="00804E12"/>
    <w:rsid w:val="00805083"/>
    <w:rsid w:val="00805D93"/>
    <w:rsid w:val="0081462E"/>
    <w:rsid w:val="00825C56"/>
    <w:rsid w:val="00825F36"/>
    <w:rsid w:val="00826A75"/>
    <w:rsid w:val="00827338"/>
    <w:rsid w:val="008311D3"/>
    <w:rsid w:val="0083179B"/>
    <w:rsid w:val="00831F7B"/>
    <w:rsid w:val="008330D2"/>
    <w:rsid w:val="00833ECD"/>
    <w:rsid w:val="00834AB8"/>
    <w:rsid w:val="00835E0B"/>
    <w:rsid w:val="00850FB6"/>
    <w:rsid w:val="00854B9E"/>
    <w:rsid w:val="0086180F"/>
    <w:rsid w:val="00863B48"/>
    <w:rsid w:val="008704F4"/>
    <w:rsid w:val="00874872"/>
    <w:rsid w:val="00874B71"/>
    <w:rsid w:val="00885F80"/>
    <w:rsid w:val="00886BE8"/>
    <w:rsid w:val="008940A5"/>
    <w:rsid w:val="008C5DBF"/>
    <w:rsid w:val="008D2D54"/>
    <w:rsid w:val="008F56FA"/>
    <w:rsid w:val="00900624"/>
    <w:rsid w:val="0090156E"/>
    <w:rsid w:val="00924256"/>
    <w:rsid w:val="00945C3B"/>
    <w:rsid w:val="0095485A"/>
    <w:rsid w:val="00955388"/>
    <w:rsid w:val="009618D7"/>
    <w:rsid w:val="00961CA6"/>
    <w:rsid w:val="00972164"/>
    <w:rsid w:val="00981A7D"/>
    <w:rsid w:val="00984C3F"/>
    <w:rsid w:val="009A0E35"/>
    <w:rsid w:val="009C08D3"/>
    <w:rsid w:val="009D0F55"/>
    <w:rsid w:val="009D3673"/>
    <w:rsid w:val="009F12B3"/>
    <w:rsid w:val="009F6E27"/>
    <w:rsid w:val="009F74E7"/>
    <w:rsid w:val="009F7C6A"/>
    <w:rsid w:val="00A07D00"/>
    <w:rsid w:val="00A1164D"/>
    <w:rsid w:val="00A227E2"/>
    <w:rsid w:val="00A31ACC"/>
    <w:rsid w:val="00A34C8C"/>
    <w:rsid w:val="00A36A65"/>
    <w:rsid w:val="00A42E85"/>
    <w:rsid w:val="00A43841"/>
    <w:rsid w:val="00A502B5"/>
    <w:rsid w:val="00A52562"/>
    <w:rsid w:val="00A52687"/>
    <w:rsid w:val="00A634F0"/>
    <w:rsid w:val="00A73911"/>
    <w:rsid w:val="00A77DDE"/>
    <w:rsid w:val="00A9659E"/>
    <w:rsid w:val="00AA53A0"/>
    <w:rsid w:val="00AC01CA"/>
    <w:rsid w:val="00AD2D90"/>
    <w:rsid w:val="00AD30C0"/>
    <w:rsid w:val="00AD753F"/>
    <w:rsid w:val="00AE3D3C"/>
    <w:rsid w:val="00AF6023"/>
    <w:rsid w:val="00B01467"/>
    <w:rsid w:val="00B01E96"/>
    <w:rsid w:val="00B02063"/>
    <w:rsid w:val="00B040C3"/>
    <w:rsid w:val="00B05FE8"/>
    <w:rsid w:val="00B11C54"/>
    <w:rsid w:val="00B21ADF"/>
    <w:rsid w:val="00B33052"/>
    <w:rsid w:val="00B3387E"/>
    <w:rsid w:val="00B36DB4"/>
    <w:rsid w:val="00B41162"/>
    <w:rsid w:val="00B44995"/>
    <w:rsid w:val="00B452F1"/>
    <w:rsid w:val="00B5309F"/>
    <w:rsid w:val="00B60BC1"/>
    <w:rsid w:val="00B62425"/>
    <w:rsid w:val="00B64111"/>
    <w:rsid w:val="00B65101"/>
    <w:rsid w:val="00B77AB7"/>
    <w:rsid w:val="00B84DF1"/>
    <w:rsid w:val="00B908BD"/>
    <w:rsid w:val="00B91685"/>
    <w:rsid w:val="00B93B05"/>
    <w:rsid w:val="00BA3D27"/>
    <w:rsid w:val="00BB4401"/>
    <w:rsid w:val="00BD5B3D"/>
    <w:rsid w:val="00BD7237"/>
    <w:rsid w:val="00BE0044"/>
    <w:rsid w:val="00BE415E"/>
    <w:rsid w:val="00BE5C3A"/>
    <w:rsid w:val="00BF427C"/>
    <w:rsid w:val="00C04361"/>
    <w:rsid w:val="00C1203A"/>
    <w:rsid w:val="00C132F6"/>
    <w:rsid w:val="00C273BD"/>
    <w:rsid w:val="00C32489"/>
    <w:rsid w:val="00C33B64"/>
    <w:rsid w:val="00C449F2"/>
    <w:rsid w:val="00C45F15"/>
    <w:rsid w:val="00C462E4"/>
    <w:rsid w:val="00C52578"/>
    <w:rsid w:val="00C62682"/>
    <w:rsid w:val="00C672D5"/>
    <w:rsid w:val="00C73A98"/>
    <w:rsid w:val="00C76F56"/>
    <w:rsid w:val="00C82EDE"/>
    <w:rsid w:val="00CA7D5D"/>
    <w:rsid w:val="00CB0A99"/>
    <w:rsid w:val="00CB1255"/>
    <w:rsid w:val="00CB1566"/>
    <w:rsid w:val="00CB4A28"/>
    <w:rsid w:val="00CC616B"/>
    <w:rsid w:val="00CC78CD"/>
    <w:rsid w:val="00CD27D3"/>
    <w:rsid w:val="00CD2FD3"/>
    <w:rsid w:val="00CE34F2"/>
    <w:rsid w:val="00CE38F5"/>
    <w:rsid w:val="00CF5DF5"/>
    <w:rsid w:val="00CF698F"/>
    <w:rsid w:val="00CF798E"/>
    <w:rsid w:val="00D01E27"/>
    <w:rsid w:val="00D03874"/>
    <w:rsid w:val="00D03A0D"/>
    <w:rsid w:val="00D11877"/>
    <w:rsid w:val="00D22942"/>
    <w:rsid w:val="00D41150"/>
    <w:rsid w:val="00D43940"/>
    <w:rsid w:val="00D44015"/>
    <w:rsid w:val="00D52722"/>
    <w:rsid w:val="00D603DA"/>
    <w:rsid w:val="00D646F0"/>
    <w:rsid w:val="00D77568"/>
    <w:rsid w:val="00D82D8C"/>
    <w:rsid w:val="00D90821"/>
    <w:rsid w:val="00DA5CA8"/>
    <w:rsid w:val="00DB20B2"/>
    <w:rsid w:val="00DC2BB2"/>
    <w:rsid w:val="00DC7C5B"/>
    <w:rsid w:val="00DD370B"/>
    <w:rsid w:val="00DF2FE0"/>
    <w:rsid w:val="00DF36EF"/>
    <w:rsid w:val="00E17E99"/>
    <w:rsid w:val="00E30F92"/>
    <w:rsid w:val="00E46D33"/>
    <w:rsid w:val="00E76B90"/>
    <w:rsid w:val="00E81E4D"/>
    <w:rsid w:val="00E8333A"/>
    <w:rsid w:val="00E845E2"/>
    <w:rsid w:val="00E84B03"/>
    <w:rsid w:val="00E8516D"/>
    <w:rsid w:val="00E87C17"/>
    <w:rsid w:val="00E96581"/>
    <w:rsid w:val="00EA3D45"/>
    <w:rsid w:val="00EC2856"/>
    <w:rsid w:val="00ED0A54"/>
    <w:rsid w:val="00ED457F"/>
    <w:rsid w:val="00EE43F4"/>
    <w:rsid w:val="00EE5A08"/>
    <w:rsid w:val="00EF2A28"/>
    <w:rsid w:val="00EF7EF9"/>
    <w:rsid w:val="00F023EB"/>
    <w:rsid w:val="00F0736F"/>
    <w:rsid w:val="00F11260"/>
    <w:rsid w:val="00F15452"/>
    <w:rsid w:val="00F167E6"/>
    <w:rsid w:val="00F22E98"/>
    <w:rsid w:val="00F321D3"/>
    <w:rsid w:val="00F33652"/>
    <w:rsid w:val="00F413BE"/>
    <w:rsid w:val="00F427A0"/>
    <w:rsid w:val="00F6082D"/>
    <w:rsid w:val="00F62D4D"/>
    <w:rsid w:val="00F816BF"/>
    <w:rsid w:val="00F8679D"/>
    <w:rsid w:val="00F867E2"/>
    <w:rsid w:val="00F916D5"/>
    <w:rsid w:val="00F93A36"/>
    <w:rsid w:val="00F97F2C"/>
    <w:rsid w:val="00FA1827"/>
    <w:rsid w:val="00FA5405"/>
    <w:rsid w:val="00FC4FFC"/>
    <w:rsid w:val="00FD54ED"/>
    <w:rsid w:val="00FF1879"/>
    <w:rsid w:val="00FF3C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F685BA-818C-4879-B75F-82E76FD5F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48</Pages>
  <Words>11338</Words>
  <Characters>62362</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10</cp:revision>
  <cp:lastPrinted>2026-05-14T17:45:00Z</cp:lastPrinted>
  <dcterms:created xsi:type="dcterms:W3CDTF">2026-05-11T18:47:00Z</dcterms:created>
  <dcterms:modified xsi:type="dcterms:W3CDTF">2026-05-19T19:24:00Z</dcterms:modified>
</cp:coreProperties>
</file>