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C7F" w:rsidRPr="00DC7E0C" w:rsidRDefault="002D3248">
      <w:pPr>
        <w:tabs>
          <w:tab w:val="left" w:pos="0"/>
        </w:tabs>
        <w:spacing w:line="360" w:lineRule="auto"/>
        <w:jc w:val="both"/>
        <w:rPr>
          <w:rFonts w:ascii="Palatino Linotype" w:eastAsia="Palatino Linotype" w:hAnsi="Palatino Linotype" w:cs="Palatino Linotype"/>
          <w:b/>
        </w:rPr>
      </w:pPr>
      <w:bookmarkStart w:id="0" w:name="_heading=h.sare10y895js" w:colFirst="0" w:colLast="0"/>
      <w:bookmarkStart w:id="1" w:name="_GoBack"/>
      <w:bookmarkEnd w:id="0"/>
      <w:bookmarkEnd w:id="1"/>
      <w:r w:rsidRPr="00DC7E0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DC7E0C">
        <w:rPr>
          <w:rFonts w:ascii="Palatino Linotype" w:eastAsia="Palatino Linotype" w:hAnsi="Palatino Linotype" w:cs="Palatino Linotype"/>
          <w:b/>
        </w:rPr>
        <w:t>de fecha once</w:t>
      </w:r>
      <w:r w:rsidR="00DC7E0C" w:rsidRPr="00DC7E0C">
        <w:rPr>
          <w:rFonts w:ascii="Palatino Linotype" w:eastAsia="Palatino Linotype" w:hAnsi="Palatino Linotype" w:cs="Palatino Linotype"/>
          <w:b/>
        </w:rPr>
        <w:t xml:space="preserve"> (11)</w:t>
      </w:r>
      <w:r w:rsidRPr="00DC7E0C">
        <w:rPr>
          <w:rFonts w:ascii="Palatino Linotype" w:eastAsia="Palatino Linotype" w:hAnsi="Palatino Linotype" w:cs="Palatino Linotype"/>
          <w:b/>
        </w:rPr>
        <w:t xml:space="preserve"> de marzo de dos mil veintiséis. </w:t>
      </w:r>
    </w:p>
    <w:p w:rsidR="00614C7F" w:rsidRPr="00DC7E0C" w:rsidRDefault="00614C7F">
      <w:pPr>
        <w:tabs>
          <w:tab w:val="left" w:pos="0"/>
        </w:tabs>
        <w:spacing w:line="360" w:lineRule="auto"/>
        <w:jc w:val="both"/>
        <w:rPr>
          <w:rFonts w:ascii="Palatino Linotype" w:eastAsia="Palatino Linotype" w:hAnsi="Palatino Linotype" w:cs="Palatino Linotype"/>
        </w:rPr>
      </w:pPr>
    </w:p>
    <w:p w:rsidR="00614C7F" w:rsidRPr="00DC7E0C" w:rsidRDefault="002D3248">
      <w:pPr>
        <w:spacing w:line="360" w:lineRule="auto"/>
        <w:jc w:val="both"/>
        <w:rPr>
          <w:rFonts w:ascii="Palatino Linotype" w:eastAsia="Palatino Linotype" w:hAnsi="Palatino Linotype" w:cs="Palatino Linotype"/>
        </w:rPr>
      </w:pPr>
      <w:r w:rsidRPr="00DC7E0C">
        <w:rPr>
          <w:rFonts w:ascii="Palatino Linotype" w:eastAsia="Palatino Linotype" w:hAnsi="Palatino Linotype" w:cs="Palatino Linotype"/>
          <w:b/>
          <w:bCs/>
        </w:rPr>
        <w:t>VISTO</w:t>
      </w:r>
      <w:r w:rsidRPr="00DC7E0C">
        <w:rPr>
          <w:rFonts w:ascii="Palatino Linotype" w:eastAsia="Palatino Linotype" w:hAnsi="Palatino Linotype" w:cs="Palatino Linotype"/>
        </w:rPr>
        <w:t xml:space="preserve"> el expediente electrónico formado con motivo del recurso de revisión </w:t>
      </w:r>
      <w:r w:rsidRPr="00DC7E0C">
        <w:rPr>
          <w:rFonts w:ascii="Palatino Linotype" w:eastAsia="Palatino Linotype" w:hAnsi="Palatino Linotype" w:cs="Palatino Linotype"/>
          <w:b/>
          <w:bCs/>
        </w:rPr>
        <w:t xml:space="preserve">10688/INFOEM/IP/RR/2025, </w:t>
      </w:r>
      <w:r w:rsidRPr="00DC7E0C">
        <w:rPr>
          <w:rFonts w:ascii="Palatino Linotype" w:eastAsia="Palatino Linotype" w:hAnsi="Palatino Linotype" w:cs="Palatino Linotype"/>
        </w:rPr>
        <w:t xml:space="preserve">promovido por </w:t>
      </w:r>
      <w:r w:rsidR="004672DE">
        <w:rPr>
          <w:rFonts w:ascii="Palatino Linotype" w:eastAsia="Palatino Linotype" w:hAnsi="Palatino Linotype" w:cs="Palatino Linotype"/>
          <w:b/>
          <w:bCs/>
        </w:rPr>
        <w:t>XXXX</w:t>
      </w:r>
      <w:r w:rsidRPr="00DC7E0C">
        <w:rPr>
          <w:rFonts w:ascii="Palatino Linotype" w:eastAsia="Palatino Linotype" w:hAnsi="Palatino Linotype" w:cs="Palatino Linotype"/>
        </w:rPr>
        <w:t xml:space="preserve">, a quien en lo sucesivo se le identificara como </w:t>
      </w:r>
      <w:r w:rsidRPr="00DC7E0C">
        <w:rPr>
          <w:rFonts w:ascii="Palatino Linotype" w:eastAsia="Palatino Linotype" w:hAnsi="Palatino Linotype" w:cs="Palatino Linotype"/>
          <w:b/>
          <w:bCs/>
        </w:rPr>
        <w:t>RECURRENTE</w:t>
      </w:r>
      <w:r w:rsidRPr="00DC7E0C">
        <w:rPr>
          <w:rFonts w:ascii="Palatino Linotype" w:eastAsia="Palatino Linotype" w:hAnsi="Palatino Linotype" w:cs="Palatino Linotype"/>
        </w:rPr>
        <w:t xml:space="preserve">, en contra de la respuesta de la </w:t>
      </w:r>
      <w:r w:rsidR="002D547C" w:rsidRPr="00DC7E0C">
        <w:rPr>
          <w:rFonts w:ascii="Palatino Linotype" w:eastAsia="Palatino Linotype" w:hAnsi="Palatino Linotype" w:cs="Palatino Linotype"/>
          <w:b/>
          <w:bCs/>
        </w:rPr>
        <w:t>Secretarí</w:t>
      </w:r>
      <w:r w:rsidRPr="00DC7E0C">
        <w:rPr>
          <w:rFonts w:ascii="Palatino Linotype" w:eastAsia="Palatino Linotype" w:hAnsi="Palatino Linotype" w:cs="Palatino Linotype"/>
          <w:b/>
          <w:bCs/>
        </w:rPr>
        <w:t xml:space="preserve">a de Educación, Ciencia, Tecnología e Innovación, </w:t>
      </w:r>
      <w:r w:rsidRPr="00DC7E0C">
        <w:rPr>
          <w:rFonts w:ascii="Palatino Linotype" w:eastAsia="Palatino Linotype" w:hAnsi="Palatino Linotype" w:cs="Palatino Linotype"/>
        </w:rPr>
        <w:t>en adelante el</w:t>
      </w:r>
      <w:r w:rsidRPr="00DC7E0C">
        <w:rPr>
          <w:rFonts w:ascii="Palatino Linotype" w:eastAsia="Palatino Linotype" w:hAnsi="Palatino Linotype" w:cs="Palatino Linotype"/>
          <w:b/>
          <w:bCs/>
        </w:rPr>
        <w:t xml:space="preserve"> SUJETO OBLIGADO, </w:t>
      </w:r>
      <w:r w:rsidRPr="00DC7E0C">
        <w:rPr>
          <w:rFonts w:ascii="Palatino Linotype" w:eastAsia="Palatino Linotype" w:hAnsi="Palatino Linotype" w:cs="Palatino Linotype"/>
        </w:rPr>
        <w:t xml:space="preserve">se procede a dictar la presente resolución, con base en los siguientes: </w:t>
      </w:r>
    </w:p>
    <w:p w:rsidR="00614C7F" w:rsidRPr="00DC7E0C" w:rsidRDefault="00614C7F">
      <w:pPr>
        <w:spacing w:line="360" w:lineRule="auto"/>
        <w:jc w:val="both"/>
        <w:rPr>
          <w:rFonts w:ascii="Palatino Linotype" w:eastAsia="Palatino Linotype" w:hAnsi="Palatino Linotype" w:cs="Palatino Linotype"/>
        </w:rPr>
      </w:pPr>
    </w:p>
    <w:p w:rsidR="00614C7F" w:rsidRPr="00DC7E0C" w:rsidRDefault="002D3248">
      <w:pPr>
        <w:keepNext/>
        <w:keepLines/>
        <w:tabs>
          <w:tab w:val="left" w:pos="0"/>
        </w:tabs>
        <w:spacing w:line="360" w:lineRule="auto"/>
        <w:jc w:val="center"/>
        <w:rPr>
          <w:rFonts w:ascii="Palatino Linotype" w:eastAsia="Palatino Linotype" w:hAnsi="Palatino Linotype" w:cs="Palatino Linotype"/>
          <w:b/>
          <w:bCs/>
        </w:rPr>
      </w:pPr>
      <w:bookmarkStart w:id="2" w:name="_heading=h.gjdgxs" w:colFirst="0" w:colLast="0"/>
      <w:bookmarkEnd w:id="2"/>
      <w:r w:rsidRPr="00DC7E0C">
        <w:rPr>
          <w:rFonts w:ascii="Palatino Linotype" w:eastAsia="Palatino Linotype" w:hAnsi="Palatino Linotype" w:cs="Palatino Linotype"/>
          <w:b/>
          <w:bCs/>
        </w:rPr>
        <w:t>A N T E C E D E N T E S</w:t>
      </w:r>
    </w:p>
    <w:p w:rsidR="00614C7F" w:rsidRPr="00DC7E0C" w:rsidRDefault="00614C7F">
      <w:pPr>
        <w:keepNext/>
        <w:keepLines/>
        <w:tabs>
          <w:tab w:val="left" w:pos="0"/>
        </w:tabs>
        <w:spacing w:line="360" w:lineRule="auto"/>
        <w:jc w:val="center"/>
        <w:rPr>
          <w:rFonts w:ascii="Palatino Linotype" w:eastAsia="Palatino Linotype" w:hAnsi="Palatino Linotype" w:cs="Palatino Linotype"/>
          <w:b/>
          <w:bCs/>
        </w:rPr>
      </w:pPr>
    </w:p>
    <w:p w:rsidR="00614C7F" w:rsidRPr="00DC7E0C" w:rsidRDefault="002D3248">
      <w:pPr>
        <w:numPr>
          <w:ilvl w:val="0"/>
          <w:numId w:val="3"/>
        </w:numPr>
        <w:tabs>
          <w:tab w:val="left" w:pos="0"/>
        </w:tabs>
        <w:spacing w:line="360" w:lineRule="auto"/>
        <w:ind w:left="0" w:firstLine="0"/>
        <w:jc w:val="both"/>
        <w:rPr>
          <w:rFonts w:ascii="Palatino Linotype" w:eastAsia="Palatino Linotype" w:hAnsi="Palatino Linotype" w:cs="Palatino Linotype"/>
        </w:rPr>
      </w:pPr>
      <w:r w:rsidRPr="00DC7E0C">
        <w:rPr>
          <w:rFonts w:ascii="Palatino Linotype" w:eastAsia="Palatino Linotype" w:hAnsi="Palatino Linotype" w:cs="Palatino Linotype"/>
        </w:rPr>
        <w:t xml:space="preserve">El </w:t>
      </w:r>
      <w:r w:rsidRPr="00DC7E0C">
        <w:rPr>
          <w:rFonts w:ascii="Palatino Linotype" w:eastAsia="Palatino Linotype" w:hAnsi="Palatino Linotype" w:cs="Palatino Linotype"/>
          <w:b/>
          <w:bCs/>
        </w:rPr>
        <w:t>once de agosto de dos mil veinticinco</w:t>
      </w:r>
      <w:r w:rsidRPr="00DC7E0C">
        <w:rPr>
          <w:rFonts w:ascii="Palatino Linotype" w:eastAsia="Palatino Linotype" w:hAnsi="Palatino Linotype" w:cs="Palatino Linotype"/>
        </w:rPr>
        <w:t>, el</w:t>
      </w:r>
      <w:r w:rsidRP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rPr>
        <w:t>solicitante</w:t>
      </w:r>
      <w:r w:rsidRP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rPr>
        <w:t>presentó</w:t>
      </w:r>
      <w:r w:rsidRP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rPr>
        <w:t xml:space="preserve">ante el </w:t>
      </w:r>
      <w:r w:rsidRPr="00DC7E0C">
        <w:rPr>
          <w:rFonts w:ascii="Palatino Linotype" w:eastAsia="Palatino Linotype" w:hAnsi="Palatino Linotype" w:cs="Palatino Linotype"/>
          <w:b/>
          <w:bCs/>
        </w:rPr>
        <w:t>SUJETO OBLIGADO,</w:t>
      </w:r>
      <w:r w:rsidRPr="00DC7E0C">
        <w:rPr>
          <w:rFonts w:ascii="Palatino Linotype" w:eastAsia="Palatino Linotype" w:hAnsi="Palatino Linotype" w:cs="Palatino Linotype"/>
        </w:rPr>
        <w:t xml:space="preserve"> a través del Sistema de Acceso a la Información Mexiquense (SAIMEX), la solicitud de información pública registrada con el número </w:t>
      </w:r>
      <w:r w:rsidRPr="00DC7E0C">
        <w:rPr>
          <w:rFonts w:ascii="Palatino Linotype" w:eastAsia="Palatino Linotype" w:hAnsi="Palatino Linotype" w:cs="Palatino Linotype"/>
          <w:b/>
          <w:bCs/>
        </w:rPr>
        <w:t>00715/SECTI/IP/2025</w:t>
      </w:r>
      <w:r w:rsidRPr="00DC7E0C">
        <w:rPr>
          <w:rFonts w:ascii="Palatino Linotype" w:eastAsia="Palatino Linotype" w:hAnsi="Palatino Linotype" w:cs="Palatino Linotype"/>
        </w:rPr>
        <w:t>, en la que se solicitó:</w:t>
      </w:r>
    </w:p>
    <w:p w:rsidR="00614C7F" w:rsidRPr="00DC7E0C" w:rsidRDefault="00614C7F">
      <w:pPr>
        <w:tabs>
          <w:tab w:val="left" w:pos="0"/>
        </w:tabs>
        <w:spacing w:line="360" w:lineRule="auto"/>
        <w:ind w:left="360"/>
        <w:jc w:val="both"/>
        <w:rPr>
          <w:rFonts w:ascii="Palatino Linotype" w:eastAsia="Palatino Linotype" w:hAnsi="Palatino Linotype" w:cs="Palatino Linotype"/>
        </w:rPr>
      </w:pPr>
    </w:p>
    <w:p w:rsidR="00614C7F" w:rsidRPr="00DC7E0C" w:rsidRDefault="002D3248">
      <w:pPr>
        <w:tabs>
          <w:tab w:val="left" w:pos="0"/>
        </w:tabs>
        <w:spacing w:line="360" w:lineRule="auto"/>
        <w:ind w:left="567" w:right="680"/>
        <w:jc w:val="both"/>
        <w:rPr>
          <w:rFonts w:ascii="Palatino Linotype" w:eastAsia="Palatino Linotype" w:hAnsi="Palatino Linotype" w:cs="Palatino Linotype"/>
          <w:i/>
          <w:iCs/>
        </w:rPr>
      </w:pPr>
      <w:r w:rsidRPr="00DC7E0C">
        <w:rPr>
          <w:rFonts w:ascii="Palatino Linotype" w:eastAsia="Palatino Linotype" w:hAnsi="Palatino Linotype" w:cs="Palatino Linotype"/>
          <w:i/>
          <w:iCs/>
        </w:rPr>
        <w:t xml:space="preserve">“Con fundamento en los artículos aplicables de la Ley de Transparencia y Acceso a la Información Pública del Estado de México y Municipios, y en base a las funciones que tiene la unidad Juridica de la Dirección General de Cultura Fisica y Deporte, me permito solicitar en versión pública y a través del SICOSIEM la siguiente información: Participar con acuerdo… como apoderado legal ante diversas instancias: listado de fechas en que se han emitido criterios jurídicos en los últimos 2 años. La presente solicitud tiene el carácter de </w:t>
      </w:r>
      <w:r w:rsidRPr="00DC7E0C">
        <w:rPr>
          <w:rFonts w:ascii="Palatino Linotype" w:eastAsia="Palatino Linotype" w:hAnsi="Palatino Linotype" w:cs="Palatino Linotype"/>
          <w:i/>
          <w:iCs/>
        </w:rPr>
        <w:lastRenderedPageBreak/>
        <w:t>información pública en versión pública, por lo que deberán reservarse o testarse los datos personales o información confidencial que contenga” (Sic)</w:t>
      </w:r>
    </w:p>
    <w:p w:rsidR="00614C7F" w:rsidRPr="00DC7E0C" w:rsidRDefault="00614C7F">
      <w:pPr>
        <w:tabs>
          <w:tab w:val="left" w:pos="0"/>
        </w:tabs>
        <w:spacing w:line="360" w:lineRule="auto"/>
        <w:jc w:val="both"/>
        <w:rPr>
          <w:rFonts w:ascii="Palatino Linotype" w:eastAsia="Palatino Linotype" w:hAnsi="Palatino Linotype" w:cs="Palatino Linotype"/>
          <w:i/>
          <w:iCs/>
        </w:rPr>
      </w:pPr>
    </w:p>
    <w:p w:rsidR="00614C7F" w:rsidRPr="00DC7E0C" w:rsidRDefault="002D324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color w:val="000000"/>
        </w:rPr>
        <w:t>Se hace constar que se señaló como modalidad de entrega de la información a través de SAIMEX.</w:t>
      </w:r>
    </w:p>
    <w:p w:rsidR="00614C7F" w:rsidRPr="00DC7E0C" w:rsidRDefault="00614C7F">
      <w:pPr>
        <w:spacing w:line="360" w:lineRule="auto"/>
        <w:rPr>
          <w:rFonts w:ascii="Palatino Linotype" w:eastAsia="Palatino Linotype" w:hAnsi="Palatino Linotype" w:cs="Palatino Linotype"/>
        </w:rPr>
      </w:pPr>
    </w:p>
    <w:p w:rsidR="00614C7F" w:rsidRPr="00DC7E0C" w:rsidRDefault="002D3248">
      <w:pPr>
        <w:numPr>
          <w:ilvl w:val="0"/>
          <w:numId w:val="3"/>
        </w:numPr>
        <w:pBdr>
          <w:top w:val="nil"/>
          <w:left w:val="nil"/>
          <w:bottom w:val="nil"/>
          <w:right w:val="nil"/>
          <w:between w:val="nil"/>
        </w:pBdr>
        <w:tabs>
          <w:tab w:val="left" w:pos="0"/>
        </w:tabs>
        <w:spacing w:line="360" w:lineRule="auto"/>
        <w:ind w:left="0" w:right="34" w:firstLine="0"/>
        <w:jc w:val="both"/>
        <w:rPr>
          <w:rFonts w:ascii="Palatino Linotype" w:eastAsia="Palatino Linotype" w:hAnsi="Palatino Linotype" w:cs="Palatino Linotype"/>
          <w:color w:val="000000"/>
        </w:rPr>
      </w:pPr>
      <w:bookmarkStart w:id="3" w:name="_heading=h.30j0zll" w:colFirst="0" w:colLast="0"/>
      <w:bookmarkEnd w:id="3"/>
      <w:r w:rsidRPr="00DC7E0C">
        <w:rPr>
          <w:rFonts w:ascii="Palatino Linotype" w:eastAsia="Palatino Linotype" w:hAnsi="Palatino Linotype" w:cs="Palatino Linotype"/>
          <w:color w:val="000000"/>
        </w:rPr>
        <w:t xml:space="preserve">El </w:t>
      </w:r>
      <w:r w:rsidRPr="00DC7E0C">
        <w:rPr>
          <w:rFonts w:ascii="Palatino Linotype" w:eastAsia="Palatino Linotype" w:hAnsi="Palatino Linotype" w:cs="Palatino Linotype"/>
          <w:b/>
          <w:bCs/>
          <w:color w:val="000000"/>
        </w:rPr>
        <w:t xml:space="preserve">catorce de agosto de dos mil veinticinco, </w:t>
      </w:r>
      <w:r w:rsidRPr="00DC7E0C">
        <w:rPr>
          <w:rFonts w:ascii="Palatino Linotype" w:eastAsia="Palatino Linotype" w:hAnsi="Palatino Linotype" w:cs="Palatino Linotype"/>
          <w:color w:val="000000"/>
        </w:rPr>
        <w:t xml:space="preserve">el </w:t>
      </w:r>
      <w:r w:rsidRPr="00DC7E0C">
        <w:rPr>
          <w:rFonts w:ascii="Palatino Linotype" w:eastAsia="Palatino Linotype" w:hAnsi="Palatino Linotype" w:cs="Palatino Linotype"/>
          <w:b/>
          <w:bCs/>
          <w:color w:val="000000"/>
        </w:rPr>
        <w:t xml:space="preserve">SUJETO OBLIGADO </w:t>
      </w:r>
      <w:r w:rsidRPr="00DC7E0C">
        <w:rPr>
          <w:rFonts w:ascii="Palatino Linotype" w:eastAsia="Palatino Linotype" w:hAnsi="Palatino Linotype" w:cs="Palatino Linotype"/>
          <w:color w:val="000000"/>
        </w:rPr>
        <w:t>requirió a la persona solicitante aclarar su solicitud de información pública planteada, en los siguientes términos:</w:t>
      </w:r>
    </w:p>
    <w:p w:rsidR="00614C7F" w:rsidRPr="00DC7E0C" w:rsidRDefault="002D3248">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i/>
          <w:iCs/>
          <w:color w:val="000000"/>
        </w:rPr>
        <w:t>Con fundamento en el artículo 159 de la Ley de Transparencia y Acceso a la Información Pública del Estado de México y Municipios, se le requiere para que dentro del plazo de diez días hábiles realice lo siguiente:</w:t>
      </w:r>
    </w:p>
    <w:p w:rsidR="00614C7F" w:rsidRPr="00DC7E0C" w:rsidRDefault="00614C7F">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614C7F" w:rsidRPr="00DC7E0C" w:rsidRDefault="002D3248">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i/>
          <w:iCs/>
          <w:color w:val="000000"/>
        </w:rPr>
        <w:t>Se le requiere que dentro del plazo de diez días hábiles aclare o precise la información que se enuncia en su archivo inicial adjunto. Cabe mencionar que, en caso que no se cuente con aclaración alguna dentro del plazo citado se tendrá por atendida su solicitud de información, quedando a salvo sus derechos para volver a presentar una nueva solicitud.</w:t>
      </w:r>
    </w:p>
    <w:p w:rsidR="00614C7F" w:rsidRPr="00DC7E0C" w:rsidRDefault="00614C7F">
      <w:pPr>
        <w:pBdr>
          <w:top w:val="nil"/>
          <w:left w:val="nil"/>
          <w:bottom w:val="nil"/>
          <w:right w:val="nil"/>
          <w:between w:val="nil"/>
        </w:pBdr>
        <w:ind w:left="567" w:right="539"/>
        <w:jc w:val="both"/>
        <w:rPr>
          <w:rFonts w:ascii="Palatino Linotype" w:eastAsia="Palatino Linotype" w:hAnsi="Palatino Linotype" w:cs="Palatino Linotype"/>
          <w:i/>
          <w:iCs/>
          <w:color w:val="000000"/>
        </w:rPr>
      </w:pPr>
    </w:p>
    <w:p w:rsidR="00614C7F" w:rsidRPr="00DC7E0C" w:rsidRDefault="002D3248">
      <w:pPr>
        <w:pBdr>
          <w:top w:val="nil"/>
          <w:left w:val="nil"/>
          <w:bottom w:val="nil"/>
          <w:right w:val="nil"/>
          <w:between w:val="nil"/>
        </w:pBdr>
        <w:ind w:left="567" w:right="539"/>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i/>
          <w:iCs/>
          <w:color w:val="00000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rsidR="00614C7F" w:rsidRPr="00DC7E0C" w:rsidRDefault="00614C7F">
      <w:pPr>
        <w:pBdr>
          <w:top w:val="nil"/>
          <w:left w:val="nil"/>
          <w:bottom w:val="nil"/>
          <w:right w:val="nil"/>
          <w:between w:val="nil"/>
        </w:pBdr>
        <w:ind w:left="567" w:right="539"/>
        <w:jc w:val="both"/>
        <w:rPr>
          <w:rFonts w:ascii="Palatino Linotype" w:eastAsia="Palatino Linotype" w:hAnsi="Palatino Linotype" w:cs="Palatino Linotype"/>
          <w:color w:val="000000"/>
        </w:rPr>
      </w:pPr>
    </w:p>
    <w:p w:rsidR="00614C7F" w:rsidRPr="00DC7E0C" w:rsidRDefault="002D3248">
      <w:pPr>
        <w:spacing w:line="360" w:lineRule="auto"/>
        <w:jc w:val="both"/>
        <w:rPr>
          <w:rFonts w:ascii="Palatino Linotype" w:eastAsia="Palatino Linotype" w:hAnsi="Palatino Linotype" w:cs="Palatino Linotype"/>
        </w:rPr>
      </w:pPr>
      <w:r w:rsidRPr="00DC7E0C">
        <w:rPr>
          <w:rFonts w:ascii="Palatino Linotype" w:eastAsia="Palatino Linotype" w:hAnsi="Palatino Linotype" w:cs="Palatino Linotype"/>
        </w:rPr>
        <w:t xml:space="preserve">El </w:t>
      </w:r>
      <w:r w:rsidRPr="00DC7E0C">
        <w:rPr>
          <w:rFonts w:ascii="Palatino Linotype" w:eastAsia="Palatino Linotype" w:hAnsi="Palatino Linotype" w:cs="Palatino Linotype"/>
          <w:b/>
          <w:bCs/>
        </w:rPr>
        <w:t xml:space="preserve">Sujeto Obligado </w:t>
      </w:r>
      <w:r w:rsidRPr="00DC7E0C">
        <w:rPr>
          <w:rFonts w:ascii="Palatino Linotype" w:eastAsia="Palatino Linotype" w:hAnsi="Palatino Linotype" w:cs="Palatino Linotype"/>
        </w:rPr>
        <w:t>adjuntó el archivo electrónico denominado “</w:t>
      </w:r>
      <w:r w:rsidRPr="00DC7E0C">
        <w:rPr>
          <w:rFonts w:ascii="Palatino Linotype" w:eastAsia="Palatino Linotype" w:hAnsi="Palatino Linotype" w:cs="Palatino Linotype"/>
          <w:b/>
          <w:bCs/>
          <w:i/>
          <w:iCs/>
        </w:rPr>
        <w:t>ACLARACION_715.pdf”</w:t>
      </w:r>
      <w:r w:rsidRPr="00DC7E0C">
        <w:rPr>
          <w:rFonts w:ascii="Palatino Linotype" w:eastAsia="Palatino Linotype" w:hAnsi="Palatino Linotype" w:cs="Palatino Linotype"/>
        </w:rPr>
        <w:t>, consistente el Acuerdo de Requerimiento correspondiente a la solicitud de información pública número 00715/SECTI/IP/2025, mediante el cual requieren al particular complemente, corrija o amplíe su solicitud, con la finalidad de facilitar la búsqueda o localización de la información, respecto al documento en específico al que quiere tener acceso, por lo que a fin de aclarar su petición se le otorga un plazo de 10 días hábiles.</w:t>
      </w:r>
    </w:p>
    <w:p w:rsidR="00614C7F" w:rsidRPr="00DC7E0C" w:rsidRDefault="00614C7F">
      <w:pPr>
        <w:tabs>
          <w:tab w:val="left" w:pos="0"/>
        </w:tabs>
        <w:spacing w:line="360" w:lineRule="auto"/>
        <w:ind w:right="34"/>
        <w:jc w:val="both"/>
        <w:rPr>
          <w:rFonts w:ascii="Palatino Linotype" w:eastAsia="Palatino Linotype" w:hAnsi="Palatino Linotype" w:cs="Palatino Linotype"/>
        </w:rPr>
      </w:pPr>
    </w:p>
    <w:p w:rsidR="00614C7F" w:rsidRPr="00DC7E0C" w:rsidRDefault="002D3248">
      <w:pPr>
        <w:numPr>
          <w:ilvl w:val="0"/>
          <w:numId w:val="3"/>
        </w:numPr>
        <w:tabs>
          <w:tab w:val="left" w:pos="0"/>
        </w:tabs>
        <w:spacing w:line="360" w:lineRule="auto"/>
        <w:ind w:left="0" w:right="34" w:firstLine="0"/>
        <w:jc w:val="both"/>
        <w:rPr>
          <w:rFonts w:ascii="Palatino Linotype" w:eastAsia="Palatino Linotype" w:hAnsi="Palatino Linotype" w:cs="Palatino Linotype"/>
        </w:rPr>
      </w:pPr>
      <w:r w:rsidRPr="00DC7E0C">
        <w:rPr>
          <w:rFonts w:ascii="Palatino Linotype" w:eastAsia="Palatino Linotype" w:hAnsi="Palatino Linotype" w:cs="Palatino Linotype"/>
        </w:rPr>
        <w:lastRenderedPageBreak/>
        <w:t xml:space="preserve">El </w:t>
      </w:r>
      <w:r w:rsidRPr="00DC7E0C">
        <w:rPr>
          <w:rFonts w:ascii="Palatino Linotype" w:eastAsia="Palatino Linotype" w:hAnsi="Palatino Linotype" w:cs="Palatino Linotype"/>
          <w:b/>
          <w:bCs/>
        </w:rPr>
        <w:t xml:space="preserve">veintiuno de agosto de dos mil veinticinco, </w:t>
      </w:r>
      <w:r w:rsidRPr="00DC7E0C">
        <w:rPr>
          <w:rFonts w:ascii="Palatino Linotype" w:eastAsia="Palatino Linotype" w:hAnsi="Palatino Linotype" w:cs="Palatino Linotype"/>
        </w:rPr>
        <w:t>el particular desahogó la aclaración, al tenor de lo siguiente:</w:t>
      </w:r>
    </w:p>
    <w:p w:rsidR="00614C7F" w:rsidRPr="00DC7E0C" w:rsidRDefault="002D3248">
      <w:pPr>
        <w:ind w:left="567" w:right="539"/>
        <w:jc w:val="both"/>
        <w:rPr>
          <w:rFonts w:ascii="Palatino Linotype" w:eastAsia="Palatino Linotype" w:hAnsi="Palatino Linotype" w:cs="Palatino Linotype"/>
          <w:i/>
          <w:iCs/>
        </w:rPr>
      </w:pPr>
      <w:r w:rsidRPr="00DC7E0C">
        <w:rPr>
          <w:rFonts w:ascii="Verdana" w:eastAsia="Verdana" w:hAnsi="Verdana" w:cs="Verdana"/>
          <w:color w:val="000000"/>
        </w:rPr>
        <w:t>“</w:t>
      </w:r>
      <w:r w:rsidRPr="00DC7E0C">
        <w:rPr>
          <w:rFonts w:ascii="Palatino Linotype" w:eastAsia="Palatino Linotype" w:hAnsi="Palatino Linotype" w:cs="Palatino Linotype"/>
          <w:i/>
          <w:iCs/>
        </w:rPr>
        <w:t>La información requerida corresponde a los documentos oficiales generados por la Unidad Jurídica de la Dirección General de Cultura Física y Deporte, en los que consten los criterios jurídicos emitidos en ejercicio de la función de participar con acuerdo como apoderado legal ante diversas instancias, durante los últimos dos años. En particular, se solicita: Relación o listado de las fechas de emisión de dichos criterios jurídicos. En su caso, copia en versión pública de los acuerdos, oficios, resoluciones, opiniones o documentos que den soporte a cada criterio jurídico emitido. Lo anterior, reservando y testando cualquier dato personal o información considerada confidencial, de conformidad con la ley.” (Sic.)</w:t>
      </w:r>
    </w:p>
    <w:p w:rsidR="00614C7F" w:rsidRPr="00DC7E0C" w:rsidRDefault="00614C7F">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14C7F" w:rsidRPr="00DC7E0C" w:rsidRDefault="002D3248">
      <w:pPr>
        <w:numPr>
          <w:ilvl w:val="0"/>
          <w:numId w:val="3"/>
        </w:numPr>
        <w:tabs>
          <w:tab w:val="left" w:pos="0"/>
        </w:tabs>
        <w:spacing w:line="360" w:lineRule="auto"/>
        <w:ind w:left="0" w:firstLine="0"/>
        <w:jc w:val="both"/>
        <w:rPr>
          <w:rFonts w:ascii="Palatino Linotype" w:eastAsia="Palatino Linotype" w:hAnsi="Palatino Linotype" w:cs="Palatino Linotype"/>
          <w:b/>
          <w:bCs/>
        </w:rPr>
      </w:pPr>
      <w:r w:rsidRPr="00DC7E0C">
        <w:rPr>
          <w:rFonts w:ascii="Palatino Linotype" w:eastAsia="Palatino Linotype" w:hAnsi="Palatino Linotype" w:cs="Palatino Linotype"/>
        </w:rPr>
        <w:t xml:space="preserve">El </w:t>
      </w:r>
      <w:r w:rsidRPr="00DC7E0C">
        <w:rPr>
          <w:rFonts w:ascii="Palatino Linotype" w:eastAsia="Palatino Linotype" w:hAnsi="Palatino Linotype" w:cs="Palatino Linotype"/>
          <w:b/>
          <w:bCs/>
        </w:rPr>
        <w:t>nueve de septiembre de dos mil veinticinco</w:t>
      </w:r>
      <w:r w:rsidRPr="00DC7E0C">
        <w:rPr>
          <w:rFonts w:ascii="Palatino Linotype" w:eastAsia="Palatino Linotype" w:hAnsi="Palatino Linotype" w:cs="Palatino Linotype"/>
        </w:rPr>
        <w:t xml:space="preserve">, el </w:t>
      </w:r>
      <w:r w:rsidRPr="00DC7E0C">
        <w:rPr>
          <w:rFonts w:ascii="Palatino Linotype" w:eastAsia="Palatino Linotype" w:hAnsi="Palatino Linotype" w:cs="Palatino Linotype"/>
          <w:b/>
          <w:bCs/>
        </w:rPr>
        <w:t xml:space="preserve">SUJETO OBLIGADO </w:t>
      </w:r>
      <w:r w:rsidRPr="00DC7E0C">
        <w:rPr>
          <w:rFonts w:ascii="Palatino Linotype" w:eastAsia="Palatino Linotype" w:hAnsi="Palatino Linotype" w:cs="Palatino Linotype"/>
        </w:rPr>
        <w:t xml:space="preserve">dio respuesta a la solicitud en el siguiente sentido: </w:t>
      </w:r>
    </w:p>
    <w:p w:rsidR="00614C7F" w:rsidRPr="00DC7E0C" w:rsidRDefault="002D3248">
      <w:pPr>
        <w:tabs>
          <w:tab w:val="left" w:pos="567"/>
        </w:tabs>
        <w:ind w:left="567" w:right="680"/>
        <w:jc w:val="both"/>
        <w:rPr>
          <w:rFonts w:ascii="Palatino Linotype" w:eastAsia="Palatino Linotype" w:hAnsi="Palatino Linotype" w:cs="Palatino Linotype"/>
          <w:i/>
          <w:iCs/>
        </w:rPr>
      </w:pPr>
      <w:r w:rsidRPr="00DC7E0C">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14C7F" w:rsidRPr="00DC7E0C" w:rsidRDefault="00614C7F">
      <w:pPr>
        <w:tabs>
          <w:tab w:val="left" w:pos="567"/>
        </w:tabs>
        <w:ind w:left="567" w:right="680"/>
        <w:jc w:val="both"/>
        <w:rPr>
          <w:rFonts w:ascii="Palatino Linotype" w:eastAsia="Palatino Linotype" w:hAnsi="Palatino Linotype" w:cs="Palatino Linotype"/>
          <w:i/>
          <w:iCs/>
        </w:rPr>
      </w:pPr>
    </w:p>
    <w:p w:rsidR="00614C7F" w:rsidRPr="00DC7E0C" w:rsidRDefault="002D3248">
      <w:pPr>
        <w:tabs>
          <w:tab w:val="left" w:pos="567"/>
        </w:tabs>
        <w:ind w:left="567" w:right="680"/>
        <w:jc w:val="both"/>
        <w:rPr>
          <w:rFonts w:ascii="Palatino Linotype" w:eastAsia="Palatino Linotype" w:hAnsi="Palatino Linotype" w:cs="Palatino Linotype"/>
          <w:i/>
          <w:iCs/>
        </w:rPr>
      </w:pPr>
      <w:r w:rsidRPr="00DC7E0C">
        <w:rPr>
          <w:rFonts w:ascii="Palatino Linotype" w:eastAsia="Palatino Linotype" w:hAnsi="Palatino Linotype" w:cs="Palatino Linotype"/>
          <w:i/>
          <w:iCs/>
        </w:rPr>
        <w:t>Con fundamento en los artículos 53 fracciones II, V y VI y 163 de la Ley de Transparencia y Acceso a la Información Pública del Estado de México y Municipios, en respuesta a su solicitud de información se adjunta el Acuerdo de respuesta de fecha 05 de septiembre de dos mil veinticinco, asimismo, se anexan los archivos que contienen la información remitida por el Servidor Público Habilitado responsable de generar la información.(Sic)</w:t>
      </w:r>
    </w:p>
    <w:p w:rsidR="00614C7F" w:rsidRPr="00DC7E0C" w:rsidRDefault="00614C7F">
      <w:pPr>
        <w:tabs>
          <w:tab w:val="left" w:pos="0"/>
        </w:tabs>
        <w:spacing w:line="360" w:lineRule="auto"/>
        <w:jc w:val="both"/>
        <w:rPr>
          <w:rFonts w:ascii="Palatino Linotype" w:eastAsia="Palatino Linotype" w:hAnsi="Palatino Linotype" w:cs="Palatino Linotype"/>
          <w:color w:val="000000"/>
        </w:rPr>
      </w:pPr>
    </w:p>
    <w:p w:rsidR="00614C7F" w:rsidRPr="00DC7E0C" w:rsidRDefault="002D3248" w:rsidP="00DC7E0C">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color w:val="000000"/>
        </w:rPr>
        <w:t>A la respuesta se adjuntaron los siguientes archivos:</w:t>
      </w:r>
    </w:p>
    <w:p w:rsidR="00614C7F" w:rsidRPr="00DC7E0C" w:rsidRDefault="002D3248">
      <w:pPr>
        <w:numPr>
          <w:ilvl w:val="0"/>
          <w:numId w:val="4"/>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b/>
          <w:bCs/>
          <w:color w:val="000000"/>
        </w:rPr>
        <w:t>RESPUESTA_SPH_715.pdf</w:t>
      </w:r>
      <w:r w:rsidRPr="00DC7E0C">
        <w:rPr>
          <w:rFonts w:ascii="Palatino Linotype" w:eastAsia="Palatino Linotype" w:hAnsi="Palatino Linotype" w:cs="Palatino Linotype"/>
          <w:color w:val="000000"/>
        </w:rPr>
        <w:t xml:space="preserve">: Oficio 228C4401A/236/2025, de fecha veintinueve de agosto de dos mil veinticinco, suscrito por el Encargado de Despacho del instituto del Deporte del Estado de México, mediante el cual le informan al particular que no es posible emitir una respuesta a su solicitud en los términos solicitados, toda vez que la petición adolece de precisión y claridad al referirse </w:t>
      </w:r>
      <w:r w:rsidRPr="00DC7E0C">
        <w:rPr>
          <w:rFonts w:ascii="Palatino Linotype" w:eastAsia="Palatino Linotype" w:hAnsi="Palatino Linotype" w:cs="Palatino Linotype"/>
          <w:color w:val="000000"/>
        </w:rPr>
        <w:lastRenderedPageBreak/>
        <w:t>genéricamente a la expresión “criterios jurídicos”, sin referir el tipo de documento o acto jurídico al que se refiere.</w:t>
      </w:r>
    </w:p>
    <w:p w:rsidR="00614C7F" w:rsidRPr="00DC7E0C" w:rsidRDefault="002D3248">
      <w:pPr>
        <w:numPr>
          <w:ilvl w:val="0"/>
          <w:numId w:val="4"/>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b/>
          <w:bCs/>
          <w:color w:val="000000"/>
        </w:rPr>
        <w:t>RESPUESTA_UT_715</w:t>
      </w:r>
      <w:r w:rsidRPr="00DC7E0C">
        <w:rPr>
          <w:rFonts w:ascii="Palatino Linotype" w:eastAsia="Palatino Linotype" w:hAnsi="Palatino Linotype" w:cs="Palatino Linotype"/>
          <w:color w:val="000000"/>
        </w:rPr>
        <w:t>.</w:t>
      </w:r>
      <w:r w:rsidRPr="00DC7E0C">
        <w:rPr>
          <w:rFonts w:ascii="Palatino Linotype" w:eastAsia="Palatino Linotype" w:hAnsi="Palatino Linotype" w:cs="Palatino Linotype"/>
          <w:b/>
          <w:bCs/>
          <w:color w:val="000000"/>
        </w:rPr>
        <w:t xml:space="preserve">pdf: </w:t>
      </w:r>
      <w:r w:rsidRPr="00DC7E0C">
        <w:rPr>
          <w:rFonts w:ascii="Palatino Linotype" w:eastAsia="Palatino Linotype" w:hAnsi="Palatino Linotype" w:cs="Palatino Linotype"/>
          <w:color w:val="000000"/>
        </w:rPr>
        <w:t>Oficio 22800007010000S/2136/UT/2025, de fecha cinco de septiembre de dos mil veinticinco, suscrito por el Titular de la Unidad de Transparencia, mediante el cual refieren al particular que atender el requerimiento en los términos que lo solicita, implicaría realizar diversas acciones, toda vez que tendría que generar un documento “</w:t>
      </w:r>
      <w:r w:rsidRPr="00DC7E0C">
        <w:rPr>
          <w:rFonts w:ascii="Palatino Linotype" w:eastAsia="Palatino Linotype" w:hAnsi="Palatino Linotype" w:cs="Palatino Linotype"/>
          <w:i/>
          <w:iCs/>
          <w:color w:val="000000"/>
        </w:rPr>
        <w:t xml:space="preserve">ad hoc”, </w:t>
      </w:r>
      <w:r w:rsidRPr="00DC7E0C">
        <w:rPr>
          <w:rFonts w:ascii="Palatino Linotype" w:eastAsia="Palatino Linotype" w:hAnsi="Palatino Linotype" w:cs="Palatino Linotype"/>
          <w:color w:val="000000"/>
        </w:rPr>
        <w:t>o bien realizar una acción en específico, toda vez que el servidor público habilitado no localizó en los archivos la documentación peticionada; tampoco se generó la información, lo que evidencia la inexistencia de la información solicitada, lo que consideran como un hechos negativo.</w:t>
      </w:r>
    </w:p>
    <w:p w:rsidR="00614C7F" w:rsidRPr="00DC7E0C" w:rsidRDefault="00614C7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614C7F" w:rsidRPr="00DC7E0C" w:rsidRDefault="002D3248">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bCs/>
          <w:color w:val="000000"/>
        </w:rPr>
      </w:pPr>
      <w:r w:rsidRPr="00DC7E0C">
        <w:rPr>
          <w:rFonts w:ascii="Palatino Linotype" w:eastAsia="Palatino Linotype" w:hAnsi="Palatino Linotype" w:cs="Palatino Linotype"/>
          <w:color w:val="000000"/>
        </w:rPr>
        <w:t xml:space="preserve">En lo sucesivo </w:t>
      </w:r>
      <w:r w:rsidRPr="00DC7E0C">
        <w:rPr>
          <w:rFonts w:ascii="Palatino Linotype" w:eastAsia="Palatino Linotype" w:hAnsi="Palatino Linotype" w:cs="Palatino Linotype"/>
          <w:b/>
          <w:bCs/>
          <w:color w:val="000000"/>
        </w:rPr>
        <w:t xml:space="preserve">el diez de septiembre de dos mil veinticinco, </w:t>
      </w:r>
      <w:r w:rsidRPr="00DC7E0C">
        <w:rPr>
          <w:rFonts w:ascii="Palatino Linotype" w:eastAsia="Palatino Linotype" w:hAnsi="Palatino Linotype" w:cs="Palatino Linotype"/>
          <w:color w:val="000000"/>
        </w:rPr>
        <w:t>el solicitante interpuso el recurso de revisión, señalando como:</w:t>
      </w:r>
    </w:p>
    <w:p w:rsidR="00614C7F" w:rsidRPr="00DC7E0C" w:rsidRDefault="00614C7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bCs/>
          <w:color w:val="000000"/>
        </w:rPr>
      </w:pPr>
    </w:p>
    <w:p w:rsidR="00614C7F" w:rsidRPr="00DC7E0C" w:rsidRDefault="00DC7E0C">
      <w:pPr>
        <w:numPr>
          <w:ilvl w:val="0"/>
          <w:numId w:val="1"/>
        </w:numPr>
        <w:tabs>
          <w:tab w:val="left" w:pos="851"/>
          <w:tab w:val="left" w:pos="8222"/>
        </w:tabs>
        <w:spacing w:line="360" w:lineRule="auto"/>
        <w:jc w:val="both"/>
        <w:rPr>
          <w:rFonts w:ascii="Palatino Linotype" w:eastAsia="Palatino Linotype" w:hAnsi="Palatino Linotype" w:cs="Palatino Linotype"/>
        </w:rPr>
      </w:pPr>
      <w:r w:rsidRPr="00DC7E0C">
        <w:rPr>
          <w:rFonts w:ascii="Palatino Linotype" w:eastAsia="Palatino Linotype" w:hAnsi="Palatino Linotype" w:cs="Palatino Linotype"/>
          <w:b/>
          <w:bCs/>
        </w:rPr>
        <w:t>ACTO IMPUGNADO</w:t>
      </w:r>
      <w:r w:rsidRPr="00DC7E0C">
        <w:rPr>
          <w:rFonts w:ascii="Palatino Linotype" w:eastAsia="Palatino Linotype" w:hAnsi="Palatino Linotype" w:cs="Palatino Linotype"/>
          <w:i/>
          <w:iCs/>
        </w:rPr>
        <w:t xml:space="preserve"> </w:t>
      </w:r>
    </w:p>
    <w:p w:rsidR="00614C7F" w:rsidRPr="00DC7E0C" w:rsidRDefault="002D3248">
      <w:pPr>
        <w:tabs>
          <w:tab w:val="left" w:pos="851"/>
          <w:tab w:val="left" w:pos="8222"/>
        </w:tabs>
        <w:ind w:left="567" w:right="538"/>
        <w:jc w:val="both"/>
        <w:rPr>
          <w:rFonts w:ascii="Palatino Linotype" w:eastAsia="Palatino Linotype" w:hAnsi="Palatino Linotype" w:cs="Palatino Linotype"/>
        </w:rPr>
      </w:pPr>
      <w:r w:rsidRPr="00DC7E0C">
        <w:rPr>
          <w:rFonts w:ascii="Palatino Linotype" w:eastAsia="Palatino Linotype" w:hAnsi="Palatino Linotype" w:cs="Palatino Linotype"/>
          <w:i/>
          <w:iCs/>
        </w:rPr>
        <w:t xml:space="preserve">“ACTO IMPUGNADO: Se impugna la respuesta emitida por el sujeto obligado en atención al oficio número 228000070100005/1894/UT/2025, mediante la cual se atendieron de manera conjunta más de treinta solicitudes de información pública (folios 00702/SECTI/IP/2025 al 00740/SECTI/IP/2025). La autoridad limitó su respuesta a remitir únicamente un informe elaborado por el actual titular de la Unidad Jurídica, correspondiente a los últimos dos meses de gestión, excluyendo información histórica y completa solicitada en cada solicitud individual, vulnerando de manera evidente el derecho de acceso a la información.” (Sic) </w:t>
      </w:r>
    </w:p>
    <w:p w:rsidR="00614C7F" w:rsidRDefault="00614C7F">
      <w:pPr>
        <w:tabs>
          <w:tab w:val="left" w:pos="851"/>
          <w:tab w:val="left" w:pos="8222"/>
        </w:tabs>
        <w:spacing w:line="360" w:lineRule="auto"/>
        <w:ind w:left="720"/>
        <w:jc w:val="both"/>
        <w:rPr>
          <w:rFonts w:ascii="Palatino Linotype" w:eastAsia="Palatino Linotype" w:hAnsi="Palatino Linotype" w:cs="Palatino Linotype"/>
        </w:rPr>
      </w:pPr>
    </w:p>
    <w:p w:rsidR="00DC7E0C" w:rsidRDefault="00DC7E0C">
      <w:pPr>
        <w:tabs>
          <w:tab w:val="left" w:pos="851"/>
          <w:tab w:val="left" w:pos="8222"/>
        </w:tabs>
        <w:spacing w:line="360" w:lineRule="auto"/>
        <w:ind w:left="720"/>
        <w:jc w:val="both"/>
        <w:rPr>
          <w:rFonts w:ascii="Palatino Linotype" w:eastAsia="Palatino Linotype" w:hAnsi="Palatino Linotype" w:cs="Palatino Linotype"/>
        </w:rPr>
      </w:pPr>
    </w:p>
    <w:p w:rsidR="00DC7E0C" w:rsidRPr="00DC7E0C" w:rsidRDefault="00DC7E0C">
      <w:pPr>
        <w:tabs>
          <w:tab w:val="left" w:pos="851"/>
          <w:tab w:val="left" w:pos="8222"/>
        </w:tabs>
        <w:spacing w:line="360" w:lineRule="auto"/>
        <w:ind w:left="720"/>
        <w:jc w:val="both"/>
        <w:rPr>
          <w:rFonts w:ascii="Palatino Linotype" w:eastAsia="Palatino Linotype" w:hAnsi="Palatino Linotype" w:cs="Palatino Linotype"/>
        </w:rPr>
      </w:pPr>
    </w:p>
    <w:p w:rsidR="00614C7F" w:rsidRPr="00DC7E0C" w:rsidRDefault="00DC7E0C">
      <w:pPr>
        <w:numPr>
          <w:ilvl w:val="0"/>
          <w:numId w:val="1"/>
        </w:numPr>
        <w:tabs>
          <w:tab w:val="left" w:pos="851"/>
        </w:tabs>
        <w:spacing w:line="360" w:lineRule="auto"/>
        <w:jc w:val="both"/>
        <w:rPr>
          <w:rFonts w:ascii="Palatino Linotype" w:eastAsia="Palatino Linotype" w:hAnsi="Palatino Linotype" w:cs="Palatino Linotype"/>
          <w:i/>
          <w:iCs/>
        </w:rPr>
      </w:pPr>
      <w:r w:rsidRPr="00DC7E0C">
        <w:rPr>
          <w:rFonts w:ascii="Palatino Linotype" w:eastAsia="Palatino Linotype" w:hAnsi="Palatino Linotype" w:cs="Palatino Linotype"/>
          <w:b/>
          <w:bCs/>
        </w:rPr>
        <w:lastRenderedPageBreak/>
        <w:t>RAZONES O MOTIVOS DE INCONFORMIDAD</w:t>
      </w:r>
    </w:p>
    <w:p w:rsidR="00614C7F" w:rsidRPr="00DC7E0C" w:rsidRDefault="002D3248">
      <w:pPr>
        <w:tabs>
          <w:tab w:val="left" w:pos="851"/>
        </w:tabs>
        <w:ind w:left="567" w:right="538"/>
        <w:jc w:val="both"/>
        <w:rPr>
          <w:rFonts w:ascii="Palatino Linotype" w:eastAsia="Palatino Linotype" w:hAnsi="Palatino Linotype" w:cs="Palatino Linotype"/>
          <w:i/>
          <w:iCs/>
        </w:rPr>
      </w:pPr>
      <w:r w:rsidRPr="00DC7E0C">
        <w:rPr>
          <w:rFonts w:ascii="Palatino Linotype" w:eastAsia="Palatino Linotype" w:hAnsi="Palatino Linotype" w:cs="Palatino Linotype"/>
          <w:i/>
          <w:iCs/>
        </w:rPr>
        <w:t>“MOTIVOS DE LA INCONFORMIDAD Atención masiva e incompleta de solicitudes: La autoridad respondió a más de treinta solicitudes mediante un único informe parcial, sin atender de manera específica y detallada cada solicitud. Esta práctica constituye una evasión deliberada de la obligación legal de transparencia, limitando el acceso a información verificable y completa. Negativa indebida de información histórica: El argumento de “tiempo limitado en el cargo” no constituye justificación legal para negar información existente en archivos administrativos. La autoridad no puede restringir el derecho ciudadano de acceso a información basándose en limitaciones internas o temporales del funcionario. Falta de criterio técnico y jurídico del Mtro. José Manuel Sotomayor Landecho: Resulta preocupante que el informe remitido y la interpretación de la ley se sustenten en criterios del Mtro. José Manuel Sotomayor Landecho, encargado del despacho del Instituto del Deporte del Estado de México, quien carece de criterio técnico y jurídico adecuado para interpretar la Ley de Transparencia y Acceso a la Información Pública, evidenciando un manejo restrictivo y confuso de los derechos de los solicitantes. Falta de fundamentación y motivación específica: La respuesta general carece de análisis individualizado sobre cada solicitud, lo que impide verificar si la información existe, fue omitida o se encuentra incompleta. Esto representa una deficiencia grave en la fundamentación, contraria a la Ley de Transparencia y a los principios de legalidad y máxima publicidad. Riesgo de opacidad y dilación indebida: La modalidad de atender múltiples solicitudes de manera masiva y parcial genera un riesgo claro de opacidad, evasión y dilación, afectando la confianza ciudadana en la gestión pública y comprometiendo el cumplimiento de la ley de transparencia y protección de datos. III. PETICIÓN En virtud de lo anterior, se solicita a esta Unidad de Transparencia: Declarar procedente la presente inconformidad. Ordenar al sujeto obligado proporcionar respuestas individualizadas, completas y verificables a cada una de las solicitudes presentadas, incluyendo información histórica previa a la gestión actual del titular de la Unidad Jurídica, conforme a lo solicitado en cada folio. Aclarar y fundar de manera clara cualquier restricción en el acceso a información pública, evitando interpretaciones sesgadas o incorrectas de la ley por parte del Mtro. José Manuel Sotomayor Landecho. Señalar las medidas que la autoridad adoptará para garantizar que no se repita la práctica de atender solicitudes masivas de manera parcial, asegurando el respeto al derecho de acceso a la información y la protección de datos sensibles."(sic)</w:t>
      </w:r>
    </w:p>
    <w:p w:rsidR="00614C7F" w:rsidRPr="00DC7E0C" w:rsidRDefault="00614C7F">
      <w:pPr>
        <w:tabs>
          <w:tab w:val="left" w:pos="851"/>
        </w:tabs>
        <w:spacing w:line="360" w:lineRule="auto"/>
        <w:ind w:left="567"/>
        <w:jc w:val="both"/>
        <w:rPr>
          <w:rFonts w:ascii="Palatino Linotype" w:eastAsia="Palatino Linotype" w:hAnsi="Palatino Linotype" w:cs="Palatino Linotype"/>
          <w:i/>
          <w:iCs/>
        </w:rPr>
      </w:pPr>
    </w:p>
    <w:p w:rsidR="00614C7F" w:rsidRPr="00DC7E0C" w:rsidRDefault="002D3248">
      <w:pPr>
        <w:numPr>
          <w:ilvl w:val="0"/>
          <w:numId w:val="3"/>
        </w:numPr>
        <w:spacing w:line="360" w:lineRule="auto"/>
        <w:ind w:left="0" w:firstLine="0"/>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Ley de </w:t>
      </w:r>
      <w:r w:rsidRPr="00DC7E0C">
        <w:rPr>
          <w:rFonts w:ascii="Palatino Linotype" w:eastAsia="Palatino Linotype" w:hAnsi="Palatino Linotype" w:cs="Palatino Linotype"/>
        </w:rPr>
        <w:lastRenderedPageBreak/>
        <w:t xml:space="preserve">Transparencia y Acceso a la Información Pública del Estado de México y Municipios se turna a la </w:t>
      </w:r>
      <w:r w:rsidRPr="00DC7E0C">
        <w:rPr>
          <w:rFonts w:ascii="Palatino Linotype" w:eastAsia="Palatino Linotype" w:hAnsi="Palatino Linotype" w:cs="Palatino Linotype"/>
          <w:b/>
          <w:bCs/>
        </w:rPr>
        <w:t>Comisionada María del Rosario Mejía Ayala,</w:t>
      </w:r>
      <w:r w:rsidRPr="00DC7E0C">
        <w:rPr>
          <w:rFonts w:ascii="Palatino Linotype" w:eastAsia="Palatino Linotype" w:hAnsi="Palatino Linotype" w:cs="Palatino Linotype"/>
        </w:rPr>
        <w:t xml:space="preserve"> para su análisis.</w:t>
      </w:r>
    </w:p>
    <w:p w:rsidR="00614C7F" w:rsidRPr="00DC7E0C" w:rsidRDefault="00614C7F">
      <w:pPr>
        <w:spacing w:line="360" w:lineRule="auto"/>
        <w:jc w:val="both"/>
        <w:rPr>
          <w:rFonts w:ascii="Palatino Linotype" w:eastAsia="Palatino Linotype" w:hAnsi="Palatino Linotype" w:cs="Palatino Linotype"/>
          <w:color w:val="000000"/>
        </w:rPr>
      </w:pPr>
    </w:p>
    <w:p w:rsidR="00614C7F" w:rsidRPr="00DC7E0C" w:rsidRDefault="00DC7E0C">
      <w:pPr>
        <w:numPr>
          <w:ilvl w:val="0"/>
          <w:numId w:val="3"/>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 Comisionada p</w:t>
      </w:r>
      <w:r w:rsidR="002D3248" w:rsidRPr="00DC7E0C">
        <w:rPr>
          <w:rFonts w:ascii="Palatino Linotype" w:eastAsia="Palatino Linotype" w:hAnsi="Palatino Linotype" w:cs="Palatino Linotype"/>
        </w:rPr>
        <w:t xml:space="preserve">onente con fundamento en lo dispuesto por el artículo 185 fracción II de la ley de la materia, a través del acuerdo de admisión del </w:t>
      </w:r>
      <w:r w:rsidR="002D3248" w:rsidRPr="00DC7E0C">
        <w:rPr>
          <w:rFonts w:ascii="Palatino Linotype" w:eastAsia="Palatino Linotype" w:hAnsi="Palatino Linotype" w:cs="Palatino Linotype"/>
          <w:b/>
          <w:bCs/>
        </w:rPr>
        <w:t>dieciocho de septiembre de dos mil veinticinco</w:t>
      </w:r>
      <w:r w:rsidR="002D3248" w:rsidRPr="00DC7E0C">
        <w:rPr>
          <w:rFonts w:ascii="Palatino Linotype" w:eastAsia="Palatino Linotype" w:hAnsi="Palatino Linotype" w:cs="Palatino Linotype"/>
        </w:rPr>
        <w:t xml:space="preserve">, puso a disposición de las partes el expediente electrónico vía Sistema de Acceso a la Información Mexiquense </w:t>
      </w:r>
      <w:r w:rsidR="002D3248" w:rsidRPr="00DC7E0C">
        <w:rPr>
          <w:rFonts w:ascii="Palatino Linotype" w:eastAsia="Palatino Linotype" w:hAnsi="Palatino Linotype" w:cs="Palatino Linotype"/>
          <w:b/>
          <w:bCs/>
        </w:rPr>
        <w:t xml:space="preserve">(SAIMEX) </w:t>
      </w:r>
      <w:r w:rsidR="002D3248" w:rsidRPr="00DC7E0C">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2D3248" w:rsidRPr="00DC7E0C">
        <w:rPr>
          <w:rFonts w:ascii="Palatino Linotype" w:eastAsia="Palatino Linotype" w:hAnsi="Palatino Linotype" w:cs="Palatino Linotype"/>
          <w:b/>
          <w:bCs/>
        </w:rPr>
        <w:t>SUJETO OBLIGADO</w:t>
      </w:r>
      <w:r w:rsidR="002D3248" w:rsidRPr="00DC7E0C">
        <w:rPr>
          <w:rFonts w:ascii="Palatino Linotype" w:eastAsia="Palatino Linotype" w:hAnsi="Palatino Linotype" w:cs="Palatino Linotype"/>
        </w:rPr>
        <w:t xml:space="preserve"> presentará el Informe Justificado procedente.  </w:t>
      </w:r>
    </w:p>
    <w:p w:rsidR="00614C7F" w:rsidRPr="00DC7E0C" w:rsidRDefault="00614C7F">
      <w:pPr>
        <w:spacing w:line="360" w:lineRule="auto"/>
        <w:jc w:val="both"/>
        <w:rPr>
          <w:rFonts w:ascii="Palatino Linotype" w:eastAsia="Palatino Linotype" w:hAnsi="Palatino Linotype" w:cs="Palatino Linotype"/>
          <w:b/>
          <w:bCs/>
        </w:rPr>
      </w:pPr>
      <w:bookmarkStart w:id="4" w:name="_heading=h.1fob9te" w:colFirst="0" w:colLast="0"/>
      <w:bookmarkEnd w:id="4"/>
    </w:p>
    <w:p w:rsidR="00614C7F" w:rsidRPr="00DC7E0C" w:rsidRDefault="002D3248">
      <w:pPr>
        <w:numPr>
          <w:ilvl w:val="0"/>
          <w:numId w:val="3"/>
        </w:numPr>
        <w:spacing w:line="360" w:lineRule="auto"/>
        <w:ind w:left="0" w:firstLine="0"/>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rPr>
        <w:t xml:space="preserve">De las constancias del expediente, se advierte que el </w:t>
      </w:r>
      <w:r w:rsidRPr="00DC7E0C">
        <w:rPr>
          <w:rFonts w:ascii="Palatino Linotype" w:eastAsia="Palatino Linotype" w:hAnsi="Palatino Linotype" w:cs="Palatino Linotype"/>
          <w:b/>
          <w:bCs/>
        </w:rPr>
        <w:t>RECURRENTE</w:t>
      </w:r>
      <w:r w:rsidRPr="00DC7E0C">
        <w:rPr>
          <w:rFonts w:ascii="Palatino Linotype" w:eastAsia="Palatino Linotype" w:hAnsi="Palatino Linotype" w:cs="Palatino Linotype"/>
        </w:rPr>
        <w:t xml:space="preserve"> no realizó manifestaciones que a su derecho convinieran, por su parte, el </w:t>
      </w:r>
      <w:r w:rsidRPr="00DC7E0C">
        <w:rPr>
          <w:rFonts w:ascii="Palatino Linotype" w:eastAsia="Palatino Linotype" w:hAnsi="Palatino Linotype" w:cs="Palatino Linotype"/>
          <w:b/>
          <w:bCs/>
        </w:rPr>
        <w:t>SUJETO OBLIGADO</w:t>
      </w:r>
      <w:r w:rsidRPr="00DC7E0C">
        <w:rPr>
          <w:rFonts w:ascii="Palatino Linotype" w:eastAsia="Palatino Linotype" w:hAnsi="Palatino Linotype" w:cs="Palatino Linotype"/>
        </w:rPr>
        <w:t xml:space="preserve"> entregó informe justificado el diez de julio de dos mil veinticinco, el cual fue puesto a la vista del particular el </w:t>
      </w:r>
      <w:r w:rsidRPr="00DC7E0C">
        <w:rPr>
          <w:rFonts w:ascii="Palatino Linotype" w:eastAsia="Palatino Linotype" w:hAnsi="Palatino Linotype" w:cs="Palatino Linotype"/>
          <w:b/>
          <w:bCs/>
        </w:rPr>
        <w:t>veintinueve de septiembre de dos mil veinticinco</w:t>
      </w:r>
      <w:r w:rsidRPr="00DC7E0C">
        <w:rPr>
          <w:rFonts w:ascii="Palatino Linotype" w:eastAsia="Palatino Linotype" w:hAnsi="Palatino Linotype" w:cs="Palatino Linotype"/>
        </w:rPr>
        <w:t>, mediante el cual ratifica su respuesta.</w:t>
      </w:r>
    </w:p>
    <w:p w:rsidR="00614C7F" w:rsidRPr="00DC7E0C" w:rsidRDefault="00614C7F">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614C7F" w:rsidRPr="00DC7E0C" w:rsidRDefault="002D3248">
      <w:pPr>
        <w:numPr>
          <w:ilvl w:val="0"/>
          <w:numId w:val="3"/>
        </w:numPr>
        <w:pBdr>
          <w:top w:val="nil"/>
          <w:left w:val="nil"/>
          <w:bottom w:val="nil"/>
          <w:right w:val="nil"/>
          <w:between w:val="nil"/>
        </w:pBdr>
        <w:tabs>
          <w:tab w:val="left" w:pos="426"/>
          <w:tab w:val="left" w:pos="567"/>
        </w:tabs>
        <w:spacing w:line="360" w:lineRule="auto"/>
        <w:ind w:left="0" w:right="-29" w:firstLine="0"/>
        <w:jc w:val="both"/>
        <w:rPr>
          <w:rFonts w:ascii="Palatino Linotype" w:eastAsia="Palatino Linotype" w:hAnsi="Palatino Linotype" w:cs="Palatino Linotype"/>
          <w:b/>
          <w:bCs/>
        </w:rPr>
      </w:pPr>
      <w:r w:rsidRPr="00DC7E0C">
        <w:rPr>
          <w:rFonts w:ascii="Palatino Linotype" w:eastAsia="Palatino Linotype" w:hAnsi="Palatino Linotype" w:cs="Palatino Linotype"/>
          <w:color w:val="000000"/>
        </w:rPr>
        <w:t xml:space="preserve">El </w:t>
      </w:r>
      <w:r w:rsidRPr="00DC7E0C">
        <w:rPr>
          <w:rFonts w:ascii="Palatino Linotype" w:eastAsia="Palatino Linotype" w:hAnsi="Palatino Linotype" w:cs="Palatino Linotype"/>
          <w:b/>
          <w:bCs/>
          <w:color w:val="000000"/>
        </w:rPr>
        <w:t>cinco de marzo de dos mil veintiséis</w:t>
      </w:r>
      <w:r w:rsidRPr="00DC7E0C">
        <w:rPr>
          <w:rFonts w:ascii="Palatino Linotype" w:eastAsia="Palatino Linotype" w:hAnsi="Palatino Linotype" w:cs="Palatino Linotype"/>
          <w:color w:val="000000"/>
        </w:rPr>
        <w:t>, se notificó el acuerdo mediante el cual se amplió el plazo para emitir resolución por un término de 15 días adicionales.</w:t>
      </w:r>
    </w:p>
    <w:p w:rsidR="00614C7F" w:rsidRPr="00DC7E0C" w:rsidRDefault="00614C7F">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14C7F" w:rsidRPr="00DC7E0C" w:rsidRDefault="00DC7E0C">
      <w:pPr>
        <w:numPr>
          <w:ilvl w:val="0"/>
          <w:numId w:val="3"/>
        </w:numPr>
        <w:spacing w:line="360" w:lineRule="auto"/>
        <w:ind w:left="0" w:firstLine="0"/>
        <w:jc w:val="both"/>
        <w:rPr>
          <w:rFonts w:ascii="Palatino Linotype" w:eastAsia="Palatino Linotype" w:hAnsi="Palatino Linotype" w:cs="Palatino Linotype"/>
          <w:b/>
          <w:bCs/>
        </w:rPr>
      </w:pPr>
      <w:r>
        <w:rPr>
          <w:rFonts w:ascii="Palatino Linotype" w:eastAsia="Palatino Linotype" w:hAnsi="Palatino Linotype" w:cs="Palatino Linotype"/>
        </w:rPr>
        <w:t>La Comisionada p</w:t>
      </w:r>
      <w:r w:rsidR="002D3248" w:rsidRPr="00DC7E0C">
        <w:rPr>
          <w:rFonts w:ascii="Palatino Linotype" w:eastAsia="Palatino Linotype" w:hAnsi="Palatino Linotype" w:cs="Palatino Linotype"/>
        </w:rPr>
        <w:t xml:space="preserve">onente decretó el cierre de instrucción mediante acuerdo del </w:t>
      </w:r>
      <w:r w:rsidR="002D3248" w:rsidRPr="00DC7E0C">
        <w:rPr>
          <w:rFonts w:ascii="Palatino Linotype" w:eastAsia="Palatino Linotype" w:hAnsi="Palatino Linotype" w:cs="Palatino Linotype"/>
          <w:b/>
          <w:bCs/>
        </w:rPr>
        <w:t>once de marzo de dos mil veintiséis</w:t>
      </w:r>
      <w:r w:rsidR="002D3248" w:rsidRPr="00DC7E0C">
        <w:rPr>
          <w:rFonts w:ascii="Palatino Linotype" w:eastAsia="Palatino Linotype" w:hAnsi="Palatino Linotype" w:cs="Palatino Linotype"/>
        </w:rPr>
        <w:t>, por lo que, ordenó turnar el expediente a resolución, misma que a continuación se pronuncia.</w:t>
      </w:r>
      <w:r>
        <w:rPr>
          <w:rFonts w:ascii="Palatino Linotype" w:eastAsia="Palatino Linotype" w:hAnsi="Palatino Linotype" w:cs="Palatino Linotype"/>
        </w:rPr>
        <w:t xml:space="preserve"> -------------------------------------------------------------------------------------</w:t>
      </w:r>
    </w:p>
    <w:p w:rsidR="00614C7F" w:rsidRPr="00DC7E0C" w:rsidRDefault="00614C7F">
      <w:pPr>
        <w:spacing w:line="360" w:lineRule="auto"/>
        <w:jc w:val="both"/>
        <w:rPr>
          <w:rFonts w:ascii="Palatino Linotype" w:eastAsia="Palatino Linotype" w:hAnsi="Palatino Linotype" w:cs="Palatino Linotype"/>
          <w:b/>
          <w:bCs/>
          <w:u w:val="single"/>
        </w:rPr>
      </w:pPr>
    </w:p>
    <w:p w:rsidR="00614C7F" w:rsidRPr="00DC7E0C" w:rsidRDefault="002D3248">
      <w:pPr>
        <w:keepNext/>
        <w:keepLines/>
        <w:spacing w:line="360" w:lineRule="auto"/>
        <w:jc w:val="center"/>
        <w:rPr>
          <w:rFonts w:ascii="Palatino Linotype" w:eastAsia="Palatino Linotype" w:hAnsi="Palatino Linotype" w:cs="Palatino Linotype"/>
        </w:rPr>
      </w:pPr>
      <w:r w:rsidRPr="00DC7E0C">
        <w:rPr>
          <w:rFonts w:ascii="Palatino Linotype" w:eastAsia="Palatino Linotype" w:hAnsi="Palatino Linotype" w:cs="Palatino Linotype"/>
          <w:b/>
          <w:bCs/>
        </w:rPr>
        <w:lastRenderedPageBreak/>
        <w:t>C</w:t>
      </w:r>
      <w:r w:rsid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b/>
          <w:bCs/>
        </w:rPr>
        <w:t>O</w:t>
      </w:r>
      <w:r w:rsid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b/>
          <w:bCs/>
        </w:rPr>
        <w:t>N</w:t>
      </w:r>
      <w:r w:rsid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b/>
          <w:bCs/>
        </w:rPr>
        <w:t>S</w:t>
      </w:r>
      <w:r w:rsid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b/>
          <w:bCs/>
        </w:rPr>
        <w:t>I</w:t>
      </w:r>
      <w:r w:rsid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b/>
          <w:bCs/>
        </w:rPr>
        <w:t>D</w:t>
      </w:r>
      <w:r w:rsid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b/>
          <w:bCs/>
        </w:rPr>
        <w:t>E</w:t>
      </w:r>
      <w:r w:rsid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b/>
          <w:bCs/>
        </w:rPr>
        <w:t>R</w:t>
      </w:r>
      <w:r w:rsid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b/>
          <w:bCs/>
        </w:rPr>
        <w:t>A</w:t>
      </w:r>
      <w:r w:rsid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b/>
          <w:bCs/>
        </w:rPr>
        <w:t>N</w:t>
      </w:r>
      <w:r w:rsid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b/>
          <w:bCs/>
        </w:rPr>
        <w:t>D</w:t>
      </w:r>
      <w:r w:rsid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b/>
          <w:bCs/>
        </w:rPr>
        <w:t>O</w:t>
      </w:r>
      <w:r w:rsid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b/>
          <w:bCs/>
        </w:rPr>
        <w:t xml:space="preserve"> </w:t>
      </w:r>
    </w:p>
    <w:p w:rsidR="00614C7F" w:rsidRPr="00DC7E0C" w:rsidRDefault="00614C7F">
      <w:pPr>
        <w:spacing w:line="360" w:lineRule="auto"/>
        <w:rPr>
          <w:rFonts w:ascii="Palatino Linotype" w:eastAsia="Palatino Linotype" w:hAnsi="Palatino Linotype" w:cs="Palatino Linotype"/>
        </w:rPr>
      </w:pPr>
    </w:p>
    <w:p w:rsidR="00614C7F" w:rsidRPr="00DC7E0C" w:rsidRDefault="002D3248">
      <w:pPr>
        <w:keepNext/>
        <w:keepLines/>
        <w:spacing w:line="360" w:lineRule="auto"/>
        <w:rPr>
          <w:rFonts w:ascii="Palatino Linotype" w:eastAsia="Palatino Linotype" w:hAnsi="Palatino Linotype" w:cs="Palatino Linotype"/>
          <w:b/>
          <w:bCs/>
        </w:rPr>
      </w:pPr>
      <w:bookmarkStart w:id="5" w:name="_heading=h.5zsciuus0ho0" w:colFirst="0" w:colLast="0"/>
      <w:bookmarkEnd w:id="5"/>
      <w:r w:rsidRPr="00DC7E0C">
        <w:rPr>
          <w:rFonts w:ascii="Palatino Linotype" w:eastAsia="Palatino Linotype" w:hAnsi="Palatino Linotype" w:cs="Palatino Linotype"/>
          <w:b/>
          <w:bCs/>
        </w:rPr>
        <w:t>PRIMERO. De la competencia</w:t>
      </w:r>
    </w:p>
    <w:p w:rsidR="00614C7F" w:rsidRPr="00DC7E0C" w:rsidRDefault="002D324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DC7E0C">
        <w:rPr>
          <w:rFonts w:ascii="Palatino Linotype" w:eastAsia="Palatino Linotype" w:hAnsi="Palatino Linotype" w:cs="Palatino Linotype"/>
          <w:b/>
          <w:bCs/>
          <w:color w:val="000000"/>
        </w:rPr>
        <w:t>Constitución Política de los Estados Unidos Mexicanos</w:t>
      </w:r>
      <w:r w:rsidRPr="00DC7E0C">
        <w:rPr>
          <w:rFonts w:ascii="Palatino Linotype" w:eastAsia="Palatino Linotype" w:hAnsi="Palatino Linotype" w:cs="Palatino Linotype"/>
          <w:color w:val="000000"/>
        </w:rPr>
        <w:t>; 5, párrafos trigésimo segundo, trigésimo tercero y trigésimo cuarto fracciones IV y V de la </w:t>
      </w:r>
      <w:r w:rsidRPr="00DC7E0C">
        <w:rPr>
          <w:rFonts w:ascii="Palatino Linotype" w:eastAsia="Palatino Linotype" w:hAnsi="Palatino Linotype" w:cs="Palatino Linotype"/>
          <w:b/>
          <w:bCs/>
          <w:color w:val="000000"/>
        </w:rPr>
        <w:t>Constitución Política del Estado Libre y Soberano de México</w:t>
      </w:r>
      <w:r w:rsidRPr="00DC7E0C">
        <w:rPr>
          <w:rFonts w:ascii="Palatino Linotype" w:eastAsia="Palatino Linotype" w:hAnsi="Palatino Linotype" w:cs="Palatino Linotype"/>
          <w:color w:val="000000"/>
        </w:rPr>
        <w:t>; artículos 1, 2 fracción II, 13, 29, 36 fracciones I y II, 176, 178, 179, 181 párrafo tercero y 185 de la </w:t>
      </w:r>
      <w:r w:rsidRPr="00DC7E0C">
        <w:rPr>
          <w:rFonts w:ascii="Palatino Linotype" w:eastAsia="Palatino Linotype" w:hAnsi="Palatino Linotype" w:cs="Palatino Linotype"/>
          <w:b/>
          <w:bCs/>
          <w:color w:val="000000"/>
        </w:rPr>
        <w:t>Ley de Transparencia y Acceso a la Información Pública del Estado de México y Municipios</w:t>
      </w:r>
      <w:r w:rsidRPr="00DC7E0C">
        <w:rPr>
          <w:rFonts w:ascii="Palatino Linotype" w:eastAsia="Palatino Linotype" w:hAnsi="Palatino Linotype" w:cs="Palatino Linotype"/>
          <w:color w:val="000000"/>
        </w:rPr>
        <w:t>; y 7, 9 fracciones I y XXIII, y 11 del </w:t>
      </w:r>
      <w:r w:rsidRPr="00DC7E0C">
        <w:rPr>
          <w:rFonts w:ascii="Palatino Linotype" w:eastAsia="Palatino Linotype" w:hAnsi="Palatino Linotype" w:cs="Palatino Linotype"/>
          <w:b/>
          <w:bCs/>
          <w:color w:val="000000"/>
        </w:rPr>
        <w:t>Reglamento Interior del Instituto de Transparencia, Acceso a la Información Pública y Protección de Datos Personales del Estado de México y Municipios</w:t>
      </w:r>
      <w:r w:rsidRPr="00DC7E0C">
        <w:rPr>
          <w:rFonts w:ascii="Palatino Linotype" w:eastAsia="Palatino Linotype" w:hAnsi="Palatino Linotype" w:cs="Palatino Linotype"/>
          <w:color w:val="000000"/>
        </w:rPr>
        <w:t>.</w:t>
      </w:r>
    </w:p>
    <w:p w:rsidR="00614C7F" w:rsidRPr="00DC7E0C" w:rsidRDefault="00614C7F">
      <w:pPr>
        <w:spacing w:line="360" w:lineRule="auto"/>
        <w:jc w:val="both"/>
        <w:rPr>
          <w:rFonts w:ascii="Palatino Linotype" w:eastAsia="Palatino Linotype" w:hAnsi="Palatino Linotype" w:cs="Palatino Linotype"/>
        </w:rPr>
      </w:pPr>
    </w:p>
    <w:p w:rsidR="00614C7F" w:rsidRPr="00DC7E0C" w:rsidRDefault="002D3248">
      <w:pPr>
        <w:keepNext/>
        <w:keepLines/>
        <w:spacing w:line="360" w:lineRule="auto"/>
        <w:rPr>
          <w:rFonts w:ascii="Palatino Linotype" w:eastAsia="Palatino Linotype" w:hAnsi="Palatino Linotype" w:cs="Palatino Linotype"/>
          <w:b/>
          <w:bCs/>
        </w:rPr>
      </w:pPr>
      <w:bookmarkStart w:id="6" w:name="_heading=h.dyeaovbbbnin" w:colFirst="0" w:colLast="0"/>
      <w:bookmarkEnd w:id="6"/>
      <w:r w:rsidRPr="00DC7E0C">
        <w:rPr>
          <w:rFonts w:ascii="Palatino Linotype" w:eastAsia="Palatino Linotype" w:hAnsi="Palatino Linotype" w:cs="Palatino Linotype"/>
          <w:b/>
          <w:bCs/>
        </w:rPr>
        <w:t>SEGUNDO. De la oportunidad y procedencia.</w:t>
      </w:r>
    </w:p>
    <w:p w:rsidR="00614C7F" w:rsidRPr="00DC7E0C" w:rsidRDefault="002D3248">
      <w:pPr>
        <w:numPr>
          <w:ilvl w:val="0"/>
          <w:numId w:val="3"/>
        </w:numPr>
        <w:spacing w:line="360" w:lineRule="auto"/>
        <w:ind w:left="0" w:right="49" w:firstLine="0"/>
        <w:jc w:val="both"/>
        <w:rPr>
          <w:rFonts w:ascii="Palatino Linotype" w:eastAsia="Palatino Linotype" w:hAnsi="Palatino Linotype" w:cs="Palatino Linotype"/>
        </w:rPr>
      </w:pPr>
      <w:r w:rsidRPr="00DC7E0C">
        <w:rPr>
          <w:rFonts w:ascii="Palatino Linotype" w:eastAsia="Palatino Linotype" w:hAnsi="Palatino Linotype" w:cs="Palatino Linotype"/>
        </w:rPr>
        <w:t xml:space="preserve">El medio de impugnación fue presentado a través del </w:t>
      </w:r>
      <w:r w:rsidRPr="00DC7E0C">
        <w:rPr>
          <w:rFonts w:ascii="Palatino Linotype" w:eastAsia="Palatino Linotype" w:hAnsi="Palatino Linotype" w:cs="Palatino Linotype"/>
          <w:b/>
          <w:bCs/>
        </w:rPr>
        <w:t>SAIMEX,</w:t>
      </w:r>
      <w:r w:rsidRPr="00DC7E0C">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DC7E0C">
        <w:rPr>
          <w:rFonts w:ascii="Palatino Linotype" w:eastAsia="Palatino Linotype" w:hAnsi="Palatino Linotype" w:cs="Palatino Linotype"/>
          <w:b/>
          <w:bCs/>
        </w:rPr>
        <w:t>SUJETO OBLIGADO</w:t>
      </w:r>
      <w:r w:rsidRPr="00DC7E0C">
        <w:rPr>
          <w:rFonts w:ascii="Palatino Linotype" w:eastAsia="Palatino Linotype" w:hAnsi="Palatino Linotype" w:cs="Palatino Linotype"/>
        </w:rPr>
        <w:t xml:space="preserve"> entregó respuesta a la solicitud </w:t>
      </w:r>
      <w:r w:rsidRPr="00DC7E0C">
        <w:rPr>
          <w:rFonts w:ascii="Palatino Linotype" w:eastAsia="Palatino Linotype" w:hAnsi="Palatino Linotype" w:cs="Palatino Linotype"/>
          <w:b/>
          <w:bCs/>
        </w:rPr>
        <w:t>el nueve de septiembre de dos mil veinticinco,</w:t>
      </w:r>
      <w:r w:rsidRPr="00DC7E0C">
        <w:rPr>
          <w:rFonts w:ascii="Palatino Linotype" w:eastAsia="Palatino Linotype" w:hAnsi="Palatino Linotype" w:cs="Palatino Linotype"/>
        </w:rPr>
        <w:t xml:space="preserve"> de tal forma que el plazo para interponer el recurso de revisión transcurrió del </w:t>
      </w:r>
      <w:r w:rsidRPr="00DC7E0C">
        <w:rPr>
          <w:rFonts w:ascii="Palatino Linotype" w:eastAsia="Palatino Linotype" w:hAnsi="Palatino Linotype" w:cs="Palatino Linotype"/>
          <w:b/>
          <w:bCs/>
        </w:rPr>
        <w:t>diez de septiembre al uno de octubre de dos mil veinticinco</w:t>
      </w:r>
      <w:r w:rsidRPr="00DC7E0C">
        <w:rPr>
          <w:rFonts w:ascii="Palatino Linotype" w:eastAsia="Palatino Linotype" w:hAnsi="Palatino Linotype" w:cs="Palatino Linotype"/>
        </w:rPr>
        <w:t xml:space="preserve">; en consecuencia, presentó su inconformidad el </w:t>
      </w:r>
      <w:r w:rsidRPr="00DC7E0C">
        <w:rPr>
          <w:rFonts w:ascii="Palatino Linotype" w:eastAsia="Palatino Linotype" w:hAnsi="Palatino Linotype" w:cs="Palatino Linotype"/>
          <w:b/>
          <w:bCs/>
        </w:rPr>
        <w:t>diez de septiembre de dos mil veinticinco</w:t>
      </w:r>
      <w:r w:rsidRPr="00DC7E0C">
        <w:rPr>
          <w:rFonts w:ascii="Palatino Linotype" w:eastAsia="Palatino Linotype" w:hAnsi="Palatino Linotype" w:cs="Palatino Linotype"/>
        </w:rPr>
        <w:t xml:space="preserve">, por lo que se encuentra dentro de los márgenes temporales previstos en el artículo 178 de la </w:t>
      </w:r>
      <w:r w:rsidRPr="00DC7E0C">
        <w:rPr>
          <w:rFonts w:ascii="Palatino Linotype" w:eastAsia="Palatino Linotype" w:hAnsi="Palatino Linotype" w:cs="Palatino Linotype"/>
          <w:b/>
          <w:bCs/>
        </w:rPr>
        <w:t xml:space="preserve">Ley de Transparencia y Acceso a la Información Pública del Estado de México y Municipios </w:t>
      </w:r>
      <w:r w:rsidRPr="00DC7E0C">
        <w:rPr>
          <w:rFonts w:ascii="Palatino Linotype" w:eastAsia="Palatino Linotype" w:hAnsi="Palatino Linotype" w:cs="Palatino Linotype"/>
        </w:rPr>
        <w:t>vigente.</w:t>
      </w:r>
    </w:p>
    <w:p w:rsidR="00614C7F" w:rsidRPr="00DC7E0C" w:rsidRDefault="002D3248">
      <w:pPr>
        <w:numPr>
          <w:ilvl w:val="0"/>
          <w:numId w:val="3"/>
        </w:numPr>
        <w:spacing w:line="360" w:lineRule="auto"/>
        <w:ind w:left="0" w:right="49" w:firstLine="0"/>
        <w:jc w:val="both"/>
        <w:rPr>
          <w:rFonts w:ascii="Palatino Linotype" w:eastAsia="Palatino Linotype" w:hAnsi="Palatino Linotype" w:cs="Palatino Linotype"/>
        </w:rPr>
      </w:pPr>
      <w:bookmarkStart w:id="7" w:name="_heading=h.igr8l9irvzs1" w:colFirst="0" w:colLast="0"/>
      <w:bookmarkEnd w:id="7"/>
      <w:r w:rsidRPr="00DC7E0C">
        <w:rPr>
          <w:rFonts w:ascii="Palatino Linotype" w:eastAsia="Palatino Linotype" w:hAnsi="Palatino Linotype" w:cs="Palatino Linotype"/>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14C7F" w:rsidRPr="00DC7E0C" w:rsidRDefault="00614C7F">
      <w:pPr>
        <w:spacing w:line="360" w:lineRule="auto"/>
        <w:ind w:right="49"/>
        <w:jc w:val="both"/>
        <w:rPr>
          <w:rFonts w:ascii="Palatino Linotype" w:eastAsia="Palatino Linotype" w:hAnsi="Palatino Linotype" w:cs="Palatino Linotype"/>
        </w:rPr>
      </w:pPr>
    </w:p>
    <w:p w:rsidR="00614C7F" w:rsidRPr="00DC7E0C" w:rsidRDefault="002D3248">
      <w:pPr>
        <w:keepNext/>
        <w:keepLines/>
        <w:spacing w:line="360" w:lineRule="auto"/>
        <w:ind w:right="48"/>
        <w:rPr>
          <w:rFonts w:ascii="Palatino Linotype" w:eastAsia="Palatino Linotype" w:hAnsi="Palatino Linotype" w:cs="Palatino Linotype"/>
          <w:b/>
          <w:bCs/>
        </w:rPr>
      </w:pPr>
      <w:bookmarkStart w:id="8" w:name="_heading=h.xv2uvwf9kawm" w:colFirst="0" w:colLast="0"/>
      <w:bookmarkEnd w:id="8"/>
      <w:r w:rsidRPr="00DC7E0C">
        <w:rPr>
          <w:rFonts w:ascii="Palatino Linotype" w:eastAsia="Palatino Linotype" w:hAnsi="Palatino Linotype" w:cs="Palatino Linotype"/>
          <w:b/>
          <w:bCs/>
        </w:rPr>
        <w:t>TERCERO. De las causales del sobreseimiento.</w:t>
      </w:r>
    </w:p>
    <w:p w:rsidR="00614C7F" w:rsidRPr="00DC7E0C" w:rsidRDefault="002D3248">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color w:val="000000"/>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DC7E0C">
        <w:rPr>
          <w:rFonts w:ascii="Palatino Linotype" w:eastAsia="Palatino Linotype" w:hAnsi="Palatino Linotype" w:cs="Palatino Linotype"/>
          <w:b/>
          <w:bCs/>
          <w:color w:val="000000"/>
          <w:u w:val="single"/>
        </w:rPr>
        <w:t>sobreseimiento</w:t>
      </w:r>
      <w:r w:rsidRPr="00DC7E0C">
        <w:rPr>
          <w:rFonts w:ascii="Palatino Linotype" w:eastAsia="Palatino Linotype" w:hAnsi="Palatino Linotype" w:cs="Palatino Linotype"/>
          <w:color w:val="000000"/>
        </w:rPr>
        <w:t xml:space="preserve">; y, en su caso, ordenar la entrega de la información respecto a la falta de respuesta por parte del </w:t>
      </w:r>
      <w:r w:rsidRPr="00DC7E0C">
        <w:rPr>
          <w:rFonts w:ascii="Palatino Linotype" w:eastAsia="Palatino Linotype" w:hAnsi="Palatino Linotype" w:cs="Palatino Linotype"/>
          <w:b/>
          <w:bCs/>
          <w:color w:val="000000"/>
        </w:rPr>
        <w:t>SUJETO</w:t>
      </w:r>
      <w:r w:rsidRPr="00DC7E0C">
        <w:rPr>
          <w:rFonts w:ascii="Palatino Linotype" w:eastAsia="Palatino Linotype" w:hAnsi="Palatino Linotype" w:cs="Palatino Linotype"/>
          <w:color w:val="000000"/>
        </w:rPr>
        <w:t xml:space="preserve"> </w:t>
      </w:r>
      <w:r w:rsidRPr="00DC7E0C">
        <w:rPr>
          <w:rFonts w:ascii="Palatino Linotype" w:eastAsia="Palatino Linotype" w:hAnsi="Palatino Linotype" w:cs="Palatino Linotype"/>
          <w:b/>
          <w:bCs/>
          <w:color w:val="000000"/>
        </w:rPr>
        <w:t>OBLIGADO</w:t>
      </w:r>
      <w:r w:rsidRPr="00DC7E0C">
        <w:rPr>
          <w:rFonts w:ascii="Palatino Linotype" w:eastAsia="Palatino Linotype" w:hAnsi="Palatino Linotype" w:cs="Palatino Linotype"/>
          <w:color w:val="000000"/>
        </w:rPr>
        <w:t>.</w:t>
      </w:r>
    </w:p>
    <w:p w:rsidR="00614C7F" w:rsidRPr="00DC7E0C" w:rsidRDefault="00614C7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614C7F" w:rsidRPr="00DC7E0C" w:rsidRDefault="002D3248">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color w:val="000000"/>
        </w:rPr>
        <w:t xml:space="preserve">De acuerdo con el precepto legal contenido en la fracción IV del artículo 192 de la </w:t>
      </w:r>
      <w:r w:rsidRPr="00DC7E0C">
        <w:rPr>
          <w:rFonts w:ascii="Palatino Linotype" w:eastAsia="Palatino Linotype" w:hAnsi="Palatino Linotype" w:cs="Palatino Linotype"/>
          <w:b/>
          <w:bCs/>
          <w:color w:val="000000"/>
        </w:rPr>
        <w:t>Ley de Transparencia y Acceso a la Información Pública del Estado de México y Municipios</w:t>
      </w:r>
      <w:r w:rsidRPr="00DC7E0C">
        <w:rPr>
          <w:rFonts w:ascii="Palatino Linotype" w:eastAsia="Palatino Linotype" w:hAnsi="Palatino Linotype" w:cs="Palatino Linotype"/>
          <w:color w:val="000000"/>
        </w:rPr>
        <w:t>, el recurso será sobreseído, cuando una vez admitido, aparezca alguna causal de improcedencia en términos de la misma Ley.</w:t>
      </w:r>
    </w:p>
    <w:p w:rsidR="00614C7F" w:rsidRPr="00DC7E0C" w:rsidRDefault="00614C7F">
      <w:pPr>
        <w:spacing w:line="360" w:lineRule="auto"/>
        <w:ind w:right="49"/>
        <w:jc w:val="both"/>
        <w:rPr>
          <w:rFonts w:ascii="Palatino Linotype" w:eastAsia="Palatino Linotype" w:hAnsi="Palatino Linotype" w:cs="Palatino Linotype"/>
        </w:rPr>
      </w:pPr>
    </w:p>
    <w:p w:rsidR="00614C7F" w:rsidRPr="00DC7E0C" w:rsidRDefault="002D3248">
      <w:pPr>
        <w:keepNext/>
        <w:keepLines/>
        <w:numPr>
          <w:ilvl w:val="1"/>
          <w:numId w:val="3"/>
        </w:numPr>
        <w:spacing w:line="360" w:lineRule="auto"/>
        <w:ind w:left="567" w:firstLine="0"/>
        <w:rPr>
          <w:rFonts w:ascii="Palatino Linotype" w:eastAsia="Palatino Linotype" w:hAnsi="Palatino Linotype" w:cs="Palatino Linotype"/>
          <w:b/>
          <w:bCs/>
        </w:rPr>
      </w:pPr>
      <w:bookmarkStart w:id="9" w:name="_heading=h.v82hyr8gw38i" w:colFirst="0" w:colLast="0"/>
      <w:bookmarkEnd w:id="9"/>
      <w:r w:rsidRPr="00DC7E0C">
        <w:rPr>
          <w:rFonts w:ascii="Palatino Linotype" w:eastAsia="Palatino Linotype" w:hAnsi="Palatino Linotype" w:cs="Palatino Linotype"/>
          <w:b/>
          <w:bCs/>
        </w:rPr>
        <w:t xml:space="preserve"> De la solicitud de información </w:t>
      </w:r>
    </w:p>
    <w:p w:rsidR="00614C7F" w:rsidRPr="00DC7E0C" w:rsidRDefault="002D3248">
      <w:pPr>
        <w:numPr>
          <w:ilvl w:val="0"/>
          <w:numId w:val="3"/>
        </w:numPr>
        <w:spacing w:line="360" w:lineRule="auto"/>
        <w:ind w:left="0" w:right="49" w:firstLine="0"/>
        <w:jc w:val="both"/>
        <w:rPr>
          <w:rFonts w:ascii="Palatino Linotype" w:eastAsia="Palatino Linotype" w:hAnsi="Palatino Linotype" w:cs="Palatino Linotype"/>
          <w:b/>
          <w:bCs/>
          <w:i/>
          <w:iCs/>
        </w:rPr>
      </w:pPr>
      <w:r w:rsidRPr="00DC7E0C">
        <w:rPr>
          <w:rFonts w:ascii="Palatino Linotype" w:eastAsia="Palatino Linotype" w:hAnsi="Palatino Linotype" w:cs="Palatino Linotype"/>
          <w:color w:val="000000"/>
        </w:rPr>
        <w:t xml:space="preserve">Como ya se ha señalado, el </w:t>
      </w:r>
      <w:r w:rsidRPr="00DC7E0C">
        <w:rPr>
          <w:rFonts w:ascii="Palatino Linotype" w:eastAsia="Palatino Linotype" w:hAnsi="Palatino Linotype" w:cs="Palatino Linotype"/>
          <w:b/>
          <w:bCs/>
          <w:color w:val="000000"/>
        </w:rPr>
        <w:t xml:space="preserve">RECURRENTE </w:t>
      </w:r>
      <w:r w:rsidRPr="00DC7E0C">
        <w:rPr>
          <w:rFonts w:ascii="Palatino Linotype" w:eastAsia="Palatino Linotype" w:hAnsi="Palatino Linotype" w:cs="Palatino Linotype"/>
          <w:color w:val="000000"/>
        </w:rPr>
        <w:t xml:space="preserve">solicitó </w:t>
      </w:r>
      <w:r w:rsidRPr="00DC7E0C">
        <w:rPr>
          <w:rFonts w:ascii="Palatino Linotype" w:eastAsia="Palatino Linotype" w:hAnsi="Palatino Linotype" w:cs="Palatino Linotype"/>
          <w:b/>
          <w:bCs/>
          <w:color w:val="000000"/>
        </w:rPr>
        <w:t xml:space="preserve">los documentos generados por la Unidad Jurídica de la Dirección General de Cultura Física y Deporte de la Secretaría de Educación, Ciencia, Tecnología e Innovación, en el que consten los criterios emitidos en ejercicio de la función de participar como apoderado legal ante diversas instancias durante los últimos dos años, listado de las fechas de emisión de los criterios jurídicos, en su caso </w:t>
      </w:r>
      <w:r w:rsidRPr="00DC7E0C">
        <w:rPr>
          <w:rFonts w:ascii="Palatino Linotype" w:eastAsia="Palatino Linotype" w:hAnsi="Palatino Linotype" w:cs="Palatino Linotype"/>
          <w:b/>
          <w:bCs/>
          <w:color w:val="000000"/>
        </w:rPr>
        <w:lastRenderedPageBreak/>
        <w:t>copia de los acuerdos, oficios, resoluciones, opiniones o documentos que den cuenta del criterio jurídico.</w:t>
      </w:r>
    </w:p>
    <w:p w:rsidR="00614C7F" w:rsidRPr="00DC7E0C" w:rsidRDefault="00614C7F">
      <w:pPr>
        <w:spacing w:line="360" w:lineRule="auto"/>
        <w:ind w:right="49"/>
        <w:jc w:val="both"/>
        <w:rPr>
          <w:rFonts w:ascii="Palatino Linotype" w:eastAsia="Palatino Linotype" w:hAnsi="Palatino Linotype" w:cs="Palatino Linotype"/>
          <w:b/>
          <w:bCs/>
          <w:i/>
          <w:iCs/>
        </w:rPr>
      </w:pPr>
    </w:p>
    <w:p w:rsidR="00614C7F" w:rsidRPr="00DC7E0C" w:rsidRDefault="002D3248">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color w:val="000000"/>
        </w:rPr>
        <w:t xml:space="preserve">En respuesta, el </w:t>
      </w:r>
      <w:r w:rsidRPr="00DC7E0C">
        <w:rPr>
          <w:rFonts w:ascii="Palatino Linotype" w:eastAsia="Palatino Linotype" w:hAnsi="Palatino Linotype" w:cs="Palatino Linotype"/>
          <w:b/>
          <w:bCs/>
          <w:color w:val="000000"/>
        </w:rPr>
        <w:t>SUJETO OBLIGADO</w:t>
      </w:r>
      <w:r w:rsidRPr="00DC7E0C">
        <w:rPr>
          <w:rFonts w:ascii="Palatino Linotype" w:eastAsia="Palatino Linotype" w:hAnsi="Palatino Linotype" w:cs="Palatino Linotype"/>
          <w:color w:val="000000"/>
        </w:rPr>
        <w:t xml:space="preserve"> brindo contestación en términos del numeral tres de la presente resolución.</w:t>
      </w:r>
    </w:p>
    <w:p w:rsidR="00614C7F" w:rsidRPr="00DC7E0C" w:rsidRDefault="00614C7F">
      <w:pPr>
        <w:spacing w:line="360" w:lineRule="auto"/>
        <w:ind w:right="49"/>
        <w:jc w:val="both"/>
        <w:rPr>
          <w:rFonts w:ascii="Palatino Linotype" w:eastAsia="Palatino Linotype" w:hAnsi="Palatino Linotype" w:cs="Palatino Linotype"/>
          <w:b/>
          <w:bCs/>
          <w:i/>
          <w:iCs/>
          <w:color w:val="000000"/>
        </w:rPr>
      </w:pPr>
    </w:p>
    <w:p w:rsidR="00614C7F" w:rsidRPr="00DC7E0C" w:rsidRDefault="002D3248">
      <w:pPr>
        <w:numPr>
          <w:ilvl w:val="0"/>
          <w:numId w:val="3"/>
        </w:numPr>
        <w:spacing w:line="360" w:lineRule="auto"/>
        <w:ind w:left="0" w:right="49" w:firstLine="0"/>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color w:val="000000"/>
        </w:rPr>
        <w:t xml:space="preserve">No obstante, el </w:t>
      </w:r>
      <w:r w:rsidRPr="00DC7E0C">
        <w:rPr>
          <w:rFonts w:ascii="Palatino Linotype" w:eastAsia="Palatino Linotype" w:hAnsi="Palatino Linotype" w:cs="Palatino Linotype"/>
          <w:b/>
          <w:bCs/>
          <w:color w:val="000000"/>
        </w:rPr>
        <w:t>RECURRENTE</w:t>
      </w:r>
      <w:r w:rsidRPr="00DC7E0C">
        <w:rPr>
          <w:rFonts w:ascii="Palatino Linotype" w:eastAsia="Palatino Linotype" w:hAnsi="Palatino Linotype" w:cs="Palatino Linotype"/>
          <w:color w:val="000000"/>
        </w:rPr>
        <w:t xml:space="preserve"> por medio del recurso de revisión, manifestó como razones o motivos de inconformidad: </w:t>
      </w:r>
      <w:r w:rsidRPr="00DC7E0C">
        <w:rPr>
          <w:rFonts w:ascii="Palatino Linotype" w:eastAsia="Palatino Linotype" w:hAnsi="Palatino Linotype" w:cs="Palatino Linotype"/>
          <w:i/>
          <w:iCs/>
        </w:rPr>
        <w:t xml:space="preserve">“ MOTIVOS DE LA INCONFORMIDAD Atención masiva e incompleta de solicitudes: La autoridad respondió a más de treinta solicitudes mediante un único informe parcial, sin atender de manera específica y detallada cada solicitud. Esta práctica constituye una evasión deliberada de la obligación legal de transparencia, limitando el acceso a información verificable y completa. Negativa indebida de información histórica: El argumento de “tiempo limitado en el cargo” no constituye justificación legal para negar información existente en archivos administrativos. La autoridad no puede restringir el derecho ciudadano de acceso a información basándose en limitaciones internas o temporales del funcionario. Falta de criterio técnico y jurídico del Mtro. José Manuel Sotomayor Landecho: Resulta preocupante que el informe remitido y la interpretación de la ley se sustenten en criterios del Mtro. José Manuel Sotomayor Landecho, encargado del despacho del Instituto del Deporte del Estado de México, quien carece de criterio técnico y jurídico adecuado para interpretar la Ley de Transparencia y Acceso a la Información Pública, evidenciando un manejo restrictivo y confuso de los derechos de los solicitantes. Falta de fundamentación y motivación específica: La respuesta general carece de análisis individualizado sobre cada solicitud, lo que impide verificar si la información existe, fue omitida o se encuentra incompleta. Esto representa una deficiencia grave en la fundamentación, contraria a la Ley de Transparencia y a los principios de legalidad y máxima publicidad. Riesgo de opacidad y dilación indebida: La modalidad de atender múltiples </w:t>
      </w:r>
      <w:r w:rsidRPr="00DC7E0C">
        <w:rPr>
          <w:rFonts w:ascii="Palatino Linotype" w:eastAsia="Palatino Linotype" w:hAnsi="Palatino Linotype" w:cs="Palatino Linotype"/>
          <w:i/>
          <w:iCs/>
        </w:rPr>
        <w:lastRenderedPageBreak/>
        <w:t xml:space="preserve">solicitudes de manera masiva y parcial genera un riesgo claro de opacidad, evasión y dilación, afectando la confianza ciudadana en la gestión pública y comprometiendo el cumplimiento de la ley de transparencia y protección de datos. III. PETICIÓN En virtud de lo anterior, se solicita a esta Unidad de Transparencia: Declarar procedente la presente inconformidad. Ordenar al sujeto obligado proporcionar respuestas individualizadas, completas y verificables a cada una de las solicitudes presentadas, incluyendo información histórica previa a la gestión actual del titular de la Unidad Jurídica, conforme a lo solicitado en cada folio. Aclarar y fundar de manera clara cualquier restricción en el acceso a información pública, evitando interpretaciones sesgadas o incorrectas de la ley por parte del Mtro. José Manuel Sotomayor Landecho. Señalar las medidas que la autoridad adoptará para garantizar que no se repita la práctica de atender solicitudes masivas de manera parcial, asegurando el respeto al derecho de acceso a la información y la protección de datos sensibles. </w:t>
      </w:r>
      <w:r w:rsidRPr="00DC7E0C">
        <w:rPr>
          <w:rFonts w:ascii="Palatino Linotype" w:eastAsia="Palatino Linotype" w:hAnsi="Palatino Linotype" w:cs="Palatino Linotype"/>
          <w:b/>
          <w:bCs/>
          <w:i/>
          <w:iCs/>
        </w:rPr>
        <w:t>(Sic)</w:t>
      </w:r>
    </w:p>
    <w:p w:rsidR="00614C7F" w:rsidRPr="00DC7E0C" w:rsidRDefault="00614C7F">
      <w:pPr>
        <w:rPr>
          <w:rFonts w:ascii="Palatino Linotype" w:eastAsia="Palatino Linotype" w:hAnsi="Palatino Linotype" w:cs="Palatino Linotype"/>
          <w:color w:val="000000"/>
        </w:rPr>
      </w:pPr>
    </w:p>
    <w:p w:rsidR="00614C7F" w:rsidRPr="00DC7E0C" w:rsidRDefault="002D3248">
      <w:pPr>
        <w:numPr>
          <w:ilvl w:val="0"/>
          <w:numId w:val="3"/>
        </w:numPr>
        <w:spacing w:line="360" w:lineRule="auto"/>
        <w:ind w:left="0" w:right="49" w:firstLine="0"/>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color w:val="000000"/>
        </w:rPr>
        <w:t xml:space="preserve">En atención a lo anterior, se advierte que la inconformidad </w:t>
      </w:r>
      <w:r w:rsidRPr="00DC7E0C">
        <w:rPr>
          <w:rFonts w:ascii="Palatino Linotype" w:eastAsia="Palatino Linotype" w:hAnsi="Palatino Linotype" w:cs="Palatino Linotype"/>
        </w:rPr>
        <w:t xml:space="preserve">no guarda relación con la información requerida y entregada en respuesta por el sujeto obligado, al respecto, sirve </w:t>
      </w:r>
      <w:r w:rsidRPr="00DC7E0C">
        <w:rPr>
          <w:rFonts w:ascii="Palatino Linotype" w:eastAsia="Palatino Linotype" w:hAnsi="Palatino Linotype" w:cs="Palatino Linotype"/>
          <w:color w:val="000000"/>
        </w:rPr>
        <w:t>de sustento la Jurisprudencia No. 29 visible a foja 19 del Apéndice al Semanario Judicial de la Federación 1917-1995, Torno VI, Materia Común, Primera Parte, Tesis de la Suprema Corte de Justicia, que contiene:</w:t>
      </w:r>
    </w:p>
    <w:p w:rsidR="00614C7F" w:rsidRPr="00DC7E0C" w:rsidRDefault="002D3248">
      <w:pPr>
        <w:shd w:val="clear" w:color="auto" w:fill="FFFFFF"/>
        <w:ind w:left="567" w:right="900"/>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b/>
          <w:bCs/>
          <w:i/>
          <w:iCs/>
          <w:color w:val="000000"/>
        </w:rPr>
        <w:t>AGRAVIOS EN LA REVISION. DEBEN ESTAR EN RELACION DIRECTA CON LOS FUNDAMENTOS Y CONSIDERACIONES DE LA SENTENCIA</w:t>
      </w:r>
      <w:r w:rsidRPr="00DC7E0C">
        <w:rPr>
          <w:rFonts w:ascii="Palatino Linotype" w:eastAsia="Palatino Linotype" w:hAnsi="Palatino Linotype" w:cs="Palatino Linotype"/>
          <w:i/>
          <w:iCs/>
          <w:color w:val="000000"/>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rsidR="00614C7F" w:rsidRPr="00DC7E0C" w:rsidRDefault="00614C7F">
      <w:pPr>
        <w:spacing w:line="360" w:lineRule="auto"/>
        <w:ind w:right="49"/>
        <w:jc w:val="both"/>
        <w:rPr>
          <w:rFonts w:ascii="Palatino Linotype" w:eastAsia="Palatino Linotype" w:hAnsi="Palatino Linotype" w:cs="Palatino Linotype"/>
          <w:color w:val="000000"/>
        </w:rPr>
      </w:pPr>
    </w:p>
    <w:p w:rsidR="00614C7F" w:rsidRPr="00DC7E0C" w:rsidRDefault="002D3248">
      <w:pPr>
        <w:numPr>
          <w:ilvl w:val="0"/>
          <w:numId w:val="3"/>
        </w:numPr>
        <w:spacing w:line="360" w:lineRule="auto"/>
        <w:ind w:left="0" w:right="49" w:firstLine="0"/>
        <w:jc w:val="both"/>
        <w:rPr>
          <w:rFonts w:ascii="Palatino Linotype" w:eastAsia="Palatino Linotype" w:hAnsi="Palatino Linotype" w:cs="Palatino Linotype"/>
        </w:rPr>
      </w:pPr>
      <w:r w:rsidRPr="00DC7E0C">
        <w:rPr>
          <w:rFonts w:ascii="Palatino Linotype" w:eastAsia="Palatino Linotype" w:hAnsi="Palatino Linotype" w:cs="Palatino Linotype"/>
        </w:rPr>
        <w:lastRenderedPageBreak/>
        <w:t xml:space="preserve">Puntualizando lo anterior, es necesario precisar que, </w:t>
      </w:r>
      <w:r w:rsidRPr="00DC7E0C">
        <w:rPr>
          <w:rFonts w:ascii="Palatino Linotype" w:eastAsia="Palatino Linotype" w:hAnsi="Palatino Linotype" w:cs="Palatino Linotype"/>
          <w:b/>
          <w:bCs/>
          <w:u w:val="single"/>
        </w:rPr>
        <w:t xml:space="preserve">los motivos de inconformidad no guardan relación con la información requerida y entregada en respuesta por el </w:t>
      </w:r>
      <w:r w:rsidRPr="00DC7E0C">
        <w:rPr>
          <w:rFonts w:ascii="Palatino Linotype" w:eastAsia="Palatino Linotype" w:hAnsi="Palatino Linotype" w:cs="Palatino Linotype"/>
          <w:b/>
          <w:bCs/>
        </w:rPr>
        <w:t>SUJETO OBLIGADO</w:t>
      </w:r>
      <w:r w:rsidRPr="00DC7E0C">
        <w:rPr>
          <w:rFonts w:ascii="Palatino Linotype" w:eastAsia="Palatino Linotype" w:hAnsi="Palatino Linotype" w:cs="Palatino Linotype"/>
        </w:rPr>
        <w:t xml:space="preserve">, por lo tanto, actualiza una causal de improcedencia como se determina en los siguientes párrafos. </w:t>
      </w:r>
    </w:p>
    <w:p w:rsidR="00614C7F" w:rsidRPr="00DC7E0C" w:rsidRDefault="00614C7F">
      <w:pPr>
        <w:spacing w:line="360" w:lineRule="auto"/>
        <w:ind w:right="49"/>
        <w:jc w:val="both"/>
        <w:rPr>
          <w:rFonts w:ascii="Palatino Linotype" w:eastAsia="Palatino Linotype" w:hAnsi="Palatino Linotype" w:cs="Palatino Linotype"/>
        </w:rPr>
      </w:pPr>
    </w:p>
    <w:p w:rsidR="00614C7F" w:rsidRPr="00DC7E0C" w:rsidRDefault="002D3248">
      <w:pPr>
        <w:numPr>
          <w:ilvl w:val="0"/>
          <w:numId w:val="3"/>
        </w:numPr>
        <w:spacing w:line="360" w:lineRule="auto"/>
        <w:ind w:left="0" w:right="49" w:firstLine="0"/>
        <w:jc w:val="both"/>
        <w:rPr>
          <w:rFonts w:ascii="Palatino Linotype" w:eastAsia="Palatino Linotype" w:hAnsi="Palatino Linotype" w:cs="Palatino Linotype"/>
        </w:rPr>
      </w:pPr>
      <w:r w:rsidRPr="00DC7E0C">
        <w:rPr>
          <w:rFonts w:ascii="Palatino Linotype" w:eastAsia="Palatino Linotype" w:hAnsi="Palatino Linotype" w:cs="Palatino Linotype"/>
          <w:color w:val="000000"/>
        </w:rPr>
        <w:t>Resulta necesario traer a contexto la Jurisprudencia No. 29 visible a foja 19 del Apéndice al Semanario Judicial de la Federación 1917-1995, Torno VI, Materia Común, Primera Parte, Tesis de la Suprema Corte de Justicia, que contiene:</w:t>
      </w:r>
    </w:p>
    <w:p w:rsidR="00614C7F" w:rsidRPr="00DC7E0C" w:rsidRDefault="002D3248">
      <w:pPr>
        <w:shd w:val="clear" w:color="auto" w:fill="FFFFFF"/>
        <w:spacing w:before="240" w:after="240"/>
        <w:ind w:left="567" w:right="565"/>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b/>
          <w:bCs/>
          <w:i/>
          <w:iCs/>
          <w:color w:val="000000"/>
        </w:rPr>
        <w:t>AGRAVIOS EN LA REVISION. DEBEN ESTAR EN RELACION DIRECTA CON LOS FUNDAMENTOS Y CONSIDERACIONES DE LA SENTENCIA</w:t>
      </w:r>
      <w:r w:rsidRPr="00DC7E0C">
        <w:rPr>
          <w:rFonts w:ascii="Palatino Linotype" w:eastAsia="Palatino Linotype" w:hAnsi="Palatino Linotype" w:cs="Palatino Linotype"/>
          <w:i/>
          <w:iCs/>
          <w:color w:val="000000"/>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p>
    <w:p w:rsidR="00614C7F" w:rsidRPr="00DC7E0C" w:rsidRDefault="00614C7F">
      <w:pPr>
        <w:shd w:val="clear" w:color="auto" w:fill="FFFFFF"/>
        <w:spacing w:before="240" w:after="240"/>
        <w:ind w:right="565"/>
        <w:jc w:val="both"/>
        <w:rPr>
          <w:rFonts w:ascii="Palatino Linotype" w:eastAsia="Palatino Linotype" w:hAnsi="Palatino Linotype" w:cs="Palatino Linotype"/>
          <w:i/>
          <w:iCs/>
          <w:color w:val="000000"/>
        </w:rPr>
      </w:pPr>
    </w:p>
    <w:p w:rsidR="00614C7F" w:rsidRPr="00DC7E0C" w:rsidRDefault="002D3248">
      <w:pPr>
        <w:numPr>
          <w:ilvl w:val="0"/>
          <w:numId w:val="3"/>
        </w:numPr>
        <w:spacing w:before="240" w:line="360" w:lineRule="auto"/>
        <w:ind w:left="0" w:right="-2" w:firstLine="0"/>
        <w:jc w:val="both"/>
        <w:rPr>
          <w:rFonts w:ascii="Palatino Linotype" w:eastAsia="Palatino Linotype" w:hAnsi="Palatino Linotype" w:cs="Palatino Linotype"/>
        </w:rPr>
      </w:pPr>
      <w:r w:rsidRPr="00DC7E0C">
        <w:rPr>
          <w:rFonts w:ascii="Palatino Linotype" w:eastAsia="Palatino Linotype" w:hAnsi="Palatino Linotype" w:cs="Palatino Linotype"/>
          <w:color w:val="000000"/>
        </w:rPr>
        <w:t>Señalado lo anterior, se determina que el recurso de revisión no actualiza ninguna causal de procedencia que se relacione con la solicitud o la respuesta. En consecuencia, l</w:t>
      </w:r>
      <w:r w:rsidRPr="00DC7E0C">
        <w:rPr>
          <w:rFonts w:ascii="Palatino Linotype" w:eastAsia="Palatino Linotype" w:hAnsi="Palatino Linotype" w:cs="Palatino Linotype"/>
        </w:rPr>
        <w:t>a falta de actualización de causal de procedencia trae consigo que el recurso de revisión sea desechado por improcedente, de acuerdo con el artículo 191 de la citada ley:</w:t>
      </w:r>
    </w:p>
    <w:p w:rsidR="00614C7F" w:rsidRPr="00DC7E0C" w:rsidRDefault="002D3248">
      <w:pPr>
        <w:pBdr>
          <w:top w:val="nil"/>
          <w:left w:val="nil"/>
          <w:bottom w:val="nil"/>
          <w:right w:val="nil"/>
          <w:between w:val="nil"/>
        </w:pBdr>
        <w:tabs>
          <w:tab w:val="left" w:pos="567"/>
        </w:tabs>
        <w:ind w:left="567" w:right="565"/>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b/>
          <w:bCs/>
          <w:i/>
          <w:iCs/>
          <w:color w:val="000000"/>
        </w:rPr>
        <w:t>“Artículo 191.</w:t>
      </w:r>
      <w:r w:rsidRPr="00DC7E0C">
        <w:rPr>
          <w:rFonts w:ascii="Palatino Linotype" w:eastAsia="Palatino Linotype" w:hAnsi="Palatino Linotype" w:cs="Palatino Linotype"/>
          <w:i/>
          <w:iCs/>
          <w:color w:val="000000"/>
        </w:rPr>
        <w:t xml:space="preserve"> El recurso será desechado por improcedente cuando:</w:t>
      </w:r>
    </w:p>
    <w:p w:rsidR="00614C7F" w:rsidRPr="00DC7E0C" w:rsidRDefault="00614C7F">
      <w:pPr>
        <w:pBdr>
          <w:top w:val="nil"/>
          <w:left w:val="nil"/>
          <w:bottom w:val="nil"/>
          <w:right w:val="nil"/>
          <w:between w:val="nil"/>
        </w:pBdr>
        <w:tabs>
          <w:tab w:val="left" w:pos="567"/>
        </w:tabs>
        <w:ind w:left="567" w:right="565"/>
        <w:jc w:val="both"/>
        <w:rPr>
          <w:rFonts w:ascii="Palatino Linotype" w:eastAsia="Palatino Linotype" w:hAnsi="Palatino Linotype" w:cs="Palatino Linotype"/>
          <w:i/>
          <w:iCs/>
          <w:color w:val="000000"/>
        </w:rPr>
      </w:pPr>
    </w:p>
    <w:p w:rsidR="00614C7F" w:rsidRPr="00DC7E0C" w:rsidRDefault="002D3248">
      <w:pPr>
        <w:pBdr>
          <w:top w:val="nil"/>
          <w:left w:val="nil"/>
          <w:bottom w:val="nil"/>
          <w:right w:val="nil"/>
          <w:between w:val="nil"/>
        </w:pBdr>
        <w:tabs>
          <w:tab w:val="left" w:pos="567"/>
        </w:tabs>
        <w:ind w:left="567" w:right="565"/>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i/>
          <w:iCs/>
          <w:color w:val="000000"/>
        </w:rPr>
        <w:t xml:space="preserve">I. Sea extemporáneo por haber transcurrido el plazo establecido en la presente Ley, a partir de la respuesta; </w:t>
      </w:r>
    </w:p>
    <w:p w:rsidR="00614C7F" w:rsidRPr="00DC7E0C" w:rsidRDefault="002D3248">
      <w:pPr>
        <w:pBdr>
          <w:top w:val="nil"/>
          <w:left w:val="nil"/>
          <w:bottom w:val="nil"/>
          <w:right w:val="nil"/>
          <w:between w:val="nil"/>
        </w:pBdr>
        <w:tabs>
          <w:tab w:val="left" w:pos="567"/>
        </w:tabs>
        <w:ind w:left="567" w:right="565"/>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i/>
          <w:iCs/>
          <w:color w:val="000000"/>
        </w:rPr>
        <w:t xml:space="preserve">II. Se esté tramitando ante el Poder Judicial de la Federación algún recurso o medio de defensa interpuesto por el recurrente; </w:t>
      </w:r>
    </w:p>
    <w:p w:rsidR="00614C7F" w:rsidRPr="00DC7E0C" w:rsidRDefault="002D3248">
      <w:pPr>
        <w:pBdr>
          <w:top w:val="nil"/>
          <w:left w:val="nil"/>
          <w:bottom w:val="nil"/>
          <w:right w:val="nil"/>
          <w:between w:val="nil"/>
        </w:pBdr>
        <w:tabs>
          <w:tab w:val="left" w:pos="567"/>
        </w:tabs>
        <w:ind w:left="567" w:right="565"/>
        <w:jc w:val="both"/>
        <w:rPr>
          <w:rFonts w:ascii="Palatino Linotype" w:eastAsia="Palatino Linotype" w:hAnsi="Palatino Linotype" w:cs="Palatino Linotype"/>
          <w:b/>
          <w:bCs/>
          <w:i/>
          <w:iCs/>
          <w:color w:val="000000"/>
        </w:rPr>
      </w:pPr>
      <w:r w:rsidRPr="00DC7E0C">
        <w:rPr>
          <w:rFonts w:ascii="Palatino Linotype" w:eastAsia="Palatino Linotype" w:hAnsi="Palatino Linotype" w:cs="Palatino Linotype"/>
          <w:b/>
          <w:bCs/>
          <w:i/>
          <w:iCs/>
          <w:color w:val="000000"/>
        </w:rPr>
        <w:lastRenderedPageBreak/>
        <w:t xml:space="preserve">III. No actualice alguno de los supuestos previstos en la presente Ley; </w:t>
      </w:r>
    </w:p>
    <w:p w:rsidR="00614C7F" w:rsidRPr="00DC7E0C" w:rsidRDefault="002D3248">
      <w:pPr>
        <w:pBdr>
          <w:top w:val="nil"/>
          <w:left w:val="nil"/>
          <w:bottom w:val="nil"/>
          <w:right w:val="nil"/>
          <w:between w:val="nil"/>
        </w:pBdr>
        <w:tabs>
          <w:tab w:val="left" w:pos="567"/>
        </w:tabs>
        <w:ind w:left="567" w:right="565"/>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i/>
          <w:iCs/>
          <w:color w:val="000000"/>
        </w:rPr>
        <w:t xml:space="preserve">IV. No se haya desahogado la prevención en los términos establecidos en la presente Ley; </w:t>
      </w:r>
    </w:p>
    <w:p w:rsidR="00614C7F" w:rsidRPr="00DC7E0C" w:rsidRDefault="002D3248">
      <w:pPr>
        <w:pBdr>
          <w:top w:val="nil"/>
          <w:left w:val="nil"/>
          <w:bottom w:val="nil"/>
          <w:right w:val="nil"/>
          <w:between w:val="nil"/>
        </w:pBdr>
        <w:tabs>
          <w:tab w:val="left" w:pos="567"/>
        </w:tabs>
        <w:ind w:left="567" w:right="565"/>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i/>
          <w:iCs/>
          <w:color w:val="000000"/>
        </w:rPr>
        <w:t xml:space="preserve">V. Se impugne la veracidad de la información proporcionada; </w:t>
      </w:r>
    </w:p>
    <w:p w:rsidR="00614C7F" w:rsidRPr="00DC7E0C" w:rsidRDefault="002D3248">
      <w:pPr>
        <w:pBdr>
          <w:top w:val="nil"/>
          <w:left w:val="nil"/>
          <w:bottom w:val="nil"/>
          <w:right w:val="nil"/>
          <w:between w:val="nil"/>
        </w:pBdr>
        <w:tabs>
          <w:tab w:val="left" w:pos="567"/>
        </w:tabs>
        <w:ind w:left="567" w:right="565"/>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i/>
          <w:iCs/>
          <w:color w:val="000000"/>
        </w:rPr>
        <w:t xml:space="preserve">VI. Se trate de una consulta, o trámite en específico; y </w:t>
      </w:r>
    </w:p>
    <w:p w:rsidR="00614C7F" w:rsidRPr="00DC7E0C" w:rsidRDefault="002D3248">
      <w:pPr>
        <w:pBdr>
          <w:top w:val="nil"/>
          <w:left w:val="nil"/>
          <w:bottom w:val="nil"/>
          <w:right w:val="nil"/>
          <w:between w:val="nil"/>
        </w:pBdr>
        <w:tabs>
          <w:tab w:val="left" w:pos="567"/>
        </w:tabs>
        <w:ind w:left="567" w:right="565"/>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i/>
          <w:iCs/>
          <w:color w:val="000000"/>
        </w:rPr>
        <w:t>VII. El recurrente amplíe su solicitud en el recurso de revisión, únicamente respecto de los nuevos contenidos.”</w:t>
      </w:r>
    </w:p>
    <w:p w:rsidR="00614C7F" w:rsidRPr="00DC7E0C" w:rsidRDefault="002D3248">
      <w:pPr>
        <w:numPr>
          <w:ilvl w:val="0"/>
          <w:numId w:val="3"/>
        </w:numPr>
        <w:spacing w:before="240" w:line="360" w:lineRule="auto"/>
        <w:ind w:left="0" w:right="-2" w:firstLine="0"/>
        <w:jc w:val="both"/>
        <w:rPr>
          <w:rFonts w:ascii="Palatino Linotype" w:eastAsia="Palatino Linotype" w:hAnsi="Palatino Linotype" w:cs="Palatino Linotype"/>
        </w:rPr>
      </w:pPr>
      <w:r w:rsidRPr="00DC7E0C">
        <w:rPr>
          <w:rFonts w:ascii="Palatino Linotype" w:eastAsia="Palatino Linotype" w:hAnsi="Palatino Linotype" w:cs="Palatino Linotype"/>
        </w:rPr>
        <w:t>Al no actualizar ninguna causal de procedencia, el recurso de revisión debe ser desechados por improcedentes; sin embargo, una vez admitido, procederá el sobreseimiento de acuerdo con lo que establece el artículo 192 fracción IV, de la multicitada Ley de Transparencia:</w:t>
      </w:r>
    </w:p>
    <w:p w:rsidR="00614C7F" w:rsidRPr="00DC7E0C" w:rsidRDefault="002D3248">
      <w:pPr>
        <w:pBdr>
          <w:top w:val="nil"/>
          <w:left w:val="nil"/>
          <w:bottom w:val="nil"/>
          <w:right w:val="nil"/>
          <w:between w:val="nil"/>
        </w:pBdr>
        <w:tabs>
          <w:tab w:val="left" w:pos="567"/>
        </w:tabs>
        <w:ind w:left="567" w:right="565"/>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b/>
          <w:bCs/>
          <w:i/>
          <w:iCs/>
          <w:color w:val="000000"/>
        </w:rPr>
        <w:t>“Artículo 192.</w:t>
      </w:r>
      <w:r w:rsidRPr="00DC7E0C">
        <w:rPr>
          <w:rFonts w:ascii="Palatino Linotype" w:eastAsia="Palatino Linotype" w:hAnsi="Palatino Linotype" w:cs="Palatino Linotype"/>
          <w:i/>
          <w:iCs/>
          <w:color w:val="000000"/>
        </w:rPr>
        <w:t xml:space="preserve"> El recurso será sobreseído, en todo o en parte, cuando una vez admitido, se actualicen alguno de los siguientes supuestos:</w:t>
      </w:r>
    </w:p>
    <w:p w:rsidR="00614C7F" w:rsidRPr="00DC7E0C" w:rsidRDefault="002D3248">
      <w:pPr>
        <w:pBdr>
          <w:top w:val="nil"/>
          <w:left w:val="nil"/>
          <w:bottom w:val="nil"/>
          <w:right w:val="nil"/>
          <w:between w:val="nil"/>
        </w:pBdr>
        <w:tabs>
          <w:tab w:val="left" w:pos="567"/>
        </w:tabs>
        <w:ind w:left="567" w:right="565"/>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i/>
          <w:iCs/>
          <w:color w:val="000000"/>
        </w:rPr>
        <w:t>(…)</w:t>
      </w:r>
    </w:p>
    <w:p w:rsidR="00614C7F" w:rsidRPr="00DC7E0C" w:rsidRDefault="002D3248">
      <w:pPr>
        <w:pBdr>
          <w:top w:val="nil"/>
          <w:left w:val="nil"/>
          <w:bottom w:val="nil"/>
          <w:right w:val="nil"/>
          <w:between w:val="nil"/>
        </w:pBdr>
        <w:tabs>
          <w:tab w:val="left" w:pos="567"/>
        </w:tabs>
        <w:ind w:left="567" w:right="565"/>
        <w:jc w:val="both"/>
        <w:rPr>
          <w:rFonts w:ascii="Palatino Linotype" w:eastAsia="Palatino Linotype" w:hAnsi="Palatino Linotype" w:cs="Palatino Linotype"/>
          <w:b/>
          <w:bCs/>
          <w:i/>
          <w:iCs/>
          <w:color w:val="000000"/>
        </w:rPr>
      </w:pPr>
      <w:r w:rsidRPr="00DC7E0C">
        <w:rPr>
          <w:rFonts w:ascii="Palatino Linotype" w:eastAsia="Palatino Linotype" w:hAnsi="Palatino Linotype" w:cs="Palatino Linotype"/>
          <w:b/>
          <w:bCs/>
          <w:i/>
          <w:iCs/>
          <w:color w:val="000000"/>
        </w:rPr>
        <w:t xml:space="preserve">IV. Admitido el recurso de revisión, aparezca alguna causal de improcedencia en los términos de la presente Ley; y </w:t>
      </w:r>
    </w:p>
    <w:p w:rsidR="00614C7F" w:rsidRPr="00DC7E0C" w:rsidRDefault="002D3248">
      <w:pPr>
        <w:pBdr>
          <w:top w:val="nil"/>
          <w:left w:val="nil"/>
          <w:bottom w:val="nil"/>
          <w:right w:val="nil"/>
          <w:between w:val="nil"/>
        </w:pBdr>
        <w:tabs>
          <w:tab w:val="left" w:pos="567"/>
        </w:tabs>
        <w:ind w:left="567" w:right="565"/>
        <w:jc w:val="both"/>
        <w:rPr>
          <w:rFonts w:ascii="Palatino Linotype" w:eastAsia="Palatino Linotype" w:hAnsi="Palatino Linotype" w:cs="Palatino Linotype"/>
          <w:i/>
          <w:iCs/>
          <w:color w:val="000000"/>
        </w:rPr>
      </w:pPr>
      <w:r w:rsidRPr="00DC7E0C">
        <w:rPr>
          <w:rFonts w:ascii="Palatino Linotype" w:eastAsia="Palatino Linotype" w:hAnsi="Palatino Linotype" w:cs="Palatino Linotype"/>
          <w:i/>
          <w:iCs/>
          <w:color w:val="000000"/>
        </w:rPr>
        <w:t xml:space="preserve">V. Cuando por cualquier motivo quede sin materia el recurso.” </w:t>
      </w:r>
    </w:p>
    <w:p w:rsidR="00614C7F" w:rsidRPr="00DC7E0C" w:rsidRDefault="00614C7F">
      <w:pPr>
        <w:pBdr>
          <w:top w:val="nil"/>
          <w:left w:val="nil"/>
          <w:bottom w:val="nil"/>
          <w:right w:val="nil"/>
          <w:between w:val="nil"/>
        </w:pBdr>
        <w:spacing w:line="360" w:lineRule="auto"/>
        <w:ind w:right="-2"/>
        <w:jc w:val="both"/>
        <w:rPr>
          <w:rFonts w:ascii="Palatino Linotype" w:eastAsia="Palatino Linotype" w:hAnsi="Palatino Linotype" w:cs="Palatino Linotype"/>
          <w:color w:val="000000"/>
        </w:rPr>
      </w:pPr>
    </w:p>
    <w:p w:rsidR="00614C7F" w:rsidRPr="00DC7E0C" w:rsidRDefault="002D3248">
      <w:pPr>
        <w:numPr>
          <w:ilvl w:val="0"/>
          <w:numId w:val="3"/>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color w:val="000000"/>
        </w:rPr>
        <w:t>Es así como, el recurso de revisión actualiza la causal de sobreseimiento establecida en la fracción IV del artículo 192, en relación a la fracción III del artículo 191, ambos de la Ley de Transparencia y Acceso a la Información Pública del Estado de México y Municipios.</w:t>
      </w:r>
    </w:p>
    <w:p w:rsidR="00614C7F" w:rsidRPr="00DC7E0C" w:rsidRDefault="00614C7F">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614C7F" w:rsidRPr="00DC7E0C" w:rsidRDefault="002D3248">
      <w:pPr>
        <w:numPr>
          <w:ilvl w:val="0"/>
          <w:numId w:val="3"/>
        </w:numPr>
        <w:spacing w:line="360" w:lineRule="auto"/>
        <w:ind w:left="0" w:right="-28" w:firstLine="0"/>
        <w:jc w:val="both"/>
        <w:rPr>
          <w:rFonts w:ascii="Palatino Linotype" w:eastAsia="Palatino Linotype" w:hAnsi="Palatino Linotype" w:cs="Palatino Linotype"/>
        </w:rPr>
      </w:pPr>
      <w:r w:rsidRPr="00DC7E0C">
        <w:rPr>
          <w:rFonts w:ascii="Palatino Linotype" w:eastAsia="Palatino Linotype" w:hAnsi="Palatino Linotype" w:cs="Palatino Linotype"/>
        </w:rPr>
        <w:t>No obstante, a efecto de no vulnerar los derechos del particular, este Órgano Garante deja a salvo sus derechos para que, si así lo desea, presente una nueva solicitud de acceso a la información requiriendo información que sea de su interés.</w:t>
      </w:r>
    </w:p>
    <w:p w:rsidR="00614C7F" w:rsidRPr="00DC7E0C" w:rsidRDefault="00614C7F">
      <w:pPr>
        <w:spacing w:line="360" w:lineRule="auto"/>
        <w:ind w:right="-28"/>
        <w:jc w:val="both"/>
        <w:rPr>
          <w:rFonts w:ascii="Palatino Linotype" w:eastAsia="Palatino Linotype" w:hAnsi="Palatino Linotype" w:cs="Palatino Linotype"/>
        </w:rPr>
      </w:pPr>
    </w:p>
    <w:p w:rsidR="00614C7F" w:rsidRPr="00DC7E0C" w:rsidRDefault="002D3248">
      <w:pPr>
        <w:numPr>
          <w:ilvl w:val="0"/>
          <w:numId w:val="3"/>
        </w:numPr>
        <w:spacing w:line="360" w:lineRule="auto"/>
        <w:ind w:left="0" w:right="-28" w:firstLine="0"/>
        <w:jc w:val="both"/>
        <w:rPr>
          <w:rFonts w:ascii="Palatino Linotype" w:eastAsia="Palatino Linotype" w:hAnsi="Palatino Linotype" w:cs="Palatino Linotype"/>
          <w:color w:val="000000"/>
        </w:rPr>
      </w:pPr>
      <w:bookmarkStart w:id="10" w:name="_heading=h.fur8euqg7vt8" w:colFirst="0" w:colLast="0"/>
      <w:bookmarkEnd w:id="10"/>
      <w:r w:rsidRPr="00DC7E0C">
        <w:rPr>
          <w:rFonts w:ascii="Palatino Linotype" w:eastAsia="Palatino Linotype" w:hAnsi="Palatino Linotype" w:cs="Palatino Linotype"/>
        </w:rPr>
        <w:t xml:space="preserve">Por lo anteriormente expuesto y fundado, este </w:t>
      </w:r>
      <w:r w:rsidRPr="00DC7E0C">
        <w:rPr>
          <w:rFonts w:ascii="Palatino Linotype" w:eastAsia="Palatino Linotype" w:hAnsi="Palatino Linotype" w:cs="Palatino Linotype"/>
          <w:b/>
          <w:bCs/>
        </w:rPr>
        <w:t>ÓRGANO GARANTE</w:t>
      </w:r>
      <w:r w:rsidRPr="00DC7E0C">
        <w:rPr>
          <w:rFonts w:ascii="Palatino Linotype" w:eastAsia="Palatino Linotype" w:hAnsi="Palatino Linotype" w:cs="Palatino Linotype"/>
        </w:rPr>
        <w:t xml:space="preserve"> emite los siguientes:</w:t>
      </w:r>
      <w:r w:rsidRPr="00DC7E0C">
        <w:rPr>
          <w:rFonts w:ascii="Palatino Linotype" w:eastAsia="Palatino Linotype" w:hAnsi="Palatino Linotype" w:cs="Palatino Linotype"/>
          <w:color w:val="000000"/>
        </w:rPr>
        <w:t xml:space="preserve"> </w:t>
      </w:r>
      <w:r w:rsidR="00DC7E0C">
        <w:rPr>
          <w:rFonts w:ascii="Palatino Linotype" w:eastAsia="Palatino Linotype" w:hAnsi="Palatino Linotype" w:cs="Palatino Linotype"/>
          <w:color w:val="000000"/>
        </w:rPr>
        <w:t>-------------------------------------------------------------------------------------------------------------</w:t>
      </w:r>
    </w:p>
    <w:p w:rsidR="00614C7F" w:rsidRPr="00DC7E0C" w:rsidRDefault="00614C7F">
      <w:pPr>
        <w:spacing w:line="360" w:lineRule="auto"/>
        <w:ind w:right="-28"/>
        <w:jc w:val="both"/>
        <w:rPr>
          <w:rFonts w:ascii="Palatino Linotype" w:eastAsia="Palatino Linotype" w:hAnsi="Palatino Linotype" w:cs="Palatino Linotype"/>
          <w:color w:val="000000"/>
        </w:rPr>
      </w:pPr>
    </w:p>
    <w:p w:rsidR="00614C7F" w:rsidRPr="00DC7E0C" w:rsidRDefault="002D3248">
      <w:pPr>
        <w:keepNext/>
        <w:keepLines/>
        <w:spacing w:line="360" w:lineRule="auto"/>
        <w:jc w:val="center"/>
        <w:rPr>
          <w:rFonts w:ascii="Palatino Linotype" w:eastAsia="Palatino Linotype" w:hAnsi="Palatino Linotype" w:cs="Palatino Linotype"/>
          <w:b/>
          <w:bCs/>
          <w:color w:val="000000"/>
        </w:rPr>
      </w:pPr>
      <w:r w:rsidRPr="00DC7E0C">
        <w:rPr>
          <w:rFonts w:ascii="Palatino Linotype" w:eastAsia="Palatino Linotype" w:hAnsi="Palatino Linotype" w:cs="Palatino Linotype"/>
          <w:b/>
          <w:bCs/>
          <w:color w:val="000000"/>
        </w:rPr>
        <w:lastRenderedPageBreak/>
        <w:t>R E S O L U T I V O S</w:t>
      </w:r>
    </w:p>
    <w:p w:rsidR="00614C7F" w:rsidRPr="00DC7E0C" w:rsidRDefault="00614C7F">
      <w:pPr>
        <w:keepNext/>
        <w:keepLines/>
        <w:spacing w:line="360" w:lineRule="auto"/>
        <w:rPr>
          <w:rFonts w:ascii="Palatino Linotype" w:eastAsia="Palatino Linotype" w:hAnsi="Palatino Linotype" w:cs="Palatino Linotype"/>
          <w:b/>
          <w:bCs/>
          <w:color w:val="000000"/>
        </w:rPr>
      </w:pPr>
    </w:p>
    <w:p w:rsidR="00614C7F" w:rsidRPr="00DC7E0C" w:rsidRDefault="002D3248">
      <w:pPr>
        <w:spacing w:line="360" w:lineRule="auto"/>
        <w:jc w:val="both"/>
        <w:rPr>
          <w:rFonts w:ascii="Palatino Linotype" w:eastAsia="Palatino Linotype" w:hAnsi="Palatino Linotype" w:cs="Palatino Linotype"/>
        </w:rPr>
      </w:pPr>
      <w:r w:rsidRPr="00DC7E0C">
        <w:rPr>
          <w:rFonts w:ascii="Palatino Linotype" w:eastAsia="Palatino Linotype" w:hAnsi="Palatino Linotype" w:cs="Palatino Linotype"/>
          <w:b/>
          <w:bCs/>
        </w:rPr>
        <w:t xml:space="preserve">PRIMERO. </w:t>
      </w:r>
      <w:r w:rsidRPr="00DC7E0C">
        <w:rPr>
          <w:rFonts w:ascii="Palatino Linotype" w:eastAsia="Palatino Linotype" w:hAnsi="Palatino Linotype" w:cs="Palatino Linotype"/>
        </w:rPr>
        <w:t xml:space="preserve">Se </w:t>
      </w:r>
      <w:r w:rsidRPr="00DC7E0C">
        <w:rPr>
          <w:rFonts w:ascii="Palatino Linotype" w:eastAsia="Palatino Linotype" w:hAnsi="Palatino Linotype" w:cs="Palatino Linotype"/>
          <w:b/>
          <w:bCs/>
        </w:rPr>
        <w:t xml:space="preserve">SOBRESEE </w:t>
      </w:r>
      <w:r w:rsidRPr="00DC7E0C">
        <w:rPr>
          <w:rFonts w:ascii="Palatino Linotype" w:eastAsia="Palatino Linotype" w:hAnsi="Palatino Linotype" w:cs="Palatino Linotype"/>
          <w:bCs/>
        </w:rPr>
        <w:t>el</w:t>
      </w:r>
      <w:r w:rsidRP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rPr>
        <w:t xml:space="preserve">recurso de revisión número </w:t>
      </w:r>
      <w:r w:rsidRPr="00DC7E0C">
        <w:rPr>
          <w:rFonts w:ascii="Palatino Linotype" w:eastAsia="Palatino Linotype" w:hAnsi="Palatino Linotype" w:cs="Palatino Linotype"/>
          <w:b/>
          <w:bCs/>
        </w:rPr>
        <w:t>10688/INFOEM/IP/RR/2025</w:t>
      </w:r>
      <w:r w:rsidRPr="00DC7E0C">
        <w:rPr>
          <w:rFonts w:ascii="Palatino Linotype" w:eastAsia="Palatino Linotype" w:hAnsi="Palatino Linotype" w:cs="Palatino Linotype"/>
        </w:rPr>
        <w:t xml:space="preserve">, por improcedente conforme al artículo </w:t>
      </w:r>
      <w:r w:rsidRPr="00DC7E0C">
        <w:rPr>
          <w:rFonts w:ascii="Palatino Linotype" w:eastAsia="Palatino Linotype" w:hAnsi="Palatino Linotype" w:cs="Palatino Linotype"/>
          <w:b/>
          <w:bCs/>
        </w:rPr>
        <w:t>192 fracción IV</w:t>
      </w:r>
      <w:r w:rsidRPr="00DC7E0C">
        <w:rPr>
          <w:rFonts w:ascii="Palatino Linotype" w:eastAsia="Palatino Linotype" w:hAnsi="Palatino Linotype" w:cs="Palatino Linotype"/>
        </w:rPr>
        <w:t xml:space="preserve">, de la Ley de Transparencia y Acceso a la Información Pública del Estado de México y Municipios, en términos del </w:t>
      </w:r>
      <w:r w:rsidRPr="00DC7E0C">
        <w:rPr>
          <w:rFonts w:ascii="Palatino Linotype" w:eastAsia="Palatino Linotype" w:hAnsi="Palatino Linotype" w:cs="Palatino Linotype"/>
          <w:b/>
          <w:bCs/>
        </w:rPr>
        <w:t>Considerando TERCERO</w:t>
      </w:r>
      <w:r w:rsidRPr="00DC7E0C">
        <w:rPr>
          <w:rFonts w:ascii="Palatino Linotype" w:eastAsia="Palatino Linotype" w:hAnsi="Palatino Linotype" w:cs="Palatino Linotype"/>
        </w:rPr>
        <w:t xml:space="preserve"> de la presente resolución.</w:t>
      </w:r>
    </w:p>
    <w:p w:rsidR="00614C7F" w:rsidRPr="00DC7E0C" w:rsidRDefault="00614C7F">
      <w:pPr>
        <w:spacing w:line="360" w:lineRule="auto"/>
        <w:jc w:val="both"/>
        <w:rPr>
          <w:rFonts w:ascii="Palatino Linotype" w:eastAsia="Palatino Linotype" w:hAnsi="Palatino Linotype" w:cs="Palatino Linotype"/>
        </w:rPr>
      </w:pPr>
    </w:p>
    <w:p w:rsidR="00614C7F" w:rsidRPr="00DC7E0C" w:rsidRDefault="002D3248">
      <w:pPr>
        <w:spacing w:line="360" w:lineRule="auto"/>
        <w:jc w:val="both"/>
        <w:rPr>
          <w:rFonts w:ascii="Palatino Linotype" w:eastAsia="Palatino Linotype" w:hAnsi="Palatino Linotype" w:cs="Palatino Linotype"/>
        </w:rPr>
      </w:pPr>
      <w:r w:rsidRPr="00DC7E0C">
        <w:rPr>
          <w:rFonts w:ascii="Palatino Linotype" w:eastAsia="Palatino Linotype" w:hAnsi="Palatino Linotype" w:cs="Palatino Linotype"/>
          <w:b/>
          <w:bCs/>
        </w:rPr>
        <w:t>SEGUNDO.</w:t>
      </w:r>
      <w:r w:rsidRPr="00DC7E0C">
        <w:rPr>
          <w:rFonts w:ascii="Palatino Linotype" w:eastAsia="Palatino Linotype" w:hAnsi="Palatino Linotype" w:cs="Palatino Linotype"/>
          <w:b/>
          <w:bCs/>
          <w:color w:val="2E75B5"/>
        </w:rPr>
        <w:t xml:space="preserve"> </w:t>
      </w:r>
      <w:r w:rsidR="002D547C" w:rsidRPr="00DC7E0C">
        <w:rPr>
          <w:rFonts w:ascii="Palatino Linotype" w:eastAsia="Palatino Linotype" w:hAnsi="Palatino Linotype" w:cs="Palatino Linotype"/>
          <w:b/>
          <w:bCs/>
        </w:rPr>
        <w:t>Notifíquese</w:t>
      </w:r>
      <w:r w:rsidRPr="00DC7E0C">
        <w:rPr>
          <w:rFonts w:ascii="Palatino Linotype" w:eastAsia="Palatino Linotype" w:hAnsi="Palatino Linotype" w:cs="Palatino Linotype"/>
          <w:b/>
          <w:bCs/>
        </w:rPr>
        <w:t xml:space="preserve"> </w:t>
      </w:r>
      <w:r w:rsidRPr="00DC7E0C">
        <w:rPr>
          <w:rFonts w:ascii="Palatino Linotype" w:eastAsia="Palatino Linotype" w:hAnsi="Palatino Linotype" w:cs="Palatino Linotype"/>
        </w:rPr>
        <w:t xml:space="preserve">a través del Sistema de Acceso a la Información Mexiquense </w:t>
      </w:r>
      <w:r w:rsidRPr="00DC7E0C">
        <w:rPr>
          <w:rFonts w:ascii="Palatino Linotype" w:eastAsia="Palatino Linotype" w:hAnsi="Palatino Linotype" w:cs="Palatino Linotype"/>
          <w:b/>
          <w:bCs/>
        </w:rPr>
        <w:t xml:space="preserve">(SAIMEX) </w:t>
      </w:r>
      <w:r w:rsidRPr="00DC7E0C">
        <w:rPr>
          <w:rFonts w:ascii="Palatino Linotype" w:eastAsia="Palatino Linotype" w:hAnsi="Palatino Linotype" w:cs="Palatino Linotype"/>
        </w:rPr>
        <w:t>la presente resolución al Titular de la Unidad de Transparencia del</w:t>
      </w:r>
      <w:r w:rsidRPr="00DC7E0C">
        <w:rPr>
          <w:rFonts w:ascii="Palatino Linotype" w:eastAsia="Palatino Linotype" w:hAnsi="Palatino Linotype" w:cs="Palatino Linotype"/>
          <w:b/>
          <w:bCs/>
        </w:rPr>
        <w:t xml:space="preserve"> SUJETO OBLIGADO.</w:t>
      </w:r>
    </w:p>
    <w:p w:rsidR="00614C7F" w:rsidRPr="00DC7E0C" w:rsidRDefault="00614C7F">
      <w:pPr>
        <w:spacing w:line="360" w:lineRule="auto"/>
        <w:jc w:val="both"/>
        <w:rPr>
          <w:rFonts w:ascii="Palatino Linotype" w:eastAsia="Palatino Linotype" w:hAnsi="Palatino Linotype" w:cs="Palatino Linotype"/>
        </w:rPr>
      </w:pPr>
    </w:p>
    <w:p w:rsidR="00614C7F" w:rsidRPr="00DC7E0C" w:rsidRDefault="002D3248">
      <w:pPr>
        <w:tabs>
          <w:tab w:val="left" w:pos="8080"/>
        </w:tabs>
        <w:spacing w:line="360" w:lineRule="auto"/>
        <w:ind w:right="49"/>
        <w:jc w:val="both"/>
        <w:rPr>
          <w:rFonts w:ascii="Palatino Linotype" w:eastAsia="Palatino Linotype" w:hAnsi="Palatino Linotype" w:cs="Palatino Linotype"/>
          <w:b/>
          <w:bCs/>
          <w:color w:val="000000"/>
        </w:rPr>
      </w:pPr>
      <w:r w:rsidRPr="00DC7E0C">
        <w:rPr>
          <w:rFonts w:ascii="Palatino Linotype" w:eastAsia="Palatino Linotype" w:hAnsi="Palatino Linotype" w:cs="Palatino Linotype"/>
          <w:b/>
          <w:bCs/>
        </w:rPr>
        <w:t xml:space="preserve">TERCERO. Notifíquese </w:t>
      </w:r>
      <w:r w:rsidRPr="00DC7E0C">
        <w:rPr>
          <w:rFonts w:ascii="Palatino Linotype" w:eastAsia="Palatino Linotype" w:hAnsi="Palatino Linotype" w:cs="Palatino Linotype"/>
        </w:rPr>
        <w:t xml:space="preserve">al </w:t>
      </w:r>
      <w:r w:rsidRPr="00DC7E0C">
        <w:rPr>
          <w:rFonts w:ascii="Palatino Linotype" w:eastAsia="Palatino Linotype" w:hAnsi="Palatino Linotype" w:cs="Palatino Linotype"/>
          <w:b/>
          <w:bCs/>
        </w:rPr>
        <w:t>RECURRENTE</w:t>
      </w:r>
      <w:r w:rsidRPr="00DC7E0C">
        <w:rPr>
          <w:rFonts w:ascii="Palatino Linotype" w:eastAsia="Palatino Linotype" w:hAnsi="Palatino Linotype" w:cs="Palatino Linotype"/>
        </w:rPr>
        <w:t xml:space="preserve"> la presente resolución, a través del Sistema de Acceso a la Información Mexiquense </w:t>
      </w:r>
      <w:r w:rsidRPr="00DC7E0C">
        <w:rPr>
          <w:rFonts w:ascii="Palatino Linotype" w:eastAsia="Palatino Linotype" w:hAnsi="Palatino Linotype" w:cs="Palatino Linotype"/>
          <w:b/>
          <w:bCs/>
        </w:rPr>
        <w:t>(SAIMEX).</w:t>
      </w:r>
    </w:p>
    <w:p w:rsidR="00614C7F" w:rsidRPr="00DC7E0C" w:rsidRDefault="00614C7F">
      <w:pPr>
        <w:tabs>
          <w:tab w:val="left" w:pos="8080"/>
        </w:tabs>
        <w:spacing w:line="360" w:lineRule="auto"/>
        <w:ind w:right="49"/>
        <w:jc w:val="both"/>
        <w:rPr>
          <w:rFonts w:ascii="Palatino Linotype" w:eastAsia="Palatino Linotype" w:hAnsi="Palatino Linotype" w:cs="Palatino Linotype"/>
          <w:b/>
          <w:bCs/>
          <w:color w:val="000000"/>
        </w:rPr>
      </w:pPr>
    </w:p>
    <w:p w:rsidR="00614C7F" w:rsidRPr="00DC7E0C" w:rsidRDefault="002D3248">
      <w:pPr>
        <w:shd w:val="clear" w:color="auto" w:fill="FFFFFF"/>
        <w:spacing w:line="360" w:lineRule="auto"/>
        <w:jc w:val="both"/>
        <w:rPr>
          <w:rFonts w:ascii="Palatino Linotype" w:eastAsia="Palatino Linotype" w:hAnsi="Palatino Linotype" w:cs="Palatino Linotype"/>
          <w:color w:val="000000"/>
        </w:rPr>
      </w:pPr>
      <w:r w:rsidRPr="00DC7E0C">
        <w:rPr>
          <w:rFonts w:ascii="Palatino Linotype" w:eastAsia="Palatino Linotype" w:hAnsi="Palatino Linotype" w:cs="Palatino Linotype"/>
          <w:b/>
          <w:bCs/>
          <w:color w:val="000000"/>
        </w:rPr>
        <w:t xml:space="preserve">CUARTO. </w:t>
      </w:r>
      <w:r w:rsidRPr="00DC7E0C">
        <w:rPr>
          <w:rFonts w:ascii="Palatino Linotype" w:eastAsia="Palatino Linotype" w:hAnsi="Palatino Linotype" w:cs="Palatino Linotype"/>
        </w:rPr>
        <w:t xml:space="preserve">Se hace del conocimiento del </w:t>
      </w:r>
      <w:r w:rsidRPr="00DC7E0C">
        <w:rPr>
          <w:rFonts w:ascii="Palatino Linotype" w:eastAsia="Palatino Linotype" w:hAnsi="Palatino Linotype" w:cs="Palatino Linotype"/>
          <w:b/>
          <w:bCs/>
        </w:rPr>
        <w:t>RECURRENTE</w:t>
      </w:r>
      <w:r w:rsidRPr="00DC7E0C">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614C7F" w:rsidRPr="00DC7E0C" w:rsidRDefault="00614C7F">
      <w:pPr>
        <w:spacing w:line="360" w:lineRule="auto"/>
        <w:ind w:right="48"/>
        <w:jc w:val="both"/>
        <w:rPr>
          <w:rFonts w:ascii="Palatino Linotype" w:eastAsia="Palatino Linotype" w:hAnsi="Palatino Linotype" w:cs="Palatino Linotype"/>
        </w:rPr>
      </w:pPr>
    </w:p>
    <w:p w:rsidR="002D547C" w:rsidRPr="00DC7E0C" w:rsidRDefault="002D547C" w:rsidP="002D547C">
      <w:pPr>
        <w:spacing w:before="240" w:after="240" w:line="360" w:lineRule="auto"/>
        <w:ind w:firstLine="1"/>
        <w:jc w:val="both"/>
        <w:rPr>
          <w:rFonts w:ascii="Palatino Linotype" w:hAnsi="Palatino Linotype"/>
        </w:rPr>
      </w:pPr>
      <w:bookmarkStart w:id="11" w:name="_Hlk99014733"/>
      <w:r w:rsidRPr="00DC7E0C">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Pr="00DC7E0C">
        <w:rPr>
          <w:rFonts w:ascii="Palatino Linotype" w:hAnsi="Palatino Linotype" w:cs="Palatino Linotype"/>
        </w:rPr>
        <w:lastRenderedPageBreak/>
        <w:t xml:space="preserve">GUADALUPE RAMÍREZ PEÑA; EN LA NOVENA SESIÓN ORDINARIA, CELEBRADA EL ONCE (11) DE MARZO DE DOS MIL VEINTISÉIS, ANTE EL SECRETARIO TÉCNICO DEL PLENO </w:t>
      </w:r>
      <w:r w:rsidRPr="00DC7E0C">
        <w:rPr>
          <w:rFonts w:ascii="Palatino Linotype" w:hAnsi="Palatino Linotype" w:cs="Palatino Linotype"/>
          <w:color w:val="000000" w:themeColor="text1"/>
        </w:rPr>
        <w:t>ALEXIS TAPIA RAMÍREZ.</w:t>
      </w:r>
    </w:p>
    <w:bookmarkEnd w:id="11"/>
    <w:p w:rsidR="00614C7F" w:rsidRPr="00DC7E0C" w:rsidRDefault="00614C7F">
      <w:pPr>
        <w:spacing w:line="360" w:lineRule="auto"/>
        <w:ind w:right="49"/>
        <w:jc w:val="both"/>
        <w:rPr>
          <w:rFonts w:ascii="Palatino Linotype" w:eastAsia="Palatino Linotype" w:hAnsi="Palatino Linotype" w:cs="Palatino Linotype"/>
        </w:rPr>
      </w:pPr>
    </w:p>
    <w:p w:rsidR="00614C7F" w:rsidRPr="00DC7E0C" w:rsidRDefault="00614C7F">
      <w:pPr>
        <w:spacing w:line="360" w:lineRule="auto"/>
        <w:ind w:right="49"/>
        <w:jc w:val="both"/>
        <w:rPr>
          <w:rFonts w:ascii="Palatino Linotype" w:eastAsia="Palatino Linotype" w:hAnsi="Palatino Linotype" w:cs="Palatino Linotype"/>
        </w:rPr>
      </w:pPr>
    </w:p>
    <w:p w:rsidR="00614C7F" w:rsidRPr="00DC7E0C" w:rsidRDefault="00614C7F">
      <w:pPr>
        <w:spacing w:line="360" w:lineRule="auto"/>
        <w:ind w:right="49"/>
        <w:jc w:val="both"/>
        <w:rPr>
          <w:rFonts w:ascii="Palatino Linotype" w:eastAsia="Palatino Linotype" w:hAnsi="Palatino Linotype" w:cs="Palatino Linotype"/>
        </w:rPr>
      </w:pPr>
    </w:p>
    <w:p w:rsidR="00614C7F" w:rsidRPr="00DC7E0C" w:rsidRDefault="00614C7F">
      <w:pPr>
        <w:spacing w:line="360" w:lineRule="auto"/>
        <w:ind w:right="49"/>
        <w:jc w:val="both"/>
        <w:rPr>
          <w:rFonts w:ascii="Palatino Linotype" w:eastAsia="Palatino Linotype" w:hAnsi="Palatino Linotype" w:cs="Palatino Linotype"/>
        </w:rPr>
      </w:pPr>
    </w:p>
    <w:p w:rsidR="00614C7F" w:rsidRPr="00DC7E0C" w:rsidRDefault="00614C7F">
      <w:pPr>
        <w:spacing w:line="360" w:lineRule="auto"/>
        <w:ind w:right="49"/>
        <w:jc w:val="both"/>
        <w:rPr>
          <w:rFonts w:ascii="Palatino Linotype" w:eastAsia="Palatino Linotype" w:hAnsi="Palatino Linotype" w:cs="Palatino Linotype"/>
        </w:rPr>
      </w:pPr>
    </w:p>
    <w:p w:rsidR="00614C7F" w:rsidRPr="00DC7E0C" w:rsidRDefault="00614C7F">
      <w:pPr>
        <w:spacing w:line="360" w:lineRule="auto"/>
        <w:ind w:right="49"/>
        <w:jc w:val="both"/>
        <w:rPr>
          <w:rFonts w:ascii="Palatino Linotype" w:eastAsia="Palatino Linotype" w:hAnsi="Palatino Linotype" w:cs="Palatino Linotype"/>
        </w:rPr>
      </w:pPr>
    </w:p>
    <w:p w:rsidR="00614C7F" w:rsidRPr="00DC7E0C" w:rsidRDefault="00614C7F">
      <w:pPr>
        <w:spacing w:line="360" w:lineRule="auto"/>
        <w:rPr>
          <w:rFonts w:ascii="Palatino Linotype" w:eastAsia="Palatino Linotype" w:hAnsi="Palatino Linotype" w:cs="Palatino Linotype"/>
        </w:rPr>
      </w:pPr>
    </w:p>
    <w:p w:rsidR="00614C7F" w:rsidRPr="00DC7E0C" w:rsidRDefault="00614C7F">
      <w:pPr>
        <w:spacing w:line="360" w:lineRule="auto"/>
        <w:rPr>
          <w:rFonts w:ascii="Palatino Linotype" w:eastAsia="Palatino Linotype" w:hAnsi="Palatino Linotype" w:cs="Palatino Linotype"/>
        </w:rPr>
      </w:pPr>
    </w:p>
    <w:p w:rsidR="00614C7F" w:rsidRPr="00DC7E0C" w:rsidRDefault="00614C7F">
      <w:pPr>
        <w:spacing w:line="360" w:lineRule="auto"/>
        <w:rPr>
          <w:rFonts w:ascii="Palatino Linotype" w:eastAsia="Palatino Linotype" w:hAnsi="Palatino Linotype" w:cs="Palatino Linotype"/>
        </w:rPr>
      </w:pPr>
    </w:p>
    <w:p w:rsidR="00614C7F" w:rsidRPr="00DC7E0C" w:rsidRDefault="00614C7F">
      <w:pPr>
        <w:spacing w:line="360" w:lineRule="auto"/>
        <w:rPr>
          <w:rFonts w:ascii="Palatino Linotype" w:eastAsia="Palatino Linotype" w:hAnsi="Palatino Linotype" w:cs="Palatino Linotype"/>
        </w:rPr>
      </w:pPr>
    </w:p>
    <w:p w:rsidR="00614C7F" w:rsidRPr="00DC7E0C" w:rsidRDefault="00614C7F">
      <w:pPr>
        <w:spacing w:line="360" w:lineRule="auto"/>
        <w:rPr>
          <w:rFonts w:ascii="Palatino Linotype" w:eastAsia="Palatino Linotype" w:hAnsi="Palatino Linotype" w:cs="Palatino Linotype"/>
        </w:rPr>
      </w:pPr>
    </w:p>
    <w:p w:rsidR="00614C7F" w:rsidRPr="00DC7E0C" w:rsidRDefault="00614C7F">
      <w:pPr>
        <w:spacing w:line="360" w:lineRule="auto"/>
        <w:rPr>
          <w:rFonts w:ascii="Palatino Linotype" w:eastAsia="Palatino Linotype" w:hAnsi="Palatino Linotype" w:cs="Palatino Linotype"/>
        </w:rPr>
      </w:pPr>
    </w:p>
    <w:p w:rsidR="00614C7F" w:rsidRPr="00DC7E0C" w:rsidRDefault="00614C7F">
      <w:pPr>
        <w:spacing w:line="360" w:lineRule="auto"/>
        <w:rPr>
          <w:rFonts w:ascii="Palatino Linotype" w:eastAsia="Palatino Linotype" w:hAnsi="Palatino Linotype" w:cs="Palatino Linotype"/>
        </w:rPr>
      </w:pPr>
    </w:p>
    <w:p w:rsidR="00614C7F" w:rsidRPr="00DC7E0C" w:rsidRDefault="00614C7F">
      <w:pPr>
        <w:spacing w:line="360" w:lineRule="auto"/>
        <w:rPr>
          <w:rFonts w:ascii="Palatino Linotype" w:eastAsia="Palatino Linotype" w:hAnsi="Palatino Linotype" w:cs="Palatino Linotype"/>
        </w:rPr>
      </w:pPr>
    </w:p>
    <w:p w:rsidR="00614C7F" w:rsidRPr="00DC7E0C" w:rsidRDefault="00614C7F">
      <w:pPr>
        <w:rPr>
          <w:rFonts w:ascii="Palatino Linotype" w:eastAsia="Palatino Linotype" w:hAnsi="Palatino Linotype" w:cs="Palatino Linotype"/>
        </w:rPr>
      </w:pPr>
    </w:p>
    <w:p w:rsidR="00614C7F" w:rsidRPr="00DC7E0C" w:rsidRDefault="00614C7F">
      <w:pPr>
        <w:rPr>
          <w:rFonts w:ascii="Palatino Linotype" w:eastAsia="Palatino Linotype" w:hAnsi="Palatino Linotype" w:cs="Palatino Linotype"/>
        </w:rPr>
      </w:pPr>
    </w:p>
    <w:sectPr w:rsidR="00614C7F" w:rsidRPr="00DC7E0C" w:rsidSect="00DC7E0C">
      <w:headerReference w:type="even" r:id="rId8"/>
      <w:headerReference w:type="default" r:id="rId9"/>
      <w:footerReference w:type="default" r:id="rId10"/>
      <w:headerReference w:type="first" r:id="rId11"/>
      <w:footerReference w:type="first" r:id="rId12"/>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66D" w:rsidRDefault="0092166D">
      <w:r>
        <w:separator/>
      </w:r>
    </w:p>
  </w:endnote>
  <w:endnote w:type="continuationSeparator" w:id="0">
    <w:p w:rsidR="0092166D" w:rsidRDefault="00921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4980217A-65A5-412C-BD16-7F4AC654031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D94CB47-2444-4827-B2EB-9908A3E83BAD}"/>
    <w:embedBold r:id="rId3" w:fontKey="{2CCCE418-637F-41D8-89F6-4166F0F3404E}"/>
    <w:embedItalic r:id="rId4" w:fontKey="{5D3F57E5-AFB7-4418-95E6-776D5239C270}"/>
    <w:embedBoldItalic r:id="rId5" w:fontKey="{17FC7E1B-D31E-4913-84F1-8423EB362D84}"/>
  </w:font>
  <w:font w:name="Calibri">
    <w:panose1 w:val="020F0502020204030204"/>
    <w:charset w:val="00"/>
    <w:family w:val="swiss"/>
    <w:pitch w:val="variable"/>
    <w:sig w:usb0="E4002EFF" w:usb1="C200247B" w:usb2="00000009" w:usb3="00000000" w:csb0="000001FF" w:csb1="00000000"/>
    <w:embedRegular r:id="rId6" w:fontKey="{72C63DD3-74E4-4FF9-B1B7-BE6AD190E71A}"/>
  </w:font>
  <w:font w:name="Calibri Light">
    <w:panose1 w:val="020F0302020204030204"/>
    <w:charset w:val="00"/>
    <w:family w:val="swiss"/>
    <w:pitch w:val="variable"/>
    <w:sig w:usb0="E4002EFF" w:usb1="C200247B" w:usb2="00000009" w:usb3="00000000" w:csb0="000001FF" w:csb1="00000000"/>
    <w:embedRegular r:id="rId7" w:fontKey="{ED754B77-71AC-4CAF-A539-6982AB349623}"/>
  </w:font>
  <w:font w:name="Century Gothic">
    <w:panose1 w:val="020B0502020202020204"/>
    <w:charset w:val="00"/>
    <w:family w:val="swiss"/>
    <w:pitch w:val="variable"/>
    <w:sig w:usb0="00000287" w:usb1="00000000" w:usb2="00000000" w:usb3="00000000" w:csb0="0000009F" w:csb1="00000000"/>
    <w:embedRegular r:id="rId8" w:fontKey="{68DEA793-C9D4-4D96-86B1-7EC64EF4B93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F5C5BD0A-7D40-4F1F-A7D1-503720A69CBC}"/>
  </w:font>
  <w:font w:name="Verdana">
    <w:panose1 w:val="020B0604030504040204"/>
    <w:charset w:val="00"/>
    <w:family w:val="swiss"/>
    <w:pitch w:val="variable"/>
    <w:sig w:usb0="A00006FF" w:usb1="4000205B" w:usb2="00000010" w:usb3="00000000" w:csb0="0000019F" w:csb1="00000000"/>
    <w:embedRegular r:id="rId10" w:fontKey="{32565DFA-CF9F-4184-B1EE-D714C486E6E1}"/>
  </w:font>
  <w:font w:name="Garamond">
    <w:panose1 w:val="02020404030301010803"/>
    <w:charset w:val="00"/>
    <w:family w:val="roman"/>
    <w:pitch w:val="variable"/>
    <w:sig w:usb0="00000287" w:usb1="00000000" w:usb2="00000000" w:usb3="00000000" w:csb0="0000009F" w:csb1="00000000"/>
    <w:embedRegular r:id="rId11" w:fontKey="{2183F308-359F-47F6-811E-771C112BE1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7F" w:rsidRPr="00DC7E0C" w:rsidRDefault="002D3248">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DC7E0C">
      <w:rPr>
        <w:rFonts w:ascii="Palatino Linotype" w:hAnsi="Palatino Linotype"/>
        <w:b/>
        <w:color w:val="000000"/>
        <w:sz w:val="22"/>
      </w:rPr>
      <w:t xml:space="preserve">Página </w:t>
    </w:r>
    <w:r w:rsidRPr="00DC7E0C">
      <w:rPr>
        <w:rFonts w:ascii="Palatino Linotype" w:hAnsi="Palatino Linotype"/>
        <w:b/>
        <w:bCs/>
        <w:color w:val="000000"/>
        <w:sz w:val="22"/>
      </w:rPr>
      <w:fldChar w:fldCharType="begin"/>
    </w:r>
    <w:r w:rsidRPr="00DC7E0C">
      <w:rPr>
        <w:rFonts w:ascii="Palatino Linotype" w:hAnsi="Palatino Linotype"/>
        <w:b/>
        <w:bCs/>
        <w:color w:val="000000"/>
        <w:sz w:val="22"/>
      </w:rPr>
      <w:instrText>PAGE</w:instrText>
    </w:r>
    <w:r w:rsidRPr="00DC7E0C">
      <w:rPr>
        <w:rFonts w:ascii="Palatino Linotype" w:hAnsi="Palatino Linotype"/>
        <w:b/>
        <w:bCs/>
        <w:color w:val="000000"/>
        <w:sz w:val="22"/>
      </w:rPr>
      <w:fldChar w:fldCharType="separate"/>
    </w:r>
    <w:r w:rsidR="004672DE">
      <w:rPr>
        <w:rFonts w:ascii="Palatino Linotype" w:hAnsi="Palatino Linotype"/>
        <w:b/>
        <w:bCs/>
        <w:noProof/>
        <w:color w:val="000000"/>
        <w:sz w:val="22"/>
      </w:rPr>
      <w:t>14</w:t>
    </w:r>
    <w:r w:rsidRPr="00DC7E0C">
      <w:rPr>
        <w:rFonts w:ascii="Palatino Linotype" w:hAnsi="Palatino Linotype"/>
        <w:b/>
        <w:bCs/>
        <w:color w:val="000000"/>
        <w:sz w:val="22"/>
      </w:rPr>
      <w:fldChar w:fldCharType="end"/>
    </w:r>
    <w:r w:rsidRPr="00DC7E0C">
      <w:rPr>
        <w:rFonts w:ascii="Palatino Linotype" w:hAnsi="Palatino Linotype"/>
        <w:b/>
        <w:color w:val="000000"/>
        <w:sz w:val="22"/>
      </w:rPr>
      <w:t xml:space="preserve"> de </w:t>
    </w:r>
    <w:r w:rsidRPr="00DC7E0C">
      <w:rPr>
        <w:rFonts w:ascii="Palatino Linotype" w:hAnsi="Palatino Linotype"/>
        <w:b/>
        <w:bCs/>
        <w:color w:val="000000"/>
        <w:sz w:val="22"/>
      </w:rPr>
      <w:fldChar w:fldCharType="begin"/>
    </w:r>
    <w:r w:rsidRPr="00DC7E0C">
      <w:rPr>
        <w:rFonts w:ascii="Palatino Linotype" w:hAnsi="Palatino Linotype"/>
        <w:b/>
        <w:bCs/>
        <w:color w:val="000000"/>
        <w:sz w:val="22"/>
      </w:rPr>
      <w:instrText>NUMPAGES</w:instrText>
    </w:r>
    <w:r w:rsidRPr="00DC7E0C">
      <w:rPr>
        <w:rFonts w:ascii="Palatino Linotype" w:hAnsi="Palatino Linotype"/>
        <w:b/>
        <w:bCs/>
        <w:color w:val="000000"/>
        <w:sz w:val="22"/>
      </w:rPr>
      <w:fldChar w:fldCharType="separate"/>
    </w:r>
    <w:r w:rsidR="004672DE">
      <w:rPr>
        <w:rFonts w:ascii="Palatino Linotype" w:hAnsi="Palatino Linotype"/>
        <w:b/>
        <w:bCs/>
        <w:noProof/>
        <w:color w:val="000000"/>
        <w:sz w:val="22"/>
      </w:rPr>
      <w:t>14</w:t>
    </w:r>
    <w:r w:rsidRPr="00DC7E0C">
      <w:rPr>
        <w:rFonts w:ascii="Palatino Linotype" w:hAnsi="Palatino Linotype"/>
        <w:b/>
        <w:bCs/>
        <w:color w:val="000000"/>
        <w:sz w:val="22"/>
      </w:rPr>
      <w:fldChar w:fldCharType="end"/>
    </w:r>
  </w:p>
  <w:p w:rsidR="00614C7F" w:rsidRDefault="00614C7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7F" w:rsidRPr="00DC7E0C" w:rsidRDefault="002D3248">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DC7E0C">
      <w:rPr>
        <w:rFonts w:ascii="Palatino Linotype" w:hAnsi="Palatino Linotype"/>
        <w:b/>
        <w:color w:val="000000"/>
        <w:sz w:val="22"/>
      </w:rPr>
      <w:t xml:space="preserve">Página </w:t>
    </w:r>
    <w:r w:rsidRPr="00DC7E0C">
      <w:rPr>
        <w:rFonts w:ascii="Palatino Linotype" w:hAnsi="Palatino Linotype"/>
        <w:b/>
        <w:bCs/>
        <w:color w:val="000000"/>
        <w:sz w:val="22"/>
      </w:rPr>
      <w:fldChar w:fldCharType="begin"/>
    </w:r>
    <w:r w:rsidRPr="00DC7E0C">
      <w:rPr>
        <w:rFonts w:ascii="Palatino Linotype" w:hAnsi="Palatino Linotype"/>
        <w:b/>
        <w:bCs/>
        <w:color w:val="000000"/>
        <w:sz w:val="22"/>
      </w:rPr>
      <w:instrText>PAGE</w:instrText>
    </w:r>
    <w:r w:rsidRPr="00DC7E0C">
      <w:rPr>
        <w:rFonts w:ascii="Palatino Linotype" w:hAnsi="Palatino Linotype"/>
        <w:b/>
        <w:bCs/>
        <w:color w:val="000000"/>
        <w:sz w:val="22"/>
      </w:rPr>
      <w:fldChar w:fldCharType="separate"/>
    </w:r>
    <w:r w:rsidR="004672DE">
      <w:rPr>
        <w:rFonts w:ascii="Palatino Linotype" w:hAnsi="Palatino Linotype"/>
        <w:b/>
        <w:bCs/>
        <w:noProof/>
        <w:color w:val="000000"/>
        <w:sz w:val="22"/>
      </w:rPr>
      <w:t>1</w:t>
    </w:r>
    <w:r w:rsidRPr="00DC7E0C">
      <w:rPr>
        <w:rFonts w:ascii="Palatino Linotype" w:hAnsi="Palatino Linotype"/>
        <w:b/>
        <w:bCs/>
        <w:color w:val="000000"/>
        <w:sz w:val="22"/>
      </w:rPr>
      <w:fldChar w:fldCharType="end"/>
    </w:r>
    <w:r w:rsidRPr="00DC7E0C">
      <w:rPr>
        <w:rFonts w:ascii="Palatino Linotype" w:hAnsi="Palatino Linotype"/>
        <w:b/>
        <w:color w:val="000000"/>
        <w:sz w:val="22"/>
      </w:rPr>
      <w:t xml:space="preserve"> de </w:t>
    </w:r>
    <w:r w:rsidRPr="00DC7E0C">
      <w:rPr>
        <w:rFonts w:ascii="Palatino Linotype" w:hAnsi="Palatino Linotype"/>
        <w:b/>
        <w:bCs/>
        <w:color w:val="000000"/>
        <w:sz w:val="22"/>
      </w:rPr>
      <w:fldChar w:fldCharType="begin"/>
    </w:r>
    <w:r w:rsidRPr="00DC7E0C">
      <w:rPr>
        <w:rFonts w:ascii="Palatino Linotype" w:hAnsi="Palatino Linotype"/>
        <w:b/>
        <w:bCs/>
        <w:color w:val="000000"/>
        <w:sz w:val="22"/>
      </w:rPr>
      <w:instrText>NUMPAGES</w:instrText>
    </w:r>
    <w:r w:rsidRPr="00DC7E0C">
      <w:rPr>
        <w:rFonts w:ascii="Palatino Linotype" w:hAnsi="Palatino Linotype"/>
        <w:b/>
        <w:bCs/>
        <w:color w:val="000000"/>
        <w:sz w:val="22"/>
      </w:rPr>
      <w:fldChar w:fldCharType="separate"/>
    </w:r>
    <w:r w:rsidR="004672DE">
      <w:rPr>
        <w:rFonts w:ascii="Palatino Linotype" w:hAnsi="Palatino Linotype"/>
        <w:b/>
        <w:bCs/>
        <w:noProof/>
        <w:color w:val="000000"/>
        <w:sz w:val="22"/>
      </w:rPr>
      <w:t>14</w:t>
    </w:r>
    <w:r w:rsidRPr="00DC7E0C">
      <w:rPr>
        <w:rFonts w:ascii="Palatino Linotype" w:hAnsi="Palatino Linotype"/>
        <w:b/>
        <w:bCs/>
        <w:color w:val="000000"/>
        <w:sz w:val="22"/>
      </w:rPr>
      <w:fldChar w:fldCharType="end"/>
    </w:r>
  </w:p>
  <w:p w:rsidR="00614C7F" w:rsidRDefault="00614C7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66D" w:rsidRDefault="0092166D">
      <w:r>
        <w:separator/>
      </w:r>
    </w:p>
  </w:footnote>
  <w:footnote w:type="continuationSeparator" w:id="0">
    <w:p w:rsidR="0092166D" w:rsidRDefault="009216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7F" w:rsidRDefault="0092166D">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10348" w:type="dxa"/>
      <w:tblInd w:w="0" w:type="dxa"/>
      <w:tblLayout w:type="fixed"/>
      <w:tblLook w:val="0400" w:firstRow="0" w:lastRow="0" w:firstColumn="0" w:lastColumn="0" w:noHBand="0" w:noVBand="1"/>
    </w:tblPr>
    <w:tblGrid>
      <w:gridCol w:w="2268"/>
      <w:gridCol w:w="8080"/>
    </w:tblGrid>
    <w:tr w:rsidR="00614C7F" w:rsidTr="00DC7E0C">
      <w:trPr>
        <w:trHeight w:val="1435"/>
      </w:trPr>
      <w:tc>
        <w:tcPr>
          <w:tcW w:w="2268" w:type="dxa"/>
          <w:shd w:val="clear" w:color="auto" w:fill="auto"/>
        </w:tcPr>
        <w:p w:rsidR="00614C7F" w:rsidRDefault="00614C7F">
          <w:pPr>
            <w:tabs>
              <w:tab w:val="right" w:pos="4273"/>
            </w:tabs>
            <w:rPr>
              <w:rFonts w:ascii="Garamond" w:eastAsia="Garamond" w:hAnsi="Garamond" w:cs="Garamond"/>
              <w:sz w:val="16"/>
              <w:szCs w:val="16"/>
            </w:rPr>
          </w:pPr>
        </w:p>
      </w:tc>
      <w:tc>
        <w:tcPr>
          <w:tcW w:w="8080" w:type="dxa"/>
          <w:shd w:val="clear" w:color="auto" w:fill="auto"/>
        </w:tcPr>
        <w:tbl>
          <w:tblPr>
            <w:tblStyle w:val="a0"/>
            <w:tblW w:w="7783" w:type="dxa"/>
            <w:tblInd w:w="40" w:type="dxa"/>
            <w:tblLayout w:type="fixed"/>
            <w:tblLook w:val="0400" w:firstRow="0" w:lastRow="0" w:firstColumn="0" w:lastColumn="0" w:noHBand="0" w:noVBand="1"/>
          </w:tblPr>
          <w:tblGrid>
            <w:gridCol w:w="2822"/>
            <w:gridCol w:w="4961"/>
          </w:tblGrid>
          <w:tr w:rsidR="00614C7F" w:rsidTr="00DC7E0C">
            <w:trPr>
              <w:trHeight w:val="150"/>
            </w:trPr>
            <w:tc>
              <w:tcPr>
                <w:tcW w:w="2822" w:type="dxa"/>
                <w:shd w:val="clear" w:color="auto" w:fill="auto"/>
              </w:tcPr>
              <w:p w:rsidR="00614C7F" w:rsidRPr="00DC7E0C" w:rsidRDefault="002D3248">
                <w:pPr>
                  <w:tabs>
                    <w:tab w:val="right" w:pos="8838"/>
                  </w:tabs>
                  <w:ind w:right="-105"/>
                  <w:rPr>
                    <w:rFonts w:ascii="Palatino Linotype" w:eastAsia="Palatino Linotype" w:hAnsi="Palatino Linotype" w:cs="Palatino Linotype"/>
                    <w:b/>
                    <w:bCs/>
                    <w:szCs w:val="22"/>
                  </w:rPr>
                </w:pPr>
                <w:r w:rsidRPr="00DC7E0C">
                  <w:rPr>
                    <w:rFonts w:ascii="Palatino Linotype" w:eastAsia="Palatino Linotype" w:hAnsi="Palatino Linotype" w:cs="Palatino Linotype"/>
                    <w:b/>
                    <w:bCs/>
                    <w:szCs w:val="22"/>
                  </w:rPr>
                  <w:t>Recurso de Revisión:</w:t>
                </w:r>
              </w:p>
            </w:tc>
            <w:tc>
              <w:tcPr>
                <w:tcW w:w="4961" w:type="dxa"/>
                <w:shd w:val="clear" w:color="auto" w:fill="auto"/>
              </w:tcPr>
              <w:p w:rsidR="00614C7F" w:rsidRPr="00DC7E0C" w:rsidRDefault="002D3248" w:rsidP="00DC7E0C">
                <w:pPr>
                  <w:tabs>
                    <w:tab w:val="right" w:pos="8838"/>
                  </w:tabs>
                  <w:ind w:left="-108" w:right="-102"/>
                  <w:rPr>
                    <w:rFonts w:ascii="Palatino Linotype" w:eastAsia="Palatino Linotype" w:hAnsi="Palatino Linotype" w:cs="Palatino Linotype"/>
                    <w:szCs w:val="22"/>
                  </w:rPr>
                </w:pPr>
                <w:r w:rsidRPr="00DC7E0C">
                  <w:rPr>
                    <w:rFonts w:ascii="Palatino Linotype" w:eastAsia="Palatino Linotype" w:hAnsi="Palatino Linotype" w:cs="Palatino Linotype"/>
                    <w:szCs w:val="22"/>
                  </w:rPr>
                  <w:t>10688/INFOEM/IP/RR/2025</w:t>
                </w:r>
              </w:p>
            </w:tc>
          </w:tr>
          <w:tr w:rsidR="00614C7F" w:rsidTr="00DC7E0C">
            <w:trPr>
              <w:trHeight w:val="295"/>
            </w:trPr>
            <w:tc>
              <w:tcPr>
                <w:tcW w:w="2822" w:type="dxa"/>
                <w:shd w:val="clear" w:color="auto" w:fill="auto"/>
              </w:tcPr>
              <w:p w:rsidR="00614C7F" w:rsidRPr="00DC7E0C" w:rsidRDefault="002D3248">
                <w:pPr>
                  <w:tabs>
                    <w:tab w:val="right" w:pos="8838"/>
                  </w:tabs>
                  <w:ind w:right="-105"/>
                  <w:rPr>
                    <w:rFonts w:ascii="Palatino Linotype" w:eastAsia="Palatino Linotype" w:hAnsi="Palatino Linotype" w:cs="Palatino Linotype"/>
                    <w:b/>
                    <w:bCs/>
                    <w:szCs w:val="22"/>
                  </w:rPr>
                </w:pPr>
                <w:r w:rsidRPr="00DC7E0C">
                  <w:rPr>
                    <w:rFonts w:ascii="Palatino Linotype" w:eastAsia="Palatino Linotype" w:hAnsi="Palatino Linotype" w:cs="Palatino Linotype"/>
                    <w:b/>
                    <w:bCs/>
                    <w:szCs w:val="22"/>
                  </w:rPr>
                  <w:t>Sujeto Obligado:</w:t>
                </w:r>
              </w:p>
            </w:tc>
            <w:tc>
              <w:tcPr>
                <w:tcW w:w="4961" w:type="dxa"/>
                <w:shd w:val="clear" w:color="auto" w:fill="auto"/>
              </w:tcPr>
              <w:p w:rsidR="00614C7F" w:rsidRPr="00DC7E0C" w:rsidRDefault="002D3248" w:rsidP="00DC7E0C">
                <w:pPr>
                  <w:tabs>
                    <w:tab w:val="left" w:pos="2834"/>
                    <w:tab w:val="right" w:pos="8838"/>
                  </w:tabs>
                  <w:ind w:left="-108" w:right="-102"/>
                  <w:rPr>
                    <w:rFonts w:ascii="Palatino Linotype" w:eastAsia="Palatino Linotype" w:hAnsi="Palatino Linotype" w:cs="Palatino Linotype"/>
                    <w:b/>
                    <w:bCs/>
                    <w:szCs w:val="22"/>
                  </w:rPr>
                </w:pPr>
                <w:r w:rsidRPr="00DC7E0C">
                  <w:rPr>
                    <w:rFonts w:ascii="Palatino Linotype" w:eastAsia="Palatino Linotype" w:hAnsi="Palatino Linotype" w:cs="Palatino Linotype"/>
                    <w:szCs w:val="22"/>
                  </w:rPr>
                  <w:t>Secretaría de Educación, Ciencia, Tecnología e Innovación</w:t>
                </w:r>
              </w:p>
            </w:tc>
          </w:tr>
          <w:tr w:rsidR="00614C7F" w:rsidTr="00DC7E0C">
            <w:trPr>
              <w:trHeight w:val="295"/>
            </w:trPr>
            <w:tc>
              <w:tcPr>
                <w:tcW w:w="2822" w:type="dxa"/>
                <w:shd w:val="clear" w:color="auto" w:fill="auto"/>
              </w:tcPr>
              <w:p w:rsidR="00614C7F" w:rsidRPr="00DC7E0C" w:rsidRDefault="002D3248">
                <w:pPr>
                  <w:tabs>
                    <w:tab w:val="right" w:pos="8838"/>
                  </w:tabs>
                  <w:ind w:right="-105"/>
                  <w:rPr>
                    <w:rFonts w:ascii="Palatino Linotype" w:eastAsia="Palatino Linotype" w:hAnsi="Palatino Linotype" w:cs="Palatino Linotype"/>
                    <w:b/>
                    <w:bCs/>
                    <w:szCs w:val="22"/>
                  </w:rPr>
                </w:pPr>
                <w:r w:rsidRPr="00DC7E0C">
                  <w:rPr>
                    <w:rFonts w:ascii="Palatino Linotype" w:eastAsia="Palatino Linotype" w:hAnsi="Palatino Linotype" w:cs="Palatino Linotype"/>
                    <w:b/>
                    <w:bCs/>
                    <w:szCs w:val="22"/>
                  </w:rPr>
                  <w:t>Comisionada ponente:</w:t>
                </w:r>
              </w:p>
            </w:tc>
            <w:tc>
              <w:tcPr>
                <w:tcW w:w="4961" w:type="dxa"/>
                <w:shd w:val="clear" w:color="auto" w:fill="auto"/>
              </w:tcPr>
              <w:p w:rsidR="00614C7F" w:rsidRPr="00DC7E0C" w:rsidRDefault="002D3248" w:rsidP="00DC7E0C">
                <w:pPr>
                  <w:tabs>
                    <w:tab w:val="right" w:pos="8838"/>
                  </w:tabs>
                  <w:ind w:left="-108" w:right="171"/>
                  <w:rPr>
                    <w:rFonts w:ascii="Palatino Linotype" w:eastAsia="Palatino Linotype" w:hAnsi="Palatino Linotype" w:cs="Palatino Linotype"/>
                    <w:szCs w:val="22"/>
                  </w:rPr>
                </w:pPr>
                <w:r w:rsidRPr="00DC7E0C">
                  <w:rPr>
                    <w:rFonts w:ascii="Palatino Linotype" w:eastAsia="Palatino Linotype" w:hAnsi="Palatino Linotype" w:cs="Palatino Linotype"/>
                    <w:szCs w:val="22"/>
                  </w:rPr>
                  <w:t>María del Rosario Mejía Ayala</w:t>
                </w:r>
              </w:p>
              <w:p w:rsidR="00614C7F" w:rsidRPr="00DC7E0C" w:rsidRDefault="00614C7F" w:rsidP="00DC7E0C">
                <w:pPr>
                  <w:tabs>
                    <w:tab w:val="right" w:pos="8838"/>
                  </w:tabs>
                  <w:ind w:left="-108" w:right="171"/>
                  <w:rPr>
                    <w:rFonts w:ascii="Palatino Linotype" w:eastAsia="Palatino Linotype" w:hAnsi="Palatino Linotype" w:cs="Palatino Linotype"/>
                    <w:b/>
                    <w:bCs/>
                    <w:szCs w:val="22"/>
                  </w:rPr>
                </w:pPr>
              </w:p>
            </w:tc>
          </w:tr>
        </w:tbl>
        <w:p w:rsidR="00614C7F" w:rsidRDefault="00614C7F">
          <w:pPr>
            <w:tabs>
              <w:tab w:val="right" w:pos="8838"/>
            </w:tabs>
            <w:ind w:left="-28"/>
            <w:jc w:val="both"/>
            <w:rPr>
              <w:rFonts w:ascii="Arial" w:eastAsia="Arial" w:hAnsi="Arial" w:cs="Arial"/>
              <w:b/>
              <w:bCs/>
              <w:sz w:val="22"/>
              <w:szCs w:val="22"/>
            </w:rPr>
          </w:pPr>
        </w:p>
      </w:tc>
    </w:tr>
  </w:tbl>
  <w:p w:rsidR="00614C7F" w:rsidRDefault="0092166D">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206" w:type="dxa"/>
      <w:tblInd w:w="0" w:type="dxa"/>
      <w:tblLayout w:type="fixed"/>
      <w:tblLook w:val="0400" w:firstRow="0" w:lastRow="0" w:firstColumn="0" w:lastColumn="0" w:noHBand="0" w:noVBand="1"/>
    </w:tblPr>
    <w:tblGrid>
      <w:gridCol w:w="2268"/>
      <w:gridCol w:w="7938"/>
    </w:tblGrid>
    <w:tr w:rsidR="00614C7F" w:rsidTr="00DC7E0C">
      <w:trPr>
        <w:trHeight w:val="1435"/>
      </w:trPr>
      <w:tc>
        <w:tcPr>
          <w:tcW w:w="2268" w:type="dxa"/>
          <w:shd w:val="clear" w:color="auto" w:fill="auto"/>
        </w:tcPr>
        <w:p w:rsidR="00614C7F" w:rsidRDefault="00614C7F">
          <w:pPr>
            <w:tabs>
              <w:tab w:val="right" w:pos="4273"/>
            </w:tabs>
            <w:rPr>
              <w:rFonts w:ascii="Garamond" w:eastAsia="Garamond" w:hAnsi="Garamond" w:cs="Garamond"/>
              <w:sz w:val="22"/>
              <w:szCs w:val="22"/>
            </w:rPr>
          </w:pPr>
        </w:p>
      </w:tc>
      <w:tc>
        <w:tcPr>
          <w:tcW w:w="7938" w:type="dxa"/>
          <w:shd w:val="clear" w:color="auto" w:fill="auto"/>
        </w:tcPr>
        <w:tbl>
          <w:tblPr>
            <w:tblStyle w:val="a2"/>
            <w:tblW w:w="7783" w:type="dxa"/>
            <w:tblInd w:w="40" w:type="dxa"/>
            <w:tblLayout w:type="fixed"/>
            <w:tblLook w:val="0400" w:firstRow="0" w:lastRow="0" w:firstColumn="0" w:lastColumn="0" w:noHBand="0" w:noVBand="1"/>
          </w:tblPr>
          <w:tblGrid>
            <w:gridCol w:w="2822"/>
            <w:gridCol w:w="4961"/>
          </w:tblGrid>
          <w:tr w:rsidR="00614C7F" w:rsidTr="00DC7E0C">
            <w:trPr>
              <w:trHeight w:val="144"/>
            </w:trPr>
            <w:tc>
              <w:tcPr>
                <w:tcW w:w="2822" w:type="dxa"/>
                <w:shd w:val="clear" w:color="auto" w:fill="auto"/>
              </w:tcPr>
              <w:p w:rsidR="00614C7F" w:rsidRPr="00DC7E0C" w:rsidRDefault="002D3248">
                <w:pPr>
                  <w:tabs>
                    <w:tab w:val="right" w:pos="8838"/>
                  </w:tabs>
                  <w:ind w:left="-264" w:right="-105" w:firstLine="195"/>
                  <w:rPr>
                    <w:rFonts w:ascii="Palatino Linotype" w:eastAsia="Palatino Linotype" w:hAnsi="Palatino Linotype" w:cs="Palatino Linotype"/>
                    <w:b/>
                    <w:bCs/>
                    <w:szCs w:val="22"/>
                  </w:rPr>
                </w:pPr>
                <w:r w:rsidRPr="00DC7E0C">
                  <w:rPr>
                    <w:rFonts w:ascii="Palatino Linotype" w:eastAsia="Palatino Linotype" w:hAnsi="Palatino Linotype" w:cs="Palatino Linotype"/>
                    <w:b/>
                    <w:bCs/>
                    <w:szCs w:val="22"/>
                  </w:rPr>
                  <w:t>Recurso de Revisión:</w:t>
                </w:r>
              </w:p>
            </w:tc>
            <w:tc>
              <w:tcPr>
                <w:tcW w:w="4961" w:type="dxa"/>
                <w:shd w:val="clear" w:color="auto" w:fill="auto"/>
              </w:tcPr>
              <w:p w:rsidR="00614C7F" w:rsidRPr="00DC7E0C" w:rsidRDefault="002D3248">
                <w:pPr>
                  <w:tabs>
                    <w:tab w:val="right" w:pos="8838"/>
                  </w:tabs>
                  <w:ind w:left="-74" w:right="-105"/>
                  <w:jc w:val="both"/>
                  <w:rPr>
                    <w:rFonts w:ascii="Palatino Linotype" w:eastAsia="Palatino Linotype" w:hAnsi="Palatino Linotype" w:cs="Palatino Linotype"/>
                    <w:szCs w:val="22"/>
                  </w:rPr>
                </w:pPr>
                <w:r w:rsidRPr="00DC7E0C">
                  <w:rPr>
                    <w:rFonts w:ascii="Palatino Linotype" w:eastAsia="Palatino Linotype" w:hAnsi="Palatino Linotype" w:cs="Palatino Linotype"/>
                    <w:szCs w:val="22"/>
                  </w:rPr>
                  <w:t>10688/INFOEM/IP/RR/2025</w:t>
                </w:r>
              </w:p>
            </w:tc>
          </w:tr>
          <w:tr w:rsidR="00614C7F" w:rsidTr="00DC7E0C">
            <w:trPr>
              <w:trHeight w:val="144"/>
            </w:trPr>
            <w:tc>
              <w:tcPr>
                <w:tcW w:w="2822" w:type="dxa"/>
                <w:shd w:val="clear" w:color="auto" w:fill="auto"/>
              </w:tcPr>
              <w:p w:rsidR="00614C7F" w:rsidRPr="00DC7E0C" w:rsidRDefault="002D3248">
                <w:pPr>
                  <w:tabs>
                    <w:tab w:val="right" w:pos="8838"/>
                  </w:tabs>
                  <w:ind w:left="-74" w:right="-105"/>
                  <w:rPr>
                    <w:rFonts w:ascii="Palatino Linotype" w:eastAsia="Palatino Linotype" w:hAnsi="Palatino Linotype" w:cs="Palatino Linotype"/>
                    <w:b/>
                    <w:bCs/>
                    <w:szCs w:val="22"/>
                  </w:rPr>
                </w:pPr>
                <w:r w:rsidRPr="00DC7E0C">
                  <w:rPr>
                    <w:rFonts w:ascii="Palatino Linotype" w:eastAsia="Palatino Linotype" w:hAnsi="Palatino Linotype" w:cs="Palatino Linotype"/>
                    <w:b/>
                    <w:bCs/>
                    <w:szCs w:val="22"/>
                  </w:rPr>
                  <w:t>Recurrente:</w:t>
                </w:r>
              </w:p>
            </w:tc>
            <w:tc>
              <w:tcPr>
                <w:tcW w:w="4961" w:type="dxa"/>
                <w:shd w:val="clear" w:color="auto" w:fill="auto"/>
              </w:tcPr>
              <w:p w:rsidR="00614C7F" w:rsidRPr="00DC7E0C" w:rsidRDefault="004672DE">
                <w:pPr>
                  <w:tabs>
                    <w:tab w:val="left" w:pos="3122"/>
                    <w:tab w:val="right" w:pos="8838"/>
                  </w:tabs>
                  <w:ind w:left="-74" w:right="-105"/>
                  <w:jc w:val="both"/>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r>
          <w:tr w:rsidR="00614C7F" w:rsidTr="00DC7E0C">
            <w:trPr>
              <w:trHeight w:val="283"/>
            </w:trPr>
            <w:tc>
              <w:tcPr>
                <w:tcW w:w="2822" w:type="dxa"/>
                <w:shd w:val="clear" w:color="auto" w:fill="auto"/>
              </w:tcPr>
              <w:p w:rsidR="00614C7F" w:rsidRPr="00DC7E0C" w:rsidRDefault="002D3248">
                <w:pPr>
                  <w:tabs>
                    <w:tab w:val="right" w:pos="8838"/>
                  </w:tabs>
                  <w:ind w:left="-74" w:right="-105"/>
                  <w:rPr>
                    <w:rFonts w:ascii="Palatino Linotype" w:eastAsia="Palatino Linotype" w:hAnsi="Palatino Linotype" w:cs="Palatino Linotype"/>
                    <w:b/>
                    <w:bCs/>
                    <w:szCs w:val="22"/>
                  </w:rPr>
                </w:pPr>
                <w:r w:rsidRPr="00DC7E0C">
                  <w:rPr>
                    <w:rFonts w:ascii="Palatino Linotype" w:eastAsia="Palatino Linotype" w:hAnsi="Palatino Linotype" w:cs="Palatino Linotype"/>
                    <w:b/>
                    <w:bCs/>
                    <w:szCs w:val="22"/>
                  </w:rPr>
                  <w:t>Sujeto Obligado:</w:t>
                </w:r>
              </w:p>
            </w:tc>
            <w:tc>
              <w:tcPr>
                <w:tcW w:w="4961" w:type="dxa"/>
                <w:shd w:val="clear" w:color="auto" w:fill="auto"/>
              </w:tcPr>
              <w:p w:rsidR="00614C7F" w:rsidRPr="00DC7E0C" w:rsidRDefault="002D3248">
                <w:pPr>
                  <w:tabs>
                    <w:tab w:val="left" w:pos="2834"/>
                    <w:tab w:val="right" w:pos="8838"/>
                  </w:tabs>
                  <w:ind w:left="-74" w:right="-105"/>
                  <w:jc w:val="both"/>
                  <w:rPr>
                    <w:rFonts w:ascii="Palatino Linotype" w:eastAsia="Palatino Linotype" w:hAnsi="Palatino Linotype" w:cs="Palatino Linotype"/>
                    <w:szCs w:val="22"/>
                  </w:rPr>
                </w:pPr>
                <w:r w:rsidRPr="00DC7E0C">
                  <w:rPr>
                    <w:rFonts w:ascii="Palatino Linotype" w:eastAsia="Palatino Linotype" w:hAnsi="Palatino Linotype" w:cs="Palatino Linotype"/>
                    <w:szCs w:val="22"/>
                  </w:rPr>
                  <w:t>Secretaría de Educación, Ciencia, Tecnología e Innovación</w:t>
                </w:r>
              </w:p>
            </w:tc>
          </w:tr>
          <w:tr w:rsidR="00614C7F" w:rsidTr="00DC7E0C">
            <w:trPr>
              <w:trHeight w:val="283"/>
            </w:trPr>
            <w:tc>
              <w:tcPr>
                <w:tcW w:w="2822" w:type="dxa"/>
                <w:shd w:val="clear" w:color="auto" w:fill="auto"/>
              </w:tcPr>
              <w:p w:rsidR="00614C7F" w:rsidRPr="00DC7E0C" w:rsidRDefault="002D3248">
                <w:pPr>
                  <w:tabs>
                    <w:tab w:val="right" w:pos="8838"/>
                  </w:tabs>
                  <w:ind w:left="-74" w:right="-105"/>
                  <w:rPr>
                    <w:rFonts w:ascii="Palatino Linotype" w:eastAsia="Palatino Linotype" w:hAnsi="Palatino Linotype" w:cs="Palatino Linotype"/>
                    <w:b/>
                    <w:bCs/>
                    <w:szCs w:val="22"/>
                  </w:rPr>
                </w:pPr>
                <w:r w:rsidRPr="00DC7E0C">
                  <w:rPr>
                    <w:rFonts w:ascii="Palatino Linotype" w:eastAsia="Palatino Linotype" w:hAnsi="Palatino Linotype" w:cs="Palatino Linotype"/>
                    <w:b/>
                    <w:bCs/>
                    <w:szCs w:val="22"/>
                  </w:rPr>
                  <w:t>Comisionada ponente:</w:t>
                </w:r>
              </w:p>
            </w:tc>
            <w:tc>
              <w:tcPr>
                <w:tcW w:w="4961" w:type="dxa"/>
                <w:shd w:val="clear" w:color="auto" w:fill="auto"/>
              </w:tcPr>
              <w:p w:rsidR="00614C7F" w:rsidRPr="00DC7E0C" w:rsidRDefault="002D3248">
                <w:pPr>
                  <w:tabs>
                    <w:tab w:val="right" w:pos="8838"/>
                  </w:tabs>
                  <w:ind w:left="-74" w:right="-105"/>
                  <w:jc w:val="both"/>
                  <w:rPr>
                    <w:rFonts w:ascii="Palatino Linotype" w:eastAsia="Palatino Linotype" w:hAnsi="Palatino Linotype" w:cs="Palatino Linotype"/>
                    <w:szCs w:val="22"/>
                  </w:rPr>
                </w:pPr>
                <w:r w:rsidRPr="00DC7E0C">
                  <w:rPr>
                    <w:rFonts w:ascii="Palatino Linotype" w:eastAsia="Palatino Linotype" w:hAnsi="Palatino Linotype" w:cs="Palatino Linotype"/>
                    <w:szCs w:val="22"/>
                  </w:rPr>
                  <w:t>María del Rosario Mejía Ayala</w:t>
                </w:r>
              </w:p>
              <w:p w:rsidR="00614C7F" w:rsidRPr="00DC7E0C" w:rsidRDefault="00614C7F">
                <w:pPr>
                  <w:tabs>
                    <w:tab w:val="right" w:pos="8838"/>
                  </w:tabs>
                  <w:ind w:left="-74" w:right="-105"/>
                  <w:jc w:val="both"/>
                  <w:rPr>
                    <w:rFonts w:ascii="Palatino Linotype" w:eastAsia="Palatino Linotype" w:hAnsi="Palatino Linotype" w:cs="Palatino Linotype"/>
                    <w:b/>
                    <w:bCs/>
                    <w:szCs w:val="22"/>
                  </w:rPr>
                </w:pPr>
              </w:p>
            </w:tc>
          </w:tr>
        </w:tbl>
        <w:p w:rsidR="00614C7F" w:rsidRDefault="00614C7F">
          <w:pPr>
            <w:tabs>
              <w:tab w:val="right" w:pos="8838"/>
            </w:tabs>
            <w:ind w:left="-28"/>
            <w:jc w:val="both"/>
            <w:rPr>
              <w:rFonts w:ascii="Arial" w:eastAsia="Arial" w:hAnsi="Arial" w:cs="Arial"/>
              <w:b/>
              <w:bCs/>
              <w:sz w:val="22"/>
              <w:szCs w:val="22"/>
            </w:rPr>
          </w:pPr>
        </w:p>
      </w:tc>
    </w:tr>
  </w:tbl>
  <w:p w:rsidR="00614C7F" w:rsidRDefault="0092166D">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4.95pt;margin-top:-133.9pt;width:589.8pt;height:768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5F3531"/>
    <w:multiLevelType w:val="multilevel"/>
    <w:tmpl w:val="CF322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0876C2"/>
    <w:multiLevelType w:val="multilevel"/>
    <w:tmpl w:val="A7366C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FB02E96"/>
    <w:multiLevelType w:val="multilevel"/>
    <w:tmpl w:val="F07EBA78"/>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8E60489"/>
    <w:multiLevelType w:val="multilevel"/>
    <w:tmpl w:val="5AE0B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A145C09"/>
    <w:multiLevelType w:val="multilevel"/>
    <w:tmpl w:val="064CD02A"/>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C7F"/>
    <w:rsid w:val="002B12D0"/>
    <w:rsid w:val="002D3248"/>
    <w:rsid w:val="002D547C"/>
    <w:rsid w:val="004672DE"/>
    <w:rsid w:val="00614C7F"/>
    <w:rsid w:val="0092166D"/>
    <w:rsid w:val="00A568ED"/>
    <w:rsid w:val="00AF75EF"/>
    <w:rsid w:val="00DC7E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B4F4F7E-3F23-4073-8996-FA93EDCC4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797CD8"/>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797CD8"/>
    <w:pPr>
      <w:tabs>
        <w:tab w:val="center" w:pos="4419"/>
        <w:tab w:val="right" w:pos="8838"/>
      </w:tabs>
    </w:pPr>
  </w:style>
  <w:style w:type="character" w:customStyle="1" w:styleId="EncabezadoCar">
    <w:name w:val="Encabezado Car"/>
    <w:basedOn w:val="Fuentedeprrafopredeter"/>
    <w:link w:val="Encabezado"/>
    <w:uiPriority w:val="99"/>
    <w:rsid w:val="00797CD8"/>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97CD8"/>
    <w:pPr>
      <w:tabs>
        <w:tab w:val="center" w:pos="4419"/>
        <w:tab w:val="right" w:pos="8838"/>
      </w:tabs>
    </w:pPr>
  </w:style>
  <w:style w:type="character" w:customStyle="1" w:styleId="PiedepginaCar">
    <w:name w:val="Pie de página Car"/>
    <w:basedOn w:val="Fuentedeprrafopredeter"/>
    <w:link w:val="Piedepgina"/>
    <w:uiPriority w:val="99"/>
    <w:rsid w:val="00797CD8"/>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7CD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97CD8"/>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97CD8"/>
    <w:rPr>
      <w:color w:val="0563C1"/>
      <w:u w:val="single"/>
    </w:rPr>
  </w:style>
  <w:style w:type="paragraph" w:styleId="Sinespaciado">
    <w:name w:val="No Spacing"/>
    <w:aliases w:val="Francesa,INAI"/>
    <w:link w:val="SinespaciadoCar"/>
    <w:uiPriority w:val="1"/>
    <w:qFormat/>
    <w:rsid w:val="00797CD8"/>
  </w:style>
  <w:style w:type="character" w:customStyle="1" w:styleId="SinespaciadoCar">
    <w:name w:val="Sin espaciado Car"/>
    <w:aliases w:val="Francesa Car,INAI Car"/>
    <w:link w:val="Sinespaciado"/>
    <w:uiPriority w:val="1"/>
    <w:locked/>
    <w:rsid w:val="00797CD8"/>
    <w:rPr>
      <w:lang w:val="es-MX"/>
    </w:rPr>
  </w:style>
  <w:style w:type="paragraph" w:styleId="TDC1">
    <w:name w:val="toc 1"/>
    <w:basedOn w:val="Normal"/>
    <w:next w:val="Normal"/>
    <w:autoRedefine/>
    <w:uiPriority w:val="39"/>
    <w:unhideWhenUsed/>
    <w:rsid w:val="00797CD8"/>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797CD8"/>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7CD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7CD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7CD8"/>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97CD8"/>
    <w:rPr>
      <w:rFonts w:ascii="Times New Roman" w:eastAsia="Times New Roman" w:hAnsi="Times New Roman" w:cs="Times New Roman"/>
      <w:sz w:val="20"/>
      <w:szCs w:val="20"/>
      <w:lang w:val="es-MX" w:eastAsia="es-MX"/>
    </w:rPr>
  </w:style>
  <w:style w:type="paragraph" w:styleId="Listaconvietas2">
    <w:name w:val="List Bullet 2"/>
    <w:basedOn w:val="Normal"/>
    <w:uiPriority w:val="99"/>
    <w:unhideWhenUsed/>
    <w:rsid w:val="000B718C"/>
    <w:pPr>
      <w:numPr>
        <w:numId w:val="5"/>
      </w:numPr>
      <w:contextualSpacing/>
    </w:pPr>
    <w:rPr>
      <w:sz w:val="20"/>
      <w:szCs w:val="20"/>
      <w:lang w:eastAsia="es-ES"/>
    </w:rPr>
  </w:style>
  <w:style w:type="character" w:styleId="Hipervnculovisitado">
    <w:name w:val="FollowedHyperlink"/>
    <w:basedOn w:val="Fuentedeprrafopredeter"/>
    <w:uiPriority w:val="99"/>
    <w:semiHidden/>
    <w:unhideWhenUsed/>
    <w:rsid w:val="00512488"/>
    <w:rPr>
      <w:color w:val="954F72" w:themeColor="followedHyperlink"/>
      <w:u w:val="single"/>
    </w:rPr>
  </w:style>
  <w:style w:type="character" w:customStyle="1" w:styleId="Ttulo2Car">
    <w:name w:val="Título 2 Car"/>
    <w:basedOn w:val="Fuentedeprrafopredeter"/>
    <w:uiPriority w:val="9"/>
    <w:rsid w:val="00FD4F8F"/>
    <w:rPr>
      <w:rFonts w:asciiTheme="majorHAnsi" w:eastAsiaTheme="majorEastAsia" w:hAnsiTheme="majorHAnsi" w:cstheme="majorBidi"/>
      <w:color w:val="2E74B5" w:themeColor="accent1" w:themeShade="BF"/>
      <w:sz w:val="26"/>
      <w:szCs w:val="26"/>
      <w:lang w:val="es-MX"/>
    </w:rPr>
  </w:style>
  <w:style w:type="paragraph" w:styleId="Textoindependiente">
    <w:name w:val="Body Text"/>
    <w:basedOn w:val="Normal"/>
    <w:link w:val="TextoindependienteCar"/>
    <w:rsid w:val="00EE36DF"/>
    <w:pPr>
      <w:jc w:val="both"/>
    </w:pPr>
    <w:rPr>
      <w:rFonts w:ascii="Arial" w:hAnsi="Arial"/>
      <w:szCs w:val="20"/>
      <w:lang w:eastAsia="es-ES_tradnl"/>
    </w:rPr>
  </w:style>
  <w:style w:type="character" w:customStyle="1" w:styleId="TextoindependienteCar">
    <w:name w:val="Texto independiente Car"/>
    <w:basedOn w:val="Fuentedeprrafopredeter"/>
    <w:link w:val="Textoindependiente"/>
    <w:rsid w:val="00EE36DF"/>
    <w:rPr>
      <w:rFonts w:ascii="Arial" w:eastAsia="Times New Roman" w:hAnsi="Arial" w:cs="Times New Roman"/>
      <w:sz w:val="24"/>
      <w:szCs w:val="20"/>
      <w:lang w:val="es-MX" w:eastAsia="es-ES_tradnl"/>
    </w:rPr>
  </w:style>
  <w:style w:type="paragraph" w:customStyle="1" w:styleId="Default">
    <w:name w:val="Default"/>
    <w:rsid w:val="00CA54E0"/>
    <w:pPr>
      <w:autoSpaceDE w:val="0"/>
      <w:autoSpaceDN w:val="0"/>
      <w:adjustRightInd w:val="0"/>
    </w:pPr>
    <w:rPr>
      <w:rFonts w:ascii="Arial" w:hAnsi="Arial" w:cs="Arial"/>
      <w:color w:val="000000"/>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E5t2L/TIZOg+PmIqcmTxQK8N0w==">CgMxLjAyDmguc2FyZTEweTg5NWpzMghoLmdqZGd4czIJaC4zMGowemxsMgloLjFmb2I5dGUyDmguNXpzY2l1dXMwaG8wMg5oLmR5ZWFvdmJiYm5pbjIOaC5pZ3I4bDlpcnZ6czEyDmgueHYydXZ3ZjlrYXdtMg5oLnY4Mmh5cjhndzM4aTIOaC5mdXI4ZXVxZzd2dDg4AHIhMTBzTVktUnd3VUxfNVFrRkZTcWgwelV4S3dFUVBRR0FF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3667</Words>
  <Characters>20172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6</cp:revision>
  <cp:lastPrinted>2026-03-12T23:18:00Z</cp:lastPrinted>
  <dcterms:created xsi:type="dcterms:W3CDTF">2026-03-05T20:08:00Z</dcterms:created>
  <dcterms:modified xsi:type="dcterms:W3CDTF">2026-03-23T17:51:00Z</dcterms:modified>
</cp:coreProperties>
</file>