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75C84D2" w14:textId="77777777" w:rsidR="00342378" w:rsidRPr="00DA79BF" w:rsidRDefault="00342378">
          <w:pPr>
            <w:pStyle w:val="TtulodeTDC"/>
            <w:rPr>
              <w:rFonts w:ascii="Palatino Linotype" w:hAnsi="Palatino Linotype"/>
              <w:color w:val="auto"/>
              <w:sz w:val="22"/>
              <w:szCs w:val="22"/>
            </w:rPr>
          </w:pPr>
          <w:r w:rsidRPr="00DA79BF">
            <w:rPr>
              <w:rFonts w:ascii="Palatino Linotype" w:hAnsi="Palatino Linotype"/>
              <w:color w:val="auto"/>
              <w:sz w:val="22"/>
              <w:szCs w:val="22"/>
              <w:lang w:val="es-ES"/>
            </w:rPr>
            <w:t>Contenido</w:t>
          </w:r>
        </w:p>
        <w:p w14:paraId="364F4504" w14:textId="617C25C7" w:rsidR="00D17FC2" w:rsidRPr="00DA79BF" w:rsidRDefault="00342378">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r w:rsidRPr="00DA79BF">
            <w:rPr>
              <w:rFonts w:ascii="Palatino Linotype" w:hAnsi="Palatino Linotype"/>
              <w:bCs/>
              <w:sz w:val="22"/>
              <w:szCs w:val="22"/>
              <w:lang w:val="es-ES"/>
            </w:rPr>
            <w:fldChar w:fldCharType="begin"/>
          </w:r>
          <w:r w:rsidRPr="00DA79BF">
            <w:rPr>
              <w:rFonts w:ascii="Palatino Linotype" w:hAnsi="Palatino Linotype"/>
              <w:bCs/>
              <w:sz w:val="22"/>
              <w:szCs w:val="22"/>
              <w:lang w:val="es-ES"/>
            </w:rPr>
            <w:instrText xml:space="preserve"> TOC \o "1-3" \h \z \u </w:instrText>
          </w:r>
          <w:r w:rsidRPr="00DA79BF">
            <w:rPr>
              <w:rFonts w:ascii="Palatino Linotype" w:hAnsi="Palatino Linotype"/>
              <w:bCs/>
              <w:sz w:val="22"/>
              <w:szCs w:val="22"/>
              <w:lang w:val="es-ES"/>
            </w:rPr>
            <w:fldChar w:fldCharType="separate"/>
          </w:r>
          <w:hyperlink w:anchor="_Toc219296225" w:history="1">
            <w:r w:rsidR="00D17FC2" w:rsidRPr="00DA79BF">
              <w:rPr>
                <w:rStyle w:val="Hipervnculo"/>
                <w:rFonts w:ascii="Palatino Linotype" w:hAnsi="Palatino Linotype"/>
                <w:noProof/>
              </w:rPr>
              <w:t>A N T E C E D E N T E S</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_Toc219296225 \h </w:instrText>
            </w:r>
            <w:r w:rsidR="00D17FC2" w:rsidRPr="00DA79BF">
              <w:rPr>
                <w:noProof/>
                <w:webHidden/>
              </w:rPr>
            </w:r>
            <w:r w:rsidR="00D17FC2" w:rsidRPr="00DA79BF">
              <w:rPr>
                <w:noProof/>
                <w:webHidden/>
              </w:rPr>
              <w:fldChar w:fldCharType="separate"/>
            </w:r>
            <w:r w:rsidR="00392867">
              <w:rPr>
                <w:noProof/>
                <w:webHidden/>
              </w:rPr>
              <w:t>2</w:t>
            </w:r>
            <w:r w:rsidR="00D17FC2" w:rsidRPr="00DA79BF">
              <w:rPr>
                <w:noProof/>
                <w:webHidden/>
              </w:rPr>
              <w:fldChar w:fldCharType="end"/>
            </w:r>
          </w:hyperlink>
        </w:p>
        <w:p w14:paraId="1A1787E4" w14:textId="0E51ED1A" w:rsidR="00D17FC2" w:rsidRPr="00DA79BF" w:rsidRDefault="00B34D1C">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26" w:history="1">
            <w:r w:rsidR="00D17FC2" w:rsidRPr="00DA79BF">
              <w:rPr>
                <w:rStyle w:val="Hipervnculo"/>
                <w:rFonts w:ascii="Palatino Linotype" w:hAnsi="Palatino Linotype"/>
                <w:noProof/>
              </w:rPr>
              <w:t>I. Presentación de la solicitud de información</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_Toc219296226 \h </w:instrText>
            </w:r>
            <w:r w:rsidR="00D17FC2" w:rsidRPr="00DA79BF">
              <w:rPr>
                <w:noProof/>
                <w:webHidden/>
              </w:rPr>
            </w:r>
            <w:r w:rsidR="00D17FC2" w:rsidRPr="00DA79BF">
              <w:rPr>
                <w:noProof/>
                <w:webHidden/>
              </w:rPr>
              <w:fldChar w:fldCharType="separate"/>
            </w:r>
            <w:r w:rsidR="00392867">
              <w:rPr>
                <w:noProof/>
                <w:webHidden/>
              </w:rPr>
              <w:t>2</w:t>
            </w:r>
            <w:r w:rsidR="00D17FC2" w:rsidRPr="00DA79BF">
              <w:rPr>
                <w:noProof/>
                <w:webHidden/>
              </w:rPr>
              <w:fldChar w:fldCharType="end"/>
            </w:r>
          </w:hyperlink>
        </w:p>
        <w:p w14:paraId="13C4FCB7" w14:textId="015185BC" w:rsidR="00D17FC2" w:rsidRPr="00DA79BF" w:rsidRDefault="00B34D1C">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27" w:history="1">
            <w:r w:rsidR="00D17FC2" w:rsidRPr="00DA79BF">
              <w:rPr>
                <w:rStyle w:val="Hipervnculo"/>
                <w:rFonts w:ascii="Palatino Linotype" w:hAnsi="Palatino Linotype" w:cs="Tahoma"/>
                <w:noProof/>
              </w:rPr>
              <w:t>II. Respuesta del Sujeto Obligado</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_Toc219296227 \h </w:instrText>
            </w:r>
            <w:r w:rsidR="00D17FC2" w:rsidRPr="00DA79BF">
              <w:rPr>
                <w:noProof/>
                <w:webHidden/>
              </w:rPr>
            </w:r>
            <w:r w:rsidR="00D17FC2" w:rsidRPr="00DA79BF">
              <w:rPr>
                <w:noProof/>
                <w:webHidden/>
              </w:rPr>
              <w:fldChar w:fldCharType="separate"/>
            </w:r>
            <w:r w:rsidR="00392867">
              <w:rPr>
                <w:noProof/>
                <w:webHidden/>
              </w:rPr>
              <w:t>3</w:t>
            </w:r>
            <w:r w:rsidR="00D17FC2" w:rsidRPr="00DA79BF">
              <w:rPr>
                <w:noProof/>
                <w:webHidden/>
              </w:rPr>
              <w:fldChar w:fldCharType="end"/>
            </w:r>
          </w:hyperlink>
        </w:p>
        <w:p w14:paraId="071FA584" w14:textId="69310AEB" w:rsidR="00D17FC2" w:rsidRPr="00DA79BF" w:rsidRDefault="00B34D1C">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28" w:history="1">
            <w:r w:rsidR="00D17FC2" w:rsidRPr="00DA79BF">
              <w:rPr>
                <w:rStyle w:val="Hipervnculo"/>
                <w:rFonts w:ascii="Palatino Linotype" w:hAnsi="Palatino Linotype" w:cs="Tahoma"/>
                <w:noProof/>
              </w:rPr>
              <w:t>III. Interposición del Recurso de Revisión</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_Toc219296228 \h </w:instrText>
            </w:r>
            <w:r w:rsidR="00D17FC2" w:rsidRPr="00DA79BF">
              <w:rPr>
                <w:noProof/>
                <w:webHidden/>
              </w:rPr>
            </w:r>
            <w:r w:rsidR="00D17FC2" w:rsidRPr="00DA79BF">
              <w:rPr>
                <w:noProof/>
                <w:webHidden/>
              </w:rPr>
              <w:fldChar w:fldCharType="separate"/>
            </w:r>
            <w:r w:rsidR="00392867">
              <w:rPr>
                <w:noProof/>
                <w:webHidden/>
              </w:rPr>
              <w:t>3</w:t>
            </w:r>
            <w:r w:rsidR="00D17FC2" w:rsidRPr="00DA79BF">
              <w:rPr>
                <w:noProof/>
                <w:webHidden/>
              </w:rPr>
              <w:fldChar w:fldCharType="end"/>
            </w:r>
          </w:hyperlink>
        </w:p>
        <w:p w14:paraId="641D72CC" w14:textId="008CB529" w:rsidR="00D17FC2" w:rsidRPr="00DA79BF" w:rsidRDefault="00B34D1C">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29" w:history="1">
            <w:r w:rsidR="00D17FC2" w:rsidRPr="00DA79BF">
              <w:rPr>
                <w:rStyle w:val="Hipervnculo"/>
                <w:rFonts w:ascii="Palatino Linotype" w:hAnsi="Palatino Linotype"/>
                <w:noProof/>
              </w:rPr>
              <w:t>IV. Trámite del Recurso de Revisión ante el Instituto</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_Toc219296229 \h </w:instrText>
            </w:r>
            <w:r w:rsidR="00D17FC2" w:rsidRPr="00DA79BF">
              <w:rPr>
                <w:noProof/>
                <w:webHidden/>
              </w:rPr>
            </w:r>
            <w:r w:rsidR="00D17FC2" w:rsidRPr="00DA79BF">
              <w:rPr>
                <w:noProof/>
                <w:webHidden/>
              </w:rPr>
              <w:fldChar w:fldCharType="separate"/>
            </w:r>
            <w:r w:rsidR="00392867">
              <w:rPr>
                <w:noProof/>
                <w:webHidden/>
              </w:rPr>
              <w:t>4</w:t>
            </w:r>
            <w:r w:rsidR="00D17FC2" w:rsidRPr="00DA79BF">
              <w:rPr>
                <w:noProof/>
                <w:webHidden/>
              </w:rPr>
              <w:fldChar w:fldCharType="end"/>
            </w:r>
          </w:hyperlink>
        </w:p>
        <w:p w14:paraId="58C9DEA4" w14:textId="312E624C" w:rsidR="00D17FC2" w:rsidRPr="00DA79BF" w:rsidRDefault="00B34D1C">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30" w:history="1">
            <w:r w:rsidR="00D17FC2" w:rsidRPr="00DA79BF">
              <w:rPr>
                <w:rStyle w:val="Hipervnculo"/>
                <w:rFonts w:ascii="Palatino Linotype" w:hAnsi="Palatino Linotype"/>
                <w:noProof/>
              </w:rPr>
              <w:t>C O N S I D E R A N D O S</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_Toc219296230 \h </w:instrText>
            </w:r>
            <w:r w:rsidR="00D17FC2" w:rsidRPr="00DA79BF">
              <w:rPr>
                <w:noProof/>
                <w:webHidden/>
              </w:rPr>
            </w:r>
            <w:r w:rsidR="00D17FC2" w:rsidRPr="00DA79BF">
              <w:rPr>
                <w:noProof/>
                <w:webHidden/>
              </w:rPr>
              <w:fldChar w:fldCharType="separate"/>
            </w:r>
            <w:r w:rsidR="00392867">
              <w:rPr>
                <w:noProof/>
                <w:webHidden/>
              </w:rPr>
              <w:t>5</w:t>
            </w:r>
            <w:r w:rsidR="00D17FC2" w:rsidRPr="00DA79BF">
              <w:rPr>
                <w:noProof/>
                <w:webHidden/>
              </w:rPr>
              <w:fldChar w:fldCharType="end"/>
            </w:r>
          </w:hyperlink>
        </w:p>
        <w:p w14:paraId="536F0DF2" w14:textId="58B3BE55" w:rsidR="00D17FC2" w:rsidRPr="00DA79BF" w:rsidRDefault="00B34D1C">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31" w:history="1">
            <w:r w:rsidR="00D17FC2" w:rsidRPr="00DA79BF">
              <w:rPr>
                <w:rStyle w:val="Hipervnculo"/>
                <w:rFonts w:ascii="Palatino Linotype" w:eastAsia="Calibri" w:hAnsi="Palatino Linotype"/>
                <w:noProof/>
                <w:lang w:eastAsia="es-MX"/>
              </w:rPr>
              <w:t xml:space="preserve">PRIMERO. </w:t>
            </w:r>
            <w:r w:rsidR="00D17FC2" w:rsidRPr="00DA79BF">
              <w:rPr>
                <w:rStyle w:val="Hipervnculo"/>
                <w:rFonts w:ascii="Palatino Linotype" w:hAnsi="Palatino Linotype"/>
                <w:noProof/>
              </w:rPr>
              <w:t>Competencia</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_Toc219296231 \h </w:instrText>
            </w:r>
            <w:r w:rsidR="00D17FC2" w:rsidRPr="00DA79BF">
              <w:rPr>
                <w:noProof/>
                <w:webHidden/>
              </w:rPr>
            </w:r>
            <w:r w:rsidR="00D17FC2" w:rsidRPr="00DA79BF">
              <w:rPr>
                <w:noProof/>
                <w:webHidden/>
              </w:rPr>
              <w:fldChar w:fldCharType="separate"/>
            </w:r>
            <w:r w:rsidR="00392867">
              <w:rPr>
                <w:noProof/>
                <w:webHidden/>
              </w:rPr>
              <w:t>5</w:t>
            </w:r>
            <w:r w:rsidR="00D17FC2" w:rsidRPr="00DA79BF">
              <w:rPr>
                <w:noProof/>
                <w:webHidden/>
              </w:rPr>
              <w:fldChar w:fldCharType="end"/>
            </w:r>
          </w:hyperlink>
        </w:p>
        <w:p w14:paraId="6676EAFB" w14:textId="46163273" w:rsidR="00D17FC2" w:rsidRPr="00DA79BF" w:rsidRDefault="00B34D1C">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32" w:history="1">
            <w:r w:rsidR="00D17FC2" w:rsidRPr="00DA79BF">
              <w:rPr>
                <w:rStyle w:val="Hipervnculo"/>
                <w:rFonts w:ascii="Palatino Linotype" w:eastAsia="Calibri" w:hAnsi="Palatino Linotype"/>
                <w:noProof/>
                <w:lang w:eastAsia="es-MX"/>
              </w:rPr>
              <w:t>SEGUNDO. Causales de improcedencia y sobreseimiento</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_Toc219296232 \h </w:instrText>
            </w:r>
            <w:r w:rsidR="00D17FC2" w:rsidRPr="00DA79BF">
              <w:rPr>
                <w:noProof/>
                <w:webHidden/>
              </w:rPr>
            </w:r>
            <w:r w:rsidR="00D17FC2" w:rsidRPr="00DA79BF">
              <w:rPr>
                <w:noProof/>
                <w:webHidden/>
              </w:rPr>
              <w:fldChar w:fldCharType="separate"/>
            </w:r>
            <w:r w:rsidR="00392867">
              <w:rPr>
                <w:noProof/>
                <w:webHidden/>
              </w:rPr>
              <w:t>6</w:t>
            </w:r>
            <w:r w:rsidR="00D17FC2" w:rsidRPr="00DA79BF">
              <w:rPr>
                <w:noProof/>
                <w:webHidden/>
              </w:rPr>
              <w:fldChar w:fldCharType="end"/>
            </w:r>
          </w:hyperlink>
        </w:p>
        <w:p w14:paraId="7B2198DD" w14:textId="226E72C5" w:rsidR="00D17FC2" w:rsidRPr="00DA79BF" w:rsidRDefault="00B34D1C">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33" w:history="1">
            <w:r w:rsidR="00D17FC2" w:rsidRPr="00DA79BF">
              <w:rPr>
                <w:rStyle w:val="Hipervnculo"/>
                <w:rFonts w:ascii="Palatino Linotype" w:eastAsia="Calibri" w:hAnsi="Palatino Linotype" w:cs="Arial"/>
                <w:noProof/>
                <w:lang w:eastAsia="es-ES_tradnl"/>
              </w:rPr>
              <w:t>Causales de sobreseimiento</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_Toc219296233 \h </w:instrText>
            </w:r>
            <w:r w:rsidR="00D17FC2" w:rsidRPr="00DA79BF">
              <w:rPr>
                <w:noProof/>
                <w:webHidden/>
              </w:rPr>
            </w:r>
            <w:r w:rsidR="00D17FC2" w:rsidRPr="00DA79BF">
              <w:rPr>
                <w:noProof/>
                <w:webHidden/>
              </w:rPr>
              <w:fldChar w:fldCharType="separate"/>
            </w:r>
            <w:r w:rsidR="00392867">
              <w:rPr>
                <w:noProof/>
                <w:webHidden/>
              </w:rPr>
              <w:t>6</w:t>
            </w:r>
            <w:r w:rsidR="00D17FC2" w:rsidRPr="00DA79BF">
              <w:rPr>
                <w:noProof/>
                <w:webHidden/>
              </w:rPr>
              <w:fldChar w:fldCharType="end"/>
            </w:r>
          </w:hyperlink>
        </w:p>
        <w:p w14:paraId="52F255E3" w14:textId="2CC0A2B1" w:rsidR="00D17FC2" w:rsidRPr="00DA79BF" w:rsidRDefault="00B34D1C">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34" w:history="1">
            <w:r w:rsidR="00D17FC2" w:rsidRPr="00DA79BF">
              <w:rPr>
                <w:rStyle w:val="Hipervnculo"/>
                <w:rFonts w:ascii="Palatino Linotype" w:eastAsia="Calibri" w:hAnsi="Palatino Linotype"/>
                <w:noProof/>
                <w:lang w:eastAsia="es-ES_tradnl"/>
              </w:rPr>
              <w:t>TERCERO. Determinación de la Controversia</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_Toc219296234 \h </w:instrText>
            </w:r>
            <w:r w:rsidR="00D17FC2" w:rsidRPr="00DA79BF">
              <w:rPr>
                <w:noProof/>
                <w:webHidden/>
              </w:rPr>
            </w:r>
            <w:r w:rsidR="00D17FC2" w:rsidRPr="00DA79BF">
              <w:rPr>
                <w:noProof/>
                <w:webHidden/>
              </w:rPr>
              <w:fldChar w:fldCharType="separate"/>
            </w:r>
            <w:r w:rsidR="00392867">
              <w:rPr>
                <w:noProof/>
                <w:webHidden/>
              </w:rPr>
              <w:t>7</w:t>
            </w:r>
            <w:r w:rsidR="00D17FC2" w:rsidRPr="00DA79BF">
              <w:rPr>
                <w:noProof/>
                <w:webHidden/>
              </w:rPr>
              <w:fldChar w:fldCharType="end"/>
            </w:r>
          </w:hyperlink>
        </w:p>
        <w:p w14:paraId="35D5CC31" w14:textId="2736D670" w:rsidR="00D17FC2" w:rsidRPr="00DA79BF" w:rsidRDefault="00B34D1C">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35" w:history="1">
            <w:r w:rsidR="00D17FC2" w:rsidRPr="00DA79BF">
              <w:rPr>
                <w:rStyle w:val="Hipervnculo"/>
                <w:rFonts w:ascii="Palatino Linotype" w:eastAsia="Calibri" w:hAnsi="Palatino Linotype" w:cs="Arial"/>
                <w:noProof/>
                <w:lang w:eastAsia="es-ES_tradnl"/>
              </w:rPr>
              <w:t>CUARTO. Marco normativo aplicable en materia de transparencia y acceso a la información pública</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_Toc219296235 \h </w:instrText>
            </w:r>
            <w:r w:rsidR="00D17FC2" w:rsidRPr="00DA79BF">
              <w:rPr>
                <w:noProof/>
                <w:webHidden/>
              </w:rPr>
            </w:r>
            <w:r w:rsidR="00D17FC2" w:rsidRPr="00DA79BF">
              <w:rPr>
                <w:noProof/>
                <w:webHidden/>
              </w:rPr>
              <w:fldChar w:fldCharType="separate"/>
            </w:r>
            <w:r w:rsidR="00392867">
              <w:rPr>
                <w:noProof/>
                <w:webHidden/>
              </w:rPr>
              <w:t>7</w:t>
            </w:r>
            <w:r w:rsidR="00D17FC2" w:rsidRPr="00DA79BF">
              <w:rPr>
                <w:noProof/>
                <w:webHidden/>
              </w:rPr>
              <w:fldChar w:fldCharType="end"/>
            </w:r>
          </w:hyperlink>
        </w:p>
        <w:p w14:paraId="66074EC3" w14:textId="590600E2" w:rsidR="00D17FC2" w:rsidRPr="00DA79BF" w:rsidRDefault="00B34D1C">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36" w:history="1">
            <w:r w:rsidR="00D17FC2" w:rsidRPr="00DA79BF">
              <w:rPr>
                <w:rStyle w:val="Hipervnculo"/>
                <w:rFonts w:ascii="Palatino Linotype" w:eastAsia="Calibri" w:hAnsi="Palatino Linotype"/>
                <w:noProof/>
                <w:lang w:eastAsia="es-ES_tradnl"/>
              </w:rPr>
              <w:t>QUINTO. Estudio de Fondo</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_Toc219296236 \h </w:instrText>
            </w:r>
            <w:r w:rsidR="00D17FC2" w:rsidRPr="00DA79BF">
              <w:rPr>
                <w:noProof/>
                <w:webHidden/>
              </w:rPr>
            </w:r>
            <w:r w:rsidR="00D17FC2" w:rsidRPr="00DA79BF">
              <w:rPr>
                <w:noProof/>
                <w:webHidden/>
              </w:rPr>
              <w:fldChar w:fldCharType="separate"/>
            </w:r>
            <w:r w:rsidR="00392867">
              <w:rPr>
                <w:noProof/>
                <w:webHidden/>
              </w:rPr>
              <w:t>8</w:t>
            </w:r>
            <w:r w:rsidR="00D17FC2" w:rsidRPr="00DA79BF">
              <w:rPr>
                <w:noProof/>
                <w:webHidden/>
              </w:rPr>
              <w:fldChar w:fldCharType="end"/>
            </w:r>
          </w:hyperlink>
        </w:p>
        <w:p w14:paraId="41657C4F" w14:textId="51425BA4" w:rsidR="00D17FC2" w:rsidRPr="00DA79BF" w:rsidRDefault="00B34D1C">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37" w:history="1">
            <w:r w:rsidR="00D17FC2" w:rsidRPr="00DA79BF">
              <w:rPr>
                <w:rStyle w:val="Hipervnculo"/>
                <w:rFonts w:ascii="Palatino Linotype" w:hAnsi="Palatino Linotype"/>
                <w:noProof/>
              </w:rPr>
              <w:t>SEXTO. Decisión</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_Toc219296237 \h </w:instrText>
            </w:r>
            <w:r w:rsidR="00D17FC2" w:rsidRPr="00DA79BF">
              <w:rPr>
                <w:noProof/>
                <w:webHidden/>
              </w:rPr>
            </w:r>
            <w:r w:rsidR="00D17FC2" w:rsidRPr="00DA79BF">
              <w:rPr>
                <w:noProof/>
                <w:webHidden/>
              </w:rPr>
              <w:fldChar w:fldCharType="separate"/>
            </w:r>
            <w:r w:rsidR="00392867">
              <w:rPr>
                <w:noProof/>
                <w:webHidden/>
              </w:rPr>
              <w:t>28</w:t>
            </w:r>
            <w:r w:rsidR="00D17FC2" w:rsidRPr="00DA79BF">
              <w:rPr>
                <w:noProof/>
                <w:webHidden/>
              </w:rPr>
              <w:fldChar w:fldCharType="end"/>
            </w:r>
          </w:hyperlink>
        </w:p>
        <w:p w14:paraId="6D5ECAFF" w14:textId="1B8532BA" w:rsidR="00D17FC2" w:rsidRPr="00DA79BF" w:rsidRDefault="00B34D1C">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96238" w:history="1">
            <w:r w:rsidR="00D17FC2" w:rsidRPr="00DA79BF">
              <w:rPr>
                <w:rStyle w:val="Hipervnculo"/>
                <w:rFonts w:ascii="Palatino Linotype" w:eastAsia="Calibri" w:hAnsi="Palatino Linotype"/>
                <w:noProof/>
                <w:lang w:eastAsia="en-US"/>
              </w:rPr>
              <w:t>R E S U E L V E</w:t>
            </w:r>
            <w:r w:rsidR="00D17FC2" w:rsidRPr="00DA79BF">
              <w:rPr>
                <w:noProof/>
                <w:webHidden/>
              </w:rPr>
              <w:tab/>
            </w:r>
            <w:r w:rsidR="00D17FC2" w:rsidRPr="00DA79BF">
              <w:rPr>
                <w:noProof/>
                <w:webHidden/>
              </w:rPr>
              <w:fldChar w:fldCharType="begin"/>
            </w:r>
            <w:r w:rsidR="00D17FC2" w:rsidRPr="00DA79BF">
              <w:rPr>
                <w:noProof/>
                <w:webHidden/>
              </w:rPr>
              <w:instrText xml:space="preserve"> PAGEREF _Toc219296238 \h </w:instrText>
            </w:r>
            <w:r w:rsidR="00D17FC2" w:rsidRPr="00DA79BF">
              <w:rPr>
                <w:noProof/>
                <w:webHidden/>
              </w:rPr>
            </w:r>
            <w:r w:rsidR="00D17FC2" w:rsidRPr="00DA79BF">
              <w:rPr>
                <w:noProof/>
                <w:webHidden/>
              </w:rPr>
              <w:fldChar w:fldCharType="separate"/>
            </w:r>
            <w:r w:rsidR="00392867">
              <w:rPr>
                <w:noProof/>
                <w:webHidden/>
              </w:rPr>
              <w:t>29</w:t>
            </w:r>
            <w:r w:rsidR="00D17FC2" w:rsidRPr="00DA79BF">
              <w:rPr>
                <w:noProof/>
                <w:webHidden/>
              </w:rPr>
              <w:fldChar w:fldCharType="end"/>
            </w:r>
          </w:hyperlink>
        </w:p>
        <w:p w14:paraId="65F05B46" w14:textId="689E92D8" w:rsidR="00342378" w:rsidRPr="00FB571A" w:rsidRDefault="00342378">
          <w:r w:rsidRPr="00DA79BF">
            <w:rPr>
              <w:rFonts w:ascii="Palatino Linotype" w:hAnsi="Palatino Linotype"/>
              <w:bCs/>
              <w:sz w:val="22"/>
              <w:szCs w:val="22"/>
              <w:lang w:val="es-ES"/>
            </w:rPr>
            <w:fldChar w:fldCharType="end"/>
          </w:r>
        </w:p>
      </w:sdtContent>
    </w:sdt>
    <w:p w14:paraId="50EA88BC" w14:textId="77777777" w:rsidR="00ED76AF" w:rsidRPr="00FB571A" w:rsidRDefault="00ED76AF" w:rsidP="006B0B50">
      <w:pPr>
        <w:tabs>
          <w:tab w:val="left" w:pos="3969"/>
        </w:tabs>
        <w:spacing w:line="360" w:lineRule="auto"/>
        <w:contextualSpacing/>
        <w:jc w:val="both"/>
        <w:rPr>
          <w:rFonts w:ascii="Palatino Linotype" w:hAnsi="Palatino Linotype" w:cs="Tahoma"/>
          <w:bCs/>
          <w:sz w:val="22"/>
          <w:szCs w:val="22"/>
        </w:rPr>
      </w:pPr>
    </w:p>
    <w:p w14:paraId="508C7B3F" w14:textId="77777777" w:rsidR="00501E1B" w:rsidRPr="00FB571A" w:rsidRDefault="00501E1B" w:rsidP="006B0B50">
      <w:pPr>
        <w:tabs>
          <w:tab w:val="left" w:pos="3969"/>
        </w:tabs>
        <w:spacing w:line="360" w:lineRule="auto"/>
        <w:contextualSpacing/>
        <w:jc w:val="both"/>
        <w:rPr>
          <w:rFonts w:ascii="Palatino Linotype" w:hAnsi="Palatino Linotype" w:cs="Tahoma"/>
          <w:bCs/>
          <w:sz w:val="22"/>
          <w:szCs w:val="22"/>
        </w:rPr>
      </w:pPr>
    </w:p>
    <w:p w14:paraId="38610FC1"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7EA64038"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4AFA8DC4" w14:textId="77777777" w:rsidR="00342378" w:rsidRDefault="00342378" w:rsidP="006B0B50">
      <w:pPr>
        <w:tabs>
          <w:tab w:val="left" w:pos="3969"/>
        </w:tabs>
        <w:spacing w:line="360" w:lineRule="auto"/>
        <w:contextualSpacing/>
        <w:jc w:val="both"/>
        <w:rPr>
          <w:rFonts w:ascii="Palatino Linotype" w:hAnsi="Palatino Linotype" w:cs="Tahoma"/>
          <w:bCs/>
          <w:sz w:val="22"/>
          <w:szCs w:val="22"/>
        </w:rPr>
      </w:pPr>
    </w:p>
    <w:p w14:paraId="091D87ED" w14:textId="77777777" w:rsidR="00DB28B1" w:rsidRDefault="00DB28B1" w:rsidP="006B0B50">
      <w:pPr>
        <w:tabs>
          <w:tab w:val="left" w:pos="3969"/>
        </w:tabs>
        <w:spacing w:line="360" w:lineRule="auto"/>
        <w:contextualSpacing/>
        <w:jc w:val="both"/>
        <w:rPr>
          <w:rFonts w:ascii="Palatino Linotype" w:hAnsi="Palatino Linotype" w:cs="Tahoma"/>
          <w:bCs/>
          <w:sz w:val="22"/>
          <w:szCs w:val="22"/>
        </w:rPr>
      </w:pPr>
    </w:p>
    <w:p w14:paraId="4CF43BE8" w14:textId="77777777" w:rsidR="00DB28B1" w:rsidRDefault="00DB28B1" w:rsidP="006B0B50">
      <w:pPr>
        <w:tabs>
          <w:tab w:val="left" w:pos="3969"/>
        </w:tabs>
        <w:spacing w:line="360" w:lineRule="auto"/>
        <w:contextualSpacing/>
        <w:jc w:val="both"/>
        <w:rPr>
          <w:rFonts w:ascii="Palatino Linotype" w:hAnsi="Palatino Linotype" w:cs="Tahoma"/>
          <w:bCs/>
          <w:sz w:val="22"/>
          <w:szCs w:val="22"/>
        </w:rPr>
      </w:pPr>
    </w:p>
    <w:p w14:paraId="50AAFE95" w14:textId="77777777" w:rsidR="00DB28B1" w:rsidRPr="00FB571A" w:rsidRDefault="00DB28B1" w:rsidP="00FF426B">
      <w:pPr>
        <w:spacing w:line="360" w:lineRule="auto"/>
        <w:contextualSpacing/>
        <w:jc w:val="both"/>
        <w:rPr>
          <w:rFonts w:ascii="Palatino Linotype" w:hAnsi="Palatino Linotype" w:cs="Tahoma"/>
          <w:bCs/>
          <w:sz w:val="22"/>
          <w:szCs w:val="22"/>
        </w:rPr>
      </w:pPr>
    </w:p>
    <w:p w14:paraId="587991A9" w14:textId="05200F5D" w:rsidR="00037A85" w:rsidRDefault="00037A85">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09727DDA" w14:textId="77777777" w:rsidR="00F16C86" w:rsidRDefault="00F16C86" w:rsidP="00FF426B">
      <w:pPr>
        <w:spacing w:line="360" w:lineRule="auto"/>
        <w:contextualSpacing/>
        <w:jc w:val="both"/>
        <w:rPr>
          <w:rFonts w:ascii="Palatino Linotype" w:hAnsi="Palatino Linotype" w:cs="Tahoma"/>
          <w:bCs/>
          <w:sz w:val="22"/>
          <w:szCs w:val="22"/>
        </w:rPr>
      </w:pPr>
    </w:p>
    <w:p w14:paraId="4AF58906" w14:textId="4AD5DC55"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F16C86">
        <w:rPr>
          <w:rFonts w:ascii="Palatino Linotype" w:hAnsi="Palatino Linotype" w:cs="Tahoma"/>
          <w:bCs/>
          <w:sz w:val="22"/>
          <w:szCs w:val="22"/>
        </w:rPr>
        <w:t>veintiuno</w:t>
      </w:r>
      <w:r w:rsidR="0044216D">
        <w:rPr>
          <w:rFonts w:ascii="Palatino Linotype" w:hAnsi="Palatino Linotype" w:cs="Tahoma"/>
          <w:bCs/>
          <w:sz w:val="22"/>
          <w:szCs w:val="22"/>
        </w:rPr>
        <w:t xml:space="preserve"> de enero</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44216D">
        <w:rPr>
          <w:rFonts w:ascii="Palatino Linotype" w:hAnsi="Palatino Linotype" w:cs="Tahoma"/>
          <w:bCs/>
          <w:sz w:val="22"/>
          <w:szCs w:val="22"/>
        </w:rPr>
        <w:t>séis</w:t>
      </w:r>
      <w:r w:rsidRPr="00FB571A">
        <w:rPr>
          <w:rFonts w:ascii="Palatino Linotype" w:hAnsi="Palatino Linotype" w:cs="Tahoma"/>
          <w:bCs/>
          <w:sz w:val="22"/>
          <w:szCs w:val="22"/>
        </w:rPr>
        <w:t>.</w:t>
      </w:r>
    </w:p>
    <w:p w14:paraId="48967E6D" w14:textId="77777777" w:rsidR="00E35DF9" w:rsidRPr="00FB571A" w:rsidRDefault="00E35DF9" w:rsidP="00FF426B">
      <w:pPr>
        <w:spacing w:line="360" w:lineRule="auto"/>
        <w:contextualSpacing/>
        <w:jc w:val="both"/>
        <w:rPr>
          <w:rFonts w:ascii="Palatino Linotype" w:hAnsi="Palatino Linotype" w:cs="Tahoma"/>
          <w:bCs/>
          <w:sz w:val="22"/>
          <w:szCs w:val="22"/>
        </w:rPr>
      </w:pPr>
    </w:p>
    <w:p w14:paraId="507CEDDE" w14:textId="49EA33DA"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F16C86">
        <w:rPr>
          <w:rFonts w:ascii="Palatino Linotype" w:hAnsi="Palatino Linotype" w:cs="Tahoma"/>
          <w:b/>
          <w:bCs/>
          <w:color w:val="0D0D0D" w:themeColor="text1" w:themeTint="F2"/>
          <w:sz w:val="22"/>
          <w:szCs w:val="22"/>
        </w:rPr>
        <w:t>13851</w:t>
      </w:r>
      <w:r w:rsidR="0089175F" w:rsidRPr="00FB571A">
        <w:rPr>
          <w:rFonts w:ascii="Palatino Linotype" w:hAnsi="Palatino Linotype" w:cs="Tahoma"/>
          <w:b/>
          <w:bCs/>
          <w:color w:val="0D0D0D" w:themeColor="text1" w:themeTint="F2"/>
          <w:sz w:val="22"/>
          <w:szCs w:val="22"/>
        </w:rPr>
        <w:t>/INFOEM/IP/RR/202</w:t>
      </w:r>
      <w:r w:rsidR="00CD10BF" w:rsidRPr="00FB571A">
        <w:rPr>
          <w:rFonts w:ascii="Palatino Linotype" w:hAnsi="Palatino Linotype" w:cs="Tahoma"/>
          <w:b/>
          <w:bCs/>
          <w:color w:val="0D0D0D" w:themeColor="text1" w:themeTint="F2"/>
          <w:sz w:val="22"/>
          <w:szCs w:val="22"/>
        </w:rPr>
        <w:t>5</w:t>
      </w:r>
      <w:r w:rsidR="0089175F" w:rsidRPr="00FB571A">
        <w:rPr>
          <w:rFonts w:ascii="Palatino Linotype" w:hAnsi="Palatino Linotype" w:cs="Tahoma"/>
          <w:b/>
          <w:bCs/>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383BDB" w:rsidRPr="00FB571A">
        <w:rPr>
          <w:rFonts w:ascii="Palatino Linotype" w:hAnsi="Palatino Linotype" w:cs="Tahoma"/>
          <w:bCs/>
          <w:color w:val="0D0D0D" w:themeColor="text1" w:themeTint="F2"/>
          <w:sz w:val="22"/>
          <w:szCs w:val="22"/>
        </w:rPr>
        <w:t xml:space="preserve"> </w:t>
      </w:r>
      <w:r w:rsidR="00CD52E7" w:rsidRPr="00FB571A">
        <w:rPr>
          <w:rFonts w:ascii="Palatino Linotype" w:hAnsi="Palatino Linotype" w:cs="Tahoma"/>
          <w:color w:val="0D0D0D" w:themeColor="text1" w:themeTint="F2"/>
          <w:sz w:val="22"/>
          <w:szCs w:val="22"/>
        </w:rPr>
        <w:t>un</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Recurrente o Particular, en contra de la respuesta del Sujeto Obligado</w:t>
      </w:r>
      <w:r w:rsidRPr="00FB571A">
        <w:rPr>
          <w:rFonts w:ascii="Palatino Linotype" w:hAnsi="Palatino Linotype"/>
          <w:sz w:val="22"/>
          <w:szCs w:val="22"/>
        </w:rPr>
        <w:t xml:space="preserve"> </w:t>
      </w:r>
      <w:r w:rsidR="00F16C86">
        <w:rPr>
          <w:rFonts w:ascii="Palatino Linotype" w:eastAsia="Calibri" w:hAnsi="Palatino Linotype" w:cs="Tahoma"/>
          <w:b/>
          <w:bCs/>
          <w:sz w:val="22"/>
          <w:szCs w:val="22"/>
          <w:lang w:eastAsia="en-US"/>
        </w:rPr>
        <w:t>Ayuntamiento de Toluca</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63BE486B" w14:textId="77777777" w:rsidR="00BB1F81" w:rsidRPr="00FB571A" w:rsidRDefault="00BB1F81" w:rsidP="00FF426B">
      <w:pPr>
        <w:spacing w:line="360" w:lineRule="auto"/>
        <w:contextualSpacing/>
        <w:jc w:val="both"/>
        <w:rPr>
          <w:rFonts w:ascii="Palatino Linotype" w:hAnsi="Palatino Linotype" w:cs="Tahoma"/>
          <w:b/>
          <w:color w:val="0D0D0D" w:themeColor="text1" w:themeTint="F2"/>
          <w:sz w:val="18"/>
          <w:szCs w:val="22"/>
        </w:rPr>
      </w:pPr>
    </w:p>
    <w:p w14:paraId="15ED2ADB" w14:textId="77777777" w:rsidR="00E35DF9" w:rsidRPr="00FB571A" w:rsidRDefault="00E35DF9" w:rsidP="00342378">
      <w:pPr>
        <w:pStyle w:val="Ttulo1"/>
        <w:jc w:val="center"/>
        <w:rPr>
          <w:rFonts w:ascii="Palatino Linotype" w:hAnsi="Palatino Linotype"/>
          <w:b/>
          <w:sz w:val="22"/>
          <w:szCs w:val="22"/>
        </w:rPr>
      </w:pPr>
      <w:bookmarkStart w:id="2" w:name="_Toc219296225"/>
      <w:r w:rsidRPr="00FB571A">
        <w:rPr>
          <w:rFonts w:ascii="Palatino Linotype" w:hAnsi="Palatino Linotype"/>
          <w:b/>
          <w:color w:val="auto"/>
          <w:sz w:val="22"/>
          <w:szCs w:val="22"/>
        </w:rPr>
        <w:t>A N T E C E D E N T E S</w:t>
      </w:r>
      <w:bookmarkEnd w:id="2"/>
    </w:p>
    <w:p w14:paraId="4691E24F" w14:textId="77777777" w:rsidR="001E7B8B" w:rsidRPr="00FB571A" w:rsidRDefault="001E7B8B" w:rsidP="00FF426B">
      <w:pPr>
        <w:pStyle w:val="Prrafodelista"/>
        <w:tabs>
          <w:tab w:val="left" w:pos="567"/>
        </w:tabs>
        <w:spacing w:line="360" w:lineRule="auto"/>
        <w:ind w:left="0"/>
        <w:jc w:val="both"/>
        <w:rPr>
          <w:rFonts w:ascii="Palatino Linotype" w:hAnsi="Palatino Linotype" w:cs="Tahoma"/>
          <w:b/>
          <w:szCs w:val="22"/>
        </w:rPr>
      </w:pPr>
    </w:p>
    <w:p w14:paraId="65A3C6DD" w14:textId="77777777" w:rsidR="00E35DF9" w:rsidRPr="00DB28B1" w:rsidRDefault="00E35DF9" w:rsidP="00DB28B1">
      <w:pPr>
        <w:pStyle w:val="Ttulo2"/>
        <w:rPr>
          <w:rFonts w:ascii="Palatino Linotype" w:hAnsi="Palatino Linotype"/>
          <w:b/>
          <w:color w:val="auto"/>
          <w:sz w:val="22"/>
          <w:szCs w:val="22"/>
        </w:rPr>
      </w:pPr>
      <w:bookmarkStart w:id="3" w:name="_Toc219296226"/>
      <w:r w:rsidRPr="00DB28B1">
        <w:rPr>
          <w:rFonts w:ascii="Palatino Linotype" w:hAnsi="Palatino Linotype"/>
          <w:b/>
          <w:color w:val="auto"/>
          <w:sz w:val="22"/>
          <w:szCs w:val="22"/>
        </w:rPr>
        <w:t>I. Presentación de la solicitud de información</w:t>
      </w:r>
      <w:bookmarkEnd w:id="3"/>
    </w:p>
    <w:p w14:paraId="57110824" w14:textId="77777777" w:rsidR="00E35DF9" w:rsidRPr="00FB571A"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43723095" w14:textId="27CFCC6A" w:rsidR="00E35DF9" w:rsidRPr="00FB571A" w:rsidRDefault="00BB1F81" w:rsidP="00FF426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F16C86">
        <w:rPr>
          <w:rFonts w:ascii="Palatino Linotype" w:hAnsi="Palatino Linotype" w:cs="Tahoma"/>
          <w:sz w:val="22"/>
          <w:szCs w:val="22"/>
        </w:rPr>
        <w:t>seis</w:t>
      </w:r>
      <w:r w:rsidR="0044216D">
        <w:rPr>
          <w:rFonts w:ascii="Palatino Linotype" w:hAnsi="Palatino Linotype" w:cs="Tahoma"/>
          <w:sz w:val="22"/>
          <w:szCs w:val="22"/>
        </w:rPr>
        <w:t xml:space="preserve"> de noviembre</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F16C86">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F16C86">
        <w:rPr>
          <w:rFonts w:ascii="Palatino Linotype" w:hAnsi="Palatino Linotype" w:cs="Tahoma"/>
          <w:b/>
          <w:bCs/>
          <w:sz w:val="22"/>
          <w:szCs w:val="22"/>
        </w:rPr>
        <w:t>Ayuntamiento de Toluca</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F16C86" w:rsidRPr="00F16C86">
        <w:rPr>
          <w:rFonts w:ascii="Palatino Linotype" w:hAnsi="Palatino Linotype" w:cs="Tahoma"/>
          <w:b/>
          <w:bCs/>
          <w:sz w:val="22"/>
          <w:szCs w:val="22"/>
        </w:rPr>
        <w:t>05947/TOLUCA/IP/2025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0EBEA65D" w14:textId="77777777" w:rsidR="00D807FB" w:rsidRPr="00FB571A" w:rsidRDefault="00D807FB" w:rsidP="00FF426B">
      <w:pPr>
        <w:tabs>
          <w:tab w:val="left" w:pos="567"/>
        </w:tabs>
        <w:spacing w:line="360" w:lineRule="auto"/>
        <w:contextualSpacing/>
        <w:jc w:val="both"/>
        <w:rPr>
          <w:rFonts w:ascii="Palatino Linotype" w:hAnsi="Palatino Linotype" w:cs="Tahoma"/>
          <w:sz w:val="22"/>
        </w:rPr>
      </w:pPr>
    </w:p>
    <w:p w14:paraId="4300F648" w14:textId="77777777" w:rsidR="00D807FB" w:rsidRPr="00FB571A"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16F5005A" w14:textId="79F7DC1B" w:rsidR="000F2B83" w:rsidRPr="00FB571A"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F16C86" w:rsidRPr="00F16C86">
        <w:rPr>
          <w:rFonts w:ascii="Palatino Linotype" w:hAnsi="Palatino Linotype"/>
          <w:i/>
          <w:iCs/>
          <w:color w:val="000000"/>
          <w:sz w:val="20"/>
          <w:szCs w:val="20"/>
        </w:rPr>
        <w:t xml:space="preserve">El recibo de nómina donde se demuestre que o se le pago la quincena a Ricardo Moreno Bastida cuando solicito licencia por temas personales y todos los recibos de nómina de la quincena 1 a la quincena 22 de 2025 que correspondan a Ricardo Moreno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501B2827" w14:textId="77777777" w:rsidR="007E4927" w:rsidRPr="00FB571A"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3CE0477F" w14:textId="2575DABC" w:rsidR="00E35DF9"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F16C86" w:rsidRPr="00F16C86">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2DF9FCB7" w14:textId="77777777" w:rsidR="00F16C86" w:rsidRDefault="00F16C86" w:rsidP="00062387">
      <w:pPr>
        <w:pStyle w:val="Prrafodelista"/>
        <w:tabs>
          <w:tab w:val="left" w:pos="567"/>
        </w:tabs>
        <w:spacing w:line="360" w:lineRule="auto"/>
        <w:ind w:left="567" w:right="539"/>
        <w:jc w:val="both"/>
        <w:rPr>
          <w:rFonts w:ascii="Palatino Linotype" w:hAnsi="Palatino Linotype" w:cs="Tahoma"/>
          <w:i/>
          <w:sz w:val="20"/>
          <w:szCs w:val="22"/>
        </w:rPr>
      </w:pPr>
    </w:p>
    <w:p w14:paraId="1AFC38CE" w14:textId="77777777" w:rsidR="00F16C86" w:rsidRDefault="00F16C86" w:rsidP="00062387">
      <w:pPr>
        <w:pStyle w:val="Prrafodelista"/>
        <w:tabs>
          <w:tab w:val="left" w:pos="567"/>
        </w:tabs>
        <w:spacing w:line="360" w:lineRule="auto"/>
        <w:ind w:left="567" w:right="539"/>
        <w:jc w:val="both"/>
        <w:rPr>
          <w:rFonts w:ascii="Palatino Linotype" w:hAnsi="Palatino Linotype" w:cs="Tahoma"/>
          <w:i/>
          <w:sz w:val="20"/>
          <w:szCs w:val="22"/>
        </w:rPr>
      </w:pPr>
    </w:p>
    <w:p w14:paraId="07B606C4" w14:textId="77777777" w:rsidR="00681D84" w:rsidRPr="00FB571A" w:rsidRDefault="00954EDD" w:rsidP="00342378">
      <w:pPr>
        <w:pStyle w:val="Ttulo2"/>
      </w:pPr>
      <w:bookmarkStart w:id="4" w:name="_Toc219296227"/>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4"/>
    </w:p>
    <w:p w14:paraId="6D2E5223" w14:textId="77777777" w:rsidR="00E0128F" w:rsidRPr="0069524C" w:rsidRDefault="00E0128F" w:rsidP="00FF426B">
      <w:pPr>
        <w:pStyle w:val="Prrafodelista"/>
        <w:tabs>
          <w:tab w:val="left" w:pos="567"/>
        </w:tabs>
        <w:spacing w:line="360" w:lineRule="auto"/>
        <w:ind w:left="0"/>
        <w:jc w:val="both"/>
        <w:rPr>
          <w:rFonts w:ascii="Palatino Linotype" w:hAnsi="Palatino Linotype" w:cs="Tahoma"/>
          <w:b/>
        </w:rPr>
      </w:pPr>
    </w:p>
    <w:p w14:paraId="2511FDBF" w14:textId="76015479" w:rsidR="00C67329"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F16C86">
        <w:rPr>
          <w:rFonts w:ascii="Palatino Linotype" w:hAnsi="Palatino Linotype" w:cs="Tahoma"/>
          <w:sz w:val="22"/>
          <w:szCs w:val="22"/>
        </w:rPr>
        <w:t>veintisiete</w:t>
      </w:r>
      <w:r w:rsidR="00C67329">
        <w:rPr>
          <w:rFonts w:ascii="Palatino Linotype" w:hAnsi="Palatino Linotype" w:cs="Tahoma"/>
          <w:sz w:val="22"/>
          <w:szCs w:val="22"/>
        </w:rPr>
        <w:t xml:space="preserve"> de noviembre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w:t>
      </w:r>
      <w:r w:rsidR="006C5C1E">
        <w:rPr>
          <w:rFonts w:ascii="Palatino Linotype" w:hAnsi="Palatino Linotype" w:cs="Tahoma"/>
          <w:sz w:val="22"/>
          <w:szCs w:val="22"/>
        </w:rPr>
        <w:t xml:space="preserve"> la que </w:t>
      </w:r>
      <w:r w:rsidR="00F16C86">
        <w:rPr>
          <w:rFonts w:ascii="Palatino Linotype" w:hAnsi="Palatino Linotype" w:cs="Tahoma"/>
          <w:sz w:val="22"/>
          <w:szCs w:val="22"/>
        </w:rPr>
        <w:t xml:space="preserve">adjuntó un oficio suscrito por la Directora de Recursos Humanos en el que </w:t>
      </w:r>
      <w:r w:rsidR="00C67329">
        <w:rPr>
          <w:rFonts w:ascii="Palatino Linotype" w:hAnsi="Palatino Linotype" w:cs="Tahoma"/>
          <w:sz w:val="22"/>
          <w:szCs w:val="22"/>
        </w:rPr>
        <w:t>señaló lo siguiente:</w:t>
      </w:r>
    </w:p>
    <w:p w14:paraId="3E404873" w14:textId="77777777" w:rsidR="00487265" w:rsidRDefault="00487265" w:rsidP="009C323D">
      <w:pPr>
        <w:autoSpaceDE w:val="0"/>
        <w:autoSpaceDN w:val="0"/>
        <w:adjustRightInd w:val="0"/>
        <w:spacing w:line="360" w:lineRule="auto"/>
        <w:contextualSpacing/>
        <w:jc w:val="both"/>
        <w:rPr>
          <w:rFonts w:ascii="Palatino Linotype" w:hAnsi="Palatino Linotype" w:cs="Tahoma"/>
          <w:sz w:val="22"/>
          <w:szCs w:val="22"/>
        </w:rPr>
      </w:pPr>
    </w:p>
    <w:p w14:paraId="4328493B" w14:textId="77777777" w:rsidR="00487265" w:rsidRDefault="00487265" w:rsidP="00487265">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3359C6EA" w14:textId="77777777" w:rsidR="00F16C86" w:rsidRPr="00F16C86" w:rsidRDefault="00F16C86" w:rsidP="00F16C86">
      <w:pPr>
        <w:autoSpaceDE w:val="0"/>
        <w:autoSpaceDN w:val="0"/>
        <w:adjustRightInd w:val="0"/>
        <w:spacing w:line="360" w:lineRule="auto"/>
        <w:ind w:left="567" w:right="539"/>
        <w:contextualSpacing/>
        <w:jc w:val="both"/>
        <w:rPr>
          <w:rFonts w:ascii="Palatino Linotype" w:hAnsi="Palatino Linotype" w:cs="Tahoma"/>
          <w:i/>
          <w:iCs/>
          <w:lang w:val="es-ES_tradnl"/>
        </w:rPr>
      </w:pPr>
      <w:r w:rsidRPr="00F16C86">
        <w:rPr>
          <w:rFonts w:ascii="Palatino Linotype" w:hAnsi="Palatino Linotype" w:cs="Tahoma"/>
          <w:i/>
          <w:iCs/>
          <w:lang w:val="es-ES_tradnl"/>
        </w:rPr>
        <w:t>Me permito hacer de su conocimiento que la información, la podrá consultar en la página de internet:</w:t>
      </w:r>
    </w:p>
    <w:p w14:paraId="1630D242" w14:textId="77777777" w:rsidR="00F16C86" w:rsidRPr="00F16C86" w:rsidRDefault="00F16C86" w:rsidP="00F16C86">
      <w:pPr>
        <w:autoSpaceDE w:val="0"/>
        <w:autoSpaceDN w:val="0"/>
        <w:adjustRightInd w:val="0"/>
        <w:spacing w:line="360" w:lineRule="auto"/>
        <w:ind w:left="567" w:right="539"/>
        <w:contextualSpacing/>
        <w:jc w:val="both"/>
        <w:rPr>
          <w:rFonts w:ascii="Palatino Linotype" w:hAnsi="Palatino Linotype" w:cs="Tahoma"/>
          <w:b/>
          <w:i/>
          <w:iCs/>
        </w:rPr>
      </w:pPr>
    </w:p>
    <w:p w14:paraId="69FED9E2" w14:textId="77777777" w:rsidR="00F16C86" w:rsidRPr="00F16C86" w:rsidRDefault="00B34D1C" w:rsidP="00F16C86">
      <w:pPr>
        <w:autoSpaceDE w:val="0"/>
        <w:autoSpaceDN w:val="0"/>
        <w:adjustRightInd w:val="0"/>
        <w:spacing w:line="360" w:lineRule="auto"/>
        <w:ind w:left="567" w:right="539"/>
        <w:contextualSpacing/>
        <w:jc w:val="both"/>
        <w:rPr>
          <w:rFonts w:ascii="Palatino Linotype" w:hAnsi="Palatino Linotype" w:cs="Tahoma"/>
          <w:b/>
          <w:i/>
          <w:iCs/>
          <w:lang w:val="es-ES_tradnl"/>
        </w:rPr>
      </w:pPr>
      <w:hyperlink r:id="rId8" w:anchor="/info-fraccion/11/197/28" w:history="1">
        <w:r w:rsidR="00F16C86" w:rsidRPr="00F16C86">
          <w:rPr>
            <w:rStyle w:val="Hipervnculo"/>
            <w:rFonts w:ascii="Palatino Linotype" w:hAnsi="Palatino Linotype" w:cs="Tahoma"/>
            <w:b/>
            <w:i/>
            <w:iCs/>
            <w:lang w:val="es-ES_tradnl"/>
          </w:rPr>
          <w:t>https://ipomex.org.mx/ipomex/#/info-fraccion/11/197/28</w:t>
        </w:r>
      </w:hyperlink>
      <w:r w:rsidR="00F16C86" w:rsidRPr="00F16C86">
        <w:rPr>
          <w:rFonts w:ascii="Palatino Linotype" w:hAnsi="Palatino Linotype" w:cs="Tahoma"/>
          <w:b/>
          <w:i/>
          <w:iCs/>
          <w:lang w:val="es-ES_tradnl"/>
        </w:rPr>
        <w:t xml:space="preserve">       remuneraciones</w:t>
      </w:r>
    </w:p>
    <w:p w14:paraId="70F99DDF" w14:textId="77777777" w:rsidR="00F16C86" w:rsidRPr="00F16C86" w:rsidRDefault="00F16C86" w:rsidP="00F16C86">
      <w:pPr>
        <w:autoSpaceDE w:val="0"/>
        <w:autoSpaceDN w:val="0"/>
        <w:adjustRightInd w:val="0"/>
        <w:spacing w:line="360" w:lineRule="auto"/>
        <w:ind w:left="567" w:right="539"/>
        <w:contextualSpacing/>
        <w:jc w:val="both"/>
        <w:rPr>
          <w:rFonts w:ascii="Palatino Linotype" w:hAnsi="Palatino Linotype" w:cs="Tahoma"/>
          <w:i/>
          <w:iCs/>
          <w:lang w:val="es-ES_tradnl"/>
        </w:rPr>
      </w:pPr>
    </w:p>
    <w:p w14:paraId="332A6DFF" w14:textId="77777777" w:rsidR="00F16C86" w:rsidRPr="00F16C86" w:rsidRDefault="00F16C86" w:rsidP="00F16C86">
      <w:pPr>
        <w:autoSpaceDE w:val="0"/>
        <w:autoSpaceDN w:val="0"/>
        <w:adjustRightInd w:val="0"/>
        <w:spacing w:line="360" w:lineRule="auto"/>
        <w:ind w:left="567" w:right="539"/>
        <w:contextualSpacing/>
        <w:jc w:val="both"/>
        <w:rPr>
          <w:rFonts w:ascii="Palatino Linotype" w:hAnsi="Palatino Linotype" w:cs="Tahoma"/>
          <w:i/>
          <w:iCs/>
          <w:lang w:val="es-ES_tradnl"/>
        </w:rPr>
      </w:pPr>
      <w:r w:rsidRPr="00F16C86">
        <w:rPr>
          <w:rFonts w:ascii="Palatino Linotype" w:hAnsi="Palatino Linotype" w:cs="Tahoma"/>
          <w:i/>
          <w:iCs/>
          <w:lang w:val="es-ES_tradnl"/>
        </w:rPr>
        <w:t>Lo anterior de conformidad con el artículo 12 párrafo segundo de la ley de Transparencia y Acceso a la Información Pública del Estado de México y Municipios; en el que se establece que los sujetos obligados sólo proporcionarán la información pública que se les requiera y obre en sus archivos y en el estado en que se encuentre. La obligación de proporcionar la información no comprende el procesamiento de la misma, ni el presentarla conforme al interés del solicitante; no estarán obligados a generarla, resumirla, efectuar cálculos o practicar investigaciones.</w:t>
      </w:r>
    </w:p>
    <w:p w14:paraId="196EB0FC" w14:textId="77777777" w:rsidR="00487265" w:rsidRPr="00487265" w:rsidRDefault="00487265" w:rsidP="00487265">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46886F1D" w14:textId="77777777" w:rsidR="00487265" w:rsidRDefault="00487265" w:rsidP="009C323D">
      <w:pPr>
        <w:autoSpaceDE w:val="0"/>
        <w:autoSpaceDN w:val="0"/>
        <w:adjustRightInd w:val="0"/>
        <w:spacing w:line="360" w:lineRule="auto"/>
        <w:contextualSpacing/>
        <w:jc w:val="both"/>
        <w:rPr>
          <w:rFonts w:ascii="Palatino Linotype" w:hAnsi="Palatino Linotype" w:cs="Tahoma"/>
          <w:sz w:val="22"/>
          <w:szCs w:val="22"/>
        </w:rPr>
      </w:pPr>
    </w:p>
    <w:p w14:paraId="7B1B94E2" w14:textId="77777777" w:rsidR="001A412B" w:rsidRPr="00FB571A" w:rsidRDefault="007812D1" w:rsidP="00342378">
      <w:pPr>
        <w:pStyle w:val="Ttulo2"/>
        <w:rPr>
          <w:rFonts w:ascii="Palatino Linotype" w:hAnsi="Palatino Linotype" w:cs="Tahoma"/>
          <w:b/>
          <w:color w:val="auto"/>
          <w:sz w:val="22"/>
          <w:szCs w:val="22"/>
        </w:rPr>
      </w:pPr>
      <w:bookmarkStart w:id="5" w:name="_Toc219296228"/>
      <w:bookmarkEnd w:id="1"/>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5"/>
    </w:p>
    <w:p w14:paraId="6C2B8AC6" w14:textId="77777777" w:rsidR="00F87649" w:rsidRPr="00FB571A"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5D77C4B1" w14:textId="2907E147" w:rsidR="009A7587" w:rsidRPr="00FB571A" w:rsidRDefault="009A7587" w:rsidP="00FF426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F16C86">
        <w:rPr>
          <w:rFonts w:ascii="Palatino Linotype" w:hAnsi="Palatino Linotype" w:cs="Tahoma"/>
          <w:sz w:val="22"/>
          <w:szCs w:val="22"/>
        </w:rPr>
        <w:t xml:space="preserve">cinco </w:t>
      </w:r>
      <w:r w:rsidR="006C5C1E">
        <w:rPr>
          <w:rFonts w:ascii="Palatino Linotype" w:hAnsi="Palatino Linotype" w:cs="Tahoma"/>
          <w:sz w:val="22"/>
          <w:szCs w:val="22"/>
        </w:rPr>
        <w:t xml:space="preserve">de </w:t>
      </w:r>
      <w:r w:rsidR="00F16C86">
        <w:rPr>
          <w:rFonts w:ascii="Palatino Linotype" w:hAnsi="Palatino Linotype" w:cs="Tahoma"/>
          <w:sz w:val="22"/>
          <w:szCs w:val="22"/>
        </w:rPr>
        <w:t xml:space="preserve">diciembre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56C19064" w14:textId="77777777" w:rsidR="00AB6595" w:rsidRPr="00FB571A" w:rsidRDefault="00AB6595" w:rsidP="00FF57AD">
      <w:pPr>
        <w:tabs>
          <w:tab w:val="left" w:pos="4995"/>
        </w:tabs>
        <w:spacing w:line="360" w:lineRule="auto"/>
        <w:contextualSpacing/>
        <w:jc w:val="both"/>
        <w:rPr>
          <w:rFonts w:ascii="Palatino Linotype" w:hAnsi="Palatino Linotype" w:cs="Tahoma"/>
          <w:sz w:val="22"/>
          <w:szCs w:val="22"/>
        </w:rPr>
      </w:pPr>
    </w:p>
    <w:p w14:paraId="5ACD4137" w14:textId="77777777" w:rsidR="00D5699B" w:rsidRPr="00FB571A" w:rsidRDefault="00D5699B" w:rsidP="00FF426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0F4BC29C" w14:textId="19BBEFA3" w:rsidR="003D1770" w:rsidRPr="00FB571A" w:rsidRDefault="007E4927" w:rsidP="00FF426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F16C86" w:rsidRPr="00F16C86">
        <w:rPr>
          <w:rFonts w:ascii="Palatino Linotype" w:hAnsi="Palatino Linotype" w:cs="Tahoma"/>
          <w:bCs/>
          <w:i/>
          <w:szCs w:val="22"/>
        </w:rPr>
        <w:t xml:space="preserve">la información </w:t>
      </w:r>
      <w:proofErr w:type="spellStart"/>
      <w:r w:rsidR="00F16C86" w:rsidRPr="00F16C86">
        <w:rPr>
          <w:rFonts w:ascii="Palatino Linotype" w:hAnsi="Palatino Linotype" w:cs="Tahoma"/>
          <w:bCs/>
          <w:i/>
          <w:szCs w:val="22"/>
        </w:rPr>
        <w:t>esta</w:t>
      </w:r>
      <w:proofErr w:type="spellEnd"/>
      <w:r w:rsidR="00F16C86" w:rsidRPr="00F16C86">
        <w:rPr>
          <w:rFonts w:ascii="Palatino Linotype" w:hAnsi="Palatino Linotype" w:cs="Tahoma"/>
          <w:bCs/>
          <w:i/>
          <w:szCs w:val="22"/>
        </w:rPr>
        <w:t xml:space="preserve"> incompleta no </w:t>
      </w:r>
      <w:proofErr w:type="spellStart"/>
      <w:r w:rsidR="00F16C86" w:rsidRPr="00F16C86">
        <w:rPr>
          <w:rFonts w:ascii="Palatino Linotype" w:hAnsi="Palatino Linotype" w:cs="Tahoma"/>
          <w:bCs/>
          <w:i/>
          <w:szCs w:val="22"/>
        </w:rPr>
        <w:t>esta</w:t>
      </w:r>
      <w:proofErr w:type="spellEnd"/>
      <w:r w:rsidR="00F16C86" w:rsidRPr="00F16C86">
        <w:rPr>
          <w:rFonts w:ascii="Palatino Linotype" w:hAnsi="Palatino Linotype" w:cs="Tahoma"/>
          <w:bCs/>
          <w:i/>
          <w:szCs w:val="22"/>
        </w:rPr>
        <w:t xml:space="preserve"> todo lo solicitado falta </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6875962A" w14:textId="77777777" w:rsidR="00CE2F19" w:rsidRDefault="00CE2F19" w:rsidP="00CE2F19">
      <w:pPr>
        <w:spacing w:line="360" w:lineRule="auto"/>
        <w:ind w:left="567" w:right="539"/>
        <w:contextualSpacing/>
        <w:jc w:val="both"/>
        <w:rPr>
          <w:rFonts w:ascii="Palatino Linotype" w:hAnsi="Palatino Linotype" w:cs="Tahoma"/>
          <w:bCs/>
          <w:szCs w:val="22"/>
        </w:rPr>
      </w:pPr>
    </w:p>
    <w:p w14:paraId="6107D540" w14:textId="77777777" w:rsidR="0069524C" w:rsidRPr="00FB571A" w:rsidRDefault="0069524C" w:rsidP="00CE2F19">
      <w:pPr>
        <w:spacing w:line="360" w:lineRule="auto"/>
        <w:ind w:left="567" w:right="539"/>
        <w:contextualSpacing/>
        <w:jc w:val="both"/>
        <w:rPr>
          <w:rFonts w:ascii="Palatino Linotype" w:hAnsi="Palatino Linotype" w:cs="Tahoma"/>
          <w:bCs/>
          <w:szCs w:val="22"/>
        </w:rPr>
      </w:pPr>
    </w:p>
    <w:p w14:paraId="020EABA5" w14:textId="77777777" w:rsidR="00CE2F19" w:rsidRPr="00FB571A" w:rsidRDefault="00CE2F19" w:rsidP="00CE2F19">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lastRenderedPageBreak/>
        <w:t>RAZONES O MOTIVOS DE LA INCONFORMIDAD</w:t>
      </w:r>
    </w:p>
    <w:p w14:paraId="07DB7904" w14:textId="1DA6F7A6" w:rsidR="00CE2F19" w:rsidRPr="00FB571A" w:rsidRDefault="00CE2F19" w:rsidP="00CE2F19">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6" w:name="_Hlk181699048"/>
      <w:r w:rsidR="00F16C86" w:rsidRPr="00F16C86">
        <w:rPr>
          <w:rFonts w:ascii="Palatino Linotype" w:hAnsi="Palatino Linotype" w:cs="Tahoma"/>
          <w:bCs/>
          <w:i/>
          <w:szCs w:val="24"/>
        </w:rPr>
        <w:t xml:space="preserve">la información </w:t>
      </w:r>
      <w:proofErr w:type="spellStart"/>
      <w:r w:rsidR="00F16C86" w:rsidRPr="00F16C86">
        <w:rPr>
          <w:rFonts w:ascii="Palatino Linotype" w:hAnsi="Palatino Linotype" w:cs="Tahoma"/>
          <w:bCs/>
          <w:i/>
          <w:szCs w:val="24"/>
        </w:rPr>
        <w:t>esta</w:t>
      </w:r>
      <w:proofErr w:type="spellEnd"/>
      <w:r w:rsidR="00F16C86" w:rsidRPr="00F16C86">
        <w:rPr>
          <w:rFonts w:ascii="Palatino Linotype" w:hAnsi="Palatino Linotype" w:cs="Tahoma"/>
          <w:bCs/>
          <w:i/>
          <w:szCs w:val="24"/>
        </w:rPr>
        <w:t xml:space="preserve"> incompleta no </w:t>
      </w:r>
      <w:proofErr w:type="spellStart"/>
      <w:r w:rsidR="00F16C86" w:rsidRPr="00F16C86">
        <w:rPr>
          <w:rFonts w:ascii="Palatino Linotype" w:hAnsi="Palatino Linotype" w:cs="Tahoma"/>
          <w:bCs/>
          <w:i/>
          <w:szCs w:val="24"/>
        </w:rPr>
        <w:t>esta</w:t>
      </w:r>
      <w:proofErr w:type="spellEnd"/>
      <w:r w:rsidR="00F16C86" w:rsidRPr="00F16C86">
        <w:rPr>
          <w:rFonts w:ascii="Palatino Linotype" w:hAnsi="Palatino Linotype" w:cs="Tahoma"/>
          <w:bCs/>
          <w:i/>
          <w:szCs w:val="24"/>
        </w:rPr>
        <w:t xml:space="preserve"> todo lo solicitado falta</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09BE380B" w14:textId="77777777" w:rsidR="00342378" w:rsidRPr="00FB571A" w:rsidRDefault="00342378" w:rsidP="00342378">
      <w:pPr>
        <w:spacing w:line="360" w:lineRule="auto"/>
        <w:ind w:right="539"/>
        <w:contextualSpacing/>
        <w:jc w:val="both"/>
        <w:rPr>
          <w:rFonts w:ascii="Palatino Linotype" w:hAnsi="Palatino Linotype" w:cs="Tahoma"/>
          <w:bCs/>
          <w:i/>
          <w:szCs w:val="24"/>
        </w:rPr>
      </w:pPr>
    </w:p>
    <w:p w14:paraId="6178C132" w14:textId="77777777" w:rsidR="009A7587" w:rsidRPr="00FB571A" w:rsidRDefault="00BF4B55" w:rsidP="00342378">
      <w:pPr>
        <w:pStyle w:val="Ttulo2"/>
        <w:rPr>
          <w:rFonts w:ascii="Palatino Linotype" w:eastAsia="Batang" w:hAnsi="Palatino Linotype" w:cs="Tahoma"/>
          <w:b/>
          <w:bCs/>
          <w:color w:val="auto"/>
          <w:sz w:val="22"/>
          <w:szCs w:val="22"/>
        </w:rPr>
      </w:pPr>
      <w:bookmarkStart w:id="7" w:name="_Toc219296229"/>
      <w:bookmarkEnd w:id="6"/>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7"/>
    </w:p>
    <w:p w14:paraId="7098897C" w14:textId="77777777" w:rsidR="007E4927" w:rsidRPr="00FB571A" w:rsidRDefault="007E4927" w:rsidP="00FF426B">
      <w:pPr>
        <w:spacing w:line="360" w:lineRule="auto"/>
        <w:contextualSpacing/>
        <w:jc w:val="both"/>
        <w:rPr>
          <w:rFonts w:ascii="Palatino Linotype" w:eastAsia="Batang" w:hAnsi="Palatino Linotype" w:cs="Tahoma"/>
          <w:b/>
          <w:bCs/>
          <w:sz w:val="22"/>
          <w:szCs w:val="22"/>
        </w:rPr>
      </w:pPr>
    </w:p>
    <w:p w14:paraId="26DF49B1" w14:textId="576EA682" w:rsidR="00C950E3" w:rsidRPr="00FB571A" w:rsidRDefault="009A7587" w:rsidP="00FF426B">
      <w:pPr>
        <w:spacing w:line="360" w:lineRule="auto"/>
        <w:contextualSpacing/>
        <w:jc w:val="both"/>
        <w:rPr>
          <w:rFonts w:ascii="Palatino Linotype" w:eastAsia="Batang" w:hAnsi="Palatino Linotype" w:cs="Tahoma"/>
          <w:bCs/>
          <w:sz w:val="22"/>
          <w:szCs w:val="22"/>
        </w:rPr>
      </w:pPr>
      <w:r w:rsidRPr="00D17FC2">
        <w:rPr>
          <w:rFonts w:ascii="Palatino Linotype" w:eastAsiaTheme="majorEastAsia" w:hAnsi="Palatino Linotype"/>
          <w:b/>
          <w:bCs/>
          <w:sz w:val="22"/>
          <w:szCs w:val="22"/>
        </w:rPr>
        <w:t>a) Turno del Recurso de Revisión.</w:t>
      </w:r>
      <w:r w:rsidRPr="00D17FC2">
        <w:rPr>
          <w:rFonts w:ascii="Palatino Linotype" w:eastAsia="Batang" w:hAnsi="Palatino Linotype" w:cs="Tahoma"/>
          <w:b/>
          <w:bCs/>
          <w:sz w:val="24"/>
          <w:szCs w:val="24"/>
        </w:rPr>
        <w:t xml:space="preserve"> </w:t>
      </w:r>
      <w:r w:rsidR="00A06844" w:rsidRPr="00FB571A">
        <w:rPr>
          <w:rFonts w:ascii="Palatino Linotype" w:eastAsia="Batang" w:hAnsi="Palatino Linotype" w:cs="Tahoma"/>
          <w:bCs/>
          <w:sz w:val="22"/>
          <w:szCs w:val="22"/>
        </w:rPr>
        <w:t xml:space="preserve">El </w:t>
      </w:r>
      <w:r w:rsidR="00F16C86">
        <w:rPr>
          <w:rFonts w:ascii="Palatino Linotype" w:hAnsi="Palatino Linotype" w:cs="Tahoma"/>
          <w:sz w:val="22"/>
          <w:szCs w:val="22"/>
        </w:rPr>
        <w:t>cinco de diciembre</w:t>
      </w:r>
      <w:r w:rsidR="006C5C1E">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F16C86">
        <w:rPr>
          <w:rFonts w:ascii="Palatino Linotype" w:eastAsia="Batang" w:hAnsi="Palatino Linotype" w:cs="Tahoma"/>
          <w:b/>
          <w:bCs/>
          <w:sz w:val="22"/>
          <w:szCs w:val="22"/>
        </w:rPr>
        <w:t>13851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5F1AD7A7" w14:textId="77777777" w:rsidR="00D5699B" w:rsidRPr="00FB571A" w:rsidRDefault="00D5699B" w:rsidP="00FF426B">
      <w:pPr>
        <w:spacing w:line="360" w:lineRule="auto"/>
        <w:contextualSpacing/>
        <w:jc w:val="both"/>
        <w:rPr>
          <w:rFonts w:ascii="Palatino Linotype" w:eastAsia="Batang" w:hAnsi="Palatino Linotype" w:cs="Tahoma"/>
          <w:b/>
          <w:bCs/>
          <w:sz w:val="22"/>
          <w:szCs w:val="22"/>
        </w:rPr>
      </w:pPr>
    </w:p>
    <w:p w14:paraId="23CFFF08" w14:textId="22DF11C4" w:rsidR="00253937" w:rsidRPr="00FB571A" w:rsidRDefault="009A7587" w:rsidP="00FF426B">
      <w:pPr>
        <w:spacing w:line="360" w:lineRule="auto"/>
        <w:contextualSpacing/>
        <w:jc w:val="both"/>
        <w:rPr>
          <w:rFonts w:ascii="Palatino Linotype" w:hAnsi="Palatino Linotype" w:cs="Tahoma"/>
          <w:bCs/>
          <w:sz w:val="22"/>
          <w:szCs w:val="22"/>
          <w:lang w:val="es-ES_tradnl"/>
        </w:rPr>
      </w:pPr>
      <w:r w:rsidRPr="00D17FC2">
        <w:rPr>
          <w:rFonts w:ascii="Palatino Linotype" w:eastAsiaTheme="majorEastAsia" w:hAnsi="Palatino Linotype"/>
          <w:b/>
          <w:bCs/>
          <w:sz w:val="22"/>
          <w:szCs w:val="22"/>
        </w:rPr>
        <w:t>b) Admisión del Recurso de Revisión.</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F16C86">
        <w:rPr>
          <w:rFonts w:ascii="Palatino Linotype" w:hAnsi="Palatino Linotype" w:cs="Tahoma"/>
          <w:sz w:val="22"/>
          <w:szCs w:val="22"/>
        </w:rPr>
        <w:t>diez</w:t>
      </w:r>
      <w:r w:rsidR="00487265">
        <w:rPr>
          <w:rFonts w:ascii="Palatino Linotype" w:hAnsi="Palatino Linotype" w:cs="Tahoma"/>
          <w:sz w:val="22"/>
          <w:szCs w:val="22"/>
        </w:rPr>
        <w:t xml:space="preserve"> de diciembre</w:t>
      </w:r>
      <w:r w:rsidR="006C5C1E">
        <w:rPr>
          <w:rFonts w:ascii="Palatino Linotype" w:hAnsi="Palatino Linotype" w:cs="Tahoma"/>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7D7795D1" w14:textId="77777777" w:rsidR="00253937" w:rsidRPr="00FB571A" w:rsidRDefault="00253937" w:rsidP="00FF426B">
      <w:pPr>
        <w:spacing w:line="360" w:lineRule="auto"/>
        <w:contextualSpacing/>
        <w:jc w:val="both"/>
        <w:rPr>
          <w:rFonts w:ascii="Palatino Linotype" w:hAnsi="Palatino Linotype" w:cs="Tahoma"/>
          <w:bCs/>
          <w:sz w:val="22"/>
          <w:szCs w:val="22"/>
          <w:lang w:val="es-ES_tradnl"/>
        </w:rPr>
      </w:pPr>
    </w:p>
    <w:p w14:paraId="5F206D74" w14:textId="060D459D" w:rsidR="00F16C86" w:rsidRPr="006F7A99" w:rsidRDefault="00F16C86" w:rsidP="00F16C86">
      <w:pPr>
        <w:spacing w:line="360" w:lineRule="auto"/>
        <w:jc w:val="both"/>
        <w:rPr>
          <w:rFonts w:ascii="Palatino Linotype" w:eastAsia="Palatino Linotype" w:hAnsi="Palatino Linotype" w:cs="Palatino Linotype"/>
          <w:color w:val="000000"/>
          <w:sz w:val="22"/>
          <w:szCs w:val="22"/>
          <w:lang w:eastAsia="es-MX"/>
        </w:rPr>
      </w:pPr>
      <w:bookmarkStart w:id="8" w:name="_Toc190261914"/>
      <w:bookmarkStart w:id="9" w:name="_Toc196917718"/>
      <w:r w:rsidRPr="006F7A99">
        <w:rPr>
          <w:rFonts w:ascii="Palatino Linotype" w:eastAsia="Palatino Linotype" w:hAnsi="Palatino Linotype" w:cs="Palatino Linotype"/>
          <w:b/>
          <w:color w:val="000000"/>
          <w:sz w:val="22"/>
          <w:szCs w:val="22"/>
          <w:lang w:eastAsia="es-MX"/>
        </w:rPr>
        <w:t xml:space="preserve">c) Informe Justificado. </w:t>
      </w:r>
      <w:r w:rsidRPr="006F7A99">
        <w:rPr>
          <w:rFonts w:ascii="Palatino Linotype" w:eastAsia="Palatino Linotype" w:hAnsi="Palatino Linotype" w:cs="Palatino Linotype"/>
          <w:color w:val="000000"/>
          <w:sz w:val="22"/>
          <w:szCs w:val="22"/>
          <w:lang w:eastAsia="es-MX"/>
        </w:rPr>
        <w:t xml:space="preserve">El </w:t>
      </w:r>
      <w:r>
        <w:rPr>
          <w:rFonts w:ascii="Palatino Linotype" w:eastAsia="Palatino Linotype" w:hAnsi="Palatino Linotype" w:cs="Palatino Linotype"/>
          <w:color w:val="000000"/>
          <w:sz w:val="22"/>
          <w:szCs w:val="22"/>
          <w:lang w:eastAsia="es-MX"/>
        </w:rPr>
        <w:t>dieciocho y diecinueve</w:t>
      </w:r>
      <w:r w:rsidRPr="006F7A99">
        <w:rPr>
          <w:rFonts w:ascii="Palatino Linotype" w:eastAsia="Palatino Linotype" w:hAnsi="Palatino Linotype" w:cs="Palatino Linotype"/>
          <w:color w:val="000000"/>
          <w:sz w:val="22"/>
          <w:szCs w:val="22"/>
          <w:lang w:eastAsia="es-MX"/>
        </w:rPr>
        <w:t xml:space="preserve"> de diciembre de dos mil veinticinco, a través del Sistema de Acceso a la Información Mexiquense (SAIMEX), se recibió en este Instituto el informe justificado por parte del Sujeto Obligado, por medio del cual</w:t>
      </w:r>
      <w:r>
        <w:rPr>
          <w:rFonts w:ascii="Palatino Linotype" w:eastAsia="Palatino Linotype" w:hAnsi="Palatino Linotype" w:cs="Palatino Linotype"/>
          <w:color w:val="000000"/>
          <w:sz w:val="22"/>
          <w:szCs w:val="22"/>
          <w:lang w:eastAsia="es-MX"/>
        </w:rPr>
        <w:t xml:space="preserve"> ratificó su respuesta.</w:t>
      </w:r>
    </w:p>
    <w:p w14:paraId="7C3F55FA" w14:textId="77777777" w:rsidR="00F16C86" w:rsidRPr="006F7A99" w:rsidRDefault="00F16C86" w:rsidP="00F16C86">
      <w:pPr>
        <w:spacing w:line="360" w:lineRule="auto"/>
        <w:jc w:val="both"/>
        <w:rPr>
          <w:rFonts w:ascii="Palatino Linotype" w:eastAsia="Palatino Linotype" w:hAnsi="Palatino Linotype" w:cs="Palatino Linotype"/>
          <w:color w:val="000000"/>
          <w:sz w:val="22"/>
          <w:szCs w:val="22"/>
          <w:lang w:eastAsia="es-MX"/>
        </w:rPr>
      </w:pPr>
    </w:p>
    <w:p w14:paraId="24D25A33" w14:textId="3592C249" w:rsidR="00F16C86" w:rsidRPr="006F7A99" w:rsidRDefault="00F16C86" w:rsidP="00F16C86">
      <w:pPr>
        <w:spacing w:line="360" w:lineRule="auto"/>
        <w:jc w:val="both"/>
        <w:rPr>
          <w:rFonts w:ascii="Palatino Linotype" w:eastAsia="Palatino Linotype" w:hAnsi="Palatino Linotype" w:cs="Palatino Linotype"/>
          <w:b/>
          <w:color w:val="000000"/>
          <w:sz w:val="22"/>
          <w:szCs w:val="22"/>
          <w:lang w:eastAsia="es-MX"/>
        </w:rPr>
      </w:pPr>
      <w:r w:rsidRPr="006F7A99">
        <w:rPr>
          <w:rFonts w:ascii="Palatino Linotype" w:eastAsia="Palatino Linotype" w:hAnsi="Palatino Linotype" w:cs="Palatino Linotype"/>
          <w:b/>
          <w:color w:val="000000"/>
          <w:sz w:val="22"/>
          <w:szCs w:val="22"/>
          <w:lang w:eastAsia="es-MX"/>
        </w:rPr>
        <w:t xml:space="preserve">d) Vista del Informe Justificado. </w:t>
      </w:r>
      <w:r w:rsidRPr="006F7A99">
        <w:rPr>
          <w:rFonts w:ascii="Palatino Linotype" w:eastAsia="Palatino Linotype" w:hAnsi="Palatino Linotype" w:cs="Palatino Linotype"/>
          <w:color w:val="000000"/>
          <w:sz w:val="22"/>
          <w:szCs w:val="22"/>
          <w:lang w:eastAsia="es-MX"/>
        </w:rPr>
        <w:t xml:space="preserve">El </w:t>
      </w:r>
      <w:r>
        <w:rPr>
          <w:rFonts w:ascii="Palatino Linotype" w:eastAsia="Palatino Linotype" w:hAnsi="Palatino Linotype" w:cs="Palatino Linotype"/>
          <w:color w:val="000000"/>
          <w:sz w:val="22"/>
          <w:szCs w:val="22"/>
          <w:lang w:eastAsia="es-MX"/>
        </w:rPr>
        <w:t>trece</w:t>
      </w:r>
      <w:r w:rsidRPr="006F7A99">
        <w:rPr>
          <w:rFonts w:ascii="Palatino Linotype" w:eastAsia="Palatino Linotype" w:hAnsi="Palatino Linotype" w:cs="Palatino Linotype"/>
          <w:color w:val="000000"/>
          <w:sz w:val="22"/>
          <w:szCs w:val="22"/>
          <w:lang w:eastAsia="es-MX"/>
        </w:rPr>
        <w:t xml:space="preserve"> de enero de dos mil veintiséis, se dictó acuerdo por medio del cual se puso a la vista de la persona Recurrente el Informe Justificado entregado por el Sujeto Obligado, el cual fue notificado a las partes, el mismo día, a través del Sistema </w:t>
      </w:r>
      <w:r w:rsidRPr="006F7A99">
        <w:rPr>
          <w:rFonts w:ascii="Palatino Linotype" w:eastAsia="Palatino Linotype" w:hAnsi="Palatino Linotype" w:cs="Palatino Linotype"/>
          <w:color w:val="000000"/>
          <w:sz w:val="22"/>
          <w:szCs w:val="22"/>
          <w:lang w:eastAsia="es-MX"/>
        </w:rPr>
        <w:lastRenderedPageBreak/>
        <w:t xml:space="preserve">de Acceso a la Información Mexiquense (SAIMEX). </w:t>
      </w:r>
      <w:r w:rsidRPr="006F7A99">
        <w:rPr>
          <w:rFonts w:ascii="Palatino Linotype" w:eastAsia="Palatino Linotype" w:hAnsi="Palatino Linotype" w:cs="Palatino Linotype"/>
          <w:b/>
          <w:color w:val="000000"/>
          <w:sz w:val="22"/>
          <w:szCs w:val="22"/>
          <w:lang w:eastAsia="es-MX"/>
        </w:rPr>
        <w:t>Cabe señalar que el Particular fue omiso en realizar manifestación alguna.</w:t>
      </w:r>
    </w:p>
    <w:p w14:paraId="04E36EAC" w14:textId="77777777" w:rsidR="006C5C1E" w:rsidRDefault="006C5C1E" w:rsidP="006C5C1E">
      <w:pPr>
        <w:spacing w:line="360" w:lineRule="auto"/>
        <w:jc w:val="both"/>
        <w:rPr>
          <w:rStyle w:val="Ttulo3Car"/>
          <w:rFonts w:ascii="Palatino Linotype" w:hAnsi="Palatino Linotype"/>
          <w:b/>
          <w:color w:val="auto"/>
          <w:sz w:val="22"/>
        </w:rPr>
      </w:pPr>
    </w:p>
    <w:bookmarkEnd w:id="8"/>
    <w:bookmarkEnd w:id="9"/>
    <w:p w14:paraId="24197C40" w14:textId="048CD1CB" w:rsidR="00ED5DF5" w:rsidRPr="00FB571A" w:rsidRDefault="00F16C86" w:rsidP="00FF426B">
      <w:pPr>
        <w:spacing w:line="360" w:lineRule="auto"/>
        <w:jc w:val="both"/>
        <w:rPr>
          <w:rFonts w:ascii="Palatino Linotype" w:hAnsi="Palatino Linotype" w:cs="Tahoma"/>
          <w:sz w:val="22"/>
          <w:szCs w:val="22"/>
        </w:rPr>
      </w:pPr>
      <w:r w:rsidRPr="00D17FC2">
        <w:rPr>
          <w:rFonts w:ascii="Palatino Linotype" w:eastAsiaTheme="majorEastAsia" w:hAnsi="Palatino Linotype"/>
          <w:b/>
          <w:bCs/>
          <w:sz w:val="22"/>
          <w:szCs w:val="22"/>
        </w:rPr>
        <w:t>e</w:t>
      </w:r>
      <w:r w:rsidR="003B0501" w:rsidRPr="00D17FC2">
        <w:rPr>
          <w:rFonts w:ascii="Palatino Linotype" w:eastAsiaTheme="majorEastAsia" w:hAnsi="Palatino Linotype"/>
          <w:b/>
          <w:bCs/>
          <w:sz w:val="22"/>
          <w:szCs w:val="22"/>
        </w:rPr>
        <w:t>)</w:t>
      </w:r>
      <w:r w:rsidR="00C3485C" w:rsidRPr="00D17FC2">
        <w:rPr>
          <w:rFonts w:ascii="Palatino Linotype" w:eastAsiaTheme="majorEastAsia" w:hAnsi="Palatino Linotype"/>
          <w:b/>
          <w:bCs/>
          <w:sz w:val="22"/>
          <w:szCs w:val="22"/>
        </w:rPr>
        <w:t xml:space="preserve"> </w:t>
      </w:r>
      <w:r w:rsidR="00ED5DF5" w:rsidRPr="00D17FC2">
        <w:rPr>
          <w:rFonts w:ascii="Palatino Linotype" w:eastAsiaTheme="majorEastAsia" w:hAnsi="Palatino Linotype"/>
          <w:b/>
          <w:bCs/>
          <w:sz w:val="22"/>
          <w:szCs w:val="22"/>
        </w:rPr>
        <w:t>Cierre de instrucción.</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Pr>
          <w:rFonts w:ascii="Palatino Linotype" w:hAnsi="Palatino Linotype" w:cs="Tahoma"/>
          <w:sz w:val="22"/>
          <w:szCs w:val="22"/>
        </w:rPr>
        <w:t>veinte de enero de dos mil veintiséis</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00C06CD5" w14:textId="77777777" w:rsidR="0079675C" w:rsidRPr="00FB571A" w:rsidRDefault="0079675C" w:rsidP="00FF426B">
      <w:pPr>
        <w:spacing w:line="360" w:lineRule="auto"/>
        <w:jc w:val="both"/>
        <w:rPr>
          <w:rFonts w:ascii="Palatino Linotype" w:hAnsi="Palatino Linotype" w:cs="Tahoma"/>
          <w:sz w:val="22"/>
          <w:szCs w:val="22"/>
        </w:rPr>
      </w:pPr>
    </w:p>
    <w:p w14:paraId="711BE917" w14:textId="77777777" w:rsidR="004F2D88" w:rsidRDefault="004F2D88" w:rsidP="00FF426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1DEEB497" w14:textId="77777777" w:rsidR="00EA4E4A" w:rsidRPr="00FB571A" w:rsidRDefault="00EA4E4A" w:rsidP="00342378">
      <w:pPr>
        <w:pStyle w:val="Ttulo1"/>
        <w:jc w:val="center"/>
        <w:rPr>
          <w:rFonts w:ascii="Palatino Linotype" w:hAnsi="Palatino Linotype"/>
          <w:b/>
          <w:color w:val="auto"/>
          <w:sz w:val="22"/>
          <w:szCs w:val="22"/>
        </w:rPr>
      </w:pPr>
      <w:bookmarkStart w:id="10" w:name="_Toc219296230"/>
      <w:r w:rsidRPr="00FB571A">
        <w:rPr>
          <w:rFonts w:ascii="Palatino Linotype" w:hAnsi="Palatino Linotype"/>
          <w:b/>
          <w:color w:val="auto"/>
          <w:sz w:val="22"/>
          <w:szCs w:val="22"/>
        </w:rPr>
        <w:t>C O N S I D E R A N D O S</w:t>
      </w:r>
      <w:bookmarkEnd w:id="10"/>
    </w:p>
    <w:p w14:paraId="6992CC7C" w14:textId="77777777" w:rsidR="00EA4E4A" w:rsidRPr="00FB571A" w:rsidRDefault="00EA4E4A" w:rsidP="00FF426B">
      <w:pPr>
        <w:spacing w:line="360" w:lineRule="auto"/>
        <w:contextualSpacing/>
        <w:jc w:val="both"/>
        <w:rPr>
          <w:rFonts w:ascii="Palatino Linotype" w:hAnsi="Palatino Linotype" w:cs="Tahoma"/>
          <w:b/>
          <w:sz w:val="22"/>
          <w:szCs w:val="22"/>
        </w:rPr>
      </w:pPr>
    </w:p>
    <w:p w14:paraId="3FBBA3C3" w14:textId="77777777" w:rsidR="00EA4E4A" w:rsidRPr="00FB571A" w:rsidRDefault="00EA4E4A" w:rsidP="00342378">
      <w:pPr>
        <w:pStyle w:val="Ttulo2"/>
        <w:rPr>
          <w:rFonts w:ascii="Palatino Linotype" w:hAnsi="Palatino Linotype"/>
          <w:b/>
          <w:sz w:val="22"/>
          <w:szCs w:val="22"/>
        </w:rPr>
      </w:pPr>
      <w:bookmarkStart w:id="11" w:name="_Toc219296231"/>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1"/>
    </w:p>
    <w:p w14:paraId="1C864D34" w14:textId="77777777" w:rsidR="00EA4E4A" w:rsidRPr="00FB571A"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674C83CD" w14:textId="77777777" w:rsidR="006C5C1E" w:rsidRDefault="006C5C1E" w:rsidP="006C5C1E">
      <w:pPr>
        <w:spacing w:line="360" w:lineRule="auto"/>
        <w:contextualSpacing/>
        <w:jc w:val="both"/>
        <w:rPr>
          <w:rFonts w:ascii="Palatino Linotype" w:eastAsia="Calibri" w:hAnsi="Palatino Linotype" w:cs="Tahoma"/>
          <w:color w:val="000000"/>
          <w:sz w:val="22"/>
          <w:szCs w:val="22"/>
        </w:rPr>
      </w:pPr>
      <w:r w:rsidRPr="00A952A0">
        <w:rPr>
          <w:rFonts w:ascii="Palatino Linotype" w:eastAsia="Calibri"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A952A0">
        <w:rPr>
          <w:rFonts w:ascii="Palatino Linotype" w:eastAsia="Calibri" w:hAnsi="Palatino Linotype" w:cs="Tahoma"/>
          <w:color w:val="000000"/>
          <w:sz w:val="22"/>
          <w:szCs w:val="22"/>
        </w:rPr>
        <w:lastRenderedPageBreak/>
        <w:t>Transparencia, Acceso a la Información Pública y Protección de Datos Personales del Estado de México y Municipios.</w:t>
      </w:r>
    </w:p>
    <w:p w14:paraId="7D694D59" w14:textId="77777777" w:rsidR="00692D3D" w:rsidRDefault="00692D3D" w:rsidP="00342378">
      <w:pPr>
        <w:pStyle w:val="Ttulo2"/>
        <w:rPr>
          <w:rFonts w:ascii="Palatino Linotype" w:eastAsia="Calibri" w:hAnsi="Palatino Linotype"/>
          <w:b/>
          <w:color w:val="auto"/>
          <w:sz w:val="22"/>
          <w:szCs w:val="22"/>
          <w:lang w:eastAsia="es-MX"/>
        </w:rPr>
      </w:pPr>
    </w:p>
    <w:p w14:paraId="4BC95587" w14:textId="77777777" w:rsidR="00CE0B4C" w:rsidRPr="00FB571A" w:rsidRDefault="00CE0B4C" w:rsidP="00342378">
      <w:pPr>
        <w:pStyle w:val="Ttulo2"/>
        <w:rPr>
          <w:rFonts w:ascii="Palatino Linotype" w:eastAsia="Calibri" w:hAnsi="Palatino Linotype"/>
          <w:b/>
          <w:color w:val="auto"/>
          <w:sz w:val="22"/>
          <w:szCs w:val="22"/>
          <w:lang w:eastAsia="es-MX"/>
        </w:rPr>
      </w:pPr>
      <w:bookmarkStart w:id="12" w:name="_Toc219296232"/>
      <w:r w:rsidRPr="00FB571A">
        <w:rPr>
          <w:rFonts w:ascii="Palatino Linotype" w:eastAsia="Calibri" w:hAnsi="Palatino Linotype"/>
          <w:b/>
          <w:color w:val="auto"/>
          <w:sz w:val="22"/>
          <w:szCs w:val="22"/>
          <w:lang w:eastAsia="es-MX"/>
        </w:rPr>
        <w:t>SEGUNDO. Causales de improcedencia y sobreseimiento</w:t>
      </w:r>
      <w:bookmarkEnd w:id="12"/>
    </w:p>
    <w:p w14:paraId="05E3022D" w14:textId="77777777" w:rsidR="00566562" w:rsidRPr="00FB571A"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0D71B90"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494B64"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1DDFA58"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BD9D297" w14:textId="77777777" w:rsidR="00BF4B55" w:rsidRPr="00FB571A"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E70D5C7" w14:textId="77777777" w:rsidR="00CE0B4C" w:rsidRPr="00FB571A" w:rsidRDefault="00CE0B4C" w:rsidP="00342378">
      <w:pPr>
        <w:pStyle w:val="Ttulo3"/>
        <w:rPr>
          <w:rFonts w:ascii="Palatino Linotype" w:eastAsia="Calibri" w:hAnsi="Palatino Linotype" w:cs="Arial"/>
          <w:b/>
          <w:color w:val="auto"/>
          <w:sz w:val="22"/>
          <w:szCs w:val="22"/>
          <w:lang w:eastAsia="es-ES_tradnl"/>
        </w:rPr>
      </w:pPr>
      <w:bookmarkStart w:id="13" w:name="_Toc219296233"/>
      <w:r w:rsidRPr="00FB571A">
        <w:rPr>
          <w:rFonts w:ascii="Palatino Linotype" w:eastAsia="Calibri" w:hAnsi="Palatino Linotype" w:cs="Arial"/>
          <w:b/>
          <w:color w:val="auto"/>
          <w:sz w:val="22"/>
          <w:szCs w:val="22"/>
          <w:lang w:eastAsia="es-ES_tradnl"/>
        </w:rPr>
        <w:t>Causales de sobreseimiento</w:t>
      </w:r>
      <w:bookmarkEnd w:id="13"/>
    </w:p>
    <w:p w14:paraId="59C614D9"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p>
    <w:p w14:paraId="1F1AB5B5"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w:t>
      </w:r>
      <w:r w:rsidRPr="00FB571A">
        <w:rPr>
          <w:rFonts w:ascii="Palatino Linotype" w:hAnsi="Palatino Linotype" w:cs="Tahoma"/>
          <w:sz w:val="22"/>
          <w:szCs w:val="22"/>
        </w:rPr>
        <w:lastRenderedPageBreak/>
        <w:t xml:space="preserve">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5EB9914E" w14:textId="77777777" w:rsidR="00472490" w:rsidRPr="00FB571A" w:rsidRDefault="00472490" w:rsidP="00FF426B">
      <w:pPr>
        <w:spacing w:line="360" w:lineRule="auto"/>
        <w:jc w:val="both"/>
        <w:rPr>
          <w:rFonts w:ascii="Palatino Linotype" w:eastAsia="Calibri" w:hAnsi="Palatino Linotype" w:cs="Tahoma"/>
          <w:sz w:val="22"/>
          <w:szCs w:val="22"/>
          <w:lang w:eastAsia="es-ES_tradnl"/>
        </w:rPr>
      </w:pPr>
    </w:p>
    <w:p w14:paraId="10085227" w14:textId="77777777" w:rsidR="00CE0B4C" w:rsidRPr="00FB571A" w:rsidRDefault="00CE0B4C" w:rsidP="00FF5303">
      <w:pPr>
        <w:pStyle w:val="Ttulo2"/>
        <w:rPr>
          <w:rFonts w:ascii="Palatino Linotype" w:eastAsia="Calibri" w:hAnsi="Palatino Linotype"/>
          <w:b/>
          <w:color w:val="auto"/>
          <w:sz w:val="22"/>
          <w:lang w:val="es-ES" w:eastAsia="es-ES_tradnl"/>
        </w:rPr>
      </w:pPr>
      <w:bookmarkStart w:id="14" w:name="_Toc219296234"/>
      <w:r w:rsidRPr="00FB571A">
        <w:rPr>
          <w:rFonts w:ascii="Palatino Linotype" w:eastAsia="Calibri" w:hAnsi="Palatino Linotype"/>
          <w:b/>
          <w:color w:val="auto"/>
          <w:sz w:val="22"/>
          <w:lang w:eastAsia="es-ES_tradnl"/>
        </w:rPr>
        <w:t>TERCERO. Determinación de la Controversia</w:t>
      </w:r>
      <w:bookmarkEnd w:id="14"/>
    </w:p>
    <w:p w14:paraId="2A445C77"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5538B616" w14:textId="073135B3" w:rsidR="00037A85"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F16C86">
        <w:rPr>
          <w:rFonts w:ascii="Palatino Linotype" w:eastAsia="Calibri" w:hAnsi="Palatino Linotype" w:cs="Tahoma"/>
          <w:iCs/>
          <w:sz w:val="22"/>
          <w:szCs w:val="22"/>
          <w:lang w:val="es-ES" w:eastAsia="es-ES_tradnl"/>
        </w:rPr>
        <w:t>Ayuntamiento de Toluca</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037A85" w:rsidRPr="00037A85">
        <w:rPr>
          <w:rFonts w:ascii="Palatino Linotype" w:eastAsia="Calibri" w:hAnsi="Palatino Linotype" w:cs="Tahoma"/>
          <w:iCs/>
          <w:sz w:val="22"/>
          <w:szCs w:val="22"/>
          <w:lang w:val="es-ES" w:eastAsia="es-ES_tradnl"/>
        </w:rPr>
        <w:t xml:space="preserve">recibo de nómina donde se demuestre que </w:t>
      </w:r>
      <w:r w:rsidR="00037A85">
        <w:rPr>
          <w:rFonts w:ascii="Palatino Linotype" w:eastAsia="Calibri" w:hAnsi="Palatino Linotype" w:cs="Tahoma"/>
          <w:iCs/>
          <w:sz w:val="22"/>
          <w:szCs w:val="22"/>
          <w:lang w:val="es-ES" w:eastAsia="es-ES_tradnl"/>
        </w:rPr>
        <w:t>n</w:t>
      </w:r>
      <w:r w:rsidR="00037A85" w:rsidRPr="00037A85">
        <w:rPr>
          <w:rFonts w:ascii="Palatino Linotype" w:eastAsia="Calibri" w:hAnsi="Palatino Linotype" w:cs="Tahoma"/>
          <w:iCs/>
          <w:sz w:val="22"/>
          <w:szCs w:val="22"/>
          <w:lang w:val="es-ES" w:eastAsia="es-ES_tradnl"/>
        </w:rPr>
        <w:t xml:space="preserve">o se le pago la quincena a Ricardo Moreno Bastida cuando solicito licencia por temas personales y todos los recibos de nómina de la quincena 1 a la quincena 22 de 2025 que correspondan a </w:t>
      </w:r>
      <w:r w:rsidR="00037A85">
        <w:rPr>
          <w:rFonts w:ascii="Palatino Linotype" w:eastAsia="Calibri" w:hAnsi="Palatino Linotype" w:cs="Tahoma"/>
          <w:iCs/>
          <w:sz w:val="22"/>
          <w:szCs w:val="22"/>
          <w:lang w:val="es-ES" w:eastAsia="es-ES_tradnl"/>
        </w:rPr>
        <w:t>dicho servidor público.</w:t>
      </w:r>
    </w:p>
    <w:p w14:paraId="6A0AD5EA" w14:textId="77777777" w:rsidR="00037A85" w:rsidRDefault="00037A85" w:rsidP="00114DD7">
      <w:pPr>
        <w:tabs>
          <w:tab w:val="left" w:pos="4962"/>
        </w:tabs>
        <w:spacing w:line="360" w:lineRule="auto"/>
        <w:jc w:val="both"/>
        <w:rPr>
          <w:rFonts w:ascii="Palatino Linotype" w:eastAsia="Calibri" w:hAnsi="Palatino Linotype" w:cs="Tahoma"/>
          <w:iCs/>
          <w:sz w:val="22"/>
          <w:szCs w:val="22"/>
          <w:lang w:val="es-ES" w:eastAsia="es-ES_tradnl"/>
        </w:rPr>
      </w:pPr>
    </w:p>
    <w:p w14:paraId="0B8B5247" w14:textId="5A37FD56" w:rsidR="00A511BB" w:rsidRPr="00FB571A"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6A5011">
        <w:rPr>
          <w:rFonts w:ascii="Palatino Linotype" w:eastAsia="Calibri" w:hAnsi="Palatino Linotype" w:cs="Tahoma"/>
          <w:iCs/>
          <w:sz w:val="22"/>
          <w:szCs w:val="22"/>
          <w:lang w:val="es-ES" w:eastAsia="es-ES_tradnl"/>
        </w:rPr>
        <w:t xml:space="preserve">señaló que </w:t>
      </w:r>
      <w:r w:rsidR="00037A85">
        <w:rPr>
          <w:rFonts w:ascii="Palatino Linotype" w:eastAsia="Calibri" w:hAnsi="Palatino Linotype" w:cs="Tahoma"/>
          <w:iCs/>
          <w:sz w:val="22"/>
          <w:szCs w:val="22"/>
          <w:lang w:val="es-ES" w:eastAsia="es-ES_tradnl"/>
        </w:rPr>
        <w:t>la información se encontraba publicada en el portal de IPOMEX y proporcionó una liga electrónica</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E06D6F">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 xml:space="preserve">inconformó por </w:t>
      </w:r>
      <w:r w:rsidR="00037A85">
        <w:rPr>
          <w:rFonts w:ascii="Palatino Linotype" w:eastAsia="Calibri" w:hAnsi="Palatino Linotype" w:cs="Tahoma"/>
          <w:iCs/>
          <w:sz w:val="22"/>
          <w:szCs w:val="22"/>
          <w:lang w:val="es-ES" w:eastAsia="es-ES_tradnl"/>
        </w:rPr>
        <w:t>la entrega de información incompleta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037A85">
        <w:rPr>
          <w:rFonts w:ascii="Palatino Linotype" w:eastAsia="Calibri" w:hAnsi="Palatino Linotype" w:cs="Tahoma"/>
          <w:sz w:val="22"/>
          <w:szCs w:val="22"/>
        </w:rPr>
        <w:t>V</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7AE02BFB"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05043340" w14:textId="77777777" w:rsidR="00571944" w:rsidRPr="00FB571A"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D2EC37E" w14:textId="77777777" w:rsidR="00FF5303" w:rsidRPr="00FB571A"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560E76D0" w14:textId="77777777" w:rsidR="00CE0B4C" w:rsidRPr="00FB571A" w:rsidRDefault="00CE0B4C" w:rsidP="00FF5303">
      <w:pPr>
        <w:pStyle w:val="Ttulo2"/>
        <w:jc w:val="both"/>
        <w:rPr>
          <w:rFonts w:ascii="Palatino Linotype" w:eastAsia="Calibri" w:hAnsi="Palatino Linotype" w:cs="Arial"/>
          <w:b/>
          <w:color w:val="auto"/>
          <w:sz w:val="22"/>
          <w:lang w:eastAsia="es-ES_tradnl"/>
        </w:rPr>
      </w:pPr>
      <w:bookmarkStart w:id="15" w:name="_Toc219296235"/>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5"/>
    </w:p>
    <w:p w14:paraId="03F0F2B1" w14:textId="77777777" w:rsidR="00CE0B4C" w:rsidRPr="00FB571A" w:rsidRDefault="00CE0B4C" w:rsidP="00FF426B">
      <w:pPr>
        <w:spacing w:line="360" w:lineRule="auto"/>
        <w:contextualSpacing/>
        <w:jc w:val="both"/>
        <w:rPr>
          <w:rFonts w:ascii="Palatino Linotype" w:hAnsi="Palatino Linotype" w:cs="Tahoma"/>
          <w:sz w:val="22"/>
          <w:szCs w:val="22"/>
        </w:rPr>
      </w:pPr>
    </w:p>
    <w:p w14:paraId="4D9B1DB5" w14:textId="77777777" w:rsidR="00CE0B4C" w:rsidRPr="00FB571A" w:rsidRDefault="00CE0B4C" w:rsidP="00FF426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w:t>
      </w:r>
      <w:r w:rsidRPr="00FB571A">
        <w:rPr>
          <w:rFonts w:ascii="Palatino Linotype" w:hAnsi="Palatino Linotype" w:cs="Tahoma"/>
          <w:sz w:val="22"/>
          <w:szCs w:val="22"/>
        </w:rPr>
        <w:lastRenderedPageBreak/>
        <w:t xml:space="preserve">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52CF8570" w14:textId="77777777" w:rsidR="00CE0B4C" w:rsidRPr="00FB571A" w:rsidRDefault="00CE0B4C" w:rsidP="00FF426B">
      <w:pPr>
        <w:spacing w:line="360" w:lineRule="auto"/>
        <w:contextualSpacing/>
        <w:jc w:val="both"/>
        <w:rPr>
          <w:rFonts w:ascii="Palatino Linotype" w:hAnsi="Palatino Linotype" w:cs="Tahoma"/>
          <w:sz w:val="22"/>
          <w:szCs w:val="22"/>
        </w:rPr>
      </w:pPr>
    </w:p>
    <w:p w14:paraId="7E3F0DF9"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4080610" w14:textId="77777777" w:rsidR="00CE0B4C" w:rsidRPr="00FB571A" w:rsidRDefault="00CE0B4C" w:rsidP="00FF426B">
      <w:pPr>
        <w:spacing w:line="360" w:lineRule="auto"/>
        <w:jc w:val="both"/>
        <w:rPr>
          <w:rFonts w:ascii="Palatino Linotype" w:hAnsi="Palatino Linotype" w:cs="Tahoma"/>
          <w:sz w:val="22"/>
          <w:szCs w:val="22"/>
        </w:rPr>
      </w:pPr>
    </w:p>
    <w:p w14:paraId="52DD7059"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42BECB0" w14:textId="77777777" w:rsidR="00CE0B4C" w:rsidRPr="00FB571A" w:rsidRDefault="00CE0B4C" w:rsidP="00FF426B">
      <w:pPr>
        <w:spacing w:line="360" w:lineRule="auto"/>
        <w:jc w:val="both"/>
        <w:rPr>
          <w:rFonts w:ascii="Palatino Linotype" w:hAnsi="Palatino Linotype" w:cs="Tahoma"/>
          <w:sz w:val="22"/>
          <w:szCs w:val="22"/>
        </w:rPr>
      </w:pPr>
    </w:p>
    <w:p w14:paraId="7423D40E"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1D8B1F2A" w14:textId="77777777" w:rsidR="00EF5683" w:rsidRPr="00FB571A" w:rsidRDefault="00EF5683" w:rsidP="00FF426B">
      <w:pPr>
        <w:spacing w:line="360" w:lineRule="auto"/>
        <w:jc w:val="both"/>
        <w:rPr>
          <w:rFonts w:ascii="Palatino Linotype" w:hAnsi="Palatino Linotype" w:cs="Tahoma"/>
          <w:sz w:val="22"/>
          <w:szCs w:val="22"/>
        </w:rPr>
      </w:pPr>
    </w:p>
    <w:p w14:paraId="7D374E51"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DC4853E" w14:textId="77777777" w:rsidR="005C0E48" w:rsidRDefault="005C0E48" w:rsidP="00FF426B">
      <w:pPr>
        <w:spacing w:line="360" w:lineRule="auto"/>
        <w:jc w:val="both"/>
        <w:rPr>
          <w:rFonts w:ascii="Palatino Linotype" w:hAnsi="Palatino Linotype" w:cs="Tahoma"/>
          <w:sz w:val="22"/>
          <w:szCs w:val="22"/>
        </w:rPr>
      </w:pPr>
    </w:p>
    <w:p w14:paraId="07387345"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BAAC615" w14:textId="77777777" w:rsidR="00EA1A4A" w:rsidRPr="00FB571A" w:rsidRDefault="00EA1A4A" w:rsidP="00FF426B">
      <w:pPr>
        <w:spacing w:line="360" w:lineRule="auto"/>
        <w:jc w:val="both"/>
        <w:rPr>
          <w:rFonts w:ascii="Palatino Linotype" w:hAnsi="Palatino Linotype" w:cs="Tahoma"/>
          <w:sz w:val="22"/>
          <w:szCs w:val="22"/>
        </w:rPr>
      </w:pPr>
    </w:p>
    <w:p w14:paraId="017DC6F5" w14:textId="77777777" w:rsidR="00CE0B4C" w:rsidRPr="00FB571A" w:rsidRDefault="00CE0B4C" w:rsidP="00FF5303">
      <w:pPr>
        <w:pStyle w:val="Ttulo2"/>
        <w:rPr>
          <w:rFonts w:ascii="Palatino Linotype" w:hAnsi="Palatino Linotype"/>
          <w:b/>
          <w:color w:val="auto"/>
          <w:sz w:val="22"/>
          <w:lang w:val="es-ES"/>
        </w:rPr>
      </w:pPr>
      <w:bookmarkStart w:id="16" w:name="_Toc219296236"/>
      <w:r w:rsidRPr="00FB571A">
        <w:rPr>
          <w:rFonts w:ascii="Palatino Linotype" w:eastAsia="Calibri" w:hAnsi="Palatino Linotype"/>
          <w:b/>
          <w:color w:val="auto"/>
          <w:sz w:val="22"/>
          <w:lang w:eastAsia="es-ES_tradnl"/>
        </w:rPr>
        <w:t>QUINTO. Estudio de Fondo</w:t>
      </w:r>
      <w:bookmarkEnd w:id="16"/>
    </w:p>
    <w:p w14:paraId="514668BD" w14:textId="77777777" w:rsidR="00040101" w:rsidRPr="00FB571A" w:rsidRDefault="00040101" w:rsidP="00FF426B">
      <w:pPr>
        <w:spacing w:line="360" w:lineRule="auto"/>
        <w:ind w:right="-93"/>
        <w:jc w:val="both"/>
        <w:rPr>
          <w:rFonts w:ascii="Palatino Linotype" w:hAnsi="Palatino Linotype" w:cs="Tahoma"/>
          <w:b/>
          <w:sz w:val="22"/>
          <w:szCs w:val="22"/>
          <w:lang w:val="es-ES"/>
        </w:rPr>
      </w:pPr>
    </w:p>
    <w:p w14:paraId="152CFC4C" w14:textId="77777777" w:rsidR="00612C39" w:rsidRDefault="00605837" w:rsidP="00605837">
      <w:pPr>
        <w:spacing w:line="360" w:lineRule="auto"/>
        <w:jc w:val="both"/>
        <w:rPr>
          <w:rFonts w:ascii="Palatino Linotype" w:hAnsi="Palatino Linotype" w:cs="Tahoma"/>
          <w:sz w:val="22"/>
          <w:szCs w:val="22"/>
        </w:rPr>
      </w:pPr>
      <w:r w:rsidRPr="00D31FC5">
        <w:rPr>
          <w:rFonts w:ascii="Palatino Linotype" w:hAnsi="Palatino Linotype" w:cs="Tahoma"/>
          <w:sz w:val="22"/>
          <w:szCs w:val="22"/>
        </w:rPr>
        <w:lastRenderedPageBreak/>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79D7A22F" w14:textId="77777777" w:rsidR="00F25703" w:rsidRDefault="00F25703" w:rsidP="00605837">
      <w:pPr>
        <w:spacing w:line="360" w:lineRule="auto"/>
        <w:jc w:val="both"/>
        <w:rPr>
          <w:rFonts w:ascii="Palatino Linotype" w:hAnsi="Palatino Linotype" w:cs="Tahoma"/>
          <w:sz w:val="22"/>
          <w:szCs w:val="22"/>
        </w:rPr>
      </w:pPr>
    </w:p>
    <w:p w14:paraId="120C9ECB" w14:textId="77777777" w:rsidR="00037A85" w:rsidRPr="005A66C6" w:rsidRDefault="00037A85" w:rsidP="00037A8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eastAsia="es-ES_tradnl"/>
        </w:rPr>
        <w:t xml:space="preserve">En relación al presente punto, </w:t>
      </w:r>
      <w:r w:rsidRPr="005A66C6">
        <w:rPr>
          <w:rFonts w:ascii="Palatino Linotype" w:eastAsia="Calibri" w:hAnsi="Palatino Linotype" w:cs="Tahoma"/>
          <w:bCs/>
          <w:sz w:val="22"/>
          <w:szCs w:val="22"/>
          <w:lang w:eastAsia="en-US"/>
        </w:rPr>
        <w:t>conviene precisar en lo que consisten</w:t>
      </w:r>
      <w:r>
        <w:rPr>
          <w:rFonts w:ascii="Palatino Linotype" w:eastAsia="Calibri" w:hAnsi="Palatino Linotype" w:cs="Tahoma"/>
          <w:bCs/>
          <w:sz w:val="22"/>
          <w:szCs w:val="22"/>
          <w:lang w:eastAsia="en-US"/>
        </w:rPr>
        <w:t xml:space="preserve"> los comprobantes de pago o recibos de nómina</w:t>
      </w:r>
      <w:r w:rsidRPr="005A66C6">
        <w:rPr>
          <w:rFonts w:ascii="Palatino Linotype" w:eastAsia="Calibri" w:hAnsi="Palatino Linotype" w:cs="Tahoma"/>
          <w:bCs/>
          <w:sz w:val="22"/>
          <w:szCs w:val="22"/>
          <w:lang w:eastAsia="en-US"/>
        </w:rPr>
        <w:t>, al respecto, el Glosario localizado en la página de Transparencia Presupuestaria de la Secretaría de Hacienda y Crédito Público (</w:t>
      </w:r>
      <w:hyperlink r:id="rId9" w:history="1">
        <w:r w:rsidRPr="005A66C6">
          <w:rPr>
            <w:rStyle w:val="Hipervnculo"/>
            <w:rFonts w:ascii="Palatino Linotype" w:eastAsia="Calibri" w:hAnsi="Palatino Linotype" w:cs="Tahoma"/>
            <w:bCs/>
            <w:sz w:val="22"/>
            <w:szCs w:val="22"/>
            <w:lang w:eastAsia="en-US"/>
          </w:rPr>
          <w:t>http://www.transparenciapresupuestaria.gob.mx/es/PTP/Glosario</w:t>
        </w:r>
      </w:hyperlink>
      <w:r w:rsidRPr="005A66C6">
        <w:rPr>
          <w:rFonts w:ascii="Palatino Linotype" w:eastAsia="Calibri" w:hAnsi="Palatino Linotype" w:cs="Tahoma"/>
          <w:bCs/>
          <w:sz w:val="22"/>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093485AD" w14:textId="77777777" w:rsidR="00037A85" w:rsidRPr="005A66C6" w:rsidRDefault="00037A85" w:rsidP="00037A85">
      <w:pPr>
        <w:spacing w:line="360" w:lineRule="auto"/>
        <w:ind w:right="-93"/>
        <w:jc w:val="both"/>
        <w:rPr>
          <w:rFonts w:ascii="Palatino Linotype" w:eastAsia="Calibri" w:hAnsi="Palatino Linotype" w:cs="Tahoma"/>
          <w:bCs/>
          <w:sz w:val="22"/>
          <w:szCs w:val="22"/>
          <w:lang w:eastAsia="en-US"/>
        </w:rPr>
      </w:pPr>
    </w:p>
    <w:p w14:paraId="3EF8EC9A" w14:textId="0E2E22F3" w:rsidR="00037A85" w:rsidRDefault="00037A85" w:rsidP="00037A85">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Conforme a lo anterior, se puede advertir que la nómina se puede referir al recibo individual que contiene las prestaciones y deducciones de un trabajador.</w:t>
      </w:r>
      <w:r>
        <w:rPr>
          <w:rFonts w:ascii="Palatino Linotype" w:eastAsia="Calibri" w:hAnsi="Palatino Linotype" w:cs="Tahoma"/>
          <w:sz w:val="22"/>
          <w:szCs w:val="22"/>
          <w:lang w:eastAsia="es-ES_tradnl"/>
        </w:rPr>
        <w:t xml:space="preserve"> </w:t>
      </w:r>
      <w:r w:rsidRPr="005A66C6">
        <w:rPr>
          <w:rFonts w:ascii="Palatino Linotype" w:eastAsia="Calibri" w:hAnsi="Palatino Linotype" w:cs="Tahoma"/>
          <w:sz w:val="22"/>
          <w:szCs w:val="22"/>
          <w:lang w:eastAsia="es-ES_tradnl"/>
        </w:rPr>
        <w:t>En ese contexto y respecto de la solicitud del Particular se advierte que su pretensión es obtener el documento que contenga las percepciones que recib</w:t>
      </w:r>
      <w:r>
        <w:rPr>
          <w:rFonts w:ascii="Palatino Linotype" w:eastAsia="Calibri" w:hAnsi="Palatino Linotype" w:cs="Tahoma"/>
          <w:sz w:val="22"/>
          <w:szCs w:val="22"/>
          <w:lang w:eastAsia="es-ES_tradnl"/>
        </w:rPr>
        <w:t>ió el servidor público mencionado en la solicitud.</w:t>
      </w:r>
    </w:p>
    <w:p w14:paraId="6E99B6F8" w14:textId="77777777" w:rsidR="00037A85" w:rsidRPr="005A66C6" w:rsidRDefault="00037A85" w:rsidP="00037A85">
      <w:pPr>
        <w:tabs>
          <w:tab w:val="left" w:pos="4962"/>
        </w:tabs>
        <w:spacing w:line="360" w:lineRule="auto"/>
        <w:jc w:val="both"/>
        <w:rPr>
          <w:rFonts w:ascii="Palatino Linotype" w:eastAsia="Calibri" w:hAnsi="Palatino Linotype" w:cs="Tahoma"/>
          <w:sz w:val="22"/>
          <w:szCs w:val="22"/>
          <w:lang w:eastAsia="es-ES_tradnl"/>
        </w:rPr>
      </w:pPr>
    </w:p>
    <w:p w14:paraId="1A0D3EEF" w14:textId="77777777" w:rsidR="00037A85" w:rsidRPr="005A66C6" w:rsidRDefault="00037A85" w:rsidP="00037A85">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09340D9A" w14:textId="77777777" w:rsidR="00037A85" w:rsidRPr="005A66C6" w:rsidRDefault="00037A85" w:rsidP="00037A85">
      <w:pPr>
        <w:tabs>
          <w:tab w:val="left" w:pos="4962"/>
        </w:tabs>
        <w:spacing w:line="360" w:lineRule="auto"/>
        <w:jc w:val="both"/>
        <w:rPr>
          <w:rFonts w:ascii="Palatino Linotype" w:eastAsia="Calibri" w:hAnsi="Palatino Linotype" w:cs="Tahoma"/>
          <w:sz w:val="22"/>
          <w:szCs w:val="22"/>
          <w:lang w:eastAsia="es-ES_tradnl"/>
        </w:rPr>
      </w:pPr>
    </w:p>
    <w:p w14:paraId="2CFA77F5" w14:textId="77777777" w:rsidR="00037A85" w:rsidRPr="005A66C6" w:rsidRDefault="00037A85" w:rsidP="00037A85">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 xml:space="preserve">En orden de ideas, el artículo 3°, fracción XXXII, del Código Financiero del Estado de México y Municipios establece que la remuneración consiste en los pagos hechos por concepto de </w:t>
      </w:r>
      <w:r w:rsidRPr="005A66C6">
        <w:rPr>
          <w:rFonts w:ascii="Palatino Linotype" w:eastAsia="Calibri" w:hAnsi="Palatino Linotype" w:cs="Tahoma"/>
          <w:sz w:val="22"/>
          <w:szCs w:val="22"/>
          <w:lang w:eastAsia="es-ES_tradnl"/>
        </w:rPr>
        <w:lastRenderedPageBreak/>
        <w:t>sueldo, compensaciones, gratificaciones, habitación, primas, comisiones, prestaciones, en especie y cualquier otra percepción o prestación que se entregue al servidor por su trabajo.</w:t>
      </w:r>
    </w:p>
    <w:p w14:paraId="1FD8AF86" w14:textId="77777777" w:rsidR="00037A85" w:rsidRPr="005A66C6" w:rsidRDefault="00037A85" w:rsidP="00037A85">
      <w:pPr>
        <w:tabs>
          <w:tab w:val="left" w:pos="4962"/>
        </w:tabs>
        <w:spacing w:line="360" w:lineRule="auto"/>
        <w:jc w:val="both"/>
        <w:rPr>
          <w:rFonts w:ascii="Palatino Linotype" w:eastAsia="Calibri" w:hAnsi="Palatino Linotype" w:cs="Tahoma"/>
          <w:sz w:val="22"/>
          <w:szCs w:val="22"/>
          <w:lang w:eastAsia="es-ES_tradnl"/>
        </w:rPr>
      </w:pPr>
    </w:p>
    <w:p w14:paraId="56D26006" w14:textId="77777777" w:rsidR="00037A85" w:rsidRPr="005A66C6" w:rsidRDefault="00037A85" w:rsidP="00037A85">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5FBAB6CC" w14:textId="77777777" w:rsidR="00037A85" w:rsidRPr="005A66C6" w:rsidRDefault="00037A85" w:rsidP="00037A85">
      <w:pPr>
        <w:tabs>
          <w:tab w:val="left" w:pos="4962"/>
        </w:tabs>
        <w:spacing w:line="360" w:lineRule="auto"/>
        <w:ind w:left="567" w:right="539"/>
        <w:jc w:val="both"/>
        <w:rPr>
          <w:rFonts w:ascii="Palatino Linotype" w:hAnsi="Palatino Linotype" w:cs="Tahoma"/>
          <w:sz w:val="22"/>
          <w:szCs w:val="22"/>
        </w:rPr>
      </w:pPr>
    </w:p>
    <w:p w14:paraId="19038A2D" w14:textId="77777777" w:rsidR="00037A85" w:rsidRPr="005A66C6" w:rsidRDefault="00037A85" w:rsidP="00037A85">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i/>
        </w:rPr>
        <w:t>ARTÍCULO 220 K.- La institución o dependencia pública tiene la obligación de conservar y exhibir en el proceso los documentos que a continuación se precisan:</w:t>
      </w:r>
    </w:p>
    <w:p w14:paraId="37D8A090" w14:textId="77777777" w:rsidR="00037A85" w:rsidRPr="005A66C6" w:rsidRDefault="00037A85" w:rsidP="00037A85">
      <w:pPr>
        <w:tabs>
          <w:tab w:val="left" w:pos="4962"/>
        </w:tabs>
        <w:spacing w:line="360" w:lineRule="auto"/>
        <w:ind w:left="567" w:right="567"/>
        <w:jc w:val="both"/>
        <w:rPr>
          <w:rFonts w:ascii="Palatino Linotype" w:hAnsi="Palatino Linotype" w:cs="Tahoma"/>
          <w:i/>
        </w:rPr>
      </w:pPr>
      <w:r>
        <w:rPr>
          <w:rFonts w:ascii="Palatino Linotype" w:hAnsi="Palatino Linotype" w:cs="Tahoma"/>
          <w:i/>
        </w:rPr>
        <w:t>I…</w:t>
      </w:r>
    </w:p>
    <w:p w14:paraId="0C948158" w14:textId="77777777" w:rsidR="00037A85" w:rsidRPr="005A66C6" w:rsidRDefault="00037A85" w:rsidP="00037A85">
      <w:pPr>
        <w:tabs>
          <w:tab w:val="left" w:pos="4962"/>
        </w:tabs>
        <w:spacing w:line="360" w:lineRule="auto"/>
        <w:ind w:left="567" w:right="567"/>
        <w:jc w:val="both"/>
        <w:rPr>
          <w:rFonts w:ascii="Palatino Linotype" w:hAnsi="Palatino Linotype" w:cs="Tahoma"/>
          <w:b/>
          <w:i/>
          <w:u w:val="single"/>
        </w:rPr>
      </w:pPr>
      <w:r w:rsidRPr="005A66C6">
        <w:rPr>
          <w:rFonts w:ascii="Palatino Linotype" w:hAnsi="Palatino Linotype" w:cs="Tahoma"/>
          <w:b/>
          <w:i/>
          <w:u w:val="single"/>
        </w:rPr>
        <w:t>II. Recibos de pagos de salarios o las constancias documentales del pago de salario cuando sea por depósito o mediante información electrónica;</w:t>
      </w:r>
    </w:p>
    <w:p w14:paraId="3832B5F5" w14:textId="77777777" w:rsidR="00037A85" w:rsidRPr="005A66C6" w:rsidRDefault="00037A85" w:rsidP="00037A85">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i/>
        </w:rPr>
        <w:t>III.</w:t>
      </w:r>
      <w:r>
        <w:rPr>
          <w:rFonts w:ascii="Palatino Linotype" w:hAnsi="Palatino Linotype" w:cs="Tahoma"/>
          <w:i/>
        </w:rPr>
        <w:t>..</w:t>
      </w:r>
    </w:p>
    <w:p w14:paraId="0C7B3932" w14:textId="77777777" w:rsidR="00037A85" w:rsidRPr="005A66C6" w:rsidRDefault="00037A85" w:rsidP="00037A85">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5A66C6">
        <w:rPr>
          <w:rFonts w:ascii="Palatino Linotype" w:hAnsi="Palatino Linotype" w:cs="Tahoma"/>
          <w:i/>
        </w:rPr>
        <w:t xml:space="preserve"> y</w:t>
      </w:r>
    </w:p>
    <w:p w14:paraId="6E4DE7B0" w14:textId="77777777" w:rsidR="00037A85" w:rsidRPr="005A66C6" w:rsidRDefault="00037A85" w:rsidP="00037A85">
      <w:pPr>
        <w:tabs>
          <w:tab w:val="left" w:pos="4962"/>
        </w:tabs>
        <w:spacing w:line="360" w:lineRule="auto"/>
        <w:ind w:left="567" w:right="567"/>
        <w:jc w:val="both"/>
        <w:rPr>
          <w:rFonts w:ascii="Palatino Linotype" w:hAnsi="Palatino Linotype" w:cs="Tahoma"/>
          <w:i/>
        </w:rPr>
      </w:pPr>
      <w:r>
        <w:rPr>
          <w:rFonts w:ascii="Palatino Linotype" w:hAnsi="Palatino Linotype" w:cs="Tahoma"/>
          <w:i/>
        </w:rPr>
        <w:t>V…</w:t>
      </w:r>
    </w:p>
    <w:p w14:paraId="3DBE3171" w14:textId="77777777" w:rsidR="00037A85" w:rsidRPr="005A66C6" w:rsidRDefault="00037A85" w:rsidP="00037A85">
      <w:pPr>
        <w:tabs>
          <w:tab w:val="left" w:pos="4962"/>
        </w:tabs>
        <w:spacing w:line="360" w:lineRule="auto"/>
        <w:ind w:left="567" w:right="567"/>
        <w:jc w:val="both"/>
        <w:rPr>
          <w:rFonts w:ascii="Palatino Linotype" w:hAnsi="Palatino Linotype" w:cs="Tahoma"/>
          <w:sz w:val="22"/>
          <w:szCs w:val="22"/>
        </w:rPr>
      </w:pPr>
    </w:p>
    <w:p w14:paraId="447B821C" w14:textId="77777777" w:rsidR="00037A85" w:rsidRDefault="00037A85" w:rsidP="00037A85">
      <w:pPr>
        <w:spacing w:line="360" w:lineRule="auto"/>
        <w:jc w:val="both"/>
        <w:rPr>
          <w:rFonts w:ascii="Palatino Linotype" w:eastAsia="Calibri" w:hAnsi="Palatino Linotype" w:cs="Tahoma"/>
          <w:bCs/>
          <w:sz w:val="22"/>
          <w:szCs w:val="22"/>
          <w:lang w:eastAsia="en-US"/>
        </w:rPr>
      </w:pPr>
      <w:r w:rsidRPr="005A66C6">
        <w:rPr>
          <w:rFonts w:ascii="Palatino Linotype" w:eastAsia="Calibri" w:hAnsi="Palatino Linotype" w:cs="Tahoma"/>
          <w:bCs/>
          <w:sz w:val="22"/>
          <w:szCs w:val="22"/>
          <w:lang w:eastAsia="en-US"/>
        </w:rPr>
        <w:t>Del precepto legal citado, se advierte que toda institución o dependencia pública del Estado de México debe conservar las constancias documentales del pago de salario cuando sea por depósito o mediante información electrónica y de movimiento de personal debiendo conservar dicha documentación durante el último año y un año después de que se extinga la relación laboral, a través de los sistemas de digitalización o de info</w:t>
      </w:r>
      <w:r>
        <w:rPr>
          <w:rFonts w:ascii="Palatino Linotype" w:eastAsia="Calibri" w:hAnsi="Palatino Linotype" w:cs="Tahoma"/>
          <w:bCs/>
          <w:sz w:val="22"/>
          <w:szCs w:val="22"/>
          <w:lang w:eastAsia="en-US"/>
        </w:rPr>
        <w:t>rmación magnética o electrónica.</w:t>
      </w:r>
    </w:p>
    <w:p w14:paraId="513B3FA4" w14:textId="77777777" w:rsidR="00037A85" w:rsidRDefault="00037A85" w:rsidP="00037A85">
      <w:pPr>
        <w:spacing w:line="360" w:lineRule="auto"/>
        <w:jc w:val="both"/>
        <w:rPr>
          <w:rFonts w:ascii="Palatino Linotype" w:eastAsia="Calibri" w:hAnsi="Palatino Linotype" w:cs="Tahoma"/>
          <w:bCs/>
          <w:sz w:val="22"/>
          <w:szCs w:val="22"/>
          <w:lang w:eastAsia="en-US"/>
        </w:rPr>
      </w:pPr>
    </w:p>
    <w:p w14:paraId="69055DC1" w14:textId="77777777" w:rsidR="00037A85" w:rsidRPr="00B65021" w:rsidRDefault="00037A85" w:rsidP="00037A85">
      <w:pPr>
        <w:spacing w:line="360" w:lineRule="auto"/>
        <w:contextualSpacing/>
        <w:jc w:val="both"/>
        <w:rPr>
          <w:rFonts w:ascii="Palatino Linotype" w:eastAsia="Calibri" w:hAnsi="Palatino Linotype"/>
          <w:bCs/>
          <w:sz w:val="22"/>
          <w:szCs w:val="22"/>
        </w:rPr>
      </w:pPr>
      <w:r w:rsidRPr="00B65021">
        <w:rPr>
          <w:rFonts w:ascii="Palatino Linotype" w:eastAsia="Calibri" w:hAnsi="Palatino Linotype"/>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0DEA9387" w14:textId="77777777" w:rsidR="00037A85" w:rsidRPr="00B65021" w:rsidRDefault="00037A85" w:rsidP="00037A85">
      <w:pPr>
        <w:spacing w:line="360" w:lineRule="auto"/>
        <w:contextualSpacing/>
        <w:jc w:val="both"/>
        <w:rPr>
          <w:rFonts w:ascii="Palatino Linotype" w:eastAsia="Calibri" w:hAnsi="Palatino Linotype"/>
          <w:bCs/>
          <w:sz w:val="22"/>
          <w:szCs w:val="22"/>
        </w:rPr>
      </w:pPr>
    </w:p>
    <w:p w14:paraId="7B2A506C" w14:textId="77777777" w:rsidR="00037A85" w:rsidRPr="00B65021" w:rsidRDefault="00037A85" w:rsidP="00037A85">
      <w:pPr>
        <w:spacing w:line="360" w:lineRule="auto"/>
        <w:ind w:left="567" w:right="567"/>
        <w:contextualSpacing/>
        <w:jc w:val="both"/>
        <w:rPr>
          <w:rFonts w:ascii="Palatino Linotype" w:eastAsia="Calibri" w:hAnsi="Palatino Linotype"/>
          <w:bCs/>
          <w:i/>
          <w:iCs/>
          <w:lang w:val="es-ES"/>
        </w:rPr>
      </w:pPr>
      <w:r w:rsidRPr="00B65021">
        <w:rPr>
          <w:rFonts w:ascii="Palatino Linotype" w:eastAsia="Calibri" w:hAnsi="Palatino Linotype"/>
          <w:b/>
          <w:bCs/>
          <w:i/>
          <w:iCs/>
          <w:lang w:val="es-ES"/>
        </w:rPr>
        <w:t>“RECIBOS DE PAGO</w:t>
      </w:r>
      <w:r w:rsidRPr="00B65021">
        <w:rPr>
          <w:rFonts w:ascii="Palatino Linotype" w:eastAsia="Calibri" w:hAnsi="Palatino Linotype"/>
          <w:bCs/>
          <w:i/>
          <w:iCs/>
          <w:lang w:val="es-ES"/>
        </w:rPr>
        <w:t xml:space="preserve"> </w:t>
      </w:r>
      <w:r w:rsidRPr="00B65021">
        <w:rPr>
          <w:rFonts w:ascii="Palatino Linotype" w:eastAsia="Calibri" w:hAnsi="Palatino Linotype"/>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B65021">
        <w:rPr>
          <w:rFonts w:ascii="Palatino Linotype" w:eastAsia="Calibri" w:hAnsi="Palatino Linotype"/>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215C29C9" w14:textId="77777777" w:rsidR="00037A85" w:rsidRPr="00B65021" w:rsidRDefault="00037A85" w:rsidP="00037A85">
      <w:pPr>
        <w:spacing w:line="360" w:lineRule="auto"/>
        <w:contextualSpacing/>
        <w:jc w:val="both"/>
        <w:rPr>
          <w:rFonts w:ascii="Palatino Linotype" w:eastAsia="Calibri" w:hAnsi="Palatino Linotype"/>
          <w:b/>
          <w:bCs/>
          <w:i/>
          <w:iCs/>
          <w:sz w:val="22"/>
          <w:szCs w:val="22"/>
          <w:lang w:val="es-ES"/>
        </w:rPr>
      </w:pPr>
    </w:p>
    <w:p w14:paraId="67BBC2E2" w14:textId="77777777" w:rsidR="00037A85" w:rsidRDefault="00037A85" w:rsidP="00037A85">
      <w:pPr>
        <w:spacing w:line="360" w:lineRule="auto"/>
        <w:contextualSpacing/>
        <w:jc w:val="both"/>
        <w:rPr>
          <w:rFonts w:ascii="Palatino Linotype" w:eastAsia="Calibri" w:hAnsi="Palatino Linotype"/>
          <w:bCs/>
          <w:sz w:val="22"/>
          <w:szCs w:val="22"/>
          <w:lang w:val="es-ES"/>
        </w:rPr>
      </w:pPr>
      <w:r w:rsidRPr="00B65021">
        <w:rPr>
          <w:rFonts w:ascii="Palatino Linotype" w:eastAsia="Calibri" w:hAnsi="Palatino Linotype"/>
          <w:bCs/>
          <w:sz w:val="22"/>
          <w:szCs w:val="22"/>
          <w:lang w:val="es-ES"/>
        </w:rPr>
        <w:t xml:space="preserve">De la tesis transcrita, se desprende que </w:t>
      </w:r>
      <w:r w:rsidRPr="00B65021">
        <w:rPr>
          <w:rFonts w:ascii="Palatino Linotype" w:eastAsia="Calibri" w:hAnsi="Palatino Linotype"/>
          <w:b/>
          <w:bCs/>
          <w:sz w:val="22"/>
          <w:szCs w:val="22"/>
          <w:lang w:val="es-ES"/>
        </w:rPr>
        <w:t>en materia burocrática</w:t>
      </w:r>
      <w:r w:rsidRPr="00B65021">
        <w:rPr>
          <w:rFonts w:ascii="Palatino Linotype" w:eastAsia="Calibri" w:hAnsi="Palatino Linotype"/>
          <w:bCs/>
          <w:sz w:val="22"/>
          <w:szCs w:val="22"/>
          <w:lang w:val="es-ES"/>
        </w:rPr>
        <w:t xml:space="preserve"> </w:t>
      </w:r>
      <w:r w:rsidRPr="00B65021">
        <w:rPr>
          <w:rFonts w:ascii="Palatino Linotype" w:eastAsia="Calibri" w:hAnsi="Palatino Linotype"/>
          <w:b/>
          <w:bCs/>
          <w:sz w:val="22"/>
          <w:szCs w:val="22"/>
          <w:lang w:val="es-ES"/>
        </w:rPr>
        <w:t>los recibos de pago acreditan los conceptos y montos que en ellos se insertan</w:t>
      </w:r>
      <w:r w:rsidRPr="00B65021">
        <w:rPr>
          <w:rFonts w:ascii="Palatino Linotype" w:eastAsia="Calibri" w:hAnsi="Palatino Linotype"/>
          <w:bCs/>
          <w:sz w:val="22"/>
          <w:szCs w:val="22"/>
          <w:lang w:val="es-ES"/>
        </w:rPr>
        <w:t xml:space="preserve">, y constituyen prueba para demostrar las percepciones y montos que reciben los servidores públicos. </w:t>
      </w:r>
    </w:p>
    <w:p w14:paraId="29304127" w14:textId="77777777" w:rsidR="00037A85" w:rsidRPr="00BA1A0D" w:rsidRDefault="00037A85" w:rsidP="00037A85">
      <w:pPr>
        <w:spacing w:line="360" w:lineRule="auto"/>
        <w:jc w:val="both"/>
        <w:rPr>
          <w:rFonts w:ascii="Palatino Linotype" w:eastAsia="Calibri" w:hAnsi="Palatino Linotype" w:cs="Tahoma"/>
          <w:bCs/>
          <w:sz w:val="22"/>
          <w:szCs w:val="22"/>
          <w:lang w:val="es-ES" w:eastAsia="en-US"/>
        </w:rPr>
      </w:pPr>
    </w:p>
    <w:p w14:paraId="3B4041F8" w14:textId="77777777" w:rsidR="00037A85" w:rsidRPr="00B65021" w:rsidRDefault="00037A85" w:rsidP="00037A85">
      <w:pPr>
        <w:spacing w:line="360" w:lineRule="auto"/>
        <w:contextualSpacing/>
        <w:jc w:val="both"/>
        <w:rPr>
          <w:rFonts w:ascii="Palatino Linotype" w:eastAsia="Calibri" w:hAnsi="Palatino Linotype"/>
          <w:bCs/>
          <w:iCs/>
          <w:sz w:val="22"/>
          <w:szCs w:val="22"/>
          <w:lang w:val="es-ES"/>
        </w:rPr>
      </w:pPr>
      <w:r w:rsidRPr="00B65021">
        <w:rPr>
          <w:rFonts w:ascii="Palatino Linotype" w:eastAsia="Calibri" w:hAnsi="Palatino Linotype"/>
          <w:bCs/>
          <w:iCs/>
          <w:sz w:val="22"/>
          <w:szCs w:val="22"/>
          <w:lang w:val="es-E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B2FA7E7" w14:textId="77777777" w:rsidR="00037A85" w:rsidRPr="00B65021" w:rsidRDefault="00037A85" w:rsidP="00037A85">
      <w:pPr>
        <w:spacing w:line="360" w:lineRule="auto"/>
        <w:contextualSpacing/>
        <w:jc w:val="both"/>
        <w:rPr>
          <w:rFonts w:ascii="Palatino Linotype" w:eastAsia="Calibri" w:hAnsi="Palatino Linotype"/>
          <w:bCs/>
          <w:sz w:val="22"/>
          <w:szCs w:val="22"/>
        </w:rPr>
      </w:pPr>
    </w:p>
    <w:p w14:paraId="76DFB5A1" w14:textId="0EEDC766" w:rsidR="00037A85" w:rsidRDefault="00037A85" w:rsidP="00037A85">
      <w:pPr>
        <w:widowControl w:val="0"/>
        <w:spacing w:line="360" w:lineRule="auto"/>
        <w:contextualSpacing/>
        <w:jc w:val="both"/>
        <w:rPr>
          <w:rFonts w:ascii="Palatino Linotype" w:eastAsia="Palatino Linotype" w:hAnsi="Palatino Linotype" w:cs="Palatino Linotype"/>
          <w:sz w:val="22"/>
          <w:szCs w:val="22"/>
          <w:lang w:eastAsia="es-MX"/>
        </w:rPr>
      </w:pPr>
      <w:r w:rsidRPr="00D36A5B">
        <w:rPr>
          <w:rFonts w:ascii="Palatino Linotype" w:eastAsia="Palatino Linotype" w:hAnsi="Palatino Linotype" w:cs="Palatino Linotype"/>
          <w:sz w:val="22"/>
          <w:szCs w:val="22"/>
          <w:lang w:eastAsia="es-MX"/>
        </w:rPr>
        <w:lastRenderedPageBreak/>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w:t>
      </w:r>
      <w:r>
        <w:rPr>
          <w:rFonts w:ascii="Palatino Linotype" w:eastAsia="Palatino Linotype" w:hAnsi="Palatino Linotype" w:cs="Palatino Linotype"/>
          <w:sz w:val="22"/>
          <w:szCs w:val="22"/>
          <w:lang w:eastAsia="es-MX"/>
        </w:rPr>
        <w:t>.</w:t>
      </w:r>
    </w:p>
    <w:p w14:paraId="58354D51" w14:textId="77777777" w:rsidR="00C301A6" w:rsidRPr="00037A85" w:rsidRDefault="00C301A6" w:rsidP="00037A85">
      <w:pPr>
        <w:widowControl w:val="0"/>
        <w:spacing w:line="360" w:lineRule="auto"/>
        <w:contextualSpacing/>
        <w:jc w:val="both"/>
        <w:rPr>
          <w:rFonts w:ascii="Palatino Linotype" w:eastAsia="Palatino Linotype" w:hAnsi="Palatino Linotype" w:cs="Palatino Linotype"/>
          <w:sz w:val="22"/>
          <w:szCs w:val="22"/>
          <w:lang w:eastAsia="es-MX"/>
        </w:rPr>
      </w:pPr>
    </w:p>
    <w:p w14:paraId="7923E0DA" w14:textId="265F477F" w:rsidR="00037A85" w:rsidRDefault="00037A85" w:rsidP="00037A85">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vislumbrar que la pretensión de la persona Recurrente es obtener los recibos de nómina del actual Presidente Municipal, incluso en los que se hayan generado durante el tiempo que solicitó licencia, razón por la cual es de señalar que se localizó la liga electrónica </w:t>
      </w:r>
      <w:hyperlink r:id="rId10" w:history="1">
        <w:r w:rsidRPr="006C5FE6">
          <w:rPr>
            <w:rStyle w:val="Hipervnculo"/>
            <w:rFonts w:ascii="Palatino Linotype" w:hAnsi="Palatino Linotype" w:cs="Tahoma"/>
            <w:sz w:val="22"/>
            <w:szCs w:val="22"/>
          </w:rPr>
          <w:t>https://www2.toluca.gob.mx/en-total-transparencia-aprueba-cabildo-licencia-temporal-al-alcalde-ricardo-moreno/</w:t>
        </w:r>
      </w:hyperlink>
      <w:r>
        <w:rPr>
          <w:rFonts w:ascii="Palatino Linotype" w:hAnsi="Palatino Linotype" w:cs="Tahoma"/>
          <w:sz w:val="22"/>
          <w:szCs w:val="22"/>
        </w:rPr>
        <w:t xml:space="preserve"> la cual corresponde al propio Sujeto Obligado en la que se informó que </w:t>
      </w:r>
      <w:r w:rsidRPr="00037A85">
        <w:rPr>
          <w:rFonts w:ascii="Palatino Linotype" w:hAnsi="Palatino Linotype" w:cs="Tahoma"/>
          <w:sz w:val="22"/>
          <w:szCs w:val="22"/>
        </w:rPr>
        <w:t>En total transparencia aprueba Cabildo licencia temporal al alcalde Ricardo Moreno</w:t>
      </w:r>
      <w:r w:rsidR="00C301A6">
        <w:rPr>
          <w:rFonts w:ascii="Palatino Linotype" w:hAnsi="Palatino Linotype" w:cs="Tahoma"/>
          <w:sz w:val="22"/>
          <w:szCs w:val="22"/>
        </w:rPr>
        <w:t xml:space="preserve"> h</w:t>
      </w:r>
      <w:r w:rsidR="00C301A6" w:rsidRPr="00C301A6">
        <w:rPr>
          <w:rFonts w:ascii="Palatino Linotype" w:hAnsi="Palatino Linotype" w:cs="Tahoma"/>
          <w:sz w:val="22"/>
          <w:szCs w:val="22"/>
        </w:rPr>
        <w:t>asta por 15 días, a partir del 24 de septiembre, para atender temas de carácter personal que requieren de su atención.</w:t>
      </w:r>
    </w:p>
    <w:p w14:paraId="1E2275A3" w14:textId="77777777" w:rsidR="00C301A6" w:rsidRDefault="00C301A6" w:rsidP="00037A85">
      <w:pPr>
        <w:spacing w:line="360" w:lineRule="auto"/>
        <w:jc w:val="both"/>
        <w:rPr>
          <w:rFonts w:ascii="Palatino Linotype" w:hAnsi="Palatino Linotype" w:cs="Tahoma"/>
          <w:sz w:val="22"/>
          <w:szCs w:val="22"/>
        </w:rPr>
      </w:pPr>
    </w:p>
    <w:p w14:paraId="7EBFB79B" w14:textId="0F787C7D" w:rsidR="00C301A6" w:rsidRDefault="00C301A6" w:rsidP="00037A85">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Derivado de lo anterior, se advierte que si se le debió pagar la parte proporcional de la segunda quincena del mes de septiembre y lo correspondiente a la primera quincena del mes de octubre, además de que se localizó la liga electrónica </w:t>
      </w:r>
      <w:hyperlink r:id="rId11" w:history="1">
        <w:r w:rsidRPr="006C5FE6">
          <w:rPr>
            <w:rStyle w:val="Hipervnculo"/>
            <w:rFonts w:ascii="Palatino Linotype" w:hAnsi="Palatino Linotype" w:cs="Tahoma"/>
            <w:sz w:val="22"/>
            <w:szCs w:val="22"/>
          </w:rPr>
          <w:t>https://x.com/ADNoticiasMex/status/1973429230340862243</w:t>
        </w:r>
      </w:hyperlink>
      <w:r>
        <w:rPr>
          <w:rFonts w:ascii="Palatino Linotype" w:hAnsi="Palatino Linotype" w:cs="Tahoma"/>
          <w:sz w:val="22"/>
          <w:szCs w:val="22"/>
        </w:rPr>
        <w:t xml:space="preserve"> que corresponde a una nota periodística en la que se señala que el Presidente Municipal se reincorporó el primero de </w:t>
      </w:r>
      <w:r w:rsidR="00F14693" w:rsidRPr="00414039">
        <w:rPr>
          <w:rFonts w:ascii="Palatino Linotype" w:hAnsi="Palatino Linotype" w:cs="Tahoma"/>
          <w:sz w:val="22"/>
          <w:szCs w:val="22"/>
        </w:rPr>
        <w:t>octubre</w:t>
      </w:r>
      <w:r w:rsidRPr="00414039">
        <w:rPr>
          <w:rFonts w:ascii="Palatino Linotype" w:hAnsi="Palatino Linotype" w:cs="Tahoma"/>
          <w:sz w:val="22"/>
          <w:szCs w:val="22"/>
        </w:rPr>
        <w:t xml:space="preserve"> de</w:t>
      </w:r>
      <w:r>
        <w:rPr>
          <w:rFonts w:ascii="Palatino Linotype" w:hAnsi="Palatino Linotype" w:cs="Tahoma"/>
          <w:sz w:val="22"/>
          <w:szCs w:val="22"/>
        </w:rPr>
        <w:t xml:space="preserve"> dos mil veinticinco. </w:t>
      </w:r>
    </w:p>
    <w:p w14:paraId="50FFE622" w14:textId="77777777" w:rsidR="00C301A6" w:rsidRDefault="00C301A6" w:rsidP="00037A85">
      <w:pPr>
        <w:spacing w:line="360" w:lineRule="auto"/>
        <w:jc w:val="both"/>
        <w:rPr>
          <w:rFonts w:ascii="Palatino Linotype" w:hAnsi="Palatino Linotype" w:cs="Tahoma"/>
          <w:sz w:val="22"/>
          <w:szCs w:val="22"/>
        </w:rPr>
      </w:pPr>
    </w:p>
    <w:p w14:paraId="7339E051" w14:textId="77777777" w:rsidR="00C301A6" w:rsidRPr="00A05D39" w:rsidRDefault="00C301A6" w:rsidP="00C301A6">
      <w:pPr>
        <w:spacing w:after="160" w:line="360" w:lineRule="auto"/>
        <w:contextualSpacing/>
        <w:jc w:val="both"/>
        <w:rPr>
          <w:rFonts w:ascii="Palatino Linotype" w:eastAsia="Palatino Linotype" w:hAnsi="Palatino Linotype" w:cs="Tahoma"/>
          <w:b/>
          <w:bCs/>
          <w:color w:val="000000"/>
          <w:sz w:val="22"/>
          <w:szCs w:val="22"/>
          <w:lang w:eastAsia="es-MX"/>
        </w:rPr>
      </w:pPr>
      <w:r w:rsidRPr="00A05D39">
        <w:rPr>
          <w:rFonts w:ascii="Palatino Linotype" w:eastAsia="Palatino Linotype" w:hAnsi="Palatino Linotype" w:cs="Tahoma"/>
          <w:bCs/>
          <w:color w:val="000000"/>
          <w:sz w:val="22"/>
          <w:szCs w:val="22"/>
          <w:lang w:eastAsia="es-MX"/>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A05D39">
        <w:rPr>
          <w:rFonts w:ascii="Palatino Linotype" w:eastAsia="Palatino Linotype" w:hAnsi="Palatino Linotype" w:cs="Tahoma"/>
          <w:b/>
          <w:bCs/>
          <w:i/>
          <w:color w:val="000000"/>
          <w:sz w:val="22"/>
          <w:szCs w:val="22"/>
          <w:lang w:eastAsia="es-MX"/>
        </w:rPr>
        <w:t>“NOTAS PERIODISTICAS, EL CONOCIMIENTO QUE DE ELLAS SE OBTIENE NO CONSTITUYE ‘UN HECHO PUBLICO Y NOTORIO’”</w:t>
      </w:r>
      <w:r w:rsidRPr="00A05D39">
        <w:rPr>
          <w:rFonts w:ascii="Palatino Linotype" w:eastAsia="Palatino Linotype" w:hAnsi="Palatino Linotype" w:cs="Tahoma"/>
          <w:bCs/>
          <w:color w:val="000000"/>
          <w:sz w:val="22"/>
          <w:szCs w:val="22"/>
          <w:lang w:eastAsia="es-MX"/>
        </w:rPr>
        <w:t xml:space="preserve"> en la que se señala que </w:t>
      </w:r>
      <w:r w:rsidRPr="00A05D39">
        <w:rPr>
          <w:rFonts w:ascii="Palatino Linotype" w:eastAsia="Palatino Linotype" w:hAnsi="Palatino Linotype" w:cs="Tahoma"/>
          <w:bCs/>
          <w:color w:val="000000"/>
          <w:sz w:val="22"/>
          <w:szCs w:val="22"/>
          <w:lang w:eastAsia="es-MX"/>
        </w:rPr>
        <w:lastRenderedPageBreak/>
        <w:t xml:space="preserve">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A05D39">
        <w:rPr>
          <w:rFonts w:ascii="Palatino Linotype" w:eastAsia="Palatino Linotype" w:hAnsi="Palatino Linotype" w:cs="Tahoma"/>
          <w:b/>
          <w:bCs/>
          <w:color w:val="000000"/>
          <w:sz w:val="22"/>
          <w:szCs w:val="22"/>
          <w:lang w:eastAsia="es-MX"/>
        </w:rPr>
        <w:t>indicios.</w:t>
      </w:r>
    </w:p>
    <w:p w14:paraId="3B7ADB3F" w14:textId="77777777" w:rsidR="00C301A6" w:rsidRDefault="00C301A6" w:rsidP="00037A85">
      <w:pPr>
        <w:spacing w:line="360" w:lineRule="auto"/>
        <w:jc w:val="both"/>
        <w:rPr>
          <w:rFonts w:ascii="Palatino Linotype" w:hAnsi="Palatino Linotype" w:cs="Tahoma"/>
          <w:sz w:val="22"/>
          <w:szCs w:val="22"/>
        </w:rPr>
      </w:pPr>
    </w:p>
    <w:p w14:paraId="199E62A0" w14:textId="32C45D03" w:rsidR="00C301A6" w:rsidRDefault="00C301A6" w:rsidP="00037A85">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Derivado de lo anterior, se puede concluir que el servidor público del cual se requiere la información cuenta con los recibos de nómina requeridos por el Particular, ahora, si bien es cierto la solicitud fue ceñida a obtener los recibos de nómina de la primera a la vigésima segunda quincena, lo cierto es que la solicitud ingreso el día seis de noviembre de dos mil veinticinco, por lo que únicamente se había pagado hasta la vigésima quincena correspondiente a la segunda quincena de octubre de dicho año, por lo que no es posible ordenar la entrega de documentos que </w:t>
      </w:r>
      <w:proofErr w:type="spellStart"/>
      <w:r>
        <w:rPr>
          <w:rFonts w:ascii="Palatino Linotype" w:hAnsi="Palatino Linotype" w:cs="Tahoma"/>
          <w:sz w:val="22"/>
          <w:szCs w:val="22"/>
        </w:rPr>
        <w:t>aun</w:t>
      </w:r>
      <w:proofErr w:type="spellEnd"/>
      <w:r>
        <w:rPr>
          <w:rFonts w:ascii="Palatino Linotype" w:hAnsi="Palatino Linotype" w:cs="Tahoma"/>
          <w:sz w:val="22"/>
          <w:szCs w:val="22"/>
        </w:rPr>
        <w:t xml:space="preserve"> no se han generado respecto de las quincenas del mes de noviembre</w:t>
      </w:r>
      <w:r w:rsidR="0069524C">
        <w:rPr>
          <w:rFonts w:ascii="Palatino Linotype" w:hAnsi="Palatino Linotype" w:cs="Tahoma"/>
          <w:sz w:val="22"/>
          <w:szCs w:val="22"/>
        </w:rPr>
        <w:t>, al no haberse generado a la fecha de la solicitud.</w:t>
      </w:r>
    </w:p>
    <w:p w14:paraId="4CEEB85D" w14:textId="77777777" w:rsidR="00C301A6" w:rsidRDefault="00C301A6" w:rsidP="00037A85">
      <w:pPr>
        <w:spacing w:line="360" w:lineRule="auto"/>
        <w:jc w:val="both"/>
        <w:rPr>
          <w:rFonts w:ascii="Palatino Linotype" w:hAnsi="Palatino Linotype" w:cs="Tahoma"/>
          <w:sz w:val="22"/>
          <w:szCs w:val="22"/>
        </w:rPr>
      </w:pPr>
    </w:p>
    <w:p w14:paraId="7151F04E" w14:textId="77777777" w:rsidR="00037A85" w:rsidRDefault="00037A85" w:rsidP="00037A85">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en respuesta a través de la </w:t>
      </w:r>
      <w:r w:rsidRPr="00BB30A3">
        <w:rPr>
          <w:rFonts w:ascii="Palatino Linotype" w:hAnsi="Palatino Linotype" w:cs="Tahoma"/>
          <w:sz w:val="22"/>
          <w:szCs w:val="22"/>
        </w:rPr>
        <w:t>Directora de Recursos Humanos</w:t>
      </w:r>
      <w:r>
        <w:rPr>
          <w:rFonts w:ascii="Palatino Linotype" w:hAnsi="Palatino Linotype" w:cs="Tahoma"/>
          <w:sz w:val="22"/>
          <w:szCs w:val="22"/>
        </w:rPr>
        <w:t>, señaló que proporcionaba la información solicitada, razón por la cual de acuerdo al Manual de Organización de la Dirección General de Administración, que tiene dentro de sus atribuciones la de c</w:t>
      </w:r>
      <w:r w:rsidRPr="00BB30A3">
        <w:rPr>
          <w:rFonts w:ascii="Palatino Linotype" w:hAnsi="Palatino Linotype" w:cs="Tahoma"/>
          <w:sz w:val="22"/>
          <w:szCs w:val="22"/>
        </w:rPr>
        <w:t>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r>
        <w:rPr>
          <w:rFonts w:ascii="Palatino Linotype" w:hAnsi="Palatino Linotype" w:cs="Tahoma"/>
          <w:sz w:val="22"/>
          <w:szCs w:val="22"/>
        </w:rPr>
        <w:t>; d</w:t>
      </w:r>
      <w:r w:rsidRPr="00BB30A3">
        <w:rPr>
          <w:rFonts w:ascii="Palatino Linotype" w:hAnsi="Palatino Linotype" w:cs="Tahoma"/>
          <w:sz w:val="22"/>
          <w:szCs w:val="22"/>
        </w:rPr>
        <w:t>e esta forma se advierte que el Sujeto Obligado cumplió con el procedimiento de búsqueda, pues turno la solicitud de información al área competente, que</w:t>
      </w:r>
      <w:r>
        <w:rPr>
          <w:rFonts w:ascii="Palatino Linotype" w:hAnsi="Palatino Linotype" w:cs="Tahoma"/>
          <w:sz w:val="22"/>
          <w:szCs w:val="22"/>
        </w:rPr>
        <w:t xml:space="preserve"> emite los recibos solicitados</w:t>
      </w:r>
      <w:r w:rsidRPr="00BB30A3">
        <w:rPr>
          <w:rFonts w:ascii="Palatino Linotype" w:hAnsi="Palatino Linotype" w:cs="Tahoma"/>
          <w:sz w:val="22"/>
          <w:szCs w:val="22"/>
        </w:rPr>
        <w:t>.</w:t>
      </w:r>
    </w:p>
    <w:p w14:paraId="6F7CC7A9" w14:textId="77777777" w:rsidR="00037A85" w:rsidRDefault="00037A85" w:rsidP="00037A85">
      <w:pPr>
        <w:spacing w:line="360" w:lineRule="auto"/>
        <w:jc w:val="both"/>
        <w:rPr>
          <w:rFonts w:ascii="Palatino Linotype" w:hAnsi="Palatino Linotype" w:cs="Tahoma"/>
          <w:sz w:val="22"/>
          <w:szCs w:val="22"/>
        </w:rPr>
      </w:pPr>
    </w:p>
    <w:p w14:paraId="28BBCE87" w14:textId="08124AE3" w:rsidR="00037A85" w:rsidRPr="00584C27" w:rsidRDefault="00037A85" w:rsidP="00037A85">
      <w:pPr>
        <w:spacing w:line="360" w:lineRule="auto"/>
        <w:jc w:val="both"/>
        <w:rPr>
          <w:rFonts w:ascii="Palatino Linotype" w:eastAsia="Calibri" w:hAnsi="Palatino Linotype"/>
          <w:color w:val="000000"/>
          <w:sz w:val="22"/>
          <w:szCs w:val="22"/>
          <w:lang w:eastAsia="es-MX"/>
        </w:rPr>
      </w:pPr>
      <w:r>
        <w:rPr>
          <w:rFonts w:ascii="Palatino Linotype" w:eastAsia="Calibri" w:hAnsi="Palatino Linotype" w:cs="Tahoma"/>
          <w:bCs/>
          <w:sz w:val="22"/>
          <w:szCs w:val="22"/>
          <w:lang w:eastAsia="en-US"/>
        </w:rPr>
        <w:lastRenderedPageBreak/>
        <w:t>Establecido lo anterior, se procede a analizar la respuesta d</w:t>
      </w:r>
      <w:r w:rsidRPr="00400D1B">
        <w:rPr>
          <w:rFonts w:ascii="Palatino Linotype" w:hAnsi="Palatino Linotype" w:cs="Tahoma"/>
          <w:sz w:val="22"/>
          <w:szCs w:val="22"/>
        </w:rPr>
        <w:t xml:space="preserve">el Sujeto Obligado </w:t>
      </w:r>
      <w:r>
        <w:rPr>
          <w:rFonts w:ascii="Palatino Linotype" w:hAnsi="Palatino Linotype" w:cs="Tahoma"/>
          <w:sz w:val="22"/>
          <w:szCs w:val="22"/>
        </w:rPr>
        <w:t>en la que proporcionó una liga electrónica</w:t>
      </w:r>
      <w:r>
        <w:rPr>
          <w:rFonts w:ascii="Palatino Linotype" w:eastAsia="Palatino Linotype" w:hAnsi="Palatino Linotype" w:cs="Palatino Linotype"/>
          <w:sz w:val="22"/>
          <w:szCs w:val="22"/>
        </w:rPr>
        <w:t xml:space="preserve">, </w:t>
      </w:r>
      <w:r w:rsidR="00B610B5">
        <w:rPr>
          <w:rFonts w:ascii="Palatino Linotype" w:eastAsia="Palatino Linotype" w:hAnsi="Palatino Linotype" w:cs="Palatino Linotype"/>
          <w:sz w:val="22"/>
          <w:szCs w:val="22"/>
        </w:rPr>
        <w:t>a</w:t>
      </w:r>
      <w:r w:rsidRPr="00584C27">
        <w:rPr>
          <w:rFonts w:ascii="Palatino Linotype" w:eastAsia="Calibri" w:hAnsi="Palatino Linotype"/>
          <w:color w:val="000000"/>
          <w:sz w:val="22"/>
          <w:szCs w:val="22"/>
          <w:lang w:eastAsia="es-MX"/>
        </w:rPr>
        <w:t>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47EEEBC8" w14:textId="77777777" w:rsidR="00037A85" w:rsidRPr="00584C27" w:rsidRDefault="00037A85" w:rsidP="00037A85">
      <w:pPr>
        <w:spacing w:line="360" w:lineRule="auto"/>
        <w:jc w:val="both"/>
        <w:rPr>
          <w:rFonts w:ascii="Palatino Linotype" w:eastAsia="Calibri" w:hAnsi="Palatino Linotype"/>
          <w:color w:val="000000"/>
          <w:sz w:val="22"/>
          <w:szCs w:val="22"/>
          <w:lang w:eastAsia="es-MX"/>
        </w:rPr>
      </w:pPr>
    </w:p>
    <w:p w14:paraId="33D83039" w14:textId="4C8418B3" w:rsidR="00037A85" w:rsidRDefault="00037A85" w:rsidP="00037A85">
      <w:pPr>
        <w:spacing w:line="360" w:lineRule="auto"/>
        <w:ind w:right="-93"/>
        <w:jc w:val="both"/>
        <w:rPr>
          <w:rFonts w:ascii="Palatino Linotype" w:eastAsia="Calibri" w:hAnsi="Palatino Linotype"/>
          <w:color w:val="000000"/>
          <w:sz w:val="22"/>
          <w:szCs w:val="22"/>
          <w:lang w:eastAsia="es-MX"/>
        </w:rPr>
      </w:pPr>
      <w:r w:rsidRPr="00584C27">
        <w:rPr>
          <w:rFonts w:ascii="Palatino Linotype" w:eastAsia="Calibri" w:hAnsi="Palatino Linotype"/>
          <w:color w:val="000000"/>
          <w:sz w:val="22"/>
          <w:szCs w:val="22"/>
          <w:lang w:eastAsia="es-MX"/>
        </w:rPr>
        <w:t>Como se logra observar, el Sujeto Obligado si bien señaló una liga electrónica, omitió proporcionar</w:t>
      </w:r>
      <w:r w:rsidR="00B610B5">
        <w:rPr>
          <w:rFonts w:ascii="Palatino Linotype" w:eastAsia="Calibri" w:hAnsi="Palatino Linotype"/>
          <w:color w:val="000000"/>
          <w:sz w:val="22"/>
          <w:szCs w:val="22"/>
          <w:lang w:eastAsia="es-MX"/>
        </w:rPr>
        <w:t xml:space="preserve"> mayores elementos para localizar la información solicitada, además que de su consulta, se puede advertir que corresponde al IPOMEX del Ayuntamiento en específico al apartado de remuneraciones, pero no señaló en que apartado se podía localizar el servidor público mencionado en la solicitud de información, además de que en dicho portal no se localizan los recibos de nómina requeridos, sino únicamente las remuneraciones que recibe</w:t>
      </w:r>
      <w:r>
        <w:rPr>
          <w:rFonts w:ascii="Palatino Linotype" w:eastAsia="Calibri" w:hAnsi="Palatino Linotype"/>
          <w:color w:val="000000"/>
          <w:sz w:val="22"/>
          <w:szCs w:val="22"/>
          <w:lang w:eastAsia="es-MX"/>
        </w:rPr>
        <w:t xml:space="preserve">; </w:t>
      </w:r>
      <w:r w:rsidRPr="00584C27">
        <w:rPr>
          <w:rFonts w:ascii="Palatino Linotype" w:eastAsia="Calibri" w:hAnsi="Palatino Linotype"/>
          <w:color w:val="000000"/>
          <w:sz w:val="22"/>
          <w:szCs w:val="22"/>
          <w:lang w:eastAsia="es-MX"/>
        </w:rPr>
        <w:t xml:space="preserve">por lo que, se considera que incumplió con lo establecido en el artículo 161 de la Ley de Transparencia y Acceso a la Información Pública del Estado de México y Municipios. </w:t>
      </w:r>
    </w:p>
    <w:p w14:paraId="07BEC903" w14:textId="77777777" w:rsidR="00037A85" w:rsidRPr="00127996" w:rsidRDefault="00037A85" w:rsidP="00037A85">
      <w:pPr>
        <w:spacing w:line="360" w:lineRule="auto"/>
        <w:ind w:right="-93"/>
        <w:jc w:val="both"/>
        <w:rPr>
          <w:rFonts w:ascii="Palatino Linotype" w:eastAsia="Calibri" w:hAnsi="Palatino Linotype" w:cs="Tahoma"/>
          <w:iCs/>
          <w:sz w:val="22"/>
          <w:szCs w:val="22"/>
          <w:lang w:eastAsia="es-ES_tradnl"/>
        </w:rPr>
      </w:pPr>
    </w:p>
    <w:p w14:paraId="6C67F221" w14:textId="32310FA3" w:rsidR="00037A85" w:rsidRDefault="00037A85" w:rsidP="00B610B5">
      <w:pPr>
        <w:spacing w:line="360" w:lineRule="auto"/>
        <w:jc w:val="both"/>
        <w:rPr>
          <w:rFonts w:ascii="Palatino Linotype" w:eastAsia="Calibri" w:hAnsi="Palatino Linotype" w:cs="Tahoma"/>
          <w:iCs/>
          <w:sz w:val="22"/>
          <w:szCs w:val="22"/>
          <w:lang w:eastAsia="es-ES_tradnl"/>
        </w:rPr>
      </w:pPr>
      <w:r w:rsidRPr="00584C27">
        <w:rPr>
          <w:rFonts w:ascii="Palatino Linotype" w:eastAsia="Calibri" w:hAnsi="Palatino Linotype"/>
          <w:color w:val="000000"/>
          <w:sz w:val="22"/>
          <w:szCs w:val="22"/>
          <w:lang w:eastAsia="es-MX"/>
        </w:rPr>
        <w:t xml:space="preserve">Por lo que para atender el requerimiento de información, el Sujeto Obligado deberá realizar una búsqueda exhaustiva y razonable en los archivos de todas sus áreas competentes, a efecto que proporcione </w:t>
      </w:r>
      <w:r>
        <w:rPr>
          <w:rFonts w:ascii="Palatino Linotype" w:eastAsia="Calibri" w:hAnsi="Palatino Linotype"/>
          <w:color w:val="000000"/>
          <w:sz w:val="22"/>
          <w:szCs w:val="22"/>
          <w:lang w:eastAsia="es-MX"/>
        </w:rPr>
        <w:t xml:space="preserve">los recibos de nómina </w:t>
      </w:r>
      <w:r w:rsidR="00B610B5">
        <w:rPr>
          <w:rFonts w:ascii="Palatino Linotype" w:eastAsia="Calibri" w:hAnsi="Palatino Linotype"/>
          <w:color w:val="000000"/>
          <w:sz w:val="22"/>
          <w:szCs w:val="22"/>
          <w:lang w:eastAsia="es-MX"/>
        </w:rPr>
        <w:t>correspondientes de la primera a la vigésima quincena de dos mil veinticinco</w:t>
      </w:r>
      <w:r>
        <w:rPr>
          <w:rFonts w:ascii="Palatino Linotype" w:eastAsia="Calibri" w:hAnsi="Palatino Linotype"/>
          <w:color w:val="000000"/>
          <w:sz w:val="22"/>
          <w:szCs w:val="22"/>
          <w:lang w:eastAsia="es-MX"/>
        </w:rPr>
        <w:t xml:space="preserve">, </w:t>
      </w:r>
      <w:r>
        <w:rPr>
          <w:rFonts w:ascii="Palatino Linotype" w:eastAsia="Calibri" w:hAnsi="Palatino Linotype" w:cs="Tahoma"/>
          <w:iCs/>
          <w:sz w:val="22"/>
          <w:szCs w:val="22"/>
          <w:lang w:eastAsia="es-ES_tradnl"/>
        </w:rPr>
        <w:t xml:space="preserve">ya que como se refirió en párrafos anteriores, </w:t>
      </w:r>
      <w:r w:rsidRPr="00BB30A3">
        <w:rPr>
          <w:rFonts w:ascii="Palatino Linotype" w:eastAsia="Calibri" w:hAnsi="Palatino Linotype" w:cs="Tahoma"/>
          <w:iCs/>
          <w:sz w:val="22"/>
          <w:szCs w:val="22"/>
          <w:lang w:eastAsia="es-ES_tradnl"/>
        </w:rPr>
        <w:t>el Sujeto Obligado deberá entregar al Órgano Superior de Fiscalización, los Comprobantes Fiscales Digitales por Internet por concepto de nómina</w:t>
      </w:r>
      <w:r w:rsidR="00B610B5">
        <w:rPr>
          <w:rFonts w:ascii="Palatino Linotype" w:eastAsia="Calibri" w:hAnsi="Palatino Linotype" w:cs="Tahoma"/>
          <w:iCs/>
          <w:sz w:val="22"/>
          <w:szCs w:val="22"/>
          <w:lang w:eastAsia="es-ES_tradnl"/>
        </w:rPr>
        <w:t>.</w:t>
      </w:r>
    </w:p>
    <w:p w14:paraId="012E53C2" w14:textId="77777777" w:rsidR="00037A85" w:rsidRDefault="00037A85" w:rsidP="00037A85">
      <w:pPr>
        <w:spacing w:line="360" w:lineRule="auto"/>
        <w:jc w:val="both"/>
        <w:rPr>
          <w:rFonts w:ascii="Palatino Linotype" w:eastAsia="Calibri" w:hAnsi="Palatino Linotype" w:cs="Tahoma"/>
          <w:iCs/>
          <w:sz w:val="22"/>
          <w:szCs w:val="22"/>
          <w:lang w:eastAsia="es-ES_tradnl"/>
        </w:rPr>
      </w:pPr>
    </w:p>
    <w:p w14:paraId="694FFB90" w14:textId="77777777" w:rsidR="00037A85" w:rsidRPr="00584C27" w:rsidRDefault="00037A85" w:rsidP="00037A85">
      <w:pPr>
        <w:spacing w:line="360" w:lineRule="auto"/>
        <w:jc w:val="both"/>
        <w:rPr>
          <w:rFonts w:ascii="Palatino Linotype" w:eastAsia="Calibri" w:hAnsi="Palatino Linotype"/>
          <w:color w:val="000000"/>
          <w:sz w:val="22"/>
          <w:szCs w:val="22"/>
          <w:lang w:eastAsia="es-MX"/>
        </w:rPr>
      </w:pPr>
      <w:r>
        <w:rPr>
          <w:rFonts w:ascii="Palatino Linotype" w:eastAsia="Calibri" w:hAnsi="Palatino Linotype"/>
          <w:color w:val="000000"/>
          <w:sz w:val="22"/>
          <w:szCs w:val="22"/>
          <w:lang w:eastAsia="es-MX"/>
        </w:rPr>
        <w:t>D</w:t>
      </w:r>
      <w:r w:rsidRPr="00584C27">
        <w:rPr>
          <w:rFonts w:ascii="Palatino Linotype" w:eastAsia="Calibri" w:hAnsi="Palatino Linotype"/>
          <w:color w:val="000000"/>
          <w:sz w:val="22"/>
          <w:szCs w:val="22"/>
          <w:lang w:eastAsia="es-MX"/>
        </w:rPr>
        <w:t xml:space="preserve">icha situación, toma sustento en el artículo 12 de la Ley de Transparencia y Acceso a la Información Pública del Estado de México y Municipios, que establece que los sujetos obligados sólo están constreñidos a proporcionar la información pública que obre en sus </w:t>
      </w:r>
      <w:r w:rsidRPr="00584C27">
        <w:rPr>
          <w:rFonts w:ascii="Palatino Linotype" w:eastAsia="Calibri" w:hAnsi="Palatino Linotype"/>
          <w:color w:val="000000"/>
          <w:sz w:val="22"/>
          <w:szCs w:val="22"/>
          <w:lang w:eastAsia="es-MX"/>
        </w:rPr>
        <w:lastRenderedPageBreak/>
        <w:t>archivos, en el estado en que esta se encuentre; por lo que, la entrega no comprende el procesamiento de la misma, ni presentarla conforme al interés del Solicitante.</w:t>
      </w:r>
    </w:p>
    <w:p w14:paraId="3C72A518" w14:textId="77777777" w:rsidR="00037A85" w:rsidRPr="00584C27" w:rsidRDefault="00037A85" w:rsidP="00037A85">
      <w:pPr>
        <w:spacing w:line="360" w:lineRule="auto"/>
        <w:jc w:val="both"/>
        <w:rPr>
          <w:rFonts w:ascii="Palatino Linotype" w:eastAsia="Calibri" w:hAnsi="Palatino Linotype"/>
          <w:color w:val="000000"/>
          <w:sz w:val="22"/>
          <w:szCs w:val="22"/>
          <w:lang w:eastAsia="es-MX"/>
        </w:rPr>
      </w:pPr>
    </w:p>
    <w:p w14:paraId="15347099" w14:textId="77777777" w:rsidR="00037A85" w:rsidRPr="00584C27" w:rsidRDefault="00037A85" w:rsidP="00037A85">
      <w:pPr>
        <w:spacing w:line="360" w:lineRule="auto"/>
        <w:jc w:val="both"/>
        <w:rPr>
          <w:rFonts w:ascii="Palatino Linotype" w:eastAsia="Calibri" w:hAnsi="Palatino Linotype"/>
          <w:color w:val="000000"/>
          <w:sz w:val="22"/>
          <w:szCs w:val="22"/>
          <w:lang w:eastAsia="es-MX"/>
        </w:rPr>
      </w:pPr>
      <w:r w:rsidRPr="00584C27">
        <w:rPr>
          <w:rFonts w:ascii="Palatino Linotype" w:eastAsia="Calibri" w:hAnsi="Palatino Linotype"/>
          <w:color w:val="000000"/>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584C27">
        <w:rPr>
          <w:rFonts w:ascii="Palatino Linotype" w:eastAsia="Calibri" w:hAnsi="Palatino Linotype"/>
          <w:i/>
          <w:iCs/>
          <w:color w:val="000000"/>
          <w:sz w:val="22"/>
          <w:szCs w:val="22"/>
          <w:lang w:eastAsia="es-MX"/>
        </w:rPr>
        <w:t>ad hoc;</w:t>
      </w:r>
      <w:r w:rsidRPr="00584C27">
        <w:rPr>
          <w:rFonts w:ascii="Palatino Linotype" w:eastAsia="Calibri" w:hAnsi="Palatino Linotype"/>
          <w:color w:val="000000"/>
          <w:sz w:val="22"/>
          <w:szCs w:val="22"/>
          <w:lang w:eastAsia="es-MX"/>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14:paraId="17D0601F" w14:textId="77777777" w:rsidR="00037A85" w:rsidRPr="00584C27" w:rsidRDefault="00037A85" w:rsidP="00037A85">
      <w:pPr>
        <w:spacing w:line="360" w:lineRule="auto"/>
        <w:jc w:val="both"/>
        <w:rPr>
          <w:rFonts w:ascii="Palatino Linotype" w:eastAsia="Calibri" w:hAnsi="Palatino Linotype"/>
          <w:color w:val="000000"/>
          <w:sz w:val="22"/>
          <w:szCs w:val="22"/>
          <w:lang w:eastAsia="es-MX"/>
        </w:rPr>
      </w:pPr>
    </w:p>
    <w:p w14:paraId="30044421" w14:textId="40F04860" w:rsidR="00037A85" w:rsidRDefault="00037A85" w:rsidP="00037A85">
      <w:pPr>
        <w:spacing w:line="360" w:lineRule="auto"/>
        <w:jc w:val="both"/>
        <w:rPr>
          <w:rFonts w:ascii="Palatino Linotype" w:eastAsia="Palatino Linotype" w:hAnsi="Palatino Linotype" w:cs="Palatino Linotype"/>
          <w:sz w:val="22"/>
          <w:szCs w:val="22"/>
        </w:rPr>
      </w:pPr>
      <w:r w:rsidRPr="00584C27">
        <w:rPr>
          <w:rFonts w:ascii="Palatino Linotype" w:eastAsia="Calibri" w:hAnsi="Palatino Linotype"/>
          <w:color w:val="000000"/>
          <w:sz w:val="22"/>
          <w:szCs w:val="22"/>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Pr>
          <w:rFonts w:ascii="Palatino Linotype" w:eastAsia="Calibri" w:hAnsi="Palatino Linotype"/>
          <w:color w:val="000000"/>
          <w:sz w:val="22"/>
          <w:szCs w:val="22"/>
          <w:lang w:eastAsia="es-MX"/>
        </w:rPr>
        <w:t>los recibos de nómina</w:t>
      </w:r>
      <w:r w:rsidR="0069524C">
        <w:rPr>
          <w:rFonts w:ascii="Palatino Linotype" w:eastAsia="Calibri" w:hAnsi="Palatino Linotype"/>
          <w:color w:val="000000"/>
          <w:sz w:val="22"/>
          <w:szCs w:val="22"/>
          <w:lang w:eastAsia="es-MX"/>
        </w:rPr>
        <w:t>; lo cual toma relevancia, pues dentro del periodo de entrega se encuentra aquel donde solicitó licencia, por lo que, en caso de haber sido una licencia temporal, sin goce de sueldo, el descuento respectivo se verá reflejado en los documentos que entregue el Ayuntamiento, específicamente en la segunda quincena y primera de octubre de dos mil veinticinco.</w:t>
      </w:r>
    </w:p>
    <w:p w14:paraId="2EB668AD" w14:textId="77777777" w:rsidR="00037A85" w:rsidRDefault="00037A85" w:rsidP="00037A85">
      <w:pPr>
        <w:spacing w:line="360" w:lineRule="auto"/>
        <w:jc w:val="both"/>
        <w:rPr>
          <w:rFonts w:ascii="Palatino Linotype" w:eastAsia="Palatino Linotype" w:hAnsi="Palatino Linotype" w:cs="Palatino Linotype"/>
          <w:sz w:val="22"/>
          <w:szCs w:val="22"/>
        </w:rPr>
      </w:pPr>
    </w:p>
    <w:p w14:paraId="26DA81A7" w14:textId="77777777" w:rsidR="00037A85" w:rsidRDefault="00037A85" w:rsidP="00037A85">
      <w:pPr>
        <w:spacing w:line="360" w:lineRule="auto"/>
        <w:jc w:val="both"/>
        <w:rPr>
          <w:rFonts w:ascii="Palatino Linotype" w:eastAsia="Calibri" w:hAnsi="Palatino Linotype" w:cs="Tahoma"/>
          <w:b/>
          <w:bCs/>
          <w:iCs/>
          <w:sz w:val="22"/>
          <w:szCs w:val="22"/>
          <w:lang w:eastAsia="es-ES_tradnl"/>
        </w:rPr>
      </w:pPr>
      <w:r>
        <w:rPr>
          <w:rFonts w:ascii="Palatino Linotype" w:eastAsia="Calibri" w:hAnsi="Palatino Linotype" w:cs="Tahoma"/>
          <w:b/>
          <w:bCs/>
          <w:iCs/>
          <w:sz w:val="22"/>
          <w:szCs w:val="22"/>
          <w:lang w:eastAsia="es-ES_tradnl"/>
        </w:rPr>
        <w:t>Versión Pública</w:t>
      </w:r>
    </w:p>
    <w:p w14:paraId="27AC9E1D" w14:textId="77777777" w:rsidR="00037A85" w:rsidRPr="006E6B62" w:rsidRDefault="00037A85" w:rsidP="00037A85">
      <w:pPr>
        <w:spacing w:line="360" w:lineRule="auto"/>
        <w:jc w:val="both"/>
        <w:rPr>
          <w:rFonts w:ascii="Palatino Linotype" w:eastAsia="Calibri" w:hAnsi="Palatino Linotype" w:cs="Tahoma"/>
          <w:b/>
          <w:bCs/>
          <w:iCs/>
          <w:sz w:val="22"/>
          <w:szCs w:val="22"/>
          <w:lang w:eastAsia="es-ES_tradnl"/>
        </w:rPr>
      </w:pPr>
    </w:p>
    <w:p w14:paraId="243A8C17" w14:textId="77777777" w:rsidR="00037A85" w:rsidRPr="004A2C87" w:rsidRDefault="00037A85" w:rsidP="00037A85">
      <w:pPr>
        <w:spacing w:line="360" w:lineRule="auto"/>
        <w:ind w:right="-30"/>
        <w:contextualSpacing/>
        <w:jc w:val="both"/>
        <w:textAlignment w:val="baseline"/>
        <w:rPr>
          <w:rFonts w:ascii="Palatino Linotype" w:hAnsi="Palatino Linotype" w:cs="Adelle Sans Devanagari"/>
          <w:sz w:val="24"/>
          <w:szCs w:val="24"/>
          <w:lang w:eastAsia="en-US"/>
        </w:rPr>
      </w:pPr>
      <w:r w:rsidRPr="004A2C87">
        <w:rPr>
          <w:rFonts w:ascii="Palatino Linotype" w:eastAsia="Calibri" w:hAnsi="Palatino Linotype" w:cs="Adelle Sans Devanagari"/>
          <w:color w:val="000000"/>
          <w:sz w:val="22"/>
          <w:szCs w:val="22"/>
          <w:lang w:val="es-ES" w:eastAsia="es-MX"/>
        </w:rPr>
        <w:t>Ahora bien, no pasa desapercibido que la información solicitada</w:t>
      </w:r>
      <w:r w:rsidRPr="004A2C87">
        <w:rPr>
          <w:rFonts w:ascii="Palatino Linotype" w:hAnsi="Palatino Linotype" w:cs="Adelle Sans Devanagari"/>
          <w:sz w:val="22"/>
          <w:szCs w:val="22"/>
          <w:lang w:eastAsia="en-US"/>
        </w:rPr>
        <w:t xml:space="preserve">, </w:t>
      </w:r>
      <w:r w:rsidRPr="004A2C87">
        <w:rPr>
          <w:rFonts w:ascii="Palatino Linotype" w:eastAsia="Calibri" w:hAnsi="Palatino Linotype" w:cs="Adelle Sans Devanagari"/>
          <w:bCs/>
          <w:iCs/>
          <w:color w:val="000000"/>
          <w:sz w:val="22"/>
          <w:szCs w:val="22"/>
          <w:lang w:val="es-ES_tradnl" w:eastAsia="en-US"/>
        </w:rPr>
        <w:t>pudieran contener datos o información clasificada</w:t>
      </w:r>
      <w:r w:rsidRPr="004A2C87">
        <w:rPr>
          <w:rFonts w:ascii="Palatino Linotype" w:hAnsi="Palatino Linotype" w:cs="Adelle Sans Devanagari"/>
          <w:bCs/>
          <w:iCs/>
          <w:sz w:val="22"/>
          <w:szCs w:val="22"/>
          <w:lang w:val="es-ES_tradnl" w:eastAsia="en-US"/>
        </w:rPr>
        <w:t xml:space="preserve"> </w:t>
      </w:r>
      <w:r w:rsidRPr="004A2C87">
        <w:rPr>
          <w:rFonts w:ascii="Palatino Linotype" w:hAnsi="Palatino Linotype" w:cs="Adelle Sans Devanagari"/>
          <w:bCs/>
          <w:iCs/>
          <w:sz w:val="22"/>
          <w:szCs w:val="22"/>
          <w:lang w:eastAsia="en-US"/>
        </w:rPr>
        <w:t>conforme a lo siguiente:</w:t>
      </w:r>
    </w:p>
    <w:p w14:paraId="751D01C1" w14:textId="77777777" w:rsidR="00037A85" w:rsidRPr="004A2C87" w:rsidRDefault="00037A85" w:rsidP="00037A85">
      <w:pPr>
        <w:widowControl w:val="0"/>
        <w:tabs>
          <w:tab w:val="center" w:pos="4522"/>
        </w:tabs>
        <w:spacing w:line="360" w:lineRule="auto"/>
        <w:contextualSpacing/>
        <w:jc w:val="both"/>
        <w:rPr>
          <w:rFonts w:ascii="Palatino Linotype" w:eastAsia="Calibri" w:hAnsi="Palatino Linotype" w:cs="Adelle Sans Devanagari"/>
          <w:bCs/>
          <w:iCs/>
          <w:color w:val="000000"/>
          <w:sz w:val="22"/>
          <w:szCs w:val="22"/>
          <w:lang w:eastAsia="en-US"/>
        </w:rPr>
      </w:pPr>
    </w:p>
    <w:p w14:paraId="74D93A2D" w14:textId="77777777" w:rsidR="00037A85" w:rsidRPr="004A2C87" w:rsidRDefault="00037A85" w:rsidP="00196833">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Clave Única de Registro de Población;</w:t>
      </w:r>
    </w:p>
    <w:p w14:paraId="4C99D44C" w14:textId="77777777" w:rsidR="00037A85" w:rsidRPr="004A2C87" w:rsidRDefault="00037A85" w:rsidP="00196833">
      <w:pPr>
        <w:numPr>
          <w:ilvl w:val="0"/>
          <w:numId w:val="3"/>
        </w:numPr>
        <w:autoSpaceDE w:val="0"/>
        <w:autoSpaceDN w:val="0"/>
        <w:adjustRightInd w:val="0"/>
        <w:spacing w:line="360" w:lineRule="auto"/>
        <w:contextualSpacing/>
        <w:jc w:val="both"/>
        <w:rPr>
          <w:rFonts w:ascii="Palatino Linotype" w:hAnsi="Palatino Linotype" w:cs="Adelle Sans Devanagari"/>
          <w:bCs/>
          <w:iCs/>
          <w:color w:val="000000"/>
          <w:sz w:val="22"/>
          <w:szCs w:val="24"/>
        </w:rPr>
      </w:pPr>
      <w:r w:rsidRPr="004A2C87">
        <w:rPr>
          <w:rFonts w:ascii="Palatino Linotype" w:hAnsi="Palatino Linotype" w:cs="Adelle Sans Devanagari"/>
          <w:bCs/>
          <w:iCs/>
          <w:color w:val="000000"/>
          <w:sz w:val="22"/>
          <w:szCs w:val="24"/>
        </w:rPr>
        <w:t>Registro Federal de Contribuyentes;</w:t>
      </w:r>
    </w:p>
    <w:p w14:paraId="44723C81" w14:textId="77777777" w:rsidR="00037A85" w:rsidRPr="004A2C87" w:rsidRDefault="00037A85" w:rsidP="00196833">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Código bidimensional o QR;</w:t>
      </w:r>
    </w:p>
    <w:p w14:paraId="6D87F2FB" w14:textId="77777777" w:rsidR="00037A85" w:rsidRPr="004A2C87" w:rsidRDefault="00037A85" w:rsidP="00196833">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lastRenderedPageBreak/>
        <w:t>Número de seguridad social del Instituto de Seguridad Social del Estado de México y Municipios;</w:t>
      </w:r>
    </w:p>
    <w:p w14:paraId="13818A63" w14:textId="77777777" w:rsidR="00037A85" w:rsidRPr="006E6B62" w:rsidRDefault="00037A85" w:rsidP="00196833">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Deducciones personales;</w:t>
      </w:r>
    </w:p>
    <w:p w14:paraId="6BA6AD89" w14:textId="77777777" w:rsidR="00037A85" w:rsidRPr="006E6B62" w:rsidRDefault="00037A85" w:rsidP="00196833">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Sellos digitales del emisor y del Servicio de Administración Tributaria y cadena original del complemento de certificación digital del órgano previamente señalado;</w:t>
      </w:r>
    </w:p>
    <w:p w14:paraId="745C5C19" w14:textId="77777777" w:rsidR="00037A85" w:rsidRPr="006E6B62" w:rsidRDefault="00037A85" w:rsidP="00196833">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Folio fiscal</w:t>
      </w:r>
      <w:r>
        <w:rPr>
          <w:rFonts w:ascii="Palatino Linotype" w:hAnsi="Palatino Linotype" w:cs="Adelle Sans Devanagari"/>
          <w:bCs/>
          <w:color w:val="000000"/>
          <w:sz w:val="22"/>
          <w:szCs w:val="22"/>
          <w:lang w:val="es-ES" w:eastAsia="en-US"/>
        </w:rPr>
        <w:t>, y</w:t>
      </w:r>
    </w:p>
    <w:p w14:paraId="16462AB0" w14:textId="77777777" w:rsidR="00037A85" w:rsidRPr="006E6B62" w:rsidRDefault="00037A85" w:rsidP="00196833">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6E6B62">
        <w:rPr>
          <w:rFonts w:ascii="Palatino Linotype" w:hAnsi="Palatino Linotype" w:cs="Adelle Sans Devanagari"/>
          <w:bCs/>
          <w:color w:val="000000"/>
          <w:sz w:val="22"/>
          <w:szCs w:val="22"/>
          <w:lang w:val="es-ES" w:eastAsia="en-US"/>
        </w:rPr>
        <w:t>Número de cuenta bancario</w:t>
      </w:r>
      <w:r>
        <w:rPr>
          <w:rFonts w:ascii="Palatino Linotype" w:hAnsi="Palatino Linotype" w:cs="Adelle Sans Devanagari"/>
          <w:bCs/>
          <w:color w:val="000000"/>
          <w:sz w:val="22"/>
          <w:szCs w:val="22"/>
          <w:lang w:val="es-ES" w:eastAsia="en-US"/>
        </w:rPr>
        <w:t>.</w:t>
      </w:r>
    </w:p>
    <w:p w14:paraId="1CE0624E" w14:textId="77777777" w:rsidR="00037A85" w:rsidRPr="004A2C87" w:rsidRDefault="00037A85" w:rsidP="00037A85">
      <w:p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p>
    <w:p w14:paraId="6727FEEF"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color w:val="000000"/>
          <w:sz w:val="22"/>
          <w:szCs w:val="22"/>
          <w:lang w:val="es-ES" w:eastAsia="en-US"/>
        </w:rPr>
        <w:t>Al respecto, resulta procedente analizar si dichos datos son públicos o privados; para lo cual</w:t>
      </w:r>
      <w:r w:rsidRPr="004A2C87">
        <w:rPr>
          <w:rFonts w:ascii="Palatino Linotype" w:hAnsi="Palatino Linotype" w:cs="Adelle Sans Devanagari"/>
          <w:bCs/>
          <w:iCs/>
          <w:color w:val="000000"/>
          <w:sz w:val="22"/>
          <w:szCs w:val="22"/>
          <w:lang w:eastAsia="es-MX"/>
        </w:rPr>
        <w:t>, el artículo 143, fracción I, de la Ley de la materia, establece que la información privada y los datos personales, concernientes a una persona física o jurídica colectiva identificada o identificable son confidenciales.</w:t>
      </w:r>
    </w:p>
    <w:p w14:paraId="046C044C"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3EED998C"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C2863B4"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7485D40B"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En términos de lo expuesto, la documentación y aquellos datos que se consideren confidenciales, serán una limitante del derecho de acceso a la información, siempre y cuando:</w:t>
      </w:r>
    </w:p>
    <w:p w14:paraId="4D249A2A"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103B13F4" w14:textId="77777777" w:rsidR="00037A85" w:rsidRPr="004A2C87" w:rsidRDefault="00037A85" w:rsidP="00196833">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45793130" w14:textId="77777777" w:rsidR="00037A85" w:rsidRPr="004A2C87" w:rsidRDefault="00037A85" w:rsidP="00037A85">
      <w:pPr>
        <w:spacing w:line="360" w:lineRule="auto"/>
        <w:ind w:left="720"/>
        <w:contextualSpacing/>
        <w:jc w:val="both"/>
        <w:rPr>
          <w:rFonts w:ascii="Palatino Linotype" w:hAnsi="Palatino Linotype" w:cs="Adelle Sans Devanagari"/>
          <w:bCs/>
          <w:iCs/>
          <w:color w:val="000000"/>
          <w:sz w:val="22"/>
          <w:szCs w:val="22"/>
          <w:lang w:eastAsia="es-MX"/>
        </w:rPr>
      </w:pPr>
    </w:p>
    <w:p w14:paraId="5560C518" w14:textId="77777777" w:rsidR="00037A85" w:rsidRPr="004A2C87" w:rsidRDefault="00037A85" w:rsidP="00196833">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Para la difusión de los datos, se requiera el consentimiento del titular. </w:t>
      </w:r>
    </w:p>
    <w:p w14:paraId="7C760E92"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5819E39C"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743DB927"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7EF4F311" w14:textId="77777777" w:rsidR="00037A85" w:rsidRPr="004A2C87" w:rsidRDefault="00037A85" w:rsidP="00196833">
      <w:pPr>
        <w:numPr>
          <w:ilvl w:val="0"/>
          <w:numId w:val="5"/>
        </w:numPr>
        <w:spacing w:line="360" w:lineRule="auto"/>
        <w:contextualSpacing/>
        <w:jc w:val="both"/>
        <w:rPr>
          <w:rFonts w:ascii="Palatino Linotype" w:hAnsi="Palatino Linotype" w:cs="Adelle Sans Devanagari"/>
          <w:b/>
          <w:color w:val="000000"/>
          <w:sz w:val="22"/>
          <w:szCs w:val="22"/>
          <w:lang w:val="es-ES" w:eastAsia="en-US"/>
        </w:rPr>
      </w:pPr>
      <w:r w:rsidRPr="004A2C87">
        <w:rPr>
          <w:rFonts w:ascii="Palatino Linotype" w:hAnsi="Palatino Linotype" w:cs="Adelle Sans Devanagari"/>
          <w:b/>
          <w:color w:val="000000"/>
          <w:sz w:val="22"/>
          <w:szCs w:val="22"/>
          <w:lang w:val="es-ES" w:eastAsia="en-US"/>
        </w:rPr>
        <w:t>Clave Única de Registro de Población (CURP)</w:t>
      </w:r>
    </w:p>
    <w:p w14:paraId="161DD494"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170FFEB"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7169F28"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79E491A0"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0B3ADFF"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826E7AE"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lastRenderedPageBreak/>
        <w:t xml:space="preserve">En ese orden de ideas, la Secretaría de Gobernación en las direcciones https://consultas.curp.gob.mx/CurpSP/html/informacionecurpPS.html y </w:t>
      </w:r>
      <w:hyperlink r:id="rId12" w:history="1">
        <w:r w:rsidRPr="00EC5D43">
          <w:rPr>
            <w:rStyle w:val="Hipervnculo"/>
            <w:rFonts w:ascii="Palatino Linotype" w:hAnsi="Palatino Linotype" w:cs="Adelle Sans Devanagari"/>
            <w:bCs/>
            <w:sz w:val="22"/>
            <w:szCs w:val="22"/>
            <w:lang w:val="es-ES" w:eastAsia="en-US"/>
          </w:rPr>
          <w:t>https://www.gob.mx/segob/renapo/acciones-y-programas/clave-unica-de-registro-de-poblacion-curp-142226</w:t>
        </w:r>
      </w:hyperlink>
      <w:r w:rsidRPr="004A2C87">
        <w:rPr>
          <w:rFonts w:ascii="Palatino Linotype" w:hAnsi="Palatino Linotype" w:cs="Adelle Sans Devanagari"/>
          <w:bCs/>
          <w:color w:val="000000"/>
          <w:sz w:val="22"/>
          <w:szCs w:val="22"/>
          <w:lang w:val="es-ES"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A2C87">
        <w:rPr>
          <w:rFonts w:ascii="Palatino Linotype" w:hAnsi="Palatino Linotype" w:cs="Adelle Sans Devanagari"/>
          <w:b/>
          <w:color w:val="000000"/>
          <w:sz w:val="22"/>
          <w:szCs w:val="22"/>
          <w:lang w:val="es-ES" w:eastAsia="en-US"/>
        </w:rPr>
        <w:t>se generan a partir de los datos contenidos en el documento probatorio de la identidad del interesado</w:t>
      </w:r>
      <w:r w:rsidRPr="004A2C87">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2792C219"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442D0249" w14:textId="77777777" w:rsidR="00037A85" w:rsidRPr="004A2C87" w:rsidRDefault="00037A85" w:rsidP="00196833">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El primero y segundo apellidos, así como al nombre de pila;</w:t>
      </w:r>
    </w:p>
    <w:p w14:paraId="0DBD961F" w14:textId="77777777" w:rsidR="00037A85" w:rsidRPr="004A2C87" w:rsidRDefault="00037A85" w:rsidP="00196833">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La fecha de nacimiento;</w:t>
      </w:r>
    </w:p>
    <w:p w14:paraId="3D34D072" w14:textId="77777777" w:rsidR="00037A85" w:rsidRPr="004A2C87" w:rsidRDefault="00037A85" w:rsidP="00196833">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El sexo, y</w:t>
      </w:r>
    </w:p>
    <w:p w14:paraId="2E2D6D32" w14:textId="77777777" w:rsidR="00037A85" w:rsidRPr="004A2C87" w:rsidRDefault="00037A85" w:rsidP="00196833">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La entidad federativa de nacimiento.</w:t>
      </w:r>
    </w:p>
    <w:p w14:paraId="1FC2F174"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4B5C443"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1C36FF01"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04E199D7"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DD783BA"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FE5605F"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lastRenderedPageBreak/>
        <w:t xml:space="preserve">Situación que se robustece, con el </w:t>
      </w:r>
      <w:r w:rsidRPr="004A2C87">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4A2C87">
        <w:rPr>
          <w:rFonts w:ascii="Palatino Linotype" w:eastAsia="Calibri" w:hAnsi="Palatino Linotype" w:cs="Adelle Sans Devanagari"/>
          <w:bCs/>
          <w:iCs/>
          <w:color w:val="000000"/>
          <w:sz w:val="22"/>
          <w:szCs w:val="22"/>
          <w:lang w:eastAsia="en-US"/>
        </w:rPr>
        <w:t>SO/018/2017</w:t>
      </w:r>
      <w:r w:rsidRPr="004A2C87">
        <w:rPr>
          <w:rFonts w:ascii="Palatino Linotype" w:hAnsi="Palatino Linotype" w:cs="Adelle Sans Devanagari"/>
          <w:bCs/>
          <w:iCs/>
          <w:color w:val="000000"/>
          <w:sz w:val="22"/>
          <w:szCs w:val="22"/>
          <w:lang w:eastAsia="es-MX"/>
        </w:rPr>
        <w:t>, emitido por el Instituto Nacional de Transparencia, Acceso a la Información y Protección de Datos Personales, que establece lo siguiente:</w:t>
      </w:r>
    </w:p>
    <w:p w14:paraId="0DAEE246"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092B4F08" w14:textId="77777777" w:rsidR="00037A85" w:rsidRPr="004A2C87" w:rsidRDefault="00037A85" w:rsidP="00037A85">
      <w:pPr>
        <w:spacing w:line="360" w:lineRule="auto"/>
        <w:ind w:left="567" w:right="567"/>
        <w:contextualSpacing/>
        <w:jc w:val="both"/>
        <w:rPr>
          <w:rFonts w:ascii="Palatino Linotype" w:hAnsi="Palatino Linotype" w:cs="Adelle Sans Devanagari"/>
          <w:bCs/>
          <w:i/>
          <w:iCs/>
          <w:color w:val="000000"/>
          <w:lang w:eastAsia="es-MX"/>
        </w:rPr>
      </w:pPr>
      <w:r w:rsidRPr="004A2C87">
        <w:rPr>
          <w:rFonts w:ascii="Palatino Linotype" w:hAnsi="Palatino Linotype" w:cs="Adelle Sans Devanagari"/>
          <w:b/>
          <w:bCs/>
          <w:i/>
          <w:iCs/>
          <w:color w:val="000000"/>
          <w:lang w:eastAsia="es-MX"/>
        </w:rPr>
        <w:t xml:space="preserve">“Clave Única de Registro de Población (CURP). </w:t>
      </w:r>
      <w:r w:rsidRPr="004A2C87">
        <w:rPr>
          <w:rFonts w:ascii="Palatino Linotype" w:hAnsi="Palatino Linotype" w:cs="Adelle Sans Devanagari"/>
          <w:bCs/>
          <w:i/>
          <w:iCs/>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D8390D7" w14:textId="77777777" w:rsidR="00037A85" w:rsidRPr="004A2C87" w:rsidRDefault="00037A85" w:rsidP="00037A85">
      <w:pPr>
        <w:spacing w:line="360" w:lineRule="auto"/>
        <w:contextualSpacing/>
        <w:jc w:val="both"/>
        <w:rPr>
          <w:rFonts w:ascii="Palatino Linotype" w:hAnsi="Palatino Linotype" w:cs="Adelle Sans Devanagari"/>
          <w:bCs/>
          <w:i/>
          <w:iCs/>
          <w:color w:val="000000"/>
          <w:sz w:val="22"/>
          <w:szCs w:val="22"/>
          <w:lang w:eastAsia="es-MX"/>
        </w:rPr>
      </w:pPr>
    </w:p>
    <w:p w14:paraId="1B586505"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De acuerdo con lo anterior, resulta procedente la clasificación de </w:t>
      </w:r>
      <w:r w:rsidRPr="004A2C87">
        <w:rPr>
          <w:rFonts w:ascii="Palatino Linotype" w:hAnsi="Palatino Linotype" w:cs="Adelle Sans Devanagari"/>
          <w:b/>
          <w:bCs/>
          <w:iCs/>
          <w:color w:val="000000"/>
          <w:sz w:val="22"/>
          <w:szCs w:val="22"/>
          <w:lang w:eastAsia="es-MX"/>
        </w:rPr>
        <w:t>la Clave Única de Registro de Población</w:t>
      </w:r>
      <w:r w:rsidRPr="004A2C87">
        <w:rPr>
          <w:rFonts w:ascii="Palatino Linotype" w:hAnsi="Palatino Linotype" w:cs="Adelle Sans Devanagari"/>
          <w:bCs/>
          <w:iCs/>
          <w:color w:val="000000"/>
          <w:sz w:val="22"/>
          <w:szCs w:val="22"/>
          <w:lang w:eastAsia="es-MX"/>
        </w:rPr>
        <w:t xml:space="preserve">, por tratarse de un dato personal confidencial, en términos del artículo 143, fracción I, de la Ley de Transparencia y Acceso a la Información Pública del Estado de México y Municipios. </w:t>
      </w:r>
    </w:p>
    <w:p w14:paraId="29282D49" w14:textId="77777777" w:rsidR="00037A85" w:rsidRPr="004A2C87" w:rsidRDefault="00037A85" w:rsidP="00037A85">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055E1367" w14:textId="77777777" w:rsidR="00037A85" w:rsidRPr="004A2C87" w:rsidRDefault="00037A85" w:rsidP="00196833">
      <w:pPr>
        <w:numPr>
          <w:ilvl w:val="0"/>
          <w:numId w:val="5"/>
        </w:numPr>
        <w:spacing w:line="360" w:lineRule="auto"/>
        <w:contextualSpacing/>
        <w:jc w:val="both"/>
        <w:rPr>
          <w:rFonts w:ascii="Palatino Linotype" w:hAnsi="Palatino Linotype" w:cs="Adelle Sans Devanagari"/>
          <w:b/>
          <w:bCs/>
          <w:iCs/>
          <w:color w:val="000000"/>
          <w:sz w:val="22"/>
          <w:szCs w:val="22"/>
          <w:lang w:val="es-ES_tradnl" w:eastAsia="es-MX"/>
        </w:rPr>
      </w:pPr>
      <w:r w:rsidRPr="004A2C87">
        <w:rPr>
          <w:rFonts w:ascii="Palatino Linotype" w:hAnsi="Palatino Linotype" w:cs="Adelle Sans Devanagari"/>
          <w:b/>
          <w:bCs/>
          <w:iCs/>
          <w:color w:val="000000"/>
          <w:sz w:val="22"/>
          <w:szCs w:val="22"/>
          <w:lang w:val="es-ES_tradnl" w:eastAsia="es-MX"/>
        </w:rPr>
        <w:t>Registro Federal de Contribuyentes (RFC)</w:t>
      </w:r>
    </w:p>
    <w:p w14:paraId="051B0DA5"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79E72165"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2F91135"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1815FF4A"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De acuerdo a lo establecido en el artículo en comento, esta clave se compone de trece caracteres alfanuméricos, con datos obtenidos de los apellidos, nombre(s), fecha de nacimiento del </w:t>
      </w:r>
      <w:r w:rsidRPr="004A2C87">
        <w:rPr>
          <w:rFonts w:ascii="Palatino Linotype" w:hAnsi="Palatino Linotype" w:cs="Adelle Sans Devanagari"/>
          <w:bCs/>
          <w:iCs/>
          <w:color w:val="000000"/>
          <w:sz w:val="22"/>
          <w:szCs w:val="22"/>
          <w:lang w:eastAsia="es-MX"/>
        </w:rPr>
        <w:lastRenderedPageBreak/>
        <w:t xml:space="preserve">titular, más una </w:t>
      </w:r>
      <w:proofErr w:type="spellStart"/>
      <w:r w:rsidRPr="004A2C87">
        <w:rPr>
          <w:rFonts w:ascii="Palatino Linotype" w:hAnsi="Palatino Linotype" w:cs="Adelle Sans Devanagari"/>
          <w:bCs/>
          <w:iCs/>
          <w:color w:val="000000"/>
          <w:sz w:val="22"/>
          <w:szCs w:val="22"/>
          <w:lang w:eastAsia="es-MX"/>
        </w:rPr>
        <w:t>homoclave</w:t>
      </w:r>
      <w:proofErr w:type="spellEnd"/>
      <w:r w:rsidRPr="004A2C87">
        <w:rPr>
          <w:rFonts w:ascii="Palatino Linotype" w:hAnsi="Palatino Linotype" w:cs="Adelle Sans Devanagari"/>
          <w:bCs/>
          <w:iCs/>
          <w:color w:val="000000"/>
          <w:sz w:val="22"/>
          <w:szCs w:val="22"/>
          <w:lang w:eastAsia="es-MX"/>
        </w:rPr>
        <w:t xml:space="preserve"> que establece el sistema automático del Servicio de Administración Tributaria.</w:t>
      </w:r>
    </w:p>
    <w:p w14:paraId="1EEF75FA"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638DC538"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0D3E789"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6C6645B6"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A8D5A3E"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0BCBD192"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Lo anterior, resulta congruente con el </w:t>
      </w:r>
      <w:r w:rsidRPr="004A2C87">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4A2C87">
        <w:rPr>
          <w:rFonts w:ascii="Palatino Linotype" w:eastAsia="Calibri" w:hAnsi="Palatino Linotype" w:cs="Adelle Sans Devanagari"/>
          <w:bCs/>
          <w:iCs/>
          <w:color w:val="000000"/>
          <w:sz w:val="22"/>
          <w:szCs w:val="22"/>
          <w:lang w:eastAsia="en-US"/>
        </w:rPr>
        <w:t xml:space="preserve">SO/019/2017, </w:t>
      </w:r>
      <w:r w:rsidRPr="004A2C87">
        <w:rPr>
          <w:rFonts w:ascii="Palatino Linotype" w:hAnsi="Palatino Linotype" w:cs="Adelle Sans Devanagari"/>
          <w:bCs/>
          <w:iCs/>
          <w:color w:val="000000"/>
          <w:sz w:val="22"/>
          <w:szCs w:val="22"/>
          <w:lang w:eastAsia="es-MX"/>
        </w:rPr>
        <w:t>emitido por el Instituto Nacional de Transparencia, Acceso a la Información y Protección de Datos Personales, en el cual se señala lo siguiente:</w:t>
      </w:r>
    </w:p>
    <w:p w14:paraId="253387BC"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44EB0BE4" w14:textId="77777777" w:rsidR="00037A85" w:rsidRPr="004A2C87" w:rsidRDefault="00037A85" w:rsidP="00037A85">
      <w:pPr>
        <w:spacing w:line="360" w:lineRule="auto"/>
        <w:ind w:left="567" w:right="567"/>
        <w:contextualSpacing/>
        <w:jc w:val="both"/>
        <w:rPr>
          <w:rFonts w:ascii="Palatino Linotype" w:hAnsi="Palatino Linotype" w:cs="Adelle Sans Devanagari"/>
          <w:bCs/>
          <w:i/>
          <w:iCs/>
          <w:color w:val="000000"/>
          <w:lang w:eastAsia="es-MX"/>
        </w:rPr>
      </w:pPr>
      <w:r w:rsidRPr="004A2C87">
        <w:rPr>
          <w:rFonts w:ascii="Palatino Linotype" w:hAnsi="Palatino Linotype" w:cs="Adelle Sans Devanagari"/>
          <w:b/>
          <w:bCs/>
          <w:i/>
          <w:iCs/>
          <w:color w:val="000000"/>
          <w:lang w:eastAsia="es-MX"/>
        </w:rPr>
        <w:t>“Registro Federal de Contribuyentes (RFC) de personas físicas.</w:t>
      </w:r>
      <w:r w:rsidRPr="004A2C87">
        <w:rPr>
          <w:rFonts w:ascii="Palatino Linotype" w:hAnsi="Palatino Linotype" w:cs="Adelle Sans Devanagari"/>
          <w:bCs/>
          <w:i/>
          <w:iCs/>
          <w:color w:val="000000"/>
          <w:lang w:eastAsia="es-MX"/>
        </w:rPr>
        <w:t xml:space="preserve"> El RFC es una clave de carácter fiscal, única e irrepetible, que permite identificar al titular, su edad y fecha de nacimiento, por lo que es un dato personal de carácter confidencial.”</w:t>
      </w:r>
    </w:p>
    <w:p w14:paraId="08340671"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4EE7E402"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4A2C87">
        <w:rPr>
          <w:rFonts w:ascii="Palatino Linotype" w:hAnsi="Palatino Linotype" w:cs="Adelle Sans Devanagari"/>
          <w:bCs/>
          <w:iCs/>
          <w:color w:val="000000"/>
          <w:sz w:val="22"/>
          <w:szCs w:val="22"/>
          <w:lang w:eastAsia="es-MX"/>
        </w:rPr>
        <w:lastRenderedPageBreak/>
        <w:t>actualizar el supuesto normativo del artículo 143, fracción I, de la Ley de Transparencia y Acceso a la Información Pública del Estado de México y Municipios.</w:t>
      </w:r>
      <w:r w:rsidRPr="004A2C87">
        <w:rPr>
          <w:rFonts w:ascii="Palatino Linotype" w:hAnsi="Palatino Linotype" w:cs="Adelle Sans Devanagari"/>
          <w:b/>
          <w:iCs/>
          <w:color w:val="000000"/>
          <w:sz w:val="22"/>
          <w:szCs w:val="22"/>
          <w:lang w:eastAsia="es-MX"/>
        </w:rPr>
        <w:t xml:space="preserve"> </w:t>
      </w:r>
    </w:p>
    <w:p w14:paraId="3122FB17"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26077D72" w14:textId="77777777" w:rsidR="00037A85" w:rsidRPr="004A2C87" w:rsidRDefault="00037A85" w:rsidP="00196833">
      <w:pPr>
        <w:numPr>
          <w:ilvl w:val="0"/>
          <w:numId w:val="2"/>
        </w:numPr>
        <w:spacing w:line="360" w:lineRule="auto"/>
        <w:contextualSpacing/>
        <w:jc w:val="both"/>
        <w:rPr>
          <w:rFonts w:ascii="Palatino Linotype" w:eastAsia="Calibri" w:hAnsi="Palatino Linotype" w:cs="Adelle Sans Devanagari"/>
          <w:b/>
          <w:bCs/>
          <w:iCs/>
          <w:color w:val="000000"/>
          <w:sz w:val="22"/>
          <w:szCs w:val="22"/>
          <w:lang w:eastAsia="en-US"/>
        </w:rPr>
      </w:pPr>
      <w:r w:rsidRPr="004A2C87">
        <w:rPr>
          <w:rFonts w:ascii="Palatino Linotype" w:eastAsia="Calibri" w:hAnsi="Palatino Linotype" w:cs="Adelle Sans Devanagari"/>
          <w:b/>
          <w:bCs/>
          <w:iCs/>
          <w:color w:val="000000"/>
          <w:sz w:val="22"/>
          <w:szCs w:val="22"/>
          <w:lang w:eastAsia="en-US"/>
        </w:rPr>
        <w:t xml:space="preserve">Código bidimensional o </w:t>
      </w:r>
      <w:proofErr w:type="spellStart"/>
      <w:r w:rsidRPr="004A2C87">
        <w:rPr>
          <w:rFonts w:ascii="Palatino Linotype" w:eastAsia="Calibri" w:hAnsi="Palatino Linotype" w:cs="Adelle Sans Devanagari"/>
          <w:b/>
          <w:bCs/>
          <w:iCs/>
          <w:color w:val="000000"/>
          <w:sz w:val="22"/>
          <w:szCs w:val="22"/>
          <w:lang w:eastAsia="en-US"/>
        </w:rPr>
        <w:t>Qr</w:t>
      </w:r>
      <w:proofErr w:type="spellEnd"/>
    </w:p>
    <w:p w14:paraId="08643AF6" w14:textId="77777777" w:rsidR="00037A85" w:rsidRPr="004A2C87" w:rsidRDefault="00037A85" w:rsidP="00037A85">
      <w:pPr>
        <w:spacing w:line="360" w:lineRule="auto"/>
        <w:contextualSpacing/>
        <w:jc w:val="both"/>
        <w:rPr>
          <w:rFonts w:ascii="Palatino Linotype" w:eastAsia="Calibri" w:hAnsi="Palatino Linotype" w:cs="Adelle Sans Devanagari"/>
          <w:b/>
          <w:bCs/>
          <w:iCs/>
          <w:color w:val="000000"/>
          <w:sz w:val="22"/>
          <w:szCs w:val="22"/>
          <w:lang w:eastAsia="en-US"/>
        </w:rPr>
      </w:pPr>
    </w:p>
    <w:p w14:paraId="083699DB" w14:textId="77777777" w:rsidR="00037A85" w:rsidRPr="004A2C87" w:rsidRDefault="00037A85" w:rsidP="00037A85">
      <w:pPr>
        <w:spacing w:line="360" w:lineRule="auto"/>
        <w:contextualSpacing/>
        <w:jc w:val="both"/>
        <w:rPr>
          <w:rFonts w:ascii="Palatino Linotype" w:eastAsia="Calibri" w:hAnsi="Palatino Linotype" w:cs="Adelle Sans Devanagari"/>
          <w:bCs/>
          <w:color w:val="000000"/>
          <w:sz w:val="22"/>
          <w:szCs w:val="22"/>
          <w:lang w:eastAsia="en-US"/>
        </w:rPr>
      </w:pPr>
      <w:r w:rsidRPr="004A2C87">
        <w:rPr>
          <w:rFonts w:ascii="Palatino Linotype" w:eastAsia="Calibri" w:hAnsi="Palatino Linotype" w:cs="Adelle Sans Devanagari"/>
          <w:bCs/>
          <w:color w:val="000000"/>
          <w:sz w:val="22"/>
          <w:szCs w:val="22"/>
          <w:lang w:eastAsia="en-US"/>
        </w:rPr>
        <w:t xml:space="preserve">En principio, resulta necesario señalar que los comprobantes fiscales digitales por Internet, deben de incluir un código bidimensional conforme al formato </w:t>
      </w:r>
      <w:r w:rsidRPr="004A2C87">
        <w:rPr>
          <w:rFonts w:ascii="Palatino Linotype" w:eastAsia="Calibri" w:hAnsi="Palatino Linotype" w:cs="Adelle Sans Devanagari"/>
          <w:bCs/>
          <w:i/>
          <w:color w:val="000000"/>
          <w:sz w:val="22"/>
          <w:szCs w:val="22"/>
          <w:lang w:eastAsia="en-US"/>
        </w:rPr>
        <w:t xml:space="preserve">QR </w:t>
      </w:r>
      <w:proofErr w:type="spellStart"/>
      <w:r w:rsidRPr="004A2C87">
        <w:rPr>
          <w:rFonts w:ascii="Palatino Linotype" w:eastAsia="Calibri" w:hAnsi="Palatino Linotype" w:cs="Adelle Sans Devanagari"/>
          <w:bCs/>
          <w:i/>
          <w:color w:val="000000"/>
          <w:sz w:val="22"/>
          <w:szCs w:val="22"/>
          <w:lang w:eastAsia="en-US"/>
        </w:rPr>
        <w:t>Code</w:t>
      </w:r>
      <w:proofErr w:type="spellEnd"/>
      <w:r w:rsidRPr="004A2C87">
        <w:rPr>
          <w:rFonts w:ascii="Palatino Linotype" w:eastAsia="Calibri" w:hAnsi="Palatino Linotype" w:cs="Adelle Sans Devanagari"/>
          <w:bCs/>
          <w:i/>
          <w:color w:val="000000"/>
          <w:sz w:val="22"/>
          <w:szCs w:val="22"/>
          <w:lang w:eastAsia="en-US"/>
        </w:rPr>
        <w:t xml:space="preserve"> (Quick Response </w:t>
      </w:r>
      <w:proofErr w:type="spellStart"/>
      <w:r w:rsidRPr="004A2C87">
        <w:rPr>
          <w:rFonts w:ascii="Palatino Linotype" w:eastAsia="Calibri" w:hAnsi="Palatino Linotype" w:cs="Adelle Sans Devanagari"/>
          <w:bCs/>
          <w:i/>
          <w:color w:val="000000"/>
          <w:sz w:val="22"/>
          <w:szCs w:val="22"/>
          <w:lang w:eastAsia="en-US"/>
        </w:rPr>
        <w:t>Code</w:t>
      </w:r>
      <w:proofErr w:type="spellEnd"/>
      <w:r w:rsidRPr="004A2C87">
        <w:rPr>
          <w:rFonts w:ascii="Palatino Linotype" w:eastAsia="Calibri" w:hAnsi="Palatino Linotype" w:cs="Adelle Sans Devanagari"/>
          <w:bCs/>
          <w:i/>
          <w:color w:val="000000"/>
          <w:sz w:val="22"/>
          <w:szCs w:val="22"/>
          <w:lang w:eastAsia="en-US"/>
        </w:rPr>
        <w:t>)</w:t>
      </w:r>
      <w:r w:rsidRPr="004A2C87">
        <w:rPr>
          <w:rFonts w:ascii="Palatino Linotype" w:eastAsia="Calibri" w:hAnsi="Palatino Linotype" w:cs="Adelle Sans Devanagari"/>
          <w:bCs/>
          <w:color w:val="000000"/>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4A2C87">
          <w:rPr>
            <w:rFonts w:ascii="Palatino Linotype" w:eastAsia="Calibri" w:hAnsi="Palatino Linotype" w:cs="Adelle Sans Devanagari"/>
            <w:bCs/>
            <w:color w:val="0563C1"/>
            <w:sz w:val="22"/>
            <w:szCs w:val="22"/>
            <w:u w:val="single"/>
            <w:lang w:eastAsia="en-US"/>
          </w:rPr>
          <w:t>http://dof.gob.mx/nota_detalle.php?codigo=5492254&amp;fecha=28/07/2017</w:t>
        </w:r>
      </w:hyperlink>
      <w:r w:rsidRPr="004A2C87">
        <w:rPr>
          <w:rFonts w:ascii="Palatino Linotype" w:eastAsia="Calibri" w:hAnsi="Palatino Linotype" w:cs="Adelle Sans Devanagari"/>
          <w:bCs/>
          <w:color w:val="000000"/>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31B919A9" w14:textId="77777777" w:rsidR="00037A85" w:rsidRPr="004A2C87" w:rsidRDefault="00037A85" w:rsidP="00037A85">
      <w:pPr>
        <w:spacing w:line="360" w:lineRule="auto"/>
        <w:contextualSpacing/>
        <w:jc w:val="both"/>
        <w:rPr>
          <w:rFonts w:ascii="Palatino Linotype" w:eastAsia="Calibri" w:hAnsi="Palatino Linotype" w:cs="Adelle Sans Devanagari"/>
          <w:bCs/>
          <w:color w:val="000000"/>
          <w:sz w:val="22"/>
          <w:szCs w:val="22"/>
          <w:lang w:eastAsia="en-US"/>
        </w:rPr>
      </w:pPr>
    </w:p>
    <w:p w14:paraId="251A3D97" w14:textId="77777777" w:rsidR="00037A85" w:rsidRPr="004A2C87" w:rsidRDefault="00037A85" w:rsidP="00037A85">
      <w:pPr>
        <w:spacing w:line="360" w:lineRule="auto"/>
        <w:contextualSpacing/>
        <w:jc w:val="both"/>
        <w:rPr>
          <w:rFonts w:ascii="Palatino Linotype" w:eastAsia="Calibri" w:hAnsi="Palatino Linotype" w:cs="Adelle Sans Devanagari"/>
          <w:bCs/>
          <w:color w:val="000000"/>
          <w:sz w:val="22"/>
          <w:szCs w:val="22"/>
          <w:lang w:eastAsia="en-US"/>
        </w:rPr>
      </w:pPr>
      <w:r w:rsidRPr="004A2C87">
        <w:rPr>
          <w:rFonts w:ascii="Palatino Linotype" w:eastAsia="Calibri" w:hAnsi="Palatino Linotype" w:cs="Adelle Sans Devanagari"/>
          <w:bCs/>
          <w:color w:val="000000"/>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7AB9917C" w14:textId="77777777" w:rsidR="00037A85" w:rsidRPr="004A2C87" w:rsidRDefault="00037A85" w:rsidP="00037A85">
      <w:pPr>
        <w:spacing w:line="360" w:lineRule="auto"/>
        <w:contextualSpacing/>
        <w:jc w:val="both"/>
        <w:rPr>
          <w:rFonts w:ascii="Palatino Linotype" w:eastAsia="Calibri" w:hAnsi="Palatino Linotype" w:cs="Adelle Sans Devanagari"/>
          <w:bCs/>
          <w:color w:val="000000"/>
          <w:sz w:val="22"/>
          <w:szCs w:val="22"/>
          <w:lang w:eastAsia="en-US"/>
        </w:rPr>
      </w:pPr>
    </w:p>
    <w:p w14:paraId="3C0F34C3" w14:textId="77777777" w:rsidR="00037A85" w:rsidRPr="004A2C87" w:rsidRDefault="00037A85" w:rsidP="00196833">
      <w:pPr>
        <w:numPr>
          <w:ilvl w:val="0"/>
          <w:numId w:val="2"/>
        </w:numPr>
        <w:spacing w:line="360" w:lineRule="auto"/>
        <w:contextualSpacing/>
        <w:jc w:val="both"/>
        <w:rPr>
          <w:rFonts w:ascii="Palatino Linotype" w:hAnsi="Palatino Linotype" w:cs="Adelle Sans Devanagari"/>
          <w:b/>
          <w:bCs/>
          <w:iCs/>
          <w:color w:val="000000"/>
          <w:sz w:val="22"/>
          <w:szCs w:val="22"/>
          <w:lang w:eastAsia="es-MX"/>
        </w:rPr>
      </w:pPr>
      <w:r w:rsidRPr="004A2C87">
        <w:rPr>
          <w:rFonts w:ascii="Palatino Linotype" w:hAnsi="Palatino Linotype" w:cs="Adelle Sans Devanagari"/>
          <w:b/>
          <w:bCs/>
          <w:iCs/>
          <w:color w:val="000000"/>
          <w:sz w:val="22"/>
          <w:szCs w:val="22"/>
          <w:lang w:eastAsia="es-MX"/>
        </w:rPr>
        <w:t>Número de seguridad social del Instituto de Seguridad Social del Estado de México y Municipios.</w:t>
      </w:r>
    </w:p>
    <w:p w14:paraId="2E67FA47" w14:textId="77777777" w:rsidR="00037A85" w:rsidRPr="004A2C87" w:rsidRDefault="00037A85" w:rsidP="00037A85">
      <w:pPr>
        <w:spacing w:line="360" w:lineRule="auto"/>
        <w:contextualSpacing/>
        <w:jc w:val="both"/>
        <w:rPr>
          <w:rFonts w:ascii="Palatino Linotype" w:hAnsi="Palatino Linotype" w:cs="Adelle Sans Devanagari"/>
          <w:b/>
          <w:bCs/>
          <w:iCs/>
          <w:color w:val="000000"/>
          <w:sz w:val="22"/>
          <w:szCs w:val="22"/>
          <w:lang w:eastAsia="es-MX"/>
        </w:rPr>
      </w:pPr>
    </w:p>
    <w:p w14:paraId="65F93CAC"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w:t>
      </w:r>
      <w:r w:rsidRPr="004A2C87">
        <w:rPr>
          <w:rFonts w:ascii="Palatino Linotype" w:hAnsi="Palatino Linotype" w:cs="Adelle Sans Devanagari"/>
          <w:bCs/>
          <w:iCs/>
          <w:color w:val="000000"/>
          <w:sz w:val="22"/>
          <w:szCs w:val="22"/>
          <w:lang w:eastAsia="es-MX"/>
        </w:rPr>
        <w:lastRenderedPageBreak/>
        <w:t>el acceso a las prestaciones que otorga, de conformidad con el artículo 14 de la Ley de Seguridad Social para los Servidores Públicos del Estado de México y Municipios.</w:t>
      </w:r>
    </w:p>
    <w:p w14:paraId="25998C3F"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0EA606BC"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4A2C87">
        <w:rPr>
          <w:rFonts w:ascii="Palatino Linotype" w:hAnsi="Palatino Linotype" w:cs="Adelle Sans Devanagari"/>
          <w:b/>
          <w:bCs/>
          <w:iCs/>
          <w:color w:val="000000"/>
          <w:sz w:val="22"/>
          <w:szCs w:val="22"/>
          <w:lang w:eastAsia="es-MX"/>
        </w:rPr>
        <w:t>y se le asigna una clave para hacer identificable al trabajador con el objetivo de poder proporcionar los servicios que brinda el Instituto de Seguridad Social del Estado de México y Municipios.</w:t>
      </w:r>
    </w:p>
    <w:p w14:paraId="125D1678"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1833A79A"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0B186A8" w14:textId="77777777" w:rsidR="00037A85" w:rsidRPr="004A2C87" w:rsidRDefault="00037A85" w:rsidP="00037A85">
      <w:pPr>
        <w:spacing w:line="360" w:lineRule="auto"/>
        <w:contextualSpacing/>
        <w:jc w:val="both"/>
        <w:rPr>
          <w:rFonts w:ascii="Palatino Linotype" w:hAnsi="Palatino Linotype" w:cs="Adelle Sans Devanagari"/>
          <w:bCs/>
          <w:iCs/>
          <w:color w:val="000000"/>
          <w:sz w:val="22"/>
          <w:szCs w:val="22"/>
          <w:lang w:eastAsia="es-MX"/>
        </w:rPr>
      </w:pPr>
    </w:p>
    <w:p w14:paraId="058787FE" w14:textId="77777777" w:rsidR="00037A85" w:rsidRPr="004A2C87" w:rsidRDefault="00037A85" w:rsidP="00037A85">
      <w:pPr>
        <w:spacing w:line="360" w:lineRule="auto"/>
        <w:contextualSpacing/>
        <w:jc w:val="both"/>
        <w:rPr>
          <w:rFonts w:ascii="Palatino Linotype" w:hAnsi="Palatino Linotype" w:cs="Adelle Sans Devanagari"/>
          <w:b/>
          <w:iCs/>
          <w:color w:val="000000"/>
          <w:sz w:val="22"/>
          <w:szCs w:val="22"/>
          <w:lang w:eastAsia="es-MX"/>
        </w:rPr>
      </w:pPr>
      <w:r w:rsidRPr="004A2C87">
        <w:rPr>
          <w:rFonts w:ascii="Palatino Linotype" w:hAnsi="Palatino Linotype" w:cs="Adelle Sans Devanagari"/>
          <w:bCs/>
          <w:iCs/>
          <w:color w:val="000000"/>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3B78CE26" w14:textId="77777777" w:rsidR="00037A85" w:rsidRPr="004A2C87" w:rsidRDefault="00037A85" w:rsidP="00037A85">
      <w:pPr>
        <w:spacing w:line="360" w:lineRule="auto"/>
        <w:contextualSpacing/>
        <w:jc w:val="both"/>
        <w:rPr>
          <w:rFonts w:ascii="Palatino Linotype" w:eastAsia="Calibri" w:hAnsi="Palatino Linotype" w:cs="Adelle Sans Devanagari"/>
          <w:b/>
          <w:bCs/>
          <w:color w:val="000000"/>
          <w:sz w:val="22"/>
          <w:szCs w:val="22"/>
          <w:lang w:eastAsia="en-US"/>
        </w:rPr>
      </w:pPr>
    </w:p>
    <w:p w14:paraId="24896E75" w14:textId="77777777" w:rsidR="00037A85" w:rsidRPr="004A2C87" w:rsidRDefault="00037A85" w:rsidP="00196833">
      <w:pPr>
        <w:numPr>
          <w:ilvl w:val="0"/>
          <w:numId w:val="7"/>
        </w:numPr>
        <w:spacing w:line="360" w:lineRule="auto"/>
        <w:contextualSpacing/>
        <w:jc w:val="both"/>
        <w:rPr>
          <w:rFonts w:ascii="Palatino Linotype" w:eastAsia="Calibri" w:hAnsi="Palatino Linotype" w:cs="Adelle Sans Devanagari"/>
          <w:b/>
          <w:bCs/>
          <w:color w:val="000000"/>
          <w:sz w:val="22"/>
          <w:szCs w:val="22"/>
          <w:lang w:eastAsia="en-US"/>
        </w:rPr>
      </w:pPr>
      <w:r w:rsidRPr="004A2C87">
        <w:rPr>
          <w:rFonts w:ascii="Palatino Linotype" w:eastAsia="Calibri" w:hAnsi="Palatino Linotype" w:cs="Adelle Sans Devanagari"/>
          <w:b/>
          <w:bCs/>
          <w:color w:val="000000"/>
          <w:sz w:val="22"/>
          <w:szCs w:val="22"/>
          <w:lang w:eastAsia="en-US"/>
        </w:rPr>
        <w:lastRenderedPageBreak/>
        <w:t>Descuentos personales</w:t>
      </w:r>
    </w:p>
    <w:p w14:paraId="475F5280" w14:textId="77777777" w:rsidR="00037A85" w:rsidRPr="004A2C87" w:rsidRDefault="00037A85" w:rsidP="00037A85">
      <w:pPr>
        <w:spacing w:line="360" w:lineRule="auto"/>
        <w:contextualSpacing/>
        <w:jc w:val="both"/>
        <w:rPr>
          <w:rFonts w:ascii="Palatino Linotype" w:eastAsia="Calibri" w:hAnsi="Palatino Linotype" w:cs="Adelle Sans Devanagari"/>
          <w:b/>
          <w:bCs/>
          <w:color w:val="000000"/>
          <w:sz w:val="22"/>
          <w:szCs w:val="22"/>
          <w:lang w:eastAsia="en-US"/>
        </w:rPr>
      </w:pPr>
    </w:p>
    <w:p w14:paraId="2EECC3BB" w14:textId="77777777" w:rsidR="00037A85" w:rsidRPr="004A2C87" w:rsidRDefault="00037A85" w:rsidP="00037A85">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4C1D9E7F" w14:textId="77777777" w:rsidR="00037A85" w:rsidRPr="004A2C87" w:rsidRDefault="00037A85" w:rsidP="00037A85">
      <w:pPr>
        <w:spacing w:line="360" w:lineRule="auto"/>
        <w:contextualSpacing/>
        <w:jc w:val="both"/>
        <w:rPr>
          <w:rFonts w:ascii="Palatino Linotype" w:eastAsia="Calibri" w:hAnsi="Palatino Linotype" w:cs="Adelle Sans Devanagari"/>
          <w:color w:val="000000"/>
          <w:sz w:val="22"/>
          <w:szCs w:val="22"/>
          <w:lang w:eastAsia="en-US"/>
        </w:rPr>
      </w:pPr>
    </w:p>
    <w:p w14:paraId="27564581" w14:textId="77777777" w:rsidR="00037A85" w:rsidRPr="004A2C87" w:rsidRDefault="00037A85" w:rsidP="00037A85">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Asimismo, hay otras que se generan con motivo de una sentencia judicial, como es la pensión alimenticia que periódicamente se retira de la cuenta de un empleado, a efecto de que sea entregado a un tercero.  </w:t>
      </w:r>
    </w:p>
    <w:p w14:paraId="33B537C3" w14:textId="77777777" w:rsidR="00037A85" w:rsidRPr="004A2C87" w:rsidRDefault="00037A85" w:rsidP="00037A85">
      <w:pPr>
        <w:spacing w:line="360" w:lineRule="auto"/>
        <w:contextualSpacing/>
        <w:jc w:val="both"/>
        <w:rPr>
          <w:rFonts w:ascii="Palatino Linotype" w:eastAsia="Calibri" w:hAnsi="Palatino Linotype" w:cs="Adelle Sans Devanagari"/>
          <w:color w:val="000000"/>
          <w:sz w:val="22"/>
          <w:szCs w:val="22"/>
          <w:lang w:eastAsia="en-US"/>
        </w:rPr>
      </w:pPr>
    </w:p>
    <w:p w14:paraId="4A28FBC5" w14:textId="77777777" w:rsidR="00037A85" w:rsidRPr="004A2C87" w:rsidRDefault="00037A85" w:rsidP="00037A85">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14F9CCB" w14:textId="77777777" w:rsidR="00037A85" w:rsidRPr="004A2C87" w:rsidRDefault="00037A85" w:rsidP="00037A85">
      <w:pPr>
        <w:spacing w:line="360" w:lineRule="auto"/>
        <w:contextualSpacing/>
        <w:jc w:val="both"/>
        <w:rPr>
          <w:rFonts w:ascii="Palatino Linotype" w:eastAsia="Calibri" w:hAnsi="Palatino Linotype" w:cs="Adelle Sans Devanagari"/>
          <w:color w:val="000000"/>
          <w:sz w:val="22"/>
          <w:szCs w:val="22"/>
          <w:lang w:eastAsia="en-US"/>
        </w:rPr>
      </w:pPr>
    </w:p>
    <w:p w14:paraId="063EE4A0" w14:textId="77777777" w:rsidR="00037A85" w:rsidRPr="004A2C87" w:rsidRDefault="00037A85" w:rsidP="00037A85">
      <w:pPr>
        <w:spacing w:line="360" w:lineRule="auto"/>
        <w:contextualSpacing/>
        <w:jc w:val="both"/>
        <w:rPr>
          <w:rFonts w:ascii="Palatino Linotype" w:eastAsia="Calibri" w:hAnsi="Palatino Linotype" w:cs="Adelle Sans Devanagari"/>
          <w:b/>
          <w:bCs/>
          <w:color w:val="000000"/>
          <w:sz w:val="22"/>
          <w:szCs w:val="22"/>
          <w:lang w:eastAsia="en-US"/>
        </w:rPr>
      </w:pPr>
      <w:r w:rsidRPr="004A2C87">
        <w:rPr>
          <w:rFonts w:ascii="Palatino Linotype" w:eastAsia="Calibri" w:hAnsi="Palatino Linotype" w:cs="Adelle Sans Devanagari"/>
          <w:color w:val="000000"/>
          <w:sz w:val="22"/>
          <w:szCs w:val="22"/>
          <w:lang w:eastAsia="en-U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35D58F8A" w14:textId="77777777" w:rsidR="00037A85" w:rsidRPr="004A2C87" w:rsidRDefault="00037A85" w:rsidP="00037A85">
      <w:pPr>
        <w:spacing w:line="360" w:lineRule="auto"/>
        <w:contextualSpacing/>
        <w:jc w:val="both"/>
        <w:rPr>
          <w:rFonts w:ascii="Palatino Linotype" w:eastAsia="Calibri" w:hAnsi="Palatino Linotype" w:cs="Adelle Sans Devanagari"/>
          <w:b/>
          <w:bCs/>
          <w:color w:val="000000"/>
          <w:sz w:val="22"/>
          <w:szCs w:val="22"/>
          <w:lang w:eastAsia="en-US"/>
        </w:rPr>
      </w:pPr>
    </w:p>
    <w:p w14:paraId="5CF06A90" w14:textId="77777777" w:rsidR="00037A85" w:rsidRDefault="00037A85" w:rsidP="00196833">
      <w:pPr>
        <w:numPr>
          <w:ilvl w:val="0"/>
          <w:numId w:val="2"/>
        </w:numPr>
        <w:spacing w:after="160" w:line="360" w:lineRule="auto"/>
        <w:contextualSpacing/>
        <w:jc w:val="both"/>
        <w:rPr>
          <w:rFonts w:ascii="Palatino Linotype" w:hAnsi="Palatino Linotype" w:cs="Adelle Sans Devanagari"/>
          <w:bCs/>
          <w:color w:val="000000"/>
          <w:sz w:val="22"/>
          <w:szCs w:val="22"/>
        </w:rPr>
      </w:pPr>
      <w:r>
        <w:rPr>
          <w:rFonts w:ascii="Palatino Linotype" w:hAnsi="Palatino Linotype" w:cs="Adelle Sans Devanagari"/>
          <w:b/>
          <w:bCs/>
          <w:color w:val="000000"/>
          <w:sz w:val="22"/>
          <w:szCs w:val="24"/>
        </w:rPr>
        <w:t>Sellos digitales del emisor y del Servicio de Administración Tributaria y cadena original del complemento de certificación digital del órgano previamente señalado</w:t>
      </w:r>
    </w:p>
    <w:p w14:paraId="0E34F074" w14:textId="77777777" w:rsidR="00037A85" w:rsidRDefault="00037A85" w:rsidP="00037A85">
      <w:pPr>
        <w:spacing w:line="360" w:lineRule="auto"/>
        <w:ind w:left="720"/>
        <w:contextualSpacing/>
        <w:jc w:val="both"/>
        <w:rPr>
          <w:rFonts w:ascii="Palatino Linotype" w:hAnsi="Palatino Linotype" w:cs="Adelle Sans Devanagari"/>
          <w:bCs/>
          <w:color w:val="000000"/>
          <w:sz w:val="22"/>
          <w:szCs w:val="22"/>
        </w:rPr>
      </w:pPr>
    </w:p>
    <w:p w14:paraId="1FF95953" w14:textId="77777777" w:rsidR="00037A85" w:rsidRDefault="00037A85" w:rsidP="00037A85">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BE48E0F" w14:textId="77777777" w:rsidR="00037A85" w:rsidRDefault="00037A85" w:rsidP="00037A85">
      <w:pPr>
        <w:spacing w:line="360" w:lineRule="auto"/>
        <w:jc w:val="both"/>
        <w:rPr>
          <w:rFonts w:ascii="Palatino Linotype" w:hAnsi="Palatino Linotype" w:cs="Adelle Sans Devanagari"/>
          <w:bCs/>
          <w:color w:val="000000"/>
          <w:sz w:val="22"/>
          <w:szCs w:val="22"/>
          <w:lang w:val="es-ES"/>
        </w:rPr>
      </w:pPr>
    </w:p>
    <w:p w14:paraId="4A2AA52C" w14:textId="77777777" w:rsidR="00037A85" w:rsidRDefault="00037A85" w:rsidP="00037A85">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t> </w:t>
      </w:r>
      <w:r>
        <w:rPr>
          <w:rFonts w:ascii="Palatino Linotype" w:hAnsi="Palatino Linotype" w:cs="Adelle Sans Devanagari"/>
          <w:color w:val="000000"/>
          <w:sz w:val="22"/>
          <w:szCs w:val="22"/>
          <w:lang w:val="es-ES"/>
        </w:rPr>
        <w:t>Las cadenas originales y sellos que se agregan a las facturas</w:t>
      </w:r>
      <w:r>
        <w:rPr>
          <w:rFonts w:ascii="Palatino Linotype" w:hAnsi="Palatino Linotype" w:cs="Adelle Sans Devanagari"/>
          <w:b/>
          <w:bCs/>
          <w:color w:val="000000"/>
          <w:sz w:val="22"/>
          <w:szCs w:val="22"/>
          <w:lang w:val="es-ES"/>
        </w:rPr>
        <w:t>,</w:t>
      </w:r>
      <w:r>
        <w:rPr>
          <w:rFonts w:ascii="Palatino Linotype" w:hAnsi="Palatino Linotype" w:cs="Adelle Sans Devanagari"/>
          <w:bCs/>
          <w:color w:val="000000"/>
          <w:sz w:val="22"/>
          <w:szCs w:val="22"/>
          <w:lang w:val="es-ES"/>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 </w:t>
      </w:r>
    </w:p>
    <w:p w14:paraId="610F6D03" w14:textId="77777777" w:rsidR="00037A85" w:rsidRDefault="00037A85" w:rsidP="00037A85">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p>
    <w:p w14:paraId="27D5F8BD" w14:textId="77777777" w:rsidR="00037A85" w:rsidRDefault="00037A85" w:rsidP="00037A85">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Elementos utilizados en la generación de Sellos Digitales:</w:t>
      </w:r>
    </w:p>
    <w:p w14:paraId="56B42CAC" w14:textId="77777777" w:rsidR="00037A85" w:rsidRDefault="00037A85" w:rsidP="00037A85">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r>
        <w:rPr>
          <w:rFonts w:ascii="Palatino Linotype" w:eastAsia="Calibri" w:hAnsi="Palatino Linotype" w:cs="Adelle Sans Devanagari"/>
          <w:bCs/>
          <w:i/>
          <w:color w:val="000000"/>
          <w:lang w:val="es-ES" w:eastAsia="en-US"/>
        </w:rPr>
        <w:tab/>
        <w:t>Cadena Original, el elemento a sellar, en este caso de un comprobante fiscal digital a través de Internet.</w:t>
      </w:r>
    </w:p>
    <w:p w14:paraId="59229D4C" w14:textId="77777777" w:rsidR="00037A85" w:rsidRDefault="00037A85" w:rsidP="00037A85">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r>
        <w:rPr>
          <w:rFonts w:ascii="Palatino Linotype" w:eastAsia="Calibri" w:hAnsi="Palatino Linotype" w:cs="Adelle Sans Devanagari"/>
          <w:bCs/>
          <w:i/>
          <w:color w:val="000000"/>
          <w:lang w:val="es-ES" w:eastAsia="en-US"/>
        </w:rPr>
        <w:tab/>
        <w:t>Certificado de Sello Digital y su correspondiente clave privada.</w:t>
      </w:r>
    </w:p>
    <w:p w14:paraId="1FF94C25" w14:textId="77777777" w:rsidR="00037A85" w:rsidRDefault="00037A85" w:rsidP="00037A85">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lastRenderedPageBreak/>
        <w:t>•</w:t>
      </w:r>
      <w:r>
        <w:rPr>
          <w:rFonts w:ascii="Palatino Linotype" w:eastAsia="Calibri" w:hAnsi="Palatino Linotype" w:cs="Adelle Sans Devanagari"/>
          <w:bCs/>
          <w:i/>
          <w:color w:val="000000"/>
          <w:lang w:val="es-ES" w:eastAsia="en-US"/>
        </w:rPr>
        <w:tab/>
        <w:t>Algoritmos de criptografía de clave pública para firma electrónica avanzada.</w:t>
      </w:r>
    </w:p>
    <w:p w14:paraId="39EAF19F" w14:textId="77777777" w:rsidR="00037A85" w:rsidRDefault="00037A85" w:rsidP="00037A85">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r>
        <w:rPr>
          <w:rFonts w:ascii="Palatino Linotype" w:eastAsia="Calibri" w:hAnsi="Palatino Linotype" w:cs="Adelle Sans Devanagari"/>
          <w:bCs/>
          <w:i/>
          <w:color w:val="000000"/>
          <w:lang w:val="es-ES" w:eastAsia="en-US"/>
        </w:rPr>
        <w:tab/>
        <w:t>Especificaciones de conversión de la firma electrónica avanzada a Base 64.</w:t>
      </w:r>
    </w:p>
    <w:p w14:paraId="054433DC" w14:textId="77777777" w:rsidR="00037A85" w:rsidRDefault="00037A85" w:rsidP="00037A85">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Para la generación de sellos digitales se utiliza criptografía de clave pública aplicada a una cadena original.</w:t>
      </w:r>
    </w:p>
    <w:p w14:paraId="24864342" w14:textId="77777777" w:rsidR="00037A85" w:rsidRDefault="00037A85" w:rsidP="00037A85">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Criptografía de la Clave Pública</w:t>
      </w:r>
    </w:p>
    <w:p w14:paraId="4DCF07A1" w14:textId="77777777" w:rsidR="00037A85" w:rsidRDefault="00037A85" w:rsidP="00037A85">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 xml:space="preserve">La criptografía de Clave Pública se basa en la generación de una pareja de números muy grandes relacionados íntimamente entre sí, de tal manera que una operación de </w:t>
      </w:r>
      <w:proofErr w:type="spellStart"/>
      <w:r>
        <w:rPr>
          <w:rFonts w:ascii="Palatino Linotype" w:eastAsia="Calibri" w:hAnsi="Palatino Linotype" w:cs="Adelle Sans Devanagari"/>
          <w:bCs/>
          <w:i/>
          <w:color w:val="000000"/>
          <w:lang w:val="es-ES" w:eastAsia="en-US"/>
        </w:rPr>
        <w:t>encripción</w:t>
      </w:r>
      <w:proofErr w:type="spellEnd"/>
      <w:r>
        <w:rPr>
          <w:rFonts w:ascii="Palatino Linotype" w:eastAsia="Calibri" w:hAnsi="Palatino Linotype" w:cs="Adelle Sans Devanagari"/>
          <w:bCs/>
          <w:i/>
          <w:color w:val="000000"/>
          <w:lang w:val="es-ES" w:eastAsia="en-US"/>
        </w:rPr>
        <w:t xml:space="preserve"> sobre un mensaje tomando como clave de </w:t>
      </w:r>
      <w:proofErr w:type="spellStart"/>
      <w:r>
        <w:rPr>
          <w:rFonts w:ascii="Palatino Linotype" w:eastAsia="Calibri" w:hAnsi="Palatino Linotype" w:cs="Adelle Sans Devanagari"/>
          <w:bCs/>
          <w:i/>
          <w:color w:val="000000"/>
          <w:lang w:val="es-ES" w:eastAsia="en-US"/>
        </w:rPr>
        <w:t>encripción</w:t>
      </w:r>
      <w:proofErr w:type="spellEnd"/>
      <w:r>
        <w:rPr>
          <w:rFonts w:ascii="Palatino Linotype" w:eastAsia="Calibri" w:hAnsi="Palatino Linotype" w:cs="Adelle Sans Devanagari"/>
          <w:bCs/>
          <w:i/>
          <w:color w:val="000000"/>
          <w:lang w:val="es-ES" w:eastAsia="en-US"/>
        </w:rPr>
        <w:t xml:space="preserve"> a uno de los dos números, produce un mensaje alterado en su significado que solo puede ser devuelto a su estado original mediante la operación de </w:t>
      </w:r>
      <w:proofErr w:type="spellStart"/>
      <w:r>
        <w:rPr>
          <w:rFonts w:ascii="Palatino Linotype" w:eastAsia="Calibri" w:hAnsi="Palatino Linotype" w:cs="Adelle Sans Devanagari"/>
          <w:bCs/>
          <w:i/>
          <w:color w:val="000000"/>
          <w:lang w:val="es-ES" w:eastAsia="en-US"/>
        </w:rPr>
        <w:t>desencripción</w:t>
      </w:r>
      <w:proofErr w:type="spellEnd"/>
      <w:r>
        <w:rPr>
          <w:rFonts w:ascii="Palatino Linotype" w:eastAsia="Calibri" w:hAnsi="Palatino Linotype" w:cs="Adelle Sans Devanagari"/>
          <w:bCs/>
          <w:i/>
          <w:color w:val="000000"/>
          <w:lang w:val="es-ES" w:eastAsia="en-US"/>
        </w:rPr>
        <w:t xml:space="preserve"> correspondiente tomando como clave de </w:t>
      </w:r>
      <w:proofErr w:type="spellStart"/>
      <w:r>
        <w:rPr>
          <w:rFonts w:ascii="Palatino Linotype" w:eastAsia="Calibri" w:hAnsi="Palatino Linotype" w:cs="Adelle Sans Devanagari"/>
          <w:bCs/>
          <w:i/>
          <w:color w:val="000000"/>
          <w:lang w:val="es-ES" w:eastAsia="en-US"/>
        </w:rPr>
        <w:t>desencripción</w:t>
      </w:r>
      <w:proofErr w:type="spellEnd"/>
      <w:r>
        <w:rPr>
          <w:rFonts w:ascii="Palatino Linotype" w:eastAsia="Calibri" w:hAnsi="Palatino Linotype" w:cs="Adelle Sans Devanagari"/>
          <w:bCs/>
          <w:i/>
          <w:color w:val="000000"/>
          <w:lang w:val="es-ES" w:eastAsia="en-US"/>
        </w:rPr>
        <w:t xml:space="preserve"> al otro número de la pareja.</w:t>
      </w:r>
    </w:p>
    <w:p w14:paraId="1A647E5D" w14:textId="77777777" w:rsidR="00037A85" w:rsidRDefault="00037A85" w:rsidP="00037A85">
      <w:pPr>
        <w:spacing w:line="360" w:lineRule="auto"/>
        <w:ind w:left="567" w:right="539"/>
        <w:contextualSpacing/>
        <w:jc w:val="both"/>
        <w:rPr>
          <w:rFonts w:ascii="Palatino Linotype" w:eastAsia="Calibri" w:hAnsi="Palatino Linotype" w:cs="Adelle Sans Devanagari"/>
          <w:bCs/>
          <w:i/>
          <w:color w:val="000000"/>
          <w:lang w:val="es-ES" w:eastAsia="en-US"/>
        </w:rPr>
      </w:pPr>
      <w:r>
        <w:rPr>
          <w:rFonts w:ascii="Palatino Linotype" w:eastAsia="Calibri" w:hAnsi="Palatino Linotype" w:cs="Adelle Sans Devanagari"/>
          <w:bCs/>
          <w:i/>
          <w:color w:val="000000"/>
          <w:lang w:val="es-ES" w:eastAsia="en-US"/>
        </w:rPr>
        <w:t>…”</w:t>
      </w:r>
    </w:p>
    <w:p w14:paraId="1C506538" w14:textId="77777777" w:rsidR="00037A85" w:rsidRDefault="00037A85" w:rsidP="00037A85">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t> </w:t>
      </w:r>
    </w:p>
    <w:p w14:paraId="5347C7FF" w14:textId="77777777" w:rsidR="00037A85" w:rsidRDefault="00037A85" w:rsidP="00037A85">
      <w:pPr>
        <w:spacing w:line="360" w:lineRule="auto"/>
        <w:jc w:val="both"/>
        <w:rPr>
          <w:rFonts w:ascii="Palatino Linotype" w:hAnsi="Palatino Linotype" w:cs="Adelle Sans Devanagari"/>
          <w:bCs/>
          <w:color w:val="000000"/>
          <w:sz w:val="22"/>
          <w:szCs w:val="22"/>
          <w:lang w:val="es-ES"/>
        </w:rPr>
      </w:pPr>
      <w:r>
        <w:rPr>
          <w:rFonts w:ascii="Palatino Linotype" w:hAnsi="Palatino Linotype" w:cs="Adelle Sans Devanagari"/>
          <w:bCs/>
          <w:color w:val="000000"/>
          <w:sz w:val="22"/>
          <w:szCs w:val="22"/>
          <w:lang w:val="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3D05363" w14:textId="77777777" w:rsidR="00037A85" w:rsidRDefault="00037A85" w:rsidP="00037A85">
      <w:pPr>
        <w:tabs>
          <w:tab w:val="left" w:pos="4962"/>
        </w:tabs>
        <w:spacing w:line="360" w:lineRule="auto"/>
        <w:jc w:val="both"/>
        <w:rPr>
          <w:rFonts w:ascii="Palatino Linotype" w:eastAsia="Calibri" w:hAnsi="Palatino Linotype" w:cs="Adelle Sans Devanagari"/>
          <w:bCs/>
          <w:iCs/>
          <w:color w:val="000000"/>
          <w:sz w:val="22"/>
          <w:szCs w:val="22"/>
          <w:lang w:eastAsia="en-US"/>
        </w:rPr>
      </w:pPr>
    </w:p>
    <w:p w14:paraId="6A1BB6F5" w14:textId="77777777" w:rsidR="00037A85" w:rsidRDefault="00037A85" w:rsidP="00037A85">
      <w:pPr>
        <w:spacing w:line="360" w:lineRule="auto"/>
        <w:jc w:val="both"/>
        <w:rPr>
          <w:rFonts w:ascii="Palatino Linotype" w:hAnsi="Palatino Linotype" w:cs="Adelle Sans Devanagari"/>
          <w:color w:val="000000"/>
          <w:sz w:val="22"/>
          <w:szCs w:val="22"/>
          <w:lang w:val="es-ES"/>
        </w:rPr>
      </w:pPr>
      <w:r>
        <w:rPr>
          <w:rFonts w:ascii="Palatino Linotype" w:eastAsia="Calibri" w:hAnsi="Palatino Linotype" w:cs="Adelle Sans Devanagari"/>
          <w:bCs/>
          <w:iCs/>
          <w:color w:val="000000"/>
          <w:sz w:val="22"/>
          <w:szCs w:val="22"/>
          <w:lang w:eastAsia="en-US"/>
        </w:rPr>
        <w:t>Cabe señalar que, en algunos casos, las</w:t>
      </w:r>
      <w:r>
        <w:rPr>
          <w:rFonts w:ascii="Palatino Linotype" w:hAnsi="Palatino Linotype" w:cs="Adelle Sans Devanagari"/>
          <w:color w:val="000000"/>
          <w:sz w:val="22"/>
          <w:szCs w:val="22"/>
          <w:lang w:val="es-ES"/>
        </w:rPr>
        <w:t xml:space="preserve"> cadenas originales y sellos digitales</w:t>
      </w:r>
      <w:r>
        <w:rPr>
          <w:rFonts w:ascii="Palatino Linotype" w:hAnsi="Palatino Linotype" w:cs="Adelle Sans Devanagari"/>
          <w:bCs/>
          <w:color w:val="000000"/>
          <w:sz w:val="22"/>
          <w:szCs w:val="22"/>
          <w:lang w:val="es-ES"/>
        </w:rPr>
        <w:t xml:space="preserve">, se pueden conformar de datos confidenciales, tales como el Registro Federal de Contribuyentes o la Clave Única de Registro de Población; por lo que, en su caso actualizarían </w:t>
      </w:r>
      <w:r>
        <w:rPr>
          <w:rFonts w:ascii="Palatino Linotype" w:hAnsi="Palatino Linotype" w:cs="Adelle Sans Devanagari"/>
          <w:color w:val="000000"/>
          <w:sz w:val="22"/>
          <w:szCs w:val="22"/>
          <w:lang w:val="es-ES"/>
        </w:rPr>
        <w:t>actualiza la clasificación, en términos del artículo 143, fracción I, de la Ley de la materia.</w:t>
      </w:r>
    </w:p>
    <w:p w14:paraId="4446C579" w14:textId="77777777" w:rsidR="00037A85" w:rsidRDefault="00037A85" w:rsidP="00037A85">
      <w:pPr>
        <w:spacing w:line="360" w:lineRule="auto"/>
        <w:jc w:val="both"/>
        <w:rPr>
          <w:rFonts w:ascii="Palatino Linotype" w:hAnsi="Palatino Linotype" w:cs="Adelle Sans Devanagari"/>
          <w:color w:val="000000"/>
          <w:sz w:val="22"/>
          <w:szCs w:val="22"/>
          <w:lang w:val="es-ES"/>
        </w:rPr>
      </w:pPr>
    </w:p>
    <w:p w14:paraId="6A127F15" w14:textId="77777777" w:rsidR="00037A85" w:rsidRPr="00BC0E4B" w:rsidRDefault="00037A85" w:rsidP="00196833">
      <w:pPr>
        <w:pStyle w:val="Prrafodelista"/>
        <w:numPr>
          <w:ilvl w:val="0"/>
          <w:numId w:val="7"/>
        </w:numPr>
        <w:spacing w:line="360" w:lineRule="auto"/>
        <w:jc w:val="both"/>
        <w:rPr>
          <w:rFonts w:ascii="Palatino Linotype" w:hAnsi="Palatino Linotype" w:cs="Adelle Sans Devanagari"/>
          <w:b/>
          <w:color w:val="000000"/>
          <w:szCs w:val="22"/>
        </w:rPr>
      </w:pPr>
      <w:r w:rsidRPr="00BC0E4B">
        <w:rPr>
          <w:rFonts w:ascii="Palatino Linotype" w:hAnsi="Palatino Linotype" w:cs="Adelle Sans Devanagari"/>
          <w:b/>
          <w:color w:val="000000"/>
          <w:szCs w:val="22"/>
        </w:rPr>
        <w:t>Folio Fiscal</w:t>
      </w:r>
    </w:p>
    <w:p w14:paraId="62A23772" w14:textId="77777777" w:rsidR="00037A85" w:rsidRPr="00BC0E4B" w:rsidRDefault="00037A85" w:rsidP="00037A85">
      <w:pPr>
        <w:spacing w:line="360" w:lineRule="auto"/>
        <w:ind w:left="360"/>
        <w:jc w:val="both"/>
        <w:rPr>
          <w:rFonts w:ascii="Palatino Linotype" w:hAnsi="Palatino Linotype" w:cs="Adelle Sans Devanagari"/>
          <w:b/>
          <w:color w:val="000000"/>
          <w:szCs w:val="22"/>
        </w:rPr>
      </w:pPr>
    </w:p>
    <w:p w14:paraId="0436030F" w14:textId="77777777" w:rsidR="00037A85" w:rsidRPr="00BC0E4B" w:rsidRDefault="00037A85" w:rsidP="00037A85">
      <w:pPr>
        <w:spacing w:line="360" w:lineRule="auto"/>
        <w:jc w:val="both"/>
        <w:rPr>
          <w:rFonts w:ascii="Palatino Linotype" w:hAnsi="Palatino Linotype" w:cs="Adelle Sans Devanagari"/>
          <w:bCs/>
          <w:color w:val="000000"/>
          <w:sz w:val="22"/>
          <w:szCs w:val="22"/>
        </w:rPr>
      </w:pPr>
      <w:r w:rsidRPr="00BC0E4B">
        <w:rPr>
          <w:rFonts w:ascii="Palatino Linotype" w:hAnsi="Palatino Linotype" w:cs="Adelle Sans Devanagari"/>
          <w:bCs/>
          <w:color w:val="000000"/>
          <w:sz w:val="22"/>
          <w:szCs w:val="22"/>
        </w:rPr>
        <w:t xml:space="preserve">Ahora bien, por lo que hace </w:t>
      </w:r>
      <w:r w:rsidRPr="00BC0E4B">
        <w:rPr>
          <w:rFonts w:ascii="Palatino Linotype" w:hAnsi="Palatino Linotype" w:cs="Adelle Sans Devanagari"/>
          <w:b/>
          <w:bCs/>
          <w:color w:val="000000"/>
          <w:sz w:val="22"/>
          <w:szCs w:val="22"/>
        </w:rPr>
        <w:t>Folio Fiscal,</w:t>
      </w:r>
      <w:r w:rsidRPr="00BC0E4B">
        <w:rPr>
          <w:rFonts w:ascii="Palatino Linotype" w:hAnsi="Palatino Linotype" w:cs="Adelle Sans Devanagari"/>
          <w:bCs/>
          <w:color w:val="000000"/>
          <w:sz w:val="22"/>
          <w:szCs w:val="22"/>
        </w:rPr>
        <w:t xml:space="preserve"> cabe precisar que conforme al ANEXO 20 de la Segunda Resolución de modificaciones a la Resolución Miscelánea Fiscal, el folio fiscal se conforma de treinta seis caracteres alfanuméricos; además, que conforme al documento </w:t>
      </w:r>
      <w:r w:rsidRPr="00BC0E4B">
        <w:rPr>
          <w:rFonts w:ascii="Palatino Linotype" w:hAnsi="Palatino Linotype" w:cs="Adelle Sans Devanagari"/>
          <w:bCs/>
          <w:color w:val="000000"/>
          <w:sz w:val="22"/>
          <w:szCs w:val="22"/>
        </w:rPr>
        <w:lastRenderedPageBreak/>
        <w:t>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720067B" w14:textId="77777777" w:rsidR="00037A85" w:rsidRPr="00BC0E4B" w:rsidRDefault="00037A85" w:rsidP="00037A85">
      <w:pPr>
        <w:spacing w:line="360" w:lineRule="auto"/>
        <w:jc w:val="both"/>
        <w:rPr>
          <w:rFonts w:ascii="Palatino Linotype" w:hAnsi="Palatino Linotype" w:cs="Adelle Sans Devanagari"/>
          <w:bCs/>
          <w:color w:val="000000"/>
          <w:sz w:val="22"/>
          <w:szCs w:val="22"/>
        </w:rPr>
      </w:pPr>
      <w:r w:rsidRPr="00BC0E4B">
        <w:rPr>
          <w:rFonts w:ascii="Palatino Linotype" w:hAnsi="Palatino Linotype" w:cs="Adelle Sans Devanagari"/>
          <w:bCs/>
          <w:color w:val="000000"/>
          <w:sz w:val="22"/>
          <w:szCs w:val="22"/>
        </w:rPr>
        <w:t xml:space="preserve"> </w:t>
      </w:r>
    </w:p>
    <w:p w14:paraId="12A560B9" w14:textId="77777777" w:rsidR="00037A85" w:rsidRPr="00BC0E4B" w:rsidRDefault="00037A85" w:rsidP="00037A85">
      <w:pPr>
        <w:spacing w:line="360" w:lineRule="auto"/>
        <w:jc w:val="center"/>
        <w:rPr>
          <w:rFonts w:ascii="Palatino Linotype" w:hAnsi="Palatino Linotype" w:cs="Adelle Sans Devanagari"/>
          <w:bCs/>
          <w:color w:val="000000"/>
          <w:sz w:val="22"/>
          <w:szCs w:val="22"/>
        </w:rPr>
      </w:pPr>
      <w:r w:rsidRPr="00BC0E4B">
        <w:rPr>
          <w:rFonts w:ascii="Palatino Linotype" w:hAnsi="Palatino Linotype" w:cs="Adelle Sans Devanagari"/>
          <w:noProof/>
          <w:color w:val="000000"/>
          <w:sz w:val="22"/>
          <w:szCs w:val="22"/>
          <w:lang w:eastAsia="es-MX"/>
        </w:rPr>
        <w:drawing>
          <wp:inline distT="0" distB="0" distL="0" distR="0" wp14:anchorId="6B2BF306" wp14:editId="10172BBD">
            <wp:extent cx="4438650" cy="1028700"/>
            <wp:effectExtent l="0" t="0" r="0" b="0"/>
            <wp:docPr id="185016942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6D7C49FC" w14:textId="77777777" w:rsidR="00037A85" w:rsidRPr="00BC0E4B" w:rsidRDefault="00037A85" w:rsidP="00037A85">
      <w:pPr>
        <w:spacing w:line="360" w:lineRule="auto"/>
        <w:jc w:val="both"/>
        <w:rPr>
          <w:rFonts w:ascii="Palatino Linotype" w:hAnsi="Palatino Linotype" w:cs="Adelle Sans Devanagari"/>
          <w:bCs/>
          <w:color w:val="000000"/>
          <w:sz w:val="22"/>
          <w:szCs w:val="22"/>
        </w:rPr>
      </w:pPr>
    </w:p>
    <w:p w14:paraId="542F2BE7" w14:textId="77777777" w:rsidR="00037A85" w:rsidRPr="00BC0E4B" w:rsidRDefault="00037A85" w:rsidP="00037A85">
      <w:pPr>
        <w:spacing w:line="360" w:lineRule="auto"/>
        <w:jc w:val="both"/>
        <w:rPr>
          <w:rFonts w:ascii="Palatino Linotype" w:hAnsi="Palatino Linotype" w:cs="Adelle Sans Devanagari"/>
          <w:bCs/>
          <w:color w:val="000000"/>
          <w:sz w:val="22"/>
          <w:szCs w:val="22"/>
        </w:rPr>
      </w:pPr>
      <w:r w:rsidRPr="00BC0E4B">
        <w:rPr>
          <w:rFonts w:ascii="Palatino Linotype" w:hAnsi="Palatino Linotype" w:cs="Adelle Sans Devanagari"/>
          <w:bCs/>
          <w:color w:val="000000"/>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0B4115D" w14:textId="77777777" w:rsidR="00037A85" w:rsidRPr="00BC0E4B" w:rsidRDefault="00037A85" w:rsidP="00037A85">
      <w:pPr>
        <w:spacing w:line="360" w:lineRule="auto"/>
        <w:jc w:val="both"/>
        <w:rPr>
          <w:rFonts w:ascii="Palatino Linotype" w:hAnsi="Palatino Linotype" w:cs="Adelle Sans Devanagari"/>
          <w:bCs/>
          <w:color w:val="000000"/>
          <w:sz w:val="22"/>
          <w:szCs w:val="22"/>
        </w:rPr>
      </w:pPr>
    </w:p>
    <w:p w14:paraId="070AEB77" w14:textId="77777777" w:rsidR="00037A85" w:rsidRPr="00BC0E4B" w:rsidRDefault="00037A85" w:rsidP="00196833">
      <w:pPr>
        <w:pStyle w:val="Prrafodelista"/>
        <w:numPr>
          <w:ilvl w:val="0"/>
          <w:numId w:val="7"/>
        </w:numPr>
        <w:spacing w:line="360" w:lineRule="auto"/>
        <w:ind w:right="-93"/>
        <w:jc w:val="both"/>
        <w:rPr>
          <w:rFonts w:ascii="Palatino Linotype" w:hAnsi="Palatino Linotype" w:cs="Tahoma"/>
          <w:b/>
          <w:szCs w:val="22"/>
        </w:rPr>
      </w:pPr>
      <w:r w:rsidRPr="00BC0E4B">
        <w:rPr>
          <w:rFonts w:ascii="Palatino Linotype" w:hAnsi="Palatino Linotype" w:cs="Tahoma"/>
          <w:b/>
          <w:bCs/>
          <w:iCs/>
          <w:szCs w:val="22"/>
        </w:rPr>
        <w:t>Número de cuenta o CLABE interbancaria</w:t>
      </w:r>
    </w:p>
    <w:p w14:paraId="48F7DD11" w14:textId="77777777" w:rsidR="00037A85" w:rsidRPr="00BC0E4B" w:rsidRDefault="00037A85" w:rsidP="00037A85">
      <w:pPr>
        <w:spacing w:line="360" w:lineRule="auto"/>
        <w:ind w:right="-93"/>
        <w:jc w:val="both"/>
        <w:rPr>
          <w:rFonts w:ascii="Palatino Linotype" w:hAnsi="Palatino Linotype" w:cs="Tahoma"/>
          <w:sz w:val="22"/>
          <w:szCs w:val="22"/>
        </w:rPr>
      </w:pPr>
    </w:p>
    <w:p w14:paraId="67E8AECA" w14:textId="77777777" w:rsidR="00037A85" w:rsidRPr="00BC0E4B" w:rsidRDefault="00037A85" w:rsidP="00037A85">
      <w:pPr>
        <w:spacing w:line="360" w:lineRule="auto"/>
        <w:jc w:val="both"/>
        <w:rPr>
          <w:rFonts w:ascii="Palatino Linotype" w:eastAsia="Palatino Linotype" w:hAnsi="Palatino Linotype" w:cs="Palatino Linotype"/>
          <w:color w:val="000000"/>
          <w:sz w:val="22"/>
          <w:szCs w:val="22"/>
          <w:lang w:eastAsia="es-MX"/>
        </w:rPr>
      </w:pPr>
      <w:r w:rsidRPr="00BC0E4B">
        <w:rPr>
          <w:rFonts w:ascii="Palatino Linotype" w:eastAsia="Palatino Linotype" w:hAnsi="Palatino Linotype" w:cs="Palatino Linotype"/>
          <w:color w:val="000000"/>
          <w:sz w:val="22"/>
          <w:szCs w:val="22"/>
          <w:lang w:eastAsia="es-MX"/>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64865E83" w14:textId="77777777" w:rsidR="00037A85" w:rsidRPr="00BC0E4B" w:rsidRDefault="00037A85" w:rsidP="00037A85">
      <w:pPr>
        <w:spacing w:line="360" w:lineRule="auto"/>
        <w:jc w:val="both"/>
        <w:rPr>
          <w:rFonts w:ascii="Palatino Linotype" w:eastAsia="Palatino Linotype" w:hAnsi="Palatino Linotype" w:cs="Palatino Linotype"/>
          <w:color w:val="000000"/>
          <w:sz w:val="22"/>
          <w:szCs w:val="22"/>
          <w:lang w:eastAsia="es-MX"/>
        </w:rPr>
      </w:pPr>
      <w:r w:rsidRPr="00BC0E4B">
        <w:rPr>
          <w:rFonts w:ascii="Palatino Linotype" w:eastAsia="Palatino Linotype" w:hAnsi="Palatino Linotype" w:cs="Palatino Linotype"/>
          <w:color w:val="000000"/>
          <w:sz w:val="22"/>
          <w:szCs w:val="22"/>
          <w:lang w:eastAsia="es-MX"/>
        </w:rPr>
        <w:lastRenderedPageBreak/>
        <w:t> </w:t>
      </w:r>
    </w:p>
    <w:p w14:paraId="11E4AD58" w14:textId="77777777" w:rsidR="00037A85" w:rsidRPr="00BC0E4B" w:rsidRDefault="00037A85" w:rsidP="00037A85">
      <w:pPr>
        <w:spacing w:line="360" w:lineRule="auto"/>
        <w:jc w:val="both"/>
        <w:rPr>
          <w:rFonts w:ascii="Palatino Linotype" w:eastAsia="Palatino Linotype" w:hAnsi="Palatino Linotype" w:cs="Palatino Linotype"/>
          <w:color w:val="000000"/>
          <w:sz w:val="22"/>
          <w:szCs w:val="22"/>
          <w:lang w:eastAsia="es-MX"/>
        </w:rPr>
      </w:pPr>
      <w:r w:rsidRPr="00BC0E4B">
        <w:rPr>
          <w:rFonts w:ascii="Palatino Linotype" w:eastAsia="Palatino Linotype" w:hAnsi="Palatino Linotype" w:cs="Palatino Linotype"/>
          <w:color w:val="000000"/>
          <w:sz w:val="22"/>
          <w:szCs w:val="22"/>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0CDAD613" w14:textId="77777777" w:rsidR="00037A85" w:rsidRPr="00BC0E4B" w:rsidRDefault="00037A85" w:rsidP="00037A85">
      <w:pPr>
        <w:spacing w:line="360" w:lineRule="auto"/>
        <w:jc w:val="both"/>
        <w:rPr>
          <w:rFonts w:ascii="Palatino Linotype" w:eastAsia="Palatino Linotype" w:hAnsi="Palatino Linotype" w:cs="Palatino Linotype"/>
          <w:color w:val="000000"/>
          <w:sz w:val="22"/>
          <w:szCs w:val="22"/>
          <w:lang w:eastAsia="es-MX"/>
        </w:rPr>
      </w:pPr>
    </w:p>
    <w:p w14:paraId="425346DB" w14:textId="77777777" w:rsidR="00037A85" w:rsidRPr="00BC0E4B" w:rsidRDefault="00037A85" w:rsidP="00037A85">
      <w:pPr>
        <w:spacing w:line="360" w:lineRule="auto"/>
        <w:ind w:left="567" w:right="567"/>
        <w:jc w:val="both"/>
        <w:rPr>
          <w:rFonts w:ascii="Palatino Linotype" w:eastAsia="Palatino Linotype" w:hAnsi="Palatino Linotype" w:cs="Palatino Linotype"/>
          <w:i/>
          <w:color w:val="000000"/>
          <w:lang w:eastAsia="es-MX"/>
        </w:rPr>
      </w:pPr>
      <w:r w:rsidRPr="00BC0E4B">
        <w:rPr>
          <w:rFonts w:ascii="Palatino Linotype" w:eastAsia="Palatino Linotype" w:hAnsi="Palatino Linotype" w:cs="Palatino Linotype"/>
          <w:i/>
          <w:color w:val="000000"/>
          <w:lang w:eastAsia="es-MX"/>
        </w:rPr>
        <w:t>“</w:t>
      </w:r>
      <w:r w:rsidRPr="00BC0E4B">
        <w:rPr>
          <w:rFonts w:ascii="Palatino Linotype" w:eastAsia="Palatino Linotype" w:hAnsi="Palatino Linotype" w:cs="Palatino Linotype"/>
          <w:b/>
          <w:i/>
          <w:color w:val="000000"/>
          <w:lang w:eastAsia="es-MX"/>
        </w:rPr>
        <w:t>Cuentas bancarias y/o CLABE interbancaria de personas físicas y morales privadas.</w:t>
      </w:r>
      <w:r w:rsidRPr="00BC0E4B">
        <w:rPr>
          <w:rFonts w:ascii="Palatino Linotype" w:eastAsia="Palatino Linotype" w:hAnsi="Palatino Linotype" w:cs="Palatino Linotype"/>
          <w:i/>
          <w:color w:val="00000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FD222FE" w14:textId="77777777" w:rsidR="00037A85" w:rsidRPr="00BC0E4B" w:rsidRDefault="00037A85" w:rsidP="00037A85">
      <w:pPr>
        <w:spacing w:line="360" w:lineRule="auto"/>
        <w:jc w:val="both"/>
        <w:rPr>
          <w:rFonts w:ascii="Palatino Linotype" w:eastAsia="Palatino Linotype" w:hAnsi="Palatino Linotype" w:cs="Palatino Linotype"/>
          <w:color w:val="000000"/>
          <w:sz w:val="22"/>
          <w:szCs w:val="22"/>
          <w:lang w:eastAsia="es-MX"/>
        </w:rPr>
      </w:pPr>
    </w:p>
    <w:p w14:paraId="0B951F2D" w14:textId="77777777" w:rsidR="00037A85" w:rsidRDefault="00037A85" w:rsidP="00037A85">
      <w:pPr>
        <w:spacing w:line="360" w:lineRule="auto"/>
        <w:jc w:val="both"/>
        <w:rPr>
          <w:rFonts w:ascii="Palatino Linotype" w:eastAsia="Palatino Linotype" w:hAnsi="Palatino Linotype" w:cs="Palatino Linotype"/>
          <w:color w:val="000000"/>
          <w:sz w:val="22"/>
          <w:szCs w:val="22"/>
          <w:lang w:eastAsia="es-MX"/>
        </w:rPr>
      </w:pPr>
      <w:r w:rsidRPr="00BC0E4B">
        <w:rPr>
          <w:rFonts w:ascii="Palatino Linotype" w:eastAsia="Palatino Linotype" w:hAnsi="Palatino Linotype" w:cs="Palatino Linotype"/>
          <w:color w:val="000000"/>
          <w:sz w:val="22"/>
          <w:szCs w:val="22"/>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72D9BDF6" w14:textId="77777777" w:rsidR="00037A85" w:rsidRPr="001102E9" w:rsidRDefault="00037A85" w:rsidP="00037A85">
      <w:pPr>
        <w:spacing w:line="360" w:lineRule="auto"/>
        <w:contextualSpacing/>
        <w:jc w:val="both"/>
        <w:rPr>
          <w:rFonts w:ascii="Palatino Linotype" w:hAnsi="Palatino Linotype" w:cs="Adelle Sans Devanagari"/>
          <w:bCs/>
          <w:color w:val="000000"/>
          <w:sz w:val="22"/>
          <w:szCs w:val="22"/>
        </w:rPr>
      </w:pPr>
    </w:p>
    <w:p w14:paraId="2659848C" w14:textId="77777777" w:rsidR="00037A85" w:rsidRPr="004A2C87" w:rsidRDefault="00037A85" w:rsidP="00037A85">
      <w:pPr>
        <w:tabs>
          <w:tab w:val="left" w:pos="4962"/>
        </w:tabs>
        <w:spacing w:line="360" w:lineRule="auto"/>
        <w:contextualSpacing/>
        <w:jc w:val="both"/>
        <w:rPr>
          <w:rFonts w:ascii="Palatino Linotype" w:eastAsia="Calibri" w:hAnsi="Palatino Linotype" w:cs="Adelle Sans Devanagari"/>
          <w:bCs/>
          <w:iCs/>
          <w:color w:val="000000"/>
          <w:sz w:val="22"/>
          <w:szCs w:val="22"/>
          <w:lang w:val="es-ES" w:eastAsia="en-US"/>
        </w:rPr>
      </w:pPr>
      <w:r w:rsidRPr="004A2C87">
        <w:rPr>
          <w:rFonts w:ascii="Palatino Linotype" w:hAnsi="Palatino Linotype" w:cs="Adelle Sans Devanagari"/>
          <w:bCs/>
          <w:color w:val="000000"/>
          <w:sz w:val="22"/>
          <w:szCs w:val="22"/>
        </w:rPr>
        <w:t>Así, este Instituto considera que el Sujeto Obligado deberá proporcionar los documentos solicitados en versión pública; sobre dicha circunstancia, el a</w:t>
      </w:r>
      <w:proofErr w:type="spellStart"/>
      <w:r w:rsidRPr="004A2C87">
        <w:rPr>
          <w:rFonts w:ascii="Palatino Linotype" w:eastAsia="Calibri" w:hAnsi="Palatino Linotype" w:cs="Adelle Sans Devanagari"/>
          <w:bCs/>
          <w:iCs/>
          <w:color w:val="000000"/>
          <w:sz w:val="22"/>
          <w:szCs w:val="22"/>
          <w:lang w:val="es-ES" w:eastAsia="en-US"/>
        </w:rPr>
        <w:t>rtículo</w:t>
      </w:r>
      <w:proofErr w:type="spellEnd"/>
      <w:r w:rsidRPr="004A2C87">
        <w:rPr>
          <w:rFonts w:ascii="Palatino Linotype" w:eastAsia="Calibri" w:hAnsi="Palatino Linotype" w:cs="Adelle Sans Devanagari"/>
          <w:bCs/>
          <w:iCs/>
          <w:color w:val="000000"/>
          <w:sz w:val="22"/>
          <w:szCs w:val="22"/>
          <w:lang w:val="es-ES" w:eastAsia="en-U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rsidRPr="004A2C87">
        <w:rPr>
          <w:rFonts w:ascii="Palatino Linotype" w:eastAsia="Calibri" w:hAnsi="Palatino Linotype" w:cs="Adelle Sans Devanagari"/>
          <w:bCs/>
          <w:iCs/>
          <w:color w:val="000000"/>
          <w:sz w:val="22"/>
          <w:szCs w:val="22"/>
          <w:lang w:val="es-ES" w:eastAsia="en-US"/>
        </w:rPr>
        <w:lastRenderedPageBreak/>
        <w:t>clasificadas, indicando su contenido de manera genérica y fundando y motivando su clasificación.</w:t>
      </w:r>
    </w:p>
    <w:p w14:paraId="533EC434" w14:textId="77777777" w:rsidR="00037A85" w:rsidRPr="004A2C87" w:rsidRDefault="00037A85" w:rsidP="00037A85">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29F9D476" w14:textId="77777777" w:rsidR="00037A85" w:rsidRPr="004A2C87" w:rsidRDefault="00037A85" w:rsidP="00037A85">
      <w:pPr>
        <w:spacing w:line="360" w:lineRule="auto"/>
        <w:contextualSpacing/>
        <w:jc w:val="both"/>
        <w:rPr>
          <w:rFonts w:ascii="Palatino Linotype" w:eastAsia="Calibri" w:hAnsi="Palatino Linotype" w:cs="Adelle Sans Devanagari"/>
          <w:bCs/>
          <w:iCs/>
          <w:color w:val="000000"/>
          <w:sz w:val="22"/>
          <w:szCs w:val="22"/>
          <w:lang w:val="es-ES" w:eastAsia="en-US"/>
        </w:rPr>
      </w:pPr>
      <w:r w:rsidRPr="004A2C87">
        <w:rPr>
          <w:rFonts w:ascii="Palatino Linotype" w:eastAsia="Calibri" w:hAnsi="Palatino Linotype" w:cs="Adelle Sans Devanagari"/>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A7F9692" w14:textId="77777777" w:rsidR="00FE35D2" w:rsidRDefault="00FE35D2" w:rsidP="00FE35D2">
      <w:pPr>
        <w:tabs>
          <w:tab w:val="left" w:pos="1410"/>
        </w:tabs>
        <w:spacing w:line="360" w:lineRule="auto"/>
        <w:ind w:right="-93"/>
        <w:jc w:val="both"/>
        <w:rPr>
          <w:rFonts w:ascii="Palatino Linotype" w:eastAsia="Calibri" w:hAnsi="Palatino Linotype" w:cs="Tahoma"/>
          <w:bCs/>
          <w:iCs/>
          <w:sz w:val="22"/>
          <w:szCs w:val="22"/>
          <w:lang w:eastAsia="en-US"/>
        </w:rPr>
      </w:pPr>
    </w:p>
    <w:p w14:paraId="2BC01F67" w14:textId="77777777" w:rsidR="005D4660" w:rsidRPr="00FB571A" w:rsidRDefault="005D4660" w:rsidP="005D4660">
      <w:pPr>
        <w:pStyle w:val="Ttulo2"/>
        <w:rPr>
          <w:rFonts w:ascii="Palatino Linotype" w:hAnsi="Palatino Linotype"/>
          <w:b/>
          <w:color w:val="auto"/>
          <w:sz w:val="22"/>
          <w:szCs w:val="22"/>
        </w:rPr>
      </w:pPr>
      <w:bookmarkStart w:id="17" w:name="_Toc190857068"/>
      <w:bookmarkStart w:id="18" w:name="_Toc219296237"/>
      <w:r w:rsidRPr="00FB571A">
        <w:rPr>
          <w:rFonts w:ascii="Palatino Linotype" w:hAnsi="Palatino Linotype"/>
          <w:b/>
          <w:color w:val="auto"/>
          <w:sz w:val="22"/>
          <w:szCs w:val="22"/>
        </w:rPr>
        <w:t>SEXTO. Decisión</w:t>
      </w:r>
      <w:bookmarkEnd w:id="17"/>
      <w:bookmarkEnd w:id="18"/>
    </w:p>
    <w:p w14:paraId="04818D63" w14:textId="77777777" w:rsidR="005D4660" w:rsidRPr="00FB571A" w:rsidRDefault="005D4660" w:rsidP="005D4660">
      <w:pPr>
        <w:spacing w:line="360" w:lineRule="auto"/>
        <w:ind w:right="-93"/>
        <w:jc w:val="both"/>
        <w:rPr>
          <w:rFonts w:ascii="Palatino Linotype" w:hAnsi="Palatino Linotype" w:cs="Tahoma"/>
          <w:b/>
          <w:sz w:val="22"/>
          <w:szCs w:val="22"/>
        </w:rPr>
      </w:pPr>
    </w:p>
    <w:p w14:paraId="7919AFB5" w14:textId="64E25E32" w:rsidR="005D4660" w:rsidRPr="00FB571A" w:rsidRDefault="005D4660" w:rsidP="005D4660">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B355E7">
        <w:rPr>
          <w:rFonts w:ascii="Palatino Linotype" w:hAnsi="Palatino Linotype" w:cs="Tahoma"/>
          <w:b/>
          <w:sz w:val="22"/>
          <w:szCs w:val="22"/>
        </w:rPr>
        <w:t>REVOCAR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B610B5" w:rsidRPr="00B610B5">
        <w:rPr>
          <w:rFonts w:ascii="Palatino Linotype" w:hAnsi="Palatino Linotype" w:cs="Tahoma"/>
          <w:b/>
          <w:bCs/>
          <w:sz w:val="22"/>
          <w:szCs w:val="22"/>
        </w:rPr>
        <w:t>05947/TOLUCA/IP/2025</w:t>
      </w:r>
      <w:r w:rsidRPr="00FB571A">
        <w:rPr>
          <w:rFonts w:ascii="Palatino Linotype" w:hAnsi="Palatino Linotype" w:cs="Tahoma"/>
          <w:sz w:val="22"/>
          <w:szCs w:val="22"/>
        </w:rPr>
        <w:t xml:space="preserve">, por resultar </w:t>
      </w:r>
      <w:r w:rsidR="00F601DA">
        <w:rPr>
          <w:rFonts w:ascii="Palatino Linotype" w:hAnsi="Palatino Linotype" w:cs="Tahoma"/>
          <w:sz w:val="22"/>
          <w:szCs w:val="22"/>
        </w:rPr>
        <w:t xml:space="preserve">parcialmente </w:t>
      </w:r>
      <w:r w:rsidRPr="00FB571A">
        <w:rPr>
          <w:rFonts w:ascii="Palatino Linotype" w:hAnsi="Palatino Linotype" w:cs="Tahoma"/>
          <w:sz w:val="22"/>
          <w:szCs w:val="22"/>
        </w:rPr>
        <w:t xml:space="preserve">fundadas las razones o motivos de inconformidad hechos valer por el Recurrente, en el Recurso de Revisión </w:t>
      </w:r>
      <w:r w:rsidR="00B610B5">
        <w:rPr>
          <w:rFonts w:ascii="Palatino Linotype" w:hAnsi="Palatino Linotype" w:cs="Tahoma"/>
          <w:b/>
          <w:sz w:val="22"/>
          <w:szCs w:val="22"/>
        </w:rPr>
        <w:t>13851</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haga entrega de la información solicitada.</w:t>
      </w:r>
    </w:p>
    <w:p w14:paraId="69769B0D" w14:textId="77777777" w:rsidR="005D4660" w:rsidRPr="00FB571A" w:rsidRDefault="005D4660" w:rsidP="005D4660">
      <w:pPr>
        <w:spacing w:line="360" w:lineRule="auto"/>
        <w:ind w:right="-93"/>
        <w:jc w:val="both"/>
        <w:rPr>
          <w:rFonts w:ascii="Palatino Linotype" w:eastAsia="Palatino Linotype" w:hAnsi="Palatino Linotype" w:cs="Palatino Linotype"/>
          <w:sz w:val="22"/>
          <w:szCs w:val="22"/>
        </w:rPr>
      </w:pPr>
    </w:p>
    <w:p w14:paraId="06273BEF" w14:textId="77777777" w:rsidR="005D4660" w:rsidRPr="00FB571A" w:rsidRDefault="005D4660" w:rsidP="005D4660">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2A32FD1E" w14:textId="77777777" w:rsidR="005D4660" w:rsidRPr="00FB571A" w:rsidRDefault="005D4660" w:rsidP="005D4660">
      <w:pPr>
        <w:spacing w:line="360" w:lineRule="auto"/>
        <w:jc w:val="both"/>
        <w:rPr>
          <w:rFonts w:ascii="Palatino Linotype" w:eastAsia="Calibri" w:hAnsi="Palatino Linotype" w:cs="Tahoma"/>
          <w:iCs/>
          <w:sz w:val="22"/>
          <w:szCs w:val="22"/>
          <w:lang w:eastAsia="es-ES_tradnl"/>
        </w:rPr>
      </w:pPr>
    </w:p>
    <w:p w14:paraId="012531B5" w14:textId="4C139057" w:rsidR="005D4660" w:rsidRDefault="005D4660" w:rsidP="005D4660">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B355E7">
        <w:rPr>
          <w:rFonts w:ascii="Palatino Linotype" w:hAnsi="Palatino Linotype" w:cs="Tahoma"/>
          <w:bCs/>
          <w:sz w:val="22"/>
          <w:szCs w:val="22"/>
          <w:u w:val="single"/>
        </w:rPr>
        <w:t>revocar</w:t>
      </w:r>
      <w:r w:rsidRPr="00FB571A">
        <w:rPr>
          <w:rFonts w:ascii="Palatino Linotype" w:hAnsi="Palatino Linotype" w:cs="Tahoma"/>
          <w:bCs/>
          <w:sz w:val="22"/>
          <w:szCs w:val="22"/>
          <w:u w:val="single"/>
        </w:rPr>
        <w:t xml:space="preserve"> la respuesta que le entregó el Sujeto Obligado a su solicitud de acceso, toda vez que </w:t>
      </w:r>
      <w:r w:rsidR="0094768D">
        <w:rPr>
          <w:rFonts w:ascii="Palatino Linotype" w:hAnsi="Palatino Linotype" w:cs="Tahoma"/>
          <w:bCs/>
          <w:sz w:val="22"/>
          <w:szCs w:val="22"/>
          <w:u w:val="single"/>
        </w:rPr>
        <w:t>no</w:t>
      </w:r>
      <w:r w:rsidR="00B355E7">
        <w:rPr>
          <w:rFonts w:ascii="Palatino Linotype" w:hAnsi="Palatino Linotype" w:cs="Tahoma"/>
          <w:bCs/>
          <w:sz w:val="22"/>
          <w:szCs w:val="22"/>
          <w:u w:val="single"/>
        </w:rPr>
        <w:t xml:space="preserve"> </w:t>
      </w:r>
      <w:r w:rsidR="00B610B5">
        <w:rPr>
          <w:rFonts w:ascii="Palatino Linotype" w:hAnsi="Palatino Linotype" w:cs="Tahoma"/>
          <w:bCs/>
          <w:sz w:val="22"/>
          <w:szCs w:val="22"/>
          <w:u w:val="single"/>
        </w:rPr>
        <w:t>proporcionó los documentos que son de su interés</w:t>
      </w:r>
      <w:r w:rsidR="00B355E7">
        <w:rPr>
          <w:rFonts w:ascii="Palatino Linotype" w:hAnsi="Palatino Linotype" w:cs="Tahoma"/>
          <w:bCs/>
          <w:sz w:val="22"/>
          <w:szCs w:val="22"/>
          <w:u w:val="single"/>
        </w:rPr>
        <w:t xml:space="preserve">. </w:t>
      </w:r>
    </w:p>
    <w:p w14:paraId="0AF09D03" w14:textId="77777777" w:rsidR="005D4660" w:rsidRPr="00FB571A" w:rsidRDefault="005D4660" w:rsidP="005D4660">
      <w:pPr>
        <w:spacing w:line="360" w:lineRule="auto"/>
        <w:jc w:val="both"/>
        <w:rPr>
          <w:rFonts w:ascii="Palatino Linotype" w:hAnsi="Palatino Linotype" w:cs="Tahoma"/>
          <w:bCs/>
          <w:sz w:val="22"/>
          <w:szCs w:val="22"/>
          <w:u w:val="single"/>
        </w:rPr>
      </w:pPr>
    </w:p>
    <w:p w14:paraId="4BC42EAB" w14:textId="77777777" w:rsidR="005D4660" w:rsidRDefault="005D4660" w:rsidP="005D4660">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03F2C67" w14:textId="77777777" w:rsidR="005D4660" w:rsidRPr="00FB571A" w:rsidRDefault="005D4660" w:rsidP="005D4660">
      <w:pPr>
        <w:spacing w:line="360" w:lineRule="auto"/>
        <w:ind w:right="-93"/>
        <w:jc w:val="both"/>
        <w:rPr>
          <w:rFonts w:ascii="Palatino Linotype" w:hAnsi="Palatino Linotype" w:cs="Tahoma"/>
          <w:bCs/>
          <w:sz w:val="22"/>
          <w:szCs w:val="22"/>
          <w:u w:val="single"/>
        </w:rPr>
      </w:pPr>
    </w:p>
    <w:p w14:paraId="52973825" w14:textId="77777777" w:rsidR="005D4660" w:rsidRPr="00FB571A" w:rsidRDefault="005D4660" w:rsidP="005D4660">
      <w:pPr>
        <w:pStyle w:val="Ttulo1"/>
        <w:jc w:val="center"/>
        <w:rPr>
          <w:rFonts w:ascii="Palatino Linotype" w:eastAsia="Calibri" w:hAnsi="Palatino Linotype"/>
          <w:b/>
          <w:color w:val="auto"/>
          <w:sz w:val="22"/>
          <w:szCs w:val="22"/>
          <w:lang w:eastAsia="en-US"/>
        </w:rPr>
      </w:pPr>
      <w:bookmarkStart w:id="19" w:name="_Toc190857069"/>
      <w:bookmarkStart w:id="20" w:name="_Toc219296238"/>
      <w:r w:rsidRPr="00FB571A">
        <w:rPr>
          <w:rFonts w:ascii="Palatino Linotype" w:eastAsia="Calibri" w:hAnsi="Palatino Linotype"/>
          <w:b/>
          <w:color w:val="auto"/>
          <w:sz w:val="22"/>
          <w:szCs w:val="22"/>
          <w:lang w:eastAsia="en-US"/>
        </w:rPr>
        <w:lastRenderedPageBreak/>
        <w:t>R E S U E L V E</w:t>
      </w:r>
      <w:bookmarkEnd w:id="19"/>
      <w:bookmarkEnd w:id="20"/>
    </w:p>
    <w:p w14:paraId="0E51BD49" w14:textId="77777777" w:rsidR="005D4660" w:rsidRPr="00FB571A" w:rsidRDefault="005D4660" w:rsidP="005D4660">
      <w:pPr>
        <w:spacing w:line="360" w:lineRule="auto"/>
        <w:jc w:val="both"/>
        <w:rPr>
          <w:rFonts w:ascii="Palatino Linotype" w:hAnsi="Palatino Linotype" w:cs="Tahoma"/>
          <w:b/>
          <w:bCs/>
          <w:sz w:val="22"/>
          <w:szCs w:val="22"/>
        </w:rPr>
      </w:pPr>
    </w:p>
    <w:p w14:paraId="70D744D3" w14:textId="6320703B" w:rsidR="005D4660" w:rsidRPr="00FB571A" w:rsidRDefault="005D4660" w:rsidP="005D4660">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B355E7">
        <w:rPr>
          <w:rFonts w:ascii="Palatino Linotype" w:hAnsi="Palatino Linotype" w:cs="Tahoma"/>
          <w:b/>
          <w:bCs/>
          <w:sz w:val="22"/>
          <w:szCs w:val="22"/>
        </w:rPr>
        <w:t>REVOCA</w:t>
      </w:r>
      <w:r w:rsidR="00F601DA">
        <w:rPr>
          <w:rFonts w:ascii="Palatino Linotype" w:hAnsi="Palatino Linotype" w:cs="Tahoma"/>
          <w:b/>
          <w:bCs/>
          <w:sz w:val="22"/>
          <w:szCs w:val="22"/>
        </w:rPr>
        <w:t xml:space="preserve"> </w:t>
      </w:r>
      <w:r w:rsidRPr="00FB571A">
        <w:rPr>
          <w:rFonts w:ascii="Palatino Linotype" w:hAnsi="Palatino Linotype" w:cs="Tahoma"/>
          <w:bCs/>
          <w:sz w:val="22"/>
          <w:szCs w:val="22"/>
        </w:rPr>
        <w:t xml:space="preserve">la respuesta entregada por el </w:t>
      </w:r>
      <w:r w:rsidR="00F16C86" w:rsidRPr="0069524C">
        <w:rPr>
          <w:rFonts w:ascii="Palatino Linotype" w:hAnsi="Palatino Linotype" w:cs="Tahoma"/>
          <w:sz w:val="22"/>
          <w:szCs w:val="22"/>
        </w:rPr>
        <w:t>Ayuntamiento de Toluca</w:t>
      </w:r>
      <w:r w:rsidR="00B610B5" w:rsidRPr="0069524C">
        <w:rPr>
          <w:rFonts w:ascii="Palatino Linotype" w:hAnsi="Palatino Linotype" w:cs="Tahoma"/>
          <w:sz w:val="22"/>
          <w:szCs w:val="22"/>
        </w:rPr>
        <w:t xml:space="preserve"> </w:t>
      </w:r>
      <w:r w:rsidRPr="0069524C">
        <w:rPr>
          <w:rFonts w:ascii="Palatino Linotype" w:eastAsia="Calibri" w:hAnsi="Palatino Linotype" w:cs="Tahoma"/>
          <w:sz w:val="22"/>
          <w:szCs w:val="22"/>
          <w:lang w:eastAsia="en-US"/>
        </w:rPr>
        <w:t>a</w:t>
      </w:r>
      <w:r w:rsidRPr="0069524C">
        <w:rPr>
          <w:rFonts w:ascii="Palatino Linotype" w:hAnsi="Palatino Linotype" w:cs="Tahoma"/>
          <w:sz w:val="22"/>
          <w:szCs w:val="22"/>
        </w:rPr>
        <w:t xml:space="preserve"> la solicitud de información </w:t>
      </w:r>
      <w:r w:rsidR="00B610B5" w:rsidRPr="0069524C">
        <w:rPr>
          <w:rFonts w:ascii="Palatino Linotype" w:hAnsi="Palatino Linotype"/>
          <w:sz w:val="22"/>
          <w:szCs w:val="22"/>
        </w:rPr>
        <w:t xml:space="preserve">05947/TOLUCA/IP/2025 </w:t>
      </w:r>
      <w:r w:rsidRPr="0069524C">
        <w:rPr>
          <w:rFonts w:ascii="Palatino Linotype" w:hAnsi="Palatino Linotype"/>
          <w:sz w:val="22"/>
          <w:szCs w:val="22"/>
        </w:rPr>
        <w:t>por resultar</w:t>
      </w:r>
      <w:r w:rsidR="00F601DA" w:rsidRPr="0069524C">
        <w:rPr>
          <w:rFonts w:ascii="Palatino Linotype" w:hAnsi="Palatino Linotype"/>
          <w:sz w:val="22"/>
          <w:szCs w:val="22"/>
        </w:rPr>
        <w:t xml:space="preserve"> </w:t>
      </w:r>
      <w:r w:rsidRPr="0069524C">
        <w:rPr>
          <w:rFonts w:ascii="Palatino Linotype" w:hAnsi="Palatino Linotype"/>
          <w:sz w:val="22"/>
          <w:szCs w:val="22"/>
        </w:rPr>
        <w:t>fundadas</w:t>
      </w:r>
      <w:r w:rsidRPr="0069524C">
        <w:rPr>
          <w:rFonts w:ascii="Palatino Linotype" w:hAnsi="Palatino Linotype" w:cs="Tahoma"/>
          <w:sz w:val="22"/>
          <w:szCs w:val="22"/>
        </w:rPr>
        <w:t xml:space="preserve"> </w:t>
      </w:r>
      <w:r w:rsidRPr="0069524C">
        <w:rPr>
          <w:rFonts w:ascii="Palatino Linotype" w:eastAsia="Calibri" w:hAnsi="Palatino Linotype" w:cs="Tahoma"/>
          <w:sz w:val="22"/>
          <w:szCs w:val="22"/>
          <w:lang w:eastAsia="en-US"/>
        </w:rPr>
        <w:t xml:space="preserve">las razones o motivos de inconformidad hechos valer por el Recurrente en el Recurso de Revisión </w:t>
      </w:r>
      <w:r w:rsidR="00B610B5" w:rsidRPr="0069524C">
        <w:rPr>
          <w:rFonts w:ascii="Palatino Linotype" w:hAnsi="Palatino Linotype" w:cs="Tahoma"/>
          <w:color w:val="0D0D0D" w:themeColor="text1" w:themeTint="F2"/>
          <w:sz w:val="22"/>
          <w:szCs w:val="22"/>
        </w:rPr>
        <w:t>13851</w:t>
      </w:r>
      <w:r w:rsidRPr="0069524C">
        <w:rPr>
          <w:rFonts w:ascii="Palatino Linotype" w:hAnsi="Palatino Linotype" w:cs="Tahoma"/>
          <w:color w:val="0D0D0D" w:themeColor="text1" w:themeTint="F2"/>
          <w:sz w:val="22"/>
          <w:szCs w:val="22"/>
        </w:rPr>
        <w:t>/INFOEM/IP/RR/2025</w:t>
      </w:r>
      <w:r w:rsidRPr="0069524C">
        <w:rPr>
          <w:rFonts w:ascii="Palatino Linotype" w:eastAsia="Calibri" w:hAnsi="Palatino Linotype" w:cs="Tahoma"/>
          <w:sz w:val="22"/>
          <w:szCs w:val="22"/>
          <w:lang w:eastAsia="en-US"/>
        </w:rPr>
        <w:t>,</w:t>
      </w:r>
      <w:r w:rsidRPr="00FB571A">
        <w:rPr>
          <w:rFonts w:ascii="Palatino Linotype" w:eastAsia="Calibri" w:hAnsi="Palatino Linotype" w:cs="Tahoma"/>
          <w:bCs/>
          <w:sz w:val="22"/>
          <w:szCs w:val="22"/>
          <w:lang w:eastAsia="en-US"/>
        </w:rPr>
        <w:t xml:space="preserve"> en términos de los considerandos QUINTO y SEXTO de la presente Resolución.</w:t>
      </w:r>
    </w:p>
    <w:p w14:paraId="0D785269" w14:textId="77777777" w:rsidR="005D4660" w:rsidRPr="00FB571A" w:rsidRDefault="005D4660" w:rsidP="005D4660">
      <w:pPr>
        <w:spacing w:line="360" w:lineRule="auto"/>
        <w:contextualSpacing/>
        <w:jc w:val="both"/>
        <w:rPr>
          <w:rFonts w:ascii="Palatino Linotype" w:hAnsi="Palatino Linotype" w:cs="Tahoma"/>
          <w:bCs/>
          <w:sz w:val="22"/>
          <w:szCs w:val="22"/>
        </w:rPr>
      </w:pPr>
    </w:p>
    <w:p w14:paraId="16103ECD" w14:textId="6B5508EA" w:rsidR="0076289D" w:rsidRPr="00312A15" w:rsidRDefault="005D4660" w:rsidP="0076289D">
      <w:pPr>
        <w:spacing w:line="360" w:lineRule="auto"/>
        <w:ind w:right="-93"/>
        <w:jc w:val="both"/>
        <w:rPr>
          <w:rFonts w:ascii="Palatino Linotype" w:hAnsi="Palatino Linotype" w:cs="Arial"/>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F16C86" w:rsidRPr="0069524C">
        <w:rPr>
          <w:rFonts w:ascii="Palatino Linotype" w:eastAsia="Calibri" w:hAnsi="Palatino Linotype" w:cs="Tahoma"/>
          <w:sz w:val="22"/>
          <w:szCs w:val="22"/>
          <w:lang w:eastAsia="en-US"/>
        </w:rPr>
        <w:t>Ayuntamiento de Toluca</w:t>
      </w:r>
      <w:r w:rsidRPr="00FB571A">
        <w:rPr>
          <w:rFonts w:ascii="Palatino Linotype" w:hAnsi="Palatino Linotype" w:cs="Tahoma"/>
          <w:sz w:val="22"/>
          <w:szCs w:val="22"/>
        </w:rPr>
        <w:t>, a efecto de que</w:t>
      </w:r>
      <w:r w:rsidR="0069524C">
        <w:rPr>
          <w:rFonts w:ascii="Palatino Linotype" w:hAnsi="Palatino Linotype" w:cs="Tahoma"/>
          <w:sz w:val="22"/>
          <w:szCs w:val="22"/>
        </w:rPr>
        <w:t xml:space="preserve"> previa búsqueda exhaustiva y razonable en los archivos de las unidades administrativas competentes</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Pr>
          <w:rFonts w:ascii="Palatino Linotype" w:hAnsi="Palatino Linotype" w:cs="Arial"/>
          <w:sz w:val="22"/>
          <w:szCs w:val="22"/>
          <w:lang w:val="es-ES"/>
        </w:rPr>
        <w:t>en versión pública,</w:t>
      </w:r>
      <w:r w:rsidR="00D730C8">
        <w:rPr>
          <w:rFonts w:ascii="Palatino Linotype" w:hAnsi="Palatino Linotype" w:cs="Arial"/>
          <w:sz w:val="22"/>
          <w:szCs w:val="22"/>
          <w:lang w:val="es-ES"/>
        </w:rPr>
        <w:t xml:space="preserve"> </w:t>
      </w:r>
      <w:r w:rsidR="0076289D">
        <w:rPr>
          <w:rFonts w:ascii="Palatino Linotype" w:hAnsi="Palatino Linotype" w:cs="Arial"/>
          <w:sz w:val="22"/>
          <w:szCs w:val="22"/>
          <w:lang w:val="es-ES"/>
        </w:rPr>
        <w:t xml:space="preserve">los recibos de nómina del </w:t>
      </w:r>
      <w:r w:rsidR="0076289D" w:rsidRPr="006E6B62">
        <w:rPr>
          <w:rFonts w:ascii="Palatino Linotype" w:hAnsi="Palatino Linotype" w:cs="Arial"/>
          <w:sz w:val="22"/>
          <w:szCs w:val="22"/>
          <w:lang w:val="es-ES"/>
        </w:rPr>
        <w:t>Presidente Municipal</w:t>
      </w:r>
      <w:r w:rsidR="0076289D">
        <w:rPr>
          <w:rFonts w:ascii="Palatino Linotype" w:hAnsi="Palatino Linotype" w:cs="Arial"/>
          <w:sz w:val="22"/>
          <w:szCs w:val="22"/>
          <w:lang w:val="es-ES"/>
        </w:rPr>
        <w:t xml:space="preserve">, de la primera quincena de enero a la segunda quincena de octubre de dos mil veinticinco. </w:t>
      </w:r>
    </w:p>
    <w:p w14:paraId="421579C4" w14:textId="0845F1A7" w:rsidR="0076289D" w:rsidRDefault="0076289D" w:rsidP="00B355E7">
      <w:pPr>
        <w:spacing w:line="360" w:lineRule="auto"/>
        <w:ind w:right="-93"/>
        <w:jc w:val="both"/>
        <w:rPr>
          <w:rFonts w:ascii="Palatino Linotype" w:hAnsi="Palatino Linotype" w:cs="Arial"/>
          <w:sz w:val="22"/>
          <w:szCs w:val="22"/>
          <w:lang w:val="es-ES"/>
        </w:rPr>
      </w:pPr>
    </w:p>
    <w:p w14:paraId="033F7A8E" w14:textId="0F8A38FD" w:rsidR="005D4660" w:rsidRPr="005C0E48" w:rsidRDefault="0069524C" w:rsidP="005D466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w:t>
      </w:r>
      <w:r w:rsidR="005D4660" w:rsidRPr="00B459FA">
        <w:rPr>
          <w:rFonts w:ascii="Palatino Linotype" w:eastAsia="Calibri" w:hAnsi="Palatino Linotype" w:cs="Tahoma"/>
          <w:bCs/>
          <w:sz w:val="22"/>
          <w:szCs w:val="22"/>
          <w:lang w:eastAsia="en-US"/>
        </w:rPr>
        <w:t xml:space="preserve"> deberá </w:t>
      </w:r>
      <w:r w:rsidR="005D4660" w:rsidRPr="005C0E48">
        <w:rPr>
          <w:rFonts w:ascii="Palatino Linotype" w:eastAsia="Calibri" w:hAnsi="Palatino Linotype" w:cs="Tahoma"/>
          <w:bCs/>
          <w:sz w:val="22"/>
          <w:szCs w:val="22"/>
          <w:lang w:eastAsia="en-US"/>
        </w:rPr>
        <w:t>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354D547B" w14:textId="77777777" w:rsidR="005D4660" w:rsidRDefault="005D4660" w:rsidP="005D4660">
      <w:pPr>
        <w:spacing w:line="360" w:lineRule="auto"/>
        <w:ind w:right="-93"/>
        <w:jc w:val="both"/>
        <w:rPr>
          <w:rFonts w:ascii="Palatino Linotype" w:hAnsi="Palatino Linotype" w:cs="Arial"/>
          <w:sz w:val="22"/>
          <w:szCs w:val="22"/>
          <w:lang w:val="es-ES"/>
        </w:rPr>
      </w:pPr>
    </w:p>
    <w:p w14:paraId="5309B95C" w14:textId="77777777" w:rsidR="005D4660" w:rsidRPr="00FB571A" w:rsidRDefault="005D4660" w:rsidP="005D4660">
      <w:pPr>
        <w:spacing w:line="360" w:lineRule="auto"/>
        <w:contextualSpacing/>
        <w:jc w:val="both"/>
        <w:rPr>
          <w:rFonts w:ascii="Palatino Linotype" w:hAnsi="Palatino Linotype" w:cs="Tahoma"/>
          <w:iCs/>
          <w:sz w:val="22"/>
          <w:szCs w:val="22"/>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r w:rsidR="00C0069F">
        <w:rPr>
          <w:rFonts w:ascii="Palatino Linotype" w:eastAsia="Calibri" w:hAnsi="Palatino Linotype" w:cs="Tahoma"/>
          <w:bCs/>
          <w:sz w:val="22"/>
          <w:szCs w:val="22"/>
          <w:lang w:eastAsia="en-US"/>
        </w:rPr>
        <w:t xml:space="preserve"> </w:t>
      </w:r>
      <w:r w:rsidRPr="00FB571A">
        <w:rPr>
          <w:rFonts w:ascii="Palatino Linotype" w:hAnsi="Palatino Linotype" w:cs="Tahoma"/>
          <w:iCs/>
          <w:sz w:val="22"/>
          <w:szCs w:val="22"/>
        </w:rPr>
        <w:t xml:space="preserve">De conformidad con el artículo 198 de la Ley de Transparencia y Acceso a la </w:t>
      </w:r>
      <w:r w:rsidRPr="00FB571A">
        <w:rPr>
          <w:rFonts w:ascii="Palatino Linotype" w:hAnsi="Palatino Linotype" w:cs="Tahoma"/>
          <w:iCs/>
          <w:sz w:val="22"/>
          <w:szCs w:val="22"/>
        </w:rPr>
        <w:lastRenderedPageBreak/>
        <w:t>Información Pública del Estado de México y Municipios, de considerarlo procedente, el Sujeto Obligado de manera fundada y motivada, podrá solicitar una ampliación de plazo para el cumplimiento de la presente resolución.</w:t>
      </w:r>
    </w:p>
    <w:p w14:paraId="3718CE99" w14:textId="77777777" w:rsidR="005D4660" w:rsidRPr="00FB571A" w:rsidRDefault="005D4660" w:rsidP="005D4660">
      <w:pPr>
        <w:spacing w:line="360" w:lineRule="auto"/>
        <w:contextualSpacing/>
        <w:jc w:val="both"/>
        <w:rPr>
          <w:rFonts w:ascii="Palatino Linotype" w:eastAsia="Calibri" w:hAnsi="Palatino Linotype" w:cs="Tahoma"/>
          <w:color w:val="000000"/>
          <w:sz w:val="22"/>
          <w:szCs w:val="22"/>
          <w:lang w:val="es-ES" w:eastAsia="es-MX"/>
        </w:rPr>
      </w:pPr>
    </w:p>
    <w:p w14:paraId="4DBA84B2" w14:textId="77777777" w:rsidR="005D4660" w:rsidRPr="00FB571A" w:rsidRDefault="005D4660" w:rsidP="005D4660">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07817496" w14:textId="77777777" w:rsidR="005D4660" w:rsidRPr="00FB571A" w:rsidRDefault="005D4660" w:rsidP="005D4660">
      <w:pPr>
        <w:spacing w:line="360" w:lineRule="auto"/>
        <w:contextualSpacing/>
        <w:jc w:val="both"/>
        <w:rPr>
          <w:rFonts w:ascii="Palatino Linotype" w:hAnsi="Palatino Linotype" w:cs="Tahoma"/>
          <w:color w:val="000000" w:themeColor="text1"/>
          <w:sz w:val="22"/>
          <w:szCs w:val="22"/>
        </w:rPr>
      </w:pPr>
    </w:p>
    <w:p w14:paraId="0C6262C1" w14:textId="15944FB8" w:rsidR="00803E3D" w:rsidRDefault="00803E3D" w:rsidP="00FF426B">
      <w:pPr>
        <w:spacing w:line="360" w:lineRule="auto"/>
        <w:contextualSpacing/>
        <w:jc w:val="both"/>
        <w:rPr>
          <w:rFonts w:ascii="Palatino Linotype" w:hAnsi="Palatino Linotype" w:cs="Tahoma"/>
          <w:sz w:val="22"/>
          <w:szCs w:val="22"/>
          <w:lang w:eastAsia="es-MX"/>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76289D">
        <w:rPr>
          <w:rFonts w:ascii="Palatino Linotype" w:hAnsi="Palatino Linotype" w:cs="Tahoma"/>
          <w:sz w:val="22"/>
          <w:szCs w:val="22"/>
          <w:lang w:eastAsia="es-MX"/>
        </w:rPr>
        <w:t>SEGUNDA</w:t>
      </w:r>
      <w:r w:rsidR="00D730C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76289D">
        <w:rPr>
          <w:rFonts w:ascii="Palatino Linotype" w:hAnsi="Palatino Linotype" w:cs="Tahoma"/>
          <w:sz w:val="22"/>
          <w:szCs w:val="22"/>
          <w:lang w:eastAsia="es-MX"/>
        </w:rPr>
        <w:t xml:space="preserve">VEINTIUNO </w:t>
      </w:r>
      <w:r w:rsidR="00EA21B5">
        <w:rPr>
          <w:rFonts w:ascii="Palatino Linotype" w:hAnsi="Palatino Linotype" w:cs="Tahoma"/>
          <w:sz w:val="22"/>
          <w:szCs w:val="22"/>
          <w:lang w:eastAsia="es-MX"/>
        </w:rPr>
        <w:t xml:space="preserve">DE ENERO </w:t>
      </w:r>
      <w:r w:rsidR="00B73D51" w:rsidRPr="00FB571A">
        <w:rPr>
          <w:rFonts w:ascii="Palatino Linotype" w:hAnsi="Palatino Linotype" w:cs="Tahoma"/>
          <w:sz w:val="22"/>
          <w:szCs w:val="22"/>
          <w:lang w:eastAsia="es-MX"/>
        </w:rPr>
        <w:t xml:space="preserve">DE DOS MIL </w:t>
      </w:r>
      <w:r w:rsidR="00EA21B5">
        <w:rPr>
          <w:rFonts w:ascii="Palatino Linotype" w:hAnsi="Palatino Linotype" w:cs="Tahoma"/>
          <w:sz w:val="22"/>
          <w:szCs w:val="22"/>
          <w:lang w:eastAsia="es-MX"/>
        </w:rPr>
        <w:t>VEINTISÉIS</w:t>
      </w:r>
      <w:r w:rsidRPr="00FB571A">
        <w:rPr>
          <w:rFonts w:ascii="Palatino Linotype" w:hAnsi="Palatino Linotype" w:cs="Tahoma"/>
          <w:sz w:val="22"/>
          <w:szCs w:val="22"/>
          <w:lang w:eastAsia="es-MX"/>
        </w:rPr>
        <w:t>, ANTE EL SECRETARIO TÉCNICO DEL PLENO, ALEXIS TAPIA RAMÍREZ.</w:t>
      </w:r>
    </w:p>
    <w:p w14:paraId="35734BCC" w14:textId="77777777" w:rsidR="00163BAA" w:rsidRDefault="00163BAA" w:rsidP="00FF426B">
      <w:pPr>
        <w:spacing w:line="360" w:lineRule="auto"/>
        <w:contextualSpacing/>
        <w:jc w:val="both"/>
        <w:rPr>
          <w:rFonts w:ascii="Palatino Linotype" w:hAnsi="Palatino Linotype" w:cs="Tahoma"/>
          <w:sz w:val="22"/>
          <w:szCs w:val="22"/>
        </w:rPr>
      </w:pPr>
    </w:p>
    <w:p w14:paraId="232FA81A" w14:textId="77777777" w:rsidR="00163BAA" w:rsidRDefault="00163BAA" w:rsidP="00FF426B">
      <w:pPr>
        <w:spacing w:line="360" w:lineRule="auto"/>
        <w:contextualSpacing/>
        <w:jc w:val="both"/>
        <w:rPr>
          <w:rFonts w:ascii="Palatino Linotype" w:hAnsi="Palatino Linotype" w:cs="Tahoma"/>
          <w:sz w:val="22"/>
          <w:szCs w:val="22"/>
        </w:rPr>
      </w:pPr>
    </w:p>
    <w:p w14:paraId="7650C2DC" w14:textId="77777777" w:rsidR="0089175F" w:rsidRDefault="0089175F" w:rsidP="00FF426B">
      <w:pPr>
        <w:spacing w:line="360" w:lineRule="auto"/>
        <w:contextualSpacing/>
        <w:jc w:val="both"/>
        <w:rPr>
          <w:rFonts w:ascii="Palatino Linotype" w:hAnsi="Palatino Linotype" w:cs="Tahoma"/>
          <w:sz w:val="22"/>
          <w:szCs w:val="22"/>
        </w:rPr>
      </w:pPr>
    </w:p>
    <w:p w14:paraId="135074D3" w14:textId="77777777" w:rsidR="0089175F" w:rsidRDefault="0089175F" w:rsidP="00FF426B">
      <w:pPr>
        <w:spacing w:line="360" w:lineRule="auto"/>
        <w:contextualSpacing/>
        <w:jc w:val="both"/>
        <w:rPr>
          <w:rFonts w:ascii="Palatino Linotype" w:hAnsi="Palatino Linotype" w:cs="Tahoma"/>
          <w:sz w:val="22"/>
          <w:szCs w:val="22"/>
        </w:rPr>
      </w:pPr>
    </w:p>
    <w:p w14:paraId="109E82B8" w14:textId="77777777" w:rsidR="0089175F" w:rsidRDefault="0089175F" w:rsidP="00FF426B">
      <w:pPr>
        <w:spacing w:line="360" w:lineRule="auto"/>
        <w:contextualSpacing/>
        <w:jc w:val="both"/>
        <w:rPr>
          <w:rFonts w:ascii="Palatino Linotype" w:hAnsi="Palatino Linotype" w:cs="Tahoma"/>
          <w:sz w:val="22"/>
          <w:szCs w:val="22"/>
        </w:rPr>
      </w:pPr>
    </w:p>
    <w:p w14:paraId="2C098BEF" w14:textId="77777777" w:rsidR="0089175F" w:rsidRDefault="0089175F" w:rsidP="00FF426B">
      <w:pPr>
        <w:spacing w:line="360" w:lineRule="auto"/>
        <w:contextualSpacing/>
        <w:jc w:val="both"/>
        <w:rPr>
          <w:rFonts w:ascii="Palatino Linotype" w:hAnsi="Palatino Linotype" w:cs="Tahoma"/>
          <w:sz w:val="22"/>
          <w:szCs w:val="22"/>
        </w:rPr>
      </w:pPr>
    </w:p>
    <w:p w14:paraId="054A276B" w14:textId="77777777" w:rsidR="001F1A77" w:rsidRDefault="001F1A77" w:rsidP="00FF426B">
      <w:pPr>
        <w:spacing w:line="360" w:lineRule="auto"/>
        <w:contextualSpacing/>
        <w:jc w:val="both"/>
        <w:rPr>
          <w:rFonts w:ascii="Palatino Linotype" w:hAnsi="Palatino Linotype" w:cs="Tahoma"/>
          <w:sz w:val="22"/>
          <w:szCs w:val="22"/>
        </w:rPr>
      </w:pPr>
    </w:p>
    <w:p w14:paraId="08D6F450" w14:textId="77777777" w:rsidR="000B1059" w:rsidRDefault="000B1059" w:rsidP="00FF426B">
      <w:pPr>
        <w:spacing w:line="360" w:lineRule="auto"/>
        <w:contextualSpacing/>
        <w:jc w:val="both"/>
        <w:rPr>
          <w:rFonts w:ascii="Palatino Linotype" w:hAnsi="Palatino Linotype" w:cs="Tahoma"/>
          <w:sz w:val="22"/>
          <w:szCs w:val="22"/>
        </w:rPr>
      </w:pPr>
    </w:p>
    <w:p w14:paraId="39675CA2" w14:textId="77777777" w:rsidR="000B1059" w:rsidRDefault="000B1059" w:rsidP="00FF426B">
      <w:pPr>
        <w:spacing w:line="360" w:lineRule="auto"/>
        <w:contextualSpacing/>
        <w:jc w:val="both"/>
        <w:rPr>
          <w:rFonts w:ascii="Palatino Linotype" w:hAnsi="Palatino Linotype" w:cs="Tahoma"/>
          <w:sz w:val="22"/>
          <w:szCs w:val="22"/>
        </w:rPr>
      </w:pPr>
    </w:p>
    <w:p w14:paraId="4D5975D6" w14:textId="77777777" w:rsidR="000B1059" w:rsidRDefault="000B1059" w:rsidP="00FF426B">
      <w:pPr>
        <w:spacing w:line="360" w:lineRule="auto"/>
        <w:contextualSpacing/>
        <w:jc w:val="both"/>
        <w:rPr>
          <w:rFonts w:ascii="Palatino Linotype" w:hAnsi="Palatino Linotype" w:cs="Tahoma"/>
          <w:sz w:val="22"/>
          <w:szCs w:val="22"/>
        </w:rPr>
      </w:pPr>
    </w:p>
    <w:p w14:paraId="7C0A7B6A" w14:textId="77777777" w:rsidR="001F1A77" w:rsidRDefault="001F1A77" w:rsidP="00FF426B">
      <w:pPr>
        <w:spacing w:line="360" w:lineRule="auto"/>
        <w:contextualSpacing/>
        <w:jc w:val="both"/>
        <w:rPr>
          <w:rFonts w:ascii="Palatino Linotype" w:hAnsi="Palatino Linotype" w:cs="Tahoma"/>
          <w:sz w:val="22"/>
          <w:szCs w:val="22"/>
        </w:rPr>
      </w:pPr>
    </w:p>
    <w:p w14:paraId="392D8832" w14:textId="77777777" w:rsidR="001F1A77" w:rsidRDefault="001F1A77" w:rsidP="00FF426B">
      <w:pPr>
        <w:spacing w:line="360" w:lineRule="auto"/>
        <w:contextualSpacing/>
        <w:jc w:val="both"/>
        <w:rPr>
          <w:rFonts w:ascii="Palatino Linotype" w:hAnsi="Palatino Linotype" w:cs="Tahoma"/>
          <w:sz w:val="22"/>
          <w:szCs w:val="22"/>
        </w:rPr>
      </w:pPr>
    </w:p>
    <w:p w14:paraId="22CEB537" w14:textId="77777777" w:rsidR="001F1A77" w:rsidRDefault="001F1A77" w:rsidP="00FF426B">
      <w:pPr>
        <w:spacing w:line="360" w:lineRule="auto"/>
        <w:contextualSpacing/>
        <w:jc w:val="both"/>
        <w:rPr>
          <w:rFonts w:ascii="Palatino Linotype" w:hAnsi="Palatino Linotype" w:cs="Tahoma"/>
          <w:sz w:val="22"/>
          <w:szCs w:val="22"/>
        </w:rPr>
      </w:pPr>
    </w:p>
    <w:p w14:paraId="6F0ACAA8" w14:textId="77777777" w:rsidR="001F1A77" w:rsidRDefault="001F1A77" w:rsidP="00FF426B">
      <w:pPr>
        <w:spacing w:line="360" w:lineRule="auto"/>
        <w:contextualSpacing/>
        <w:jc w:val="both"/>
        <w:rPr>
          <w:rFonts w:ascii="Palatino Linotype" w:hAnsi="Palatino Linotype" w:cs="Tahoma"/>
          <w:sz w:val="22"/>
          <w:szCs w:val="22"/>
        </w:rPr>
      </w:pPr>
    </w:p>
    <w:p w14:paraId="0C0D7A68" w14:textId="77777777" w:rsidR="001F1A77" w:rsidRDefault="001F1A77" w:rsidP="00FF426B">
      <w:pPr>
        <w:spacing w:line="360" w:lineRule="auto"/>
        <w:contextualSpacing/>
        <w:jc w:val="both"/>
        <w:rPr>
          <w:rFonts w:ascii="Palatino Linotype" w:hAnsi="Palatino Linotype" w:cs="Tahoma"/>
          <w:sz w:val="22"/>
          <w:szCs w:val="22"/>
        </w:rPr>
      </w:pPr>
    </w:p>
    <w:p w14:paraId="7C1DA67E" w14:textId="77777777" w:rsidR="001F1A77" w:rsidRDefault="001F1A77" w:rsidP="00FF426B">
      <w:pPr>
        <w:spacing w:line="360" w:lineRule="auto"/>
        <w:contextualSpacing/>
        <w:jc w:val="both"/>
        <w:rPr>
          <w:rFonts w:ascii="Palatino Linotype" w:hAnsi="Palatino Linotype" w:cs="Tahoma"/>
          <w:sz w:val="22"/>
          <w:szCs w:val="22"/>
        </w:rPr>
      </w:pPr>
    </w:p>
    <w:p w14:paraId="18893141" w14:textId="77777777" w:rsidR="001F1A77" w:rsidRDefault="001F1A77" w:rsidP="00FF426B">
      <w:pPr>
        <w:spacing w:line="360" w:lineRule="auto"/>
        <w:contextualSpacing/>
        <w:jc w:val="both"/>
        <w:rPr>
          <w:rFonts w:ascii="Palatino Linotype" w:hAnsi="Palatino Linotype" w:cs="Tahoma"/>
          <w:sz w:val="22"/>
          <w:szCs w:val="22"/>
        </w:rPr>
      </w:pPr>
    </w:p>
    <w:p w14:paraId="6233394B" w14:textId="77777777" w:rsidR="001F1A77" w:rsidRPr="003A1DF0" w:rsidRDefault="001F1A77" w:rsidP="00FF426B">
      <w:pPr>
        <w:spacing w:line="360" w:lineRule="auto"/>
        <w:contextualSpacing/>
        <w:jc w:val="both"/>
        <w:rPr>
          <w:rFonts w:ascii="Palatino Linotype" w:hAnsi="Palatino Linotype" w:cs="Tahoma"/>
          <w:sz w:val="22"/>
          <w:szCs w:val="22"/>
        </w:rPr>
      </w:pPr>
    </w:p>
    <w:p w14:paraId="6229D24D"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8C2B4B">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F262D" w14:textId="77777777" w:rsidR="00B34D1C" w:rsidRDefault="00B34D1C" w:rsidP="00B31222">
      <w:r>
        <w:separator/>
      </w:r>
    </w:p>
  </w:endnote>
  <w:endnote w:type="continuationSeparator" w:id="0">
    <w:p w14:paraId="04A2EE03" w14:textId="77777777" w:rsidR="00B34D1C" w:rsidRDefault="00B34D1C" w:rsidP="00B31222">
      <w:r>
        <w:continuationSeparator/>
      </w:r>
    </w:p>
  </w:endnote>
  <w:endnote w:type="continuationNotice" w:id="1">
    <w:p w14:paraId="61E85B94" w14:textId="77777777" w:rsidR="00B34D1C" w:rsidRDefault="00B34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2796B72A"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2867">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2867">
              <w:rPr>
                <w:b/>
                <w:bCs/>
                <w:noProof/>
              </w:rPr>
              <w:t>31</w:t>
            </w:r>
            <w:r>
              <w:rPr>
                <w:b/>
                <w:bCs/>
                <w:sz w:val="24"/>
                <w:szCs w:val="24"/>
              </w:rPr>
              <w:fldChar w:fldCharType="end"/>
            </w:r>
          </w:p>
        </w:sdtContent>
      </w:sdt>
    </w:sdtContent>
  </w:sdt>
  <w:p w14:paraId="5BFD90A9" w14:textId="77777777" w:rsidR="0094768D" w:rsidRDefault="00947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26C36F6"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286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2867">
              <w:rPr>
                <w:b/>
                <w:bCs/>
                <w:noProof/>
              </w:rPr>
              <w:t>31</w:t>
            </w:r>
            <w:r>
              <w:rPr>
                <w:b/>
                <w:bCs/>
                <w:sz w:val="24"/>
                <w:szCs w:val="24"/>
              </w:rPr>
              <w:fldChar w:fldCharType="end"/>
            </w:r>
          </w:p>
        </w:sdtContent>
      </w:sdt>
    </w:sdtContent>
  </w:sdt>
  <w:p w14:paraId="0C853E48" w14:textId="77777777" w:rsidR="0094768D" w:rsidRDefault="00947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52BCD" w14:textId="77777777" w:rsidR="00B34D1C" w:rsidRDefault="00B34D1C" w:rsidP="00B31222">
      <w:r>
        <w:separator/>
      </w:r>
    </w:p>
  </w:footnote>
  <w:footnote w:type="continuationSeparator" w:id="0">
    <w:p w14:paraId="3C25CCAA" w14:textId="77777777" w:rsidR="00B34D1C" w:rsidRDefault="00B34D1C" w:rsidP="00B31222">
      <w:r>
        <w:continuationSeparator/>
      </w:r>
    </w:p>
  </w:footnote>
  <w:footnote w:type="continuationNotice" w:id="1">
    <w:p w14:paraId="7A60D825" w14:textId="77777777" w:rsidR="00B34D1C" w:rsidRDefault="00B34D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EA290" w14:textId="77777777" w:rsidR="0094768D" w:rsidRDefault="00B34D1C">
    <w:pPr>
      <w:pStyle w:val="Encabezado"/>
    </w:pPr>
    <w:r>
      <w:rPr>
        <w:noProof/>
        <w:lang w:eastAsia="es-MX"/>
      </w:rPr>
      <w:pict w14:anchorId="08428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768D" w:rsidRPr="005C106F" w14:paraId="38E3E265" w14:textId="77777777" w:rsidTr="00202DB8">
      <w:trPr>
        <w:trHeight w:val="1435"/>
      </w:trPr>
      <w:tc>
        <w:tcPr>
          <w:tcW w:w="2835" w:type="dxa"/>
          <w:shd w:val="clear" w:color="auto" w:fill="auto"/>
        </w:tcPr>
        <w:p w14:paraId="12DEE37D"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C029E0A" wp14:editId="0B75DA00">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BC9E870" w14:textId="77777777" w:rsidR="0094768D" w:rsidRDefault="0094768D"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5AF3B7ED" w14:textId="77777777" w:rsidTr="00DF3BE8">
            <w:trPr>
              <w:trHeight w:val="144"/>
            </w:trPr>
            <w:tc>
              <w:tcPr>
                <w:tcW w:w="2589" w:type="dxa"/>
              </w:tcPr>
              <w:p w14:paraId="5BE6C2BD"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EC9B363" w14:textId="5CCA8C0E" w:rsidR="0094768D" w:rsidRPr="00431A70" w:rsidRDefault="0044216D"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13</w:t>
                </w:r>
                <w:r w:rsidR="00F16C86">
                  <w:rPr>
                    <w:rFonts w:ascii="Palatino Linotype" w:eastAsia="Calibri" w:hAnsi="Palatino Linotype" w:cs="Tahoma"/>
                    <w:b/>
                    <w:bCs/>
                    <w:sz w:val="22"/>
                    <w:szCs w:val="22"/>
                    <w:lang w:val="es-MX" w:eastAsia="en-US"/>
                  </w:rPr>
                  <w:t>851</w:t>
                </w:r>
                <w:r w:rsidR="0094768D" w:rsidRPr="001A412B">
                  <w:rPr>
                    <w:rFonts w:ascii="Palatino Linotype" w:eastAsia="Calibri" w:hAnsi="Palatino Linotype" w:cs="Tahoma"/>
                    <w:b/>
                    <w:bCs/>
                    <w:sz w:val="22"/>
                    <w:szCs w:val="22"/>
                    <w:lang w:val="es-MX" w:eastAsia="en-US"/>
                  </w:rPr>
                  <w:t>/INFOEM/IP/RR/202</w:t>
                </w:r>
                <w:r w:rsidR="0094768D">
                  <w:rPr>
                    <w:rFonts w:ascii="Palatino Linotype" w:eastAsia="Calibri" w:hAnsi="Palatino Linotype" w:cs="Tahoma"/>
                    <w:b/>
                    <w:bCs/>
                    <w:sz w:val="22"/>
                    <w:szCs w:val="22"/>
                    <w:lang w:val="es-MX" w:eastAsia="en-US"/>
                  </w:rPr>
                  <w:t>5</w:t>
                </w:r>
              </w:p>
            </w:tc>
          </w:tr>
          <w:tr w:rsidR="0094768D" w14:paraId="090370AB" w14:textId="77777777" w:rsidTr="00DF3BE8">
            <w:trPr>
              <w:trHeight w:val="283"/>
            </w:trPr>
            <w:tc>
              <w:tcPr>
                <w:tcW w:w="2589" w:type="dxa"/>
              </w:tcPr>
              <w:p w14:paraId="52E3EC91"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CF75EFB" w14:textId="28E10181" w:rsidR="0094768D" w:rsidRPr="005F13CF" w:rsidRDefault="00F16C86"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94768D" w14:paraId="5042E026" w14:textId="77777777" w:rsidTr="00DF3BE8">
            <w:trPr>
              <w:trHeight w:val="283"/>
            </w:trPr>
            <w:tc>
              <w:tcPr>
                <w:tcW w:w="2589" w:type="dxa"/>
              </w:tcPr>
              <w:p w14:paraId="64060D69"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73D6550"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96484AD"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309E02F3"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1971066C"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768D" w:rsidRPr="00330DA7" w14:paraId="7D7A9050" w14:textId="77777777" w:rsidTr="003B165A">
      <w:trPr>
        <w:trHeight w:val="1435"/>
      </w:trPr>
      <w:tc>
        <w:tcPr>
          <w:tcW w:w="2835" w:type="dxa"/>
          <w:shd w:val="clear" w:color="auto" w:fill="auto"/>
        </w:tcPr>
        <w:p w14:paraId="02278008"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338E8EC" wp14:editId="794C850A">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306FC86D" w14:textId="77777777" w:rsidTr="00DF3BE8">
            <w:trPr>
              <w:trHeight w:val="144"/>
            </w:trPr>
            <w:tc>
              <w:tcPr>
                <w:tcW w:w="2589" w:type="dxa"/>
              </w:tcPr>
              <w:p w14:paraId="40675A52"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800C419" w14:textId="4A39953C" w:rsidR="0094768D" w:rsidRPr="00431A70" w:rsidRDefault="00F16C86"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13851</w:t>
                </w:r>
                <w:r w:rsidR="0094768D">
                  <w:rPr>
                    <w:rFonts w:ascii="Palatino Linotype" w:eastAsia="Calibri" w:hAnsi="Palatino Linotype" w:cs="Tahoma"/>
                    <w:b/>
                    <w:bCs/>
                    <w:sz w:val="22"/>
                    <w:szCs w:val="22"/>
                    <w:lang w:val="es-MX" w:eastAsia="en-US"/>
                  </w:rPr>
                  <w:t>/INFOEM/IP/RR/2025</w:t>
                </w:r>
              </w:p>
            </w:tc>
          </w:tr>
          <w:tr w:rsidR="0094768D" w:rsidRPr="00286D0C" w14:paraId="5115D00B" w14:textId="77777777" w:rsidTr="00DF3BE8">
            <w:trPr>
              <w:trHeight w:val="144"/>
            </w:trPr>
            <w:tc>
              <w:tcPr>
                <w:tcW w:w="2589" w:type="dxa"/>
              </w:tcPr>
              <w:p w14:paraId="4B68D32A"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0F79DCBC" w14:textId="1E1EFE68"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6AFCC206" w14:textId="77777777" w:rsidTr="00DF3BE8">
            <w:trPr>
              <w:trHeight w:val="283"/>
            </w:trPr>
            <w:tc>
              <w:tcPr>
                <w:tcW w:w="2589" w:type="dxa"/>
              </w:tcPr>
              <w:p w14:paraId="4CDB153B"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BCA4D1B" w14:textId="02D829D4" w:rsidR="0094768D" w:rsidRPr="005F13CF" w:rsidRDefault="00F16C86"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94768D" w:rsidRPr="00431A70" w14:paraId="5A019776" w14:textId="77777777" w:rsidTr="00DF3BE8">
            <w:trPr>
              <w:trHeight w:val="283"/>
            </w:trPr>
            <w:tc>
              <w:tcPr>
                <w:tcW w:w="2589" w:type="dxa"/>
              </w:tcPr>
              <w:p w14:paraId="7DAC4960"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587E8FA"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A1C5F24"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61FF3BA8"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5"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2FCB"/>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A85"/>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634"/>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EBB"/>
    <w:rsid w:val="000943DD"/>
    <w:rsid w:val="0009514D"/>
    <w:rsid w:val="00095361"/>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2C0C"/>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2B9"/>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6833"/>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772"/>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67"/>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39D8"/>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039"/>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47D8"/>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216D"/>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265"/>
    <w:rsid w:val="00487430"/>
    <w:rsid w:val="00487710"/>
    <w:rsid w:val="0049115D"/>
    <w:rsid w:val="00491430"/>
    <w:rsid w:val="00491A4E"/>
    <w:rsid w:val="00492125"/>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B7FB5"/>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448"/>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690"/>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2177"/>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D3D"/>
    <w:rsid w:val="0069383E"/>
    <w:rsid w:val="00693C8E"/>
    <w:rsid w:val="00693E63"/>
    <w:rsid w:val="00694912"/>
    <w:rsid w:val="00694A75"/>
    <w:rsid w:val="00694E36"/>
    <w:rsid w:val="0069524C"/>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011"/>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5C1E"/>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9D"/>
    <w:rsid w:val="007628DA"/>
    <w:rsid w:val="00762E28"/>
    <w:rsid w:val="00762FA4"/>
    <w:rsid w:val="00763CE8"/>
    <w:rsid w:val="00764733"/>
    <w:rsid w:val="007648CF"/>
    <w:rsid w:val="00765BD5"/>
    <w:rsid w:val="00765E07"/>
    <w:rsid w:val="007660BA"/>
    <w:rsid w:val="007666A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780"/>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5E85"/>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691"/>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4ADD"/>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069"/>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DE6"/>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4D1C"/>
    <w:rsid w:val="00B355E7"/>
    <w:rsid w:val="00B36AEA"/>
    <w:rsid w:val="00B36FE9"/>
    <w:rsid w:val="00B406E3"/>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52"/>
    <w:rsid w:val="00B541CB"/>
    <w:rsid w:val="00B5423C"/>
    <w:rsid w:val="00B5495A"/>
    <w:rsid w:val="00B54AAB"/>
    <w:rsid w:val="00B54CBD"/>
    <w:rsid w:val="00B553BA"/>
    <w:rsid w:val="00B55A03"/>
    <w:rsid w:val="00B57560"/>
    <w:rsid w:val="00B57690"/>
    <w:rsid w:val="00B577A3"/>
    <w:rsid w:val="00B610B5"/>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A2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069F"/>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1A6"/>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329"/>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322"/>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E34"/>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378"/>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17FC2"/>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4A8D"/>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0C8"/>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1FD"/>
    <w:rsid w:val="00D925A8"/>
    <w:rsid w:val="00D92FF3"/>
    <w:rsid w:val="00D930D2"/>
    <w:rsid w:val="00D937B8"/>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9BF"/>
    <w:rsid w:val="00DA7BA0"/>
    <w:rsid w:val="00DA7C37"/>
    <w:rsid w:val="00DA7D03"/>
    <w:rsid w:val="00DB132B"/>
    <w:rsid w:val="00DB15D7"/>
    <w:rsid w:val="00DB28B1"/>
    <w:rsid w:val="00DB2D09"/>
    <w:rsid w:val="00DB3319"/>
    <w:rsid w:val="00DB3A68"/>
    <w:rsid w:val="00DB400B"/>
    <w:rsid w:val="00DB42EB"/>
    <w:rsid w:val="00DB42F5"/>
    <w:rsid w:val="00DB436C"/>
    <w:rsid w:val="00DB43A2"/>
    <w:rsid w:val="00DB44D6"/>
    <w:rsid w:val="00DB469A"/>
    <w:rsid w:val="00DB50B8"/>
    <w:rsid w:val="00DB52C3"/>
    <w:rsid w:val="00DB5454"/>
    <w:rsid w:val="00DB58A5"/>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D6F"/>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E4D"/>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6C65"/>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244"/>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1B5"/>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1B6"/>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4693"/>
    <w:rsid w:val="00F1602E"/>
    <w:rsid w:val="00F160C8"/>
    <w:rsid w:val="00F1684C"/>
    <w:rsid w:val="00F16C86"/>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1D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5D2"/>
    <w:rsid w:val="00FE3F8B"/>
    <w:rsid w:val="00FE524D"/>
    <w:rsid w:val="00FE6290"/>
    <w:rsid w:val="00FE663A"/>
    <w:rsid w:val="00FE6757"/>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D57063"/>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UnresolvedMention">
    <w:name w:val="Unresolved Mention"/>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42849314">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3744721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48940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yperlink" Target="http://dof.gob.mx/nota_detalle.php?codigo=5492254&amp;fecha=28/07/201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ADNoticiasMex/status/19734292303408622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2.toluca.gob.mx/en-total-transparencia-aprueba-cabildo-licencia-temporal-al-alcalde-ricardo-moren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03054-6AC7-42E0-B958-5466915C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7991</Words>
  <Characters>43956</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2026-01-23T16:33:00Z</cp:lastPrinted>
  <dcterms:created xsi:type="dcterms:W3CDTF">2026-01-23T16:33:00Z</dcterms:created>
  <dcterms:modified xsi:type="dcterms:W3CDTF">2026-01-23T16:33:00Z</dcterms:modified>
</cp:coreProperties>
</file>