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3A7" w:rsidRDefault="00593181" w:rsidP="00E12A85">
      <w:pPr>
        <w:spacing w:before="240" w:after="240" w:line="360" w:lineRule="auto"/>
        <w:ind w:right="-28"/>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00E12A85">
        <w:rPr>
          <w:rFonts w:ascii="Palatino Linotype" w:eastAsia="Palatino Linotype" w:hAnsi="Palatino Linotype" w:cs="Palatino Linotype"/>
          <w:b/>
          <w:bCs/>
        </w:rPr>
        <w:t xml:space="preserve">fecha uno </w:t>
      </w:r>
      <w:r w:rsidR="00E92212">
        <w:rPr>
          <w:rFonts w:ascii="Palatino Linotype" w:eastAsia="Palatino Linotype" w:hAnsi="Palatino Linotype" w:cs="Palatino Linotype"/>
          <w:b/>
          <w:bCs/>
        </w:rPr>
        <w:t xml:space="preserve">(01) </w:t>
      </w:r>
      <w:r w:rsidR="00E12A85">
        <w:rPr>
          <w:rFonts w:ascii="Palatino Linotype" w:eastAsia="Palatino Linotype" w:hAnsi="Palatino Linotype" w:cs="Palatino Linotype"/>
          <w:b/>
          <w:bCs/>
        </w:rPr>
        <w:t>de jul</w:t>
      </w:r>
      <w:r>
        <w:rPr>
          <w:rFonts w:ascii="Palatino Linotype" w:eastAsia="Palatino Linotype" w:hAnsi="Palatino Linotype" w:cs="Palatino Linotype"/>
          <w:b/>
          <w:bCs/>
        </w:rPr>
        <w:t>io de dos mil veintiséis.</w:t>
      </w:r>
    </w:p>
    <w:p w:rsidR="001E53A7" w:rsidRDefault="00593181" w:rsidP="00E12A85">
      <w:pPr>
        <w:pBdr>
          <w:top w:val="nil"/>
          <w:left w:val="nil"/>
          <w:bottom w:val="nil"/>
          <w:right w:val="nil"/>
          <w:between w:val="nil"/>
        </w:pBdr>
        <w:tabs>
          <w:tab w:val="center" w:pos="4419"/>
          <w:tab w:val="right" w:pos="8838"/>
        </w:tabs>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VISTO el</w:t>
      </w:r>
      <w:r>
        <w:rPr>
          <w:rFonts w:ascii="Palatino Linotype" w:eastAsia="Palatino Linotype" w:hAnsi="Palatino Linotype" w:cs="Palatino Linotype"/>
          <w:color w:val="000000"/>
        </w:rPr>
        <w:t xml:space="preserve"> expediente electrónico formado con motivo del recurso de revisión </w:t>
      </w:r>
      <w:r>
        <w:rPr>
          <w:rFonts w:ascii="Palatino Linotype" w:eastAsia="Palatino Linotype" w:hAnsi="Palatino Linotype" w:cs="Palatino Linotype"/>
          <w:b/>
          <w:bCs/>
          <w:color w:val="000000"/>
        </w:rPr>
        <w:t xml:space="preserve">01668/INFOEM/IP/RR/2026, </w:t>
      </w:r>
      <w:r>
        <w:rPr>
          <w:rFonts w:ascii="Palatino Linotype" w:eastAsia="Palatino Linotype" w:hAnsi="Palatino Linotype" w:cs="Palatino Linotype"/>
          <w:color w:val="000000"/>
        </w:rPr>
        <w:t xml:space="preserve">promovido por un </w:t>
      </w:r>
      <w:r>
        <w:rPr>
          <w:rFonts w:ascii="Palatino Linotype" w:eastAsia="Palatino Linotype" w:hAnsi="Palatino Linotype" w:cs="Palatino Linotype"/>
        </w:rPr>
        <w:t>usuario</w:t>
      </w:r>
      <w:r>
        <w:rPr>
          <w:rFonts w:ascii="Palatino Linotype" w:eastAsia="Palatino Linotype" w:hAnsi="Palatino Linotype" w:cs="Palatino Linotype"/>
          <w:color w:val="000000"/>
        </w:rPr>
        <w:t xml:space="preserve"> q</w:t>
      </w:r>
      <w:r>
        <w:rPr>
          <w:rFonts w:ascii="Palatino Linotype" w:eastAsia="Palatino Linotype" w:hAnsi="Palatino Linotype" w:cs="Palatino Linotype"/>
        </w:rPr>
        <w:t xml:space="preserve">ue se registró como </w:t>
      </w:r>
      <w:r w:rsidR="00984F32">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 xml:space="preserve">, en su calidad de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en contra de la respuesta del </w:t>
      </w:r>
      <w:r>
        <w:rPr>
          <w:rFonts w:ascii="Palatino Linotype" w:eastAsia="Palatino Linotype" w:hAnsi="Palatino Linotype" w:cs="Palatino Linotype"/>
          <w:b/>
          <w:bCs/>
          <w:color w:val="000000"/>
        </w:rPr>
        <w:t>Instituto de Seguridad Social del Estado de México y Municipios</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lo sucesivo el</w:t>
      </w:r>
      <w:r>
        <w:rPr>
          <w:rFonts w:ascii="Palatino Linotype" w:eastAsia="Palatino Linotype" w:hAnsi="Palatino Linotype" w:cs="Palatino Linotype"/>
          <w:b/>
          <w:bCs/>
          <w:color w:val="000000"/>
        </w:rPr>
        <w:t xml:space="preserve"> SUJETO OBLIGADO, </w:t>
      </w:r>
      <w:r>
        <w:rPr>
          <w:rFonts w:ascii="Palatino Linotype" w:eastAsia="Palatino Linotype" w:hAnsi="Palatino Linotype" w:cs="Palatino Linotype"/>
          <w:color w:val="000000"/>
        </w:rPr>
        <w:t>se procede a dictar la presente resolución, con base en los siguientes:</w:t>
      </w:r>
    </w:p>
    <w:p w:rsidR="00E92212" w:rsidRDefault="00E92212" w:rsidP="00E12A85">
      <w:pPr>
        <w:pBdr>
          <w:top w:val="nil"/>
          <w:left w:val="nil"/>
          <w:bottom w:val="nil"/>
          <w:right w:val="nil"/>
          <w:between w:val="nil"/>
        </w:pBdr>
        <w:tabs>
          <w:tab w:val="center" w:pos="4419"/>
          <w:tab w:val="right" w:pos="8838"/>
        </w:tabs>
        <w:spacing w:line="360" w:lineRule="auto"/>
        <w:ind w:right="-28"/>
        <w:jc w:val="both"/>
        <w:rPr>
          <w:rFonts w:ascii="Palatino Linotype" w:eastAsia="Palatino Linotype" w:hAnsi="Palatino Linotype" w:cs="Palatino Linotype"/>
          <w:color w:val="000000"/>
        </w:rPr>
      </w:pPr>
    </w:p>
    <w:p w:rsidR="001E53A7" w:rsidRDefault="00593181" w:rsidP="00E12A85">
      <w:pPr>
        <w:pStyle w:val="Ttulo1"/>
        <w:ind w:right="-28"/>
        <w:jc w:val="center"/>
        <w:rPr>
          <w:rFonts w:ascii="Palatino Linotype" w:eastAsia="Palatino Linotype" w:hAnsi="Palatino Linotype" w:cs="Palatino Linotype"/>
          <w:b/>
          <w:bCs/>
          <w:color w:val="000000"/>
          <w:sz w:val="24"/>
          <w:szCs w:val="24"/>
        </w:rPr>
      </w:pPr>
      <w:bookmarkStart w:id="0" w:name="_heading=h.is473qm7zap" w:colFirst="0" w:colLast="0"/>
      <w:bookmarkEnd w:id="0"/>
      <w:r>
        <w:rPr>
          <w:rFonts w:ascii="Palatino Linotype" w:eastAsia="Palatino Linotype" w:hAnsi="Palatino Linotype" w:cs="Palatino Linotype"/>
          <w:b/>
          <w:bCs/>
          <w:color w:val="000000"/>
          <w:sz w:val="24"/>
          <w:szCs w:val="24"/>
        </w:rPr>
        <w:t>A N T E C E D E N T E S</w:t>
      </w:r>
    </w:p>
    <w:p w:rsidR="001E53A7" w:rsidRDefault="001E53A7" w:rsidP="00E12A85">
      <w:pPr>
        <w:ind w:right="-28"/>
        <w:rPr>
          <w:rFonts w:ascii="Palatino Linotype" w:eastAsia="Palatino Linotype" w:hAnsi="Palatino Linotype" w:cs="Palatino Linotype"/>
        </w:rPr>
      </w:pP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doce de enero de dos mil veintiséis,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presentó</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 través del Sistema de Acceso a la Información Mexiquense (SAIMEX), la solicitud de información pública registrada con el número </w:t>
      </w:r>
      <w:r>
        <w:rPr>
          <w:rFonts w:ascii="Palatino Linotype" w:eastAsia="Palatino Linotype" w:hAnsi="Palatino Linotype" w:cs="Palatino Linotype"/>
          <w:b/>
          <w:bCs/>
          <w:color w:val="000000"/>
        </w:rPr>
        <w:t xml:space="preserve">00015/ISSEMYM/IP/2026, </w:t>
      </w:r>
      <w:r>
        <w:rPr>
          <w:rFonts w:ascii="Palatino Linotype" w:eastAsia="Palatino Linotype" w:hAnsi="Palatino Linotype" w:cs="Palatino Linotype"/>
        </w:rPr>
        <w:t xml:space="preserve">en la que se </w:t>
      </w:r>
      <w:r>
        <w:rPr>
          <w:rFonts w:ascii="Palatino Linotype" w:eastAsia="Palatino Linotype" w:hAnsi="Palatino Linotype" w:cs="Palatino Linotype"/>
          <w:color w:val="000000"/>
        </w:rPr>
        <w:t>solicitó lo siguiente:</w:t>
      </w:r>
    </w:p>
    <w:p w:rsidR="001E53A7" w:rsidRDefault="001E53A7" w:rsidP="00E12A85">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1E53A7" w:rsidRDefault="00593181" w:rsidP="00E12A85">
      <w:pPr>
        <w:pBdr>
          <w:top w:val="nil"/>
          <w:left w:val="nil"/>
          <w:bottom w:val="nil"/>
          <w:right w:val="nil"/>
          <w:between w:val="nil"/>
        </w:pBdr>
        <w:spacing w:line="360" w:lineRule="auto"/>
        <w:ind w:left="567"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“Puesto nominal y puesto funcional de los Servdores publicos actualemnte adscritos al departamento contencioso administrativo de la unidad juirico y consultiva y de equidad de genero de ese instituto. Puesto nominal y puesto funcional de los Servdores publicos adscritos al departamento contencioso administrativo de la unidad juirico y consultiva y de equidad de genero de ese instituto, en los años 2022 y 2023. Cantidad de juicios de amparo indirecto en materia administrativa a los que fue emplazado el instituto en el año 2023 donde el acto reclamado sea la </w:t>
      </w:r>
      <w:r>
        <w:rPr>
          <w:rFonts w:ascii="Palatino Linotype" w:eastAsia="Palatino Linotype" w:hAnsi="Palatino Linotype" w:cs="Palatino Linotype"/>
          <w:i/>
          <w:iCs/>
          <w:color w:val="000000"/>
        </w:rPr>
        <w:lastRenderedPageBreak/>
        <w:t xml:space="preserve">omision de dar respuesta a solicitud de pension en cada una de las modalidades de pension previstas por la ley de seguridad social del estado de mexico y municipios vigente. Cantidad de juicios de amparo indirecto en materia administrativa a los que fue emplazado el instituto en el año 2024 donde el acto reclamado sea la omision de dar respuesta a solicitud de pension en cada una de las modalidades de pension previstas por la ley de seguridad social del estado de mexico y municipios vigente. Cantidad de juicios de amparo indirecto en materia administrativa a los que fue emplazado el instituto en el año 2023 donde el acto reclamado sea la omision de dar respuesta a solicitud de pago pension en cada una de las modalidades de pension previstas por la ley de seguridad social del estado de mexico y municipios vigente. Cantidad de juicios de amparo indirecto en materia administrativa a los que fue emplazado el instituto en el año 2024 donde el acto reclamado sea la omision de dar respuesta a solicitud de pago de pension en cada una de las modalidades de pension previstas por la ley de seguridad social del estado de mexico y municipios vigente. Cantidad de sentencias de amparo donde se otorga el amparo y proteccion de la justicia federal al quejoso en juicios de amparo indirecto en materia administrativa a los que fue emplazado el instituto en el año 2023 donde el acto reclamado sea la omision de dar respuesta a solicitud de pension en cada una de las modalidades de pension previstas por la ley de seguridad social del estado de mexico y municipios vigente. Cantidad de sentencias de amparo donde se otorga el amparo y proteccion de la justicia federal al quejoso en juicios de amparo indirecto en materia administrativa a los que fue emplazado el instituto en el año 2024 donde el acto reclamado sea la omision de dar respuesta a solicitud de pension en cada una de las modalidades de pension previstas por la ley de seguridad social del estado de mexico y municipios vigente. Cantidad de recursos de revision interpuestos por los servidores adscritos al departamento contencioso adminsitrativo de la unidad juridica y consultiva y de equidad de genero de ese instituto en contra de sentencias de amparo donde se </w:t>
      </w:r>
      <w:r>
        <w:rPr>
          <w:rFonts w:ascii="Palatino Linotype" w:eastAsia="Palatino Linotype" w:hAnsi="Palatino Linotype" w:cs="Palatino Linotype"/>
          <w:i/>
          <w:iCs/>
          <w:color w:val="000000"/>
        </w:rPr>
        <w:lastRenderedPageBreak/>
        <w:t>otorga el amparo y proteccion de la justicia federal al quejoso en juicios de amparo indirecto en materia administrativa a los que fue emplazado el instituto en el año 2023 donde el acto reclamado sea la omision de dar respuesta a solicitus de pension en cada una de las modalidades de pension previstas por la ley de seguridad social del estado de mexico y municipios vigente. Cantidad de recursos de revision interpuestos por los servidores adscritos al departamento contencioso adminsitrativo de la unidad juridica y consultiva y de equidad de genero de ese instituto en contra de sentencias de amparo donde se otorga el amparo y proteccion de la justicia federal al quejoso en juicios de amparo indirecto en materia administrativa a los que fue emplazado el instituto en el año 2024 donde el acto reclamado sea la omision de dar respuesta a solicitud de pension en cada una de las modalidades de pension previstas por la ley de seguridad social del estado de mexico y municipios vigente. En cuantos juicios de amparo indirecto en materia administrativa donde se otorgó el amparo y proteccion de la justicia federal al quejoso se interpuso recurso de revision en contra de dicha sentencia. Cual es el procedimiento interno una vez que se recibe el emplazamiento a juicio de amparo indirecto en contra del Issemym hasta su conclusion.”</w:t>
      </w:r>
    </w:p>
    <w:p w:rsidR="001E53A7" w:rsidRDefault="001E53A7" w:rsidP="00E12A85">
      <w:pPr>
        <w:ind w:right="-28"/>
        <w:rPr>
          <w:rFonts w:ascii="Palatino Linotype" w:eastAsia="Palatino Linotype" w:hAnsi="Palatino Linotype" w:cs="Palatino Linotype"/>
        </w:rPr>
      </w:pP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doce de enero de dos mil veintiséis</w:t>
      </w:r>
      <w:r>
        <w:rPr>
          <w:rFonts w:ascii="Palatino Linotype" w:eastAsia="Palatino Linotype" w:hAnsi="Palatino Linotype" w:cs="Palatino Linotype"/>
          <w:color w:val="000000"/>
        </w:rPr>
        <w:t xml:space="preserve">, se realizó un requerimiento de información al servidor público habilitado. </w:t>
      </w:r>
    </w:p>
    <w:p w:rsidR="001E53A7" w:rsidRDefault="001E53A7" w:rsidP="00E12A85">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tres de febrero de dos mil veintiséis</w:t>
      </w:r>
      <w:r>
        <w:rPr>
          <w:rFonts w:ascii="Palatino Linotype" w:eastAsia="Palatino Linotype" w:hAnsi="Palatino Linotype" w:cs="Palatino Linotype"/>
          <w:color w:val="000000"/>
        </w:rPr>
        <w:t>, el Sujeto Obligado dio respuesta a la solicitud, en los siguientes términos:</w:t>
      </w:r>
    </w:p>
    <w:p w:rsidR="001E53A7" w:rsidRDefault="001E53A7" w:rsidP="00E12A85">
      <w:pPr>
        <w:pBdr>
          <w:top w:val="nil"/>
          <w:left w:val="nil"/>
          <w:bottom w:val="nil"/>
          <w:right w:val="nil"/>
          <w:between w:val="nil"/>
        </w:pBdr>
        <w:ind w:left="720" w:right="-28"/>
        <w:rPr>
          <w:rFonts w:ascii="Palatino Linotype" w:eastAsia="Palatino Linotype" w:hAnsi="Palatino Linotype" w:cs="Palatino Linotype"/>
          <w:color w:val="000000"/>
        </w:rPr>
      </w:pPr>
    </w:p>
    <w:tbl>
      <w:tblPr>
        <w:tblStyle w:val="a"/>
        <w:tblW w:w="8080" w:type="dxa"/>
        <w:jc w:val="center"/>
        <w:tblInd w:w="0" w:type="dxa"/>
        <w:tblLayout w:type="fixed"/>
        <w:tblLook w:val="0400" w:firstRow="0" w:lastRow="0" w:firstColumn="0" w:lastColumn="0" w:noHBand="0" w:noVBand="1"/>
      </w:tblPr>
      <w:tblGrid>
        <w:gridCol w:w="8080"/>
      </w:tblGrid>
      <w:tr w:rsidR="001E53A7" w:rsidTr="00984F32">
        <w:trPr>
          <w:trHeight w:val="297"/>
          <w:jc w:val="center"/>
        </w:trPr>
        <w:tc>
          <w:tcPr>
            <w:tcW w:w="8080" w:type="dxa"/>
            <w:vAlign w:val="center"/>
          </w:tcPr>
          <w:p w:rsidR="001E53A7" w:rsidRDefault="00593181" w:rsidP="00984F32">
            <w:pPr>
              <w:ind w:right="142"/>
              <w:jc w:val="right"/>
              <w:rPr>
                <w:rFonts w:ascii="Palatino Linotype" w:eastAsia="Palatino Linotype" w:hAnsi="Palatino Linotype" w:cs="Palatino Linotype"/>
                <w:i/>
                <w:iCs/>
              </w:rPr>
            </w:pPr>
            <w:r>
              <w:rPr>
                <w:rFonts w:ascii="Palatino Linotype" w:eastAsia="Palatino Linotype" w:hAnsi="Palatino Linotype" w:cs="Palatino Linotype"/>
                <w:i/>
                <w:iCs/>
              </w:rPr>
              <w:t>“Metepec, México a 03 de Febrero de 2026</w:t>
            </w:r>
          </w:p>
        </w:tc>
      </w:tr>
      <w:tr w:rsidR="001E53A7" w:rsidTr="00984F32">
        <w:trPr>
          <w:trHeight w:val="297"/>
          <w:jc w:val="center"/>
        </w:trPr>
        <w:tc>
          <w:tcPr>
            <w:tcW w:w="8080" w:type="dxa"/>
            <w:vAlign w:val="center"/>
          </w:tcPr>
          <w:p w:rsidR="001E53A7" w:rsidRDefault="00593181" w:rsidP="00984F32">
            <w:pPr>
              <w:ind w:right="142"/>
              <w:jc w:val="right"/>
              <w:rPr>
                <w:rFonts w:ascii="Palatino Linotype" w:eastAsia="Palatino Linotype" w:hAnsi="Palatino Linotype" w:cs="Palatino Linotype"/>
                <w:i/>
                <w:iCs/>
              </w:rPr>
            </w:pPr>
            <w:r>
              <w:rPr>
                <w:rFonts w:ascii="Palatino Linotype" w:eastAsia="Palatino Linotype" w:hAnsi="Palatino Linotype" w:cs="Palatino Linotype"/>
                <w:i/>
                <w:iCs/>
              </w:rPr>
              <w:t>Nombre del solicitante: C. Solicitante</w:t>
            </w:r>
          </w:p>
        </w:tc>
      </w:tr>
      <w:tr w:rsidR="001E53A7" w:rsidTr="00984F32">
        <w:trPr>
          <w:trHeight w:val="297"/>
          <w:jc w:val="center"/>
        </w:trPr>
        <w:tc>
          <w:tcPr>
            <w:tcW w:w="8080" w:type="dxa"/>
            <w:vAlign w:val="center"/>
          </w:tcPr>
          <w:p w:rsidR="001E53A7" w:rsidRDefault="00593181" w:rsidP="00984F32">
            <w:pPr>
              <w:ind w:right="142"/>
              <w:jc w:val="right"/>
              <w:rPr>
                <w:rFonts w:ascii="Palatino Linotype" w:eastAsia="Palatino Linotype" w:hAnsi="Palatino Linotype" w:cs="Palatino Linotype"/>
                <w:i/>
                <w:iCs/>
              </w:rPr>
            </w:pPr>
            <w:r>
              <w:rPr>
                <w:rFonts w:ascii="Palatino Linotype" w:eastAsia="Palatino Linotype" w:hAnsi="Palatino Linotype" w:cs="Palatino Linotype"/>
                <w:i/>
                <w:iCs/>
              </w:rPr>
              <w:t>Folio de la solicitud: 00015/ISSEMYM/IP/2026</w:t>
            </w:r>
          </w:p>
        </w:tc>
      </w:tr>
      <w:tr w:rsidR="001E53A7" w:rsidTr="00984F32">
        <w:trPr>
          <w:trHeight w:val="446"/>
          <w:jc w:val="center"/>
        </w:trPr>
        <w:tc>
          <w:tcPr>
            <w:tcW w:w="8080" w:type="dxa"/>
            <w:vAlign w:val="center"/>
          </w:tcPr>
          <w:p w:rsidR="001E53A7" w:rsidRDefault="001E53A7" w:rsidP="00984F32">
            <w:pPr>
              <w:ind w:right="142"/>
              <w:jc w:val="right"/>
              <w:rPr>
                <w:rFonts w:ascii="Palatino Linotype" w:eastAsia="Palatino Linotype" w:hAnsi="Palatino Linotype" w:cs="Palatino Linotype"/>
                <w:i/>
                <w:iCs/>
              </w:rPr>
            </w:pPr>
          </w:p>
        </w:tc>
      </w:tr>
      <w:tr w:rsidR="001E53A7" w:rsidTr="00984F32">
        <w:trPr>
          <w:trHeight w:val="148"/>
          <w:jc w:val="center"/>
        </w:trPr>
        <w:tc>
          <w:tcPr>
            <w:tcW w:w="8080" w:type="dxa"/>
            <w:vAlign w:val="center"/>
          </w:tcPr>
          <w:p w:rsidR="001E53A7" w:rsidRDefault="00593181" w:rsidP="00984F32">
            <w:pPr>
              <w:ind w:right="142"/>
              <w:rPr>
                <w:rFonts w:ascii="Palatino Linotype" w:eastAsia="Palatino Linotype" w:hAnsi="Palatino Linotype" w:cs="Palatino Linotype"/>
                <w:i/>
                <w:iCs/>
              </w:rPr>
            </w:pPr>
            <w:r>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1E53A7" w:rsidTr="00984F32">
        <w:trPr>
          <w:trHeight w:val="371"/>
          <w:jc w:val="center"/>
        </w:trPr>
        <w:tc>
          <w:tcPr>
            <w:tcW w:w="8080" w:type="dxa"/>
            <w:vAlign w:val="center"/>
          </w:tcPr>
          <w:p w:rsidR="001E53A7" w:rsidRDefault="001E53A7" w:rsidP="00984F32">
            <w:pPr>
              <w:ind w:right="142"/>
              <w:rPr>
                <w:rFonts w:ascii="Palatino Linotype" w:eastAsia="Palatino Linotype" w:hAnsi="Palatino Linotype" w:cs="Palatino Linotype"/>
                <w:i/>
                <w:iCs/>
              </w:rPr>
            </w:pPr>
          </w:p>
        </w:tc>
      </w:tr>
      <w:tr w:rsidR="001E53A7" w:rsidTr="00984F32">
        <w:trPr>
          <w:trHeight w:val="148"/>
          <w:jc w:val="center"/>
        </w:trPr>
        <w:tc>
          <w:tcPr>
            <w:tcW w:w="8080" w:type="dxa"/>
            <w:vAlign w:val="center"/>
          </w:tcPr>
          <w:p w:rsidR="001E53A7" w:rsidRDefault="00593181" w:rsidP="00984F32">
            <w:pPr>
              <w:ind w:right="142"/>
              <w:rPr>
                <w:rFonts w:ascii="Palatino Linotype" w:eastAsia="Palatino Linotype" w:hAnsi="Palatino Linotype" w:cs="Palatino Linotype"/>
                <w:i/>
                <w:iCs/>
              </w:rPr>
            </w:pPr>
            <w:r>
              <w:rPr>
                <w:rFonts w:ascii="Palatino Linotype" w:eastAsia="Palatino Linotype" w:hAnsi="Palatino Linotype" w:cs="Palatino Linotype"/>
                <w:i/>
                <w:iCs/>
              </w:rPr>
              <w:t>Como archivo adjunto, encontrará el oficio que dará respuesta a su solicitud de información. Para cualquier duda o aclaración respecto a la presente respuesta, nos ponemos a sus órdenes en el teléfono (01722) 2261900 extensiones 1434072 y 1434073. MUY IMPORTANTE: Se hace de su conocimiento que, el horario para trámites en el Módulo de Transparencia es de 9:00 a 15:00 horas.</w:t>
            </w:r>
          </w:p>
        </w:tc>
      </w:tr>
      <w:tr w:rsidR="001E53A7" w:rsidTr="00984F32">
        <w:trPr>
          <w:trHeight w:val="371"/>
          <w:jc w:val="center"/>
        </w:trPr>
        <w:tc>
          <w:tcPr>
            <w:tcW w:w="8080" w:type="dxa"/>
            <w:vAlign w:val="center"/>
          </w:tcPr>
          <w:p w:rsidR="001E53A7" w:rsidRDefault="001E53A7" w:rsidP="00984F32">
            <w:pPr>
              <w:ind w:right="142"/>
              <w:rPr>
                <w:rFonts w:ascii="Palatino Linotype" w:eastAsia="Palatino Linotype" w:hAnsi="Palatino Linotype" w:cs="Palatino Linotype"/>
                <w:i/>
                <w:iCs/>
              </w:rPr>
            </w:pPr>
          </w:p>
        </w:tc>
      </w:tr>
      <w:tr w:rsidR="001E53A7" w:rsidTr="00984F32">
        <w:trPr>
          <w:trHeight w:val="148"/>
          <w:jc w:val="center"/>
        </w:trPr>
        <w:tc>
          <w:tcPr>
            <w:tcW w:w="8080" w:type="dxa"/>
            <w:vAlign w:val="center"/>
          </w:tcPr>
          <w:p w:rsidR="001E53A7" w:rsidRDefault="001E53A7" w:rsidP="00984F32">
            <w:pPr>
              <w:ind w:right="142"/>
              <w:jc w:val="center"/>
              <w:rPr>
                <w:rFonts w:ascii="Palatino Linotype" w:eastAsia="Palatino Linotype" w:hAnsi="Palatino Linotype" w:cs="Palatino Linotype"/>
                <w:i/>
                <w:iCs/>
              </w:rPr>
            </w:pPr>
          </w:p>
        </w:tc>
      </w:tr>
      <w:tr w:rsidR="001E53A7" w:rsidTr="00984F32">
        <w:trPr>
          <w:trHeight w:val="148"/>
          <w:jc w:val="center"/>
        </w:trPr>
        <w:tc>
          <w:tcPr>
            <w:tcW w:w="8080" w:type="dxa"/>
            <w:vAlign w:val="center"/>
          </w:tcPr>
          <w:p w:rsidR="001E53A7" w:rsidRDefault="001E53A7" w:rsidP="00984F32">
            <w:pPr>
              <w:ind w:right="142"/>
              <w:rPr>
                <w:rFonts w:ascii="Palatino Linotype" w:eastAsia="Palatino Linotype" w:hAnsi="Palatino Linotype" w:cs="Palatino Linotype"/>
                <w:i/>
                <w:iCs/>
              </w:rPr>
            </w:pPr>
          </w:p>
        </w:tc>
      </w:tr>
      <w:tr w:rsidR="001E53A7" w:rsidTr="00984F32">
        <w:trPr>
          <w:trHeight w:val="148"/>
          <w:jc w:val="center"/>
        </w:trPr>
        <w:tc>
          <w:tcPr>
            <w:tcW w:w="8080" w:type="dxa"/>
            <w:vAlign w:val="center"/>
          </w:tcPr>
          <w:p w:rsidR="001E53A7" w:rsidRDefault="00593181" w:rsidP="00984F32">
            <w:pPr>
              <w:ind w:right="142"/>
              <w:rPr>
                <w:rFonts w:ascii="Palatino Linotype" w:eastAsia="Palatino Linotype" w:hAnsi="Palatino Linotype" w:cs="Palatino Linotype"/>
                <w:i/>
                <w:iCs/>
              </w:rPr>
            </w:pPr>
            <w:r>
              <w:rPr>
                <w:rFonts w:ascii="Palatino Linotype" w:eastAsia="Palatino Linotype" w:hAnsi="Palatino Linotype" w:cs="Palatino Linotype"/>
                <w:i/>
                <w:iCs/>
              </w:rPr>
              <w:t>ATENTAMENTE</w:t>
            </w:r>
          </w:p>
        </w:tc>
      </w:tr>
      <w:tr w:rsidR="001E53A7" w:rsidTr="00984F32">
        <w:trPr>
          <w:trHeight w:val="223"/>
          <w:jc w:val="center"/>
        </w:trPr>
        <w:tc>
          <w:tcPr>
            <w:tcW w:w="8080" w:type="dxa"/>
            <w:vAlign w:val="center"/>
          </w:tcPr>
          <w:p w:rsidR="001E53A7" w:rsidRDefault="001E53A7" w:rsidP="00984F32">
            <w:pPr>
              <w:ind w:right="142"/>
              <w:rPr>
                <w:rFonts w:ascii="Palatino Linotype" w:eastAsia="Palatino Linotype" w:hAnsi="Palatino Linotype" w:cs="Palatino Linotype"/>
                <w:i/>
                <w:iCs/>
              </w:rPr>
            </w:pPr>
          </w:p>
        </w:tc>
      </w:tr>
      <w:tr w:rsidR="001E53A7" w:rsidTr="00984F32">
        <w:trPr>
          <w:trHeight w:val="148"/>
          <w:jc w:val="center"/>
        </w:trPr>
        <w:tc>
          <w:tcPr>
            <w:tcW w:w="8080" w:type="dxa"/>
            <w:vAlign w:val="center"/>
          </w:tcPr>
          <w:p w:rsidR="001E53A7" w:rsidRDefault="00593181" w:rsidP="00984F32">
            <w:pPr>
              <w:ind w:right="142"/>
              <w:rPr>
                <w:rFonts w:ascii="Palatino Linotype" w:eastAsia="Palatino Linotype" w:hAnsi="Palatino Linotype" w:cs="Palatino Linotype"/>
                <w:i/>
                <w:iCs/>
              </w:rPr>
            </w:pPr>
            <w:r>
              <w:rPr>
                <w:rFonts w:ascii="Palatino Linotype" w:eastAsia="Palatino Linotype" w:hAnsi="Palatino Linotype" w:cs="Palatino Linotype"/>
                <w:i/>
                <w:iCs/>
              </w:rPr>
              <w:t>LIC. EN PLANEACION TERRITORIAL Zandra Karely Carrillo Rodriguez”</w:t>
            </w:r>
          </w:p>
        </w:tc>
      </w:tr>
    </w:tbl>
    <w:p w:rsidR="001E53A7" w:rsidRDefault="001E53A7" w:rsidP="00E12A85">
      <w:pPr>
        <w:spacing w:line="360" w:lineRule="auto"/>
        <w:ind w:right="-28"/>
        <w:jc w:val="both"/>
        <w:rPr>
          <w:rFonts w:ascii="Palatino Linotype" w:eastAsia="Palatino Linotype" w:hAnsi="Palatino Linotype" w:cs="Palatino Linotype"/>
          <w:color w:val="0563C1"/>
        </w:rPr>
      </w:pPr>
    </w:p>
    <w:p w:rsidR="001E53A7" w:rsidRDefault="00593181" w:rsidP="00E12A85">
      <w:pPr>
        <w:numPr>
          <w:ilvl w:val="0"/>
          <w:numId w:val="2"/>
        </w:num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A la respuesta se adjuntó el archivo electrónico denominado </w:t>
      </w:r>
      <w:hyperlink r:id="rId8">
        <w:r>
          <w:rPr>
            <w:rFonts w:ascii="Palatino Linotype" w:eastAsia="Palatino Linotype" w:hAnsi="Palatino Linotype" w:cs="Palatino Linotype"/>
            <w:b/>
            <w:bCs/>
            <w:color w:val="0563C1"/>
            <w:u w:val="single"/>
          </w:rPr>
          <w:t>RESPUESTA 15.IP.pdf</w:t>
        </w:r>
      </w:hyperlink>
      <w:r>
        <w:rPr>
          <w:rFonts w:ascii="Palatino Linotype" w:eastAsia="Palatino Linotype" w:hAnsi="Palatino Linotype" w:cs="Palatino Linotype"/>
          <w:color w:val="000000"/>
        </w:rPr>
        <w:t>, en el que se advierte el oficio número 207C0401210001S-UT-178/2026 de fecha treinta de enero de dos mil veinticinco, suscrito por el Titular de la Unidad de Transparencia, quien señaló:</w:t>
      </w:r>
    </w:p>
    <w:p w:rsidR="001E53A7" w:rsidRDefault="001E53A7"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RESPUESTA EMITIDA A SU SOLICITUD DE INFORMACIÓN </w:t>
      </w: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Se hace de su conocimiento que mediante turno del sistema SAIMEX, en fecha doce de enero del año en curso, la Unidad de Transparencia requirió a la Servidora Pública Habilitada de la Unidad Jurídica Consultiva y de Igualdad de Género y al Servidor Público Habilitado de la Coordinación </w:t>
      </w:r>
      <w:r>
        <w:rPr>
          <w:rFonts w:ascii="Palatino Linotype" w:eastAsia="Palatino Linotype" w:hAnsi="Palatino Linotype" w:cs="Palatino Linotype"/>
          <w:i/>
          <w:iCs/>
          <w:color w:val="000000"/>
        </w:rPr>
        <w:lastRenderedPageBreak/>
        <w:t xml:space="preserve">de Administración y Finanzas, conforme a las facultades, funciones y competencias previstas en el Manual General de Organización del ISSEMYМ. </w:t>
      </w:r>
    </w:p>
    <w:p w:rsidR="001E53A7" w:rsidRDefault="001E53A7"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Con la información proporcionada por la Servidora Publica en mención, y con fundamento los artículos 12, 24 párrafo tercero y 59 fracciones 1, I| y III, 76 y 161 de la Ley de Transparencia y Acceso a la Información Pública del Estado de México y Municipios. </w:t>
      </w: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 acuerdo con lo comunicado por la Encargada de la Unidad de Transparencia requirió a la Servidora Pública Habilitada de la Unidad Jurídica Consultiva y de Igualdad de Género, se informa: </w:t>
      </w:r>
    </w:p>
    <w:p w:rsidR="001E53A7" w:rsidRDefault="001E53A7"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1.- En lo relativo a "Puesto nominal y puesto funcional de los Servidores públicos actualmente adscritos al departamento contencioso administrativo de la unidad jurídico y consultiva y de equidad de género de ese instituto. Puesto nominal y puesto funcional de los Servidores públicos adscritos al departamento contencioso administrativo de la unidad juridico y consultiva y de equidad de género de ese instituto, en los años 2022 y 2023."</w:t>
      </w: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Le comento que esa información se recomienda solicitarla a la Coordinación de Administración y Finanzas por corresponder a sus funciones en términos del Manual General de Organización de este Instituto. </w:t>
      </w: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Al respecto me permito otorgar la siguiente información en los siguientes términos:</w:t>
      </w:r>
    </w:p>
    <w:p w:rsidR="001E53A7" w:rsidRDefault="001E53A7"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p>
    <w:p w:rsidR="001E53A7" w:rsidRDefault="00593181" w:rsidP="00984F32">
      <w:pPr>
        <w:pBdr>
          <w:top w:val="nil"/>
          <w:left w:val="nil"/>
          <w:bottom w:val="nil"/>
          <w:right w:val="nil"/>
          <w:between w:val="nil"/>
        </w:pBdr>
        <w:spacing w:line="360" w:lineRule="auto"/>
        <w:ind w:left="720" w:right="-28"/>
        <w:jc w:val="center"/>
        <w:rPr>
          <w:rFonts w:ascii="Palatino Linotype" w:eastAsia="Palatino Linotype" w:hAnsi="Palatino Linotype" w:cs="Palatino Linotype"/>
          <w:i/>
          <w:iCs/>
          <w:color w:val="000000"/>
        </w:rPr>
      </w:pPr>
      <w:r>
        <w:rPr>
          <w:rFonts w:ascii="Palatino Linotype" w:eastAsia="Palatino Linotype" w:hAnsi="Palatino Linotype" w:cs="Palatino Linotype"/>
          <w:i/>
          <w:iCs/>
          <w:noProof/>
          <w:color w:val="000000"/>
        </w:rPr>
        <w:drawing>
          <wp:inline distT="0" distB="0" distL="0" distR="0">
            <wp:extent cx="5223090" cy="79206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223090" cy="792065"/>
                    </a:xfrm>
                    <a:prstGeom prst="rect">
                      <a:avLst/>
                    </a:prstGeom>
                    <a:ln/>
                  </pic:spPr>
                </pic:pic>
              </a:graphicData>
            </a:graphic>
          </wp:inline>
        </w:drawing>
      </w:r>
    </w:p>
    <w:p w:rsidR="001E53A7" w:rsidRDefault="00593181" w:rsidP="00984F32">
      <w:pPr>
        <w:pBdr>
          <w:top w:val="nil"/>
          <w:left w:val="nil"/>
          <w:bottom w:val="nil"/>
          <w:right w:val="nil"/>
          <w:between w:val="nil"/>
        </w:pBdr>
        <w:spacing w:line="360" w:lineRule="auto"/>
        <w:ind w:left="720" w:right="-28"/>
        <w:jc w:val="center"/>
        <w:rPr>
          <w:rFonts w:ascii="Palatino Linotype" w:eastAsia="Palatino Linotype" w:hAnsi="Palatino Linotype" w:cs="Palatino Linotype"/>
          <w:i/>
          <w:iCs/>
          <w:color w:val="000000"/>
        </w:rPr>
      </w:pPr>
      <w:r>
        <w:rPr>
          <w:rFonts w:ascii="Palatino Linotype" w:eastAsia="Palatino Linotype" w:hAnsi="Palatino Linotype" w:cs="Palatino Linotype"/>
          <w:i/>
          <w:iCs/>
          <w:noProof/>
          <w:color w:val="000000"/>
        </w:rPr>
        <w:lastRenderedPageBreak/>
        <w:drawing>
          <wp:inline distT="0" distB="0" distL="0" distR="0">
            <wp:extent cx="5217790" cy="2141398"/>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217790" cy="2141398"/>
                    </a:xfrm>
                    <a:prstGeom prst="rect">
                      <a:avLst/>
                    </a:prstGeom>
                    <a:ln/>
                  </pic:spPr>
                </pic:pic>
              </a:graphicData>
            </a:graphic>
          </wp:inline>
        </w:drawing>
      </w:r>
    </w:p>
    <w:p w:rsidR="001E53A7" w:rsidRDefault="001E53A7"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2.-Respecto a "Cantidad de juicios de amparo indirecto en materia administrativa a los que fue emplazado el instituto en el año 2023 donde el acto reclamado sea la omisión de dar respuesta a solicitud de pensión en cada una de las modalidades de pensión previstas por la ley de seguridad social del Estado de México y municipios vigente." </w:t>
      </w: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Le informo que fueron 3,953. </w:t>
      </w:r>
    </w:p>
    <w:p w:rsidR="001E53A7" w:rsidRDefault="001E53A7"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3.-Referente a "Cantidad de juicios de amparo indirecto en materia administrativa a los que fue emplazado el instituto en el año 2024 donde el acto reclamado sea la omisión de dar respuesta a solicitud de pensión en cada una de las modalidades de pensión previstas por la ley de seguridad social del Estado de México y municipios vigente." </w:t>
      </w: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Le comento que fueron 3,489. </w:t>
      </w:r>
    </w:p>
    <w:p w:rsidR="001E53A7" w:rsidRDefault="001E53A7"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4.- Con referencia a "Cantidad de juicios de amparo indirecto en materia administrativa a los que fue emplazado el instituto en el año 2023 donde el acto reclamado sea la omisión de dar </w:t>
      </w:r>
      <w:r>
        <w:rPr>
          <w:rFonts w:ascii="Palatino Linotype" w:eastAsia="Palatino Linotype" w:hAnsi="Palatino Linotype" w:cs="Palatino Linotype"/>
          <w:i/>
          <w:iCs/>
          <w:color w:val="000000"/>
        </w:rPr>
        <w:lastRenderedPageBreak/>
        <w:t xml:space="preserve">respuesta a solicitud de pago pensión en cada una de las modalidades de pensión previstas por la ley de seguridad social del Estado de México y municipios vigente. </w:t>
      </w: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Al respecto, le informo que fueron 3,271. </w:t>
      </w:r>
    </w:p>
    <w:p w:rsidR="001E53A7" w:rsidRDefault="001E53A7"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5.- En lo correspondiente a "Cantidad de juicios de amparo indirecto en materia administrativa a los que fue emplazado el instituto en el año 2024 donde el acto reclamado sea la omisión de dar respuestaa solicitud de pago de pensión en cada una de las modalidades de pensión previstas por la ley de seguridad social del Estado de México y municipios vigente." </w:t>
      </w: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Al respecto, le comento que fueron 9,351. </w:t>
      </w:r>
    </w:p>
    <w:p w:rsidR="001E53A7" w:rsidRDefault="001E53A7"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6.- Con relación a "Cantidad de sentencias de amparo donde se otorga el amparo y protección de la justicia federal al quejoso en juicios de amparo indirecto en materia administrativa a los que fue emplazado el instituto en el año 2023 donde el acto reclamado sea la omisión de dar respuesta a solicitud de pensión en cada una de las modalidades de pensión previstas por la ley de seguridad social del Estado de México y municipios vigente. </w:t>
      </w: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Le informo que fueron de 3,953. </w:t>
      </w:r>
    </w:p>
    <w:p w:rsidR="001E53A7" w:rsidRDefault="001E53A7"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7.- En lo que respecta a "Cantidad de sentencias de amparo donde se otorga el amparo y protección de la justicia federal al quejoso enjuicios de amparo indirecto en materia administrativa a los que fue emplazado el instituto en el año 2024 donde el acto reclamado sea la omisión de dar respuesta a solicitud de pensión en cada una de las modalidades de pensión previstas por la ley de seguridad social del Estado de México y municipios vigente." </w:t>
      </w: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Le informo que la cantidad de esos juicios fue de 3,489. al </w:t>
      </w:r>
    </w:p>
    <w:p w:rsidR="001E53A7" w:rsidRDefault="001E53A7"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8.- En relación a "Cantidad de recursos de revisión interpuestos por los servidores adscritos departamento contencioso administrativo de la unidad jurídica y consultiva y de equidad de género de ese instituto en contra de sentencias de amparo donde se otorga el amparo y protección de la justicia federal al quejoso en juicios de amparo indirecto en materia administrativa a los que fue emplazado el instituto en el año 2023 donde el acto reclamado sea la omision de dar respuesta a solicitud de pension en cada una de las modalidades de pension previstas por la ley de seguridad social del estado de mexico y municipios vigente. Cantidad de recursos de revision interpuestos por los servidores adscritos al departamento contencioso adminsitrativo de la unidad juridica y consultiva y de equidad de genero de ese instituto en contra de sentencias de amparo donde se otorga el amparo y proteccion de la justicia federal al quejoso en juicios de amparo indirecto en materia administrativa a los que fue emplazado el instituto en el año 2024 donde el acto reclamado sea la omision de dar respuesta a solicitud de pension en cada una de las modalidades de pension previstas por la ley de seguridad social del estado de mexico y municipios vigente. En cuantos juicios de amparo indirecto en materia administrativa donde se otorgó el amparo y proteccion de la justicia federal al quejoso se interpuso recurso de revision en contra de dicha sentencia." </w:t>
      </w:r>
    </w:p>
    <w:p w:rsidR="001E53A7" w:rsidRDefault="001E53A7"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Al respecto le informo que no se cuenta con dicha información, ya que en la bitácora donde se registran los juicios no se integran más detalles sobre las etapas procesales, asimismo, para otorgar esa información se tendría que revisar juicio por juicio en su expediente, lo cual implicaría procesar la información, en tal sentido no es posible otorgarla con fundamento en el artículo 12 </w:t>
      </w:r>
      <w:r>
        <w:rPr>
          <w:rFonts w:ascii="Palatino Linotype" w:eastAsia="Palatino Linotype" w:hAnsi="Palatino Linotype" w:cs="Palatino Linotype"/>
          <w:i/>
          <w:iCs/>
          <w:color w:val="000000"/>
        </w:rPr>
        <w:lastRenderedPageBreak/>
        <w:t xml:space="preserve">de la Ley de Transparencia y Acceso a la Información Pública del Estado de México y Municipios, que a la letra dice: </w:t>
      </w:r>
    </w:p>
    <w:p w:rsidR="001E53A7" w:rsidRDefault="001E53A7"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sujetos obligados sólo proporcionarán la información pública que se les requiera y que obre en sus archivos y en el estado en que ésta se encuentre. La obligación de proporcionar información no comprende el procesamiento de esta, ni el presentarla conforme al interés del solicitante; no estarán obligados a generarla, resumirla, efectuar cálculos o practicar investigaciones." </w:t>
      </w:r>
    </w:p>
    <w:p w:rsidR="001E53A7" w:rsidRDefault="001E53A7"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9.- Finalmente, en lo que respecta a "Cual es el procedimiento interno una vez que se recibe el emplazamiento a juicio de amparo indirecto en contra del Issemym hasta su conclusion." </w:t>
      </w:r>
    </w:p>
    <w:p w:rsidR="001E53A7" w:rsidRDefault="00593181"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 existe como tal un procedimiento interno, ya que se reciben las promociones o demandas en oficialía de partes de la Unidad Jurídica Consultiva y de Igualdad de Género, se turnan los juicios materia de esta respuesta al Departamento de lo Contencioso Administrativo y se turnan o reparten los juicios conforme a la carga de trabajo y cada abogado da seguimiento a su asunto hasta su conclusión."</w:t>
      </w:r>
    </w:p>
    <w:p w:rsidR="001E53A7" w:rsidRDefault="001E53A7" w:rsidP="00E12A85">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u w:val="single"/>
        </w:rPr>
      </w:pP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bookmarkStart w:id="1" w:name="_heading=h.aqai2iwkiff" w:colFirst="0" w:colLast="0"/>
      <w:bookmarkEnd w:id="1"/>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nueve de febrero de dos mil veintiséis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interpuso el recurso de revisión, en contra de la respuesta y señaló como:</w:t>
      </w:r>
    </w:p>
    <w:p w:rsidR="001E53A7" w:rsidRDefault="001E53A7" w:rsidP="00E12A85">
      <w:pPr>
        <w:pBdr>
          <w:top w:val="nil"/>
          <w:left w:val="nil"/>
          <w:bottom w:val="nil"/>
          <w:right w:val="nil"/>
          <w:between w:val="nil"/>
        </w:pBdr>
        <w:ind w:left="851" w:right="-28"/>
        <w:rPr>
          <w:rFonts w:ascii="Palatino Linotype" w:eastAsia="Palatino Linotype" w:hAnsi="Palatino Linotype" w:cs="Palatino Linotype"/>
          <w:b/>
          <w:bCs/>
          <w:color w:val="000000"/>
        </w:rPr>
      </w:pPr>
    </w:p>
    <w:p w:rsidR="001E53A7" w:rsidRDefault="00593181" w:rsidP="00E12A85">
      <w:pPr>
        <w:numPr>
          <w:ilvl w:val="0"/>
          <w:numId w:val="4"/>
        </w:numPr>
        <w:pBdr>
          <w:top w:val="nil"/>
          <w:left w:val="nil"/>
          <w:bottom w:val="nil"/>
          <w:right w:val="nil"/>
          <w:between w:val="nil"/>
        </w:pBdr>
        <w:spacing w:line="360" w:lineRule="auto"/>
        <w:ind w:left="850" w:right="-28"/>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“La respuesta recaída a mi solicitud de información presentada mediante esta plataforma y contenida en el oficio 207C0401210001S-UT-178/2026 signado por la jefa del departamento de acceso a la información institucional adscrita a la unidad de transparencia del ISSEMyM.” (sic)</w:t>
      </w:r>
    </w:p>
    <w:p w:rsidR="001E53A7" w:rsidRDefault="001E53A7" w:rsidP="00E12A85">
      <w:pPr>
        <w:pBdr>
          <w:top w:val="nil"/>
          <w:left w:val="nil"/>
          <w:bottom w:val="nil"/>
          <w:right w:val="nil"/>
          <w:between w:val="nil"/>
        </w:pBdr>
        <w:spacing w:line="360" w:lineRule="auto"/>
        <w:ind w:left="851" w:right="-28"/>
        <w:jc w:val="both"/>
        <w:rPr>
          <w:rFonts w:ascii="Palatino Linotype" w:eastAsia="Palatino Linotype" w:hAnsi="Palatino Linotype" w:cs="Palatino Linotype"/>
          <w:i/>
          <w:iCs/>
          <w:color w:val="000000"/>
        </w:rPr>
      </w:pPr>
    </w:p>
    <w:p w:rsidR="001E53A7" w:rsidRDefault="00593181" w:rsidP="00E12A85">
      <w:pPr>
        <w:numPr>
          <w:ilvl w:val="0"/>
          <w:numId w:val="5"/>
        </w:numPr>
        <w:pBdr>
          <w:top w:val="nil"/>
          <w:left w:val="nil"/>
          <w:bottom w:val="nil"/>
          <w:right w:val="nil"/>
          <w:between w:val="nil"/>
        </w:pBdr>
        <w:spacing w:line="360" w:lineRule="auto"/>
        <w:ind w:left="850" w:right="-28"/>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Motivos o razones de inconformidad: </w:t>
      </w:r>
      <w:r>
        <w:rPr>
          <w:rFonts w:ascii="Palatino Linotype" w:eastAsia="Palatino Linotype" w:hAnsi="Palatino Linotype" w:cs="Palatino Linotype"/>
          <w:i/>
          <w:iCs/>
          <w:color w:val="000000"/>
        </w:rPr>
        <w:t>“En el numeral 8 del acto que se impugna, la autoridad se niega a darme la informacion solicitada.” (sic)</w:t>
      </w:r>
    </w:p>
    <w:p w:rsidR="001E53A7" w:rsidRDefault="001E53A7" w:rsidP="00E12A85">
      <w:pPr>
        <w:pBdr>
          <w:top w:val="nil"/>
          <w:left w:val="nil"/>
          <w:bottom w:val="nil"/>
          <w:right w:val="nil"/>
          <w:between w:val="nil"/>
        </w:pBdr>
        <w:spacing w:line="360" w:lineRule="auto"/>
        <w:ind w:right="-28"/>
        <w:jc w:val="both"/>
        <w:rPr>
          <w:rFonts w:ascii="Palatino Linotype" w:eastAsia="Palatino Linotype" w:hAnsi="Palatino Linotype" w:cs="Palatino Linotype"/>
          <w:b/>
          <w:bCs/>
          <w:i/>
          <w:iCs/>
          <w:color w:val="000000"/>
        </w:rPr>
      </w:pP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color w:val="000000"/>
        </w:rPr>
        <w:t xml:space="preserve">Ley de Transparencia y Acceso a la Información Pública del Estado de México y Municipios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turna</w:t>
      </w:r>
      <w:r>
        <w:rPr>
          <w:rFonts w:ascii="Palatino Linotype" w:eastAsia="Palatino Linotype" w:hAnsi="Palatino Linotype" w:cs="Palatino Linotype"/>
          <w:color w:val="000000"/>
        </w:rPr>
        <w:t xml:space="preserve"> a la </w:t>
      </w:r>
      <w:r>
        <w:rPr>
          <w:rFonts w:ascii="Palatino Linotype" w:eastAsia="Palatino Linotype" w:hAnsi="Palatino Linotype" w:cs="Palatino Linotype"/>
          <w:b/>
          <w:bCs/>
          <w:color w:val="000000"/>
        </w:rPr>
        <w:t xml:space="preserve">Comisionada María del Rosario Mejía Ayala, </w:t>
      </w:r>
      <w:r>
        <w:rPr>
          <w:rFonts w:ascii="Palatino Linotype" w:eastAsia="Palatino Linotype" w:hAnsi="Palatino Linotype" w:cs="Palatino Linotype"/>
        </w:rPr>
        <w:t>para</w:t>
      </w:r>
      <w:r>
        <w:rPr>
          <w:rFonts w:ascii="Palatino Linotype" w:eastAsia="Palatino Linotype" w:hAnsi="Palatino Linotype" w:cs="Palatino Linotype"/>
          <w:color w:val="000000"/>
        </w:rPr>
        <w:t xml:space="preserve"> su análisis.</w:t>
      </w:r>
    </w:p>
    <w:p w:rsidR="001E53A7" w:rsidRDefault="001E53A7" w:rsidP="00E12A85">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1E53A7" w:rsidRDefault="00593181" w:rsidP="00E12A85">
      <w:pPr>
        <w:numPr>
          <w:ilvl w:val="0"/>
          <w:numId w:val="1"/>
        </w:numPr>
        <w:pBdr>
          <w:top w:val="nil"/>
          <w:left w:val="nil"/>
          <w:bottom w:val="nil"/>
          <w:right w:val="nil"/>
          <w:between w:val="nil"/>
        </w:pBdr>
        <w:spacing w:after="240" w:line="360" w:lineRule="auto"/>
        <w:ind w:left="0" w:right="-28"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fecha </w:t>
      </w:r>
      <w:r>
        <w:rPr>
          <w:rFonts w:ascii="Palatino Linotype" w:eastAsia="Palatino Linotype" w:hAnsi="Palatino Linotype" w:cs="Palatino Linotype"/>
          <w:b/>
          <w:bCs/>
          <w:color w:val="000000"/>
        </w:rPr>
        <w:t>doce de febrero de dos mil veintiséis</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1E53A7" w:rsidRDefault="00593181" w:rsidP="00E12A85">
      <w:pPr>
        <w:numPr>
          <w:ilvl w:val="0"/>
          <w:numId w:val="1"/>
        </w:numPr>
        <w:tabs>
          <w:tab w:val="left" w:pos="284"/>
        </w:tabs>
        <w:spacing w:before="240" w:after="240" w:line="360" w:lineRule="auto"/>
        <w:ind w:left="0" w:right="-28" w:firstLine="0"/>
        <w:jc w:val="both"/>
      </w:pPr>
      <w:r>
        <w:rPr>
          <w:rFonts w:ascii="Palatino Linotype" w:eastAsia="Palatino Linotype" w:hAnsi="Palatino Linotype" w:cs="Palatino Linotype"/>
        </w:rPr>
        <w:t xml:space="preserve">De las constancias del expediente electrónico SAIMEX, se advierte que el Recurrente no realizó manifestaciones; por su parte, el Sujeto Obligado entregó informe justificado el </w:t>
      </w:r>
      <w:r>
        <w:rPr>
          <w:rFonts w:ascii="Palatino Linotype" w:eastAsia="Palatino Linotype" w:hAnsi="Palatino Linotype" w:cs="Palatino Linotype"/>
          <w:b/>
          <w:bCs/>
        </w:rPr>
        <w:t>veintitrés de febrero de dos mil veintiséis</w:t>
      </w:r>
      <w:r>
        <w:rPr>
          <w:rFonts w:ascii="Palatino Linotype" w:eastAsia="Palatino Linotype" w:hAnsi="Palatino Linotype" w:cs="Palatino Linotype"/>
        </w:rPr>
        <w:t xml:space="preserve"> y se puso a la vista del Recurrente el </w:t>
      </w:r>
      <w:r>
        <w:rPr>
          <w:rFonts w:ascii="Palatino Linotype" w:eastAsia="Palatino Linotype" w:hAnsi="Palatino Linotype" w:cs="Palatino Linotype"/>
          <w:b/>
          <w:bCs/>
        </w:rPr>
        <w:t>veinticuatro de junio del mismo año</w:t>
      </w:r>
      <w:r>
        <w:rPr>
          <w:rFonts w:ascii="Palatino Linotype" w:eastAsia="Palatino Linotype" w:hAnsi="Palatino Linotype" w:cs="Palatino Linotype"/>
        </w:rPr>
        <w:t>, en los que ratificó la respuesta.</w:t>
      </w:r>
    </w:p>
    <w:p w:rsidR="001E53A7" w:rsidRDefault="00593181" w:rsidP="00E12A85">
      <w:pPr>
        <w:numPr>
          <w:ilvl w:val="0"/>
          <w:numId w:val="1"/>
        </w:numPr>
        <w:pBdr>
          <w:top w:val="nil"/>
          <w:left w:val="nil"/>
          <w:bottom w:val="nil"/>
          <w:right w:val="nil"/>
          <w:between w:val="nil"/>
        </w:pBdr>
        <w:tabs>
          <w:tab w:val="left" w:pos="426"/>
        </w:tabs>
        <w:spacing w:line="360" w:lineRule="auto"/>
        <w:ind w:left="0" w:right="-28"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veintinueve de mayo de dos mil veintiséis</w:t>
      </w:r>
      <w:r>
        <w:rPr>
          <w:rFonts w:ascii="Palatino Linotype" w:eastAsia="Palatino Linotype" w:hAnsi="Palatino Linotype" w:cs="Palatino Linotype"/>
          <w:color w:val="000000"/>
        </w:rPr>
        <w:t xml:space="preserve">, se notificó el acuerdo mediante el cual se aprobó la ampliación de plazo para emitir resolución. </w:t>
      </w:r>
    </w:p>
    <w:p w:rsidR="001E53A7" w:rsidRDefault="001E53A7" w:rsidP="00E12A85">
      <w:pPr>
        <w:pBdr>
          <w:top w:val="nil"/>
          <w:left w:val="nil"/>
          <w:bottom w:val="nil"/>
          <w:right w:val="nil"/>
          <w:between w:val="nil"/>
        </w:pBdr>
        <w:tabs>
          <w:tab w:val="left" w:pos="426"/>
        </w:tabs>
        <w:spacing w:line="360" w:lineRule="auto"/>
        <w:ind w:right="-28"/>
        <w:jc w:val="both"/>
        <w:rPr>
          <w:rFonts w:ascii="Palatino Linotype" w:eastAsia="Palatino Linotype" w:hAnsi="Palatino Linotype" w:cs="Palatino Linotype"/>
          <w:color w:val="000000"/>
        </w:rPr>
      </w:pPr>
    </w:p>
    <w:p w:rsidR="001E53A7" w:rsidRDefault="00593181" w:rsidP="00E12A85">
      <w:pPr>
        <w:numPr>
          <w:ilvl w:val="0"/>
          <w:numId w:val="1"/>
        </w:numPr>
        <w:pBdr>
          <w:top w:val="nil"/>
          <w:left w:val="nil"/>
          <w:bottom w:val="nil"/>
          <w:right w:val="nil"/>
          <w:between w:val="nil"/>
        </w:pBdr>
        <w:tabs>
          <w:tab w:val="left" w:pos="426"/>
        </w:tabs>
        <w:spacing w:line="360" w:lineRule="auto"/>
        <w:ind w:left="0" w:right="-28" w:firstLine="0"/>
        <w:jc w:val="both"/>
        <w:rPr>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treinta de junio de dos mil veintiséis</w:t>
      </w:r>
      <w:r>
        <w:rPr>
          <w:rFonts w:ascii="Palatino Linotype" w:eastAsia="Palatino Linotype" w:hAnsi="Palatino Linotype" w:cs="Palatino Linotype"/>
          <w:color w:val="000000"/>
        </w:rPr>
        <w:t xml:space="preserve">, la Comisionada Ponente, decretó el cierre de instrucción, por lo que </w:t>
      </w:r>
      <w:r>
        <w:rPr>
          <w:rFonts w:ascii="Palatino Linotype" w:eastAsia="Palatino Linotype" w:hAnsi="Palatino Linotype" w:cs="Palatino Linotype"/>
        </w:rPr>
        <w:t>tornó</w:t>
      </w:r>
      <w:r>
        <w:rPr>
          <w:rFonts w:ascii="Palatino Linotype" w:eastAsia="Palatino Linotype" w:hAnsi="Palatino Linotype" w:cs="Palatino Linotype"/>
          <w:color w:val="000000"/>
        </w:rPr>
        <w:t xml:space="preserve"> la presente resolución para su aprobación.</w:t>
      </w:r>
    </w:p>
    <w:p w:rsidR="001E53A7" w:rsidRDefault="00593181" w:rsidP="00E12A85">
      <w:pPr>
        <w:pStyle w:val="Ttulo1"/>
        <w:ind w:right="-28"/>
        <w:jc w:val="center"/>
        <w:rPr>
          <w:rFonts w:ascii="Palatino Linotype" w:eastAsia="Palatino Linotype" w:hAnsi="Palatino Linotype" w:cs="Palatino Linotype"/>
          <w:b/>
          <w:bCs/>
          <w:color w:val="000000"/>
          <w:sz w:val="24"/>
          <w:szCs w:val="24"/>
        </w:rPr>
      </w:pPr>
      <w:bookmarkStart w:id="2" w:name="_heading=h.7ueiayk10s3u" w:colFirst="0" w:colLast="0"/>
      <w:bookmarkEnd w:id="2"/>
      <w:r>
        <w:rPr>
          <w:rFonts w:ascii="Palatino Linotype" w:eastAsia="Palatino Linotype" w:hAnsi="Palatino Linotype" w:cs="Palatino Linotype"/>
          <w:b/>
          <w:bCs/>
          <w:color w:val="000000"/>
          <w:sz w:val="24"/>
          <w:szCs w:val="24"/>
        </w:rPr>
        <w:t xml:space="preserve">C O N S I D E R A N D O </w:t>
      </w:r>
    </w:p>
    <w:p w:rsidR="001E53A7" w:rsidRDefault="001E53A7" w:rsidP="00E12A85">
      <w:pPr>
        <w:ind w:right="-28"/>
        <w:rPr>
          <w:rFonts w:ascii="Palatino Linotype" w:eastAsia="Palatino Linotype" w:hAnsi="Palatino Linotype" w:cs="Palatino Linotype"/>
        </w:rPr>
      </w:pPr>
    </w:p>
    <w:p w:rsidR="001E53A7" w:rsidRDefault="00593181" w:rsidP="00E12A85">
      <w:pPr>
        <w:pStyle w:val="Ttulo2"/>
        <w:ind w:right="-28"/>
        <w:rPr>
          <w:rFonts w:ascii="Palatino Linotype" w:eastAsia="Palatino Linotype" w:hAnsi="Palatino Linotype" w:cs="Palatino Linotype"/>
          <w:b/>
          <w:bCs/>
          <w:color w:val="000000"/>
          <w:sz w:val="24"/>
          <w:szCs w:val="24"/>
        </w:rPr>
      </w:pPr>
      <w:bookmarkStart w:id="3" w:name="_heading=h.ubiuviaqr9v3" w:colFirst="0" w:colLast="0"/>
      <w:bookmarkEnd w:id="3"/>
      <w:r>
        <w:rPr>
          <w:rFonts w:ascii="Palatino Linotype" w:eastAsia="Palatino Linotype" w:hAnsi="Palatino Linotype" w:cs="Palatino Linotype"/>
          <w:b/>
          <w:bCs/>
          <w:color w:val="000000"/>
          <w:sz w:val="24"/>
          <w:szCs w:val="24"/>
        </w:rPr>
        <w:t>PRIMERO. De la competencia</w:t>
      </w:r>
    </w:p>
    <w:p w:rsidR="001E53A7" w:rsidRDefault="00593181" w:rsidP="00E12A85">
      <w:pPr>
        <w:numPr>
          <w:ilvl w:val="0"/>
          <w:numId w:val="1"/>
        </w:numPr>
        <w:pBdr>
          <w:top w:val="nil"/>
          <w:left w:val="nil"/>
          <w:bottom w:val="nil"/>
          <w:right w:val="nil"/>
          <w:between w:val="nil"/>
        </w:pBdr>
        <w:spacing w:before="240" w:after="240" w:line="360" w:lineRule="auto"/>
        <w:ind w:left="0" w:right="-28" w:firstLine="0"/>
        <w:jc w:val="both"/>
        <w:rPr>
          <w:color w:val="000000"/>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1E53A7" w:rsidRDefault="00593181" w:rsidP="00E12A85">
      <w:pPr>
        <w:pStyle w:val="Ttulo2"/>
        <w:ind w:right="-28"/>
        <w:rPr>
          <w:rFonts w:ascii="Palatino Linotype" w:eastAsia="Palatino Linotype" w:hAnsi="Palatino Linotype" w:cs="Palatino Linotype"/>
          <w:b/>
          <w:bCs/>
          <w:color w:val="000000"/>
          <w:sz w:val="24"/>
          <w:szCs w:val="24"/>
        </w:rPr>
      </w:pPr>
      <w:bookmarkStart w:id="4" w:name="_heading=h.k0je0tezcznk" w:colFirst="0" w:colLast="0"/>
      <w:bookmarkEnd w:id="4"/>
      <w:r>
        <w:rPr>
          <w:rFonts w:ascii="Palatino Linotype" w:eastAsia="Palatino Linotype" w:hAnsi="Palatino Linotype" w:cs="Palatino Linotype"/>
          <w:b/>
          <w:bCs/>
          <w:color w:val="000000"/>
          <w:sz w:val="24"/>
          <w:szCs w:val="24"/>
        </w:rPr>
        <w:t>SEGUNDO. De la oportunidad y procedencia.</w:t>
      </w:r>
    </w:p>
    <w:p w:rsidR="001E53A7" w:rsidRDefault="00593181" w:rsidP="00E12A85">
      <w:pPr>
        <w:numPr>
          <w:ilvl w:val="0"/>
          <w:numId w:val="1"/>
        </w:numPr>
        <w:pBdr>
          <w:top w:val="nil"/>
          <w:left w:val="nil"/>
          <w:bottom w:val="nil"/>
          <w:right w:val="nil"/>
          <w:between w:val="nil"/>
        </w:pBdr>
        <w:tabs>
          <w:tab w:val="left" w:pos="426"/>
        </w:tabs>
        <w:spacing w:line="360" w:lineRule="auto"/>
        <w:ind w:left="0" w:right="-28" w:firstLine="0"/>
        <w:jc w:val="both"/>
        <w:rPr>
          <w:color w:val="000000"/>
        </w:rPr>
      </w:pPr>
      <w:bookmarkStart w:id="5" w:name="_heading=h.u7vwjj3a9q5r" w:colFirst="0" w:colLast="0"/>
      <w:bookmarkEnd w:id="5"/>
      <w:r>
        <w:rPr>
          <w:rFonts w:ascii="Palatino Linotype" w:eastAsia="Palatino Linotype" w:hAnsi="Palatino Linotype" w:cs="Palatino Linotype"/>
          <w:color w:val="000000"/>
        </w:rPr>
        <w:t xml:space="preserve">El medio de impugnación fue presentado a través del SAIMEX en el formato previamente aprobado para tal efecto y dentro del plazo legal de quince días hábiles otorgados; siendo así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respuesta el </w:t>
      </w:r>
      <w:r>
        <w:rPr>
          <w:rFonts w:ascii="Palatino Linotype" w:eastAsia="Palatino Linotype" w:hAnsi="Palatino Linotype" w:cs="Palatino Linotype"/>
          <w:b/>
          <w:bCs/>
          <w:color w:val="000000"/>
        </w:rPr>
        <w:t>tres de febrero de dos mil veintiséis</w:t>
      </w:r>
      <w:r>
        <w:rPr>
          <w:rFonts w:ascii="Palatino Linotype" w:eastAsia="Palatino Linotype" w:hAnsi="Palatino Linotype" w:cs="Palatino Linotype"/>
          <w:color w:val="000000"/>
        </w:rPr>
        <w:t xml:space="preserve">, de tal forma que el plazo para interponer el recurso de revisión transcurrió del </w:t>
      </w:r>
      <w:r>
        <w:rPr>
          <w:rFonts w:ascii="Palatino Linotype" w:eastAsia="Palatino Linotype" w:hAnsi="Palatino Linotype" w:cs="Palatino Linotype"/>
          <w:b/>
          <w:bCs/>
          <w:color w:val="000000"/>
        </w:rPr>
        <w:t>cuatro de febrero al veinticuatro de febrero de dos mil veintiséis</w:t>
      </w:r>
      <w:r>
        <w:rPr>
          <w:rFonts w:ascii="Palatino Linotype" w:eastAsia="Palatino Linotype" w:hAnsi="Palatino Linotype" w:cs="Palatino Linotype"/>
          <w:color w:val="000000"/>
        </w:rPr>
        <w:t xml:space="preserve">. El recurso de revisión fue interpuesto el </w:t>
      </w:r>
      <w:r>
        <w:rPr>
          <w:rFonts w:ascii="Palatino Linotype" w:eastAsia="Palatino Linotype" w:hAnsi="Palatino Linotype" w:cs="Palatino Linotype"/>
          <w:b/>
          <w:bCs/>
          <w:color w:val="000000"/>
        </w:rPr>
        <w:t>nueve de febrero de dos mil veintiséis</w:t>
      </w:r>
      <w:r>
        <w:rPr>
          <w:rFonts w:ascii="Palatino Linotype" w:eastAsia="Palatino Linotype" w:hAnsi="Palatino Linotype" w:cs="Palatino Linotype"/>
          <w:color w:val="000000"/>
        </w:rPr>
        <w:t xml:space="preserve">, éste se encuentra dentro de los márgenes temporales </w:t>
      </w:r>
      <w:r>
        <w:rPr>
          <w:rFonts w:ascii="Palatino Linotype" w:eastAsia="Palatino Linotype" w:hAnsi="Palatino Linotype" w:cs="Palatino Linotype"/>
          <w:color w:val="000000"/>
        </w:rPr>
        <w:lastRenderedPageBreak/>
        <w:t>previstos en el artículo 178 de la Ley de Transparencia y Acceso a la Información Pública del Estado de México y Municipios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vigente. </w:t>
      </w:r>
    </w:p>
    <w:p w:rsidR="001E53A7" w:rsidRDefault="001E53A7" w:rsidP="00E12A85">
      <w:pPr>
        <w:ind w:right="-28"/>
        <w:rPr>
          <w:rFonts w:ascii="Palatino Linotype" w:eastAsia="Palatino Linotype" w:hAnsi="Palatino Linotype" w:cs="Palatino Linotype"/>
          <w:color w:val="000000"/>
        </w:rPr>
      </w:pPr>
    </w:p>
    <w:p w:rsidR="001E53A7" w:rsidRDefault="00593181" w:rsidP="00E12A85">
      <w:pPr>
        <w:numPr>
          <w:ilvl w:val="0"/>
          <w:numId w:val="1"/>
        </w:numPr>
        <w:pBdr>
          <w:top w:val="nil"/>
          <w:left w:val="nil"/>
          <w:bottom w:val="nil"/>
          <w:right w:val="nil"/>
          <w:between w:val="nil"/>
        </w:pBdr>
        <w:tabs>
          <w:tab w:val="left" w:pos="426"/>
        </w:tabs>
        <w:spacing w:line="360" w:lineRule="auto"/>
        <w:ind w:left="0" w:right="-28" w:firstLine="0"/>
        <w:jc w:val="both"/>
        <w:rPr>
          <w:color w:val="000000"/>
        </w:rPr>
      </w:pPr>
      <w:r>
        <w:rPr>
          <w:rFonts w:ascii="Palatino Linotype" w:eastAsia="Palatino Linotype" w:hAnsi="Palatino Linotype" w:cs="Palatino Linotype"/>
          <w:color w:val="000000"/>
        </w:rPr>
        <w:t>Consecuencia de lo anterior, este Órgano Garante advierte que el escrito contiene las formalidades previstas por el artículo 180 último párrafo de la Ley de Transparencia y Acceso a la Información Pública del Estado de México y Municipios, por lo que es procedente que este Instituto de Transparencia, Acceso a la Información Pública y Protección de Datos Personales del Estado de México y Municipios, conozca y resuelva el presente recurso.</w:t>
      </w:r>
    </w:p>
    <w:p w:rsidR="001E53A7" w:rsidRDefault="00593181" w:rsidP="00E12A85">
      <w:pPr>
        <w:pStyle w:val="Ttulo1"/>
        <w:ind w:right="-28"/>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 xml:space="preserve">TERCERO. Planteamiento de la Litis </w:t>
      </w:r>
    </w:p>
    <w:p w:rsidR="001E53A7" w:rsidRDefault="00593181" w:rsidP="00E12A85">
      <w:pPr>
        <w:numPr>
          <w:ilvl w:val="0"/>
          <w:numId w:val="1"/>
        </w:numPr>
        <w:pBdr>
          <w:top w:val="nil"/>
          <w:left w:val="nil"/>
          <w:bottom w:val="nil"/>
          <w:right w:val="nil"/>
          <w:between w:val="nil"/>
        </w:pBdr>
        <w:spacing w:before="240" w:line="360" w:lineRule="auto"/>
        <w:ind w:left="0" w:right="-28" w:firstLine="0"/>
        <w:jc w:val="both"/>
        <w:rPr>
          <w:color w:val="000000"/>
        </w:rPr>
      </w:pPr>
      <w:r>
        <w:rPr>
          <w:rFonts w:ascii="Palatino Linotype" w:eastAsia="Palatino Linotype" w:hAnsi="Palatino Linotype" w:cs="Palatino Linotype"/>
          <w:color w:val="000000"/>
        </w:rPr>
        <w:t>El recurrente solicitó:</w:t>
      </w:r>
    </w:p>
    <w:p w:rsidR="001E53A7" w:rsidRDefault="00593181" w:rsidP="00E12A85">
      <w:pPr>
        <w:numPr>
          <w:ilvl w:val="0"/>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Puesto nominal y puesto funcional de los Servidores públicos actualmente adscritos al departamento contencioso administrativo de la unidad jurídica y consultiva y de equidad de género de ese instituto. </w:t>
      </w:r>
    </w:p>
    <w:p w:rsidR="001E53A7" w:rsidRDefault="00593181" w:rsidP="00E12A85">
      <w:pPr>
        <w:numPr>
          <w:ilvl w:val="0"/>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Puesto nominal y puesto funcional de los Servidores públicos adscritos al departamento contencioso administrativo de la unidad jurídica y consultiva y de equidad de género de ese instituto, en los años 2022 y 2023. </w:t>
      </w:r>
    </w:p>
    <w:p w:rsidR="001E53A7" w:rsidRDefault="00593181" w:rsidP="00E12A85">
      <w:pPr>
        <w:numPr>
          <w:ilvl w:val="0"/>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Cantidad de juicios de amparo indirecto en materia administrativa a los que fue emplazado el Instituto en el año 2023 donde el acto reclamado sea la omisión de dar respuesta a solicitud de pensión en cada una de las modalidades de pensión previstas por la ley de Seguridad Social del Estado de México y Municipios vigente. </w:t>
      </w:r>
    </w:p>
    <w:p w:rsidR="001E53A7" w:rsidRDefault="00593181" w:rsidP="00E12A85">
      <w:pPr>
        <w:numPr>
          <w:ilvl w:val="0"/>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Cantidad de juicios de amparo indirecto en materia administrativa a los que fue emplazado el instituto en el año 2024 donde el acto reclamado sea la omisión de </w:t>
      </w:r>
      <w:r>
        <w:rPr>
          <w:rFonts w:ascii="Palatino Linotype" w:eastAsia="Palatino Linotype" w:hAnsi="Palatino Linotype" w:cs="Palatino Linotype"/>
          <w:color w:val="000000"/>
        </w:rPr>
        <w:lastRenderedPageBreak/>
        <w:t xml:space="preserve">dar respuesta a solicitud de pensión en cada una de las modalidades de pensión previstas por la Ley de Seguridad Social del Estado de México y Municipios vigente. </w:t>
      </w:r>
    </w:p>
    <w:p w:rsidR="001E53A7" w:rsidRDefault="00593181" w:rsidP="00E12A85">
      <w:pPr>
        <w:numPr>
          <w:ilvl w:val="0"/>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Cantidad de juicios de amparo indirecto en materia administrativa a los que fue emplazado el instituto en el año 2023 donde el acto reclamado sea la omisión de dar respuesta a solicitud de pago pensión en cada una de las modalidades de pensión previstas por la Ley de Seguridad Social del Estado de México y Municipios vigente. </w:t>
      </w:r>
    </w:p>
    <w:p w:rsidR="001E53A7" w:rsidRDefault="00593181" w:rsidP="00E12A85">
      <w:pPr>
        <w:numPr>
          <w:ilvl w:val="0"/>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Cantidad de juicios de amparo indirecto en materia administrativa a los que fue emplazado el instituto en el año 2024 donde el acto reclamado sea la omisión de dar respuesta a solicitud de pago de pensión en cada una de las modalidades de pensión previstas por la Ley </w:t>
      </w:r>
      <w:r>
        <w:rPr>
          <w:rFonts w:ascii="Palatino Linotype" w:eastAsia="Palatino Linotype" w:hAnsi="Palatino Linotype" w:cs="Palatino Linotype"/>
        </w:rPr>
        <w:t>de seguridad</w:t>
      </w:r>
      <w:r>
        <w:rPr>
          <w:rFonts w:ascii="Palatino Linotype" w:eastAsia="Palatino Linotype" w:hAnsi="Palatino Linotype" w:cs="Palatino Linotype"/>
          <w:color w:val="000000"/>
        </w:rPr>
        <w:t xml:space="preserve"> Social del Estado de México y municipios vigente. </w:t>
      </w:r>
    </w:p>
    <w:p w:rsidR="001E53A7" w:rsidRDefault="00593181" w:rsidP="00E12A85">
      <w:pPr>
        <w:numPr>
          <w:ilvl w:val="0"/>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Cantidad de sentencias de amparo donde se otorga el amparo y protección de la justicia federal al quejoso en juicios de amparo indirecto en materia administrativa a los que fue emplazado el instituto en el año 2023 donde el acto reclamado sea la omisión de dar respuesta a solicitud de pensión en cada una de las modalidades de pensión previstas por la Ley de Seguridad Social del Estado de México y municipios vigente.</w:t>
      </w:r>
    </w:p>
    <w:p w:rsidR="001E53A7" w:rsidRDefault="00593181" w:rsidP="00E12A85">
      <w:pPr>
        <w:numPr>
          <w:ilvl w:val="0"/>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Cantidad de sentencias de amparo donde se otorga el amparo y protección de la justicia federal al quejoso en juicios de amparo indirecto en materia administrativa a los que fue emplazado el instituto en el año 2024 donde el acto reclamado sea la omisión de dar respuesta a solicitud de pensión en cada una de las modalidades de </w:t>
      </w:r>
      <w:r>
        <w:rPr>
          <w:rFonts w:ascii="Palatino Linotype" w:eastAsia="Palatino Linotype" w:hAnsi="Palatino Linotype" w:cs="Palatino Linotype"/>
          <w:color w:val="000000"/>
        </w:rPr>
        <w:lastRenderedPageBreak/>
        <w:t>pensión previstas por la Ley de Seguridad Social del Estado de México y municipios vigente.</w:t>
      </w:r>
    </w:p>
    <w:p w:rsidR="001E53A7" w:rsidRDefault="00593181" w:rsidP="00E12A85">
      <w:pPr>
        <w:numPr>
          <w:ilvl w:val="0"/>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Cantidad de recursos de revisión interpuestos por los servidores adscritos al departamento contencioso administrativo de la unidad jurídica y consultiva y de equidad de género de ese instituto en contra de sentencias de amparo donde se otorga el amparo y protección de la justicia federal al quejoso en juicios de amparo indirecto en materia administrativa a los que fue emplazado el instituto en el año 2023 donde el acto reclamado sea la omisión de dar respuesta a solicitud de pensión en cada una de las modalidades de pensión previstas por la Ley de Seguridad Social del Estado de México y Municipios vigente. </w:t>
      </w:r>
    </w:p>
    <w:p w:rsidR="001E53A7" w:rsidRDefault="00593181" w:rsidP="00E12A85">
      <w:pPr>
        <w:numPr>
          <w:ilvl w:val="0"/>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Cantidad de recursos de revisión interpuestos por los servidores adscritos al departamento contencioso administrativo de la unidad jurídica y consultiva y de equidad de género de ese instituto en contra de sentencias de amparo donde se otorga el amparo y protección de la justicia federal al quejoso en juicios de amparo indirecto en materia administrativa a los que fue emplazado el instituto en el año 2024 donde el acto reclamado sea la omisión de dar respuesta a solicitud de pensión en cada una de las modalidades de pensión previstas por la ley de seguridad social del Estado de México y municipios vigente. </w:t>
      </w:r>
    </w:p>
    <w:p w:rsidR="001E53A7" w:rsidRDefault="00593181" w:rsidP="00E12A85">
      <w:pPr>
        <w:numPr>
          <w:ilvl w:val="0"/>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cuantos juicios de amparo indirecto en materia administrativa donde se otorgó el amparo y protección de la justicia federal al quejoso se interpuso recurso de revisión en contra de dicha sentencia. </w:t>
      </w:r>
    </w:p>
    <w:p w:rsidR="001E53A7" w:rsidRDefault="00593181" w:rsidP="00E12A85">
      <w:pPr>
        <w:numPr>
          <w:ilvl w:val="0"/>
          <w:numId w:val="3"/>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Procedimiento interno una vez que se recibe el emplazamiento a juicio de amparo indirecto en contra del ISSEMYM hasta su conclusión.</w:t>
      </w:r>
    </w:p>
    <w:p w:rsidR="001E53A7" w:rsidRDefault="001E53A7" w:rsidP="00E12A85">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1E53A7" w:rsidRDefault="00593181" w:rsidP="00E12A85">
      <w:pPr>
        <w:numPr>
          <w:ilvl w:val="0"/>
          <w:numId w:val="1"/>
        </w:numPr>
        <w:pBdr>
          <w:top w:val="nil"/>
          <w:left w:val="nil"/>
          <w:bottom w:val="nil"/>
          <w:right w:val="nil"/>
          <w:between w:val="nil"/>
        </w:pBdr>
        <w:tabs>
          <w:tab w:val="left" w:pos="284"/>
        </w:tabs>
        <w:spacing w:after="240" w:line="360" w:lineRule="auto"/>
        <w:ind w:left="0" w:right="-28" w:firstLine="0"/>
        <w:jc w:val="both"/>
        <w:rPr>
          <w:color w:val="000000"/>
        </w:rPr>
      </w:pPr>
      <w:r>
        <w:rPr>
          <w:rFonts w:ascii="Palatino Linotype" w:eastAsia="Palatino Linotype" w:hAnsi="Palatino Linotype" w:cs="Palatino Linotype"/>
          <w:color w:val="000000"/>
        </w:rPr>
        <w:t xml:space="preserve">En respuesta, el Sujeto Obligado dio contestación a cada uno de los requerimientos planteados por el Recurrente.  Posteriormente, se </w:t>
      </w:r>
      <w:r>
        <w:rPr>
          <w:rFonts w:ascii="Palatino Linotype" w:eastAsia="Palatino Linotype" w:hAnsi="Palatino Linotype" w:cs="Palatino Linotype"/>
        </w:rPr>
        <w:t>conformó</w:t>
      </w:r>
      <w:r>
        <w:rPr>
          <w:rFonts w:ascii="Palatino Linotype" w:eastAsia="Palatino Linotype" w:hAnsi="Palatino Linotype" w:cs="Palatino Linotype"/>
          <w:color w:val="000000"/>
        </w:rPr>
        <w:t xml:space="preserve"> por la entrega de la información incompleta. </w:t>
      </w:r>
    </w:p>
    <w:p w:rsidR="001E53A7" w:rsidRDefault="00593181" w:rsidP="00E12A85">
      <w:pPr>
        <w:numPr>
          <w:ilvl w:val="0"/>
          <w:numId w:val="1"/>
        </w:numPr>
        <w:tabs>
          <w:tab w:val="left" w:pos="284"/>
        </w:tabs>
        <w:spacing w:before="240" w:line="360" w:lineRule="auto"/>
        <w:ind w:left="0" w:right="-28" w:firstLine="0"/>
        <w:jc w:val="both"/>
      </w:pPr>
      <w:r>
        <w:rPr>
          <w:rFonts w:ascii="Palatino Linotype" w:eastAsia="Palatino Linotype" w:hAnsi="Palatino Linotype" w:cs="Palatino Linotype"/>
        </w:rPr>
        <w:t>Por lo tanto, el presente recurso de revisión se circunscribe en determinar si se actualiza la causal de procedencia</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contenida en el artículo 179 fracción V, relativo a la negativa de la información, de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relativa a la entrega de información incompleta.  </w:t>
      </w:r>
    </w:p>
    <w:p w:rsidR="001E53A7" w:rsidRDefault="001E53A7" w:rsidP="00E12A85">
      <w:pPr>
        <w:tabs>
          <w:tab w:val="left" w:pos="426"/>
        </w:tabs>
        <w:spacing w:line="360" w:lineRule="auto"/>
        <w:ind w:left="567" w:right="-28"/>
        <w:jc w:val="both"/>
        <w:rPr>
          <w:rFonts w:ascii="Palatino Linotype" w:eastAsia="Palatino Linotype" w:hAnsi="Palatino Linotype" w:cs="Palatino Linotype"/>
          <w:i/>
          <w:iCs/>
          <w:color w:val="000000"/>
        </w:rPr>
      </w:pPr>
    </w:p>
    <w:p w:rsidR="001E53A7" w:rsidRDefault="00593181" w:rsidP="00E12A85">
      <w:pPr>
        <w:pStyle w:val="Ttulo2"/>
        <w:tabs>
          <w:tab w:val="left" w:pos="426"/>
        </w:tabs>
        <w:ind w:right="-28"/>
        <w:rPr>
          <w:rFonts w:ascii="Palatino Linotype" w:eastAsia="Palatino Linotype" w:hAnsi="Palatino Linotype" w:cs="Palatino Linotype"/>
          <w:b/>
          <w:bCs/>
          <w:color w:val="000000"/>
          <w:sz w:val="24"/>
          <w:szCs w:val="24"/>
        </w:rPr>
      </w:pPr>
      <w:bookmarkStart w:id="6" w:name="_heading=h.t580cracjqr2" w:colFirst="0" w:colLast="0"/>
      <w:bookmarkEnd w:id="6"/>
      <w:r>
        <w:rPr>
          <w:rFonts w:ascii="Palatino Linotype" w:eastAsia="Palatino Linotype" w:hAnsi="Palatino Linotype" w:cs="Palatino Linotype"/>
          <w:b/>
          <w:bCs/>
          <w:color w:val="000000"/>
          <w:sz w:val="24"/>
          <w:szCs w:val="24"/>
        </w:rPr>
        <w:t>CUARTO. Estudio y Resolución del asunto.</w:t>
      </w: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1E53A7" w:rsidRDefault="001E53A7" w:rsidP="00E12A85">
      <w:pPr>
        <w:pBdr>
          <w:top w:val="nil"/>
          <w:left w:val="nil"/>
          <w:bottom w:val="nil"/>
          <w:right w:val="nil"/>
          <w:between w:val="nil"/>
        </w:pBdr>
        <w:tabs>
          <w:tab w:val="left" w:pos="567"/>
        </w:tabs>
        <w:spacing w:line="360" w:lineRule="auto"/>
        <w:ind w:right="-28"/>
        <w:jc w:val="both"/>
        <w:rPr>
          <w:rFonts w:ascii="Palatino Linotype" w:eastAsia="Palatino Linotype" w:hAnsi="Palatino Linotype" w:cs="Palatino Linotype"/>
          <w:color w:val="000000"/>
        </w:rPr>
      </w:pPr>
    </w:p>
    <w:p w:rsidR="001E53A7" w:rsidRDefault="00593181" w:rsidP="00E12A85">
      <w:pPr>
        <w:numPr>
          <w:ilvl w:val="0"/>
          <w:numId w:val="1"/>
        </w:numPr>
        <w:pBdr>
          <w:top w:val="nil"/>
          <w:left w:val="nil"/>
          <w:bottom w:val="nil"/>
          <w:right w:val="nil"/>
          <w:between w:val="nil"/>
        </w:pBdr>
        <w:tabs>
          <w:tab w:val="left" w:pos="567"/>
        </w:tabs>
        <w:spacing w:line="360" w:lineRule="auto"/>
        <w:ind w:left="0" w:right="-28" w:firstLine="0"/>
        <w:jc w:val="both"/>
        <w:rPr>
          <w:color w:val="000000"/>
        </w:rPr>
      </w:pPr>
      <w:r>
        <w:rPr>
          <w:rFonts w:ascii="Palatino Linotype" w:eastAsia="Palatino Linotype" w:hAnsi="Palatino Linotype" w:cs="Palatino Linotype"/>
          <w:color w:val="000000"/>
        </w:rPr>
        <w:t xml:space="preserve">Recordemos que el particular requirió diversa información (ya descrita en el planteamiento de la litis), a la que el Sujeto Obligado dio contestación, </w:t>
      </w:r>
      <w:r>
        <w:rPr>
          <w:rFonts w:ascii="Palatino Linotype" w:eastAsia="Palatino Linotype" w:hAnsi="Palatino Linotype" w:cs="Palatino Linotype"/>
        </w:rPr>
        <w:t>sin</w:t>
      </w:r>
      <w:r>
        <w:rPr>
          <w:rFonts w:ascii="Palatino Linotype" w:eastAsia="Palatino Linotype" w:hAnsi="Palatino Linotype" w:cs="Palatino Linotype"/>
          <w:color w:val="000000"/>
        </w:rPr>
        <w:t xml:space="preserve"> embargo, el Recurrente se </w:t>
      </w:r>
      <w:r>
        <w:rPr>
          <w:rFonts w:ascii="Palatino Linotype" w:eastAsia="Palatino Linotype" w:hAnsi="Palatino Linotype" w:cs="Palatino Linotype"/>
        </w:rPr>
        <w:t>inconforma</w:t>
      </w:r>
      <w:r>
        <w:rPr>
          <w:rFonts w:ascii="Palatino Linotype" w:eastAsia="Palatino Linotype" w:hAnsi="Palatino Linotype" w:cs="Palatino Linotype"/>
          <w:color w:val="000000"/>
        </w:rPr>
        <w:t xml:space="preserve"> por las siguientes razones:</w:t>
      </w:r>
    </w:p>
    <w:p w:rsidR="001E53A7" w:rsidRDefault="001E53A7" w:rsidP="00E12A85">
      <w:pPr>
        <w:pBdr>
          <w:top w:val="nil"/>
          <w:left w:val="nil"/>
          <w:bottom w:val="nil"/>
          <w:right w:val="nil"/>
          <w:between w:val="nil"/>
        </w:pBdr>
        <w:ind w:left="720" w:right="-28"/>
        <w:rPr>
          <w:rFonts w:ascii="Palatino Linotype" w:eastAsia="Palatino Linotype" w:hAnsi="Palatino Linotype" w:cs="Palatino Linotype"/>
          <w:color w:val="000000"/>
        </w:rPr>
      </w:pPr>
    </w:p>
    <w:p w:rsidR="001E53A7" w:rsidRDefault="00593181" w:rsidP="00E12A85">
      <w:pPr>
        <w:pBdr>
          <w:top w:val="nil"/>
          <w:left w:val="nil"/>
          <w:bottom w:val="nil"/>
          <w:right w:val="nil"/>
          <w:between w:val="nil"/>
        </w:pBdr>
        <w:spacing w:line="360" w:lineRule="auto"/>
        <w:ind w:left="851" w:right="-2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Motivos o razones de inconformidad: </w:t>
      </w:r>
      <w:r>
        <w:rPr>
          <w:rFonts w:ascii="Palatino Linotype" w:eastAsia="Palatino Linotype" w:hAnsi="Palatino Linotype" w:cs="Palatino Linotype"/>
          <w:i/>
          <w:iCs/>
          <w:color w:val="000000"/>
        </w:rPr>
        <w:t>“En el numeral 8 del acto que se impugna, la autoridad se niega a darme la informacion solicitada.” (sic)</w:t>
      </w:r>
    </w:p>
    <w:p w:rsidR="001E53A7" w:rsidRDefault="001E53A7" w:rsidP="00E12A85">
      <w:pPr>
        <w:pBdr>
          <w:top w:val="nil"/>
          <w:left w:val="nil"/>
          <w:bottom w:val="nil"/>
          <w:right w:val="nil"/>
          <w:between w:val="nil"/>
        </w:pBdr>
        <w:spacing w:line="360" w:lineRule="auto"/>
        <w:ind w:left="851" w:right="-28"/>
        <w:jc w:val="both"/>
        <w:rPr>
          <w:rFonts w:ascii="Palatino Linotype" w:eastAsia="Palatino Linotype" w:hAnsi="Palatino Linotype" w:cs="Palatino Linotype"/>
          <w:b/>
          <w:bCs/>
          <w:color w:val="000000"/>
        </w:rPr>
      </w:pP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Ahora bien, la inconformidad del RECURRENTE es sobre un punto en específico, es decir, que el particular no se </w:t>
      </w:r>
      <w:r>
        <w:rPr>
          <w:rFonts w:ascii="Palatino Linotype" w:eastAsia="Palatino Linotype" w:hAnsi="Palatino Linotype" w:cs="Palatino Linotype"/>
        </w:rPr>
        <w:t>conformó</w:t>
      </w:r>
      <w:r>
        <w:rPr>
          <w:rFonts w:ascii="Palatino Linotype" w:eastAsia="Palatino Linotype" w:hAnsi="Palatino Linotype" w:cs="Palatino Linotype"/>
          <w:color w:val="000000"/>
        </w:rPr>
        <w:t xml:space="preserve"> por el total de la respuesta; en este caso, 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 </w:t>
      </w:r>
    </w:p>
    <w:p w:rsidR="001E53A7" w:rsidRDefault="001E53A7" w:rsidP="00E12A85">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Sirve de sustento, la tesis jurisprudencial número VI.3o.C. J/60, publicada en el Semanario Judicial de la Federación y su Gaceta bajo el número de registro 176,608 que a la letra dice:</w:t>
      </w:r>
    </w:p>
    <w:p w:rsidR="001E53A7" w:rsidRDefault="00593181" w:rsidP="00E12A85">
      <w:pPr>
        <w:pBdr>
          <w:top w:val="nil"/>
          <w:left w:val="nil"/>
          <w:bottom w:val="nil"/>
          <w:right w:val="nil"/>
          <w:between w:val="nil"/>
        </w:pBdr>
        <w:spacing w:line="360" w:lineRule="auto"/>
        <w:ind w:left="851"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“ACTOS CONSENTIDOS. SON LOS QUE NO SE IMPUGNAN MEDIANTE EL RECURSO IDÓNEO.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1E53A7" w:rsidRDefault="001E53A7" w:rsidP="00E12A85">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Lo anterior es así, debido a que cuando el particular impugnó la respuesta del SUJETO OBLIGADO, y no expresó razón o motivo de inconformidad en contra de lo que se le hizo entrega, por tanto, estos deben declararse atendidos, pues se entiende que EL RECURRENTE está conforme con la respuesta proporcionada por EL SUJETO OBLIGADO, al no contravenir la misma. </w:t>
      </w: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lastRenderedPageBreak/>
        <w:t>Atento a ello, es importante traer a contexto la Tesis Jurisprudencial Número 3ª./J.7/91, Publicada en el Semanario Judicial de la Federación y su Gaceta bajo el número de registro 174,177, que establece lo siguiente:</w:t>
      </w:r>
    </w:p>
    <w:p w:rsidR="001E53A7" w:rsidRDefault="00593181" w:rsidP="00E12A85">
      <w:pPr>
        <w:pBdr>
          <w:top w:val="nil"/>
          <w:left w:val="nil"/>
          <w:bottom w:val="nil"/>
          <w:right w:val="nil"/>
          <w:between w:val="nil"/>
        </w:pBdr>
        <w:spacing w:line="360" w:lineRule="auto"/>
        <w:ind w:left="851"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“REVISIÓN EN AMPARO. LOS RESOLUTIVOS NO COMBATIDOS DEBEN DECLARARSE FIRMES.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1E53A7" w:rsidRDefault="001E53A7" w:rsidP="00E12A85">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Conforme al Criterio establecido, es improcedente entrar al análisis de las partes de la respuesta del Sujeto Obligado que no fueron impugnadas por el Recurrente; por lo que, en el presente caso, se tiene por consentida parte de la información proporcionada por el Ente Recurrido, en respuesta. </w:t>
      </w:r>
    </w:p>
    <w:p w:rsidR="001E53A7" w:rsidRDefault="001E53A7" w:rsidP="00E12A85">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En este contexto, se hará pron</w:t>
      </w:r>
      <w:r w:rsidR="00984F32">
        <w:rPr>
          <w:rFonts w:ascii="Palatino Linotype" w:eastAsia="Palatino Linotype" w:hAnsi="Palatino Linotype" w:cs="Palatino Linotype"/>
          <w:color w:val="000000"/>
        </w:rPr>
        <w:t xml:space="preserve">unciamiento, únicamente por </w:t>
      </w:r>
      <w:bookmarkStart w:id="7" w:name="_GoBack"/>
      <w:bookmarkEnd w:id="7"/>
      <w:r>
        <w:rPr>
          <w:rFonts w:ascii="Palatino Linotype" w:eastAsia="Palatino Linotype" w:hAnsi="Palatino Linotype" w:cs="Palatino Linotype"/>
          <w:color w:val="000000"/>
        </w:rPr>
        <w:t xml:space="preserve">el punto ocho señalado en la respuesta, referente a "Cantidad de recursos de revisión interpuestos por los servidores adscritos departamento contencioso administrativo de la unidad jurídica y consultiva y de equidad de género de ese instituto en contra de sentencias de amparo donde se otorga el amparo y protección de la justicia federal al quejoso en juicios de amparo indirecto en materia administrativa a los que fue emplazado el instituto en el año 2023 donde el acto reclamado sea </w:t>
      </w:r>
      <w:r>
        <w:rPr>
          <w:rFonts w:ascii="Palatino Linotype" w:eastAsia="Palatino Linotype" w:hAnsi="Palatino Linotype" w:cs="Palatino Linotype"/>
          <w:color w:val="000000"/>
        </w:rPr>
        <w:lastRenderedPageBreak/>
        <w:t xml:space="preserve">la omisión de dar respuesta a solicitud de pensión en cada una de las modalidades de pensión previstas por la Ley de Seguridad Social del Estado de México y Municipios vigente, cantidad de recursos de revisión interpuestos por los servidores adscritos al departamento contencioso administrativo de la unidad jurídica y consultiva y de equidad de género de ese instituto en contra de sentencias de amparo donde se otorga el amparo y protección de la justicia federal al quejoso en juicios de amparo indirecto en materia administrativa a los que fue emplazado el instituto en el año 2024 donde el acto reclamado sea la omisión de dar respuesta a solicitud de pensión en cada una de las modalidades de pensión previstas por la Ley de Seguridad Social del Estado de México y Municipios vigente y número de  juicios de amparo indirecto en materia administrativa donde se otorgó el amparo y protección de la justicia federal al quejoso se interpuso recurso de revisión en contra de dicha sentencia”. </w:t>
      </w:r>
    </w:p>
    <w:p w:rsidR="001E53A7" w:rsidRDefault="001E53A7" w:rsidP="00E12A85">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Al respecto, se aprecia que el Sujeto Obligado señaló que no </w:t>
      </w:r>
      <w:r>
        <w:rPr>
          <w:rFonts w:ascii="Palatino Linotype" w:eastAsia="Palatino Linotype" w:hAnsi="Palatino Linotype" w:cs="Palatino Linotype"/>
        </w:rPr>
        <w:t>cuenta</w:t>
      </w:r>
      <w:r>
        <w:rPr>
          <w:rFonts w:ascii="Palatino Linotype" w:eastAsia="Palatino Linotype" w:hAnsi="Palatino Linotype" w:cs="Palatino Linotype"/>
          <w:color w:val="000000"/>
        </w:rPr>
        <w:t xml:space="preserve"> con la información al grado de desagregación que quiere el Recurrente, es decir, que para dar respuesta tiene que procesar la información para dar cabal cumplimiento al derecho de acceso a la información del particular, al respecto el Criterio 09-10 emitido por el Pleno del entonces Instituto Federal de Acceso a la Información y Protección de Datos, establece:</w:t>
      </w:r>
      <w:r>
        <w:rPr>
          <w:rFonts w:ascii="Palatino Linotype" w:eastAsia="Palatino Linotype" w:hAnsi="Palatino Linotype" w:cs="Palatino Linotype"/>
          <w:b/>
          <w:bCs/>
          <w:color w:val="000000"/>
        </w:rPr>
        <w:t xml:space="preserve"> </w:t>
      </w:r>
    </w:p>
    <w:p w:rsidR="001E53A7" w:rsidRDefault="00593181" w:rsidP="00E12A85">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Las dependencias y entidades no están obligadas a generar documentos ad hoc para responder una solicitud de acceso a la información. 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w:t>
      </w:r>
      <w:r>
        <w:rPr>
          <w:rFonts w:ascii="Palatino Linotype" w:eastAsia="Palatino Linotype" w:hAnsi="Palatino Linotype" w:cs="Palatino Linotype"/>
          <w:i/>
          <w:iCs/>
        </w:rPr>
        <w:lastRenderedPageBreak/>
        <w:t>acceso a la información con la que cuentan en el formato que la misma así lo permita o se encuentre, en aras de dar satisfacción a la solicitud presentada.</w:t>
      </w:r>
    </w:p>
    <w:p w:rsidR="001E53A7" w:rsidRDefault="00593181" w:rsidP="00E12A85">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Expedientes:</w:t>
      </w:r>
    </w:p>
    <w:p w:rsidR="001E53A7" w:rsidRDefault="00593181" w:rsidP="00E12A85">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0438/08 Pemex Exploración y Producción – Alonso Lujambio Irazábal</w:t>
      </w:r>
    </w:p>
    <w:p w:rsidR="001E53A7" w:rsidRDefault="00593181" w:rsidP="00E12A85">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1751/09 Laboratorios de Biológicos y Reactivos de México S.A. de C.V. –</w:t>
      </w:r>
    </w:p>
    <w:p w:rsidR="001E53A7" w:rsidRDefault="00593181" w:rsidP="00E12A85">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María Marván Laborde</w:t>
      </w:r>
    </w:p>
    <w:p w:rsidR="001E53A7" w:rsidRDefault="00593181" w:rsidP="00E12A85">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2868/09 Consejo Nacional de Ciencia y Tecnología – Jacqueline Peschard</w:t>
      </w:r>
    </w:p>
    <w:p w:rsidR="001E53A7" w:rsidRDefault="00593181" w:rsidP="00E12A85">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Mariscal</w:t>
      </w:r>
    </w:p>
    <w:p w:rsidR="001E53A7" w:rsidRDefault="00593181" w:rsidP="00E12A85">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5160/09 Secretaría de Hacienda y Crédito Público – Ángel Trinidad Zaldívar</w:t>
      </w:r>
    </w:p>
    <w:p w:rsidR="001E53A7" w:rsidRDefault="00593181" w:rsidP="00E12A85">
      <w:pPr>
        <w:spacing w:line="276" w:lineRule="auto"/>
        <w:ind w:left="851" w:right="-28"/>
        <w:jc w:val="both"/>
        <w:rPr>
          <w:rFonts w:ascii="Palatino Linotype" w:eastAsia="Palatino Linotype" w:hAnsi="Palatino Linotype" w:cs="Palatino Linotype"/>
          <w:i/>
          <w:iCs/>
        </w:rPr>
      </w:pPr>
      <w:r>
        <w:rPr>
          <w:rFonts w:ascii="Palatino Linotype" w:eastAsia="Palatino Linotype" w:hAnsi="Palatino Linotype" w:cs="Palatino Linotype"/>
          <w:i/>
          <w:iCs/>
        </w:rPr>
        <w:t>0304/10 Instituto Nacional de Cancerología – Jacqueline Peschard Mariscal</w:t>
      </w:r>
    </w:p>
    <w:p w:rsidR="001E53A7" w:rsidRDefault="001E53A7" w:rsidP="00E12A85">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En el  mismo sentido, el artículo 12 de la ley de la materia establece lo siguiente: </w:t>
      </w:r>
    </w:p>
    <w:p w:rsidR="001E53A7" w:rsidRDefault="00593181" w:rsidP="00E12A85">
      <w:pPr>
        <w:pBdr>
          <w:top w:val="nil"/>
          <w:left w:val="nil"/>
          <w:bottom w:val="nil"/>
          <w:right w:val="nil"/>
          <w:between w:val="nil"/>
        </w:pBdr>
        <w:spacing w:line="276" w:lineRule="auto"/>
        <w:ind w:left="851"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12. </w:t>
      </w:r>
      <w:r>
        <w:rPr>
          <w:rFonts w:ascii="Palatino Linotype" w:eastAsia="Palatino Linotype" w:hAnsi="Palatino Linotype" w:cs="Palatino Linotype"/>
          <w:i/>
          <w:iCs/>
          <w:color w:val="000000"/>
        </w:rPr>
        <w:t>Quienes generen, recopilen, administren, manejen, procesen, archiven o conserven información pública serán responsables de la misma en los términos de las disposiciones jurídicas aplicables.</w:t>
      </w:r>
    </w:p>
    <w:p w:rsidR="001E53A7" w:rsidRDefault="001E53A7" w:rsidP="00E12A85">
      <w:pPr>
        <w:pBdr>
          <w:top w:val="nil"/>
          <w:left w:val="nil"/>
          <w:bottom w:val="nil"/>
          <w:right w:val="nil"/>
          <w:between w:val="nil"/>
        </w:pBdr>
        <w:spacing w:line="276" w:lineRule="auto"/>
        <w:ind w:left="851" w:right="-28"/>
        <w:jc w:val="both"/>
        <w:rPr>
          <w:rFonts w:ascii="Palatino Linotype" w:eastAsia="Palatino Linotype" w:hAnsi="Palatino Linotype" w:cs="Palatino Linotype"/>
          <w:i/>
          <w:iCs/>
          <w:color w:val="000000"/>
        </w:rPr>
      </w:pPr>
    </w:p>
    <w:p w:rsidR="001E53A7" w:rsidRDefault="00593181" w:rsidP="00E12A85">
      <w:pPr>
        <w:pBdr>
          <w:top w:val="nil"/>
          <w:left w:val="nil"/>
          <w:bottom w:val="nil"/>
          <w:right w:val="nil"/>
          <w:between w:val="nil"/>
        </w:pBdr>
        <w:spacing w:line="276" w:lineRule="auto"/>
        <w:ind w:left="851"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sujetos obligados </w:t>
      </w:r>
      <w:r>
        <w:rPr>
          <w:rFonts w:ascii="Palatino Linotype" w:eastAsia="Palatino Linotype" w:hAnsi="Palatino Linotype" w:cs="Palatino Linotype"/>
          <w:b/>
          <w:bCs/>
          <w:i/>
          <w:iCs/>
          <w:color w:val="000000"/>
        </w:rPr>
        <w:t>sólo proporcionarán la información pública que se les requiera y que obre en sus archivos</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 xml:space="preserve">y en el </w:t>
      </w:r>
      <w:r>
        <w:rPr>
          <w:rFonts w:ascii="Palatino Linotype" w:eastAsia="Palatino Linotype" w:hAnsi="Palatino Linotype" w:cs="Palatino Linotype"/>
          <w:b/>
          <w:bCs/>
          <w:i/>
          <w:iCs/>
          <w:color w:val="000000"/>
          <w:u w:val="single"/>
        </w:rPr>
        <w:t>estado en que ésta se encuentre.</w:t>
      </w:r>
      <w:r>
        <w:rPr>
          <w:rFonts w:ascii="Palatino Linotype" w:eastAsia="Palatino Linotype" w:hAnsi="Palatino Linotype" w:cs="Palatino Linotype"/>
          <w:i/>
          <w:iCs/>
          <w:color w:val="000000"/>
        </w:rPr>
        <w:t xml:space="preserve"> La obligación de proporcionar información </w:t>
      </w:r>
      <w:r>
        <w:rPr>
          <w:rFonts w:ascii="Palatino Linotype" w:eastAsia="Palatino Linotype" w:hAnsi="Palatino Linotype" w:cs="Palatino Linotype"/>
          <w:b/>
          <w:bCs/>
          <w:i/>
          <w:iCs/>
          <w:color w:val="000000"/>
        </w:rPr>
        <w:t>no comprende</w:t>
      </w:r>
      <w:r>
        <w:rPr>
          <w:rFonts w:ascii="Palatino Linotype" w:eastAsia="Palatino Linotype" w:hAnsi="Palatino Linotype" w:cs="Palatino Linotype"/>
          <w:i/>
          <w:iCs/>
          <w:color w:val="000000"/>
        </w:rPr>
        <w:t xml:space="preserve"> el procesamiento de la misma, ni el presentarla conforme al interés del solicitante; no estarán obligados a generarla, resumirla, efectuar cálculos o práctica investigaciones”. </w:t>
      </w:r>
    </w:p>
    <w:p w:rsidR="001E53A7" w:rsidRDefault="001E53A7" w:rsidP="00E12A85">
      <w:pPr>
        <w:spacing w:line="360" w:lineRule="auto"/>
        <w:ind w:right="-28"/>
        <w:jc w:val="both"/>
        <w:rPr>
          <w:rFonts w:ascii="Palatino Linotype" w:eastAsia="Palatino Linotype" w:hAnsi="Palatino Linotype" w:cs="Palatino Linotype"/>
        </w:rPr>
      </w:pP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El precepto legal señala que no están obligados a procesar, ni presentarla conforme al interés del solicitante, </w:t>
      </w:r>
      <w:r>
        <w:rPr>
          <w:rFonts w:ascii="Palatino Linotype" w:eastAsia="Palatino Linotype" w:hAnsi="Palatino Linotype" w:cs="Palatino Linotype"/>
        </w:rPr>
        <w:t>resumir</w:t>
      </w:r>
      <w:r>
        <w:rPr>
          <w:rFonts w:ascii="Palatino Linotype" w:eastAsia="Palatino Linotype" w:hAnsi="Palatino Linotype" w:cs="Palatino Linotype"/>
          <w:color w:val="000000"/>
        </w:rPr>
        <w:t xml:space="preserve">, efectuar cálculos o generar nuevos documentos para atender una solicitud, por lo que en este caso, la información entregada colma con el requerimiento del particular. </w:t>
      </w: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lastRenderedPageBreak/>
        <w:t xml:space="preserve">Y bajo la óptica de que este Órgano Garante no puede dudar de la veracidad de la información que se proporcione, aquellos datos que se informen no serán sujetos a dudar de los mismos. </w:t>
      </w:r>
    </w:p>
    <w:p w:rsidR="001E53A7" w:rsidRDefault="001E53A7" w:rsidP="00E12A85">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En ese sentido,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1E53A7" w:rsidRDefault="00593181" w:rsidP="00E12A85">
      <w:pPr>
        <w:pBdr>
          <w:top w:val="nil"/>
          <w:left w:val="nil"/>
          <w:bottom w:val="nil"/>
          <w:right w:val="nil"/>
          <w:between w:val="nil"/>
        </w:pBdr>
        <w:spacing w:line="276"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4.- </w:t>
      </w:r>
    </w:p>
    <w:p w:rsidR="001E53A7" w:rsidRDefault="00593181" w:rsidP="00E12A85">
      <w:pPr>
        <w:pBdr>
          <w:top w:val="nil"/>
          <w:left w:val="nil"/>
          <w:bottom w:val="nil"/>
          <w:right w:val="nil"/>
          <w:between w:val="nil"/>
        </w:pBdr>
        <w:spacing w:line="276"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1E53A7" w:rsidRDefault="00593181" w:rsidP="00E12A85">
      <w:pPr>
        <w:pBdr>
          <w:top w:val="nil"/>
          <w:left w:val="nil"/>
          <w:bottom w:val="nil"/>
          <w:right w:val="nil"/>
          <w:between w:val="nil"/>
        </w:pBdr>
        <w:spacing w:line="276"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sujetos obligados deben poner en práctica, políticas y programas de acceso a la información que se apeguen a criterios de publicidad, </w:t>
      </w:r>
      <w:r>
        <w:rPr>
          <w:rFonts w:ascii="Palatino Linotype" w:eastAsia="Palatino Linotype" w:hAnsi="Palatino Linotype" w:cs="Palatino Linotype"/>
          <w:b/>
          <w:bCs/>
          <w:i/>
          <w:iCs/>
          <w:color w:val="000000"/>
          <w:u w:val="single"/>
        </w:rPr>
        <w:t>veracidad,</w:t>
      </w:r>
      <w:r>
        <w:rPr>
          <w:rFonts w:ascii="Palatino Linotype" w:eastAsia="Palatino Linotype" w:hAnsi="Palatino Linotype" w:cs="Palatino Linotype"/>
          <w:i/>
          <w:iCs/>
          <w:color w:val="000000"/>
        </w:rPr>
        <w:t xml:space="preserve"> oportunidad, precisión y suficiencia en beneficio de los solicitantes.</w:t>
      </w:r>
    </w:p>
    <w:p w:rsidR="001E53A7" w:rsidRDefault="00593181" w:rsidP="00E12A85">
      <w:pPr>
        <w:pBdr>
          <w:top w:val="nil"/>
          <w:left w:val="nil"/>
          <w:bottom w:val="nil"/>
          <w:right w:val="nil"/>
          <w:between w:val="nil"/>
        </w:pBdr>
        <w:spacing w:line="276" w:lineRule="auto"/>
        <w:ind w:left="720" w:right="-2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w:t>
      </w:r>
    </w:p>
    <w:p w:rsidR="001E53A7" w:rsidRDefault="001E53A7" w:rsidP="00E12A85">
      <w:pPr>
        <w:pBdr>
          <w:top w:val="nil"/>
          <w:left w:val="nil"/>
          <w:bottom w:val="nil"/>
          <w:right w:val="nil"/>
          <w:between w:val="nil"/>
        </w:pBdr>
        <w:tabs>
          <w:tab w:val="left" w:pos="709"/>
        </w:tabs>
        <w:spacing w:line="360" w:lineRule="auto"/>
        <w:ind w:left="720" w:right="-28"/>
        <w:jc w:val="both"/>
        <w:rPr>
          <w:rFonts w:ascii="Palatino Linotype" w:eastAsia="Palatino Linotype" w:hAnsi="Palatino Linotype" w:cs="Palatino Linotype"/>
          <w:color w:val="000000"/>
        </w:rPr>
      </w:pPr>
    </w:p>
    <w:p w:rsidR="001E53A7" w:rsidRPr="00E92212" w:rsidRDefault="00593181" w:rsidP="00E12A85">
      <w:pPr>
        <w:numPr>
          <w:ilvl w:val="0"/>
          <w:numId w:val="1"/>
        </w:numPr>
        <w:pBdr>
          <w:top w:val="nil"/>
          <w:left w:val="nil"/>
          <w:bottom w:val="nil"/>
          <w:right w:val="nil"/>
          <w:between w:val="nil"/>
        </w:pBdr>
        <w:tabs>
          <w:tab w:val="left" w:pos="0"/>
        </w:tabs>
        <w:spacing w:line="360" w:lineRule="auto"/>
        <w:ind w:left="0" w:right="-28" w:firstLine="0"/>
        <w:jc w:val="both"/>
        <w:rPr>
          <w:color w:val="000000"/>
        </w:rPr>
      </w:pPr>
      <w:r>
        <w:rPr>
          <w:rFonts w:ascii="Palatino Linotype" w:eastAsia="Palatino Linotype" w:hAnsi="Palatino Linotype" w:cs="Palatino Linotype"/>
          <w:color w:val="000000"/>
        </w:rPr>
        <w:t xml:space="preserve">Numerales que compelen al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 apegarse en todo momento a los criterios ya expuestos, </w:t>
      </w:r>
      <w:r>
        <w:rPr>
          <w:rFonts w:ascii="Palatino Linotype" w:eastAsia="Palatino Linotype" w:hAnsi="Palatino Linotype" w:cs="Palatino Linotype"/>
        </w:rPr>
        <w:t>impidiendo</w:t>
      </w:r>
      <w:r>
        <w:rPr>
          <w:rFonts w:ascii="Palatino Linotype" w:eastAsia="Palatino Linotype" w:hAnsi="Palatino Linotype" w:cs="Palatino Linotype"/>
          <w:color w:val="000000"/>
        </w:rPr>
        <w:t xml:space="preserve"> a este Órgano Colegiado cuestionar la veracidad de la información.</w:t>
      </w:r>
    </w:p>
    <w:p w:rsidR="00E92212" w:rsidRDefault="00E92212" w:rsidP="00E92212">
      <w:pPr>
        <w:pBdr>
          <w:top w:val="nil"/>
          <w:left w:val="nil"/>
          <w:bottom w:val="nil"/>
          <w:right w:val="nil"/>
          <w:between w:val="nil"/>
        </w:pBdr>
        <w:tabs>
          <w:tab w:val="left" w:pos="0"/>
        </w:tabs>
        <w:spacing w:line="360" w:lineRule="auto"/>
        <w:ind w:right="-28"/>
        <w:jc w:val="both"/>
        <w:rPr>
          <w:color w:val="000000"/>
        </w:rPr>
      </w:pPr>
    </w:p>
    <w:p w:rsidR="001E53A7" w:rsidRDefault="00593181" w:rsidP="00E12A85">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En conclusión,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emitió</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la respuesta correspondiente en tiempo y forma, por lo que la información remitida satisface el derecho de acceso a la información pública y lo procedente es </w:t>
      </w:r>
      <w:r>
        <w:rPr>
          <w:rFonts w:ascii="Palatino Linotype" w:eastAsia="Palatino Linotype" w:hAnsi="Palatino Linotype" w:cs="Palatino Linotype"/>
          <w:b/>
          <w:bCs/>
          <w:color w:val="000000"/>
        </w:rPr>
        <w:t xml:space="preserve">CONFIRMAR </w:t>
      </w:r>
      <w:r>
        <w:rPr>
          <w:rFonts w:ascii="Palatino Linotype" w:eastAsia="Palatino Linotype" w:hAnsi="Palatino Linotype" w:cs="Palatino Linotype"/>
          <w:color w:val="000000"/>
        </w:rPr>
        <w:t>la respuesta.</w:t>
      </w:r>
    </w:p>
    <w:p w:rsidR="001E53A7" w:rsidRDefault="001E53A7" w:rsidP="00E12A85">
      <w:pPr>
        <w:pBdr>
          <w:top w:val="nil"/>
          <w:left w:val="nil"/>
          <w:bottom w:val="nil"/>
          <w:right w:val="nil"/>
          <w:between w:val="nil"/>
        </w:pBdr>
        <w:ind w:left="720" w:right="-28"/>
        <w:rPr>
          <w:rFonts w:ascii="Palatino Linotype" w:eastAsia="Palatino Linotype" w:hAnsi="Palatino Linotype" w:cs="Palatino Linotype"/>
          <w:color w:val="000000"/>
        </w:rPr>
      </w:pPr>
    </w:p>
    <w:p w:rsidR="001E53A7" w:rsidRDefault="00593181" w:rsidP="00E12A85">
      <w:pPr>
        <w:numPr>
          <w:ilvl w:val="0"/>
          <w:numId w:val="1"/>
        </w:numPr>
        <w:pBdr>
          <w:top w:val="nil"/>
          <w:left w:val="nil"/>
          <w:bottom w:val="nil"/>
          <w:right w:val="nil"/>
          <w:between w:val="nil"/>
        </w:pBdr>
        <w:tabs>
          <w:tab w:val="left" w:pos="567"/>
        </w:tabs>
        <w:spacing w:line="360" w:lineRule="auto"/>
        <w:ind w:left="0" w:right="-28" w:firstLine="0"/>
        <w:jc w:val="both"/>
        <w:rPr>
          <w:color w:val="000000"/>
        </w:rPr>
      </w:pPr>
      <w:r>
        <w:rPr>
          <w:rFonts w:ascii="Palatino Linotype" w:eastAsia="Palatino Linotype" w:hAnsi="Palatino Linotype" w:cs="Palatino Linotype"/>
          <w:color w:val="222222"/>
        </w:rPr>
        <w:t xml:space="preserve">Por lo anteriormente expuesto y fundado, este </w:t>
      </w:r>
      <w:r>
        <w:rPr>
          <w:rFonts w:ascii="Palatino Linotype" w:eastAsia="Palatino Linotype" w:hAnsi="Palatino Linotype" w:cs="Palatino Linotype"/>
          <w:b/>
          <w:bCs/>
          <w:color w:val="222222"/>
        </w:rPr>
        <w:t>ÓRGANO GARANTE</w:t>
      </w:r>
      <w:r>
        <w:rPr>
          <w:rFonts w:ascii="Palatino Linotype" w:eastAsia="Palatino Linotype" w:hAnsi="Palatino Linotype" w:cs="Palatino Linotype"/>
          <w:color w:val="222222"/>
        </w:rPr>
        <w:t xml:space="preserve"> emite los siguientes:</w:t>
      </w:r>
    </w:p>
    <w:p w:rsidR="001E53A7" w:rsidRDefault="00593181" w:rsidP="00E12A85">
      <w:pPr>
        <w:pStyle w:val="Ttulo1"/>
        <w:ind w:right="-28"/>
        <w:jc w:val="center"/>
        <w:rPr>
          <w:rFonts w:ascii="Palatino Linotype" w:eastAsia="Palatino Linotype" w:hAnsi="Palatino Linotype" w:cs="Palatino Linotype"/>
          <w:b/>
          <w:bCs/>
          <w:color w:val="000000"/>
          <w:sz w:val="24"/>
          <w:szCs w:val="24"/>
        </w:rPr>
      </w:pPr>
      <w:bookmarkStart w:id="8" w:name="_heading=h.iw8ntfi6ywcf" w:colFirst="0" w:colLast="0"/>
      <w:bookmarkEnd w:id="8"/>
      <w:r>
        <w:rPr>
          <w:rFonts w:ascii="Palatino Linotype" w:eastAsia="Palatino Linotype" w:hAnsi="Palatino Linotype" w:cs="Palatino Linotype"/>
          <w:b/>
          <w:bCs/>
          <w:color w:val="000000"/>
          <w:sz w:val="24"/>
          <w:szCs w:val="24"/>
        </w:rPr>
        <w:t>R E S O L U T I V O S</w:t>
      </w:r>
    </w:p>
    <w:p w:rsidR="001E53A7" w:rsidRDefault="001E53A7" w:rsidP="00E12A85">
      <w:pPr>
        <w:keepNext/>
        <w:keepLines/>
        <w:spacing w:line="360" w:lineRule="auto"/>
        <w:ind w:right="-28"/>
        <w:jc w:val="center"/>
        <w:rPr>
          <w:rFonts w:ascii="Palatino Linotype" w:eastAsia="Palatino Linotype" w:hAnsi="Palatino Linotype" w:cs="Palatino Linotype"/>
          <w:b/>
          <w:bCs/>
        </w:rPr>
      </w:pPr>
    </w:p>
    <w:p w:rsidR="001E53A7" w:rsidRDefault="00593181" w:rsidP="00E12A85">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infundadas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01668/INFOEM/IP/RR/2026 </w:t>
      </w:r>
      <w:r>
        <w:rPr>
          <w:rFonts w:ascii="Palatino Linotype" w:eastAsia="Palatino Linotype" w:hAnsi="Palatino Linotype" w:cs="Palatino Linotype"/>
        </w:rPr>
        <w:t>en términos del</w:t>
      </w:r>
      <w:r>
        <w:rPr>
          <w:rFonts w:ascii="Palatino Linotype" w:eastAsia="Palatino Linotype" w:hAnsi="Palatino Linotype" w:cs="Palatino Linotype"/>
          <w:b/>
          <w:bCs/>
        </w:rPr>
        <w:t xml:space="preserve"> 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de la presente resolución.</w:t>
      </w:r>
    </w:p>
    <w:p w:rsidR="001E53A7" w:rsidRDefault="001E53A7" w:rsidP="00E12A85">
      <w:pPr>
        <w:spacing w:line="360" w:lineRule="auto"/>
        <w:ind w:right="-28"/>
        <w:jc w:val="both"/>
        <w:rPr>
          <w:rFonts w:ascii="Palatino Linotype" w:eastAsia="Palatino Linotype" w:hAnsi="Palatino Linotype" w:cs="Palatino Linotype"/>
          <w:b/>
          <w:bCs/>
        </w:rPr>
      </w:pPr>
    </w:p>
    <w:p w:rsidR="001E53A7" w:rsidRDefault="00593181" w:rsidP="00E12A85">
      <w:pPr>
        <w:spacing w:line="360" w:lineRule="auto"/>
        <w:ind w:right="-28"/>
        <w:jc w:val="both"/>
        <w:rPr>
          <w:rFonts w:ascii="Palatino Linotype" w:eastAsia="Palatino Linotype" w:hAnsi="Palatino Linotype" w:cs="Palatino Linotype"/>
        </w:rPr>
      </w:pPr>
      <w:bookmarkStart w:id="9" w:name="_heading=h.cr4so2aokpzi" w:colFirst="0" w:colLast="0"/>
      <w:bookmarkEnd w:id="9"/>
      <w:r>
        <w:rPr>
          <w:rFonts w:ascii="Palatino Linotype" w:eastAsia="Palatino Linotype" w:hAnsi="Palatino Linotype" w:cs="Palatino Linotype"/>
          <w:b/>
          <w:bCs/>
        </w:rPr>
        <w:t xml:space="preserve">SEGUNDO. </w:t>
      </w:r>
      <w:r>
        <w:rPr>
          <w:rFonts w:ascii="Palatino Linotype" w:eastAsia="Palatino Linotype" w:hAnsi="Palatino Linotype" w:cs="Palatino Linotype"/>
        </w:rPr>
        <w:t xml:space="preserve">Se </w:t>
      </w:r>
      <w:r>
        <w:rPr>
          <w:rFonts w:ascii="Palatino Linotype" w:eastAsia="Palatino Linotype" w:hAnsi="Palatino Linotype" w:cs="Palatino Linotype"/>
          <w:b/>
          <w:bCs/>
        </w:rPr>
        <w:t>CONFIRMA</w:t>
      </w:r>
      <w:r>
        <w:rPr>
          <w:rFonts w:ascii="Palatino Linotype" w:eastAsia="Palatino Linotype" w:hAnsi="Palatino Linotype" w:cs="Palatino Linotype"/>
        </w:rPr>
        <w:t xml:space="preserve"> la respuesta emitida por el </w:t>
      </w:r>
      <w:r>
        <w:rPr>
          <w:rFonts w:ascii="Palatino Linotype" w:eastAsia="Palatino Linotype" w:hAnsi="Palatino Linotype" w:cs="Palatino Linotype"/>
          <w:b/>
          <w:bCs/>
        </w:rPr>
        <w:t>Instituto de Seguridad Social del Estado de México y Municipios</w:t>
      </w:r>
      <w:r>
        <w:rPr>
          <w:rFonts w:ascii="Palatino Linotype" w:eastAsia="Palatino Linotype" w:hAnsi="Palatino Linotype" w:cs="Palatino Linotype"/>
        </w:rPr>
        <w:t xml:space="preserve"> a la solicitud </w:t>
      </w:r>
      <w:r>
        <w:rPr>
          <w:rFonts w:ascii="Palatino Linotype" w:eastAsia="Palatino Linotype" w:hAnsi="Palatino Linotype" w:cs="Palatino Linotype"/>
          <w:b/>
          <w:bCs/>
        </w:rPr>
        <w:t>00015/ISSEMYM/IP/2026</w:t>
      </w:r>
      <w:r>
        <w:rPr>
          <w:rFonts w:ascii="Palatino Linotype" w:eastAsia="Palatino Linotype" w:hAnsi="Palatino Linotype" w:cs="Palatino Linotype"/>
        </w:rPr>
        <w:t>.</w:t>
      </w:r>
    </w:p>
    <w:p w:rsidR="001E53A7" w:rsidRDefault="001E53A7" w:rsidP="00E12A85">
      <w:pPr>
        <w:tabs>
          <w:tab w:val="left" w:pos="993"/>
        </w:tabs>
        <w:spacing w:line="360" w:lineRule="auto"/>
        <w:ind w:right="-28"/>
        <w:jc w:val="both"/>
        <w:rPr>
          <w:rFonts w:ascii="Palatino Linotype" w:eastAsia="Palatino Linotype" w:hAnsi="Palatino Linotype" w:cs="Palatino Linotype"/>
        </w:rPr>
      </w:pPr>
    </w:p>
    <w:p w:rsidR="001E53A7" w:rsidRDefault="00593181" w:rsidP="00E12A85">
      <w:pPr>
        <w:tabs>
          <w:tab w:val="left" w:pos="8080"/>
        </w:tabs>
        <w:spacing w:line="360" w:lineRule="auto"/>
        <w:ind w:right="-28"/>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TERCERO.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rPr>
        <w:t xml:space="preserve">Notifíquese, </w:t>
      </w:r>
      <w:r>
        <w:rPr>
          <w:rFonts w:ascii="Palatino Linotype" w:eastAsia="Palatino Linotype" w:hAnsi="Palatino Linotype" w:cs="Palatino Linotype"/>
        </w:rPr>
        <w:t xml:space="preserve">vía Sistema de Acceso a la Información Mexiquense (SAIMEX), la presente resolución a la Titular de la Unidad de Transparencia del </w:t>
      </w:r>
      <w:r>
        <w:rPr>
          <w:rFonts w:ascii="Palatino Linotype" w:eastAsia="Palatino Linotype" w:hAnsi="Palatino Linotype" w:cs="Palatino Linotype"/>
          <w:b/>
          <w:bCs/>
        </w:rPr>
        <w:t>SUJETO OBLIGADO.</w:t>
      </w:r>
    </w:p>
    <w:p w:rsidR="001E53A7" w:rsidRDefault="001E53A7" w:rsidP="00E12A85">
      <w:pPr>
        <w:tabs>
          <w:tab w:val="left" w:pos="8080"/>
        </w:tabs>
        <w:spacing w:line="360" w:lineRule="auto"/>
        <w:ind w:right="-28"/>
        <w:jc w:val="both"/>
        <w:rPr>
          <w:rFonts w:ascii="Palatino Linotype" w:eastAsia="Palatino Linotype" w:hAnsi="Palatino Linotype" w:cs="Palatino Linotype"/>
          <w:b/>
          <w:bCs/>
        </w:rPr>
      </w:pPr>
    </w:p>
    <w:p w:rsidR="001E53A7" w:rsidRDefault="00593181" w:rsidP="00E12A85">
      <w:pPr>
        <w:shd w:val="clear" w:color="auto" w:fill="FFFFFF"/>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b/>
          <w:bCs/>
          <w:color w:val="222222"/>
        </w:rPr>
        <w:t>Notifíquese al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la presente resolución, vía Sistema de Acceso a la Información Mexiquense (SAIMEX).</w:t>
      </w:r>
    </w:p>
    <w:p w:rsidR="001E53A7" w:rsidRDefault="001E53A7" w:rsidP="00E12A85">
      <w:pPr>
        <w:shd w:val="clear" w:color="auto" w:fill="FFFFFF"/>
        <w:spacing w:line="360" w:lineRule="auto"/>
        <w:ind w:right="-28"/>
        <w:jc w:val="both"/>
        <w:rPr>
          <w:rFonts w:ascii="Palatino Linotype" w:eastAsia="Palatino Linotype" w:hAnsi="Palatino Linotype" w:cs="Palatino Linotype"/>
        </w:rPr>
      </w:pPr>
    </w:p>
    <w:p w:rsidR="001E53A7" w:rsidRDefault="00593181" w:rsidP="00E12A85">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b/>
          <w:bCs/>
        </w:rPr>
        <w:t>QUINTO.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E12A85" w:rsidRDefault="00E12A85" w:rsidP="00E12A85">
      <w:pPr>
        <w:spacing w:line="360" w:lineRule="auto"/>
        <w:ind w:right="-28"/>
        <w:jc w:val="both"/>
        <w:rPr>
          <w:rFonts w:ascii="Palatino Linotype" w:eastAsia="Palatino Linotype" w:hAnsi="Palatino Linotype" w:cs="Palatino Linotype"/>
        </w:rPr>
      </w:pPr>
    </w:p>
    <w:p w:rsidR="00E12A85" w:rsidRPr="003E2295" w:rsidRDefault="00E12A85" w:rsidP="00E12A85">
      <w:pPr>
        <w:spacing w:before="240" w:after="240" w:line="360" w:lineRule="auto"/>
        <w:ind w:right="-28" w:firstLine="1"/>
        <w:jc w:val="both"/>
        <w:rPr>
          <w:rFonts w:ascii="Palatino Linotype" w:hAnsi="Palatino Linotype"/>
        </w:rPr>
      </w:pPr>
      <w:bookmarkStart w:id="10" w:name="_Hlk99014733"/>
      <w:r w:rsidRPr="003E2295">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CUARTA </w:t>
      </w:r>
      <w:r w:rsidRPr="003E2295">
        <w:rPr>
          <w:rFonts w:ascii="Palatino Linotype" w:hAnsi="Palatino Linotype" w:cs="Palatino Linotype"/>
        </w:rPr>
        <w:t>SESIÓN O</w:t>
      </w:r>
      <w:r>
        <w:rPr>
          <w:rFonts w:ascii="Palatino Linotype" w:hAnsi="Palatino Linotype" w:cs="Palatino Linotype"/>
        </w:rPr>
        <w:t>RDINARIA, CELEBRADA EL UNO (01</w:t>
      </w:r>
      <w:r w:rsidRPr="003E2295">
        <w:rPr>
          <w:rFonts w:ascii="Palatino Linotype" w:hAnsi="Palatino Linotype" w:cs="Palatino Linotype"/>
        </w:rPr>
        <w:t xml:space="preserve">) DE </w:t>
      </w:r>
      <w:r>
        <w:rPr>
          <w:rFonts w:ascii="Palatino Linotype" w:hAnsi="Palatino Linotype" w:cs="Palatino Linotype"/>
        </w:rPr>
        <w:t>JULIO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0"/>
    <w:p w:rsidR="001E53A7" w:rsidRDefault="001E53A7" w:rsidP="00E12A85">
      <w:pPr>
        <w:spacing w:before="240" w:after="360" w:line="360" w:lineRule="auto"/>
        <w:ind w:right="-28"/>
        <w:jc w:val="both"/>
        <w:rPr>
          <w:rFonts w:ascii="Palatino Linotype" w:eastAsia="Palatino Linotype" w:hAnsi="Palatino Linotype" w:cs="Palatino Linotype"/>
          <w:color w:val="222222"/>
        </w:rPr>
      </w:pPr>
    </w:p>
    <w:p w:rsidR="001E53A7" w:rsidRDefault="001E53A7" w:rsidP="00E12A85">
      <w:pPr>
        <w:spacing w:before="240" w:after="360" w:line="360" w:lineRule="auto"/>
        <w:ind w:right="-28"/>
        <w:jc w:val="both"/>
        <w:rPr>
          <w:rFonts w:ascii="Palatino Linotype" w:eastAsia="Palatino Linotype" w:hAnsi="Palatino Linotype" w:cs="Palatino Linotype"/>
          <w:color w:val="222222"/>
        </w:rPr>
      </w:pPr>
    </w:p>
    <w:p w:rsidR="001E53A7" w:rsidRDefault="001E53A7" w:rsidP="00E12A85">
      <w:pPr>
        <w:spacing w:before="240" w:after="360" w:line="360" w:lineRule="auto"/>
        <w:ind w:right="-28"/>
        <w:jc w:val="both"/>
        <w:rPr>
          <w:rFonts w:ascii="Palatino Linotype" w:eastAsia="Palatino Linotype" w:hAnsi="Palatino Linotype" w:cs="Palatino Linotype"/>
          <w:color w:val="222222"/>
        </w:rPr>
      </w:pPr>
    </w:p>
    <w:p w:rsidR="001E53A7" w:rsidRDefault="001E53A7" w:rsidP="00E12A85">
      <w:pPr>
        <w:spacing w:before="240" w:after="360" w:line="360" w:lineRule="auto"/>
        <w:ind w:right="-28"/>
        <w:jc w:val="both"/>
        <w:rPr>
          <w:rFonts w:ascii="Palatino Linotype" w:eastAsia="Palatino Linotype" w:hAnsi="Palatino Linotype" w:cs="Palatino Linotype"/>
          <w:color w:val="222222"/>
        </w:rPr>
      </w:pPr>
    </w:p>
    <w:p w:rsidR="001E53A7" w:rsidRDefault="001E53A7" w:rsidP="00E12A85">
      <w:pPr>
        <w:spacing w:before="240" w:after="360" w:line="360" w:lineRule="auto"/>
        <w:ind w:right="-28"/>
        <w:jc w:val="both"/>
        <w:rPr>
          <w:rFonts w:ascii="Palatino Linotype" w:eastAsia="Palatino Linotype" w:hAnsi="Palatino Linotype" w:cs="Palatino Linotype"/>
          <w:color w:val="222222"/>
        </w:rPr>
      </w:pPr>
    </w:p>
    <w:p w:rsidR="001E53A7" w:rsidRDefault="001E53A7" w:rsidP="00E12A85">
      <w:pPr>
        <w:spacing w:before="240" w:after="360" w:line="360" w:lineRule="auto"/>
        <w:ind w:right="-28"/>
        <w:jc w:val="both"/>
        <w:rPr>
          <w:rFonts w:ascii="Palatino Linotype" w:eastAsia="Palatino Linotype" w:hAnsi="Palatino Linotype" w:cs="Palatino Linotype"/>
          <w:color w:val="222222"/>
        </w:rPr>
      </w:pPr>
    </w:p>
    <w:p w:rsidR="001E53A7" w:rsidRDefault="001E53A7" w:rsidP="00E12A85">
      <w:pPr>
        <w:spacing w:before="240" w:after="360" w:line="360" w:lineRule="auto"/>
        <w:ind w:right="-28"/>
        <w:jc w:val="both"/>
        <w:rPr>
          <w:rFonts w:ascii="Palatino Linotype" w:eastAsia="Palatino Linotype" w:hAnsi="Palatino Linotype" w:cs="Palatino Linotype"/>
          <w:color w:val="222222"/>
        </w:rPr>
      </w:pPr>
    </w:p>
    <w:p w:rsidR="001E53A7" w:rsidRDefault="001E53A7" w:rsidP="00E12A85">
      <w:pPr>
        <w:spacing w:before="240" w:after="360" w:line="360" w:lineRule="auto"/>
        <w:ind w:right="-28"/>
        <w:jc w:val="both"/>
        <w:rPr>
          <w:rFonts w:ascii="Palatino Linotype" w:eastAsia="Palatino Linotype" w:hAnsi="Palatino Linotype" w:cs="Palatino Linotype"/>
          <w:color w:val="222222"/>
        </w:rPr>
      </w:pPr>
    </w:p>
    <w:p w:rsidR="001E53A7" w:rsidRDefault="001E53A7" w:rsidP="00E12A85">
      <w:pPr>
        <w:ind w:right="-28"/>
        <w:rPr>
          <w:rFonts w:ascii="Palatino Linotype" w:eastAsia="Palatino Linotype" w:hAnsi="Palatino Linotype" w:cs="Palatino Linotype"/>
        </w:rPr>
      </w:pPr>
    </w:p>
    <w:p w:rsidR="001E53A7" w:rsidRDefault="001E53A7" w:rsidP="00E12A85">
      <w:pPr>
        <w:ind w:right="-28"/>
      </w:pPr>
    </w:p>
    <w:p w:rsidR="001E53A7" w:rsidRDefault="001E53A7" w:rsidP="00E12A85">
      <w:pPr>
        <w:ind w:right="-28"/>
      </w:pPr>
    </w:p>
    <w:p w:rsidR="001E53A7" w:rsidRDefault="001E53A7" w:rsidP="00E12A85">
      <w:pPr>
        <w:ind w:right="-28"/>
      </w:pPr>
    </w:p>
    <w:p w:rsidR="001E53A7" w:rsidRDefault="001E53A7" w:rsidP="00E12A85">
      <w:pPr>
        <w:ind w:right="-28"/>
      </w:pPr>
    </w:p>
    <w:p w:rsidR="001E53A7" w:rsidRDefault="001E53A7" w:rsidP="00E12A85">
      <w:pPr>
        <w:ind w:right="-28"/>
      </w:pPr>
    </w:p>
    <w:p w:rsidR="001E53A7" w:rsidRDefault="001E53A7" w:rsidP="00E12A85">
      <w:pPr>
        <w:ind w:right="-28"/>
      </w:pPr>
    </w:p>
    <w:sectPr w:rsidR="001E53A7" w:rsidSect="00E92212">
      <w:headerReference w:type="even" r:id="rId11"/>
      <w:headerReference w:type="default" r:id="rId12"/>
      <w:footerReference w:type="default" r:id="rId13"/>
      <w:headerReference w:type="first" r:id="rId14"/>
      <w:footerReference w:type="first" r:id="rId15"/>
      <w:pgSz w:w="12240" w:h="15840"/>
      <w:pgMar w:top="80" w:right="758"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3C9" w:rsidRDefault="00D223C9">
      <w:r>
        <w:separator/>
      </w:r>
    </w:p>
  </w:endnote>
  <w:endnote w:type="continuationSeparator" w:id="0">
    <w:p w:rsidR="00D223C9" w:rsidRDefault="00D22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3C0BBB0A-3120-46A1-8932-EC93F06E87C1}"/>
    <w:embedBold r:id="rId2" w:fontKey="{4B4119D4-456A-446B-920B-1AF3385FC326}"/>
    <w:embedItalic r:id="rId3" w:fontKey="{D5613913-B131-47DE-A39C-11CF4EBFE5E3}"/>
    <w:embedBoldItalic r:id="rId4" w:fontKey="{19D2B95A-CC96-4A6B-8D99-2348CD4CC38E}"/>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5" w:fontKey="{7E099327-D411-490E-88EC-75DBB54A3D91}"/>
  </w:font>
  <w:font w:name="Calibri">
    <w:panose1 w:val="020F0502020204030204"/>
    <w:charset w:val="00"/>
    <w:family w:val="swiss"/>
    <w:pitch w:val="variable"/>
    <w:sig w:usb0="E4002EFF" w:usb1="C200247B" w:usb2="00000009" w:usb3="00000000" w:csb0="000001FF" w:csb1="00000000"/>
    <w:embedRegular r:id="rId6" w:fontKey="{9C87CB50-08AC-41C0-901A-7A35DAE7CDE0}"/>
  </w:font>
  <w:font w:name="Georgia">
    <w:panose1 w:val="02040502050405020303"/>
    <w:charset w:val="00"/>
    <w:family w:val="roman"/>
    <w:pitch w:val="variable"/>
    <w:sig w:usb0="00000287" w:usb1="00000000" w:usb2="00000000" w:usb3="00000000" w:csb0="0000009F" w:csb1="00000000"/>
    <w:embedItalic r:id="rId7" w:fontKey="{0938557F-83C5-48EC-8494-2F396F3EA477}"/>
  </w:font>
  <w:font w:name="Garamond">
    <w:panose1 w:val="02020404030301010803"/>
    <w:charset w:val="00"/>
    <w:family w:val="roman"/>
    <w:pitch w:val="variable"/>
    <w:sig w:usb0="00000287" w:usb1="00000000" w:usb2="00000000" w:usb3="00000000" w:csb0="0000009F" w:csb1="00000000"/>
    <w:embedRegular r:id="rId8" w:fontKey="{4F54ABC0-872C-482D-BD74-5715DCA23D8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0140E0FE-CA87-43F6-9BA2-E8FEC5B021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3A7" w:rsidRDefault="001E53A7">
    <w:pPr>
      <w:pBdr>
        <w:top w:val="nil"/>
        <w:left w:val="nil"/>
        <w:bottom w:val="nil"/>
        <w:right w:val="nil"/>
        <w:between w:val="nil"/>
      </w:pBdr>
      <w:tabs>
        <w:tab w:val="center" w:pos="4419"/>
        <w:tab w:val="right" w:pos="8838"/>
      </w:tabs>
      <w:jc w:val="right"/>
      <w:rPr>
        <w:color w:val="000000"/>
        <w:sz w:val="20"/>
        <w:szCs w:val="20"/>
      </w:rPr>
    </w:pPr>
  </w:p>
  <w:p w:rsidR="001E53A7" w:rsidRDefault="00593181">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984F32">
      <w:rPr>
        <w:rFonts w:ascii="Palatino Linotype" w:eastAsia="Palatino Linotype" w:hAnsi="Palatino Linotype" w:cs="Palatino Linotype"/>
        <w:b/>
        <w:bCs/>
        <w:noProof/>
        <w:color w:val="000000"/>
        <w:sz w:val="22"/>
        <w:szCs w:val="22"/>
      </w:rPr>
      <w:t>4</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984F32">
      <w:rPr>
        <w:rFonts w:ascii="Palatino Linotype" w:eastAsia="Palatino Linotype" w:hAnsi="Palatino Linotype" w:cs="Palatino Linotype"/>
        <w:b/>
        <w:bCs/>
        <w:noProof/>
        <w:color w:val="000000"/>
        <w:sz w:val="22"/>
        <w:szCs w:val="22"/>
      </w:rPr>
      <w:t>23</w:t>
    </w:r>
    <w:r>
      <w:rPr>
        <w:rFonts w:ascii="Palatino Linotype" w:eastAsia="Palatino Linotype" w:hAnsi="Palatino Linotype" w:cs="Palatino Linotype"/>
        <w:b/>
        <w:bCs/>
        <w:color w:val="000000"/>
        <w:sz w:val="22"/>
        <w:szCs w:val="22"/>
      </w:rPr>
      <w:fldChar w:fldCharType="end"/>
    </w:r>
  </w:p>
  <w:p w:rsidR="001E53A7" w:rsidRDefault="001E53A7">
    <w:pPr>
      <w:pBdr>
        <w:top w:val="nil"/>
        <w:left w:val="nil"/>
        <w:bottom w:val="nil"/>
        <w:right w:val="nil"/>
        <w:between w:val="nil"/>
      </w:pBdr>
      <w:tabs>
        <w:tab w:val="center" w:pos="4419"/>
        <w:tab w:val="right" w:pos="8838"/>
      </w:tabs>
      <w:rPr>
        <w:color w:val="000000"/>
        <w:sz w:val="20"/>
        <w:szCs w:val="20"/>
      </w:rPr>
    </w:pPr>
  </w:p>
  <w:p w:rsidR="001E53A7" w:rsidRDefault="001E53A7"/>
  <w:p w:rsidR="001E53A7" w:rsidRDefault="001E53A7"/>
  <w:p w:rsidR="001E53A7" w:rsidRDefault="001E53A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3A7" w:rsidRDefault="00593181">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984F32">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984F32">
      <w:rPr>
        <w:rFonts w:ascii="Palatino Linotype" w:eastAsia="Palatino Linotype" w:hAnsi="Palatino Linotype" w:cs="Palatino Linotype"/>
        <w:b/>
        <w:bCs/>
        <w:noProof/>
        <w:color w:val="000000"/>
        <w:sz w:val="22"/>
        <w:szCs w:val="22"/>
      </w:rPr>
      <w:t>23</w:t>
    </w:r>
    <w:r>
      <w:rPr>
        <w:rFonts w:ascii="Palatino Linotype" w:eastAsia="Palatino Linotype" w:hAnsi="Palatino Linotype" w:cs="Palatino Linotype"/>
        <w:b/>
        <w:bCs/>
        <w:color w:val="000000"/>
        <w:sz w:val="22"/>
        <w:szCs w:val="22"/>
      </w:rPr>
      <w:fldChar w:fldCharType="end"/>
    </w:r>
  </w:p>
  <w:p w:rsidR="001E53A7" w:rsidRDefault="001E53A7">
    <w:pPr>
      <w:pBdr>
        <w:top w:val="nil"/>
        <w:left w:val="nil"/>
        <w:bottom w:val="nil"/>
        <w:right w:val="nil"/>
        <w:between w:val="nil"/>
      </w:pBdr>
      <w:tabs>
        <w:tab w:val="center" w:pos="4419"/>
        <w:tab w:val="right" w:pos="8838"/>
      </w:tabs>
      <w:rPr>
        <w:color w:val="000000"/>
        <w:sz w:val="20"/>
        <w:szCs w:val="20"/>
      </w:rPr>
    </w:pPr>
  </w:p>
  <w:p w:rsidR="001E53A7" w:rsidRDefault="001E53A7"/>
  <w:p w:rsidR="001E53A7" w:rsidRDefault="001E53A7"/>
  <w:p w:rsidR="001E53A7" w:rsidRDefault="001E53A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3C9" w:rsidRDefault="00D223C9">
      <w:r>
        <w:separator/>
      </w:r>
    </w:p>
  </w:footnote>
  <w:footnote w:type="continuationSeparator" w:id="0">
    <w:p w:rsidR="00D223C9" w:rsidRDefault="00D223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3A7" w:rsidRDefault="00D223C9">
    <w:pPr>
      <w:pBdr>
        <w:top w:val="nil"/>
        <w:left w:val="nil"/>
        <w:bottom w:val="nil"/>
        <w:right w:val="nil"/>
        <w:between w:val="nil"/>
      </w:pBdr>
      <w:tabs>
        <w:tab w:val="center" w:pos="4419"/>
        <w:tab w:val="right" w:pos="8838"/>
      </w:tabs>
      <w:rPr>
        <w:color w:val="000000"/>
        <w:sz w:val="20"/>
        <w:szCs w:val="20"/>
      </w:rPr>
    </w:pPr>
    <w:r>
      <w:rPr>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63.5pt;height:12in;z-index:-251657728;mso-position-horizontal:center;mso-position-horizontal-relative:margin;mso-position-vertical:center;mso-position-vertical-relative:margin">
          <v:imagedata r:id="rId1" o:title="image1"/>
          <w10:wrap anchorx="margin" anchory="margin"/>
        </v:shape>
      </w:pict>
    </w:r>
  </w:p>
  <w:p w:rsidR="001E53A7" w:rsidRDefault="001E53A7"/>
  <w:p w:rsidR="001E53A7" w:rsidRDefault="001E53A7"/>
  <w:p w:rsidR="001E53A7" w:rsidRDefault="001E53A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320" w:type="dxa"/>
      <w:tblInd w:w="0" w:type="dxa"/>
      <w:tblLayout w:type="fixed"/>
      <w:tblLook w:val="0400" w:firstRow="0" w:lastRow="0" w:firstColumn="0" w:lastColumn="0" w:noHBand="0" w:noVBand="1"/>
    </w:tblPr>
    <w:tblGrid>
      <w:gridCol w:w="1845"/>
      <w:gridCol w:w="8475"/>
    </w:tblGrid>
    <w:tr w:rsidR="001E53A7">
      <w:trPr>
        <w:trHeight w:val="1435"/>
      </w:trPr>
      <w:tc>
        <w:tcPr>
          <w:tcW w:w="1845" w:type="dxa"/>
          <w:shd w:val="clear" w:color="auto" w:fill="auto"/>
        </w:tcPr>
        <w:p w:rsidR="001E53A7" w:rsidRDefault="00593181">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475" w:type="dxa"/>
          <w:shd w:val="clear" w:color="auto" w:fill="auto"/>
        </w:tcPr>
        <w:tbl>
          <w:tblPr>
            <w:tblStyle w:val="a1"/>
            <w:tblW w:w="6630" w:type="dxa"/>
            <w:tblInd w:w="1594" w:type="dxa"/>
            <w:tblBorders>
              <w:top w:val="nil"/>
              <w:left w:val="nil"/>
              <w:bottom w:val="nil"/>
              <w:right w:val="nil"/>
              <w:insideH w:val="nil"/>
              <w:insideV w:val="nil"/>
            </w:tblBorders>
            <w:tblLayout w:type="fixed"/>
            <w:tblLook w:val="0400" w:firstRow="0" w:lastRow="0" w:firstColumn="0" w:lastColumn="0" w:noHBand="0" w:noVBand="1"/>
          </w:tblPr>
          <w:tblGrid>
            <w:gridCol w:w="2775"/>
            <w:gridCol w:w="3855"/>
          </w:tblGrid>
          <w:tr w:rsidR="001E53A7">
            <w:trPr>
              <w:trHeight w:val="338"/>
            </w:trPr>
            <w:tc>
              <w:tcPr>
                <w:tcW w:w="2775" w:type="dxa"/>
              </w:tcPr>
              <w:p w:rsidR="001E53A7" w:rsidRDefault="00593181">
                <w:pPr>
                  <w:tabs>
                    <w:tab w:val="right" w:pos="8838"/>
                  </w:tabs>
                  <w:ind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3855" w:type="dxa"/>
              </w:tcPr>
              <w:p w:rsidR="001E53A7" w:rsidRDefault="00593181">
                <w:pPr>
                  <w:tabs>
                    <w:tab w:val="right" w:pos="4112"/>
                  </w:tabs>
                  <w:ind w:right="-1268" w:hanging="101"/>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01668/INFOEM/IP/RR/2026</w:t>
                </w:r>
              </w:p>
            </w:tc>
          </w:tr>
          <w:tr w:rsidR="001E53A7">
            <w:trPr>
              <w:trHeight w:val="283"/>
            </w:trPr>
            <w:tc>
              <w:tcPr>
                <w:tcW w:w="2775" w:type="dxa"/>
              </w:tcPr>
              <w:p w:rsidR="001E53A7" w:rsidRDefault="00593181">
                <w:pPr>
                  <w:tabs>
                    <w:tab w:val="right" w:pos="8838"/>
                  </w:tabs>
                  <w:ind w:right="-105"/>
                  <w:rPr>
                    <w:rFonts w:ascii="Palatino Linotype" w:eastAsia="Palatino Linotype" w:hAnsi="Palatino Linotype" w:cs="Palatino Linotype"/>
                    <w:b/>
                    <w:bCs/>
                    <w:sz w:val="24"/>
                    <w:szCs w:val="24"/>
                  </w:rPr>
                </w:pPr>
                <w:bookmarkStart w:id="11" w:name="_heading=h.bxd5ljg51t5w" w:colFirst="0" w:colLast="0"/>
                <w:bookmarkEnd w:id="11"/>
                <w:r>
                  <w:rPr>
                    <w:rFonts w:ascii="Palatino Linotype" w:eastAsia="Palatino Linotype" w:hAnsi="Palatino Linotype" w:cs="Palatino Linotype"/>
                    <w:b/>
                    <w:bCs/>
                    <w:sz w:val="24"/>
                    <w:szCs w:val="24"/>
                  </w:rPr>
                  <w:t>Sujeto Obligado:</w:t>
                </w:r>
              </w:p>
            </w:tc>
            <w:tc>
              <w:tcPr>
                <w:tcW w:w="3855" w:type="dxa"/>
              </w:tcPr>
              <w:p w:rsidR="00E12A85" w:rsidRDefault="00593181">
                <w:pPr>
                  <w:tabs>
                    <w:tab w:val="right" w:pos="4112"/>
                  </w:tabs>
                  <w:ind w:left="-113" w:right="-1298"/>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Instituto de Seguridad Social del </w:t>
                </w:r>
              </w:p>
              <w:p w:rsidR="001E53A7" w:rsidRDefault="00593181">
                <w:pPr>
                  <w:tabs>
                    <w:tab w:val="right" w:pos="4112"/>
                  </w:tabs>
                  <w:ind w:left="-113" w:right="-1298"/>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Estado de México y Municipios</w:t>
                </w:r>
              </w:p>
            </w:tc>
          </w:tr>
          <w:tr w:rsidR="001E53A7">
            <w:trPr>
              <w:trHeight w:val="283"/>
            </w:trPr>
            <w:tc>
              <w:tcPr>
                <w:tcW w:w="2775" w:type="dxa"/>
              </w:tcPr>
              <w:p w:rsidR="001E53A7" w:rsidRDefault="00593181">
                <w:pPr>
                  <w:tabs>
                    <w:tab w:val="right" w:pos="8838"/>
                  </w:tabs>
                  <w:ind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3855" w:type="dxa"/>
              </w:tcPr>
              <w:p w:rsidR="001E53A7" w:rsidRDefault="00593181">
                <w:pPr>
                  <w:tabs>
                    <w:tab w:val="right" w:pos="4112"/>
                  </w:tabs>
                  <w:ind w:left="-113" w:right="-1298"/>
                  <w:rPr>
                    <w:rFonts w:ascii="Palatino Linotype" w:eastAsia="Palatino Linotype" w:hAnsi="Palatino Linotype" w:cs="Palatino Linotype"/>
                    <w:b/>
                    <w:bCs/>
                    <w:sz w:val="24"/>
                    <w:szCs w:val="24"/>
                  </w:rPr>
                </w:pPr>
                <w:r>
                  <w:rPr>
                    <w:rFonts w:ascii="Palatino Linotype" w:eastAsia="Palatino Linotype" w:hAnsi="Palatino Linotype" w:cs="Palatino Linotype"/>
                    <w:sz w:val="24"/>
                    <w:szCs w:val="24"/>
                  </w:rPr>
                  <w:t>María del Rosario Mejía Ayala</w:t>
                </w:r>
              </w:p>
            </w:tc>
          </w:tr>
        </w:tbl>
        <w:p w:rsidR="001E53A7" w:rsidRDefault="001E53A7">
          <w:pPr>
            <w:tabs>
              <w:tab w:val="right" w:pos="8838"/>
            </w:tabs>
            <w:ind w:left="-28"/>
            <w:jc w:val="both"/>
            <w:rPr>
              <w:rFonts w:ascii="Arial" w:eastAsia="Arial" w:hAnsi="Arial" w:cs="Arial"/>
              <w:b/>
              <w:bCs/>
              <w:sz w:val="22"/>
              <w:szCs w:val="22"/>
            </w:rPr>
          </w:pPr>
        </w:p>
      </w:tc>
    </w:tr>
  </w:tbl>
  <w:p w:rsidR="001E53A7" w:rsidRDefault="00D223C9">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72.75pt;margin-top:-135.25pt;width:663.5pt;height:12in;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470" w:type="dxa"/>
      <w:tblInd w:w="0" w:type="dxa"/>
      <w:tblLayout w:type="fixed"/>
      <w:tblLook w:val="0400" w:firstRow="0" w:lastRow="0" w:firstColumn="0" w:lastColumn="0" w:noHBand="0" w:noVBand="1"/>
    </w:tblPr>
    <w:tblGrid>
      <w:gridCol w:w="1560"/>
      <w:gridCol w:w="8910"/>
    </w:tblGrid>
    <w:tr w:rsidR="001E53A7">
      <w:trPr>
        <w:trHeight w:val="1435"/>
      </w:trPr>
      <w:tc>
        <w:tcPr>
          <w:tcW w:w="1560" w:type="dxa"/>
          <w:shd w:val="clear" w:color="auto" w:fill="auto"/>
        </w:tcPr>
        <w:p w:rsidR="001E53A7" w:rsidRDefault="001E53A7">
          <w:pPr>
            <w:tabs>
              <w:tab w:val="right" w:pos="4273"/>
            </w:tabs>
            <w:rPr>
              <w:rFonts w:ascii="Garamond" w:eastAsia="Garamond" w:hAnsi="Garamond" w:cs="Garamond"/>
              <w:sz w:val="22"/>
              <w:szCs w:val="22"/>
            </w:rPr>
          </w:pPr>
        </w:p>
      </w:tc>
      <w:tc>
        <w:tcPr>
          <w:tcW w:w="8910" w:type="dxa"/>
          <w:shd w:val="clear" w:color="auto" w:fill="auto"/>
        </w:tcPr>
        <w:tbl>
          <w:tblPr>
            <w:tblStyle w:val="a3"/>
            <w:tblW w:w="8940" w:type="dxa"/>
            <w:tblInd w:w="1879" w:type="dxa"/>
            <w:tblBorders>
              <w:top w:val="nil"/>
              <w:left w:val="nil"/>
              <w:bottom w:val="nil"/>
              <w:right w:val="nil"/>
              <w:insideH w:val="nil"/>
              <w:insideV w:val="nil"/>
            </w:tblBorders>
            <w:tblLayout w:type="fixed"/>
            <w:tblLook w:val="0400" w:firstRow="0" w:lastRow="0" w:firstColumn="0" w:lastColumn="0" w:noHBand="0" w:noVBand="1"/>
          </w:tblPr>
          <w:tblGrid>
            <w:gridCol w:w="2657"/>
            <w:gridCol w:w="4048"/>
            <w:gridCol w:w="2235"/>
          </w:tblGrid>
          <w:tr w:rsidR="001E53A7">
            <w:trPr>
              <w:trHeight w:val="144"/>
            </w:trPr>
            <w:tc>
              <w:tcPr>
                <w:tcW w:w="2657" w:type="dxa"/>
              </w:tcPr>
              <w:p w:rsidR="001E53A7" w:rsidRDefault="00593181">
                <w:pPr>
                  <w:tabs>
                    <w:tab w:val="right" w:pos="6797"/>
                  </w:tabs>
                  <w:ind w:left="-74" w:right="-105"/>
                  <w:rPr>
                    <w:rFonts w:ascii="Palatino Linotype" w:eastAsia="Palatino Linotype" w:hAnsi="Palatino Linotype" w:cs="Palatino Linotype"/>
                    <w:b/>
                    <w:bCs/>
                    <w:sz w:val="24"/>
                    <w:szCs w:val="24"/>
                  </w:rPr>
                </w:pPr>
                <w:bookmarkStart w:id="12" w:name="_heading=h.26rrlf5z56yy" w:colFirst="0" w:colLast="0"/>
                <w:bookmarkEnd w:id="12"/>
                <w:r>
                  <w:rPr>
                    <w:rFonts w:ascii="Palatino Linotype" w:eastAsia="Palatino Linotype" w:hAnsi="Palatino Linotype" w:cs="Palatino Linotype"/>
                    <w:b/>
                    <w:bCs/>
                    <w:sz w:val="24"/>
                    <w:szCs w:val="24"/>
                  </w:rPr>
                  <w:t>Recurso de Revisión:</w:t>
                </w:r>
              </w:p>
            </w:tc>
            <w:tc>
              <w:tcPr>
                <w:tcW w:w="4048" w:type="dxa"/>
              </w:tcPr>
              <w:p w:rsidR="001E53A7" w:rsidRDefault="00593181">
                <w:pPr>
                  <w:tabs>
                    <w:tab w:val="right" w:pos="6797"/>
                  </w:tabs>
                  <w:ind w:left="-3" w:right="-10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01668/INFOEM/IP/RR/2026</w:t>
                </w:r>
                <w:r>
                  <w:rPr>
                    <w:rFonts w:ascii="Palatino Linotype" w:eastAsia="Palatino Linotype" w:hAnsi="Palatino Linotype" w:cs="Palatino Linotype"/>
                  </w:rPr>
                  <w:t xml:space="preserve"> </w:t>
                </w:r>
              </w:p>
            </w:tc>
            <w:tc>
              <w:tcPr>
                <w:tcW w:w="2235" w:type="dxa"/>
              </w:tcPr>
              <w:p w:rsidR="001E53A7" w:rsidRDefault="001E53A7">
                <w:pPr>
                  <w:tabs>
                    <w:tab w:val="right" w:pos="8838"/>
                  </w:tabs>
                  <w:ind w:left="-74" w:right="-105"/>
                  <w:jc w:val="both"/>
                  <w:rPr>
                    <w:rFonts w:ascii="Palatino Linotype" w:eastAsia="Palatino Linotype" w:hAnsi="Palatino Linotype" w:cs="Palatino Linotype"/>
                    <w:sz w:val="22"/>
                    <w:szCs w:val="22"/>
                  </w:rPr>
                </w:pPr>
              </w:p>
            </w:tc>
          </w:tr>
          <w:tr w:rsidR="001E53A7">
            <w:trPr>
              <w:trHeight w:val="144"/>
            </w:trPr>
            <w:tc>
              <w:tcPr>
                <w:tcW w:w="2657" w:type="dxa"/>
              </w:tcPr>
              <w:p w:rsidR="001E53A7" w:rsidRDefault="00593181">
                <w:pPr>
                  <w:tabs>
                    <w:tab w:val="right" w:pos="6797"/>
                  </w:tabs>
                  <w:ind w:left="-74" w:right="-105"/>
                  <w:rPr>
                    <w:rFonts w:ascii="Palatino Linotype" w:eastAsia="Palatino Linotype" w:hAnsi="Palatino Linotype" w:cs="Palatino Linotype"/>
                    <w:b/>
                    <w:bCs/>
                    <w:sz w:val="24"/>
                    <w:szCs w:val="24"/>
                  </w:rPr>
                </w:pPr>
                <w:bookmarkStart w:id="13" w:name="_heading=h.xrk38tvqleaw" w:colFirst="0" w:colLast="0"/>
                <w:bookmarkEnd w:id="13"/>
                <w:r>
                  <w:rPr>
                    <w:rFonts w:ascii="Palatino Linotype" w:eastAsia="Palatino Linotype" w:hAnsi="Palatino Linotype" w:cs="Palatino Linotype"/>
                    <w:b/>
                    <w:bCs/>
                    <w:sz w:val="24"/>
                    <w:szCs w:val="24"/>
                  </w:rPr>
                  <w:t>Recurrente:</w:t>
                </w:r>
              </w:p>
            </w:tc>
            <w:tc>
              <w:tcPr>
                <w:tcW w:w="4048" w:type="dxa"/>
              </w:tcPr>
              <w:p w:rsidR="001E53A7" w:rsidRDefault="00984F32">
                <w:pPr>
                  <w:tabs>
                    <w:tab w:val="left" w:pos="3122"/>
                    <w:tab w:val="right" w:pos="6797"/>
                  </w:tabs>
                  <w:ind w:right="178"/>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p>
            </w:tc>
            <w:tc>
              <w:tcPr>
                <w:tcW w:w="2235" w:type="dxa"/>
              </w:tcPr>
              <w:p w:rsidR="001E53A7" w:rsidRDefault="001E53A7">
                <w:pPr>
                  <w:tabs>
                    <w:tab w:val="left" w:pos="3122"/>
                    <w:tab w:val="right" w:pos="8838"/>
                  </w:tabs>
                  <w:ind w:right="-105"/>
                  <w:jc w:val="both"/>
                  <w:rPr>
                    <w:rFonts w:ascii="Palatino Linotype" w:eastAsia="Palatino Linotype" w:hAnsi="Palatino Linotype" w:cs="Palatino Linotype"/>
                    <w:sz w:val="22"/>
                    <w:szCs w:val="22"/>
                  </w:rPr>
                </w:pPr>
              </w:p>
            </w:tc>
          </w:tr>
          <w:tr w:rsidR="001E53A7">
            <w:trPr>
              <w:trHeight w:val="283"/>
            </w:trPr>
            <w:tc>
              <w:tcPr>
                <w:tcW w:w="2657" w:type="dxa"/>
              </w:tcPr>
              <w:p w:rsidR="001E53A7" w:rsidRDefault="00593181">
                <w:pPr>
                  <w:tabs>
                    <w:tab w:val="right" w:pos="6797"/>
                  </w:tabs>
                  <w:ind w:left="-74"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4048" w:type="dxa"/>
              </w:tcPr>
              <w:p w:rsidR="001E53A7" w:rsidRDefault="00593181">
                <w:pPr>
                  <w:tabs>
                    <w:tab w:val="left" w:pos="2834"/>
                    <w:tab w:val="right" w:pos="6797"/>
                  </w:tabs>
                  <w:ind w:left="-3" w:right="-10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Instituto de Seguridad Social del Estado de México y Municipios</w:t>
                </w:r>
              </w:p>
            </w:tc>
            <w:tc>
              <w:tcPr>
                <w:tcW w:w="2235" w:type="dxa"/>
              </w:tcPr>
              <w:p w:rsidR="001E53A7" w:rsidRDefault="001E53A7">
                <w:pPr>
                  <w:tabs>
                    <w:tab w:val="left" w:pos="2834"/>
                    <w:tab w:val="right" w:pos="8838"/>
                  </w:tabs>
                  <w:ind w:left="-74" w:right="-105"/>
                  <w:jc w:val="both"/>
                  <w:rPr>
                    <w:rFonts w:ascii="Palatino Linotype" w:eastAsia="Palatino Linotype" w:hAnsi="Palatino Linotype" w:cs="Palatino Linotype"/>
                    <w:sz w:val="22"/>
                    <w:szCs w:val="22"/>
                  </w:rPr>
                </w:pPr>
              </w:p>
            </w:tc>
          </w:tr>
          <w:tr w:rsidR="001E53A7">
            <w:trPr>
              <w:trHeight w:val="283"/>
            </w:trPr>
            <w:tc>
              <w:tcPr>
                <w:tcW w:w="2657" w:type="dxa"/>
              </w:tcPr>
              <w:p w:rsidR="001E53A7" w:rsidRDefault="00593181">
                <w:pPr>
                  <w:tabs>
                    <w:tab w:val="right" w:pos="6797"/>
                  </w:tabs>
                  <w:ind w:left="-74"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048" w:type="dxa"/>
              </w:tcPr>
              <w:p w:rsidR="001E53A7" w:rsidRDefault="00593181">
                <w:pPr>
                  <w:tabs>
                    <w:tab w:val="right" w:pos="6797"/>
                  </w:tabs>
                  <w:ind w:left="-3" w:right="-10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María del Rosario Mejía Ayala</w:t>
                </w:r>
              </w:p>
            </w:tc>
            <w:tc>
              <w:tcPr>
                <w:tcW w:w="2235" w:type="dxa"/>
              </w:tcPr>
              <w:p w:rsidR="001E53A7" w:rsidRDefault="001E53A7">
                <w:pPr>
                  <w:tabs>
                    <w:tab w:val="right" w:pos="8838"/>
                  </w:tabs>
                  <w:ind w:left="-74" w:right="-105"/>
                  <w:jc w:val="both"/>
                  <w:rPr>
                    <w:rFonts w:ascii="Palatino Linotype" w:eastAsia="Palatino Linotype" w:hAnsi="Palatino Linotype" w:cs="Palatino Linotype"/>
                    <w:sz w:val="22"/>
                    <w:szCs w:val="22"/>
                  </w:rPr>
                </w:pPr>
              </w:p>
            </w:tc>
          </w:tr>
        </w:tbl>
        <w:p w:rsidR="001E53A7" w:rsidRDefault="001E53A7">
          <w:pPr>
            <w:tabs>
              <w:tab w:val="right" w:pos="8838"/>
            </w:tabs>
            <w:ind w:left="-28"/>
            <w:jc w:val="both"/>
            <w:rPr>
              <w:rFonts w:ascii="Arial" w:eastAsia="Arial" w:hAnsi="Arial" w:cs="Arial"/>
              <w:b/>
              <w:bCs/>
              <w:sz w:val="22"/>
              <w:szCs w:val="22"/>
            </w:rPr>
          </w:pPr>
        </w:p>
      </w:tc>
    </w:tr>
  </w:tbl>
  <w:p w:rsidR="001E53A7" w:rsidRPr="00E92212" w:rsidRDefault="00D223C9" w:rsidP="00E92212">
    <w:pPr>
      <w:pBdr>
        <w:top w:val="nil"/>
        <w:left w:val="nil"/>
        <w:bottom w:val="nil"/>
        <w:right w:val="nil"/>
        <w:between w:val="nil"/>
      </w:pBdr>
      <w:tabs>
        <w:tab w:val="center" w:pos="4419"/>
        <w:tab w:val="right" w:pos="8838"/>
        <w:tab w:val="center" w:pos="4522"/>
      </w:tabs>
      <w:rPr>
        <w:color w:val="000000"/>
        <w:sz w:val="20"/>
        <w:szCs w:val="20"/>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59.7pt;margin-top:-146.4pt;width:663.5pt;height:12in;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8119AD"/>
    <w:multiLevelType w:val="multilevel"/>
    <w:tmpl w:val="5A56FB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58B60871"/>
    <w:multiLevelType w:val="multilevel"/>
    <w:tmpl w:val="0F8CCB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EC45D03"/>
    <w:multiLevelType w:val="multilevel"/>
    <w:tmpl w:val="04268FB0"/>
    <w:lvl w:ilvl="0">
      <w:start w:val="1"/>
      <w:numFmt w:val="decimal"/>
      <w:lvlText w:val="%1."/>
      <w:lvlJc w:val="left"/>
      <w:pPr>
        <w:ind w:left="4613" w:hanging="360"/>
      </w:pPr>
      <w:rPr>
        <w:rFonts w:ascii="Palatino Linotype" w:eastAsia="Palatino Linotype" w:hAnsi="Palatino Linotype" w:cs="Palatino Linotype"/>
        <w:b/>
        <w:bCs/>
        <w:i w:val="0"/>
        <w:iCs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bCs/>
        <w:color w:val="000000"/>
        <w:sz w:val="24"/>
        <w:szCs w:val="24"/>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5E31A6"/>
    <w:multiLevelType w:val="multilevel"/>
    <w:tmpl w:val="C2968CA2"/>
    <w:lvl w:ilvl="0">
      <w:start w:val="9"/>
      <w:numFmt w:val="bullet"/>
      <w:lvlText w:val="-"/>
      <w:lvlJc w:val="left"/>
      <w:pPr>
        <w:ind w:left="1211" w:hanging="360"/>
      </w:pPr>
      <w:rPr>
        <w:rFonts w:ascii="Palatino Linotype" w:eastAsia="Palatino Linotype" w:hAnsi="Palatino Linotype" w:cs="Palatino Linotype"/>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4" w15:restartNumberingAfterBreak="0">
    <w:nsid w:val="75BF7038"/>
    <w:multiLevelType w:val="multilevel"/>
    <w:tmpl w:val="C534D7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3A7"/>
    <w:rsid w:val="000738AC"/>
    <w:rsid w:val="001E53A7"/>
    <w:rsid w:val="00593181"/>
    <w:rsid w:val="006F28CD"/>
    <w:rsid w:val="00984F32"/>
    <w:rsid w:val="00B40BC2"/>
    <w:rsid w:val="00D223C9"/>
    <w:rsid w:val="00E12A85"/>
    <w:rsid w:val="00E922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6AF0C85-8A50-4B92-8FB7-5AF106E3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rPr>
      <w:sz w:val="20"/>
      <w:szCs w:val="20"/>
    </w:rPr>
    <w:tblPr>
      <w:tblStyleRowBandSize w:val="1"/>
      <w:tblStyleColBandSize w:val="1"/>
      <w:tblCellMar>
        <w:top w:w="0" w:type="dxa"/>
        <w:left w:w="108" w:type="dxa"/>
        <w:bottom w:w="0" w:type="dxa"/>
        <w:right w:w="108" w:type="dxa"/>
      </w:tblCellMar>
    </w:tblPr>
  </w:style>
  <w:style w:type="paragraph" w:styleId="Piedepgina">
    <w:name w:val="footer"/>
    <w:basedOn w:val="Normal"/>
    <w:link w:val="PiedepginaCar"/>
    <w:uiPriority w:val="99"/>
    <w:unhideWhenUsed/>
    <w:rsid w:val="00E12A85"/>
    <w:pPr>
      <w:tabs>
        <w:tab w:val="center" w:pos="4419"/>
        <w:tab w:val="right" w:pos="8838"/>
      </w:tabs>
    </w:pPr>
  </w:style>
  <w:style w:type="character" w:customStyle="1" w:styleId="PiedepginaCar">
    <w:name w:val="Pie de página Car"/>
    <w:basedOn w:val="Fuentedeprrafopredeter"/>
    <w:link w:val="Piedepgina"/>
    <w:uiPriority w:val="99"/>
    <w:rsid w:val="00E12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674110.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6UvqGHvOcbu/IcbQnlK2T6IKTA==">CgMxLjAyDWguaXM0NzNxbTd6YXAyDWguYXFhaTJpd2tpZmYyDmguN3VlaWF5azEwczN1Mg5oLnViaXV2aWFxcjl2MzIOaC5rMGplMHRlemN6bmsyDmgudTd2d2pqM2E5cTVyMg5oLnQ1ODBjcmFjanFyMjIOaC5pdzhudGZpNnl3Y2YyDmguY3I0c28yYW9rcHppMg5oLmJ4ZDVsamc1MXQ1dzIOaC4yNnJybGY1ejU2eXkyDmgueHJrMzh0dnFsZWF3OAByITFObnZOcFFjYkFTV0g1RTBSUGx6czJYbTUteWtIQXZ6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5085</Words>
  <Characters>27969</Characters>
  <Application>Microsoft Office Word</Application>
  <DocSecurity>0</DocSecurity>
  <Lines>233</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2026-07-03T15:59:00Z</cp:lastPrinted>
  <dcterms:created xsi:type="dcterms:W3CDTF">2026-07-01T19:49:00Z</dcterms:created>
  <dcterms:modified xsi:type="dcterms:W3CDTF">2026-07-07T22:32:00Z</dcterms:modified>
</cp:coreProperties>
</file>