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841" w:rsidRDefault="00203E1E">
      <w:pPr>
        <w:tabs>
          <w:tab w:val="left" w:pos="3465"/>
        </w:tabs>
        <w:spacing w:line="360" w:lineRule="auto"/>
        <w:ind w:right="-929"/>
        <w:jc w:val="both"/>
        <w:rPr>
          <w:rFonts w:ascii="Palatino Linotype" w:eastAsia="Palatino Linotype" w:hAnsi="Palatino Linotype" w:cs="Palatino Linotype"/>
          <w:b/>
          <w:bCs/>
        </w:rPr>
      </w:pPr>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w:t>
      </w:r>
      <w:r>
        <w:rPr>
          <w:rFonts w:ascii="Palatino Linotype" w:eastAsia="Palatino Linotype" w:hAnsi="Palatino Linotype" w:cs="Palatino Linotype"/>
          <w:b/>
          <w:bCs/>
        </w:rPr>
        <w:t>fecha diez (10) de junio de dos mil veintiséis.</w:t>
      </w:r>
    </w:p>
    <w:p w:rsidR="00890841" w:rsidRDefault="00890841">
      <w:pPr>
        <w:tabs>
          <w:tab w:val="left" w:pos="3465"/>
        </w:tabs>
        <w:spacing w:line="360" w:lineRule="auto"/>
        <w:ind w:right="-929"/>
        <w:jc w:val="both"/>
        <w:rPr>
          <w:rFonts w:ascii="Palatino Linotype" w:eastAsia="Palatino Linotype" w:hAnsi="Palatino Linotype" w:cs="Palatino Linotype"/>
        </w:rPr>
      </w:pPr>
    </w:p>
    <w:p w:rsidR="00890841" w:rsidRDefault="00203E1E">
      <w:pPr>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b/>
          <w:bCs/>
        </w:rPr>
        <w:t xml:space="preserve">VISTAS </w:t>
      </w:r>
      <w:r>
        <w:rPr>
          <w:rFonts w:ascii="Palatino Linotype" w:eastAsia="Palatino Linotype" w:hAnsi="Palatino Linotype" w:cs="Palatino Linotype"/>
        </w:rPr>
        <w:t xml:space="preserve">las constancias para resolver el Recurso de Revisión </w:t>
      </w:r>
      <w:r>
        <w:rPr>
          <w:rFonts w:ascii="Palatino Linotype" w:eastAsia="Palatino Linotype" w:hAnsi="Palatino Linotype" w:cs="Palatino Linotype"/>
          <w:b/>
          <w:bCs/>
        </w:rPr>
        <w:t>05378/INFOEM/IP/RR/2026,</w:t>
      </w:r>
      <w:r>
        <w:rPr>
          <w:rFonts w:ascii="Palatino Linotype" w:eastAsia="Palatino Linotype" w:hAnsi="Palatino Linotype" w:cs="Palatino Linotype"/>
        </w:rPr>
        <w:t xml:space="preserve"> presentado por </w:t>
      </w:r>
      <w:r w:rsidR="00B02913">
        <w:rPr>
          <w:rFonts w:ascii="Palatino Linotype" w:eastAsia="Palatino Linotype" w:hAnsi="Palatino Linotype" w:cs="Palatino Linotype"/>
          <w:b/>
          <w:bCs/>
        </w:rPr>
        <w:t>XXXX</w:t>
      </w:r>
      <w:r>
        <w:rPr>
          <w:rFonts w:ascii="Palatino Linotype" w:eastAsia="Palatino Linotype" w:hAnsi="Palatino Linotype" w:cs="Palatino Linotype"/>
          <w:b/>
          <w:bCs/>
        </w:rPr>
        <w:t>,</w:t>
      </w:r>
      <w:r>
        <w:rPr>
          <w:rFonts w:ascii="Palatino Linotype" w:eastAsia="Palatino Linotype" w:hAnsi="Palatino Linotype" w:cs="Palatino Linotype"/>
        </w:rPr>
        <w:t xml:space="preserve"> a quien en lo sucesivo se denominará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en contra de la respuesta otorgada a la Solicitud de Información con número de folio </w:t>
      </w:r>
      <w:r>
        <w:rPr>
          <w:rFonts w:ascii="Palatino Linotype" w:eastAsia="Palatino Linotype" w:hAnsi="Palatino Linotype" w:cs="Palatino Linotype"/>
          <w:b/>
          <w:bCs/>
        </w:rPr>
        <w:t>00375/INFOEM/IP/2026</w:t>
      </w:r>
      <w:r>
        <w:rPr>
          <w:rFonts w:ascii="Palatino Linotype" w:eastAsia="Palatino Linotype" w:hAnsi="Palatino Linotype" w:cs="Palatino Linotype"/>
        </w:rPr>
        <w:t xml:space="preserve">, por parte del </w:t>
      </w:r>
      <w:r>
        <w:rPr>
          <w:rFonts w:ascii="Palatino Linotype" w:eastAsia="Palatino Linotype" w:hAnsi="Palatino Linotype" w:cs="Palatino Linotype"/>
          <w:b/>
          <w:bCs/>
        </w:rPr>
        <w:t>Instituto de Tra</w:t>
      </w:r>
      <w:bookmarkStart w:id="0" w:name="_GoBack"/>
      <w:bookmarkEnd w:id="0"/>
      <w:r>
        <w:rPr>
          <w:rFonts w:ascii="Palatino Linotype" w:eastAsia="Palatino Linotype" w:hAnsi="Palatino Linotype" w:cs="Palatino Linotype"/>
          <w:b/>
          <w:bCs/>
        </w:rPr>
        <w:t xml:space="preserve">nsparencia, Acceso a la Información Pública y Protección de Datos Personales del Estado de México y Municipios, </w:t>
      </w:r>
      <w:r>
        <w:rPr>
          <w:rFonts w:ascii="Palatino Linotype" w:eastAsia="Palatino Linotype" w:hAnsi="Palatino Linotype" w:cs="Palatino Linotype"/>
        </w:rPr>
        <w:t xml:space="preserve">en adelante </w:t>
      </w:r>
      <w:r>
        <w:rPr>
          <w:rFonts w:ascii="Palatino Linotype" w:eastAsia="Palatino Linotype" w:hAnsi="Palatino Linotype" w:cs="Palatino Linotype"/>
          <w:b/>
          <w:bCs/>
        </w:rPr>
        <w:t>EL SUJETO OBLIGADO,</w:t>
      </w:r>
      <w:r>
        <w:rPr>
          <w:rFonts w:ascii="Palatino Linotype" w:eastAsia="Palatino Linotype" w:hAnsi="Palatino Linotype" w:cs="Palatino Linotype"/>
        </w:rPr>
        <w:t xml:space="preserve"> se emite la presente Resolución con base en los siguientes:</w:t>
      </w:r>
    </w:p>
    <w:p w:rsidR="00890841" w:rsidRDefault="00890841">
      <w:pPr>
        <w:spacing w:line="360" w:lineRule="auto"/>
        <w:ind w:right="-929"/>
        <w:jc w:val="both"/>
        <w:rPr>
          <w:rFonts w:ascii="Palatino Linotype" w:eastAsia="Palatino Linotype" w:hAnsi="Palatino Linotype" w:cs="Palatino Linotype"/>
        </w:rPr>
      </w:pPr>
    </w:p>
    <w:p w:rsidR="00890841" w:rsidRDefault="00203E1E">
      <w:pPr>
        <w:pStyle w:val="Ttulo1"/>
        <w:spacing w:before="0" w:line="360" w:lineRule="auto"/>
        <w:ind w:right="-929"/>
        <w:jc w:val="center"/>
        <w:rPr>
          <w:rFonts w:ascii="Palatino Linotype" w:eastAsia="Palatino Linotype" w:hAnsi="Palatino Linotype" w:cs="Palatino Linotype"/>
          <w:b/>
          <w:bCs/>
          <w:color w:val="000000"/>
          <w:sz w:val="24"/>
          <w:szCs w:val="24"/>
        </w:rPr>
      </w:pPr>
      <w:bookmarkStart w:id="1" w:name="_heading=h.gjdgxs" w:colFirst="0" w:colLast="0"/>
      <w:bookmarkEnd w:id="1"/>
      <w:r>
        <w:rPr>
          <w:rFonts w:ascii="Palatino Linotype" w:eastAsia="Palatino Linotype" w:hAnsi="Palatino Linotype" w:cs="Palatino Linotype"/>
          <w:b/>
          <w:bCs/>
          <w:color w:val="000000"/>
          <w:sz w:val="24"/>
          <w:szCs w:val="24"/>
        </w:rPr>
        <w:t>A N T E C E D E N T E S</w:t>
      </w:r>
    </w:p>
    <w:p w:rsidR="00890841" w:rsidRDefault="00890841">
      <w:pPr>
        <w:pBdr>
          <w:top w:val="nil"/>
          <w:left w:val="nil"/>
          <w:bottom w:val="nil"/>
          <w:right w:val="nil"/>
          <w:between w:val="nil"/>
        </w:pBdr>
        <w:spacing w:line="360" w:lineRule="auto"/>
        <w:ind w:right="-929"/>
        <w:jc w:val="both"/>
        <w:rPr>
          <w:rFonts w:ascii="Palatino Linotype" w:eastAsia="Palatino Linotype" w:hAnsi="Palatino Linotype" w:cs="Palatino Linotype"/>
          <w:b/>
          <w:bCs/>
          <w:color w:val="000000"/>
          <w:u w:val="single"/>
        </w:rPr>
      </w:pPr>
    </w:p>
    <w:p w:rsidR="00890841" w:rsidRDefault="00203E1E">
      <w:pPr>
        <w:numPr>
          <w:ilvl w:val="0"/>
          <w:numId w:val="1"/>
        </w:numPr>
        <w:pBdr>
          <w:top w:val="nil"/>
          <w:left w:val="nil"/>
          <w:bottom w:val="nil"/>
          <w:right w:val="nil"/>
          <w:between w:val="nil"/>
        </w:pBdr>
        <w:tabs>
          <w:tab w:val="left" w:pos="0"/>
        </w:tabs>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día</w:t>
      </w:r>
      <w:r>
        <w:rPr>
          <w:rFonts w:ascii="Palatino Linotype" w:eastAsia="Palatino Linotype" w:hAnsi="Palatino Linotype" w:cs="Palatino Linotype"/>
          <w:b/>
          <w:bCs/>
          <w:color w:val="000000"/>
        </w:rPr>
        <w:t xml:space="preserve"> catorce de mayo dos mil veinticinco</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 presentó ante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vía Sistema de Acceso a la Información Mexiquense, en adelante (SAIMEX), la siguiente solicitud de información pública:</w:t>
      </w:r>
    </w:p>
    <w:p w:rsidR="00890841" w:rsidRDefault="00890841">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890841" w:rsidRDefault="00203E1E">
      <w:pPr>
        <w:pBdr>
          <w:top w:val="nil"/>
          <w:left w:val="nil"/>
          <w:bottom w:val="nil"/>
          <w:right w:val="nil"/>
          <w:between w:val="nil"/>
        </w:pBdr>
        <w:spacing w:line="360" w:lineRule="auto"/>
        <w:ind w:left="425"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“Documento el cual contenga por que la suddirectora de contraliria sigue haciendo lo que quiere, pobre de ella cuando se termine el infoem, a ver en que otro trabajo la dejan ir cuando se le antoje y cuando vaya, que se retire despues de la hora de la comida”</w:t>
      </w:r>
    </w:p>
    <w:p w:rsidR="00C16380" w:rsidRDefault="00C16380">
      <w:pPr>
        <w:pBdr>
          <w:top w:val="nil"/>
          <w:left w:val="nil"/>
          <w:bottom w:val="nil"/>
          <w:right w:val="nil"/>
          <w:between w:val="nil"/>
        </w:pBdr>
        <w:spacing w:line="360" w:lineRule="auto"/>
        <w:ind w:left="425" w:right="-929"/>
        <w:jc w:val="both"/>
        <w:rPr>
          <w:rFonts w:ascii="Palatino Linotype" w:eastAsia="Palatino Linotype" w:hAnsi="Palatino Linotype" w:cs="Palatino Linotype"/>
          <w:i/>
          <w:iCs/>
          <w:color w:val="000000"/>
        </w:rPr>
      </w:pPr>
    </w:p>
    <w:p w:rsidR="00890841" w:rsidRDefault="00203E1E">
      <w:pPr>
        <w:numPr>
          <w:ilvl w:val="0"/>
          <w:numId w:val="2"/>
        </w:numPr>
        <w:pBdr>
          <w:top w:val="nil"/>
          <w:left w:val="nil"/>
          <w:bottom w:val="nil"/>
          <w:right w:val="nil"/>
          <w:between w:val="nil"/>
        </w:pBdr>
        <w:tabs>
          <w:tab w:val="left" w:pos="0"/>
        </w:tabs>
        <w:spacing w:line="360" w:lineRule="auto"/>
        <w:ind w:left="709" w:right="-92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eligió como modalidad de entrega de la información: </w:t>
      </w:r>
      <w:r>
        <w:rPr>
          <w:rFonts w:ascii="Palatino Linotype" w:eastAsia="Palatino Linotype" w:hAnsi="Palatino Linotype" w:cs="Palatino Linotype"/>
          <w:b/>
          <w:bCs/>
          <w:color w:val="000000"/>
        </w:rPr>
        <w:t>a través de SAIMEX</w:t>
      </w:r>
    </w:p>
    <w:p w:rsidR="00890841" w:rsidRDefault="00203E1E">
      <w:pPr>
        <w:numPr>
          <w:ilvl w:val="0"/>
          <w:numId w:val="1"/>
        </w:numPr>
        <w:pBdr>
          <w:top w:val="nil"/>
          <w:left w:val="nil"/>
          <w:bottom w:val="nil"/>
          <w:right w:val="nil"/>
          <w:between w:val="nil"/>
        </w:pBdr>
        <w:tabs>
          <w:tab w:val="left" w:pos="0"/>
        </w:tabs>
        <w:spacing w:line="360" w:lineRule="auto"/>
        <w:ind w:left="0" w:right="-929" w:firstLine="0"/>
        <w:jc w:val="both"/>
        <w:rPr>
          <w:rFonts w:ascii="Palatino Linotype" w:eastAsia="Palatino Linotype" w:hAnsi="Palatino Linotype" w:cs="Palatino Linotype"/>
          <w:b/>
          <w:bCs/>
        </w:rPr>
      </w:pPr>
      <w:r>
        <w:rPr>
          <w:rFonts w:ascii="Palatino Linotype" w:eastAsia="Palatino Linotype" w:hAnsi="Palatino Linotype" w:cs="Palatino Linotype"/>
        </w:rPr>
        <w:lastRenderedPageBreak/>
        <w:t xml:space="preserve">El </w:t>
      </w:r>
      <w:r>
        <w:rPr>
          <w:rFonts w:ascii="Palatino Linotype" w:eastAsia="Palatino Linotype" w:hAnsi="Palatino Linotype" w:cs="Palatino Linotype"/>
          <w:b/>
          <w:bCs/>
        </w:rPr>
        <w:t xml:space="preserve">quince de mayo de dos mil veinticinco </w:t>
      </w:r>
      <w:r>
        <w:rPr>
          <w:rFonts w:ascii="Palatino Linotype" w:eastAsia="Palatino Linotype" w:hAnsi="Palatino Linotype" w:cs="Palatino Linotype"/>
        </w:rPr>
        <w:t xml:space="preserve">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envió su respuesta a través de un escrito signado por el Encargado del despacho de la Unidad de Transparencia, en el cual manifiesta que la intención del solicitante se centra en llevar a cabo señalamientos o manifestaciones de carácter subjetivo, o bien, una consulta o cuestionamientos que requieren un pronunciamiento específico o juicio de valor, por conducto de una solicitud de información, lo cual dista del ejercicio del derecho humano, circunstancia que resulta improcedente atenderse a través de la vía interpuesta.</w:t>
      </w:r>
    </w:p>
    <w:p w:rsidR="00890841" w:rsidRDefault="00890841">
      <w:pPr>
        <w:pBdr>
          <w:top w:val="nil"/>
          <w:left w:val="nil"/>
          <w:bottom w:val="nil"/>
          <w:right w:val="nil"/>
          <w:between w:val="nil"/>
        </w:pBdr>
        <w:tabs>
          <w:tab w:val="left" w:pos="0"/>
        </w:tabs>
        <w:spacing w:line="360" w:lineRule="auto"/>
        <w:ind w:right="-929"/>
        <w:jc w:val="both"/>
        <w:rPr>
          <w:rFonts w:ascii="Palatino Linotype" w:eastAsia="Palatino Linotype" w:hAnsi="Palatino Linotype" w:cs="Palatino Linotype"/>
          <w:b/>
          <w:bCs/>
        </w:rPr>
      </w:pPr>
    </w:p>
    <w:p w:rsidR="00890841" w:rsidRDefault="00203E1E">
      <w:pPr>
        <w:numPr>
          <w:ilvl w:val="0"/>
          <w:numId w:val="1"/>
        </w:numPr>
        <w:pBdr>
          <w:top w:val="nil"/>
          <w:left w:val="nil"/>
          <w:bottom w:val="nil"/>
          <w:right w:val="nil"/>
          <w:between w:val="nil"/>
        </w:pBdr>
        <w:tabs>
          <w:tab w:val="left" w:pos="0"/>
        </w:tabs>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b/>
          <w:bCs/>
        </w:rPr>
        <w:t xml:space="preserve">diecinueve de mayo de dos mil veintiséis, </w:t>
      </w:r>
      <w:r>
        <w:rPr>
          <w:rFonts w:ascii="Palatino Linotype" w:eastAsia="Palatino Linotype" w:hAnsi="Palatino Linotype" w:cs="Palatino Linotype"/>
        </w:rPr>
        <w:t xml:space="preserve">la parte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interpuso el recurso de revisión a través de </w:t>
      </w:r>
      <w:r>
        <w:rPr>
          <w:rFonts w:ascii="Palatino Linotype" w:eastAsia="Palatino Linotype" w:hAnsi="Palatino Linotype" w:cs="Palatino Linotype"/>
          <w:b/>
          <w:bCs/>
        </w:rPr>
        <w:t xml:space="preserve">SAIMEX, </w:t>
      </w:r>
      <w:r>
        <w:rPr>
          <w:rFonts w:ascii="Palatino Linotype" w:eastAsia="Palatino Linotype" w:hAnsi="Palatino Linotype" w:cs="Palatino Linotype"/>
        </w:rPr>
        <w:t>en donde se manifestó de la siguiente manera:</w:t>
      </w:r>
    </w:p>
    <w:p w:rsidR="00890841" w:rsidRDefault="00890841">
      <w:pPr>
        <w:pBdr>
          <w:top w:val="nil"/>
          <w:left w:val="nil"/>
          <w:bottom w:val="nil"/>
          <w:right w:val="nil"/>
          <w:between w:val="nil"/>
        </w:pBdr>
        <w:tabs>
          <w:tab w:val="left" w:pos="0"/>
        </w:tabs>
        <w:spacing w:line="360" w:lineRule="auto"/>
        <w:ind w:right="-929"/>
        <w:jc w:val="both"/>
        <w:rPr>
          <w:rFonts w:ascii="Palatino Linotype" w:eastAsia="Palatino Linotype" w:hAnsi="Palatino Linotype" w:cs="Palatino Linotype"/>
        </w:rPr>
      </w:pPr>
    </w:p>
    <w:p w:rsidR="00890841" w:rsidRDefault="00203E1E">
      <w:pPr>
        <w:numPr>
          <w:ilvl w:val="0"/>
          <w:numId w:val="3"/>
        </w:numPr>
        <w:tabs>
          <w:tab w:val="left" w:pos="2745"/>
        </w:tabs>
        <w:spacing w:line="360" w:lineRule="auto"/>
        <w:ind w:right="-929"/>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Acto impugnado: </w:t>
      </w:r>
    </w:p>
    <w:p w:rsidR="00890841" w:rsidRDefault="00203E1E">
      <w:pPr>
        <w:tabs>
          <w:tab w:val="left" w:pos="2745"/>
        </w:tabs>
        <w:spacing w:line="360" w:lineRule="auto"/>
        <w:ind w:left="709" w:right="-929"/>
        <w:jc w:val="both"/>
        <w:rPr>
          <w:rFonts w:ascii="Palatino Linotype" w:eastAsia="Palatino Linotype" w:hAnsi="Palatino Linotype" w:cs="Palatino Linotype"/>
          <w:i/>
          <w:iCs/>
        </w:rPr>
      </w:pPr>
      <w:r>
        <w:rPr>
          <w:rFonts w:ascii="Palatino Linotype" w:eastAsia="Palatino Linotype" w:hAnsi="Palatino Linotype" w:cs="Palatino Linotype"/>
          <w:i/>
          <w:iCs/>
        </w:rPr>
        <w:t>“solicitud de información”</w:t>
      </w:r>
    </w:p>
    <w:p w:rsidR="00890841" w:rsidRDefault="00890841">
      <w:pPr>
        <w:tabs>
          <w:tab w:val="left" w:pos="2745"/>
        </w:tabs>
        <w:spacing w:line="360" w:lineRule="auto"/>
        <w:ind w:left="709" w:right="-929"/>
        <w:jc w:val="both"/>
        <w:rPr>
          <w:rFonts w:ascii="Palatino Linotype" w:eastAsia="Palatino Linotype" w:hAnsi="Palatino Linotype" w:cs="Palatino Linotype"/>
          <w:i/>
          <w:iCs/>
        </w:rPr>
      </w:pPr>
    </w:p>
    <w:p w:rsidR="00890841" w:rsidRDefault="00203E1E">
      <w:pPr>
        <w:numPr>
          <w:ilvl w:val="0"/>
          <w:numId w:val="4"/>
        </w:numPr>
        <w:spacing w:line="360" w:lineRule="auto"/>
        <w:ind w:right="-929"/>
        <w:jc w:val="both"/>
        <w:rPr>
          <w:rFonts w:ascii="Palatino Linotype" w:eastAsia="Palatino Linotype" w:hAnsi="Palatino Linotype" w:cs="Palatino Linotype"/>
        </w:rPr>
      </w:pPr>
      <w:bookmarkStart w:id="2" w:name="_heading=h.30j0zll" w:colFirst="0" w:colLast="0"/>
      <w:bookmarkEnd w:id="2"/>
      <w:r>
        <w:rPr>
          <w:rFonts w:ascii="Palatino Linotype" w:eastAsia="Palatino Linotype" w:hAnsi="Palatino Linotype" w:cs="Palatino Linotype"/>
          <w:b/>
          <w:bCs/>
        </w:rPr>
        <w:t>Razones o motivos de inconformidad</w:t>
      </w:r>
      <w:r>
        <w:rPr>
          <w:rFonts w:ascii="Palatino Linotype" w:eastAsia="Palatino Linotype" w:hAnsi="Palatino Linotype" w:cs="Palatino Linotype"/>
        </w:rPr>
        <w:t>:</w:t>
      </w:r>
    </w:p>
    <w:p w:rsidR="00890841" w:rsidRDefault="00203E1E">
      <w:pPr>
        <w:tabs>
          <w:tab w:val="left" w:pos="2745"/>
        </w:tabs>
        <w:spacing w:line="360" w:lineRule="auto"/>
        <w:ind w:left="709" w:right="-929"/>
        <w:jc w:val="both"/>
        <w:rPr>
          <w:rFonts w:ascii="Palatino Linotype" w:eastAsia="Palatino Linotype" w:hAnsi="Palatino Linotype" w:cs="Palatino Linotype"/>
          <w:b/>
          <w:bCs/>
        </w:rPr>
      </w:pPr>
      <w:r>
        <w:rPr>
          <w:rFonts w:ascii="Palatino Linotype" w:eastAsia="Palatino Linotype" w:hAnsi="Palatino Linotype" w:cs="Palatino Linotype"/>
          <w:i/>
          <w:iCs/>
        </w:rPr>
        <w:t xml:space="preserve">“no dan respuesta los inutiles” </w:t>
      </w:r>
      <w:r>
        <w:rPr>
          <w:rFonts w:ascii="Palatino Linotype" w:eastAsia="Palatino Linotype" w:hAnsi="Palatino Linotype" w:cs="Palatino Linotype"/>
        </w:rPr>
        <w:t>(Sic)</w:t>
      </w:r>
    </w:p>
    <w:p w:rsidR="00890841" w:rsidRDefault="00890841">
      <w:pPr>
        <w:tabs>
          <w:tab w:val="left" w:pos="2745"/>
        </w:tabs>
        <w:spacing w:line="360" w:lineRule="auto"/>
        <w:ind w:left="709" w:right="-929"/>
        <w:jc w:val="both"/>
        <w:rPr>
          <w:rFonts w:ascii="Palatino Linotype" w:eastAsia="Palatino Linotype" w:hAnsi="Palatino Linotype" w:cs="Palatino Linotype"/>
          <w:i/>
          <w:iCs/>
        </w:rPr>
      </w:pPr>
    </w:p>
    <w:p w:rsidR="00890841" w:rsidRDefault="00203E1E">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Con fecha</w:t>
      </w:r>
      <w:r>
        <w:rPr>
          <w:rFonts w:ascii="Palatino Linotype" w:eastAsia="Palatino Linotype" w:hAnsi="Palatino Linotype" w:cs="Palatino Linotype"/>
          <w:b/>
          <w:bCs/>
        </w:rPr>
        <w:t xml:space="preserve"> veinte de mayo dos mil veintiséis, </w:t>
      </w:r>
      <w:r>
        <w:rPr>
          <w:rFonts w:ascii="Palatino Linotype" w:eastAsia="Palatino Linotype" w:hAnsi="Palatino Linotype" w:cs="Palatino Linotype"/>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manifestaron lo que a su derecho resultara conveniente, ofrecieran pruebas, formulen alegatos y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presentará su informe justificado.</w:t>
      </w:r>
    </w:p>
    <w:p w:rsidR="00890841" w:rsidRDefault="00203E1E">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El</w:t>
      </w:r>
      <w:r>
        <w:rPr>
          <w:rFonts w:ascii="Palatino Linotype" w:eastAsia="Palatino Linotype" w:hAnsi="Palatino Linotype" w:cs="Palatino Linotype"/>
          <w:b/>
          <w:bCs/>
          <w:color w:val="000000"/>
        </w:rPr>
        <w:t xml:space="preserve"> SUJETO </w:t>
      </w:r>
      <w:r>
        <w:rPr>
          <w:rFonts w:ascii="Palatino Linotype" w:eastAsia="Palatino Linotype" w:hAnsi="Palatino Linotype" w:cs="Palatino Linotype"/>
          <w:b/>
          <w:bCs/>
        </w:rPr>
        <w:t>OBLIGADO</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el día </w:t>
      </w:r>
      <w:r>
        <w:rPr>
          <w:rFonts w:ascii="Palatino Linotype" w:eastAsia="Palatino Linotype" w:hAnsi="Palatino Linotype" w:cs="Palatino Linotype"/>
          <w:b/>
          <w:bCs/>
          <w:color w:val="000000"/>
        </w:rPr>
        <w:t>veintiséis de mayo del año en curso</w:t>
      </w:r>
      <w:r>
        <w:rPr>
          <w:rFonts w:ascii="Palatino Linotype" w:eastAsia="Palatino Linotype" w:hAnsi="Palatino Linotype" w:cs="Palatino Linotype"/>
          <w:color w:val="000000"/>
        </w:rPr>
        <w:t xml:space="preserve">, rindió informe justificado a </w:t>
      </w:r>
      <w:r>
        <w:rPr>
          <w:rFonts w:ascii="Palatino Linotype" w:eastAsia="Palatino Linotype" w:hAnsi="Palatino Linotype" w:cs="Palatino Linotype"/>
        </w:rPr>
        <w:t>través</w:t>
      </w:r>
      <w:r>
        <w:rPr>
          <w:rFonts w:ascii="Palatino Linotype" w:eastAsia="Palatino Linotype" w:hAnsi="Palatino Linotype" w:cs="Palatino Linotype"/>
          <w:color w:val="000000"/>
        </w:rPr>
        <w:t xml:space="preserve"> de tres archivos que corresponden a un informe justificado, suscrito por el Encargado del despacho de la Unidad de Transparencia, tendiente a confirmar la respuesta inicial, al reiterar que de la lectura a la información solicitada, no se </w:t>
      </w:r>
      <w:r>
        <w:rPr>
          <w:rFonts w:ascii="Palatino Linotype" w:eastAsia="Palatino Linotype" w:hAnsi="Palatino Linotype" w:cs="Palatino Linotype"/>
        </w:rPr>
        <w:t>advierte</w:t>
      </w:r>
      <w:r>
        <w:rPr>
          <w:rFonts w:ascii="Palatino Linotype" w:eastAsia="Palatino Linotype" w:hAnsi="Palatino Linotype" w:cs="Palatino Linotype"/>
          <w:color w:val="000000"/>
        </w:rPr>
        <w:t xml:space="preserve"> requerimiento de información alguno que deba ser colmado con la entrega de documentos por parte de este Sujeto Obligado en el ejercicio de sus funciones y atribuciones, ya que se trata de manifestaciones de carácter subjetivo que se realizan con el objeto de realizar señalamientos o conjeturas que en nada se relacionan con el derecho de acceso a la información.</w:t>
      </w:r>
      <w:r>
        <w:rPr>
          <w:rFonts w:ascii="Palatino Linotype" w:eastAsia="Palatino Linotype" w:hAnsi="Palatino Linotype" w:cs="Palatino Linotype"/>
        </w:rPr>
        <w:t>.</w:t>
      </w:r>
    </w:p>
    <w:p w:rsidR="00890841" w:rsidRDefault="00890841">
      <w:pPr>
        <w:pBdr>
          <w:top w:val="nil"/>
          <w:left w:val="nil"/>
          <w:bottom w:val="nil"/>
          <w:right w:val="nil"/>
          <w:between w:val="nil"/>
        </w:pBdr>
        <w:spacing w:line="360" w:lineRule="auto"/>
        <w:ind w:left="720" w:right="-929"/>
        <w:rPr>
          <w:rFonts w:ascii="Palatino Linotype" w:eastAsia="Palatino Linotype" w:hAnsi="Palatino Linotype" w:cs="Palatino Linotype"/>
          <w:i/>
          <w:iCs/>
          <w:color w:val="000000"/>
        </w:rPr>
      </w:pPr>
    </w:p>
    <w:p w:rsidR="00890841" w:rsidRDefault="00203E1E">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Seguidamente, al no existir diligencia o pendiente por desahogar, se decretó el cierre de instrucción mediante Acuerdo de fecha </w:t>
      </w:r>
      <w:r>
        <w:rPr>
          <w:rFonts w:ascii="Palatino Linotype" w:eastAsia="Palatino Linotype" w:hAnsi="Palatino Linotype" w:cs="Palatino Linotype"/>
          <w:b/>
          <w:bCs/>
          <w:color w:val="000000"/>
        </w:rPr>
        <w:t>nueve de junio del año en curso</w:t>
      </w:r>
      <w:r>
        <w:rPr>
          <w:rFonts w:ascii="Palatino Linotype" w:eastAsia="Palatino Linotype" w:hAnsi="Palatino Linotype" w:cs="Palatino Linotype"/>
          <w:color w:val="000000"/>
        </w:rPr>
        <w:t>, por lo que no habiendo más que hacer constar, y</w:t>
      </w:r>
    </w:p>
    <w:p w:rsidR="00890841" w:rsidRDefault="00890841">
      <w:pPr>
        <w:pBdr>
          <w:top w:val="nil"/>
          <w:left w:val="nil"/>
          <w:bottom w:val="nil"/>
          <w:right w:val="nil"/>
          <w:between w:val="nil"/>
        </w:pBdr>
        <w:spacing w:line="360" w:lineRule="auto"/>
        <w:ind w:left="720" w:right="-929"/>
        <w:rPr>
          <w:rFonts w:ascii="Palatino Linotype" w:eastAsia="Palatino Linotype" w:hAnsi="Palatino Linotype" w:cs="Palatino Linotype"/>
          <w:b/>
          <w:bCs/>
          <w:color w:val="000000"/>
        </w:rPr>
      </w:pPr>
    </w:p>
    <w:p w:rsidR="00890841" w:rsidRDefault="00203E1E">
      <w:pPr>
        <w:pBdr>
          <w:top w:val="nil"/>
          <w:left w:val="nil"/>
          <w:bottom w:val="nil"/>
          <w:right w:val="nil"/>
          <w:between w:val="nil"/>
        </w:pBdr>
        <w:spacing w:line="360" w:lineRule="auto"/>
        <w:ind w:right="-929"/>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 O N S I D E R A N D O</w:t>
      </w:r>
    </w:p>
    <w:p w:rsidR="00890841" w:rsidRDefault="00890841">
      <w:pPr>
        <w:pBdr>
          <w:top w:val="nil"/>
          <w:left w:val="nil"/>
          <w:bottom w:val="nil"/>
          <w:right w:val="nil"/>
          <w:between w:val="nil"/>
        </w:pBdr>
        <w:spacing w:line="360" w:lineRule="auto"/>
        <w:ind w:right="-929"/>
        <w:jc w:val="center"/>
        <w:rPr>
          <w:rFonts w:ascii="Palatino Linotype" w:eastAsia="Palatino Linotype" w:hAnsi="Palatino Linotype" w:cs="Palatino Linotype"/>
          <w:b/>
          <w:bCs/>
          <w:color w:val="000000"/>
        </w:rPr>
      </w:pPr>
    </w:p>
    <w:p w:rsidR="00890841" w:rsidRDefault="00203E1E">
      <w:pPr>
        <w:pStyle w:val="Ttulo2"/>
        <w:spacing w:before="0" w:line="360" w:lineRule="auto"/>
        <w:ind w:right="-929"/>
        <w:rPr>
          <w:rFonts w:ascii="Palatino Linotype" w:eastAsia="Palatino Linotype" w:hAnsi="Palatino Linotype" w:cs="Palatino Linotype"/>
          <w:b/>
          <w:bCs/>
          <w:color w:val="000000"/>
          <w:sz w:val="24"/>
          <w:szCs w:val="24"/>
        </w:rPr>
      </w:pPr>
      <w:bookmarkStart w:id="3" w:name="_heading=h.3znysh7" w:colFirst="0" w:colLast="0"/>
      <w:bookmarkEnd w:id="3"/>
      <w:r>
        <w:rPr>
          <w:rFonts w:ascii="Palatino Linotype" w:eastAsia="Palatino Linotype" w:hAnsi="Palatino Linotype" w:cs="Palatino Linotype"/>
          <w:b/>
          <w:bCs/>
          <w:color w:val="000000"/>
          <w:sz w:val="24"/>
          <w:szCs w:val="24"/>
        </w:rPr>
        <w:t>PRIMERO. Competencia</w:t>
      </w:r>
    </w:p>
    <w:p w:rsidR="00890841" w:rsidRDefault="00203E1E">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Este Instituto de Transparencia, Acceso a la Información Pública y Protección de Datos </w:t>
      </w:r>
      <w:r>
        <w:rPr>
          <w:rFonts w:ascii="Palatino Linotype" w:eastAsia="Palatino Linotype" w:hAnsi="Palatino Linotype" w:cs="Palatino Linotype"/>
        </w:rPr>
        <w:t>Personales</w:t>
      </w:r>
      <w:r>
        <w:rPr>
          <w:rFonts w:ascii="Palatino Linotype" w:eastAsia="Palatino Linotype" w:hAnsi="Palatino Linotype" w:cs="Palatino Linotype"/>
          <w:color w:val="000000"/>
        </w:rPr>
        <w:t xml:space="preserve"> del Estado de México y Municipios es competente para conocer y </w:t>
      </w:r>
      <w:r>
        <w:rPr>
          <w:rFonts w:ascii="Palatino Linotype" w:eastAsia="Palatino Linotype" w:hAnsi="Palatino Linotype" w:cs="Palatino Linotype"/>
        </w:rPr>
        <w:t>resolver</w:t>
      </w:r>
      <w:r>
        <w:rPr>
          <w:rFonts w:ascii="Palatino Linotype" w:eastAsia="Palatino Linotype" w:hAnsi="Palatino Linotype" w:cs="Palatino Linotype"/>
          <w:color w:val="000000"/>
        </w:rPr>
        <w:t xml:space="preserve"> el presente Recurso de Revisión, conforme a lo dispuesto en los artículos 6, Apartado A de la Constitución Política de los Estados Unidos Mexicanos; 5, párrafos trigésimo noveno, cuadragésimo y cuadragésimo primero, fracciones IV y V, de la Constitución Política del Estado Libre y Soberano de México; ordinal 2, fracción II, 13, 29, 36, fracciones I y II, 176, 178, 179, 181 párrafo tercero y 185 de la Ley de Transparencia y Acceso a la Información Pública </w:t>
      </w:r>
      <w:r>
        <w:rPr>
          <w:rFonts w:ascii="Palatino Linotype" w:eastAsia="Palatino Linotype" w:hAnsi="Palatino Linotype" w:cs="Palatino Linotype"/>
          <w:color w:val="000000"/>
        </w:rPr>
        <w:lastRenderedPageBreak/>
        <w:t>del Estado de México y Municipios; y 9, fracciones I y XXIII y 11 del Reglamento Interior del Instituto de Transparencia, Acceso a la Información Pública y Protección de Datos Personales del Estado de México y Municipios.</w:t>
      </w:r>
    </w:p>
    <w:p w:rsidR="00890841" w:rsidRDefault="00890841">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890841" w:rsidRDefault="00203E1E">
      <w:pPr>
        <w:pStyle w:val="Ttulo2"/>
        <w:spacing w:before="0" w:line="360" w:lineRule="auto"/>
        <w:ind w:right="-929"/>
        <w:rPr>
          <w:rFonts w:ascii="Palatino Linotype" w:eastAsia="Palatino Linotype" w:hAnsi="Palatino Linotype" w:cs="Palatino Linotype"/>
          <w:b/>
          <w:bCs/>
          <w:color w:val="000000"/>
          <w:sz w:val="24"/>
          <w:szCs w:val="24"/>
        </w:rPr>
      </w:pPr>
      <w:bookmarkStart w:id="4" w:name="_heading=h.2et92p0" w:colFirst="0" w:colLast="0"/>
      <w:bookmarkEnd w:id="4"/>
      <w:r>
        <w:rPr>
          <w:rFonts w:ascii="Palatino Linotype" w:eastAsia="Palatino Linotype" w:hAnsi="Palatino Linotype" w:cs="Palatino Linotype"/>
          <w:b/>
          <w:bCs/>
          <w:color w:val="000000"/>
          <w:sz w:val="24"/>
          <w:szCs w:val="24"/>
        </w:rPr>
        <w:t>SEGUNDO. Procedencia.</w:t>
      </w:r>
    </w:p>
    <w:p w:rsidR="00890841" w:rsidRDefault="00203E1E">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Este Órgano Garante considera que el medio de impugnación reúne los requisitos de </w:t>
      </w:r>
      <w:r>
        <w:rPr>
          <w:rFonts w:ascii="Palatino Linotype" w:eastAsia="Palatino Linotype" w:hAnsi="Palatino Linotype" w:cs="Palatino Linotype"/>
          <w:color w:val="000000"/>
        </w:rPr>
        <w:t>procedencia</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ante otra instancia.</w:t>
      </w:r>
    </w:p>
    <w:p w:rsidR="00890841" w:rsidRDefault="00890841">
      <w:pPr>
        <w:pBdr>
          <w:top w:val="nil"/>
          <w:left w:val="nil"/>
          <w:bottom w:val="nil"/>
          <w:right w:val="nil"/>
          <w:between w:val="nil"/>
        </w:pBdr>
        <w:spacing w:line="360" w:lineRule="auto"/>
        <w:ind w:left="644" w:right="-929"/>
        <w:jc w:val="both"/>
        <w:rPr>
          <w:rFonts w:ascii="Palatino Linotype" w:eastAsia="Palatino Linotype" w:hAnsi="Palatino Linotype" w:cs="Palatino Linotype"/>
        </w:rPr>
      </w:pPr>
    </w:p>
    <w:p w:rsidR="00890841" w:rsidRDefault="00203E1E">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otro lado, es de suma importancia señalar que la parte recurrente no proporciona un </w:t>
      </w:r>
      <w:r>
        <w:rPr>
          <w:rFonts w:ascii="Palatino Linotype" w:eastAsia="Palatino Linotype" w:hAnsi="Palatino Linotype" w:cs="Palatino Linotype"/>
          <w:color w:val="000000"/>
          <w:u w:val="single"/>
        </w:rPr>
        <w:t>nombre completo</w:t>
      </w:r>
      <w:r>
        <w:rPr>
          <w:rFonts w:ascii="Palatino Linotype" w:eastAsia="Palatino Linotype" w:hAnsi="Palatino Linotype" w:cs="Palatino Linotype"/>
          <w:color w:val="000000"/>
        </w:rPr>
        <w:t xml:space="preserve">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890841" w:rsidRDefault="00203E1E">
      <w:pPr>
        <w:spacing w:line="360" w:lineRule="auto"/>
        <w:ind w:left="567"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Las solicitudes anónimas</w:t>
      </w:r>
      <w:r>
        <w:rPr>
          <w:rFonts w:ascii="Palatino Linotype" w:eastAsia="Palatino Linotype" w:hAnsi="Palatino Linotype" w:cs="Palatino Linotype"/>
          <w:i/>
          <w:iCs/>
          <w:color w:val="000000"/>
        </w:rPr>
        <w:t xml:space="preserve">, con nombre incompleto o seudónimo </w:t>
      </w:r>
      <w:r>
        <w:rPr>
          <w:rFonts w:ascii="Palatino Linotype" w:eastAsia="Palatino Linotype" w:hAnsi="Palatino Linotype" w:cs="Palatino Linotype"/>
          <w:b/>
          <w:bCs/>
          <w:i/>
          <w:iCs/>
          <w:color w:val="000000"/>
        </w:rPr>
        <w:t>serán procedentes para su trámite por parte del sujeto obligado ante quien se presente</w:t>
      </w:r>
      <w:r>
        <w:rPr>
          <w:rFonts w:ascii="Palatino Linotype" w:eastAsia="Palatino Linotype" w:hAnsi="Palatino Linotype" w:cs="Palatino Linotype"/>
          <w:i/>
          <w:iCs/>
          <w:color w:val="000000"/>
        </w:rPr>
        <w:t>. No podrá requerirse información adicional con motivo del nombre proporcionado por el solicitante."</w:t>
      </w:r>
    </w:p>
    <w:p w:rsidR="00890841" w:rsidRDefault="00890841">
      <w:pPr>
        <w:pBdr>
          <w:top w:val="nil"/>
          <w:left w:val="nil"/>
          <w:bottom w:val="nil"/>
          <w:right w:val="nil"/>
          <w:between w:val="nil"/>
        </w:pBdr>
        <w:spacing w:line="360" w:lineRule="auto"/>
        <w:ind w:right="-929"/>
        <w:jc w:val="both"/>
        <w:rPr>
          <w:rFonts w:ascii="Palatino Linotype" w:eastAsia="Palatino Linotype" w:hAnsi="Palatino Linotype" w:cs="Palatino Linotype"/>
        </w:rPr>
      </w:pPr>
    </w:p>
    <w:p w:rsidR="00890841" w:rsidRDefault="00203E1E">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Finalmente, el escrito contiene las formalidades previstas por el artículo 180 último párrafo de la citada Ley de la Materia, por lo que es procedente que este Instituto conozca y resuelva el presente Recurso de Revisión.</w:t>
      </w:r>
    </w:p>
    <w:p w:rsidR="00890841" w:rsidRDefault="00890841">
      <w:pPr>
        <w:pBdr>
          <w:top w:val="nil"/>
          <w:left w:val="nil"/>
          <w:bottom w:val="nil"/>
          <w:right w:val="nil"/>
          <w:between w:val="nil"/>
        </w:pBdr>
        <w:spacing w:line="360" w:lineRule="auto"/>
        <w:ind w:right="-929"/>
        <w:jc w:val="both"/>
        <w:rPr>
          <w:rFonts w:ascii="Palatino Linotype" w:eastAsia="Palatino Linotype" w:hAnsi="Palatino Linotype" w:cs="Palatino Linotype"/>
        </w:rPr>
      </w:pPr>
    </w:p>
    <w:p w:rsidR="00890841" w:rsidRDefault="00203E1E">
      <w:pPr>
        <w:pStyle w:val="Ttulo2"/>
        <w:tabs>
          <w:tab w:val="left" w:pos="284"/>
          <w:tab w:val="left" w:pos="426"/>
        </w:tabs>
        <w:spacing w:before="0" w:line="360" w:lineRule="auto"/>
        <w:ind w:right="-929"/>
        <w:rPr>
          <w:rFonts w:ascii="Palatino Linotype" w:eastAsia="Palatino Linotype" w:hAnsi="Palatino Linotype" w:cs="Palatino Linotype"/>
          <w:b/>
          <w:bCs/>
          <w:color w:val="000000"/>
          <w:sz w:val="24"/>
          <w:szCs w:val="24"/>
        </w:rPr>
      </w:pPr>
      <w:bookmarkStart w:id="5" w:name="_heading=h.tyjcwt" w:colFirst="0" w:colLast="0"/>
      <w:bookmarkEnd w:id="5"/>
      <w:r>
        <w:rPr>
          <w:rFonts w:ascii="Palatino Linotype" w:eastAsia="Palatino Linotype" w:hAnsi="Palatino Linotype" w:cs="Palatino Linotype"/>
          <w:b/>
          <w:bCs/>
          <w:color w:val="000000"/>
          <w:sz w:val="24"/>
          <w:szCs w:val="24"/>
        </w:rPr>
        <w:t xml:space="preserve">TERCERO. Del planteamiento de la </w:t>
      </w:r>
      <w:r>
        <w:rPr>
          <w:rFonts w:ascii="Palatino Linotype" w:eastAsia="Palatino Linotype" w:hAnsi="Palatino Linotype" w:cs="Palatino Linotype"/>
          <w:b/>
          <w:bCs/>
          <w:i/>
          <w:iCs/>
          <w:color w:val="000000"/>
          <w:sz w:val="24"/>
          <w:szCs w:val="24"/>
        </w:rPr>
        <w:t>Litis.</w:t>
      </w:r>
    </w:p>
    <w:p w:rsidR="00890841" w:rsidRDefault="00203E1E">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Se solicitó tener acceso, a lo transcrito en su literalidad, en el párrafo 1. Inconforme con la respuesta descrita en el párrafo 2, el solicitante interpuso recurso de revisión de manera general en contra de la negativa a la entrega de la información, derivado de la declaratoria de incompetencia</w:t>
      </w:r>
      <w:r>
        <w:rPr>
          <w:rFonts w:ascii="Palatino Linotype" w:eastAsia="Palatino Linotype" w:hAnsi="Palatino Linotype" w:cs="Palatino Linotype"/>
          <w:color w:val="000000"/>
        </w:rPr>
        <w:t xml:space="preserve">. </w:t>
      </w:r>
    </w:p>
    <w:p w:rsidR="00890841" w:rsidRDefault="00890841">
      <w:pPr>
        <w:pBdr>
          <w:top w:val="nil"/>
          <w:left w:val="nil"/>
          <w:bottom w:val="nil"/>
          <w:right w:val="nil"/>
          <w:between w:val="nil"/>
        </w:pBdr>
        <w:spacing w:line="360" w:lineRule="auto"/>
        <w:ind w:right="-929"/>
        <w:jc w:val="both"/>
        <w:rPr>
          <w:rFonts w:ascii="Palatino Linotype" w:eastAsia="Palatino Linotype" w:hAnsi="Palatino Linotype" w:cs="Palatino Linotype"/>
        </w:rPr>
      </w:pPr>
    </w:p>
    <w:p w:rsidR="00890841" w:rsidRDefault="00203E1E">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artículo 179, fracción I, de la Ley de Transparencia y Acceso a la Información Pública del Estado de México y Municipios; fracción que determina la hipótesis relativa la negativa a la información solicitada; contexto del cual se dolió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al momento de interponer su inconformidad. De modo tal que el presente recurso de revisión se abocará en determinar si el Sujeto Obligado con su respuesta ciertamente actualiza la causal de procedencia señalada. </w:t>
      </w:r>
    </w:p>
    <w:p w:rsidR="00890841" w:rsidRDefault="00890841">
      <w:pPr>
        <w:pBdr>
          <w:top w:val="nil"/>
          <w:left w:val="nil"/>
          <w:bottom w:val="nil"/>
          <w:right w:val="nil"/>
          <w:between w:val="nil"/>
        </w:pBdr>
        <w:spacing w:line="360" w:lineRule="auto"/>
        <w:ind w:right="-929"/>
        <w:jc w:val="both"/>
        <w:rPr>
          <w:rFonts w:ascii="Palatino Linotype" w:eastAsia="Palatino Linotype" w:hAnsi="Palatino Linotype" w:cs="Palatino Linotype"/>
        </w:rPr>
      </w:pPr>
    </w:p>
    <w:p w:rsidR="00890841" w:rsidRDefault="00203E1E">
      <w:pPr>
        <w:spacing w:line="360" w:lineRule="auto"/>
        <w:ind w:right="-929"/>
        <w:rPr>
          <w:rFonts w:ascii="Palatino Linotype" w:eastAsia="Palatino Linotype" w:hAnsi="Palatino Linotype" w:cs="Palatino Linotype"/>
          <w:b/>
          <w:bCs/>
        </w:rPr>
      </w:pPr>
      <w:r>
        <w:rPr>
          <w:rFonts w:ascii="Palatino Linotype" w:eastAsia="Palatino Linotype" w:hAnsi="Palatino Linotype" w:cs="Palatino Linotype"/>
          <w:b/>
          <w:bCs/>
        </w:rPr>
        <w:t>CUARTO. Del estudio y resolución del asunto.</w:t>
      </w:r>
    </w:p>
    <w:p w:rsidR="00890841" w:rsidRDefault="00203E1E">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w:t>
      </w:r>
      <w:r>
        <w:rPr>
          <w:rFonts w:ascii="Palatino Linotype" w:eastAsia="Palatino Linotype" w:hAnsi="Palatino Linotype" w:cs="Palatino Linotype"/>
        </w:rPr>
        <w:lastRenderedPageBreak/>
        <w:t>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890841" w:rsidRDefault="00890841">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890841" w:rsidRDefault="00203E1E">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890841" w:rsidRDefault="00890841">
      <w:pPr>
        <w:pBdr>
          <w:top w:val="nil"/>
          <w:left w:val="nil"/>
          <w:bottom w:val="nil"/>
          <w:right w:val="nil"/>
          <w:between w:val="nil"/>
        </w:pBdr>
        <w:spacing w:line="360" w:lineRule="auto"/>
        <w:ind w:left="720" w:right="-929"/>
        <w:rPr>
          <w:rFonts w:ascii="Palatino Linotype" w:eastAsia="Palatino Linotype" w:hAnsi="Palatino Linotype" w:cs="Palatino Linotype"/>
          <w:color w:val="000000"/>
        </w:rPr>
      </w:pPr>
    </w:p>
    <w:p w:rsidR="00890841" w:rsidRDefault="00203E1E">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890841" w:rsidRDefault="00890841">
      <w:pPr>
        <w:spacing w:line="360" w:lineRule="auto"/>
        <w:ind w:right="-929"/>
        <w:rPr>
          <w:rFonts w:ascii="Palatino Linotype" w:eastAsia="Palatino Linotype" w:hAnsi="Palatino Linotype" w:cs="Palatino Linotype"/>
        </w:rPr>
      </w:pPr>
    </w:p>
    <w:p w:rsidR="00890841" w:rsidRDefault="00203E1E">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bookmarkStart w:id="6" w:name="_heading=h.pp87gudyd8fn" w:colFirst="0" w:colLast="0"/>
      <w:bookmarkEnd w:id="6"/>
      <w:r>
        <w:rPr>
          <w:rFonts w:ascii="Palatino Linotype" w:eastAsia="Palatino Linotype" w:hAnsi="Palatino Linotype" w:cs="Palatino Linotype"/>
        </w:rPr>
        <w:lastRenderedPageBreak/>
        <w:t>Dicho lo anterior, se procede al análisis de la respuesta a efecto de determinar si ciertamente existe una negativa de entrega de la información. Respuesta que consistió de manera general en que no existe soporte documental a entregar, toda vez que la solicitud de información contiene manifestaciones subjetivas que en todo caso corresponden al ejercicio de un derecho diverso como lo es el de petición.</w:t>
      </w:r>
    </w:p>
    <w:p w:rsidR="00890841" w:rsidRDefault="00890841">
      <w:pPr>
        <w:pBdr>
          <w:top w:val="nil"/>
          <w:left w:val="nil"/>
          <w:bottom w:val="nil"/>
          <w:right w:val="nil"/>
          <w:between w:val="nil"/>
        </w:pBdr>
        <w:ind w:left="720" w:right="-929"/>
        <w:rPr>
          <w:rFonts w:ascii="Palatino Linotype" w:eastAsia="Palatino Linotype" w:hAnsi="Palatino Linotype" w:cs="Palatino Linotype"/>
          <w:color w:val="000000"/>
        </w:rPr>
      </w:pPr>
    </w:p>
    <w:p w:rsidR="00890841" w:rsidRDefault="00203E1E">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Al respecto es de señalar que ciertamente se suscriben las aseveraciones manifestadas por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 su respuesta inicial e informe justificado, por las siguientes consideraciones.</w:t>
      </w:r>
    </w:p>
    <w:p w:rsidR="00890841" w:rsidRDefault="00890841">
      <w:pPr>
        <w:pBdr>
          <w:top w:val="nil"/>
          <w:left w:val="nil"/>
          <w:bottom w:val="nil"/>
          <w:right w:val="nil"/>
          <w:between w:val="nil"/>
        </w:pBdr>
        <w:ind w:left="720" w:right="-929"/>
        <w:rPr>
          <w:rFonts w:ascii="Palatino Linotype" w:eastAsia="Palatino Linotype" w:hAnsi="Palatino Linotype" w:cs="Palatino Linotype"/>
          <w:color w:val="000000"/>
        </w:rPr>
      </w:pPr>
    </w:p>
    <w:p w:rsidR="00890841" w:rsidRDefault="00203E1E">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Que lo solicitado corresponde al ejercicio del derecho de petición y no una auténtica solicitud de acceso a la información pública, porque su contenido no se dirige a requerir información documental o datos específicos que obren en los archivos de este Instituto; sino que expresa una inconformidad, crítica o denuncia respecto de una conducta.</w:t>
      </w:r>
    </w:p>
    <w:p w:rsidR="00890841" w:rsidRDefault="00890841">
      <w:pPr>
        <w:pBdr>
          <w:top w:val="nil"/>
          <w:left w:val="nil"/>
          <w:bottom w:val="nil"/>
          <w:right w:val="nil"/>
          <w:between w:val="nil"/>
        </w:pBdr>
        <w:spacing w:line="360" w:lineRule="auto"/>
        <w:ind w:left="644" w:right="-929"/>
        <w:jc w:val="both"/>
        <w:rPr>
          <w:rFonts w:ascii="Palatino Linotype" w:eastAsia="Palatino Linotype" w:hAnsi="Palatino Linotype" w:cs="Palatino Linotype"/>
        </w:rPr>
      </w:pPr>
    </w:p>
    <w:p w:rsidR="00890841" w:rsidRDefault="00203E1E">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Luego entonces, la diferencia radica en que el derecho de acceso a la información pública tiene por objeto obtener información existente, documentada y en posesión de los sujetos obligados y, el derecho de petición, previsto en el artículo 8° de la Constitución Federal, ciertamente permite a las personas formular solicitudes, planteamientos, quejas, denuncias, opiniones o inconformidades ante la autoridad, para que ésta emita una respuesta fundada y motivada.</w:t>
      </w:r>
    </w:p>
    <w:p w:rsidR="00890841" w:rsidRDefault="00890841">
      <w:pPr>
        <w:pBdr>
          <w:top w:val="nil"/>
          <w:left w:val="nil"/>
          <w:bottom w:val="nil"/>
          <w:right w:val="nil"/>
          <w:between w:val="nil"/>
        </w:pBdr>
        <w:spacing w:line="360" w:lineRule="auto"/>
        <w:ind w:left="644" w:right="-929"/>
        <w:jc w:val="both"/>
        <w:rPr>
          <w:rFonts w:ascii="Palatino Linotype" w:eastAsia="Palatino Linotype" w:hAnsi="Palatino Linotype" w:cs="Palatino Linotype"/>
        </w:rPr>
      </w:pPr>
    </w:p>
    <w:p w:rsidR="00890841" w:rsidRDefault="00203E1E">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En el caso concreto, el "por qué una servidora pública sigue haciendo lo que quiere" no identifica un documento, expediente, registro, informe o dato específico que obre en los archivos institucionales. </w:t>
      </w:r>
    </w:p>
    <w:p w:rsidR="00890841" w:rsidRDefault="00890841">
      <w:pPr>
        <w:pBdr>
          <w:top w:val="nil"/>
          <w:left w:val="nil"/>
          <w:bottom w:val="nil"/>
          <w:right w:val="nil"/>
          <w:between w:val="nil"/>
        </w:pBdr>
        <w:ind w:left="720" w:right="-929"/>
        <w:rPr>
          <w:rFonts w:ascii="Palatino Linotype" w:eastAsia="Palatino Linotype" w:hAnsi="Palatino Linotype" w:cs="Palatino Linotype"/>
          <w:color w:val="000000"/>
        </w:rPr>
      </w:pPr>
    </w:p>
    <w:p w:rsidR="00890841" w:rsidRDefault="00203E1E">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el contrario, implica que la autoridad explique, justifique o se pronuncie respecto de una conducta probablemente atribuida a una servidora pública, lo que supone la elaboración de una respuesta, valoración u opinión por parte del </w:t>
      </w:r>
      <w:r>
        <w:rPr>
          <w:rFonts w:ascii="Palatino Linotype" w:eastAsia="Palatino Linotype" w:hAnsi="Palatino Linotype" w:cs="Palatino Linotype"/>
          <w:b/>
          <w:bCs/>
        </w:rPr>
        <w:t>SUJETO OBLIGADO</w:t>
      </w:r>
      <w:r>
        <w:rPr>
          <w:rFonts w:ascii="Palatino Linotype" w:eastAsia="Palatino Linotype" w:hAnsi="Palatino Linotype" w:cs="Palatino Linotype"/>
        </w:rPr>
        <w:t>.</w:t>
      </w:r>
    </w:p>
    <w:p w:rsidR="00890841" w:rsidRDefault="00890841">
      <w:pPr>
        <w:pBdr>
          <w:top w:val="nil"/>
          <w:left w:val="nil"/>
          <w:bottom w:val="nil"/>
          <w:right w:val="nil"/>
          <w:between w:val="nil"/>
        </w:pBdr>
        <w:spacing w:line="360" w:lineRule="auto"/>
        <w:ind w:left="644" w:right="-929"/>
        <w:jc w:val="both"/>
        <w:rPr>
          <w:rFonts w:ascii="Palatino Linotype" w:eastAsia="Palatino Linotype" w:hAnsi="Palatino Linotype" w:cs="Palatino Linotype"/>
        </w:rPr>
      </w:pPr>
    </w:p>
    <w:p w:rsidR="00890841" w:rsidRDefault="00203E1E">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Asimismo, expresiones como "pobre de ella cuando se termine…" o "a ver en qué otro trabajo la dejan ir cuando…" Constituyen manifestaciones subjetivas, probablemente de descontento o reproche personal, que no representan una petición de información pública susceptible de ser atendida mediante una solicitud de acceso a la información pública.</w:t>
      </w:r>
    </w:p>
    <w:p w:rsidR="00890841" w:rsidRDefault="00890841">
      <w:pPr>
        <w:pBdr>
          <w:top w:val="nil"/>
          <w:left w:val="nil"/>
          <w:bottom w:val="nil"/>
          <w:right w:val="nil"/>
          <w:between w:val="nil"/>
        </w:pBdr>
        <w:spacing w:line="360" w:lineRule="auto"/>
        <w:ind w:left="644" w:right="-929"/>
        <w:jc w:val="both"/>
        <w:rPr>
          <w:rFonts w:ascii="Palatino Linotype" w:eastAsia="Palatino Linotype" w:hAnsi="Palatino Linotype" w:cs="Palatino Linotype"/>
        </w:rPr>
      </w:pPr>
    </w:p>
    <w:p w:rsidR="00890841" w:rsidRDefault="00203E1E">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Por ello, jurídicamente puede sostenerse que la solicitud no persigue el acceso a información preexistente y documentada, sino obtener un pronunciamiento de la autoridad sobre hechos o conductas de una servidora pública, lo que encuadra en el ejercicio del derecho de petición.</w:t>
      </w:r>
    </w:p>
    <w:p w:rsidR="00890841" w:rsidRDefault="00890841">
      <w:pPr>
        <w:pBdr>
          <w:top w:val="nil"/>
          <w:left w:val="nil"/>
          <w:bottom w:val="nil"/>
          <w:right w:val="nil"/>
          <w:between w:val="nil"/>
        </w:pBdr>
        <w:spacing w:line="360" w:lineRule="auto"/>
        <w:ind w:left="644" w:right="-929"/>
        <w:jc w:val="both"/>
        <w:rPr>
          <w:rFonts w:ascii="Palatino Linotype" w:eastAsia="Palatino Linotype" w:hAnsi="Palatino Linotype" w:cs="Palatino Linotype"/>
        </w:rPr>
      </w:pPr>
    </w:p>
    <w:p w:rsidR="00890841" w:rsidRDefault="00203E1E">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bookmarkStart w:id="7" w:name="_heading=h.sgaviq3omhku" w:colFirst="0" w:colLast="0"/>
      <w:bookmarkEnd w:id="7"/>
      <w:r>
        <w:rPr>
          <w:rFonts w:ascii="Palatino Linotype" w:eastAsia="Palatino Linotype" w:hAnsi="Palatino Linotype" w:cs="Palatino Linotype"/>
        </w:rPr>
        <w:t xml:space="preserve">En conclusión, la manifestación realizada por la persona solicitante no constituye propiamente una solicitud de acceso a la información pública, toda vez que no se requiere información específica, documentada y existente en los archivos de este Instituto. Por tanto, </w:t>
      </w:r>
      <w:r>
        <w:rPr>
          <w:rFonts w:ascii="Palatino Linotype" w:eastAsia="Palatino Linotype" w:hAnsi="Palatino Linotype" w:cs="Palatino Linotype"/>
          <w:u w:val="single"/>
        </w:rPr>
        <w:t>se confirma</w:t>
      </w:r>
      <w:r>
        <w:rPr>
          <w:rFonts w:ascii="Palatino Linotype" w:eastAsia="Palatino Linotype" w:hAnsi="Palatino Linotype" w:cs="Palatino Linotype"/>
        </w:rPr>
        <w:t xml:space="preserve">, que los argumentos vertidos en la pretendida solicitud de información, no recaen sobre documentos, registros, expedientes, informes o datos concretos que obren en posesión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sino que implica la emisión de una respuesta valorativa o </w:t>
      </w:r>
      <w:r>
        <w:rPr>
          <w:rFonts w:ascii="Palatino Linotype" w:eastAsia="Palatino Linotype" w:hAnsi="Palatino Linotype" w:cs="Palatino Linotype"/>
        </w:rPr>
        <w:lastRenderedPageBreak/>
        <w:t xml:space="preserve">justificativa por parte de la autoridad, circunstancia que excede el objeto y alcances del derecho de acceso a la información pública, siendo lo procedente </w:t>
      </w:r>
      <w:r>
        <w:rPr>
          <w:rFonts w:ascii="Palatino Linotype" w:eastAsia="Palatino Linotype" w:hAnsi="Palatino Linotype" w:cs="Palatino Linotype"/>
          <w:b/>
          <w:bCs/>
        </w:rPr>
        <w:t>CONFIRMAR</w:t>
      </w:r>
      <w:r>
        <w:rPr>
          <w:rFonts w:ascii="Palatino Linotype" w:eastAsia="Palatino Linotype" w:hAnsi="Palatino Linotype" w:cs="Palatino Linotype"/>
        </w:rPr>
        <w:t xml:space="preserve"> la respuesta inicial.</w:t>
      </w:r>
    </w:p>
    <w:p w:rsidR="00890841" w:rsidRDefault="00890841">
      <w:pPr>
        <w:pBdr>
          <w:top w:val="nil"/>
          <w:left w:val="nil"/>
          <w:bottom w:val="nil"/>
          <w:right w:val="nil"/>
          <w:between w:val="nil"/>
        </w:pBdr>
        <w:spacing w:line="360" w:lineRule="auto"/>
        <w:ind w:right="-929"/>
        <w:jc w:val="both"/>
        <w:rPr>
          <w:rFonts w:ascii="Palatino Linotype" w:eastAsia="Palatino Linotype" w:hAnsi="Palatino Linotype" w:cs="Palatino Linotype"/>
        </w:rPr>
      </w:pPr>
    </w:p>
    <w:p w:rsidR="00890841" w:rsidRDefault="00203E1E">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Finalmente, respecto de las expresiones vertidas en las </w:t>
      </w:r>
      <w:r>
        <w:rPr>
          <w:rFonts w:ascii="Palatino Linotype" w:eastAsia="Palatino Linotype" w:hAnsi="Palatino Linotype" w:cs="Palatino Linotype"/>
          <w:b/>
          <w:bCs/>
          <w:i/>
          <w:iCs/>
        </w:rPr>
        <w:t xml:space="preserve">Razones o motivos de inconformidad </w:t>
      </w:r>
      <w:r>
        <w:rPr>
          <w:rFonts w:ascii="Palatino Linotype" w:eastAsia="Palatino Linotype" w:hAnsi="Palatino Linotype" w:cs="Palatino Linotype"/>
        </w:rPr>
        <w:t xml:space="preserve">del escrito recursal: </w:t>
      </w:r>
      <w:r>
        <w:rPr>
          <w:rFonts w:ascii="Palatino Linotype" w:eastAsia="Palatino Linotype" w:hAnsi="Palatino Linotype" w:cs="Palatino Linotype"/>
          <w:u w:val="single"/>
        </w:rPr>
        <w:t>se conmina</w:t>
      </w:r>
      <w:r>
        <w:rPr>
          <w:rFonts w:ascii="Palatino Linotype" w:eastAsia="Palatino Linotype" w:hAnsi="Palatino Linotype" w:cs="Palatino Linotype"/>
        </w:rPr>
        <w:t xml:space="preserve"> al particular a dirigirse de manera pacífica y respetuosa</w:t>
      </w:r>
      <w:r>
        <w:rPr>
          <w:rFonts w:ascii="Palatino Linotype" w:eastAsia="Palatino Linotype" w:hAnsi="Palatino Linotype" w:cs="Palatino Linotype"/>
          <w:color w:val="000000"/>
        </w:rPr>
        <w:t xml:space="preserve"> para el ejercicio de su derecho humano de acceso a la información pública, sin usar lenguaje altisonante, groserías o expresiones insultantes, o en doble sentido, cuya finalidad o </w:t>
      </w:r>
      <w:r>
        <w:rPr>
          <w:rFonts w:ascii="Palatino Linotype" w:eastAsia="Palatino Linotype" w:hAnsi="Palatino Linotype" w:cs="Palatino Linotype"/>
        </w:rPr>
        <w:t>intención</w:t>
      </w:r>
      <w:r>
        <w:rPr>
          <w:rFonts w:ascii="Palatino Linotype" w:eastAsia="Palatino Linotype" w:hAnsi="Palatino Linotype" w:cs="Palatino Linotype"/>
          <w:color w:val="000000"/>
        </w:rPr>
        <w:t xml:space="preserve"> sea ocasionar agravios en la moral de los servidores públicos.</w:t>
      </w:r>
    </w:p>
    <w:p w:rsidR="00890841" w:rsidRDefault="00890841">
      <w:pPr>
        <w:pBdr>
          <w:top w:val="nil"/>
          <w:left w:val="nil"/>
          <w:bottom w:val="nil"/>
          <w:right w:val="nil"/>
          <w:between w:val="nil"/>
        </w:pBdr>
        <w:tabs>
          <w:tab w:val="left" w:pos="426"/>
        </w:tabs>
        <w:spacing w:line="360" w:lineRule="auto"/>
        <w:ind w:right="-929"/>
        <w:jc w:val="both"/>
        <w:rPr>
          <w:rFonts w:ascii="Palatino Linotype" w:eastAsia="Palatino Linotype" w:hAnsi="Palatino Linotype" w:cs="Palatino Linotype"/>
          <w:color w:val="000000"/>
        </w:rPr>
      </w:pPr>
    </w:p>
    <w:p w:rsidR="00890841" w:rsidRDefault="00203E1E">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considera que no se puede ejercer el derecho de acceso a la información ni el recurso de revisión para injuriar e insultar a servidoras y servidores públicos, es decir, faltando al </w:t>
      </w:r>
      <w:r>
        <w:rPr>
          <w:rFonts w:ascii="Palatino Linotype" w:eastAsia="Palatino Linotype" w:hAnsi="Palatino Linotype" w:cs="Palatino Linotype"/>
        </w:rPr>
        <w:t>respeto</w:t>
      </w:r>
      <w:r>
        <w:rPr>
          <w:rFonts w:ascii="Palatino Linotype" w:eastAsia="Palatino Linotype" w:hAnsi="Palatino Linotype" w:cs="Palatino Linotype"/>
          <w:color w:val="000000"/>
        </w:rPr>
        <w:t xml:space="preserve">, y que dicha falta de respeto se normalice, se pase por alto como si los insultos, las injurias, las ofensas no estuvieran escritas en las solicitudes de acceso a la información o en el recurso de revisión, </w:t>
      </w:r>
      <w:r>
        <w:rPr>
          <w:rFonts w:ascii="Palatino Linotype" w:eastAsia="Palatino Linotype" w:hAnsi="Palatino Linotype" w:cs="Palatino Linotype"/>
          <w:i/>
          <w:iCs/>
          <w:color w:val="000000"/>
        </w:rPr>
        <w:t>máxime</w:t>
      </w:r>
      <w:r>
        <w:rPr>
          <w:rFonts w:ascii="Palatino Linotype" w:eastAsia="Palatino Linotype" w:hAnsi="Palatino Linotype" w:cs="Palatino Linotype"/>
          <w:color w:val="000000"/>
        </w:rPr>
        <w:t xml:space="preserve"> que, como se repite su fin es hacer insultar y/o lastimar la moral de las personas funcionarias públicas.</w:t>
      </w:r>
    </w:p>
    <w:p w:rsidR="00890841" w:rsidRDefault="00890841">
      <w:pPr>
        <w:pBdr>
          <w:top w:val="nil"/>
          <w:left w:val="nil"/>
          <w:bottom w:val="nil"/>
          <w:right w:val="nil"/>
          <w:between w:val="nil"/>
        </w:pBdr>
        <w:spacing w:line="360" w:lineRule="auto"/>
        <w:ind w:left="644" w:right="-929"/>
        <w:jc w:val="both"/>
        <w:rPr>
          <w:rFonts w:ascii="Palatino Linotype" w:eastAsia="Palatino Linotype" w:hAnsi="Palatino Linotype" w:cs="Palatino Linotype"/>
        </w:rPr>
      </w:pPr>
    </w:p>
    <w:p w:rsidR="00890841" w:rsidRDefault="00203E1E">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respecto, es de hacer notar, como referencia concatenada, lo que establece el artículo 8 de la Constitución Política de los Estados Unidos Mexicanos, que para el caso que nos ocupa, reza:</w:t>
      </w:r>
    </w:p>
    <w:p w:rsidR="00890841" w:rsidRDefault="00203E1E">
      <w:pPr>
        <w:pBdr>
          <w:top w:val="nil"/>
          <w:left w:val="nil"/>
          <w:bottom w:val="nil"/>
          <w:right w:val="nil"/>
          <w:between w:val="nil"/>
        </w:pBdr>
        <w:spacing w:line="360" w:lineRule="auto"/>
        <w:ind w:left="360"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Artículo 8o</w:t>
      </w:r>
      <w:r>
        <w:rPr>
          <w:rFonts w:ascii="Palatino Linotype" w:eastAsia="Palatino Linotype" w:hAnsi="Palatino Linotype" w:cs="Palatino Linotype"/>
          <w:i/>
          <w:iCs/>
          <w:color w:val="000000"/>
        </w:rPr>
        <w:t xml:space="preserve">. Los funcionarios y empleados públicos respetarán el ejercicio del derecho de petición, siempre que ésta se formule por escrito, </w:t>
      </w:r>
      <w:r>
        <w:rPr>
          <w:rFonts w:ascii="Palatino Linotype" w:eastAsia="Palatino Linotype" w:hAnsi="Palatino Linotype" w:cs="Palatino Linotype"/>
          <w:b/>
          <w:bCs/>
          <w:i/>
          <w:iCs/>
          <w:color w:val="000000"/>
          <w:u w:val="single"/>
        </w:rPr>
        <w:t>de manera pacífica y respetuosa</w:t>
      </w:r>
      <w:r>
        <w:rPr>
          <w:rFonts w:ascii="Palatino Linotype" w:eastAsia="Palatino Linotype" w:hAnsi="Palatino Linotype" w:cs="Palatino Linotype"/>
          <w:i/>
          <w:iCs/>
          <w:color w:val="000000"/>
        </w:rPr>
        <w:t>;”</w:t>
      </w:r>
    </w:p>
    <w:p w:rsidR="00890841" w:rsidRDefault="00890841">
      <w:pPr>
        <w:pBdr>
          <w:top w:val="nil"/>
          <w:left w:val="nil"/>
          <w:bottom w:val="nil"/>
          <w:right w:val="nil"/>
          <w:between w:val="nil"/>
        </w:pBdr>
        <w:spacing w:line="360" w:lineRule="auto"/>
        <w:ind w:left="360" w:right="-929"/>
        <w:jc w:val="both"/>
        <w:rPr>
          <w:rFonts w:ascii="Palatino Linotype" w:eastAsia="Palatino Linotype" w:hAnsi="Palatino Linotype" w:cs="Palatino Linotype"/>
          <w:i/>
          <w:iCs/>
          <w:color w:val="000000"/>
        </w:rPr>
      </w:pPr>
    </w:p>
    <w:p w:rsidR="00890841" w:rsidRDefault="00203E1E">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Si bien es cierto que la naturaleza jurídica del bien tutelado por los artículos 6° y 8° de la Constitución son distintos, lo cierto es que de una interpretación adminiculada respecto del respeto, se homologa, pues no podemos interpretar a contrario sensu que si el artículo 8 dice: “de manera pacífica y respetuosa”, se entienda que como no lo establece el artículo 6 entonces se puedan hacer las solicitudes de manera no </w:t>
      </w:r>
      <w:r>
        <w:rPr>
          <w:rFonts w:ascii="Palatino Linotype" w:eastAsia="Palatino Linotype" w:hAnsi="Palatino Linotype" w:cs="Palatino Linotype"/>
        </w:rPr>
        <w:t>pacífica</w:t>
      </w:r>
      <w:r>
        <w:rPr>
          <w:rFonts w:ascii="Palatino Linotype" w:eastAsia="Palatino Linotype" w:hAnsi="Palatino Linotype" w:cs="Palatino Linotype"/>
          <w:color w:val="000000"/>
        </w:rPr>
        <w:t xml:space="preserve"> e irrespetuosa, no es así, y no se discute en este punto la diferencia del bien jurídico tutelado por cada artículo, sino la similitud de estos dos artículos en la forma de ejercer dichos derechos.</w:t>
      </w:r>
    </w:p>
    <w:p w:rsidR="00890841" w:rsidRDefault="00890841">
      <w:pPr>
        <w:pBdr>
          <w:top w:val="nil"/>
          <w:left w:val="nil"/>
          <w:bottom w:val="nil"/>
          <w:right w:val="nil"/>
          <w:between w:val="nil"/>
        </w:pBdr>
        <w:tabs>
          <w:tab w:val="left" w:pos="426"/>
        </w:tabs>
        <w:spacing w:line="360" w:lineRule="auto"/>
        <w:ind w:right="-929"/>
        <w:jc w:val="both"/>
        <w:rPr>
          <w:rFonts w:ascii="Palatino Linotype" w:eastAsia="Palatino Linotype" w:hAnsi="Palatino Linotype" w:cs="Palatino Linotype"/>
          <w:color w:val="000000"/>
        </w:rPr>
      </w:pPr>
    </w:p>
    <w:p w:rsidR="00890841" w:rsidRDefault="00203E1E">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mismo orden de ideas el artículo 9 Constitucional, refiere:</w:t>
      </w:r>
    </w:p>
    <w:p w:rsidR="00890841" w:rsidRDefault="00203E1E">
      <w:pPr>
        <w:spacing w:line="360" w:lineRule="auto"/>
        <w:ind w:left="851" w:right="-9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“No se considerará ilegal, y no podrá ser disuelta una asamblea o reunión que tenga por objeto hacer una petición o presentar una protesta por algún acto, a una autoridad, </w:t>
      </w:r>
      <w:r>
        <w:rPr>
          <w:rFonts w:ascii="Palatino Linotype" w:eastAsia="Palatino Linotype" w:hAnsi="Palatino Linotype" w:cs="Palatino Linotype"/>
          <w:b/>
          <w:bCs/>
          <w:i/>
          <w:iCs/>
          <w:u w:val="single"/>
        </w:rPr>
        <w:t>si no se profieren injurias</w:t>
      </w:r>
      <w:r>
        <w:rPr>
          <w:rFonts w:ascii="Palatino Linotype" w:eastAsia="Palatino Linotype" w:hAnsi="Palatino Linotype" w:cs="Palatino Linotype"/>
          <w:i/>
          <w:iCs/>
        </w:rPr>
        <w:t xml:space="preserve"> contra ésta,…”</w:t>
      </w:r>
    </w:p>
    <w:p w:rsidR="00890841" w:rsidRDefault="00890841">
      <w:pPr>
        <w:pBdr>
          <w:top w:val="nil"/>
          <w:left w:val="nil"/>
          <w:bottom w:val="nil"/>
          <w:right w:val="nil"/>
          <w:between w:val="nil"/>
        </w:pBdr>
        <w:tabs>
          <w:tab w:val="left" w:pos="426"/>
        </w:tabs>
        <w:spacing w:line="360" w:lineRule="auto"/>
        <w:ind w:right="-929"/>
        <w:jc w:val="both"/>
        <w:rPr>
          <w:rFonts w:ascii="Palatino Linotype" w:eastAsia="Palatino Linotype" w:hAnsi="Palatino Linotype" w:cs="Palatino Linotype"/>
          <w:color w:val="000000"/>
        </w:rPr>
      </w:pPr>
    </w:p>
    <w:p w:rsidR="00890841" w:rsidRDefault="00203E1E">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 </w:t>
      </w:r>
      <w:r>
        <w:rPr>
          <w:rFonts w:ascii="Palatino Linotype" w:eastAsia="Palatino Linotype" w:hAnsi="Palatino Linotype" w:cs="Palatino Linotype"/>
          <w:i/>
          <w:iCs/>
          <w:color w:val="000000"/>
        </w:rPr>
        <w:t>contrario sensu</w:t>
      </w:r>
      <w:r>
        <w:rPr>
          <w:rFonts w:ascii="Palatino Linotype" w:eastAsia="Palatino Linotype" w:hAnsi="Palatino Linotype" w:cs="Palatino Linotype"/>
          <w:color w:val="000000"/>
        </w:rPr>
        <w:t xml:space="preserve">, el derecho de asociación será ilegal y la asociación que resulte, disuelta, si su petición </w:t>
      </w:r>
      <w:r>
        <w:rPr>
          <w:rFonts w:ascii="Palatino Linotype" w:eastAsia="Palatino Linotype" w:hAnsi="Palatino Linotype" w:cs="Palatino Linotype"/>
        </w:rPr>
        <w:t>profieren</w:t>
      </w:r>
      <w:r>
        <w:rPr>
          <w:rFonts w:ascii="Palatino Linotype" w:eastAsia="Palatino Linotype" w:hAnsi="Palatino Linotype" w:cs="Palatino Linotype"/>
          <w:color w:val="000000"/>
        </w:rPr>
        <w:t xml:space="preserve"> injurias contra la autoridades, tampoco se discute en el presente apartado la diferencia de bien jurídico tutelado entre el artículo 6° y 9°, sino la similitud en el pedir o solicitar de las autoridades algo, de forma análoga podemos ver que se pueden hacer protestas solicitando algo de la autoridad, pero sin injuriar y sin insultos, lo que conlleva a sus personas funcionarias públicas.</w:t>
      </w:r>
    </w:p>
    <w:p w:rsidR="00890841" w:rsidRDefault="00890841">
      <w:pPr>
        <w:pBdr>
          <w:top w:val="nil"/>
          <w:left w:val="nil"/>
          <w:bottom w:val="nil"/>
          <w:right w:val="nil"/>
          <w:between w:val="nil"/>
        </w:pBdr>
        <w:spacing w:line="360" w:lineRule="auto"/>
        <w:ind w:right="-929"/>
        <w:jc w:val="both"/>
        <w:rPr>
          <w:rFonts w:ascii="Palatino Linotype" w:eastAsia="Palatino Linotype" w:hAnsi="Palatino Linotype" w:cs="Palatino Linotype"/>
        </w:rPr>
      </w:pPr>
    </w:p>
    <w:p w:rsidR="00890841" w:rsidRDefault="00203E1E">
      <w:pPr>
        <w:numPr>
          <w:ilvl w:val="0"/>
          <w:numId w:val="1"/>
        </w:numP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Por</w:t>
      </w:r>
      <w:r>
        <w:rPr>
          <w:rFonts w:ascii="Palatino Linotype" w:eastAsia="Palatino Linotype" w:hAnsi="Palatino Linotype" w:cs="Palatino Linotype"/>
          <w:color w:val="000000"/>
        </w:rPr>
        <w:t xml:space="preserve"> lo </w:t>
      </w:r>
      <w:r>
        <w:rPr>
          <w:rFonts w:ascii="Palatino Linotype" w:eastAsia="Palatino Linotype" w:hAnsi="Palatino Linotype" w:cs="Palatino Linotype"/>
        </w:rPr>
        <w:t>anteriormente</w:t>
      </w:r>
      <w:r>
        <w:rPr>
          <w:rFonts w:ascii="Palatino Linotype" w:eastAsia="Palatino Linotype" w:hAnsi="Palatino Linotype" w:cs="Palatino Linotype"/>
          <w:color w:val="000000"/>
        </w:rPr>
        <w:t xml:space="preserve"> expuesto y fundado, este Órgano Garante emite los siguientes: </w:t>
      </w:r>
    </w:p>
    <w:p w:rsidR="00890841" w:rsidRDefault="00890841">
      <w:pPr>
        <w:spacing w:line="360" w:lineRule="auto"/>
        <w:ind w:left="644" w:right="-929"/>
        <w:jc w:val="both"/>
        <w:rPr>
          <w:rFonts w:ascii="Palatino Linotype" w:eastAsia="Palatino Linotype" w:hAnsi="Palatino Linotype" w:cs="Palatino Linotype"/>
        </w:rPr>
      </w:pPr>
    </w:p>
    <w:p w:rsidR="00890841" w:rsidRDefault="00203E1E">
      <w:pPr>
        <w:pStyle w:val="Ttulo1"/>
        <w:spacing w:before="0" w:line="360" w:lineRule="auto"/>
        <w:ind w:right="-929"/>
        <w:jc w:val="center"/>
        <w:rPr>
          <w:rFonts w:ascii="Palatino Linotype" w:eastAsia="Palatino Linotype" w:hAnsi="Palatino Linotype" w:cs="Palatino Linotype"/>
          <w:b/>
          <w:bCs/>
          <w:color w:val="000000"/>
          <w:sz w:val="24"/>
          <w:szCs w:val="24"/>
        </w:rPr>
      </w:pPr>
      <w:bookmarkStart w:id="8" w:name="_heading=h.51wn50aed6mc" w:colFirst="0" w:colLast="0"/>
      <w:bookmarkEnd w:id="8"/>
      <w:r>
        <w:rPr>
          <w:rFonts w:ascii="Palatino Linotype" w:eastAsia="Palatino Linotype" w:hAnsi="Palatino Linotype" w:cs="Palatino Linotype"/>
          <w:b/>
          <w:bCs/>
          <w:color w:val="000000"/>
          <w:sz w:val="24"/>
          <w:szCs w:val="24"/>
        </w:rPr>
        <w:lastRenderedPageBreak/>
        <w:t>R E S O L U T I V O S</w:t>
      </w:r>
    </w:p>
    <w:p w:rsidR="00890841" w:rsidRDefault="00890841">
      <w:pPr>
        <w:spacing w:line="360" w:lineRule="auto"/>
        <w:ind w:right="-929"/>
        <w:rPr>
          <w:rFonts w:ascii="Palatino Linotype" w:eastAsia="Palatino Linotype" w:hAnsi="Palatino Linotype" w:cs="Palatino Linotype"/>
        </w:rPr>
      </w:pPr>
    </w:p>
    <w:p w:rsidR="00890841" w:rsidRDefault="00203E1E">
      <w:pPr>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b/>
          <w:bCs/>
        </w:rPr>
        <w:t>PRIMERO</w:t>
      </w:r>
      <w:r>
        <w:rPr>
          <w:rFonts w:ascii="Palatino Linotype" w:eastAsia="Palatino Linotype" w:hAnsi="Palatino Linotype" w:cs="Palatino Linotype"/>
        </w:rPr>
        <w:t xml:space="preserve">. Resultan infundadas las razones o motivos de inconformidad hechos valer en el Recurso de Revisión </w:t>
      </w:r>
      <w:r>
        <w:rPr>
          <w:rFonts w:ascii="Palatino Linotype" w:eastAsia="Palatino Linotype" w:hAnsi="Palatino Linotype" w:cs="Palatino Linotype"/>
          <w:b/>
          <w:bCs/>
        </w:rPr>
        <w:t>05378/INFOEM/IP/RR/2026</w:t>
      </w:r>
      <w:r>
        <w:rPr>
          <w:rFonts w:ascii="Palatino Linotype" w:eastAsia="Palatino Linotype" w:hAnsi="Palatino Linotype" w:cs="Palatino Linotype"/>
        </w:rPr>
        <w:t xml:space="preserve">, en términos del Considerando </w:t>
      </w:r>
      <w:r>
        <w:rPr>
          <w:rFonts w:ascii="Palatino Linotype" w:eastAsia="Palatino Linotype" w:hAnsi="Palatino Linotype" w:cs="Palatino Linotype"/>
          <w:b/>
          <w:bCs/>
        </w:rPr>
        <w:t>CUARTO</w:t>
      </w:r>
      <w:r>
        <w:rPr>
          <w:rFonts w:ascii="Palatino Linotype" w:eastAsia="Palatino Linotype" w:hAnsi="Palatino Linotype" w:cs="Palatino Linotype"/>
        </w:rPr>
        <w:t xml:space="preserve"> de la presente Resolución.</w:t>
      </w:r>
    </w:p>
    <w:p w:rsidR="00890841" w:rsidRDefault="00890841">
      <w:pPr>
        <w:spacing w:line="360" w:lineRule="auto"/>
        <w:ind w:right="-929"/>
        <w:jc w:val="both"/>
        <w:rPr>
          <w:rFonts w:ascii="Palatino Linotype" w:eastAsia="Palatino Linotype" w:hAnsi="Palatino Linotype" w:cs="Palatino Linotype"/>
        </w:rPr>
      </w:pPr>
    </w:p>
    <w:p w:rsidR="00890841" w:rsidRDefault="00203E1E">
      <w:pPr>
        <w:spacing w:line="360" w:lineRule="auto"/>
        <w:ind w:right="-929"/>
        <w:jc w:val="both"/>
        <w:rPr>
          <w:rFonts w:ascii="Palatino Linotype" w:eastAsia="Palatino Linotype" w:hAnsi="Palatino Linotype" w:cs="Palatino Linotype"/>
          <w:color w:val="000000"/>
        </w:rPr>
      </w:pPr>
      <w:r>
        <w:rPr>
          <w:rFonts w:ascii="Palatino Linotype" w:eastAsia="Palatino Linotype" w:hAnsi="Palatino Linotype" w:cs="Palatino Linotype"/>
          <w:b/>
          <w:bCs/>
        </w:rPr>
        <w:t>SEGUNDO</w:t>
      </w:r>
      <w:r>
        <w:rPr>
          <w:rFonts w:ascii="Palatino Linotype" w:eastAsia="Palatino Linotype" w:hAnsi="Palatino Linotype" w:cs="Palatino Linotype"/>
        </w:rPr>
        <w:t xml:space="preserve">. Se </w:t>
      </w:r>
      <w:r>
        <w:rPr>
          <w:rFonts w:ascii="Palatino Linotype" w:eastAsia="Palatino Linotype" w:hAnsi="Palatino Linotype" w:cs="Palatino Linotype"/>
          <w:b/>
          <w:bCs/>
        </w:rPr>
        <w:t>CONFIRMA</w:t>
      </w:r>
      <w:r>
        <w:rPr>
          <w:rFonts w:ascii="Palatino Linotype" w:eastAsia="Palatino Linotype" w:hAnsi="Palatino Linotype" w:cs="Palatino Linotype"/>
        </w:rPr>
        <w:t xml:space="preserve"> la respuesta emitida por el </w:t>
      </w:r>
      <w:r>
        <w:rPr>
          <w:rFonts w:ascii="Palatino Linotype" w:eastAsia="Palatino Linotype" w:hAnsi="Palatino Linotype" w:cs="Palatino Linotype"/>
          <w:color w:val="000000"/>
        </w:rPr>
        <w:t>Instituto de Transparencia, Acceso a la Información Pública y Protección de Datos Personales del Estado de México y Municipios</w:t>
      </w:r>
      <w:r>
        <w:rPr>
          <w:rFonts w:ascii="Palatino Linotype" w:eastAsia="Palatino Linotype" w:hAnsi="Palatino Linotype" w:cs="Palatino Linotype"/>
          <w:b/>
          <w:bCs/>
        </w:rPr>
        <w:t xml:space="preserve">, </w:t>
      </w:r>
      <w:r>
        <w:rPr>
          <w:rFonts w:ascii="Palatino Linotype" w:eastAsia="Palatino Linotype" w:hAnsi="Palatino Linotype" w:cs="Palatino Linotype"/>
        </w:rPr>
        <w:t>en la Solicitud de Acceso a la Información Pública</w:t>
      </w:r>
      <w:r>
        <w:rPr>
          <w:rFonts w:ascii="Palatino Linotype" w:eastAsia="Palatino Linotype" w:hAnsi="Palatino Linotype" w:cs="Palatino Linotype"/>
          <w:b/>
          <w:bCs/>
        </w:rPr>
        <w:t> </w:t>
      </w:r>
      <w:r>
        <w:rPr>
          <w:rFonts w:ascii="Palatino Linotype" w:eastAsia="Palatino Linotype" w:hAnsi="Palatino Linotype" w:cs="Palatino Linotype"/>
          <w:b/>
          <w:bCs/>
          <w:color w:val="000000"/>
        </w:rPr>
        <w:t>00375/INFOEM/IP/2026</w:t>
      </w:r>
      <w:r>
        <w:rPr>
          <w:rFonts w:ascii="Palatino Linotype" w:eastAsia="Palatino Linotype" w:hAnsi="Palatino Linotype" w:cs="Palatino Linotype"/>
          <w:color w:val="000000"/>
        </w:rPr>
        <w:t>.</w:t>
      </w:r>
    </w:p>
    <w:p w:rsidR="00890841" w:rsidRDefault="00890841">
      <w:pPr>
        <w:spacing w:line="360" w:lineRule="auto"/>
        <w:ind w:right="-929"/>
        <w:jc w:val="both"/>
        <w:rPr>
          <w:rFonts w:ascii="Palatino Linotype" w:eastAsia="Palatino Linotype" w:hAnsi="Palatino Linotype" w:cs="Palatino Linotype"/>
          <w:b/>
          <w:bCs/>
        </w:rPr>
      </w:pPr>
    </w:p>
    <w:p w:rsidR="00890841" w:rsidRDefault="00203E1E">
      <w:pPr>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b/>
          <w:bCs/>
        </w:rPr>
        <w:t>TERCERO.</w:t>
      </w:r>
      <w:r>
        <w:rPr>
          <w:rFonts w:ascii="Palatino Linotype" w:eastAsia="Palatino Linotype" w:hAnsi="Palatino Linotype" w:cs="Palatino Linotype"/>
        </w:rPr>
        <w:t xml:space="preserve"> Notifíquese al Titular de la Unidad de Transparencia del</w:t>
      </w:r>
      <w:r>
        <w:rPr>
          <w:rFonts w:ascii="Palatino Linotype" w:eastAsia="Palatino Linotype" w:hAnsi="Palatino Linotype" w:cs="Palatino Linotype"/>
          <w:b/>
          <w:bCs/>
        </w:rPr>
        <w:t xml:space="preserve"> SUJETO OBLIGADO</w:t>
      </w:r>
      <w:r>
        <w:rPr>
          <w:rFonts w:ascii="Palatino Linotype" w:eastAsia="Palatino Linotype" w:hAnsi="Palatino Linotype" w:cs="Palatino Linotype"/>
        </w:rPr>
        <w:t xml:space="preserve"> vía </w:t>
      </w:r>
      <w:r>
        <w:rPr>
          <w:rFonts w:ascii="Palatino Linotype" w:eastAsia="Palatino Linotype" w:hAnsi="Palatino Linotype" w:cs="Palatino Linotype"/>
          <w:b/>
          <w:bCs/>
        </w:rPr>
        <w:t>SAIMEX</w:t>
      </w:r>
      <w:r>
        <w:rPr>
          <w:rFonts w:ascii="Palatino Linotype" w:eastAsia="Palatino Linotype" w:hAnsi="Palatino Linotype" w:cs="Palatino Linotype"/>
        </w:rPr>
        <w:t>, para su conocimiento.</w:t>
      </w:r>
    </w:p>
    <w:p w:rsidR="00E07158" w:rsidRDefault="00E07158">
      <w:pPr>
        <w:spacing w:line="360" w:lineRule="auto"/>
        <w:ind w:right="-929"/>
        <w:jc w:val="both"/>
        <w:rPr>
          <w:rFonts w:ascii="Palatino Linotype" w:eastAsia="Palatino Linotype" w:hAnsi="Palatino Linotype" w:cs="Palatino Linotype"/>
        </w:rPr>
      </w:pPr>
    </w:p>
    <w:p w:rsidR="00890841" w:rsidRDefault="00203E1E">
      <w:pPr>
        <w:shd w:val="clear" w:color="auto" w:fill="FFFFFF"/>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b/>
          <w:bCs/>
        </w:rPr>
        <w:t>CUARTO.</w:t>
      </w:r>
      <w:r>
        <w:rPr>
          <w:rFonts w:ascii="Palatino Linotype" w:eastAsia="Palatino Linotype" w:hAnsi="Palatino Linotype" w:cs="Palatino Linotype"/>
        </w:rPr>
        <w:t xml:space="preserve"> Notifíquese a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la presente Resolución vía </w:t>
      </w:r>
      <w:r>
        <w:rPr>
          <w:rFonts w:ascii="Palatino Linotype" w:eastAsia="Palatino Linotype" w:hAnsi="Palatino Linotype" w:cs="Palatino Linotype"/>
          <w:b/>
          <w:bCs/>
        </w:rPr>
        <w:t>SAIMEX</w:t>
      </w:r>
      <w:r>
        <w:rPr>
          <w:rFonts w:ascii="Palatino Linotype" w:eastAsia="Palatino Linotype" w:hAnsi="Palatino Linotype" w:cs="Palatino Linotype"/>
        </w:rPr>
        <w:t>.</w:t>
      </w:r>
    </w:p>
    <w:p w:rsidR="00890841" w:rsidRDefault="00890841">
      <w:pPr>
        <w:shd w:val="clear" w:color="auto" w:fill="FFFFFF"/>
        <w:spacing w:line="360" w:lineRule="auto"/>
        <w:ind w:right="-929"/>
        <w:jc w:val="both"/>
        <w:rPr>
          <w:rFonts w:ascii="Palatino Linotype" w:eastAsia="Palatino Linotype" w:hAnsi="Palatino Linotype" w:cs="Palatino Linotype"/>
        </w:rPr>
      </w:pPr>
    </w:p>
    <w:p w:rsidR="00890841" w:rsidRDefault="00203E1E">
      <w:pPr>
        <w:shd w:val="clear" w:color="auto" w:fill="FFFFFF"/>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b/>
          <w:bCs/>
        </w:rPr>
        <w:t xml:space="preserve">QUINTO. </w:t>
      </w:r>
      <w:r>
        <w:rPr>
          <w:rFonts w:ascii="Palatino Linotype" w:eastAsia="Palatino Linotype" w:hAnsi="Palatino Linotype" w:cs="Palatino Linotype"/>
        </w:rPr>
        <w:t xml:space="preserve">Se hace del conocimiento de </w:t>
      </w:r>
      <w:r>
        <w:rPr>
          <w:rFonts w:ascii="Palatino Linotype" w:eastAsia="Palatino Linotype" w:hAnsi="Palatino Linotype" w:cs="Palatino Linotype"/>
          <w:b/>
          <w:bCs/>
        </w:rPr>
        <w:t xml:space="preserve">EL RECURRENTE </w:t>
      </w:r>
      <w:r>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890841" w:rsidRDefault="00890841">
      <w:pPr>
        <w:shd w:val="clear" w:color="auto" w:fill="FFFFFF"/>
        <w:spacing w:line="360" w:lineRule="auto"/>
        <w:ind w:right="-929"/>
        <w:jc w:val="both"/>
        <w:rPr>
          <w:rFonts w:ascii="Palatino Linotype" w:eastAsia="Palatino Linotype" w:hAnsi="Palatino Linotype" w:cs="Palatino Linotype"/>
        </w:rPr>
      </w:pPr>
    </w:p>
    <w:p w:rsidR="00E07158" w:rsidRPr="003E2295" w:rsidRDefault="00E07158" w:rsidP="00E07158">
      <w:pPr>
        <w:spacing w:before="240" w:after="240" w:line="360" w:lineRule="auto"/>
        <w:ind w:right="-943" w:firstLine="1"/>
        <w:jc w:val="both"/>
        <w:rPr>
          <w:rFonts w:ascii="Palatino Linotype" w:hAnsi="Palatino Linotype"/>
        </w:rPr>
      </w:pPr>
      <w:bookmarkStart w:id="9" w:name="_Hlk99014733"/>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w:t>
      </w:r>
      <w:r w:rsidRPr="003E2295">
        <w:rPr>
          <w:rFonts w:ascii="Palatino Linotype" w:hAnsi="Palatino Linotype" w:cs="Palatino Linotype"/>
        </w:rPr>
        <w:lastRenderedPageBreak/>
        <w:t xml:space="preserve">LOS COMISIONADOS JOSÉ MARTÍNEZ VILCHIS, MARÍA DEL ROSARIO MEJÍA AYALA, SHARON CRISTINA MORALES MARTÍNEZ, LUIS GUSTAVO PARRA NORIEGA Y GUADALUPE RAMÍREZ PEÑA; EN LA </w:t>
      </w:r>
      <w:r>
        <w:rPr>
          <w:rFonts w:ascii="Palatino Linotype" w:hAnsi="Palatino Linotype" w:cs="Palatino Linotype"/>
        </w:rPr>
        <w:t xml:space="preserve">VIGÉSIMA PRIMERA </w:t>
      </w:r>
      <w:r w:rsidRPr="003E2295">
        <w:rPr>
          <w:rFonts w:ascii="Palatino Linotype" w:hAnsi="Palatino Linotype" w:cs="Palatino Linotype"/>
        </w:rPr>
        <w:t>SESIÓN O</w:t>
      </w:r>
      <w:r>
        <w:rPr>
          <w:rFonts w:ascii="Palatino Linotype" w:hAnsi="Palatino Linotype" w:cs="Palatino Linotype"/>
        </w:rPr>
        <w:t>RDINARIA, CELEBRADA EL DIEZ (10</w:t>
      </w:r>
      <w:r w:rsidRPr="003E2295">
        <w:rPr>
          <w:rFonts w:ascii="Palatino Linotype" w:hAnsi="Palatino Linotype" w:cs="Palatino Linotype"/>
        </w:rPr>
        <w:t xml:space="preserve">) DE </w:t>
      </w:r>
      <w:r>
        <w:rPr>
          <w:rFonts w:ascii="Palatino Linotype" w:hAnsi="Palatino Linotype" w:cs="Palatino Linotype"/>
        </w:rPr>
        <w:t>JUNIO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9"/>
    <w:p w:rsidR="00890841" w:rsidRDefault="00890841">
      <w:pPr>
        <w:spacing w:line="360" w:lineRule="auto"/>
        <w:ind w:right="-929"/>
        <w:jc w:val="both"/>
        <w:rPr>
          <w:rFonts w:ascii="Palatino Linotype" w:eastAsia="Palatino Linotype" w:hAnsi="Palatino Linotype" w:cs="Palatino Linotype"/>
        </w:rPr>
      </w:pPr>
    </w:p>
    <w:p w:rsidR="00890841" w:rsidRDefault="00890841">
      <w:pPr>
        <w:spacing w:line="360" w:lineRule="auto"/>
        <w:ind w:right="-929"/>
        <w:jc w:val="both"/>
        <w:rPr>
          <w:rFonts w:ascii="Palatino Linotype" w:eastAsia="Palatino Linotype" w:hAnsi="Palatino Linotype" w:cs="Palatino Linotype"/>
        </w:rPr>
      </w:pPr>
    </w:p>
    <w:p w:rsidR="00890841" w:rsidRDefault="00890841">
      <w:pPr>
        <w:spacing w:line="360" w:lineRule="auto"/>
        <w:ind w:right="-929"/>
        <w:jc w:val="both"/>
        <w:rPr>
          <w:rFonts w:ascii="Palatino Linotype" w:eastAsia="Palatino Linotype" w:hAnsi="Palatino Linotype" w:cs="Palatino Linotype"/>
        </w:rPr>
      </w:pPr>
    </w:p>
    <w:p w:rsidR="00890841" w:rsidRDefault="00890841">
      <w:pPr>
        <w:spacing w:line="360" w:lineRule="auto"/>
        <w:ind w:right="-929"/>
        <w:jc w:val="both"/>
        <w:rPr>
          <w:rFonts w:ascii="Palatino Linotype" w:eastAsia="Palatino Linotype" w:hAnsi="Palatino Linotype" w:cs="Palatino Linotype"/>
        </w:rPr>
      </w:pPr>
    </w:p>
    <w:p w:rsidR="00890841" w:rsidRDefault="00890841">
      <w:pPr>
        <w:spacing w:line="360" w:lineRule="auto"/>
        <w:ind w:right="-929"/>
        <w:rPr>
          <w:rFonts w:ascii="Palatino Linotype" w:eastAsia="Palatino Linotype" w:hAnsi="Palatino Linotype" w:cs="Palatino Linotype"/>
        </w:rPr>
      </w:pPr>
    </w:p>
    <w:p w:rsidR="00890841" w:rsidRDefault="00890841">
      <w:pPr>
        <w:spacing w:line="360" w:lineRule="auto"/>
        <w:ind w:right="-929"/>
        <w:rPr>
          <w:rFonts w:ascii="Palatino Linotype" w:eastAsia="Palatino Linotype" w:hAnsi="Palatino Linotype" w:cs="Palatino Linotype"/>
        </w:rPr>
      </w:pPr>
    </w:p>
    <w:p w:rsidR="00890841" w:rsidRDefault="00890841">
      <w:pPr>
        <w:spacing w:line="360" w:lineRule="auto"/>
        <w:ind w:right="-929"/>
        <w:rPr>
          <w:rFonts w:ascii="Palatino Linotype" w:eastAsia="Palatino Linotype" w:hAnsi="Palatino Linotype" w:cs="Palatino Linotype"/>
        </w:rPr>
      </w:pPr>
    </w:p>
    <w:p w:rsidR="00890841" w:rsidRDefault="00890841">
      <w:pPr>
        <w:spacing w:line="360" w:lineRule="auto"/>
        <w:ind w:right="-929"/>
        <w:rPr>
          <w:rFonts w:ascii="Palatino Linotype" w:eastAsia="Palatino Linotype" w:hAnsi="Palatino Linotype" w:cs="Palatino Linotype"/>
        </w:rPr>
      </w:pPr>
    </w:p>
    <w:p w:rsidR="00890841" w:rsidRDefault="00890841">
      <w:pPr>
        <w:spacing w:line="360" w:lineRule="auto"/>
        <w:ind w:right="-929"/>
        <w:rPr>
          <w:rFonts w:ascii="Palatino Linotype" w:eastAsia="Palatino Linotype" w:hAnsi="Palatino Linotype" w:cs="Palatino Linotype"/>
        </w:rPr>
      </w:pPr>
    </w:p>
    <w:p w:rsidR="00890841" w:rsidRDefault="00890841">
      <w:pPr>
        <w:spacing w:line="360" w:lineRule="auto"/>
        <w:ind w:right="-929"/>
        <w:rPr>
          <w:rFonts w:ascii="Palatino Linotype" w:eastAsia="Palatino Linotype" w:hAnsi="Palatino Linotype" w:cs="Palatino Linotype"/>
        </w:rPr>
      </w:pPr>
    </w:p>
    <w:p w:rsidR="00890841" w:rsidRDefault="00890841">
      <w:pPr>
        <w:spacing w:line="360" w:lineRule="auto"/>
        <w:ind w:right="-929"/>
        <w:rPr>
          <w:rFonts w:ascii="Palatino Linotype" w:eastAsia="Palatino Linotype" w:hAnsi="Palatino Linotype" w:cs="Palatino Linotype"/>
        </w:rPr>
      </w:pPr>
    </w:p>
    <w:p w:rsidR="00890841" w:rsidRDefault="00203E1E">
      <w:pPr>
        <w:tabs>
          <w:tab w:val="left" w:pos="3374"/>
        </w:tabs>
        <w:spacing w:line="360" w:lineRule="auto"/>
        <w:ind w:right="-929"/>
        <w:rPr>
          <w:rFonts w:ascii="Palatino Linotype" w:eastAsia="Palatino Linotype" w:hAnsi="Palatino Linotype" w:cs="Palatino Linotype"/>
        </w:rPr>
      </w:pPr>
      <w:r>
        <w:rPr>
          <w:rFonts w:ascii="Palatino Linotype" w:eastAsia="Palatino Linotype" w:hAnsi="Palatino Linotype" w:cs="Palatino Linotype"/>
        </w:rPr>
        <w:tab/>
      </w:r>
    </w:p>
    <w:p w:rsidR="00890841" w:rsidRDefault="00890841">
      <w:pPr>
        <w:tabs>
          <w:tab w:val="left" w:pos="3374"/>
        </w:tabs>
        <w:spacing w:line="360" w:lineRule="auto"/>
        <w:ind w:right="-929"/>
        <w:rPr>
          <w:rFonts w:ascii="Palatino Linotype" w:eastAsia="Palatino Linotype" w:hAnsi="Palatino Linotype" w:cs="Palatino Linotype"/>
        </w:rPr>
      </w:pPr>
    </w:p>
    <w:p w:rsidR="00890841" w:rsidRDefault="00890841">
      <w:pPr>
        <w:tabs>
          <w:tab w:val="left" w:pos="3374"/>
        </w:tabs>
        <w:spacing w:line="360" w:lineRule="auto"/>
        <w:ind w:right="-929"/>
        <w:rPr>
          <w:rFonts w:ascii="Palatino Linotype" w:eastAsia="Palatino Linotype" w:hAnsi="Palatino Linotype" w:cs="Palatino Linotype"/>
        </w:rPr>
      </w:pPr>
    </w:p>
    <w:p w:rsidR="00890841" w:rsidRDefault="00890841">
      <w:pPr>
        <w:tabs>
          <w:tab w:val="left" w:pos="3374"/>
        </w:tabs>
        <w:spacing w:line="360" w:lineRule="auto"/>
        <w:ind w:right="-929"/>
        <w:rPr>
          <w:rFonts w:ascii="Palatino Linotype" w:eastAsia="Palatino Linotype" w:hAnsi="Palatino Linotype" w:cs="Palatino Linotype"/>
        </w:rPr>
      </w:pPr>
    </w:p>
    <w:p w:rsidR="00890841" w:rsidRDefault="00890841">
      <w:pPr>
        <w:tabs>
          <w:tab w:val="left" w:pos="3374"/>
        </w:tabs>
        <w:spacing w:line="360" w:lineRule="auto"/>
        <w:ind w:right="-929"/>
        <w:rPr>
          <w:rFonts w:ascii="Palatino Linotype" w:eastAsia="Palatino Linotype" w:hAnsi="Palatino Linotype" w:cs="Palatino Linotype"/>
        </w:rPr>
      </w:pPr>
    </w:p>
    <w:p w:rsidR="00890841" w:rsidRDefault="00890841">
      <w:pPr>
        <w:tabs>
          <w:tab w:val="left" w:pos="3374"/>
        </w:tabs>
        <w:spacing w:line="360" w:lineRule="auto"/>
        <w:ind w:right="-929"/>
        <w:rPr>
          <w:rFonts w:ascii="Palatino Linotype" w:eastAsia="Palatino Linotype" w:hAnsi="Palatino Linotype" w:cs="Palatino Linotype"/>
        </w:rPr>
      </w:pPr>
    </w:p>
    <w:p w:rsidR="00890841" w:rsidRDefault="00890841">
      <w:pPr>
        <w:tabs>
          <w:tab w:val="left" w:pos="3374"/>
        </w:tabs>
        <w:spacing w:line="360" w:lineRule="auto"/>
        <w:ind w:right="-929"/>
        <w:rPr>
          <w:rFonts w:ascii="Palatino Linotype" w:eastAsia="Palatino Linotype" w:hAnsi="Palatino Linotype" w:cs="Palatino Linotype"/>
        </w:rPr>
      </w:pPr>
    </w:p>
    <w:p w:rsidR="00890841" w:rsidRDefault="00890841">
      <w:pPr>
        <w:tabs>
          <w:tab w:val="left" w:pos="3374"/>
        </w:tabs>
        <w:spacing w:line="360" w:lineRule="auto"/>
        <w:ind w:right="-929"/>
        <w:rPr>
          <w:rFonts w:ascii="Palatino Linotype" w:eastAsia="Palatino Linotype" w:hAnsi="Palatino Linotype" w:cs="Palatino Linotype"/>
        </w:rPr>
      </w:pPr>
    </w:p>
    <w:p w:rsidR="00890841" w:rsidRDefault="00890841">
      <w:pPr>
        <w:tabs>
          <w:tab w:val="left" w:pos="3374"/>
        </w:tabs>
        <w:spacing w:line="360" w:lineRule="auto"/>
        <w:ind w:right="-929"/>
        <w:rPr>
          <w:rFonts w:ascii="Palatino Linotype" w:eastAsia="Palatino Linotype" w:hAnsi="Palatino Linotype" w:cs="Palatino Linotype"/>
        </w:rPr>
      </w:pPr>
    </w:p>
    <w:p w:rsidR="00890841" w:rsidRDefault="00890841">
      <w:pPr>
        <w:spacing w:line="360" w:lineRule="auto"/>
        <w:ind w:right="-929"/>
        <w:rPr>
          <w:rFonts w:ascii="Palatino Linotype" w:eastAsia="Palatino Linotype" w:hAnsi="Palatino Linotype" w:cs="Palatino Linotype"/>
        </w:rPr>
      </w:pPr>
    </w:p>
    <w:sectPr w:rsidR="00890841">
      <w:headerReference w:type="even" r:id="rId8"/>
      <w:headerReference w:type="default" r:id="rId9"/>
      <w:footerReference w:type="default" r:id="rId10"/>
      <w:headerReference w:type="first" r:id="rId11"/>
      <w:footerReference w:type="first" r:id="rId12"/>
      <w:pgSz w:w="12240" w:h="15840"/>
      <w:pgMar w:top="2268" w:right="1701"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0F64" w:rsidRDefault="00190F64">
      <w:r>
        <w:separator/>
      </w:r>
    </w:p>
  </w:endnote>
  <w:endnote w:type="continuationSeparator" w:id="0">
    <w:p w:rsidR="00190F64" w:rsidRDefault="00190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5A563C64-5B83-4E96-AA69-BC268F611365}"/>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29EB9A17-E12D-4615-BBDC-6CCCCB850344}"/>
    <w:embedBold r:id="rId3" w:fontKey="{FBB6A9D2-1696-40B5-B717-C8B27B18D7E4}"/>
    <w:embedItalic r:id="rId4" w:fontKey="{C4D397DB-CCB1-4DA1-8409-62FB98DBDCA9}"/>
    <w:embedBoldItalic r:id="rId5" w:fontKey="{E17FB30C-B9F1-44EE-933C-9E2FD4F8DA45}"/>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EC347823-3750-4B8E-836B-E5259EFFE319}"/>
    <w:embedBold r:id="rId7" w:fontKey="{C75AFB5A-63B5-495B-8F43-72A703E5364A}"/>
  </w:font>
  <w:font w:name="Georgia">
    <w:panose1 w:val="02040502050405020303"/>
    <w:charset w:val="00"/>
    <w:family w:val="roman"/>
    <w:pitch w:val="variable"/>
    <w:sig w:usb0="00000287" w:usb1="00000000" w:usb2="00000000" w:usb3="00000000" w:csb0="0000009F" w:csb1="00000000"/>
    <w:embedItalic r:id="rId8" w:fontKey="{666BB474-FF21-451D-836B-FC37A39EBC48}"/>
  </w:font>
  <w:font w:name="Cambria">
    <w:panose1 w:val="02040503050406030204"/>
    <w:charset w:val="00"/>
    <w:family w:val="roman"/>
    <w:pitch w:val="variable"/>
    <w:sig w:usb0="E00006FF" w:usb1="420024FF" w:usb2="02000000" w:usb3="00000000" w:csb0="0000019F" w:csb1="00000000"/>
    <w:embedRegular r:id="rId9" w:fontKey="{DFB9F128-5C18-472D-A549-EB1CB52244F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841" w:rsidRDefault="00203E1E">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B02913">
      <w:rPr>
        <w:rFonts w:ascii="Palatino Linotype" w:eastAsia="Palatino Linotype" w:hAnsi="Palatino Linotype" w:cs="Palatino Linotype"/>
        <w:noProof/>
        <w:color w:val="000000"/>
        <w:sz w:val="22"/>
        <w:szCs w:val="22"/>
      </w:rPr>
      <w:t>11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B02913">
      <w:rPr>
        <w:rFonts w:ascii="Palatino Linotype" w:eastAsia="Palatino Linotype" w:hAnsi="Palatino Linotype" w:cs="Palatino Linotype"/>
        <w:noProof/>
        <w:color w:val="000000"/>
        <w:sz w:val="22"/>
        <w:szCs w:val="22"/>
      </w:rPr>
      <w:t>13</w:t>
    </w:r>
    <w:r>
      <w:rPr>
        <w:rFonts w:ascii="Palatino Linotype" w:eastAsia="Palatino Linotype" w:hAnsi="Palatino Linotype" w:cs="Palatino Linotype"/>
        <w:color w:val="000000"/>
        <w:sz w:val="22"/>
        <w:szCs w:val="22"/>
      </w:rPr>
      <w:fldChar w:fldCharType="end"/>
    </w:r>
  </w:p>
  <w:p w:rsidR="00890841" w:rsidRDefault="00890841">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841" w:rsidRDefault="00203E1E">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B02913">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B02913">
      <w:rPr>
        <w:rFonts w:ascii="Palatino Linotype" w:eastAsia="Palatino Linotype" w:hAnsi="Palatino Linotype" w:cs="Palatino Linotype"/>
        <w:noProof/>
        <w:color w:val="000000"/>
        <w:sz w:val="22"/>
        <w:szCs w:val="22"/>
      </w:rPr>
      <w:t>13</w:t>
    </w:r>
    <w:r>
      <w:rPr>
        <w:rFonts w:ascii="Palatino Linotype" w:eastAsia="Palatino Linotype" w:hAnsi="Palatino Linotype" w:cs="Palatino Linotype"/>
        <w:color w:val="000000"/>
        <w:sz w:val="22"/>
        <w:szCs w:val="22"/>
      </w:rPr>
      <w:fldChar w:fldCharType="end"/>
    </w:r>
  </w:p>
  <w:p w:rsidR="00890841" w:rsidRDefault="00890841">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0F64" w:rsidRDefault="00190F64">
      <w:r>
        <w:separator/>
      </w:r>
    </w:p>
  </w:footnote>
  <w:footnote w:type="continuationSeparator" w:id="0">
    <w:p w:rsidR="00190F64" w:rsidRDefault="00190F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841" w:rsidRDefault="00190F64">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7938" w:type="dxa"/>
      <w:tblInd w:w="2410" w:type="dxa"/>
      <w:tblLayout w:type="fixed"/>
      <w:tblLook w:val="0400" w:firstRow="0" w:lastRow="0" w:firstColumn="0" w:lastColumn="0" w:noHBand="0" w:noVBand="1"/>
    </w:tblPr>
    <w:tblGrid>
      <w:gridCol w:w="2552"/>
      <w:gridCol w:w="5386"/>
    </w:tblGrid>
    <w:tr w:rsidR="00890841" w:rsidTr="00C16380">
      <w:trPr>
        <w:trHeight w:val="227"/>
      </w:trPr>
      <w:tc>
        <w:tcPr>
          <w:tcW w:w="2552" w:type="dxa"/>
          <w:vAlign w:val="center"/>
        </w:tcPr>
        <w:p w:rsidR="00890841" w:rsidRDefault="00203E1E" w:rsidP="00C16380">
          <w:pPr>
            <w:ind w:left="72" w:right="-212"/>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5386" w:type="dxa"/>
          <w:vAlign w:val="center"/>
        </w:tcPr>
        <w:p w:rsidR="00890841" w:rsidRDefault="00203E1E" w:rsidP="00C16380">
          <w:pPr>
            <w:pBdr>
              <w:top w:val="nil"/>
              <w:left w:val="nil"/>
              <w:bottom w:val="nil"/>
              <w:right w:val="nil"/>
              <w:between w:val="nil"/>
            </w:pBdr>
            <w:tabs>
              <w:tab w:val="center" w:pos="4419"/>
              <w:tab w:val="right" w:pos="8838"/>
            </w:tabs>
            <w:ind w:left="72" w:right="-212"/>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05378/INFOEM/IP/RR/2026</w:t>
          </w:r>
        </w:p>
      </w:tc>
    </w:tr>
    <w:tr w:rsidR="00890841" w:rsidTr="00C16380">
      <w:trPr>
        <w:trHeight w:val="242"/>
      </w:trPr>
      <w:tc>
        <w:tcPr>
          <w:tcW w:w="2552" w:type="dxa"/>
          <w:vAlign w:val="center"/>
        </w:tcPr>
        <w:p w:rsidR="00890841" w:rsidRDefault="00203E1E" w:rsidP="00C16380">
          <w:pPr>
            <w:ind w:left="72" w:right="-212"/>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5386" w:type="dxa"/>
          <w:vAlign w:val="center"/>
        </w:tcPr>
        <w:p w:rsidR="00890841" w:rsidRDefault="00203E1E" w:rsidP="00C16380">
          <w:pPr>
            <w:pBdr>
              <w:top w:val="nil"/>
              <w:left w:val="nil"/>
              <w:bottom w:val="nil"/>
              <w:right w:val="nil"/>
              <w:between w:val="nil"/>
            </w:pBdr>
            <w:tabs>
              <w:tab w:val="center" w:pos="4419"/>
              <w:tab w:val="right" w:pos="8838"/>
            </w:tabs>
            <w:ind w:left="72" w:right="-212"/>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Instituto de Transparencia, Acceso a la Información Pública y Protección de Datos Personales del Estado de México y Municipios</w:t>
          </w:r>
        </w:p>
      </w:tc>
    </w:tr>
    <w:tr w:rsidR="00890841" w:rsidTr="00C16380">
      <w:trPr>
        <w:trHeight w:val="342"/>
      </w:trPr>
      <w:tc>
        <w:tcPr>
          <w:tcW w:w="2552" w:type="dxa"/>
          <w:vAlign w:val="center"/>
        </w:tcPr>
        <w:p w:rsidR="00890841" w:rsidRDefault="00203E1E" w:rsidP="00C16380">
          <w:pPr>
            <w:ind w:left="72" w:right="-212" w:hanging="566"/>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5386" w:type="dxa"/>
          <w:vAlign w:val="center"/>
        </w:tcPr>
        <w:p w:rsidR="00890841" w:rsidRDefault="00203E1E" w:rsidP="00C16380">
          <w:pPr>
            <w:pBdr>
              <w:top w:val="nil"/>
              <w:left w:val="nil"/>
              <w:bottom w:val="nil"/>
              <w:right w:val="nil"/>
              <w:between w:val="nil"/>
            </w:pBdr>
            <w:tabs>
              <w:tab w:val="center" w:pos="4419"/>
              <w:tab w:val="right" w:pos="8838"/>
            </w:tabs>
            <w:ind w:left="72" w:right="-212"/>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890841" w:rsidRDefault="00190F64">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710" w:type="dxa"/>
      <w:tblInd w:w="2552" w:type="dxa"/>
      <w:tblLayout w:type="fixed"/>
      <w:tblLook w:val="0400" w:firstRow="0" w:lastRow="0" w:firstColumn="0" w:lastColumn="0" w:noHBand="0" w:noVBand="1"/>
    </w:tblPr>
    <w:tblGrid>
      <w:gridCol w:w="3525"/>
      <w:gridCol w:w="4185"/>
    </w:tblGrid>
    <w:tr w:rsidR="00890841">
      <w:trPr>
        <w:trHeight w:val="227"/>
      </w:trPr>
      <w:tc>
        <w:tcPr>
          <w:tcW w:w="3525" w:type="dxa"/>
          <w:vAlign w:val="center"/>
        </w:tcPr>
        <w:p w:rsidR="00890841" w:rsidRDefault="00203E1E">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185" w:type="dxa"/>
          <w:vAlign w:val="center"/>
        </w:tcPr>
        <w:p w:rsidR="00890841" w:rsidRDefault="00203E1E">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05378/INFOEM/IP/RR/2026</w:t>
          </w:r>
        </w:p>
      </w:tc>
    </w:tr>
    <w:tr w:rsidR="00890841">
      <w:trPr>
        <w:trHeight w:val="242"/>
      </w:trPr>
      <w:tc>
        <w:tcPr>
          <w:tcW w:w="3525" w:type="dxa"/>
          <w:vAlign w:val="center"/>
        </w:tcPr>
        <w:p w:rsidR="00890841" w:rsidRDefault="00203E1E">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185" w:type="dxa"/>
        </w:tcPr>
        <w:p w:rsidR="00890841" w:rsidRDefault="00B02913">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XXXX</w:t>
          </w:r>
        </w:p>
      </w:tc>
    </w:tr>
    <w:tr w:rsidR="00890841">
      <w:trPr>
        <w:trHeight w:val="342"/>
      </w:trPr>
      <w:tc>
        <w:tcPr>
          <w:tcW w:w="3525" w:type="dxa"/>
          <w:vAlign w:val="center"/>
        </w:tcPr>
        <w:p w:rsidR="00890841" w:rsidRDefault="00203E1E">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185" w:type="dxa"/>
          <w:vAlign w:val="center"/>
        </w:tcPr>
        <w:p w:rsidR="00890841" w:rsidRDefault="00203E1E">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Instituto de Transparencia, Acceso a la Información Pública y Protección de Datos Personales del Estado de México y Municipios</w:t>
          </w:r>
        </w:p>
      </w:tc>
    </w:tr>
    <w:tr w:rsidR="00890841">
      <w:trPr>
        <w:trHeight w:val="342"/>
      </w:trPr>
      <w:tc>
        <w:tcPr>
          <w:tcW w:w="3525" w:type="dxa"/>
          <w:vAlign w:val="center"/>
        </w:tcPr>
        <w:p w:rsidR="00890841" w:rsidRDefault="00203E1E">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185" w:type="dxa"/>
          <w:vAlign w:val="center"/>
        </w:tcPr>
        <w:p w:rsidR="00890841" w:rsidRDefault="00203E1E">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890841" w:rsidRDefault="00190F64">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4pt;margin-top:-147.1pt;width:609.4pt;height:793.75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0E7F39"/>
    <w:multiLevelType w:val="multilevel"/>
    <w:tmpl w:val="1D64F408"/>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 w15:restartNumberingAfterBreak="0">
    <w:nsid w:val="239D0218"/>
    <w:multiLevelType w:val="multilevel"/>
    <w:tmpl w:val="23F60C6E"/>
    <w:lvl w:ilvl="0">
      <w:start w:val="1"/>
      <w:numFmt w:val="decimal"/>
      <w:lvlText w:val="%1."/>
      <w:lvlJc w:val="left"/>
      <w:pPr>
        <w:ind w:left="644" w:hanging="359"/>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BC44985"/>
    <w:multiLevelType w:val="multilevel"/>
    <w:tmpl w:val="7C1840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96F72EA"/>
    <w:multiLevelType w:val="multilevel"/>
    <w:tmpl w:val="93BE67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841"/>
    <w:rsid w:val="001452F5"/>
    <w:rsid w:val="00190F64"/>
    <w:rsid w:val="00203E1E"/>
    <w:rsid w:val="00890841"/>
    <w:rsid w:val="00B02913"/>
    <w:rsid w:val="00BE5369"/>
    <w:rsid w:val="00C16380"/>
    <w:rsid w:val="00DC1442"/>
    <w:rsid w:val="00E071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E6F77A7D-2DF1-49FF-8AB0-04FDEC647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paragraph" w:styleId="Piedepgina">
    <w:name w:val="footer"/>
    <w:basedOn w:val="Normal"/>
    <w:link w:val="PiedepginaCar"/>
    <w:uiPriority w:val="99"/>
    <w:unhideWhenUsed/>
    <w:rsid w:val="00C16380"/>
    <w:pPr>
      <w:tabs>
        <w:tab w:val="center" w:pos="4419"/>
        <w:tab w:val="right" w:pos="8838"/>
      </w:tabs>
    </w:pPr>
  </w:style>
  <w:style w:type="character" w:customStyle="1" w:styleId="PiedepginaCar">
    <w:name w:val="Pie de página Car"/>
    <w:basedOn w:val="Fuentedeprrafopredeter"/>
    <w:link w:val="Piedepgina"/>
    <w:uiPriority w:val="99"/>
    <w:rsid w:val="00C163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xjSCX6WHsn36yDIB/VaE606ukg==">CgMxLjAyCGguZ2pkZ3hzMgloLjMwajB6bGwyCWguM3pueXNoNzIJaC4yZXQ5MnAwMghoLnR5amN3dDIOaC5wcDg3Z3VkeWQ4Zm4yDmguc2dhdmlxM29taGt1Mg5oLjUxd241MGFlZDZtYzgAciExUU5ZYVk3YmZYWnZPeDBCb2xBVk1PYkxYZWFEOEVzcS0=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2525</Words>
  <Characters>13892</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16385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6</cp:revision>
  <cp:lastPrinted>2026-06-12T17:07:00Z</cp:lastPrinted>
  <dcterms:created xsi:type="dcterms:W3CDTF">2026-06-10T20:20:00Z</dcterms:created>
  <dcterms:modified xsi:type="dcterms:W3CDTF">2026-06-16T23:21:00Z</dcterms:modified>
</cp:coreProperties>
</file>