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2A3F" w:rsidRPr="00561137" w:rsidRDefault="00392A3F" w:rsidP="00392A3F">
      <w:pPr>
        <w:spacing w:line="360" w:lineRule="auto"/>
        <w:ind w:right="255"/>
        <w:jc w:val="both"/>
        <w:rPr>
          <w:rFonts w:ascii="Palatino Linotype" w:eastAsia="Palatino Linotype" w:hAnsi="Palatino Linotype" w:cs="Palatino Linotype"/>
        </w:rPr>
      </w:pPr>
      <w:r w:rsidRPr="00561137">
        <w:rPr>
          <w:rFonts w:ascii="Palatino Linotype" w:eastAsia="Palatino Linotype" w:hAnsi="Palatino Linotype" w:cs="Palatino Linotype"/>
        </w:rPr>
        <w:t>Resolución del Pleno del Instituto de Transpar</w:t>
      </w:r>
      <w:bookmarkStart w:id="0" w:name="_GoBack"/>
      <w:bookmarkEnd w:id="0"/>
      <w:r w:rsidRPr="00561137">
        <w:rPr>
          <w:rFonts w:ascii="Palatino Linotype" w:eastAsia="Palatino Linotype" w:hAnsi="Palatino Linotype" w:cs="Palatino Linotype"/>
        </w:rPr>
        <w:t xml:space="preserve">encia, Acceso a la Información Pública y Protección de Datos Personales del Estado de México y Municipios, con domicilio en Metepec, Estado de México; de fecha </w:t>
      </w:r>
      <w:r w:rsidR="00C23655" w:rsidRPr="00561137">
        <w:rPr>
          <w:rFonts w:ascii="Palatino Linotype" w:eastAsia="Palatino Linotype" w:hAnsi="Palatino Linotype" w:cs="Palatino Linotype"/>
          <w:b/>
        </w:rPr>
        <w:t>uno</w:t>
      </w:r>
      <w:r w:rsidR="00561137">
        <w:rPr>
          <w:rFonts w:ascii="Palatino Linotype" w:eastAsia="Palatino Linotype" w:hAnsi="Palatino Linotype" w:cs="Palatino Linotype"/>
          <w:b/>
        </w:rPr>
        <w:t xml:space="preserve"> (01)</w:t>
      </w:r>
      <w:r w:rsidR="00C23655" w:rsidRPr="00561137">
        <w:rPr>
          <w:rFonts w:ascii="Palatino Linotype" w:eastAsia="Palatino Linotype" w:hAnsi="Palatino Linotype" w:cs="Palatino Linotype"/>
          <w:b/>
        </w:rPr>
        <w:t xml:space="preserve"> de julio </w:t>
      </w:r>
      <w:r w:rsidRPr="00561137">
        <w:rPr>
          <w:rFonts w:ascii="Palatino Linotype" w:eastAsia="Palatino Linotype" w:hAnsi="Palatino Linotype" w:cs="Palatino Linotype"/>
          <w:b/>
        </w:rPr>
        <w:t>de dos mil veintiséis</w:t>
      </w:r>
      <w:r w:rsidRPr="00561137">
        <w:rPr>
          <w:rFonts w:ascii="Palatino Linotype" w:eastAsia="Palatino Linotype" w:hAnsi="Palatino Linotype" w:cs="Palatino Linotype"/>
        </w:rPr>
        <w:t xml:space="preserve">. </w:t>
      </w:r>
    </w:p>
    <w:p w:rsidR="00392A3F" w:rsidRPr="00561137" w:rsidRDefault="00392A3F" w:rsidP="00392A3F">
      <w:pPr>
        <w:spacing w:line="360" w:lineRule="auto"/>
        <w:ind w:right="255"/>
        <w:jc w:val="both"/>
        <w:rPr>
          <w:rFonts w:ascii="Palatino Linotype" w:eastAsia="Palatino Linotype" w:hAnsi="Palatino Linotype" w:cs="Palatino Linotype"/>
        </w:rPr>
      </w:pPr>
    </w:p>
    <w:p w:rsidR="00392A3F" w:rsidRPr="00561137" w:rsidRDefault="00392A3F" w:rsidP="00392A3F">
      <w:pPr>
        <w:spacing w:line="360" w:lineRule="auto"/>
        <w:ind w:right="255"/>
        <w:jc w:val="both"/>
        <w:rPr>
          <w:rFonts w:ascii="Palatino Linotype" w:eastAsia="Palatino Linotype" w:hAnsi="Palatino Linotype" w:cs="Palatino Linotype"/>
        </w:rPr>
      </w:pPr>
      <w:r w:rsidRPr="00561137">
        <w:rPr>
          <w:rFonts w:ascii="Palatino Linotype" w:eastAsia="Palatino Linotype" w:hAnsi="Palatino Linotype" w:cs="Palatino Linotype"/>
          <w:b/>
        </w:rPr>
        <w:t>VISTOS</w:t>
      </w:r>
      <w:r w:rsidRPr="00561137">
        <w:rPr>
          <w:rFonts w:ascii="Palatino Linotype" w:eastAsia="Palatino Linotype" w:hAnsi="Palatino Linotype" w:cs="Palatino Linotype"/>
        </w:rPr>
        <w:t xml:space="preserve"> el expediente electrónico formado con motivo del recurso de revisión </w:t>
      </w:r>
      <w:r w:rsidR="00A5346A" w:rsidRPr="00561137">
        <w:rPr>
          <w:rFonts w:ascii="Palatino Linotype" w:eastAsia="Palatino Linotype" w:hAnsi="Palatino Linotype" w:cs="Palatino Linotype"/>
          <w:b/>
          <w:bCs/>
        </w:rPr>
        <w:t>05603/INFOEM/IP/RR/2026</w:t>
      </w:r>
      <w:r w:rsidRPr="00561137">
        <w:rPr>
          <w:rFonts w:ascii="Palatino Linotype" w:eastAsia="Palatino Linotype" w:hAnsi="Palatino Linotype" w:cs="Palatino Linotype"/>
          <w:bCs/>
        </w:rPr>
        <w:t>,</w:t>
      </w:r>
      <w:r w:rsidRPr="00561137">
        <w:rPr>
          <w:rFonts w:ascii="Palatino Linotype" w:eastAsia="Palatino Linotype" w:hAnsi="Palatino Linotype" w:cs="Palatino Linotype"/>
          <w:b/>
        </w:rPr>
        <w:t xml:space="preserve"> </w:t>
      </w:r>
      <w:r w:rsidRPr="00561137">
        <w:rPr>
          <w:rFonts w:ascii="Palatino Linotype" w:eastAsia="Palatino Linotype" w:hAnsi="Palatino Linotype" w:cs="Palatino Linotype"/>
        </w:rPr>
        <w:t xml:space="preserve">promovido </w:t>
      </w:r>
      <w:r w:rsidRPr="00561137">
        <w:rPr>
          <w:rFonts w:ascii="Palatino Linotype" w:hAnsi="Palatino Linotype"/>
        </w:rPr>
        <w:t xml:space="preserve">por </w:t>
      </w:r>
      <w:r w:rsidR="00A5346A" w:rsidRPr="00561137">
        <w:rPr>
          <w:rFonts w:ascii="Palatino Linotype" w:hAnsi="Palatino Linotype"/>
          <w:b/>
          <w:bCs/>
        </w:rPr>
        <w:t>una persona que no proporciona datos de identificación</w:t>
      </w:r>
      <w:r w:rsidRPr="00561137">
        <w:rPr>
          <w:rFonts w:ascii="Palatino Linotype" w:hAnsi="Palatino Linotype"/>
        </w:rPr>
        <w:t xml:space="preserve">, a quien en lo sucesivo se la llamara </w:t>
      </w:r>
      <w:r w:rsidRPr="00561137">
        <w:rPr>
          <w:rFonts w:ascii="Palatino Linotype" w:hAnsi="Palatino Linotype" w:cs="Arial"/>
          <w:b/>
        </w:rPr>
        <w:t>RECURRENTE,</w:t>
      </w:r>
      <w:r w:rsidRPr="00561137">
        <w:rPr>
          <w:rFonts w:ascii="Palatino Linotype" w:hAnsi="Palatino Linotype" w:cs="Arial"/>
        </w:rPr>
        <w:t xml:space="preserve"> en contra de la respuesta del  </w:t>
      </w:r>
      <w:r w:rsidR="0025421B" w:rsidRPr="00561137">
        <w:rPr>
          <w:rFonts w:ascii="Palatino Linotype" w:hAnsi="Palatino Linotype" w:cs="Arial"/>
          <w:b/>
          <w:bCs/>
        </w:rPr>
        <w:t>Organismo Público Descentralizado Municipal para la prestación de los servicios de Agua Potable, Drenaje, Alcantarillado y Saneamiento de Calimaya, México</w:t>
      </w:r>
      <w:r w:rsidRPr="00561137">
        <w:rPr>
          <w:rFonts w:ascii="Palatino Linotype" w:hAnsi="Palatino Linotype" w:cs="Arial"/>
          <w:b/>
          <w:bCs/>
        </w:rPr>
        <w:t>,</w:t>
      </w:r>
      <w:r w:rsidRPr="00561137">
        <w:rPr>
          <w:rFonts w:ascii="Palatino Linotype" w:hAnsi="Palatino Linotype"/>
          <w:b/>
        </w:rPr>
        <w:t xml:space="preserve"> </w:t>
      </w:r>
      <w:r w:rsidRPr="00561137">
        <w:rPr>
          <w:rFonts w:ascii="Palatino Linotype" w:hAnsi="Palatino Linotype"/>
        </w:rPr>
        <w:t xml:space="preserve">en </w:t>
      </w:r>
      <w:r w:rsidR="00561137">
        <w:rPr>
          <w:rFonts w:ascii="Palatino Linotype" w:hAnsi="Palatino Linotype"/>
        </w:rPr>
        <w:t>adelante</w:t>
      </w:r>
      <w:r w:rsidRPr="00561137">
        <w:rPr>
          <w:rFonts w:ascii="Palatino Linotype" w:hAnsi="Palatino Linotype"/>
        </w:rPr>
        <w:t xml:space="preserve"> el</w:t>
      </w:r>
      <w:r w:rsidRPr="00561137">
        <w:rPr>
          <w:rFonts w:ascii="Palatino Linotype" w:hAnsi="Palatino Linotype"/>
          <w:b/>
        </w:rPr>
        <w:t xml:space="preserve"> SUJETO OBLIGADO</w:t>
      </w:r>
      <w:r w:rsidRPr="00561137">
        <w:rPr>
          <w:rFonts w:ascii="Palatino Linotype" w:hAnsi="Palatino Linotype"/>
        </w:rPr>
        <w:t>, por lo que se procede a dictar la presente resolución, con base en los siguientes:</w:t>
      </w:r>
    </w:p>
    <w:p w:rsidR="00392A3F" w:rsidRPr="00561137" w:rsidRDefault="00392A3F" w:rsidP="00392A3F">
      <w:pPr>
        <w:keepNext/>
        <w:keepLines/>
        <w:spacing w:line="360" w:lineRule="auto"/>
        <w:ind w:right="255"/>
        <w:jc w:val="both"/>
        <w:rPr>
          <w:rFonts w:ascii="Palatino Linotype" w:eastAsia="Palatino Linotype" w:hAnsi="Palatino Linotype" w:cs="Palatino Linotype"/>
          <w:b/>
        </w:rPr>
      </w:pPr>
      <w:bookmarkStart w:id="1" w:name="_heading=h.gjdgxs" w:colFirst="0" w:colLast="0"/>
      <w:bookmarkEnd w:id="1"/>
    </w:p>
    <w:p w:rsidR="00392A3F" w:rsidRPr="00561137" w:rsidRDefault="00392A3F" w:rsidP="00392A3F">
      <w:pPr>
        <w:keepNext/>
        <w:keepLines/>
        <w:spacing w:line="360" w:lineRule="auto"/>
        <w:ind w:right="255"/>
        <w:jc w:val="center"/>
        <w:rPr>
          <w:rFonts w:ascii="Palatino Linotype" w:eastAsia="Palatino Linotype" w:hAnsi="Palatino Linotype" w:cs="Palatino Linotype"/>
          <w:b/>
        </w:rPr>
      </w:pPr>
      <w:r w:rsidRPr="00561137">
        <w:rPr>
          <w:rFonts w:ascii="Palatino Linotype" w:eastAsia="Palatino Linotype" w:hAnsi="Palatino Linotype" w:cs="Palatino Linotype"/>
          <w:b/>
        </w:rPr>
        <w:t>A N T E C E D E N T E S</w:t>
      </w:r>
    </w:p>
    <w:p w:rsidR="00392A3F" w:rsidRPr="00561137" w:rsidRDefault="00392A3F" w:rsidP="00392A3F">
      <w:pPr>
        <w:keepNext/>
        <w:keepLines/>
        <w:spacing w:line="360" w:lineRule="auto"/>
        <w:ind w:right="255"/>
        <w:jc w:val="both"/>
        <w:rPr>
          <w:rFonts w:ascii="Palatino Linotype" w:eastAsia="Palatino Linotype" w:hAnsi="Palatino Linotype" w:cs="Palatino Linotype"/>
          <w:b/>
        </w:rPr>
      </w:pPr>
    </w:p>
    <w:p w:rsidR="00392A3F" w:rsidRPr="00561137" w:rsidRDefault="00392A3F" w:rsidP="00392A3F">
      <w:pPr>
        <w:numPr>
          <w:ilvl w:val="0"/>
          <w:numId w:val="1"/>
        </w:numPr>
        <w:spacing w:line="360" w:lineRule="auto"/>
        <w:ind w:left="0" w:right="255" w:firstLine="0"/>
        <w:jc w:val="both"/>
        <w:rPr>
          <w:rFonts w:ascii="Palatino Linotype" w:hAnsi="Palatino Linotype"/>
        </w:rPr>
      </w:pPr>
      <w:r w:rsidRPr="00561137">
        <w:rPr>
          <w:rFonts w:ascii="Palatino Linotype" w:eastAsia="Palatino Linotype" w:hAnsi="Palatino Linotype" w:cs="Palatino Linotype"/>
        </w:rPr>
        <w:t xml:space="preserve">El </w:t>
      </w:r>
      <w:r w:rsidR="00155A12" w:rsidRPr="00561137">
        <w:rPr>
          <w:rFonts w:ascii="Palatino Linotype" w:eastAsia="Palatino Linotype" w:hAnsi="Palatino Linotype" w:cs="Palatino Linotype"/>
          <w:b/>
          <w:bCs/>
        </w:rPr>
        <w:t xml:space="preserve">treinta de abril </w:t>
      </w:r>
      <w:r w:rsidRPr="00561137">
        <w:rPr>
          <w:rFonts w:ascii="Palatino Linotype" w:eastAsia="Palatino Linotype" w:hAnsi="Palatino Linotype" w:cs="Palatino Linotype"/>
          <w:b/>
          <w:bCs/>
        </w:rPr>
        <w:t>de dos mil veintiséis</w:t>
      </w:r>
      <w:r w:rsidRPr="00561137">
        <w:rPr>
          <w:rFonts w:ascii="Palatino Linotype" w:eastAsia="Palatino Linotype" w:hAnsi="Palatino Linotype" w:cs="Palatino Linotype"/>
        </w:rPr>
        <w:t xml:space="preserve">, </w:t>
      </w:r>
      <w:r w:rsidRPr="00561137">
        <w:rPr>
          <w:rFonts w:ascii="Palatino Linotype" w:eastAsia="Palatino Linotype" w:hAnsi="Palatino Linotype" w:cs="Palatino Linotype"/>
          <w:b/>
        </w:rPr>
        <w:t>EL RECURRENTE,</w:t>
      </w:r>
      <w:r w:rsidRPr="00561137">
        <w:rPr>
          <w:rFonts w:ascii="Palatino Linotype" w:eastAsia="Palatino Linotype" w:hAnsi="Palatino Linotype" w:cs="Palatino Linotype"/>
        </w:rPr>
        <w:t xml:space="preserve"> ante el </w:t>
      </w:r>
      <w:r w:rsidRPr="00561137">
        <w:rPr>
          <w:rFonts w:ascii="Palatino Linotype" w:eastAsia="Palatino Linotype" w:hAnsi="Palatino Linotype" w:cs="Palatino Linotype"/>
          <w:b/>
        </w:rPr>
        <w:t>SUJETO OBLIGADO</w:t>
      </w:r>
      <w:r w:rsidRPr="00561137">
        <w:rPr>
          <w:rFonts w:ascii="Palatino Linotype" w:eastAsia="Palatino Linotype" w:hAnsi="Palatino Linotype" w:cs="Palatino Linotype"/>
          <w:bCs/>
        </w:rPr>
        <w:t>,</w:t>
      </w:r>
      <w:r w:rsidRPr="00561137">
        <w:rPr>
          <w:rFonts w:ascii="Palatino Linotype" w:eastAsia="Palatino Linotype" w:hAnsi="Palatino Linotype" w:cs="Palatino Linotype"/>
        </w:rPr>
        <w:t xml:space="preserve"> vía Sistema de Acceso a la Información Mexiquense (</w:t>
      </w:r>
      <w:r w:rsidRPr="00561137">
        <w:rPr>
          <w:rFonts w:ascii="Palatino Linotype" w:eastAsia="Palatino Linotype" w:hAnsi="Palatino Linotype" w:cs="Palatino Linotype"/>
          <w:b/>
        </w:rPr>
        <w:t>SAIMEX)</w:t>
      </w:r>
      <w:r w:rsidRPr="00561137">
        <w:rPr>
          <w:rFonts w:ascii="Palatino Linotype" w:eastAsia="Palatino Linotype" w:hAnsi="Palatino Linotype" w:cs="Palatino Linotype"/>
        </w:rPr>
        <w:t xml:space="preserve">, presentó la solicitud de información registrada con el número </w:t>
      </w:r>
      <w:r w:rsidR="00155A12" w:rsidRPr="00561137">
        <w:rPr>
          <w:rFonts w:ascii="Palatino Linotype" w:eastAsia="Palatino Linotype" w:hAnsi="Palatino Linotype" w:cs="Palatino Linotype"/>
          <w:b/>
          <w:bCs/>
        </w:rPr>
        <w:t>00019/OASCALIM/IP/2026</w:t>
      </w:r>
      <w:r w:rsidRPr="00561137">
        <w:rPr>
          <w:rFonts w:ascii="Palatino Linotype" w:eastAsia="Palatino Linotype" w:hAnsi="Palatino Linotype" w:cs="Palatino Linotype"/>
        </w:rPr>
        <w:t>,</w:t>
      </w:r>
      <w:r w:rsidRPr="00561137">
        <w:rPr>
          <w:rFonts w:ascii="Palatino Linotype" w:eastAsia="Palatino Linotype" w:hAnsi="Palatino Linotype" w:cs="Palatino Linotype"/>
          <w:b/>
        </w:rPr>
        <w:t xml:space="preserve"> </w:t>
      </w:r>
      <w:r w:rsidRPr="00561137">
        <w:rPr>
          <w:rFonts w:ascii="Palatino Linotype" w:eastAsia="Palatino Linotype" w:hAnsi="Palatino Linotype" w:cs="Palatino Linotype"/>
        </w:rPr>
        <w:t>en la que se solicitó lo siguiente:</w:t>
      </w:r>
    </w:p>
    <w:p w:rsidR="00392A3F" w:rsidRPr="00561137" w:rsidRDefault="00392A3F" w:rsidP="00392A3F">
      <w:pPr>
        <w:spacing w:line="360" w:lineRule="auto"/>
        <w:ind w:left="1134" w:right="1389"/>
        <w:jc w:val="both"/>
        <w:rPr>
          <w:rFonts w:ascii="Palatino Linotype" w:eastAsia="Palatino Linotype" w:hAnsi="Palatino Linotype" w:cs="Palatino Linotype"/>
        </w:rPr>
      </w:pPr>
    </w:p>
    <w:p w:rsidR="00392A3F" w:rsidRPr="00561137" w:rsidRDefault="00392A3F" w:rsidP="00392A3F">
      <w:pPr>
        <w:ind w:left="1134" w:right="1389"/>
        <w:jc w:val="both"/>
        <w:rPr>
          <w:rFonts w:ascii="Palatino Linotype" w:hAnsi="Palatino Linotype"/>
          <w:i/>
          <w:color w:val="000000"/>
        </w:rPr>
      </w:pPr>
      <w:r w:rsidRPr="00561137">
        <w:rPr>
          <w:rFonts w:ascii="Palatino Linotype" w:eastAsia="Palatino Linotype" w:hAnsi="Palatino Linotype" w:cs="Palatino Linotype"/>
          <w:i/>
          <w:color w:val="000000"/>
        </w:rPr>
        <w:t>“</w:t>
      </w:r>
      <w:r w:rsidR="00A41529" w:rsidRPr="00561137">
        <w:rPr>
          <w:rFonts w:ascii="Palatino Linotype" w:hAnsi="Palatino Linotype"/>
          <w:i/>
          <w:color w:val="000000"/>
        </w:rPr>
        <w:t xml:space="preserve">Con fundamento en lo dispuesto por el artículo 6° de la Constitución Política de los Estados Unidos Mexicanos, así como en la Ley de Transparencia y Acceso a la Información Pública del Estado de México y Municipios, por medio de la presente solicito la siguiente información: Respecto de los siguientes sujetos obligados: </w:t>
      </w:r>
      <w:r w:rsidR="00A41529" w:rsidRPr="00561137">
        <w:rPr>
          <w:rFonts w:ascii="Palatino Linotype" w:hAnsi="Palatino Linotype"/>
          <w:i/>
          <w:color w:val="000000"/>
        </w:rPr>
        <w:lastRenderedPageBreak/>
        <w:t>Ayuntamiento de Calimaya Organismo Público Descentralizado de Agua Potable, Alcantarillado y Saneamiento de Calimaya (ODAPAS) Sistema Municipal DIF Calimaya Solicito la nómina completa del personal adscrito a cada uno de los entes antes mencionados, correspondiente al periodo del 1 de enero al 31 de marzo de 2026, la cual deberá contener, de manera enunciativa más no limitativa, la siguiente información: Nombre completo del servidor público Cargo o puesto Área de adscripción Tipo de contratación Percepciones ordinarias y extraordinarias, desglosadas Deducciones, desglosadas Remuneración neta Fecha de ingreso Modalidad de entrega: Solicito que la información sea proporcionada directamente en formato PDF, en archivo(s) descargable(s), evitando la remisión a hipervínculos, portales electrónicos, Plataforma Nacional de Transparencia u otros medios de consulta indirecta. Lo anterior, en virtud de que la legislación aplicable establece que la información debe entregarse en la modalidad solicitada cuando sea posible, siendo que en el presente caso resulta materialmente viable, al tratarse de información que obra en archivos administrativos de los sujetos obligados. En caso de que la información se encuentre en un formato distinto, solicito que sea convertida a formato PDF para su entrega. Consideraciones adicionales: La información deberá proporcionarse de manera completa, evitando testados indebidos, salvo aquellos datos estrictamente confidenciales conforme a la normatividad aplicable. En caso de clasificación parcial, solicito la entrega de la versión pública debidamente fundada y motivada. En caso de inexistencia total o parcial, solicito se remita el acta del Comité de Transparencia correspondiente. En caso de negativa, solicito se funde y motive la respuesta conforme a derecho. Sin otro particular, quedo atento a la respuesta dentro de los plazos legales establecidos.</w:t>
      </w:r>
      <w:r w:rsidRPr="00561137">
        <w:rPr>
          <w:rFonts w:ascii="Palatino Linotype" w:eastAsia="Palatino Linotype" w:hAnsi="Palatino Linotype" w:cs="Palatino Linotype"/>
          <w:i/>
          <w:color w:val="000000"/>
        </w:rPr>
        <w:t xml:space="preserve">” </w:t>
      </w:r>
      <w:r w:rsidRPr="00561137">
        <w:rPr>
          <w:rFonts w:ascii="Palatino Linotype" w:eastAsia="Palatino Linotype" w:hAnsi="Palatino Linotype" w:cs="Palatino Linotype"/>
          <w:color w:val="000000"/>
        </w:rPr>
        <w:t>(Sic)</w:t>
      </w:r>
      <w:r w:rsidRPr="00561137">
        <w:rPr>
          <w:rFonts w:ascii="Palatino Linotype" w:eastAsia="Palatino Linotype" w:hAnsi="Palatino Linotype" w:cs="Palatino Linotype"/>
          <w:i/>
          <w:color w:val="000000"/>
        </w:rPr>
        <w:t xml:space="preserve"> </w:t>
      </w:r>
    </w:p>
    <w:p w:rsidR="00392A3F" w:rsidRPr="00561137" w:rsidRDefault="00392A3F" w:rsidP="00392A3F">
      <w:pPr>
        <w:spacing w:line="360" w:lineRule="auto"/>
        <w:ind w:right="255"/>
        <w:jc w:val="both"/>
        <w:rPr>
          <w:rFonts w:ascii="Palatino Linotype" w:eastAsia="Palatino Linotype" w:hAnsi="Palatino Linotype" w:cs="Palatino Linotype"/>
          <w:i/>
          <w:color w:val="000000"/>
        </w:rPr>
      </w:pPr>
    </w:p>
    <w:p w:rsidR="00392A3F" w:rsidRPr="00561137" w:rsidRDefault="00392A3F" w:rsidP="00392A3F">
      <w:pPr>
        <w:pStyle w:val="Prrafodelista"/>
        <w:numPr>
          <w:ilvl w:val="0"/>
          <w:numId w:val="3"/>
        </w:numPr>
        <w:spacing w:line="360" w:lineRule="auto"/>
        <w:ind w:right="255"/>
        <w:jc w:val="both"/>
        <w:rPr>
          <w:rFonts w:ascii="Palatino Linotype" w:hAnsi="Palatino Linotype"/>
        </w:rPr>
      </w:pPr>
      <w:r w:rsidRPr="00561137">
        <w:rPr>
          <w:rFonts w:ascii="Palatino Linotype" w:eastAsia="Palatino Linotype" w:hAnsi="Palatino Linotype" w:cs="Palatino Linotype"/>
        </w:rPr>
        <w:t>Se eligió como modalidad de entrega a través de la plataforma digital Sistema de Acceso a la Información Mexiquense (SAIMEX).</w:t>
      </w:r>
    </w:p>
    <w:p w:rsidR="00392A3F" w:rsidRPr="00561137" w:rsidRDefault="00392A3F" w:rsidP="00392A3F">
      <w:pPr>
        <w:spacing w:line="360" w:lineRule="auto"/>
        <w:ind w:right="255"/>
        <w:jc w:val="both"/>
        <w:rPr>
          <w:rFonts w:ascii="Palatino Linotype" w:eastAsia="Palatino Linotype" w:hAnsi="Palatino Linotype" w:cs="Palatino Linotype"/>
          <w:bCs/>
          <w:i/>
          <w:iCs/>
        </w:rPr>
      </w:pPr>
    </w:p>
    <w:p w:rsidR="00392A3F" w:rsidRPr="00561137" w:rsidRDefault="00392A3F" w:rsidP="00392A3F">
      <w:pPr>
        <w:numPr>
          <w:ilvl w:val="0"/>
          <w:numId w:val="1"/>
        </w:numPr>
        <w:spacing w:line="360" w:lineRule="auto"/>
        <w:ind w:left="0" w:right="255" w:firstLine="0"/>
        <w:jc w:val="both"/>
        <w:rPr>
          <w:rFonts w:ascii="Palatino Linotype" w:eastAsia="Palatino Linotype" w:hAnsi="Palatino Linotype" w:cs="Palatino Linotype"/>
          <w:bCs/>
          <w:i/>
          <w:iCs/>
        </w:rPr>
      </w:pPr>
      <w:r w:rsidRPr="00561137">
        <w:rPr>
          <w:rFonts w:ascii="Palatino Linotype" w:eastAsia="Palatino Linotype" w:hAnsi="Palatino Linotype" w:cs="Palatino Linotype"/>
          <w:bCs/>
        </w:rPr>
        <w:lastRenderedPageBreak/>
        <w:t xml:space="preserve">En fecha </w:t>
      </w:r>
      <w:r w:rsidR="002C3B2F" w:rsidRPr="00561137">
        <w:rPr>
          <w:rFonts w:ascii="Palatino Linotype" w:eastAsia="Palatino Linotype" w:hAnsi="Palatino Linotype" w:cs="Palatino Linotype"/>
          <w:b/>
          <w:bCs/>
        </w:rPr>
        <w:t xml:space="preserve">veinticinco de mayo </w:t>
      </w:r>
      <w:r w:rsidRPr="00561137">
        <w:rPr>
          <w:rFonts w:ascii="Palatino Linotype" w:eastAsia="Palatino Linotype" w:hAnsi="Palatino Linotype" w:cs="Palatino Linotype"/>
          <w:b/>
          <w:bCs/>
        </w:rPr>
        <w:t>de dos mil veintiséis</w:t>
      </w:r>
      <w:r w:rsidRPr="00561137">
        <w:rPr>
          <w:rFonts w:ascii="Palatino Linotype" w:eastAsia="Palatino Linotype" w:hAnsi="Palatino Linotype" w:cs="Palatino Linotype"/>
          <w:bCs/>
        </w:rPr>
        <w:t xml:space="preserve">, el </w:t>
      </w:r>
      <w:r w:rsidRPr="00561137">
        <w:rPr>
          <w:rFonts w:ascii="Palatino Linotype" w:eastAsia="Palatino Linotype" w:hAnsi="Palatino Linotype" w:cs="Palatino Linotype"/>
          <w:b/>
          <w:bCs/>
        </w:rPr>
        <w:t xml:space="preserve">SUJETO OBLIGADO </w:t>
      </w:r>
      <w:r w:rsidRPr="00561137">
        <w:rPr>
          <w:rFonts w:ascii="Palatino Linotype" w:eastAsia="Palatino Linotype" w:hAnsi="Palatino Linotype" w:cs="Palatino Linotype"/>
          <w:bCs/>
        </w:rPr>
        <w:t>dio respuesta a través de</w:t>
      </w:r>
      <w:r w:rsidR="002C3B2F" w:rsidRPr="00561137">
        <w:rPr>
          <w:rFonts w:ascii="Palatino Linotype" w:eastAsia="Palatino Linotype" w:hAnsi="Palatino Linotype" w:cs="Palatino Linotype"/>
          <w:bCs/>
        </w:rPr>
        <w:t xml:space="preserve"> un archivo electrónico en formato pdf</w:t>
      </w:r>
      <w:r w:rsidRPr="00561137">
        <w:rPr>
          <w:rFonts w:ascii="Palatino Linotype" w:eastAsia="Palatino Linotype" w:hAnsi="Palatino Linotype" w:cs="Palatino Linotype"/>
          <w:bCs/>
        </w:rPr>
        <w:t>:</w:t>
      </w:r>
    </w:p>
    <w:p w:rsidR="00392A3F" w:rsidRPr="00561137" w:rsidRDefault="00F10811" w:rsidP="007A72C5">
      <w:pPr>
        <w:pStyle w:val="Prrafodelista"/>
        <w:ind w:left="1134" w:right="1389"/>
        <w:jc w:val="both"/>
        <w:rPr>
          <w:rFonts w:ascii="Palatino Linotype" w:eastAsia="Palatino Linotype" w:hAnsi="Palatino Linotype" w:cs="Palatino Linotype"/>
          <w:bCs/>
          <w:i/>
          <w:iCs/>
        </w:rPr>
      </w:pPr>
      <w:r w:rsidRPr="00561137">
        <w:rPr>
          <w:rFonts w:ascii="Palatino Linotype" w:eastAsia="Palatino Linotype" w:hAnsi="Palatino Linotype" w:cs="Palatino Linotype"/>
          <w:b/>
          <w:bCs/>
          <w:i/>
          <w:iCs/>
        </w:rPr>
        <w:t xml:space="preserve">NOMINA PRIMER TRIMESTRE 2026.pdf: </w:t>
      </w:r>
      <w:r w:rsidRPr="00561137">
        <w:rPr>
          <w:rFonts w:ascii="Palatino Linotype" w:eastAsia="Palatino Linotype" w:hAnsi="Palatino Linotype" w:cs="Palatino Linotype"/>
          <w:bCs/>
          <w:i/>
          <w:iCs/>
        </w:rPr>
        <w:t xml:space="preserve">documento que contiene la nómina general del uno de enero al treinta y uno de marzo de dos mil veintiséis, documento del cual se advierte que dejaron visible el dato de pensiones alimenticias y </w:t>
      </w:r>
      <w:r w:rsidR="007A72C5" w:rsidRPr="00561137">
        <w:rPr>
          <w:rFonts w:ascii="Palatino Linotype" w:eastAsia="Palatino Linotype" w:hAnsi="Palatino Linotype" w:cs="Palatino Linotype"/>
          <w:bCs/>
          <w:i/>
          <w:iCs/>
        </w:rPr>
        <w:t xml:space="preserve">de créditos personales. </w:t>
      </w:r>
    </w:p>
    <w:p w:rsidR="007A72C5" w:rsidRPr="00561137" w:rsidRDefault="007A72C5" w:rsidP="007A72C5">
      <w:pPr>
        <w:pStyle w:val="Prrafodelista"/>
        <w:ind w:left="1134" w:right="1389"/>
        <w:jc w:val="both"/>
        <w:rPr>
          <w:rFonts w:ascii="Palatino Linotype" w:eastAsia="Palatino Linotype" w:hAnsi="Palatino Linotype" w:cs="Palatino Linotype"/>
          <w:bCs/>
        </w:rPr>
      </w:pPr>
    </w:p>
    <w:p w:rsidR="00392A3F" w:rsidRPr="00561137" w:rsidRDefault="00392A3F" w:rsidP="00392A3F">
      <w:pPr>
        <w:pStyle w:val="Prrafodelista"/>
        <w:numPr>
          <w:ilvl w:val="0"/>
          <w:numId w:val="1"/>
        </w:numPr>
        <w:spacing w:line="360" w:lineRule="auto"/>
        <w:ind w:left="0" w:right="255" w:firstLine="0"/>
        <w:jc w:val="both"/>
        <w:rPr>
          <w:rFonts w:ascii="Palatino Linotype" w:hAnsi="Palatino Linotype" w:cs="Arial"/>
          <w:i/>
          <w:color w:val="000000" w:themeColor="text1"/>
        </w:rPr>
      </w:pPr>
      <w:r w:rsidRPr="00561137">
        <w:rPr>
          <w:rFonts w:ascii="Palatino Linotype" w:hAnsi="Palatino Linotype"/>
        </w:rPr>
        <w:t>En fecha</w:t>
      </w:r>
      <w:r w:rsidRPr="00561137">
        <w:rPr>
          <w:rFonts w:ascii="Palatino Linotype" w:hAnsi="Palatino Linotype"/>
          <w:b/>
          <w:bCs/>
        </w:rPr>
        <w:t xml:space="preserve"> </w:t>
      </w:r>
      <w:r w:rsidR="007A72C5" w:rsidRPr="00561137">
        <w:rPr>
          <w:rFonts w:ascii="Palatino Linotype" w:hAnsi="Palatino Linotype"/>
          <w:b/>
          <w:bCs/>
        </w:rPr>
        <w:t xml:space="preserve">veintisiete de mayo </w:t>
      </w:r>
      <w:r w:rsidRPr="00561137">
        <w:rPr>
          <w:rFonts w:ascii="Palatino Linotype" w:hAnsi="Palatino Linotype"/>
          <w:b/>
          <w:bCs/>
        </w:rPr>
        <w:t>de dos mil veintiséis</w:t>
      </w:r>
      <w:r w:rsidRPr="00561137">
        <w:rPr>
          <w:rFonts w:ascii="Palatino Linotype" w:hAnsi="Palatino Linotype"/>
          <w:b/>
        </w:rPr>
        <w:t>,</w:t>
      </w:r>
      <w:r w:rsidRPr="00561137">
        <w:rPr>
          <w:rFonts w:ascii="Palatino Linotype" w:hAnsi="Palatino Linotype"/>
        </w:rPr>
        <w:t xml:space="preserve"> </w:t>
      </w:r>
      <w:r w:rsidRPr="00561137">
        <w:rPr>
          <w:rFonts w:ascii="Palatino Linotype" w:hAnsi="Palatino Linotype" w:cs="Arial"/>
          <w:b/>
          <w:color w:val="000000" w:themeColor="text1"/>
          <w:lang w:val="es-ES"/>
        </w:rPr>
        <w:t>EL PARTICULAR</w:t>
      </w:r>
      <w:r w:rsidRPr="00561137">
        <w:rPr>
          <w:rFonts w:ascii="Palatino Linotype" w:hAnsi="Palatino Linotype" w:cs="Arial"/>
          <w:color w:val="000000" w:themeColor="text1"/>
          <w:lang w:val="es-ES"/>
        </w:rPr>
        <w:t xml:space="preserve"> interpuso el recurso de revisión en contra de la respuesta, manifestando las siguientes razones o motivos de inconformidad:</w:t>
      </w:r>
    </w:p>
    <w:p w:rsidR="00392A3F" w:rsidRPr="00561137" w:rsidRDefault="00392A3F" w:rsidP="00392A3F">
      <w:pPr>
        <w:pStyle w:val="Prrafodelista"/>
        <w:spacing w:line="360" w:lineRule="auto"/>
        <w:ind w:left="0" w:right="255"/>
        <w:jc w:val="both"/>
        <w:rPr>
          <w:rFonts w:ascii="Palatino Linotype" w:hAnsi="Palatino Linotype"/>
        </w:rPr>
      </w:pPr>
    </w:p>
    <w:p w:rsidR="00392A3F" w:rsidRPr="00561137" w:rsidRDefault="00392A3F" w:rsidP="00561137">
      <w:pPr>
        <w:pStyle w:val="Prrafodelista"/>
        <w:numPr>
          <w:ilvl w:val="0"/>
          <w:numId w:val="3"/>
        </w:numPr>
        <w:ind w:right="1389"/>
        <w:jc w:val="both"/>
        <w:rPr>
          <w:rFonts w:ascii="Palatino Linotype" w:hAnsi="Palatino Linotype"/>
          <w:i/>
        </w:rPr>
      </w:pPr>
      <w:r w:rsidRPr="00561137">
        <w:rPr>
          <w:rFonts w:ascii="Palatino Linotype" w:hAnsi="Palatino Linotype"/>
          <w:b/>
          <w:bCs/>
        </w:rPr>
        <w:t>Acto impugnado</w:t>
      </w:r>
      <w:r w:rsidRPr="00561137">
        <w:rPr>
          <w:rFonts w:ascii="Palatino Linotype" w:hAnsi="Palatino Linotype"/>
        </w:rPr>
        <w:t xml:space="preserve">: </w:t>
      </w:r>
      <w:bookmarkStart w:id="2" w:name="_Toc466982515"/>
      <w:r w:rsidRPr="00561137">
        <w:rPr>
          <w:rFonts w:ascii="Palatino Linotype" w:hAnsi="Palatino Linotype"/>
          <w:i/>
          <w:iCs/>
        </w:rPr>
        <w:t>“</w:t>
      </w:r>
      <w:r w:rsidR="007A72C5" w:rsidRPr="00561137">
        <w:rPr>
          <w:rFonts w:ascii="Palatino Linotype" w:hAnsi="Palatino Linotype"/>
          <w:i/>
          <w14:ligatures w14:val="none"/>
        </w:rPr>
        <w:t>La respuesta emitida por el Organismo Público Descentralizado de Agua Potable, Alcantarillado y Saneamiento de Calimaya (ODAPAS), mediante la cual entregó la nómina correspondiente al periodo del 1 de enero al 31 de marzo de 2026, incluyendo indebidamente datos personales y patrimoniales individualizados de servidores públicos, tales como pensión alimenticia, créditos al consumo y otras deducciones personales, sin realizar una versión pública adecuada.</w:t>
      </w:r>
      <w:r w:rsidRPr="00561137">
        <w:rPr>
          <w:rFonts w:ascii="Palatino Linotype" w:hAnsi="Palatino Linotype"/>
          <w:i/>
          <w:iCs/>
        </w:rPr>
        <w:t>”</w:t>
      </w:r>
      <w:r w:rsidRPr="00561137">
        <w:rPr>
          <w:rFonts w:ascii="Palatino Linotype" w:hAnsi="Palatino Linotype"/>
          <w:i/>
        </w:rPr>
        <w:t xml:space="preserve"> (Sic)</w:t>
      </w:r>
    </w:p>
    <w:p w:rsidR="00392A3F" w:rsidRPr="00561137" w:rsidRDefault="00392A3F" w:rsidP="00392A3F">
      <w:pPr>
        <w:pStyle w:val="Prrafodelista"/>
        <w:ind w:left="1134" w:right="1389" w:firstLine="708"/>
        <w:jc w:val="both"/>
        <w:rPr>
          <w:rStyle w:val="Ttulo2Car"/>
          <w:rFonts w:ascii="Palatino Linotype" w:hAnsi="Palatino Linotype"/>
          <w:i/>
          <w:color w:val="000000" w:themeColor="text1"/>
          <w:sz w:val="24"/>
          <w:szCs w:val="24"/>
        </w:rPr>
      </w:pPr>
    </w:p>
    <w:p w:rsidR="00392A3F" w:rsidRPr="00561137" w:rsidRDefault="00392A3F" w:rsidP="00561137">
      <w:pPr>
        <w:pStyle w:val="Prrafodelista"/>
        <w:numPr>
          <w:ilvl w:val="0"/>
          <w:numId w:val="3"/>
        </w:numPr>
        <w:ind w:right="1389"/>
        <w:jc w:val="both"/>
        <w:rPr>
          <w:rStyle w:val="Ttulo2Car"/>
          <w:rFonts w:ascii="Palatino Linotype" w:hAnsi="Palatino Linotype"/>
          <w:i/>
          <w:color w:val="000000" w:themeColor="text1"/>
          <w:sz w:val="24"/>
          <w:szCs w:val="24"/>
        </w:rPr>
      </w:pPr>
      <w:bookmarkStart w:id="3" w:name="_Toc53584977"/>
      <w:bookmarkStart w:id="4" w:name="_Toc60925404"/>
      <w:bookmarkStart w:id="5" w:name="_Toc81364834"/>
      <w:bookmarkStart w:id="6" w:name="_Toc81390611"/>
      <w:bookmarkStart w:id="7" w:name="_Toc82611034"/>
      <w:bookmarkStart w:id="8" w:name="_Toc83128577"/>
      <w:r w:rsidRPr="00561137">
        <w:rPr>
          <w:rStyle w:val="Ttulo2Car"/>
          <w:rFonts w:ascii="Palatino Linotype" w:hAnsi="Palatino Linotype"/>
          <w:b/>
          <w:color w:val="000000" w:themeColor="text1"/>
          <w:sz w:val="24"/>
          <w:szCs w:val="24"/>
        </w:rPr>
        <w:t>Razones o Motivos de inconformidad:</w:t>
      </w:r>
      <w:bookmarkEnd w:id="2"/>
      <w:bookmarkEnd w:id="3"/>
      <w:bookmarkEnd w:id="4"/>
      <w:bookmarkEnd w:id="5"/>
      <w:bookmarkEnd w:id="6"/>
      <w:bookmarkEnd w:id="7"/>
      <w:bookmarkEnd w:id="8"/>
      <w:r w:rsidRPr="00561137">
        <w:rPr>
          <w:rStyle w:val="Ttulo2Car"/>
          <w:rFonts w:ascii="Palatino Linotype" w:hAnsi="Palatino Linotype"/>
          <w:b/>
          <w:color w:val="000000" w:themeColor="text1"/>
          <w:sz w:val="24"/>
          <w:szCs w:val="24"/>
        </w:rPr>
        <w:t xml:space="preserve"> </w:t>
      </w:r>
      <w:r w:rsidRPr="00561137">
        <w:rPr>
          <w:rStyle w:val="Ttulo2Car"/>
          <w:rFonts w:ascii="Palatino Linotype" w:hAnsi="Palatino Linotype"/>
          <w:i/>
          <w:color w:val="000000" w:themeColor="text1"/>
          <w:sz w:val="24"/>
          <w:szCs w:val="24"/>
        </w:rPr>
        <w:t>“</w:t>
      </w:r>
      <w:r w:rsidR="007A72C5" w:rsidRPr="00561137">
        <w:rPr>
          <w:rFonts w:ascii="Palatino Linotype" w:hAnsi="Palatino Linotype"/>
          <w:i/>
          <w:color w:val="000000"/>
        </w:rPr>
        <w:t xml:space="preserve">La presente inconformidad se interpone debido a que el sujeto obligado entregó información que excede lo solicitado y vulnera datos personales y patrimoniales de servidores públicos, al incluir de manera individualizada conceptos de deducciones tales como pensión alimenticia, créditos al consumo y otras afectaciones salariales personales. La solicitud originalmente presentada versaba únicamente sobre información relativa a nómina, percepciones y remuneraciones públicas; sin embargo, el sujeto obligado proporcionó información adicional que permite inferir situación familiar, obligaciones alimentarias y condiciones patrimoniales de personas físicas identificables. Asimismo, el sujeto obligado omitió generar una versión pública adecuada, incumpliendo con su obligación de proteger datos personales confidenciales mediante el debido testado de información </w:t>
      </w:r>
      <w:r w:rsidR="007A72C5" w:rsidRPr="00561137">
        <w:rPr>
          <w:rFonts w:ascii="Palatino Linotype" w:hAnsi="Palatino Linotype"/>
          <w:i/>
          <w:color w:val="000000"/>
        </w:rPr>
        <w:lastRenderedPageBreak/>
        <w:t xml:space="preserve">sensible. De igual forma, la respuesta carece de fundamentación y motivación suficiente respecto de las razones por las cuales se consideró procedente divulgar deducciones personales individualizadas que no resultan necesarias para garantizar la rendición de cuentas ni el principio de máxima publicidad. Por lo anterior, se considera que la respuesta vulnera los principios de legalidad, proporcionalidad y protección de datos personales previstos en la normatividad aplicable. Asimismo, se hace valer que de la documentación entregada se advierten percepciones, compensaciones y montos salariales que, por su cuantía y estructura, generan dudas razonables respecto de su congruencia presupuestal, veracidad documental y adecuada justificación administrativa. Lo anterior, considerando que en diversos casos se observan remuneraciones, compensaciones y conceptos de pago que aparentan ser desproporcionados respecto de los cargos desempeñados, situación que amerita una revisión exhaustiva por parte de las autoridades competentes. En ese sentido, solicito respetuosamente que se verifique la autenticidad, integridad y consistencia de la información entregada, así como su correspondencia con: tabuladores autorizados, presupuesto aprobado, registros contables, CFDI de nómina, pólizas presupuestales y contables, y demás documentación financiera y administrativa aplicable. Asimismo, solicito que, en caso de advertirse inconsistencias, alteraciones, simulaciones administrativas o irregularidades en la integración de la nómina y remuneraciones reportadas, se dé vista al Órgano Interno de Control y demás autoridades competentes para el inicio de las investigaciones y procedimientos correspondientes. PETICIONES: Se admita el presente recurso de revisión. Se revoque o modifique la respuesta emitida por el sujeto obligado. Se ordene la elaboración y entrega de una versión pública adecuada, testando correctamente los datos personales y patrimoniales relacionados con: Pensiones alimenticias Créditos personales Deducciones patrimoniales individualizadas Cualquier otra información sensible no indispensable para la rendición de cuentas. Se ordene al sujeto obligado adoptar medidas correctivas para evitar nuevas vulneraciones de datos personales en futuras respuestas. Asimismo, derivado de la indebida divulgación de datos personales y patrimoniales sensibles contenida en la respuesta emitida por el sujeto obligado, solicito respetuosamente que se dé vista al Comité de Transparencia, al Órgano Interno de Control y a las autoridades competentes en materia de protección de datos personales, a efecto de que </w:t>
      </w:r>
      <w:r w:rsidR="007A72C5" w:rsidRPr="00561137">
        <w:rPr>
          <w:rFonts w:ascii="Palatino Linotype" w:hAnsi="Palatino Linotype"/>
          <w:i/>
          <w:color w:val="000000"/>
        </w:rPr>
        <w:lastRenderedPageBreak/>
        <w:t>se inicien las investigaciones y procedimientos administrativos correspondientes para determinar las posibles responsabilidades de los servidores públicos que autorizaron, elaboraron, validaron y entregaron la información sin el debido testado y protección de datos confidenciales. Lo anterior, considerando que la entrega de información relacionada con pensiones alimenticias, créditos personales y demás deducciones patrimoniales individualizadas constituye una posible vulneración a los principios de licitud, finalidad, proporcionalidad y responsabilidad en materia de protección de datos personales. Asimismo, solicito se impongan las medidas correctivas y sanciones administrativas que conforme a derecho resulten procedentes, a fin de evitar la repetición de conductas similares y garantizar la adecuada protección de datos personales por parte del sujeto obligado. PROTESTO LO NECESARIO.</w:t>
      </w:r>
      <w:r w:rsidRPr="00561137">
        <w:rPr>
          <w:rFonts w:ascii="Palatino Linotype" w:hAnsi="Palatino Linotype"/>
          <w:i/>
          <w:color w:val="000000"/>
        </w:rPr>
        <w:t>.”</w:t>
      </w:r>
      <w:r w:rsidRPr="00561137">
        <w:rPr>
          <w:rFonts w:ascii="Palatino Linotype" w:hAnsi="Palatino Linotype"/>
        </w:rPr>
        <w:t xml:space="preserve"> (Sic)</w:t>
      </w:r>
    </w:p>
    <w:p w:rsidR="00392A3F" w:rsidRPr="00561137" w:rsidRDefault="00392A3F" w:rsidP="00392A3F">
      <w:pPr>
        <w:spacing w:line="360" w:lineRule="auto"/>
        <w:ind w:right="255"/>
        <w:jc w:val="both"/>
        <w:rPr>
          <w:rFonts w:ascii="Palatino Linotype" w:eastAsia="Palatino Linotype" w:hAnsi="Palatino Linotype" w:cs="Palatino Linotype"/>
          <w:b/>
        </w:rPr>
      </w:pPr>
    </w:p>
    <w:p w:rsidR="00392A3F" w:rsidRPr="00561137" w:rsidRDefault="00392A3F" w:rsidP="00392A3F">
      <w:pPr>
        <w:pStyle w:val="Prrafodelista"/>
        <w:numPr>
          <w:ilvl w:val="0"/>
          <w:numId w:val="1"/>
        </w:numPr>
        <w:spacing w:line="360" w:lineRule="auto"/>
        <w:ind w:left="0" w:right="255" w:firstLine="0"/>
        <w:jc w:val="both"/>
        <w:rPr>
          <w:rFonts w:ascii="Palatino Linotype" w:eastAsia="Palatino Linotype" w:hAnsi="Palatino Linotype" w:cs="Palatino Linotype"/>
        </w:rPr>
      </w:pPr>
      <w:r w:rsidRPr="00561137">
        <w:rPr>
          <w:rFonts w:ascii="Palatino Linotype" w:eastAsia="Palatino Linotype" w:hAnsi="Palatino Linotype" w:cs="Palatino Linotype"/>
        </w:rPr>
        <w:t xml:space="preserve">Con fundamento en el artículo 185, fracción I de la Ley de Transparencia y Acceso a la Información Pública del Estado de México y Municipios, el </w:t>
      </w:r>
      <w:r w:rsidRPr="00561137">
        <w:rPr>
          <w:rFonts w:ascii="Palatino Linotype" w:eastAsia="Palatino Linotype" w:hAnsi="Palatino Linotype" w:cs="Palatino Linotype"/>
          <w:b/>
          <w:bCs/>
        </w:rPr>
        <w:t xml:space="preserve">veinticuatro de </w:t>
      </w:r>
      <w:r w:rsidR="00DE0AB4" w:rsidRPr="00561137">
        <w:rPr>
          <w:rFonts w:ascii="Palatino Linotype" w:eastAsia="Palatino Linotype" w:hAnsi="Palatino Linotype" w:cs="Palatino Linotype"/>
          <w:b/>
          <w:bCs/>
        </w:rPr>
        <w:t xml:space="preserve">veintisiete de mayo </w:t>
      </w:r>
      <w:r w:rsidRPr="00561137">
        <w:rPr>
          <w:rFonts w:ascii="Palatino Linotype" w:eastAsia="Palatino Linotype" w:hAnsi="Palatino Linotype" w:cs="Palatino Linotype"/>
          <w:b/>
          <w:bCs/>
        </w:rPr>
        <w:t xml:space="preserve">de dos mil veintiséis, </w:t>
      </w:r>
      <w:r w:rsidRPr="00561137">
        <w:rPr>
          <w:rFonts w:ascii="Palatino Linotype" w:eastAsia="Palatino Linotype" w:hAnsi="Palatino Linotype" w:cs="Palatino Linotype"/>
        </w:rPr>
        <w:t xml:space="preserve">se turnó el recurso de revisión a través del SAIMEX a la </w:t>
      </w:r>
      <w:r w:rsidRPr="00561137">
        <w:rPr>
          <w:rFonts w:ascii="Palatino Linotype" w:eastAsia="Palatino Linotype" w:hAnsi="Palatino Linotype" w:cs="Palatino Linotype"/>
          <w:b/>
          <w:bCs/>
        </w:rPr>
        <w:t xml:space="preserve">Comisionada María del Rosario Mejía Ayala, </w:t>
      </w:r>
      <w:r w:rsidRPr="00561137">
        <w:rPr>
          <w:rFonts w:ascii="Palatino Linotype" w:eastAsia="Palatino Linotype" w:hAnsi="Palatino Linotype" w:cs="Palatino Linotype"/>
        </w:rPr>
        <w:t>a efecto de decretar su admisión o desechamiento.</w:t>
      </w:r>
    </w:p>
    <w:p w:rsidR="00392A3F" w:rsidRPr="00561137" w:rsidRDefault="00392A3F" w:rsidP="00392A3F">
      <w:pPr>
        <w:spacing w:line="360" w:lineRule="auto"/>
        <w:ind w:right="255"/>
        <w:jc w:val="both"/>
        <w:rPr>
          <w:rFonts w:ascii="Palatino Linotype" w:eastAsia="Palatino Linotype" w:hAnsi="Palatino Linotype" w:cs="Palatino Linotype"/>
          <w:b/>
        </w:rPr>
      </w:pPr>
    </w:p>
    <w:p w:rsidR="00392A3F" w:rsidRPr="00561137" w:rsidRDefault="00392A3F" w:rsidP="00392A3F">
      <w:pPr>
        <w:pStyle w:val="Prrafodelista"/>
        <w:numPr>
          <w:ilvl w:val="0"/>
          <w:numId w:val="1"/>
        </w:numPr>
        <w:spacing w:line="360" w:lineRule="auto"/>
        <w:ind w:left="0" w:right="255" w:firstLine="0"/>
        <w:jc w:val="both"/>
        <w:rPr>
          <w:rFonts w:ascii="Palatino Linotype" w:eastAsia="Palatino Linotype" w:hAnsi="Palatino Linotype" w:cs="Palatino Linotype"/>
        </w:rPr>
      </w:pPr>
      <w:r w:rsidRPr="00561137">
        <w:rPr>
          <w:rFonts w:ascii="Palatino Linotype" w:eastAsia="Palatino Linotype" w:hAnsi="Palatino Linotype" w:cs="Palatino Linotype"/>
        </w:rPr>
        <w:t xml:space="preserve">En fecha </w:t>
      </w:r>
      <w:r w:rsidR="00DF52CD" w:rsidRPr="00561137">
        <w:rPr>
          <w:rFonts w:ascii="Palatino Linotype" w:eastAsia="Palatino Linotype" w:hAnsi="Palatino Linotype" w:cs="Palatino Linotype"/>
          <w:b/>
          <w:bCs/>
        </w:rPr>
        <w:t xml:space="preserve">veintinueve </w:t>
      </w:r>
      <w:r w:rsidRPr="00561137">
        <w:rPr>
          <w:rFonts w:ascii="Palatino Linotype" w:eastAsia="Palatino Linotype" w:hAnsi="Palatino Linotype" w:cs="Palatino Linotype"/>
          <w:b/>
          <w:bCs/>
        </w:rPr>
        <w:t>de mayo de dos mil veintiséis,</w:t>
      </w:r>
      <w:r w:rsidRPr="00561137">
        <w:rPr>
          <w:rFonts w:ascii="Palatino Linotype" w:eastAsia="Palatino Linotype" w:hAnsi="Palatino Linotype" w:cs="Palatino Linotype"/>
        </w:rPr>
        <w:t xml:space="preserve"> se acordó la admisión a trámite del Recurso de Revisión y se integraron los expedientes respectivos, mismos que se pusieron a disposición de las partes para que, con fundamento en lo dispuesto por el artículo 185 fracción II de la Ley de la materia, se acordó a las partes a efecto de que en un plazo máximo de siete días, el Recurrente manifestara lo que a su derecho conviniera, ofrecieran pruebas y alegatos, y el Sujeto Obligado presentara el informe justificado. </w:t>
      </w:r>
    </w:p>
    <w:p w:rsidR="00392A3F" w:rsidRPr="00561137" w:rsidRDefault="00392A3F" w:rsidP="00392A3F">
      <w:pPr>
        <w:pStyle w:val="Prrafodelista"/>
        <w:spacing w:line="360" w:lineRule="auto"/>
        <w:ind w:left="0" w:right="255"/>
        <w:jc w:val="both"/>
        <w:rPr>
          <w:rFonts w:ascii="Palatino Linotype" w:hAnsi="Palatino Linotype"/>
        </w:rPr>
      </w:pPr>
    </w:p>
    <w:p w:rsidR="00392A3F" w:rsidRPr="00561137" w:rsidRDefault="00392A3F" w:rsidP="00392A3F">
      <w:pPr>
        <w:numPr>
          <w:ilvl w:val="0"/>
          <w:numId w:val="1"/>
        </w:numPr>
        <w:spacing w:line="360" w:lineRule="auto"/>
        <w:ind w:left="0" w:right="255" w:firstLine="0"/>
        <w:jc w:val="both"/>
        <w:rPr>
          <w:rStyle w:val="Hipervnculo"/>
          <w:rFonts w:ascii="Palatino Linotype" w:hAnsi="Palatino Linotype"/>
          <w:color w:val="auto"/>
          <w:u w:val="none"/>
        </w:rPr>
      </w:pPr>
      <w:r w:rsidRPr="00561137">
        <w:rPr>
          <w:rFonts w:ascii="Palatino Linotype" w:eastAsia="Palatino Linotype" w:hAnsi="Palatino Linotype" w:cs="Palatino Linotype"/>
        </w:rPr>
        <w:lastRenderedPageBreak/>
        <w:t xml:space="preserve">De las constancias en el expediente electrónico SAIMEX, se advierte que el </w:t>
      </w:r>
      <w:r w:rsidR="0063280C" w:rsidRPr="00561137">
        <w:rPr>
          <w:rFonts w:ascii="Palatino Linotype" w:eastAsia="Palatino Linotype" w:hAnsi="Palatino Linotype" w:cs="Palatino Linotype"/>
          <w:b/>
        </w:rPr>
        <w:t xml:space="preserve">SUJETO OBLIGADO </w:t>
      </w:r>
      <w:r w:rsidR="0063280C" w:rsidRPr="00561137">
        <w:rPr>
          <w:rFonts w:ascii="Palatino Linotype" w:eastAsia="Palatino Linotype" w:hAnsi="Palatino Linotype" w:cs="Palatino Linotype"/>
        </w:rPr>
        <w:t xml:space="preserve">y el </w:t>
      </w:r>
      <w:r w:rsidR="0063280C" w:rsidRPr="00561137">
        <w:rPr>
          <w:rFonts w:ascii="Palatino Linotype" w:eastAsia="Palatino Linotype" w:hAnsi="Palatino Linotype" w:cs="Palatino Linotype"/>
          <w:b/>
        </w:rPr>
        <w:t xml:space="preserve">RECURRENTE </w:t>
      </w:r>
      <w:r w:rsidR="0063280C" w:rsidRPr="00561137">
        <w:rPr>
          <w:rFonts w:ascii="Palatino Linotype" w:eastAsia="Palatino Linotype" w:hAnsi="Palatino Linotype" w:cs="Palatino Linotype"/>
        </w:rPr>
        <w:t>dejaron de realizar manifestaciones que a su derecho conviniera y asistiera, respectivamente</w:t>
      </w:r>
      <w:r w:rsidRPr="00561137">
        <w:rPr>
          <w:rFonts w:ascii="Palatino Linotype" w:eastAsia="Palatino Linotype" w:hAnsi="Palatino Linotype" w:cs="Palatino Linotype"/>
          <w:bCs/>
        </w:rPr>
        <w:t xml:space="preserve">. </w:t>
      </w:r>
    </w:p>
    <w:p w:rsidR="00392A3F" w:rsidRPr="00561137" w:rsidRDefault="00392A3F" w:rsidP="00392A3F">
      <w:pPr>
        <w:pStyle w:val="Prrafodelista"/>
        <w:rPr>
          <w:rFonts w:ascii="Palatino Linotype" w:hAnsi="Palatino Linotype"/>
        </w:rPr>
      </w:pPr>
    </w:p>
    <w:p w:rsidR="00392A3F" w:rsidRPr="00561137" w:rsidRDefault="00392A3F" w:rsidP="00392A3F">
      <w:pPr>
        <w:ind w:right="1389"/>
        <w:jc w:val="both"/>
        <w:rPr>
          <w:rFonts w:ascii="Palatino Linotype" w:hAnsi="Palatino Linotype"/>
          <w:i/>
        </w:rPr>
      </w:pPr>
    </w:p>
    <w:p w:rsidR="00392A3F" w:rsidRPr="00561137" w:rsidRDefault="00392A3F" w:rsidP="00392A3F">
      <w:pPr>
        <w:numPr>
          <w:ilvl w:val="0"/>
          <w:numId w:val="1"/>
        </w:numPr>
        <w:spacing w:line="360" w:lineRule="auto"/>
        <w:ind w:left="0" w:right="255" w:firstLine="0"/>
        <w:jc w:val="both"/>
        <w:rPr>
          <w:rFonts w:ascii="Palatino Linotype" w:hAnsi="Palatino Linotype"/>
          <w:color w:val="000000"/>
        </w:rPr>
      </w:pPr>
      <w:r w:rsidRPr="00561137">
        <w:rPr>
          <w:rFonts w:ascii="Palatino Linotype" w:eastAsia="Palatino Linotype" w:hAnsi="Palatino Linotype" w:cs="Palatino Linotype"/>
          <w:color w:val="000000"/>
        </w:rPr>
        <w:t xml:space="preserve">Seguidamente, mediante acuerdo de fecha </w:t>
      </w:r>
      <w:r w:rsidR="0063280C" w:rsidRPr="00561137">
        <w:rPr>
          <w:rFonts w:ascii="Palatino Linotype" w:eastAsia="Palatino Linotype" w:hAnsi="Palatino Linotype" w:cs="Palatino Linotype"/>
          <w:b/>
          <w:color w:val="000000"/>
        </w:rPr>
        <w:t xml:space="preserve">veinticuatro de abril </w:t>
      </w:r>
      <w:r w:rsidRPr="00561137">
        <w:rPr>
          <w:rFonts w:ascii="Palatino Linotype" w:hAnsi="Palatino Linotype"/>
          <w:b/>
        </w:rPr>
        <w:t>de dos mil veintiséis</w:t>
      </w:r>
      <w:r w:rsidRPr="00561137">
        <w:rPr>
          <w:rFonts w:ascii="Palatino Linotype" w:eastAsia="Palatino Linotype" w:hAnsi="Palatino Linotype" w:cs="Palatino Linotype"/>
          <w:color w:val="000000"/>
        </w:rPr>
        <w:t xml:space="preserve">, se </w:t>
      </w:r>
      <w:r w:rsidRPr="00561137">
        <w:rPr>
          <w:rFonts w:ascii="Palatino Linotype" w:eastAsia="Palatino Linotype" w:hAnsi="Palatino Linotype" w:cs="Palatino Linotype"/>
        </w:rPr>
        <w:t>amplió</w:t>
      </w:r>
      <w:r w:rsidRPr="00561137">
        <w:rPr>
          <w:rFonts w:ascii="Palatino Linotype" w:eastAsia="Palatino Linotype" w:hAnsi="Palatino Linotype" w:cs="Palatino Linotype"/>
          <w:color w:val="000000"/>
        </w:rPr>
        <w:t xml:space="preserve"> el término para resolver el recurso de revisión.</w:t>
      </w:r>
    </w:p>
    <w:p w:rsidR="00392A3F" w:rsidRPr="00561137" w:rsidRDefault="00392A3F" w:rsidP="00392A3F">
      <w:pPr>
        <w:spacing w:line="360" w:lineRule="auto"/>
        <w:ind w:right="255"/>
        <w:jc w:val="both"/>
        <w:rPr>
          <w:rFonts w:ascii="Palatino Linotype" w:hAnsi="Palatino Linotype"/>
        </w:rPr>
      </w:pPr>
    </w:p>
    <w:p w:rsidR="00392A3F" w:rsidRPr="00561137" w:rsidRDefault="00392A3F" w:rsidP="00392A3F">
      <w:pPr>
        <w:numPr>
          <w:ilvl w:val="0"/>
          <w:numId w:val="1"/>
        </w:numPr>
        <w:spacing w:line="360" w:lineRule="auto"/>
        <w:ind w:left="0" w:right="255" w:firstLine="0"/>
        <w:jc w:val="both"/>
        <w:rPr>
          <w:rFonts w:ascii="Palatino Linotype" w:hAnsi="Palatino Linotype"/>
        </w:rPr>
      </w:pPr>
      <w:r w:rsidRPr="00561137">
        <w:rPr>
          <w:rFonts w:ascii="Palatino Linotype" w:eastAsia="Palatino Linotype" w:hAnsi="Palatino Linotype" w:cs="Palatino Linotype"/>
        </w:rPr>
        <w:t xml:space="preserve">El </w:t>
      </w:r>
      <w:r w:rsidR="00BD7EE1" w:rsidRPr="00561137">
        <w:rPr>
          <w:rFonts w:ascii="Palatino Linotype" w:eastAsia="Palatino Linotype" w:hAnsi="Palatino Linotype" w:cs="Palatino Linotype"/>
          <w:b/>
          <w:bCs/>
        </w:rPr>
        <w:t xml:space="preserve">uno de julio </w:t>
      </w:r>
      <w:r w:rsidRPr="00561137">
        <w:rPr>
          <w:rFonts w:ascii="Palatino Linotype" w:eastAsia="Palatino Linotype" w:hAnsi="Palatino Linotype" w:cs="Palatino Linotype"/>
          <w:b/>
          <w:bCs/>
        </w:rPr>
        <w:t>de dos mil veintiséis</w:t>
      </w:r>
      <w:r w:rsidRPr="00561137">
        <w:rPr>
          <w:rFonts w:ascii="Palatino Linotype" w:eastAsia="Palatino Linotype" w:hAnsi="Palatino Linotype" w:cs="Palatino Linotype"/>
        </w:rPr>
        <w:t>, se notificó el acuerdo a través del cual se decretó el cierre de instrucción.</w:t>
      </w:r>
    </w:p>
    <w:p w:rsidR="00392A3F" w:rsidRPr="00561137" w:rsidRDefault="00392A3F" w:rsidP="00392A3F">
      <w:pPr>
        <w:pBdr>
          <w:top w:val="nil"/>
          <w:left w:val="nil"/>
          <w:bottom w:val="nil"/>
          <w:right w:val="nil"/>
          <w:between w:val="nil"/>
        </w:pBdr>
        <w:spacing w:line="360" w:lineRule="auto"/>
        <w:ind w:right="255"/>
        <w:jc w:val="both"/>
        <w:rPr>
          <w:rFonts w:ascii="Palatino Linotype" w:hAnsi="Palatino Linotype"/>
          <w:color w:val="000000"/>
        </w:rPr>
      </w:pPr>
    </w:p>
    <w:p w:rsidR="00392A3F" w:rsidRPr="00561137" w:rsidRDefault="00392A3F" w:rsidP="00392A3F">
      <w:pPr>
        <w:keepNext/>
        <w:keepLines/>
        <w:spacing w:line="360" w:lineRule="auto"/>
        <w:ind w:right="255"/>
        <w:jc w:val="center"/>
        <w:rPr>
          <w:rFonts w:ascii="Palatino Linotype" w:eastAsia="Palatino Linotype" w:hAnsi="Palatino Linotype" w:cs="Palatino Linotype"/>
        </w:rPr>
      </w:pPr>
      <w:bookmarkStart w:id="9" w:name="_heading=h.1fob9te" w:colFirst="0" w:colLast="0"/>
      <w:bookmarkEnd w:id="9"/>
      <w:r w:rsidRPr="00561137">
        <w:rPr>
          <w:rFonts w:ascii="Palatino Linotype" w:eastAsia="Palatino Linotype" w:hAnsi="Palatino Linotype" w:cs="Palatino Linotype"/>
          <w:b/>
        </w:rPr>
        <w:t>C O N S I D E R A N D O</w:t>
      </w:r>
    </w:p>
    <w:p w:rsidR="00392A3F" w:rsidRPr="00561137" w:rsidRDefault="00392A3F" w:rsidP="00392A3F">
      <w:pPr>
        <w:spacing w:line="360" w:lineRule="auto"/>
        <w:ind w:right="255"/>
        <w:jc w:val="both"/>
        <w:rPr>
          <w:rFonts w:ascii="Palatino Linotype" w:eastAsia="Palatino Linotype" w:hAnsi="Palatino Linotype" w:cs="Palatino Linotype"/>
        </w:rPr>
      </w:pPr>
    </w:p>
    <w:p w:rsidR="00392A3F" w:rsidRPr="00561137" w:rsidRDefault="00392A3F" w:rsidP="00392A3F">
      <w:pPr>
        <w:keepNext/>
        <w:keepLines/>
        <w:spacing w:line="360" w:lineRule="auto"/>
        <w:ind w:right="255"/>
        <w:jc w:val="both"/>
        <w:rPr>
          <w:rFonts w:ascii="Palatino Linotype" w:eastAsia="Palatino Linotype" w:hAnsi="Palatino Linotype" w:cs="Palatino Linotype"/>
          <w:b/>
        </w:rPr>
      </w:pPr>
      <w:bookmarkStart w:id="10" w:name="_heading=h.3znysh7" w:colFirst="0" w:colLast="0"/>
      <w:bookmarkEnd w:id="10"/>
      <w:r w:rsidRPr="00561137">
        <w:rPr>
          <w:rFonts w:ascii="Palatino Linotype" w:eastAsia="Palatino Linotype" w:hAnsi="Palatino Linotype" w:cs="Palatino Linotype"/>
          <w:b/>
        </w:rPr>
        <w:t>PRIMERO. De la competencia</w:t>
      </w:r>
    </w:p>
    <w:p w:rsidR="00392A3F" w:rsidRPr="00561137" w:rsidRDefault="00392A3F" w:rsidP="00392A3F">
      <w:pPr>
        <w:numPr>
          <w:ilvl w:val="0"/>
          <w:numId w:val="1"/>
        </w:numPr>
        <w:spacing w:line="360" w:lineRule="auto"/>
        <w:ind w:left="0" w:right="255" w:firstLine="0"/>
        <w:jc w:val="both"/>
        <w:rPr>
          <w:rFonts w:ascii="Palatino Linotype" w:hAnsi="Palatino Linotype"/>
        </w:rPr>
      </w:pPr>
      <w:r w:rsidRPr="00561137">
        <w:rPr>
          <w:rFonts w:ascii="Palatino Linotype" w:eastAsia="Palatino Linotype" w:hAnsi="Palatino Linotype" w:cs="Palatino Linotype"/>
        </w:rPr>
        <w:t xml:space="preserve">Este Instituto de Transparencia, Acceso a la Información Pública y Protección de Datos Personales del Estado de México y Municipios, es competente para conocer y resolver del presente recurso de conformidad con el artículo: 6, apartado A, fracción IV de la Constitución Política de los Estados Unidos Mexicanos; 5, párrafos trigésimo segundo y trigésimo tercero,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y 7, 9 </w:t>
      </w:r>
      <w:r w:rsidRPr="00561137">
        <w:rPr>
          <w:rFonts w:ascii="Palatino Linotype" w:eastAsia="Palatino Linotype" w:hAnsi="Palatino Linotype" w:cs="Palatino Linotype"/>
        </w:rPr>
        <w:lastRenderedPageBreak/>
        <w:t>fracciones I y XXIII, y 11 del Reglamento Interior del Instituto de Transparencia, Acceso a la Información Pública y Protección de Datos Personales del Estado de México y Municipios.</w:t>
      </w:r>
    </w:p>
    <w:p w:rsidR="00392A3F" w:rsidRPr="00561137" w:rsidRDefault="00392A3F" w:rsidP="00392A3F">
      <w:pPr>
        <w:spacing w:line="360" w:lineRule="auto"/>
        <w:ind w:right="255"/>
        <w:jc w:val="both"/>
        <w:rPr>
          <w:rFonts w:ascii="Palatino Linotype" w:hAnsi="Palatino Linotype"/>
        </w:rPr>
      </w:pPr>
    </w:p>
    <w:p w:rsidR="00392A3F" w:rsidRPr="00561137" w:rsidRDefault="00392A3F" w:rsidP="00392A3F">
      <w:pPr>
        <w:pStyle w:val="Ttulo2"/>
        <w:spacing w:before="0" w:line="360" w:lineRule="auto"/>
        <w:ind w:right="255"/>
        <w:jc w:val="both"/>
        <w:rPr>
          <w:rFonts w:ascii="Palatino Linotype" w:eastAsia="Palatino Linotype" w:hAnsi="Palatino Linotype" w:cs="Palatino Linotype"/>
          <w:b/>
          <w:color w:val="000000"/>
          <w:sz w:val="24"/>
          <w:szCs w:val="24"/>
        </w:rPr>
      </w:pPr>
      <w:r w:rsidRPr="00561137">
        <w:rPr>
          <w:rFonts w:ascii="Palatino Linotype" w:eastAsia="Palatino Linotype" w:hAnsi="Palatino Linotype" w:cs="Palatino Linotype"/>
          <w:b/>
          <w:color w:val="000000"/>
          <w:sz w:val="24"/>
          <w:szCs w:val="24"/>
        </w:rPr>
        <w:t>SEGUNDO. De la oportunidad y procedencia.</w:t>
      </w:r>
    </w:p>
    <w:p w:rsidR="00392A3F" w:rsidRPr="00561137" w:rsidRDefault="00392A3F" w:rsidP="00392A3F">
      <w:pPr>
        <w:numPr>
          <w:ilvl w:val="0"/>
          <w:numId w:val="1"/>
        </w:numPr>
        <w:spacing w:line="360" w:lineRule="auto"/>
        <w:ind w:left="0" w:right="255" w:firstLine="0"/>
        <w:jc w:val="both"/>
        <w:rPr>
          <w:rFonts w:ascii="Palatino Linotype" w:hAnsi="Palatino Linotype"/>
          <w:color w:val="000000"/>
        </w:rPr>
      </w:pPr>
      <w:r w:rsidRPr="00561137">
        <w:rPr>
          <w:rFonts w:ascii="Palatino Linotype" w:eastAsia="Palatino Linotype" w:hAnsi="Palatino Linotype" w:cs="Palatino Linotype"/>
          <w:color w:val="000000"/>
        </w:rPr>
        <w:t xml:space="preserve">El medio de impugnación fue presentado a través del </w:t>
      </w:r>
      <w:r w:rsidRPr="00561137">
        <w:rPr>
          <w:rFonts w:ascii="Palatino Linotype" w:eastAsia="Palatino Linotype" w:hAnsi="Palatino Linotype" w:cs="Palatino Linotype"/>
          <w:b/>
          <w:color w:val="000000"/>
        </w:rPr>
        <w:t>SAIMEX,</w:t>
      </w:r>
      <w:r w:rsidRPr="00561137">
        <w:rPr>
          <w:rFonts w:ascii="Palatino Linotype" w:eastAsia="Palatino Linotype" w:hAnsi="Palatino Linotype" w:cs="Palatino Linotype"/>
          <w:color w:val="000000"/>
        </w:rPr>
        <w:t xml:space="preserve"> en el formato previamente aprobado para tal efecto y dentro del plazo legal de quince días hábiles otorgados; para el caso en particular es de señalar que el </w:t>
      </w:r>
      <w:r w:rsidRPr="00561137">
        <w:rPr>
          <w:rFonts w:ascii="Palatino Linotype" w:eastAsia="Palatino Linotype" w:hAnsi="Palatino Linotype" w:cs="Palatino Linotype"/>
          <w:b/>
          <w:color w:val="000000"/>
        </w:rPr>
        <w:t>SUJETO OBLIGADO</w:t>
      </w:r>
      <w:r w:rsidRPr="00561137">
        <w:rPr>
          <w:rFonts w:ascii="Palatino Linotype" w:eastAsia="Palatino Linotype" w:hAnsi="Palatino Linotype" w:cs="Palatino Linotype"/>
          <w:color w:val="000000"/>
        </w:rPr>
        <w:t xml:space="preserve"> entregó su respuesta el </w:t>
      </w:r>
      <w:r w:rsidR="004D11F0" w:rsidRPr="00561137">
        <w:rPr>
          <w:rFonts w:ascii="Palatino Linotype" w:eastAsia="Palatino Linotype" w:hAnsi="Palatino Linotype" w:cs="Palatino Linotype"/>
          <w:b/>
          <w:color w:val="000000"/>
        </w:rPr>
        <w:t xml:space="preserve">veinticinco de mayo </w:t>
      </w:r>
      <w:r w:rsidRPr="00561137">
        <w:rPr>
          <w:rFonts w:ascii="Palatino Linotype" w:eastAsia="Palatino Linotype" w:hAnsi="Palatino Linotype" w:cs="Palatino Linotype"/>
          <w:b/>
          <w:color w:val="000000"/>
        </w:rPr>
        <w:t>de dos mil veintiséis</w:t>
      </w:r>
      <w:r w:rsidRPr="00561137">
        <w:rPr>
          <w:rFonts w:ascii="Palatino Linotype" w:eastAsia="Palatino Linotype" w:hAnsi="Palatino Linotype" w:cs="Palatino Linotype"/>
          <w:color w:val="000000"/>
        </w:rPr>
        <w:t xml:space="preserve">, de tal forma que el plazo para interponer el recurso de revisión transcurrió del </w:t>
      </w:r>
      <w:r w:rsidR="004D11F0" w:rsidRPr="00561137">
        <w:rPr>
          <w:rFonts w:ascii="Palatino Linotype" w:eastAsia="Palatino Linotype" w:hAnsi="Palatino Linotype" w:cs="Palatino Linotype"/>
          <w:b/>
          <w:color w:val="000000"/>
        </w:rPr>
        <w:t xml:space="preserve">veintiséis de mayo al quince de junio </w:t>
      </w:r>
      <w:r w:rsidRPr="00561137">
        <w:rPr>
          <w:rFonts w:ascii="Palatino Linotype" w:eastAsia="Palatino Linotype" w:hAnsi="Palatino Linotype" w:cs="Palatino Linotype"/>
          <w:b/>
          <w:color w:val="000000"/>
        </w:rPr>
        <w:t>de dos mil veintiséis</w:t>
      </w:r>
      <w:r w:rsidRPr="00561137">
        <w:rPr>
          <w:rFonts w:ascii="Palatino Linotype" w:eastAsia="Palatino Linotype" w:hAnsi="Palatino Linotype" w:cs="Palatino Linotype"/>
          <w:color w:val="000000"/>
        </w:rPr>
        <w:t xml:space="preserve">; en consecuencia, el ahora </w:t>
      </w:r>
      <w:r w:rsidRPr="00561137">
        <w:rPr>
          <w:rFonts w:ascii="Palatino Linotype" w:eastAsia="Palatino Linotype" w:hAnsi="Palatino Linotype" w:cs="Palatino Linotype"/>
          <w:b/>
          <w:color w:val="000000"/>
        </w:rPr>
        <w:t>RECURRENTE</w:t>
      </w:r>
      <w:r w:rsidRPr="00561137">
        <w:rPr>
          <w:rFonts w:ascii="Palatino Linotype" w:eastAsia="Palatino Linotype" w:hAnsi="Palatino Linotype" w:cs="Palatino Linotype"/>
          <w:color w:val="000000"/>
        </w:rPr>
        <w:t xml:space="preserve"> presentó su inconformidad el </w:t>
      </w:r>
      <w:r w:rsidR="004D11F0" w:rsidRPr="00561137">
        <w:rPr>
          <w:rFonts w:ascii="Palatino Linotype" w:eastAsia="Palatino Linotype" w:hAnsi="Palatino Linotype" w:cs="Palatino Linotype"/>
          <w:b/>
          <w:color w:val="000000"/>
        </w:rPr>
        <w:t xml:space="preserve">veintisiete de mayo </w:t>
      </w:r>
      <w:r w:rsidRPr="00561137">
        <w:rPr>
          <w:rFonts w:ascii="Palatino Linotype" w:eastAsia="Palatino Linotype" w:hAnsi="Palatino Linotype" w:cs="Palatino Linotype"/>
          <w:b/>
          <w:color w:val="000000"/>
        </w:rPr>
        <w:t>de dos mil veintiséis</w:t>
      </w:r>
      <w:r w:rsidRPr="00561137">
        <w:rPr>
          <w:rFonts w:ascii="Palatino Linotype" w:eastAsia="Palatino Linotype" w:hAnsi="Palatino Linotype" w:cs="Palatino Linotype"/>
          <w:color w:val="000000"/>
        </w:rPr>
        <w:t>; por lo que se estima que la inconformidad se presentó dentro del lapso legalmente establecido para tal efecto.</w:t>
      </w:r>
    </w:p>
    <w:p w:rsidR="00392A3F" w:rsidRPr="00561137" w:rsidRDefault="00392A3F" w:rsidP="00392A3F">
      <w:pPr>
        <w:pBdr>
          <w:top w:val="nil"/>
          <w:left w:val="nil"/>
          <w:bottom w:val="nil"/>
          <w:right w:val="nil"/>
          <w:between w:val="nil"/>
        </w:pBdr>
        <w:spacing w:line="360" w:lineRule="auto"/>
        <w:ind w:right="255"/>
        <w:jc w:val="both"/>
        <w:rPr>
          <w:rFonts w:ascii="Palatino Linotype" w:eastAsia="Palatino Linotype" w:hAnsi="Palatino Linotype" w:cs="Palatino Linotype"/>
          <w:color w:val="000000"/>
        </w:rPr>
      </w:pPr>
    </w:p>
    <w:p w:rsidR="00392A3F" w:rsidRPr="00561137" w:rsidRDefault="00392A3F" w:rsidP="00392A3F">
      <w:pPr>
        <w:numPr>
          <w:ilvl w:val="0"/>
          <w:numId w:val="1"/>
        </w:numPr>
        <w:spacing w:line="360" w:lineRule="auto"/>
        <w:ind w:left="0" w:right="255" w:firstLine="0"/>
        <w:jc w:val="both"/>
        <w:rPr>
          <w:rFonts w:ascii="Palatino Linotype" w:eastAsia="Palatino Linotype" w:hAnsi="Palatino Linotype" w:cs="Palatino Linotype"/>
        </w:rPr>
      </w:pPr>
      <w:r w:rsidRPr="00561137">
        <w:rPr>
          <w:rFonts w:ascii="Palatino Linotype" w:eastAsia="Palatino Linotype" w:hAnsi="Palatino Linotype" w:cs="Palatino Linotype"/>
        </w:rPr>
        <w:t xml:space="preserve">Por otro lado, es de suma importancia señalar que la parte recurrente no </w:t>
      </w:r>
      <w:r w:rsidRPr="00561137">
        <w:rPr>
          <w:rFonts w:ascii="Palatino Linotype" w:eastAsia="Palatino Linotype" w:hAnsi="Palatino Linotype" w:cs="Palatino Linotype"/>
          <w:color w:val="000000"/>
        </w:rPr>
        <w:t>proporciona</w:t>
      </w:r>
      <w:r w:rsidRPr="00561137">
        <w:rPr>
          <w:rFonts w:ascii="Palatino Linotype" w:eastAsia="Palatino Linotype" w:hAnsi="Palatino Linotype" w:cs="Palatino Linotype"/>
        </w:rPr>
        <w:t xml:space="preserve"> un </w:t>
      </w:r>
      <w:r w:rsidRPr="00561137">
        <w:rPr>
          <w:rFonts w:ascii="Palatino Linotype" w:eastAsia="Palatino Linotype" w:hAnsi="Palatino Linotype" w:cs="Palatino Linotype"/>
          <w:u w:val="single"/>
        </w:rPr>
        <w:t>nombre completo</w:t>
      </w:r>
      <w:r w:rsidRPr="00561137">
        <w:rPr>
          <w:rFonts w:ascii="Palatino Linotype" w:eastAsia="Palatino Linotype" w:hAnsi="Palatino Linotype" w:cs="Palatino Linotype"/>
        </w:rPr>
        <w:t xml:space="preserve"> como se advierte en el detalle de seguimiento del SAIMEX, no obstante lo anterior, no proporcionar el nombre completo no es motivo </w:t>
      </w:r>
      <w:r w:rsidRPr="00561137">
        <w:rPr>
          <w:rFonts w:ascii="Palatino Linotype" w:eastAsia="Palatino Linotype" w:hAnsi="Palatino Linotype" w:cs="Palatino Linotype"/>
          <w:color w:val="000000"/>
        </w:rPr>
        <w:t>para</w:t>
      </w:r>
      <w:r w:rsidRPr="00561137">
        <w:rPr>
          <w:rFonts w:ascii="Palatino Linotype" w:eastAsia="Palatino Linotype" w:hAnsi="Palatino Linotype" w:cs="Palatino Linotype"/>
        </w:rPr>
        <w:t xml:space="preserve"> archivar la solicitud de acceso a la información pública como concluida, conforme a lo previsto en el artículo 155, penúltimo párrafo de la Ley de Transparencia y Acceso a la Información Pública del Estado de México y Municipios que establece lo siguiente:</w:t>
      </w:r>
    </w:p>
    <w:p w:rsidR="00392A3F" w:rsidRPr="00561137" w:rsidRDefault="00392A3F" w:rsidP="00392A3F">
      <w:pPr>
        <w:ind w:left="1134" w:right="1106"/>
        <w:jc w:val="both"/>
        <w:rPr>
          <w:rFonts w:ascii="Palatino Linotype" w:eastAsia="Palatino Linotype" w:hAnsi="Palatino Linotype" w:cs="Palatino Linotype"/>
          <w:i/>
        </w:rPr>
      </w:pPr>
      <w:r w:rsidRPr="00561137">
        <w:rPr>
          <w:rFonts w:ascii="Palatino Linotype" w:eastAsia="Palatino Linotype" w:hAnsi="Palatino Linotype" w:cs="Palatino Linotype"/>
          <w:i/>
        </w:rPr>
        <w:t>"</w:t>
      </w:r>
      <w:r w:rsidRPr="00561137">
        <w:rPr>
          <w:rFonts w:ascii="Palatino Linotype" w:eastAsia="Palatino Linotype" w:hAnsi="Palatino Linotype" w:cs="Palatino Linotype"/>
          <w:b/>
          <w:i/>
        </w:rPr>
        <w:t>Las solicitudes anónimas</w:t>
      </w:r>
      <w:r w:rsidRPr="00561137">
        <w:rPr>
          <w:rFonts w:ascii="Palatino Linotype" w:eastAsia="Palatino Linotype" w:hAnsi="Palatino Linotype" w:cs="Palatino Linotype"/>
          <w:i/>
        </w:rPr>
        <w:t xml:space="preserve">, con nombre incompleto o seudónimo </w:t>
      </w:r>
      <w:r w:rsidRPr="00561137">
        <w:rPr>
          <w:rFonts w:ascii="Palatino Linotype" w:eastAsia="Palatino Linotype" w:hAnsi="Palatino Linotype" w:cs="Palatino Linotype"/>
          <w:b/>
          <w:i/>
        </w:rPr>
        <w:t xml:space="preserve">serán procedentes para su trámite por parte del sujeto obligado ante quien se </w:t>
      </w:r>
      <w:r w:rsidRPr="00561137">
        <w:rPr>
          <w:rFonts w:ascii="Palatino Linotype" w:eastAsia="Palatino Linotype" w:hAnsi="Palatino Linotype" w:cs="Palatino Linotype"/>
          <w:b/>
          <w:i/>
        </w:rPr>
        <w:lastRenderedPageBreak/>
        <w:t>presente</w:t>
      </w:r>
      <w:r w:rsidRPr="00561137">
        <w:rPr>
          <w:rFonts w:ascii="Palatino Linotype" w:eastAsia="Palatino Linotype" w:hAnsi="Palatino Linotype" w:cs="Palatino Linotype"/>
          <w:i/>
        </w:rPr>
        <w:t>. No podrá requerirse información adicional con motivo del nombre proporcionado por el solicitante."</w:t>
      </w:r>
    </w:p>
    <w:p w:rsidR="00392A3F" w:rsidRPr="00561137" w:rsidRDefault="00392A3F" w:rsidP="00392A3F">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rsidR="00392A3F" w:rsidRPr="00561137" w:rsidRDefault="00392A3F" w:rsidP="00392A3F">
      <w:pPr>
        <w:numPr>
          <w:ilvl w:val="0"/>
          <w:numId w:val="1"/>
        </w:numPr>
        <w:spacing w:line="360" w:lineRule="auto"/>
        <w:ind w:left="0" w:right="255" w:firstLine="0"/>
        <w:jc w:val="both"/>
        <w:rPr>
          <w:rFonts w:ascii="Palatino Linotype" w:eastAsia="Palatino Linotype" w:hAnsi="Palatino Linotype" w:cs="Palatino Linotype"/>
          <w:color w:val="000000"/>
        </w:rPr>
      </w:pPr>
      <w:r w:rsidRPr="00561137">
        <w:rPr>
          <w:rFonts w:ascii="Palatino Linotype" w:eastAsia="Palatino Linotype" w:hAnsi="Palatino Linotype" w:cs="Palatino Linotype"/>
          <w:color w:val="000000"/>
        </w:rPr>
        <w:t xml:space="preserve">Consecuencia de lo anterior, este Órgano Garante advierte que el escrito contiene las formalidades previstas por el artículo 180 último párrafo de la Ley de </w:t>
      </w:r>
      <w:r w:rsidRPr="00561137">
        <w:rPr>
          <w:rFonts w:ascii="Palatino Linotype" w:eastAsia="Palatino Linotype" w:hAnsi="Palatino Linotype" w:cs="Palatino Linotype"/>
        </w:rPr>
        <w:t>Transparencia</w:t>
      </w:r>
      <w:r w:rsidRPr="00561137">
        <w:rPr>
          <w:rFonts w:ascii="Palatino Linotype" w:eastAsia="Palatino Linotype" w:hAnsi="Palatino Linotype" w:cs="Palatino Linotype"/>
          <w:color w:val="000000"/>
        </w:rPr>
        <w:t xml:space="preserve"> y Acceso a la </w:t>
      </w:r>
      <w:r w:rsidRPr="00561137">
        <w:rPr>
          <w:rFonts w:ascii="Palatino Linotype" w:eastAsia="Palatino Linotype" w:hAnsi="Palatino Linotype" w:cs="Palatino Linotype"/>
        </w:rPr>
        <w:t>Información</w:t>
      </w:r>
      <w:r w:rsidRPr="00561137">
        <w:rPr>
          <w:rFonts w:ascii="Palatino Linotype" w:eastAsia="Palatino Linotype" w:hAnsi="Palatino Linotype" w:cs="Palatino Linotype"/>
          <w:color w:val="000000"/>
        </w:rPr>
        <w:t xml:space="preserve"> Pública del Estado de México y Municipios, por lo que es procedente que este Instituto de Transparencia, Acceso a la Información Pública y Protección de Datos Personales del Estado de México y Municipios, conozca y resuelva el presente recurso.</w:t>
      </w:r>
    </w:p>
    <w:p w:rsidR="00392A3F" w:rsidRPr="00561137" w:rsidRDefault="00392A3F" w:rsidP="00392A3F">
      <w:pPr>
        <w:spacing w:line="360" w:lineRule="auto"/>
        <w:ind w:right="255"/>
        <w:jc w:val="both"/>
        <w:rPr>
          <w:rFonts w:ascii="Palatino Linotype" w:hAnsi="Palatino Linotype"/>
        </w:rPr>
      </w:pPr>
    </w:p>
    <w:p w:rsidR="00392A3F" w:rsidRPr="00561137" w:rsidRDefault="00392A3F" w:rsidP="00392A3F">
      <w:pPr>
        <w:pStyle w:val="Prrafodelista"/>
        <w:rPr>
          <w:rFonts w:ascii="Palatino Linotype" w:eastAsia="Palatino Linotype" w:hAnsi="Palatino Linotype" w:cs="Palatino Linotype"/>
        </w:rPr>
      </w:pPr>
    </w:p>
    <w:p w:rsidR="00392A3F" w:rsidRPr="00561137" w:rsidRDefault="00392A3F" w:rsidP="00392A3F">
      <w:pPr>
        <w:numPr>
          <w:ilvl w:val="0"/>
          <w:numId w:val="1"/>
        </w:numPr>
        <w:spacing w:line="360" w:lineRule="auto"/>
        <w:ind w:left="0" w:right="255" w:firstLine="0"/>
        <w:jc w:val="both"/>
        <w:rPr>
          <w:rFonts w:ascii="Palatino Linotype" w:hAnsi="Palatino Linotype"/>
        </w:rPr>
      </w:pPr>
      <w:r w:rsidRPr="00561137">
        <w:rPr>
          <w:rFonts w:ascii="Palatino Linotype" w:eastAsia="Palatino Linotype" w:hAnsi="Palatino Linotype" w:cs="Palatino Linotype"/>
        </w:rPr>
        <w:t xml:space="preserve">Por otro lado, el escrito contiene las formalidades previstas por el artículo 180 último </w:t>
      </w:r>
      <w:r w:rsidRPr="00561137">
        <w:rPr>
          <w:rFonts w:ascii="Palatino Linotype" w:eastAsia="Palatino Linotype" w:hAnsi="Palatino Linotype" w:cs="Palatino Linotype"/>
          <w:color w:val="000000"/>
        </w:rPr>
        <w:t>párrafo</w:t>
      </w:r>
      <w:r w:rsidRPr="00561137">
        <w:rPr>
          <w:rFonts w:ascii="Palatino Linotype" w:eastAsia="Palatino Linotype" w:hAnsi="Palatino Linotype" w:cs="Palatino Linotype"/>
        </w:rPr>
        <w:t xml:space="preserve"> de la Ley de la materia actual, por lo que es procedente que este Instituto de Transparencia, Acceso a la Información Pública y Protección de Datos Personales del Estado de México y Municipios, conozca y resuelva el presente recurso.</w:t>
      </w:r>
    </w:p>
    <w:p w:rsidR="00392A3F" w:rsidRPr="00561137" w:rsidRDefault="00392A3F" w:rsidP="00392A3F">
      <w:pPr>
        <w:pBdr>
          <w:top w:val="nil"/>
          <w:left w:val="nil"/>
          <w:bottom w:val="nil"/>
          <w:right w:val="nil"/>
          <w:between w:val="nil"/>
        </w:pBdr>
        <w:ind w:left="720" w:right="255"/>
        <w:jc w:val="both"/>
        <w:rPr>
          <w:rFonts w:ascii="Palatino Linotype" w:hAnsi="Palatino Linotype"/>
          <w:color w:val="000000"/>
        </w:rPr>
      </w:pPr>
    </w:p>
    <w:p w:rsidR="00392A3F" w:rsidRPr="00561137" w:rsidRDefault="00392A3F" w:rsidP="00392A3F">
      <w:pPr>
        <w:keepNext/>
        <w:keepLines/>
        <w:spacing w:line="360" w:lineRule="auto"/>
        <w:ind w:right="48"/>
        <w:rPr>
          <w:rFonts w:ascii="Palatino Linotype" w:eastAsia="Palatino Linotype" w:hAnsi="Palatino Linotype" w:cs="Palatino Linotype"/>
          <w:b/>
        </w:rPr>
      </w:pPr>
      <w:bookmarkStart w:id="11" w:name="_heading=h.26in1rg" w:colFirst="0" w:colLast="0"/>
      <w:bookmarkEnd w:id="11"/>
      <w:r w:rsidRPr="00561137">
        <w:rPr>
          <w:rFonts w:ascii="Palatino Linotype" w:eastAsia="Palatino Linotype" w:hAnsi="Palatino Linotype" w:cs="Palatino Linotype"/>
          <w:b/>
        </w:rPr>
        <w:t xml:space="preserve">TERCERO. </w:t>
      </w:r>
      <w:r w:rsidRPr="00561137">
        <w:rPr>
          <w:rFonts w:ascii="Palatino Linotype" w:hAnsi="Palatino Linotype"/>
          <w:b/>
        </w:rPr>
        <w:t>De las causales del sobreseimiento.</w:t>
      </w:r>
    </w:p>
    <w:p w:rsidR="00392A3F" w:rsidRPr="00561137" w:rsidRDefault="00392A3F" w:rsidP="00392A3F">
      <w:pPr>
        <w:numPr>
          <w:ilvl w:val="0"/>
          <w:numId w:val="1"/>
        </w:numPr>
        <w:spacing w:line="360" w:lineRule="auto"/>
        <w:ind w:left="0" w:right="255" w:firstLine="0"/>
        <w:jc w:val="both"/>
        <w:rPr>
          <w:rFonts w:ascii="Palatino Linotype" w:eastAsia="Palatino Linotype" w:hAnsi="Palatino Linotype" w:cs="Palatino Linotype"/>
        </w:rPr>
      </w:pPr>
      <w:r w:rsidRPr="00561137">
        <w:rPr>
          <w:rFonts w:ascii="Palatino Linotype" w:eastAsia="Palatino Linotype" w:hAnsi="Palatino Linotype" w:cs="Palatino Linotype"/>
        </w:rPr>
        <w:t xml:space="preserve">El </w:t>
      </w:r>
      <w:r w:rsidRPr="00561137">
        <w:rPr>
          <w:rFonts w:ascii="Palatino Linotype" w:hAnsi="Palatino Linotype" w:cs="Arial"/>
          <w:iCs/>
        </w:rPr>
        <w:t xml:space="preserve">recurso revisión tiene como finalidad reparar cualquier posible afectación al Derecho de Acceso a la Información Pública en términos del Título Octavo de la Ley de </w:t>
      </w:r>
      <w:r w:rsidRPr="00561137">
        <w:rPr>
          <w:rFonts w:ascii="Palatino Linotype" w:eastAsia="Calibri" w:hAnsi="Palatino Linotype" w:cs="Arial"/>
          <w:iCs/>
        </w:rPr>
        <w:t>Transparencia, Acceso a la Información Pública del Estado de México y Municipios</w:t>
      </w:r>
      <w:r w:rsidRPr="00561137">
        <w:rPr>
          <w:rFonts w:ascii="Palatino Linotype" w:hAnsi="Palatino Linotype" w:cs="Arial"/>
          <w:iCs/>
        </w:rPr>
        <w:t xml:space="preserve">, y determinar la </w:t>
      </w:r>
      <w:r w:rsidRPr="00561137">
        <w:rPr>
          <w:rFonts w:ascii="Palatino Linotype" w:eastAsia="Calibri" w:hAnsi="Palatino Linotype" w:cs="Arial"/>
        </w:rPr>
        <w:t>confirmación</w:t>
      </w:r>
      <w:r w:rsidRPr="00561137">
        <w:rPr>
          <w:rFonts w:ascii="Palatino Linotype" w:hAnsi="Palatino Linotype" w:cs="Arial"/>
          <w:iCs/>
        </w:rPr>
        <w:t xml:space="preserve">; revocación o modificación; desechamiento o </w:t>
      </w:r>
      <w:r w:rsidRPr="00561137">
        <w:rPr>
          <w:rFonts w:ascii="Palatino Linotype" w:hAnsi="Palatino Linotype" w:cs="Arial"/>
          <w:b/>
          <w:iCs/>
          <w:u w:val="single"/>
        </w:rPr>
        <w:t>sobreseimiento</w:t>
      </w:r>
      <w:r w:rsidRPr="00561137">
        <w:rPr>
          <w:rFonts w:ascii="Palatino Linotype" w:hAnsi="Palatino Linotype" w:cs="Arial"/>
          <w:iCs/>
        </w:rPr>
        <w:t>; y, en su caso</w:t>
      </w:r>
      <w:r w:rsidRPr="00561137">
        <w:rPr>
          <w:rFonts w:ascii="Palatino Linotype" w:hAnsi="Palatino Linotype" w:cs="Arial"/>
        </w:rPr>
        <w:t xml:space="preserve">, ordenar la entrega de la información respecto a la falta de respuesta por parte del </w:t>
      </w:r>
      <w:r w:rsidRPr="00561137">
        <w:rPr>
          <w:rFonts w:ascii="Palatino Linotype" w:hAnsi="Palatino Linotype" w:cs="Arial"/>
          <w:b/>
        </w:rPr>
        <w:t>SUJETO</w:t>
      </w:r>
      <w:r w:rsidRPr="00561137">
        <w:rPr>
          <w:rFonts w:ascii="Palatino Linotype" w:hAnsi="Palatino Linotype" w:cs="Arial"/>
        </w:rPr>
        <w:t xml:space="preserve"> </w:t>
      </w:r>
      <w:r w:rsidRPr="00561137">
        <w:rPr>
          <w:rFonts w:ascii="Palatino Linotype" w:hAnsi="Palatino Linotype" w:cs="Arial"/>
          <w:b/>
        </w:rPr>
        <w:t>OBLIGADO</w:t>
      </w:r>
      <w:r w:rsidRPr="00561137">
        <w:rPr>
          <w:rFonts w:ascii="Palatino Linotype" w:hAnsi="Palatino Linotype" w:cs="Arial"/>
        </w:rPr>
        <w:t>.</w:t>
      </w:r>
    </w:p>
    <w:p w:rsidR="00392A3F" w:rsidRPr="00561137" w:rsidRDefault="00392A3F" w:rsidP="00392A3F">
      <w:pPr>
        <w:spacing w:line="360" w:lineRule="auto"/>
        <w:ind w:right="49"/>
        <w:jc w:val="both"/>
        <w:rPr>
          <w:rFonts w:ascii="Palatino Linotype" w:eastAsia="Palatino Linotype" w:hAnsi="Palatino Linotype" w:cs="Palatino Linotype"/>
        </w:rPr>
      </w:pPr>
    </w:p>
    <w:p w:rsidR="00392A3F" w:rsidRPr="00561137" w:rsidRDefault="00392A3F" w:rsidP="00392A3F">
      <w:pPr>
        <w:numPr>
          <w:ilvl w:val="0"/>
          <w:numId w:val="1"/>
        </w:numPr>
        <w:spacing w:line="360" w:lineRule="auto"/>
        <w:ind w:left="0" w:right="255" w:firstLine="0"/>
        <w:jc w:val="both"/>
        <w:rPr>
          <w:rFonts w:ascii="Palatino Linotype" w:eastAsia="Palatino Linotype" w:hAnsi="Palatino Linotype" w:cs="Palatino Linotype"/>
        </w:rPr>
      </w:pPr>
      <w:r w:rsidRPr="00561137">
        <w:rPr>
          <w:rFonts w:ascii="Palatino Linotype" w:eastAsia="Calibri" w:hAnsi="Palatino Linotype" w:cs="Tahoma"/>
          <w:iCs/>
          <w:lang w:val="es-ES" w:eastAsia="es-ES_tradnl"/>
        </w:rPr>
        <w:lastRenderedPageBreak/>
        <w:t xml:space="preserve">De </w:t>
      </w:r>
      <w:r w:rsidRPr="00561137">
        <w:rPr>
          <w:rFonts w:ascii="Palatino Linotype" w:eastAsia="Palatino Linotype" w:hAnsi="Palatino Linotype" w:cs="Palatino Linotype"/>
        </w:rPr>
        <w:t>acuerdo</w:t>
      </w:r>
      <w:r w:rsidRPr="00561137">
        <w:rPr>
          <w:rFonts w:ascii="Palatino Linotype" w:eastAsia="Calibri" w:hAnsi="Palatino Linotype"/>
        </w:rPr>
        <w:t xml:space="preserve"> con el precepto legal contenido en la fracción IV del artículo 192 de la </w:t>
      </w:r>
      <w:r w:rsidRPr="00561137">
        <w:rPr>
          <w:rFonts w:ascii="Palatino Linotype" w:eastAsia="Calibri" w:hAnsi="Palatino Linotype"/>
          <w:b/>
        </w:rPr>
        <w:t>Ley de Transparencia y Acceso a la Información Pública del Estado de México y Municipios</w:t>
      </w:r>
      <w:r w:rsidRPr="00561137">
        <w:rPr>
          <w:rFonts w:ascii="Palatino Linotype" w:eastAsia="Calibri" w:hAnsi="Palatino Linotype"/>
        </w:rPr>
        <w:t xml:space="preserve">, el recurso será </w:t>
      </w:r>
      <w:r w:rsidRPr="00561137">
        <w:rPr>
          <w:rFonts w:ascii="Palatino Linotype" w:eastAsia="Calibri" w:hAnsi="Palatino Linotype" w:cs="Arial"/>
        </w:rPr>
        <w:t>sobreseído</w:t>
      </w:r>
      <w:r w:rsidRPr="00561137">
        <w:rPr>
          <w:rFonts w:ascii="Palatino Linotype" w:eastAsia="Calibri" w:hAnsi="Palatino Linotype"/>
        </w:rPr>
        <w:t>, cuando una vez admitido, aparezca alguna causal de improcedencia en términos de la misma Ley.</w:t>
      </w:r>
    </w:p>
    <w:p w:rsidR="00392A3F" w:rsidRPr="00561137" w:rsidRDefault="00392A3F" w:rsidP="00392A3F">
      <w:pPr>
        <w:spacing w:line="360" w:lineRule="auto"/>
        <w:ind w:right="49"/>
        <w:jc w:val="both"/>
        <w:rPr>
          <w:rFonts w:ascii="Palatino Linotype" w:eastAsia="Palatino Linotype" w:hAnsi="Palatino Linotype" w:cs="Palatino Linotype"/>
          <w:highlight w:val="yellow"/>
        </w:rPr>
      </w:pPr>
    </w:p>
    <w:p w:rsidR="00392A3F" w:rsidRPr="00561137" w:rsidRDefault="00392A3F" w:rsidP="00392A3F">
      <w:pPr>
        <w:keepNext/>
        <w:keepLines/>
        <w:numPr>
          <w:ilvl w:val="1"/>
          <w:numId w:val="4"/>
        </w:numPr>
        <w:spacing w:line="360" w:lineRule="auto"/>
        <w:ind w:left="567" w:right="-28" w:firstLine="0"/>
        <w:outlineLvl w:val="1"/>
        <w:rPr>
          <w:rFonts w:ascii="Palatino Linotype" w:eastAsiaTheme="majorEastAsia" w:hAnsi="Palatino Linotype" w:cstheme="majorBidi"/>
          <w:b/>
          <w:iCs/>
        </w:rPr>
      </w:pPr>
      <w:bookmarkStart w:id="12" w:name="_Toc365136"/>
      <w:r w:rsidRPr="00561137">
        <w:rPr>
          <w:rFonts w:ascii="Palatino Linotype" w:eastAsiaTheme="majorEastAsia" w:hAnsi="Palatino Linotype" w:cstheme="majorBidi"/>
          <w:b/>
          <w:iCs/>
        </w:rPr>
        <w:t>De la solicitud de información</w:t>
      </w:r>
      <w:bookmarkEnd w:id="12"/>
      <w:r w:rsidRPr="00561137">
        <w:rPr>
          <w:rFonts w:ascii="Palatino Linotype" w:eastAsiaTheme="majorEastAsia" w:hAnsi="Palatino Linotype" w:cstheme="majorBidi"/>
          <w:b/>
          <w:iCs/>
        </w:rPr>
        <w:t xml:space="preserve"> </w:t>
      </w:r>
    </w:p>
    <w:p w:rsidR="00392A3F" w:rsidRPr="00561137" w:rsidRDefault="00392A3F" w:rsidP="00392A3F">
      <w:pPr>
        <w:numPr>
          <w:ilvl w:val="0"/>
          <w:numId w:val="1"/>
        </w:numPr>
        <w:spacing w:line="360" w:lineRule="auto"/>
        <w:ind w:left="0" w:right="255" w:firstLine="0"/>
        <w:jc w:val="both"/>
        <w:rPr>
          <w:rFonts w:ascii="Palatino Linotype" w:eastAsia="Palatino Linotype" w:hAnsi="Palatino Linotype" w:cs="Palatino Linotype"/>
          <w:color w:val="000000"/>
          <w:lang w:val="es-ES_tradnl" w:eastAsia="es-ES"/>
        </w:rPr>
      </w:pPr>
      <w:r w:rsidRPr="00561137">
        <w:rPr>
          <w:rFonts w:ascii="Palatino Linotype" w:eastAsia="Palatino Linotype" w:hAnsi="Palatino Linotype" w:cs="Palatino Linotype"/>
          <w:color w:val="000000"/>
          <w:lang w:val="es-ES_tradnl" w:eastAsia="es-ES"/>
        </w:rPr>
        <w:t xml:space="preserve">Ahora bien mediante el siguiente cuadro de </w:t>
      </w:r>
      <w:r w:rsidR="002F4336" w:rsidRPr="00561137">
        <w:rPr>
          <w:rFonts w:ascii="Palatino Linotype" w:eastAsia="Palatino Linotype" w:hAnsi="Palatino Linotype" w:cs="Palatino Linotype"/>
          <w:color w:val="000000"/>
          <w:lang w:val="es-ES_tradnl" w:eastAsia="es-ES"/>
        </w:rPr>
        <w:t>análisis</w:t>
      </w:r>
      <w:r w:rsidRPr="00561137">
        <w:rPr>
          <w:rFonts w:ascii="Palatino Linotype" w:eastAsia="Palatino Linotype" w:hAnsi="Palatino Linotype" w:cs="Palatino Linotype"/>
          <w:color w:val="000000"/>
          <w:lang w:val="es-ES_tradnl" w:eastAsia="es-ES"/>
        </w:rPr>
        <w:t xml:space="preserve"> se establece si el </w:t>
      </w:r>
      <w:r w:rsidRPr="00561137">
        <w:rPr>
          <w:rFonts w:ascii="Palatino Linotype" w:eastAsia="Palatino Linotype" w:hAnsi="Palatino Linotype" w:cs="Palatino Linotype"/>
          <w:b/>
          <w:color w:val="000000"/>
          <w:lang w:val="es-ES_tradnl" w:eastAsia="es-ES"/>
        </w:rPr>
        <w:t xml:space="preserve">SUJETO OBLIGADO </w:t>
      </w:r>
      <w:r w:rsidRPr="00561137">
        <w:rPr>
          <w:rFonts w:ascii="Palatino Linotype" w:eastAsia="Palatino Linotype" w:hAnsi="Palatino Linotype" w:cs="Palatino Linotype"/>
        </w:rPr>
        <w:t>colmo</w:t>
      </w:r>
      <w:r w:rsidRPr="00561137">
        <w:rPr>
          <w:rFonts w:ascii="Palatino Linotype" w:eastAsia="Palatino Linotype" w:hAnsi="Palatino Linotype" w:cs="Palatino Linotype"/>
          <w:color w:val="000000"/>
          <w:lang w:val="es-ES_tradnl" w:eastAsia="es-ES"/>
        </w:rPr>
        <w:t xml:space="preserve"> el derecho de acceso a la información de recurrente, por lo que, es necesario precisar en una tabla la información solicitada por el </w:t>
      </w:r>
      <w:r w:rsidRPr="00561137">
        <w:rPr>
          <w:rFonts w:ascii="Palatino Linotype" w:eastAsia="Palatino Linotype" w:hAnsi="Palatino Linotype" w:cs="Palatino Linotype"/>
          <w:b/>
          <w:color w:val="000000"/>
          <w:lang w:val="es-ES_tradnl" w:eastAsia="es-ES"/>
        </w:rPr>
        <w:t xml:space="preserve">RECURRENTE </w:t>
      </w:r>
      <w:r w:rsidRPr="00561137">
        <w:rPr>
          <w:rFonts w:ascii="Palatino Linotype" w:eastAsia="Palatino Linotype" w:hAnsi="Palatino Linotype" w:cs="Palatino Linotype"/>
          <w:color w:val="000000"/>
          <w:lang w:val="es-ES_tradnl" w:eastAsia="es-ES"/>
        </w:rPr>
        <w:t xml:space="preserve">y la información remitida en respuesta por parte del </w:t>
      </w:r>
      <w:r w:rsidRPr="00561137">
        <w:rPr>
          <w:rFonts w:ascii="Palatino Linotype" w:eastAsia="Palatino Linotype" w:hAnsi="Palatino Linotype" w:cs="Palatino Linotype"/>
          <w:b/>
          <w:color w:val="000000"/>
          <w:lang w:val="es-ES_tradnl" w:eastAsia="es-ES"/>
        </w:rPr>
        <w:t xml:space="preserve">SUJETO OBLIGADO. </w:t>
      </w:r>
    </w:p>
    <w:p w:rsidR="00392A3F" w:rsidRPr="00561137" w:rsidRDefault="00392A3F" w:rsidP="00392A3F">
      <w:pPr>
        <w:ind w:left="1134" w:right="1106"/>
        <w:jc w:val="both"/>
        <w:rPr>
          <w:rFonts w:ascii="Palatino Linotype" w:hAnsi="Palatino Linotype"/>
          <w:b/>
          <w:i/>
          <w:color w:val="222222"/>
          <w:shd w:val="clear" w:color="auto" w:fill="FFFFFF"/>
        </w:rPr>
      </w:pPr>
    </w:p>
    <w:tbl>
      <w:tblPr>
        <w:tblStyle w:val="Tablaconcuadrcula"/>
        <w:tblW w:w="10201" w:type="dxa"/>
        <w:jc w:val="center"/>
        <w:tblLook w:val="04A0" w:firstRow="1" w:lastRow="0" w:firstColumn="1" w:lastColumn="0" w:noHBand="0" w:noVBand="1"/>
      </w:tblPr>
      <w:tblGrid>
        <w:gridCol w:w="2122"/>
        <w:gridCol w:w="3401"/>
        <w:gridCol w:w="2817"/>
        <w:gridCol w:w="1861"/>
      </w:tblGrid>
      <w:tr w:rsidR="00392A3F" w:rsidRPr="00561137" w:rsidTr="003F587A">
        <w:trPr>
          <w:jc w:val="center"/>
        </w:trPr>
        <w:tc>
          <w:tcPr>
            <w:tcW w:w="2122" w:type="dxa"/>
          </w:tcPr>
          <w:p w:rsidR="00392A3F" w:rsidRPr="00561137" w:rsidRDefault="00392A3F" w:rsidP="00561137">
            <w:pPr>
              <w:jc w:val="center"/>
              <w:rPr>
                <w:rFonts w:ascii="Palatino Linotype" w:eastAsia="Palatino Linotype" w:hAnsi="Palatino Linotype" w:cs="Palatino Linotype"/>
                <w:b/>
                <w:i/>
                <w:color w:val="000000"/>
                <w:lang w:eastAsia="es-ES"/>
              </w:rPr>
            </w:pPr>
            <w:r w:rsidRPr="00561137">
              <w:rPr>
                <w:rFonts w:ascii="Palatino Linotype" w:eastAsia="Palatino Linotype" w:hAnsi="Palatino Linotype" w:cs="Palatino Linotype"/>
                <w:b/>
                <w:i/>
                <w:color w:val="000000"/>
                <w:lang w:eastAsia="es-ES"/>
              </w:rPr>
              <w:t>Información solicitada</w:t>
            </w:r>
          </w:p>
        </w:tc>
        <w:tc>
          <w:tcPr>
            <w:tcW w:w="3402" w:type="dxa"/>
          </w:tcPr>
          <w:p w:rsidR="00392A3F" w:rsidRPr="00561137" w:rsidRDefault="00392A3F" w:rsidP="00561137">
            <w:pPr>
              <w:jc w:val="center"/>
              <w:rPr>
                <w:rFonts w:ascii="Palatino Linotype" w:eastAsia="Palatino Linotype" w:hAnsi="Palatino Linotype" w:cs="Palatino Linotype"/>
                <w:b/>
                <w:i/>
                <w:color w:val="000000"/>
                <w:lang w:eastAsia="es-ES"/>
              </w:rPr>
            </w:pPr>
            <w:r w:rsidRPr="00561137">
              <w:rPr>
                <w:rFonts w:ascii="Palatino Linotype" w:eastAsia="Palatino Linotype" w:hAnsi="Palatino Linotype" w:cs="Palatino Linotype"/>
                <w:b/>
                <w:i/>
                <w:color w:val="000000"/>
                <w:lang w:eastAsia="es-ES"/>
              </w:rPr>
              <w:t>Respuesta al recurso de revisión</w:t>
            </w:r>
          </w:p>
        </w:tc>
        <w:tc>
          <w:tcPr>
            <w:tcW w:w="2817" w:type="dxa"/>
          </w:tcPr>
          <w:p w:rsidR="00392A3F" w:rsidRPr="00561137" w:rsidRDefault="00392A3F" w:rsidP="00561137">
            <w:pPr>
              <w:jc w:val="center"/>
              <w:rPr>
                <w:rFonts w:ascii="Palatino Linotype" w:eastAsia="Palatino Linotype" w:hAnsi="Palatino Linotype" w:cs="Palatino Linotype"/>
                <w:b/>
                <w:i/>
                <w:color w:val="000000"/>
                <w:lang w:eastAsia="es-ES"/>
              </w:rPr>
            </w:pPr>
            <w:r w:rsidRPr="00561137">
              <w:rPr>
                <w:rFonts w:ascii="Palatino Linotype" w:eastAsia="Palatino Linotype" w:hAnsi="Palatino Linotype" w:cs="Palatino Linotype"/>
                <w:b/>
                <w:i/>
                <w:color w:val="000000"/>
                <w:lang w:eastAsia="es-ES"/>
              </w:rPr>
              <w:t>Manifestaciones</w:t>
            </w:r>
          </w:p>
        </w:tc>
        <w:tc>
          <w:tcPr>
            <w:tcW w:w="1860" w:type="dxa"/>
          </w:tcPr>
          <w:p w:rsidR="00392A3F" w:rsidRPr="00561137" w:rsidRDefault="00392A3F" w:rsidP="00561137">
            <w:pPr>
              <w:jc w:val="center"/>
              <w:rPr>
                <w:rFonts w:ascii="Palatino Linotype" w:eastAsia="Palatino Linotype" w:hAnsi="Palatino Linotype" w:cs="Palatino Linotype"/>
                <w:b/>
                <w:i/>
                <w:color w:val="000000"/>
                <w:lang w:eastAsia="es-ES"/>
              </w:rPr>
            </w:pPr>
            <w:r w:rsidRPr="00561137">
              <w:rPr>
                <w:rFonts w:ascii="Palatino Linotype" w:eastAsia="Palatino Linotype" w:hAnsi="Palatino Linotype" w:cs="Palatino Linotype"/>
                <w:b/>
                <w:i/>
                <w:color w:val="000000"/>
                <w:lang w:eastAsia="es-ES"/>
              </w:rPr>
              <w:t>Colma</w:t>
            </w:r>
          </w:p>
        </w:tc>
      </w:tr>
      <w:tr w:rsidR="00392A3F" w:rsidRPr="00561137" w:rsidTr="003F587A">
        <w:trPr>
          <w:jc w:val="center"/>
        </w:trPr>
        <w:tc>
          <w:tcPr>
            <w:tcW w:w="2122" w:type="dxa"/>
          </w:tcPr>
          <w:p w:rsidR="00392A3F" w:rsidRPr="00561137" w:rsidRDefault="003F587A" w:rsidP="003F587A">
            <w:pPr>
              <w:jc w:val="both"/>
              <w:rPr>
                <w:rFonts w:ascii="Palatino Linotype" w:eastAsia="Palatino Linotype" w:hAnsi="Palatino Linotype" w:cs="Palatino Linotype"/>
                <w:i/>
                <w:color w:val="000000"/>
                <w:lang w:eastAsia="es-ES"/>
              </w:rPr>
            </w:pPr>
            <w:r w:rsidRPr="00561137">
              <w:rPr>
                <w:rFonts w:ascii="Palatino Linotype" w:eastAsia="Palatino Linotype" w:hAnsi="Palatino Linotype" w:cs="Palatino Linotype"/>
                <w:i/>
                <w:color w:val="000000"/>
                <w:lang w:val="es-MX" w:eastAsia="es-ES"/>
              </w:rPr>
              <w:t> La nómina correspondiente al periodo del 1 de enero al 31 de marzo de 2026</w:t>
            </w:r>
          </w:p>
        </w:tc>
        <w:tc>
          <w:tcPr>
            <w:tcW w:w="3402" w:type="dxa"/>
          </w:tcPr>
          <w:p w:rsidR="00392A3F" w:rsidRPr="00561137" w:rsidRDefault="003F587A" w:rsidP="003F587A">
            <w:pPr>
              <w:jc w:val="both"/>
              <w:rPr>
                <w:rFonts w:ascii="Palatino Linotype" w:eastAsia="Palatino Linotype" w:hAnsi="Palatino Linotype" w:cs="Palatino Linotype"/>
                <w:bCs/>
                <w:i/>
                <w:iCs/>
                <w:color w:val="000000"/>
                <w:lang w:val="es-MX" w:eastAsia="es-ES"/>
              </w:rPr>
            </w:pPr>
            <w:r w:rsidRPr="00561137">
              <w:rPr>
                <w:rFonts w:ascii="Palatino Linotype" w:eastAsia="Palatino Linotype" w:hAnsi="Palatino Linotype" w:cs="Palatino Linotype"/>
                <w:b/>
                <w:bCs/>
                <w:i/>
                <w:iCs/>
                <w:color w:val="000000"/>
                <w:lang w:val="es-MX" w:eastAsia="es-ES"/>
              </w:rPr>
              <w:t xml:space="preserve">NOMINA PRIMER TRIMESTRE 2026.pdf: </w:t>
            </w:r>
            <w:r w:rsidRPr="00561137">
              <w:rPr>
                <w:rFonts w:ascii="Palatino Linotype" w:eastAsia="Palatino Linotype" w:hAnsi="Palatino Linotype" w:cs="Palatino Linotype"/>
                <w:bCs/>
                <w:i/>
                <w:iCs/>
                <w:color w:val="000000"/>
                <w:lang w:val="es-MX" w:eastAsia="es-ES"/>
              </w:rPr>
              <w:t xml:space="preserve">documento que contiene la nómina general del uno de enero al treinta y uno de marzo de dos mil veintiséis, documento del cual se advierte que dejaron visible el dato de pensiones alimenticias y de créditos personales. </w:t>
            </w:r>
          </w:p>
        </w:tc>
        <w:tc>
          <w:tcPr>
            <w:tcW w:w="2817" w:type="dxa"/>
          </w:tcPr>
          <w:p w:rsidR="00392A3F" w:rsidRPr="00561137" w:rsidRDefault="003F587A" w:rsidP="003F587A">
            <w:pPr>
              <w:jc w:val="both"/>
              <w:rPr>
                <w:rFonts w:ascii="Palatino Linotype" w:eastAsia="Palatino Linotype" w:hAnsi="Palatino Linotype" w:cs="Palatino Linotype"/>
                <w:i/>
                <w:color w:val="000000"/>
                <w:lang w:eastAsia="es-ES"/>
              </w:rPr>
            </w:pPr>
            <w:r w:rsidRPr="00561137">
              <w:rPr>
                <w:rFonts w:ascii="Palatino Linotype" w:eastAsia="Palatino Linotype" w:hAnsi="Palatino Linotype" w:cs="Palatino Linotype"/>
                <w:i/>
                <w:color w:val="000000"/>
                <w:lang w:eastAsia="es-ES"/>
              </w:rPr>
              <w:t>No se presenta información</w:t>
            </w:r>
          </w:p>
        </w:tc>
        <w:tc>
          <w:tcPr>
            <w:tcW w:w="1860" w:type="dxa"/>
          </w:tcPr>
          <w:p w:rsidR="00392A3F" w:rsidRPr="00561137" w:rsidRDefault="003F587A" w:rsidP="00ED0587">
            <w:pPr>
              <w:jc w:val="both"/>
              <w:rPr>
                <w:rFonts w:ascii="Palatino Linotype" w:eastAsia="Palatino Linotype" w:hAnsi="Palatino Linotype" w:cs="Palatino Linotype"/>
                <w:i/>
                <w:color w:val="000000"/>
                <w:lang w:eastAsia="es-ES"/>
              </w:rPr>
            </w:pPr>
            <w:r w:rsidRPr="00561137">
              <w:rPr>
                <w:rFonts w:ascii="Palatino Linotype" w:eastAsia="Palatino Linotype" w:hAnsi="Palatino Linotype" w:cs="Palatino Linotype"/>
                <w:i/>
                <w:color w:val="000000"/>
                <w:lang w:eastAsia="es-ES"/>
              </w:rPr>
              <w:t xml:space="preserve">Colma, toda vez que el </w:t>
            </w:r>
            <w:r w:rsidRPr="00561137">
              <w:rPr>
                <w:rFonts w:ascii="Palatino Linotype" w:eastAsia="Palatino Linotype" w:hAnsi="Palatino Linotype" w:cs="Palatino Linotype"/>
                <w:b/>
                <w:i/>
                <w:color w:val="000000"/>
                <w:lang w:eastAsia="es-ES"/>
              </w:rPr>
              <w:t xml:space="preserve">RECURRENTE </w:t>
            </w:r>
            <w:r w:rsidRPr="00561137">
              <w:rPr>
                <w:rFonts w:ascii="Palatino Linotype" w:eastAsia="Palatino Linotype" w:hAnsi="Palatino Linotype" w:cs="Palatino Linotype"/>
                <w:i/>
                <w:color w:val="000000"/>
                <w:lang w:eastAsia="es-ES"/>
              </w:rPr>
              <w:t>no se inconforma por el documento entregado en cuanto a la conciliación de nómina</w:t>
            </w:r>
            <w:r w:rsidR="00ED0587" w:rsidRPr="00561137">
              <w:rPr>
                <w:rFonts w:ascii="Palatino Linotype" w:eastAsia="Palatino Linotype" w:hAnsi="Palatino Linotype" w:cs="Palatino Linotype"/>
                <w:i/>
                <w:color w:val="000000"/>
                <w:lang w:eastAsia="es-ES"/>
              </w:rPr>
              <w:t xml:space="preserve">, si no a los datos de pensión alimenticia y créditos que se </w:t>
            </w:r>
            <w:r w:rsidR="00ED0587" w:rsidRPr="00561137">
              <w:rPr>
                <w:rFonts w:ascii="Palatino Linotype" w:eastAsia="Palatino Linotype" w:hAnsi="Palatino Linotype" w:cs="Palatino Linotype"/>
                <w:i/>
                <w:color w:val="000000"/>
                <w:lang w:eastAsia="es-ES"/>
              </w:rPr>
              <w:lastRenderedPageBreak/>
              <w:t xml:space="preserve">dejaron a la vista. </w:t>
            </w:r>
          </w:p>
        </w:tc>
      </w:tr>
    </w:tbl>
    <w:p w:rsidR="00392A3F" w:rsidRPr="00561137" w:rsidRDefault="00392A3F" w:rsidP="00392A3F">
      <w:pPr>
        <w:rPr>
          <w:rFonts w:ascii="Palatino Linotype" w:eastAsia="Palatino Linotype" w:hAnsi="Palatino Linotype" w:cs="Palatino Linotype"/>
          <w:color w:val="000000"/>
          <w:lang w:val="es-ES_tradnl" w:eastAsia="es-ES"/>
        </w:rPr>
      </w:pPr>
    </w:p>
    <w:p w:rsidR="00254AB3" w:rsidRPr="00561137" w:rsidRDefault="00254AB3" w:rsidP="00254AB3">
      <w:pPr>
        <w:numPr>
          <w:ilvl w:val="0"/>
          <w:numId w:val="1"/>
        </w:numPr>
        <w:spacing w:line="360" w:lineRule="auto"/>
        <w:ind w:left="0" w:right="255" w:firstLine="0"/>
        <w:jc w:val="both"/>
        <w:rPr>
          <w:rFonts w:ascii="Palatino Linotype" w:eastAsia="Palatino Linotype" w:hAnsi="Palatino Linotype" w:cs="Palatino Linotype"/>
          <w:color w:val="000000"/>
          <w:lang w:val="es-ES_tradnl" w:eastAsia="es-ES"/>
        </w:rPr>
      </w:pPr>
      <w:r w:rsidRPr="00561137">
        <w:rPr>
          <w:rFonts w:ascii="Palatino Linotype" w:eastAsia="Palatino Linotype" w:hAnsi="Palatino Linotype" w:cs="Palatino Linotype"/>
          <w:color w:val="000000"/>
          <w:lang w:val="es-ES_tradnl" w:eastAsia="es-ES"/>
        </w:rPr>
        <w:t xml:space="preserve">De lo anterior, se debe de establecer que el documento entregado por el </w:t>
      </w:r>
      <w:r w:rsidRPr="00561137">
        <w:rPr>
          <w:rFonts w:ascii="Palatino Linotype" w:eastAsia="Palatino Linotype" w:hAnsi="Palatino Linotype" w:cs="Palatino Linotype"/>
          <w:b/>
          <w:color w:val="000000"/>
          <w:lang w:val="es-ES_tradnl" w:eastAsia="es-ES"/>
        </w:rPr>
        <w:t xml:space="preserve">SUJETO OBLIGADO </w:t>
      </w:r>
      <w:r w:rsidRPr="00561137">
        <w:rPr>
          <w:rFonts w:ascii="Palatino Linotype" w:eastAsia="Palatino Linotype" w:hAnsi="Palatino Linotype" w:cs="Palatino Linotype"/>
          <w:color w:val="000000"/>
          <w:lang w:val="es-ES_tradnl" w:eastAsia="es-ES"/>
        </w:rPr>
        <w:t xml:space="preserve">no fue refutado por el </w:t>
      </w:r>
      <w:r w:rsidRPr="00561137">
        <w:rPr>
          <w:rFonts w:ascii="Palatino Linotype" w:eastAsia="Palatino Linotype" w:hAnsi="Palatino Linotype" w:cs="Palatino Linotype"/>
          <w:b/>
          <w:color w:val="000000"/>
          <w:lang w:val="es-ES_tradnl" w:eastAsia="es-ES"/>
        </w:rPr>
        <w:t xml:space="preserve">RECURRENTE </w:t>
      </w:r>
      <w:r w:rsidRPr="00561137">
        <w:rPr>
          <w:rFonts w:ascii="Palatino Linotype" w:eastAsia="Palatino Linotype" w:hAnsi="Palatino Linotype" w:cs="Palatino Linotype"/>
          <w:color w:val="000000"/>
          <w:lang w:val="es-ES_tradnl" w:eastAsia="es-ES"/>
        </w:rPr>
        <w:t xml:space="preserve">en cuanto a que no fuera el documento solicitado, por lo que, se debe de establecer que la inconformidad del </w:t>
      </w:r>
      <w:r w:rsidRPr="00561137">
        <w:rPr>
          <w:rFonts w:ascii="Palatino Linotype" w:eastAsia="Palatino Linotype" w:hAnsi="Palatino Linotype" w:cs="Palatino Linotype"/>
          <w:b/>
          <w:color w:val="000000"/>
          <w:lang w:val="es-ES_tradnl" w:eastAsia="es-ES"/>
        </w:rPr>
        <w:t xml:space="preserve">SUJETO OBLIGADO </w:t>
      </w:r>
      <w:r w:rsidRPr="00561137">
        <w:rPr>
          <w:rFonts w:ascii="Palatino Linotype" w:eastAsia="Palatino Linotype" w:hAnsi="Palatino Linotype" w:cs="Palatino Linotype"/>
          <w:color w:val="000000"/>
          <w:lang w:val="es-ES_tradnl" w:eastAsia="es-ES"/>
        </w:rPr>
        <w:t xml:space="preserve">versa en la versión pública que se debió de haber entregado por parte del </w:t>
      </w:r>
      <w:r w:rsidRPr="00561137">
        <w:rPr>
          <w:rFonts w:ascii="Palatino Linotype" w:eastAsia="Palatino Linotype" w:hAnsi="Palatino Linotype" w:cs="Palatino Linotype"/>
          <w:b/>
          <w:color w:val="000000"/>
          <w:lang w:val="es-ES_tradnl" w:eastAsia="es-ES"/>
        </w:rPr>
        <w:t xml:space="preserve">SUJETO OBLIGADO. </w:t>
      </w:r>
    </w:p>
    <w:p w:rsidR="00254AB3" w:rsidRPr="00561137" w:rsidRDefault="00254AB3" w:rsidP="00254AB3">
      <w:pPr>
        <w:spacing w:line="360" w:lineRule="auto"/>
        <w:ind w:right="255"/>
        <w:jc w:val="both"/>
        <w:rPr>
          <w:rFonts w:ascii="Palatino Linotype" w:eastAsia="Palatino Linotype" w:hAnsi="Palatino Linotype" w:cs="Palatino Linotype"/>
          <w:color w:val="000000"/>
          <w:lang w:val="es-ES_tradnl" w:eastAsia="es-ES"/>
        </w:rPr>
      </w:pPr>
    </w:p>
    <w:p w:rsidR="00C16A2C" w:rsidRPr="00561137" w:rsidRDefault="00C16A2C" w:rsidP="00C16A2C">
      <w:pPr>
        <w:numPr>
          <w:ilvl w:val="0"/>
          <w:numId w:val="1"/>
        </w:numPr>
        <w:spacing w:line="360" w:lineRule="auto"/>
        <w:ind w:left="0" w:right="255" w:firstLine="0"/>
        <w:jc w:val="both"/>
        <w:rPr>
          <w:rFonts w:ascii="Palatino Linotype" w:eastAsia="Palatino Linotype" w:hAnsi="Palatino Linotype" w:cs="Palatino Linotype"/>
          <w:color w:val="000000"/>
          <w:lang w:val="es-ES_tradnl" w:eastAsia="es-ES"/>
        </w:rPr>
      </w:pPr>
      <w:r w:rsidRPr="00561137">
        <w:rPr>
          <w:rFonts w:ascii="Palatino Linotype" w:eastAsia="Palatino Linotype" w:hAnsi="Palatino Linotype" w:cs="Palatino Linotype"/>
          <w:color w:val="000000"/>
          <w:lang w:val="es-ES_tradnl" w:eastAsia="es-ES"/>
        </w:rPr>
        <w:t xml:space="preserve">En esa línea, se deben de señalar las razones por las cuales se debieron de clasificar dichos rubros entregados por el </w:t>
      </w:r>
      <w:r w:rsidRPr="00561137">
        <w:rPr>
          <w:rFonts w:ascii="Palatino Linotype" w:eastAsia="Palatino Linotype" w:hAnsi="Palatino Linotype" w:cs="Palatino Linotype"/>
          <w:b/>
          <w:color w:val="000000"/>
          <w:lang w:val="es-ES_tradnl" w:eastAsia="es-ES"/>
        </w:rPr>
        <w:t xml:space="preserve">SUJETO OBLIGADO. </w:t>
      </w:r>
    </w:p>
    <w:p w:rsidR="00C16A2C" w:rsidRPr="00561137" w:rsidRDefault="00C16A2C" w:rsidP="00C16A2C">
      <w:pPr>
        <w:pStyle w:val="Prrafodelista"/>
        <w:rPr>
          <w:rFonts w:ascii="Palatino Linotype" w:eastAsia="Palatino Linotype" w:hAnsi="Palatino Linotype" w:cs="Palatino Linotype"/>
          <w:color w:val="000000"/>
          <w:lang w:val="es-ES_tradnl" w:eastAsia="es-ES"/>
        </w:rPr>
      </w:pPr>
    </w:p>
    <w:p w:rsidR="00C34793" w:rsidRPr="00561137" w:rsidRDefault="00C34793" w:rsidP="00C34793">
      <w:pPr>
        <w:numPr>
          <w:ilvl w:val="0"/>
          <w:numId w:val="1"/>
        </w:numPr>
        <w:spacing w:line="360" w:lineRule="auto"/>
        <w:ind w:left="0" w:right="255" w:firstLine="0"/>
        <w:jc w:val="both"/>
        <w:rPr>
          <w:rFonts w:ascii="Palatino Linotype" w:eastAsia="Palatino Linotype" w:hAnsi="Palatino Linotype" w:cs="Palatino Linotype"/>
        </w:rPr>
      </w:pPr>
      <w:r w:rsidRPr="00561137">
        <w:rPr>
          <w:rFonts w:ascii="Palatino Linotype" w:eastAsia="Palatino Linotype" w:hAnsi="Palatino Linotype" w:cs="Palatino Linotype"/>
        </w:rPr>
        <w:t xml:space="preserve">Respecto </w:t>
      </w:r>
      <w:r w:rsidRPr="00561137">
        <w:rPr>
          <w:rFonts w:ascii="Palatino Linotype" w:eastAsia="Palatino Linotype" w:hAnsi="Palatino Linotype" w:cs="Palatino Linotype"/>
          <w:color w:val="000000"/>
        </w:rPr>
        <w:t>de</w:t>
      </w:r>
      <w:r w:rsidRPr="00561137">
        <w:rPr>
          <w:rFonts w:ascii="Palatino Linotype" w:eastAsia="Palatino Linotype" w:hAnsi="Palatino Linotype" w:cs="Palatino Linotype"/>
        </w:rPr>
        <w:t xml:space="preserve"> los préstamos o descuentos de carácter personal, estos no deben tener relación con la prestación del servicio; es decir, son confidenciales los préstamos o descuentos que se le hagan a la persona en los que no se involucren instituciones públicas, en virtud de no favorecer en la transparencia y rendición de cuentas, sino, por el contrario, con ello se violentaba la protección de información confidencial, porque incide en la intimidad de un individuo identificado.</w:t>
      </w:r>
    </w:p>
    <w:p w:rsidR="00C34793" w:rsidRPr="00561137" w:rsidRDefault="00C34793" w:rsidP="00C34793">
      <w:pPr>
        <w:tabs>
          <w:tab w:val="left" w:pos="284"/>
        </w:tabs>
        <w:spacing w:line="360" w:lineRule="auto"/>
        <w:jc w:val="both"/>
        <w:rPr>
          <w:rFonts w:ascii="Palatino Linotype" w:eastAsia="Palatino Linotype" w:hAnsi="Palatino Linotype" w:cs="Palatino Linotype"/>
        </w:rPr>
      </w:pPr>
    </w:p>
    <w:p w:rsidR="00C34793" w:rsidRPr="00561137" w:rsidRDefault="00C34793" w:rsidP="00C34793">
      <w:pPr>
        <w:numPr>
          <w:ilvl w:val="0"/>
          <w:numId w:val="1"/>
        </w:numPr>
        <w:spacing w:line="360" w:lineRule="auto"/>
        <w:ind w:left="0" w:right="255" w:firstLine="0"/>
        <w:jc w:val="both"/>
        <w:rPr>
          <w:rFonts w:ascii="Palatino Linotype" w:eastAsia="Palatino Linotype" w:hAnsi="Palatino Linotype" w:cs="Palatino Linotype"/>
        </w:rPr>
      </w:pPr>
      <w:r w:rsidRPr="00561137">
        <w:rPr>
          <w:rFonts w:ascii="Palatino Linotype" w:eastAsia="Palatino Linotype" w:hAnsi="Palatino Linotype" w:cs="Palatino Linotype"/>
        </w:rPr>
        <w:t xml:space="preserve">Por su </w:t>
      </w:r>
      <w:r w:rsidRPr="00561137">
        <w:rPr>
          <w:rFonts w:ascii="Palatino Linotype" w:eastAsia="Palatino Linotype" w:hAnsi="Palatino Linotype" w:cs="Palatino Linotype"/>
          <w:color w:val="000000"/>
        </w:rPr>
        <w:t>parte</w:t>
      </w:r>
      <w:r w:rsidRPr="00561137">
        <w:rPr>
          <w:rFonts w:ascii="Palatino Linotype" w:eastAsia="Palatino Linotype" w:hAnsi="Palatino Linotype" w:cs="Palatino Linotype"/>
        </w:rPr>
        <w:t>, el artículo 84 de la Ley del Trabajo de los Servidores Públicos del Estado y Municipios, señala:</w:t>
      </w:r>
    </w:p>
    <w:p w:rsidR="00C34793" w:rsidRPr="00561137" w:rsidRDefault="00C34793" w:rsidP="00C34793">
      <w:pPr>
        <w:ind w:left="1134" w:right="1843"/>
        <w:jc w:val="both"/>
        <w:rPr>
          <w:rFonts w:ascii="Palatino Linotype" w:eastAsia="Palatino Linotype" w:hAnsi="Palatino Linotype" w:cs="Palatino Linotype"/>
        </w:rPr>
      </w:pPr>
      <w:r w:rsidRPr="00561137">
        <w:rPr>
          <w:rFonts w:ascii="Palatino Linotype" w:eastAsia="Palatino Linotype" w:hAnsi="Palatino Linotype" w:cs="Palatino Linotype"/>
          <w:i/>
        </w:rPr>
        <w:t>“</w:t>
      </w:r>
      <w:r w:rsidRPr="00561137">
        <w:rPr>
          <w:rFonts w:ascii="Palatino Linotype" w:eastAsia="Palatino Linotype" w:hAnsi="Palatino Linotype" w:cs="Palatino Linotype"/>
          <w:b/>
          <w:i/>
        </w:rPr>
        <w:t>ARTICULO 84. Sólo podrán hacerse retenciones, descuentos o deducciones al sueldo de los servidores públicos por concepto de:</w:t>
      </w:r>
    </w:p>
    <w:p w:rsidR="00C34793" w:rsidRPr="00561137" w:rsidRDefault="00C34793" w:rsidP="00C34793">
      <w:pPr>
        <w:ind w:left="1134" w:right="1843"/>
        <w:jc w:val="both"/>
        <w:rPr>
          <w:rFonts w:ascii="Palatino Linotype" w:eastAsia="Palatino Linotype" w:hAnsi="Palatino Linotype" w:cs="Palatino Linotype"/>
        </w:rPr>
      </w:pPr>
      <w:r w:rsidRPr="00561137">
        <w:rPr>
          <w:rFonts w:ascii="Palatino Linotype" w:eastAsia="Palatino Linotype" w:hAnsi="Palatino Linotype" w:cs="Palatino Linotype"/>
          <w:i/>
        </w:rPr>
        <w:t>I. Gravámenes fiscales relacionados con el sueldo;</w:t>
      </w:r>
    </w:p>
    <w:p w:rsidR="00C34793" w:rsidRPr="00561137" w:rsidRDefault="00C34793" w:rsidP="00C34793">
      <w:pPr>
        <w:ind w:left="1134" w:right="1843"/>
        <w:jc w:val="both"/>
        <w:rPr>
          <w:rFonts w:ascii="Palatino Linotype" w:eastAsia="Palatino Linotype" w:hAnsi="Palatino Linotype" w:cs="Palatino Linotype"/>
        </w:rPr>
      </w:pPr>
      <w:r w:rsidRPr="00561137">
        <w:rPr>
          <w:rFonts w:ascii="Palatino Linotype" w:eastAsia="Palatino Linotype" w:hAnsi="Palatino Linotype" w:cs="Palatino Linotype"/>
          <w:b/>
          <w:i/>
        </w:rPr>
        <w:lastRenderedPageBreak/>
        <w:t>II. Deudas contraídas con las instituciones públicas o dependencias</w:t>
      </w:r>
      <w:r w:rsidRPr="00561137">
        <w:rPr>
          <w:rFonts w:ascii="Palatino Linotype" w:eastAsia="Palatino Linotype" w:hAnsi="Palatino Linotype" w:cs="Palatino Linotype"/>
          <w:i/>
        </w:rPr>
        <w:t xml:space="preserve"> por concepto de anticipos de sueldo, pagos hechos con exceso, errores o pérdidas debidamente comprobados;</w:t>
      </w:r>
    </w:p>
    <w:p w:rsidR="00C34793" w:rsidRPr="00561137" w:rsidRDefault="00C34793" w:rsidP="00C34793">
      <w:pPr>
        <w:ind w:left="1134" w:right="1843"/>
        <w:jc w:val="both"/>
        <w:rPr>
          <w:rFonts w:ascii="Palatino Linotype" w:eastAsia="Palatino Linotype" w:hAnsi="Palatino Linotype" w:cs="Palatino Linotype"/>
        </w:rPr>
      </w:pPr>
      <w:r w:rsidRPr="00561137">
        <w:rPr>
          <w:rFonts w:ascii="Palatino Linotype" w:eastAsia="Palatino Linotype" w:hAnsi="Palatino Linotype" w:cs="Palatino Linotype"/>
          <w:b/>
          <w:i/>
        </w:rPr>
        <w:t>III. Cuotas sindicales</w:t>
      </w:r>
      <w:r w:rsidRPr="00561137">
        <w:rPr>
          <w:rFonts w:ascii="Palatino Linotype" w:eastAsia="Palatino Linotype" w:hAnsi="Palatino Linotype" w:cs="Palatino Linotype"/>
          <w:i/>
        </w:rPr>
        <w:t>;</w:t>
      </w:r>
    </w:p>
    <w:p w:rsidR="00C34793" w:rsidRPr="00561137" w:rsidRDefault="00C34793" w:rsidP="00C34793">
      <w:pPr>
        <w:ind w:left="1134" w:right="1843"/>
        <w:jc w:val="both"/>
        <w:rPr>
          <w:rFonts w:ascii="Palatino Linotype" w:eastAsia="Palatino Linotype" w:hAnsi="Palatino Linotype" w:cs="Palatino Linotype"/>
        </w:rPr>
      </w:pPr>
      <w:r w:rsidRPr="00561137">
        <w:rPr>
          <w:rFonts w:ascii="Palatino Linotype" w:eastAsia="Palatino Linotype" w:hAnsi="Palatino Linotype" w:cs="Palatino Linotype"/>
          <w:i/>
        </w:rPr>
        <w:t>IV. Cuotas de aportación a fondos para la constitución de cooperativas y de cajas de ahorro, siempre que el servidor público hubiese manifestado previamente, de manera expresa, su conformidad;</w:t>
      </w:r>
    </w:p>
    <w:p w:rsidR="00C34793" w:rsidRPr="00561137" w:rsidRDefault="00C34793" w:rsidP="00C34793">
      <w:pPr>
        <w:ind w:left="1134" w:right="1843"/>
        <w:jc w:val="both"/>
        <w:rPr>
          <w:rFonts w:ascii="Palatino Linotype" w:eastAsia="Palatino Linotype" w:hAnsi="Palatino Linotype" w:cs="Palatino Linotype"/>
        </w:rPr>
      </w:pPr>
      <w:r w:rsidRPr="00561137">
        <w:rPr>
          <w:rFonts w:ascii="Palatino Linotype" w:eastAsia="Palatino Linotype" w:hAnsi="Palatino Linotype" w:cs="Palatino Linotype"/>
          <w:i/>
        </w:rPr>
        <w:t>V. Descuentos ordenados por el Instituto de Seguridad Social del Estado de México y Municipios, con motivo de cuotas y obligaciones contraídas con éste por los servidores públicos;</w:t>
      </w:r>
    </w:p>
    <w:p w:rsidR="00C34793" w:rsidRPr="00561137" w:rsidRDefault="00C34793" w:rsidP="00C34793">
      <w:pPr>
        <w:ind w:left="1134" w:right="1843"/>
        <w:jc w:val="both"/>
        <w:rPr>
          <w:rFonts w:ascii="Palatino Linotype" w:eastAsia="Palatino Linotype" w:hAnsi="Palatino Linotype" w:cs="Palatino Linotype"/>
        </w:rPr>
      </w:pPr>
      <w:r w:rsidRPr="00561137">
        <w:rPr>
          <w:rFonts w:ascii="Palatino Linotype" w:eastAsia="Palatino Linotype" w:hAnsi="Palatino Linotype" w:cs="Palatino Linotype"/>
          <w:b/>
          <w:i/>
        </w:rPr>
        <w:t>VI. Obligaciones a cargo del servidor público con las que haya consentido</w:t>
      </w:r>
      <w:r w:rsidRPr="00561137">
        <w:rPr>
          <w:rFonts w:ascii="Palatino Linotype" w:eastAsia="Palatino Linotype" w:hAnsi="Palatino Linotype" w:cs="Palatino Linotype"/>
          <w:i/>
        </w:rPr>
        <w:t>, derivadas de la adquisición o del uso de habitaciones consideradas como de interés social;</w:t>
      </w:r>
    </w:p>
    <w:p w:rsidR="00C34793" w:rsidRPr="00561137" w:rsidRDefault="00C34793" w:rsidP="00C34793">
      <w:pPr>
        <w:ind w:left="1134" w:right="1843"/>
        <w:jc w:val="both"/>
        <w:rPr>
          <w:rFonts w:ascii="Palatino Linotype" w:eastAsia="Palatino Linotype" w:hAnsi="Palatino Linotype" w:cs="Palatino Linotype"/>
        </w:rPr>
      </w:pPr>
      <w:r w:rsidRPr="00561137">
        <w:rPr>
          <w:rFonts w:ascii="Palatino Linotype" w:eastAsia="Palatino Linotype" w:hAnsi="Palatino Linotype" w:cs="Palatino Linotype"/>
          <w:i/>
        </w:rPr>
        <w:t>VII. Faltas de puntualidad o de asistencia injustificadas;</w:t>
      </w:r>
    </w:p>
    <w:p w:rsidR="00C34793" w:rsidRPr="00561137" w:rsidRDefault="00C34793" w:rsidP="00C34793">
      <w:pPr>
        <w:ind w:left="1134" w:right="1843"/>
        <w:jc w:val="both"/>
        <w:rPr>
          <w:rFonts w:ascii="Palatino Linotype" w:eastAsia="Palatino Linotype" w:hAnsi="Palatino Linotype" w:cs="Palatino Linotype"/>
        </w:rPr>
      </w:pPr>
      <w:r w:rsidRPr="00561137">
        <w:rPr>
          <w:rFonts w:ascii="Palatino Linotype" w:eastAsia="Palatino Linotype" w:hAnsi="Palatino Linotype" w:cs="Palatino Linotype"/>
          <w:b/>
          <w:i/>
        </w:rPr>
        <w:t>VIII. Pensiones alimenticias ordenadas por la autoridad judicial;</w:t>
      </w:r>
      <w:r w:rsidRPr="00561137">
        <w:rPr>
          <w:rFonts w:ascii="Palatino Linotype" w:eastAsia="Palatino Linotype" w:hAnsi="Palatino Linotype" w:cs="Palatino Linotype"/>
          <w:i/>
        </w:rPr>
        <w:t xml:space="preserve"> o</w:t>
      </w:r>
    </w:p>
    <w:p w:rsidR="00C34793" w:rsidRPr="00561137" w:rsidRDefault="00C34793" w:rsidP="00C34793">
      <w:pPr>
        <w:ind w:left="1134" w:right="1843"/>
        <w:jc w:val="both"/>
        <w:rPr>
          <w:rFonts w:ascii="Palatino Linotype" w:eastAsia="Palatino Linotype" w:hAnsi="Palatino Linotype" w:cs="Palatino Linotype"/>
        </w:rPr>
      </w:pPr>
      <w:r w:rsidRPr="00561137">
        <w:rPr>
          <w:rFonts w:ascii="Palatino Linotype" w:eastAsia="Palatino Linotype" w:hAnsi="Palatino Linotype" w:cs="Palatino Linotype"/>
          <w:b/>
          <w:i/>
        </w:rPr>
        <w:t>IX. Cualquier otro convenido con instituciones de servicios y aceptado por el servidor público.</w:t>
      </w:r>
    </w:p>
    <w:p w:rsidR="00C34793" w:rsidRPr="00561137" w:rsidRDefault="00C34793" w:rsidP="00C34793">
      <w:pPr>
        <w:ind w:left="1134" w:right="1843"/>
        <w:jc w:val="both"/>
        <w:rPr>
          <w:rFonts w:ascii="Palatino Linotype" w:eastAsia="Palatino Linotype" w:hAnsi="Palatino Linotype" w:cs="Palatino Linotype"/>
        </w:rPr>
      </w:pPr>
      <w:r w:rsidRPr="00561137">
        <w:rPr>
          <w:rFonts w:ascii="Palatino Linotype" w:eastAsia="Palatino Linotype" w:hAnsi="Palatino Linotype" w:cs="Palatino Linotype"/>
          <w:i/>
        </w:rPr>
        <w:t>El monto total de las retenciones, descuentos o deducciones no podrá exceder del 30% de la remuneración total, excepto en los casos a que se refieren las fracciones IV, V y VI de este artículo, en que podrán ser de hasta el 50%, salvo en los casos en que se demuestre que el crédito se concedió con base en los ingresos familiares para hacer posible el derecho constitucional a una vivienda digna, o se refieran a lo establecido en la fracción VIII de este artículo, en que se ajustará a lo determinado por la autoridad judicial.” </w:t>
      </w:r>
    </w:p>
    <w:p w:rsidR="00C34793" w:rsidRPr="00561137" w:rsidRDefault="00C34793" w:rsidP="00C34793">
      <w:pPr>
        <w:ind w:left="1134" w:right="1843"/>
        <w:jc w:val="both"/>
        <w:rPr>
          <w:rFonts w:ascii="Palatino Linotype" w:eastAsia="Palatino Linotype" w:hAnsi="Palatino Linotype" w:cs="Palatino Linotype"/>
        </w:rPr>
      </w:pPr>
      <w:r w:rsidRPr="00561137">
        <w:rPr>
          <w:rFonts w:ascii="Palatino Linotype" w:eastAsia="Palatino Linotype" w:hAnsi="Palatino Linotype" w:cs="Palatino Linotype"/>
        </w:rPr>
        <w:t>(Énfasis añadido)</w:t>
      </w:r>
    </w:p>
    <w:p w:rsidR="00C34793" w:rsidRPr="00561137" w:rsidRDefault="00C34793" w:rsidP="00C34793">
      <w:pPr>
        <w:spacing w:line="360" w:lineRule="auto"/>
        <w:ind w:left="851" w:right="-929"/>
        <w:jc w:val="both"/>
        <w:rPr>
          <w:rFonts w:ascii="Palatino Linotype" w:eastAsia="Palatino Linotype" w:hAnsi="Palatino Linotype" w:cs="Palatino Linotype"/>
        </w:rPr>
      </w:pPr>
    </w:p>
    <w:p w:rsidR="00C34793" w:rsidRPr="00561137" w:rsidRDefault="00C34793" w:rsidP="00C34793">
      <w:pPr>
        <w:numPr>
          <w:ilvl w:val="0"/>
          <w:numId w:val="1"/>
        </w:numPr>
        <w:spacing w:line="360" w:lineRule="auto"/>
        <w:ind w:left="0" w:right="255" w:firstLine="0"/>
        <w:jc w:val="both"/>
        <w:rPr>
          <w:rFonts w:ascii="Palatino Linotype" w:eastAsia="Palatino Linotype" w:hAnsi="Palatino Linotype" w:cs="Palatino Linotype"/>
        </w:rPr>
      </w:pPr>
      <w:r w:rsidRPr="00561137">
        <w:rPr>
          <w:rFonts w:ascii="Palatino Linotype" w:hAnsi="Palatino Linotype"/>
          <w:lang w:val="es-ES"/>
        </w:rPr>
        <w:t>Derivado</w:t>
      </w:r>
      <w:r w:rsidRPr="00561137">
        <w:rPr>
          <w:rFonts w:ascii="Palatino Linotype" w:eastAsia="Palatino Linotype" w:hAnsi="Palatino Linotype" w:cs="Palatino Linotype"/>
        </w:rPr>
        <w:t xml:space="preserve"> de lo anterior, la ley establece claramente cuáles son esos descuentos o gravámenes que directamente se relacionan con las obligaciones adquiridas como servidores </w:t>
      </w:r>
      <w:r w:rsidRPr="00561137">
        <w:rPr>
          <w:rFonts w:ascii="Palatino Linotype" w:eastAsia="Palatino Linotype" w:hAnsi="Palatino Linotype" w:cs="Palatino Linotype"/>
          <w:color w:val="000000"/>
          <w:lang w:val="es-ES_tradnl" w:eastAsia="es-ES"/>
        </w:rPr>
        <w:t>públicos</w:t>
      </w:r>
      <w:r w:rsidRPr="00561137">
        <w:rPr>
          <w:rFonts w:ascii="Palatino Linotype" w:eastAsia="Palatino Linotype" w:hAnsi="Palatino Linotype" w:cs="Palatino Linotype"/>
        </w:rPr>
        <w:t xml:space="preserve"> y aquéllos que </w:t>
      </w:r>
      <w:r w:rsidRPr="00561137">
        <w:rPr>
          <w:rFonts w:ascii="Palatino Linotype" w:eastAsia="Palatino Linotype" w:hAnsi="Palatino Linotype" w:cs="Palatino Linotype"/>
          <w:b/>
          <w:u w:val="single"/>
        </w:rPr>
        <w:t>únicamente inciden en su vida privada</w:t>
      </w:r>
      <w:r w:rsidRPr="00561137">
        <w:rPr>
          <w:rFonts w:ascii="Palatino Linotype" w:eastAsia="Palatino Linotype" w:hAnsi="Palatino Linotype" w:cs="Palatino Linotype"/>
        </w:rPr>
        <w:t xml:space="preserve">. De este modo, </w:t>
      </w:r>
      <w:r w:rsidRPr="00561137">
        <w:rPr>
          <w:rFonts w:ascii="Palatino Linotype" w:eastAsia="Palatino Linotype" w:hAnsi="Palatino Linotype" w:cs="Palatino Linotype"/>
          <w:color w:val="000000"/>
        </w:rPr>
        <w:t>descuentos</w:t>
      </w:r>
      <w:r w:rsidRPr="00561137">
        <w:rPr>
          <w:rFonts w:ascii="Palatino Linotype" w:eastAsia="Palatino Linotype" w:hAnsi="Palatino Linotype" w:cs="Palatino Linotype"/>
        </w:rPr>
        <w:t xml:space="preserve"> por </w:t>
      </w:r>
      <w:r w:rsidRPr="00561137">
        <w:rPr>
          <w:rFonts w:ascii="Palatino Linotype" w:eastAsia="Palatino Linotype" w:hAnsi="Palatino Linotype" w:cs="Palatino Linotype"/>
        </w:rPr>
        <w:lastRenderedPageBreak/>
        <w:t>pensiones alimenticias o créditos adquiridos con instituciones privadas o públicas pero que fueron contraídas en forma individual, son información que debe clasificarse como confidencial.</w:t>
      </w:r>
    </w:p>
    <w:p w:rsidR="00C34793" w:rsidRPr="00561137" w:rsidRDefault="00C34793" w:rsidP="00C34793">
      <w:pPr>
        <w:tabs>
          <w:tab w:val="left" w:pos="284"/>
        </w:tabs>
        <w:spacing w:line="360" w:lineRule="auto"/>
        <w:jc w:val="both"/>
        <w:rPr>
          <w:rFonts w:ascii="Palatino Linotype" w:eastAsia="Palatino Linotype" w:hAnsi="Palatino Linotype" w:cs="Palatino Linotype"/>
        </w:rPr>
      </w:pPr>
    </w:p>
    <w:p w:rsidR="00024395" w:rsidRPr="00561137" w:rsidRDefault="00C34793" w:rsidP="004E24CE">
      <w:pPr>
        <w:numPr>
          <w:ilvl w:val="0"/>
          <w:numId w:val="1"/>
        </w:numPr>
        <w:spacing w:line="360" w:lineRule="auto"/>
        <w:ind w:left="0" w:right="255" w:firstLine="0"/>
        <w:jc w:val="both"/>
        <w:rPr>
          <w:rFonts w:ascii="Palatino Linotype" w:eastAsia="Palatino Linotype" w:hAnsi="Palatino Linotype" w:cs="Palatino Linotype"/>
          <w:color w:val="000000"/>
          <w:lang w:val="es-ES_tradnl" w:eastAsia="es-ES"/>
        </w:rPr>
      </w:pPr>
      <w:r w:rsidRPr="00561137">
        <w:rPr>
          <w:rFonts w:ascii="Palatino Linotype" w:eastAsia="Palatino Linotype" w:hAnsi="Palatino Linotype" w:cs="Palatino Linotype"/>
        </w:rPr>
        <w:t xml:space="preserve"> Con base en lo expuesto, se insiste que los datos proporcionados por el </w:t>
      </w:r>
      <w:r w:rsidRPr="00561137">
        <w:rPr>
          <w:rFonts w:ascii="Palatino Linotype" w:eastAsia="Palatino Linotype" w:hAnsi="Palatino Linotype" w:cs="Palatino Linotype"/>
          <w:b/>
        </w:rPr>
        <w:t xml:space="preserve">SUJETO OBLIGADO </w:t>
      </w:r>
      <w:r w:rsidRPr="00561137">
        <w:rPr>
          <w:rFonts w:ascii="Palatino Linotype" w:eastAsia="Palatino Linotype" w:hAnsi="Palatino Linotype" w:cs="Palatino Linotype"/>
        </w:rPr>
        <w:t xml:space="preserve">debieron de ser clasificados como confidenciales de conformidad con el artículo 143 fracción I de la Ley de Transparencia y Acceso a la Información Pública del Estado de México y Municipios. </w:t>
      </w:r>
    </w:p>
    <w:p w:rsidR="00C34793" w:rsidRPr="00561137" w:rsidRDefault="00C34793" w:rsidP="00C34793">
      <w:pPr>
        <w:pStyle w:val="Prrafodelista"/>
        <w:rPr>
          <w:rFonts w:ascii="Palatino Linotype" w:eastAsia="Palatino Linotype" w:hAnsi="Palatino Linotype" w:cs="Palatino Linotype"/>
          <w:color w:val="000000"/>
          <w:lang w:val="es-ES_tradnl" w:eastAsia="es-ES"/>
        </w:rPr>
      </w:pPr>
    </w:p>
    <w:p w:rsidR="00C34793" w:rsidRPr="00561137" w:rsidRDefault="00C34793" w:rsidP="004E24CE">
      <w:pPr>
        <w:numPr>
          <w:ilvl w:val="0"/>
          <w:numId w:val="1"/>
        </w:numPr>
        <w:spacing w:line="360" w:lineRule="auto"/>
        <w:ind w:left="0" w:right="255" w:firstLine="0"/>
        <w:jc w:val="both"/>
        <w:rPr>
          <w:rFonts w:ascii="Palatino Linotype" w:eastAsia="Palatino Linotype" w:hAnsi="Palatino Linotype" w:cs="Palatino Linotype"/>
          <w:color w:val="000000"/>
          <w:lang w:val="es-ES_tradnl" w:eastAsia="es-ES"/>
        </w:rPr>
      </w:pPr>
      <w:r w:rsidRPr="00561137">
        <w:rPr>
          <w:rFonts w:ascii="Palatino Linotype" w:eastAsia="Palatino Linotype" w:hAnsi="Palatino Linotype" w:cs="Palatino Linotype"/>
          <w:color w:val="000000"/>
          <w:lang w:val="es-ES_tradnl" w:eastAsia="es-ES"/>
        </w:rPr>
        <w:t xml:space="preserve">En esa línea, se debe de analizar que al ser proporcionados los datos en respuesta por descuentos de pensiones alimenticias y préstamos de carácter personal, quedo rebasado para este Órgano Garante ordenar nuevamente la información, toda vez que el </w:t>
      </w:r>
      <w:r w:rsidRPr="00561137">
        <w:rPr>
          <w:rFonts w:ascii="Palatino Linotype" w:eastAsia="Palatino Linotype" w:hAnsi="Palatino Linotype" w:cs="Palatino Linotype"/>
          <w:b/>
          <w:color w:val="000000"/>
          <w:lang w:val="es-ES_tradnl" w:eastAsia="es-ES"/>
        </w:rPr>
        <w:t xml:space="preserve">RECURRENTE </w:t>
      </w:r>
      <w:r w:rsidRPr="00561137">
        <w:rPr>
          <w:rFonts w:ascii="Palatino Linotype" w:eastAsia="Palatino Linotype" w:hAnsi="Palatino Linotype" w:cs="Palatino Linotype"/>
          <w:color w:val="000000"/>
          <w:lang w:val="es-ES_tradnl" w:eastAsia="es-ES"/>
        </w:rPr>
        <w:t>ya tuvo a la vista la información.</w:t>
      </w:r>
    </w:p>
    <w:p w:rsidR="00C34793" w:rsidRPr="00561137" w:rsidRDefault="00C34793" w:rsidP="00C34793">
      <w:pPr>
        <w:pStyle w:val="Prrafodelista"/>
        <w:rPr>
          <w:rFonts w:ascii="Palatino Linotype" w:eastAsia="Palatino Linotype" w:hAnsi="Palatino Linotype" w:cs="Palatino Linotype"/>
          <w:color w:val="000000"/>
          <w:lang w:val="es-ES_tradnl" w:eastAsia="es-ES"/>
        </w:rPr>
      </w:pPr>
    </w:p>
    <w:p w:rsidR="0020570E" w:rsidRPr="00561137" w:rsidRDefault="004E24CE" w:rsidP="00392A3F">
      <w:pPr>
        <w:numPr>
          <w:ilvl w:val="0"/>
          <w:numId w:val="1"/>
        </w:numPr>
        <w:spacing w:line="360" w:lineRule="auto"/>
        <w:ind w:left="0" w:right="255" w:firstLine="0"/>
        <w:jc w:val="both"/>
        <w:rPr>
          <w:rFonts w:ascii="Palatino Linotype" w:eastAsia="Palatino Linotype" w:hAnsi="Palatino Linotype" w:cs="Palatino Linotype"/>
          <w:color w:val="000000"/>
          <w:lang w:val="es-ES_tradnl" w:eastAsia="es-ES"/>
        </w:rPr>
      </w:pPr>
      <w:r w:rsidRPr="00561137">
        <w:rPr>
          <w:rFonts w:ascii="Palatino Linotype" w:eastAsia="Palatino Linotype" w:hAnsi="Palatino Linotype" w:cs="Palatino Linotype"/>
          <w:color w:val="000000"/>
          <w:lang w:val="es-ES_tradnl" w:eastAsia="es-ES"/>
        </w:rPr>
        <w:t xml:space="preserve">Seguidamente, se debe de mencionar el punto precisado en la interposición del recurso de revisión consistente en </w:t>
      </w:r>
      <w:r w:rsidRPr="00561137">
        <w:rPr>
          <w:rFonts w:ascii="Palatino Linotype" w:eastAsia="Palatino Linotype" w:hAnsi="Palatino Linotype" w:cs="Palatino Linotype"/>
          <w:b/>
          <w:i/>
          <w:color w:val="000000"/>
          <w:lang w:val="es-ES_tradnl" w:eastAsia="es-ES"/>
        </w:rPr>
        <w:t>“</w:t>
      </w:r>
      <w:r w:rsidRPr="00561137">
        <w:rPr>
          <w:rFonts w:ascii="Palatino Linotype" w:eastAsia="Palatino Linotype" w:hAnsi="Palatino Linotype" w:cs="Palatino Linotype"/>
          <w:b/>
          <w:i/>
          <w:color w:val="000000"/>
          <w:lang w:eastAsia="es-ES"/>
        </w:rPr>
        <w:t xml:space="preserve">así como su correspondencia con: tabuladores autorizados, presupuesto aprobado, registros contables, CFDI de nómina, pólizas presupuestales y contables, y demás documentación financiera y administrativa aplicable. Asimismo, solicito que, en caso de advertirse inconsistencias, alteraciones, simulaciones administrativas o irregularidades en la integración de la nómina y remuneraciones reportadas, se dé vista al Órgano Interno de Control y demás autoridades competentes para el inicio de las investigaciones y procedimientos correspondientes.”, </w:t>
      </w:r>
      <w:r w:rsidR="00903C0A" w:rsidRPr="00561137">
        <w:rPr>
          <w:rFonts w:ascii="Palatino Linotype" w:eastAsia="Palatino Linotype" w:hAnsi="Palatino Linotype" w:cs="Palatino Linotype"/>
          <w:color w:val="000000"/>
          <w:lang w:eastAsia="es-ES"/>
        </w:rPr>
        <w:t xml:space="preserve">se debe de tomar como una ampliación a la solicitud de información, </w:t>
      </w:r>
      <w:r w:rsidR="0020570E" w:rsidRPr="00561137">
        <w:rPr>
          <w:rFonts w:ascii="Palatino Linotype" w:eastAsia="Palatino Linotype" w:hAnsi="Palatino Linotype" w:cs="Palatino Linotype"/>
          <w:color w:val="000000"/>
          <w:lang w:eastAsia="es-ES"/>
        </w:rPr>
        <w:t xml:space="preserve">toda vez que de manera inicial el </w:t>
      </w:r>
      <w:r w:rsidR="0020570E" w:rsidRPr="00561137">
        <w:rPr>
          <w:rFonts w:ascii="Palatino Linotype" w:eastAsia="Palatino Linotype" w:hAnsi="Palatino Linotype" w:cs="Palatino Linotype"/>
          <w:b/>
          <w:color w:val="000000"/>
          <w:lang w:eastAsia="es-ES"/>
        </w:rPr>
        <w:t xml:space="preserve">RECURRENTE </w:t>
      </w:r>
      <w:r w:rsidR="0020570E" w:rsidRPr="00561137">
        <w:rPr>
          <w:rFonts w:ascii="Palatino Linotype" w:eastAsia="Palatino Linotype" w:hAnsi="Palatino Linotype" w:cs="Palatino Linotype"/>
          <w:color w:val="000000"/>
          <w:lang w:eastAsia="es-ES"/>
        </w:rPr>
        <w:t xml:space="preserve">no solicito que se </w:t>
      </w:r>
      <w:r w:rsidR="0020570E" w:rsidRPr="00561137">
        <w:rPr>
          <w:rFonts w:ascii="Palatino Linotype" w:eastAsia="Palatino Linotype" w:hAnsi="Palatino Linotype" w:cs="Palatino Linotype"/>
          <w:color w:val="000000"/>
          <w:lang w:eastAsia="es-ES"/>
        </w:rPr>
        <w:lastRenderedPageBreak/>
        <w:t xml:space="preserve">hiciera la entrega de la nómina relacionada con tabuladores y presupuestos aprobados, por lo que, no es procedente analizar este punto de la interposición del </w:t>
      </w:r>
      <w:r w:rsidR="0020570E" w:rsidRPr="00561137">
        <w:rPr>
          <w:rFonts w:ascii="Palatino Linotype" w:eastAsia="Palatino Linotype" w:hAnsi="Palatino Linotype" w:cs="Palatino Linotype"/>
          <w:b/>
          <w:color w:val="000000"/>
          <w:lang w:eastAsia="es-ES"/>
        </w:rPr>
        <w:t xml:space="preserve">RECURSO DE REVISIÓN. </w:t>
      </w:r>
    </w:p>
    <w:p w:rsidR="0020570E" w:rsidRPr="00561137" w:rsidRDefault="0020570E" w:rsidP="0020570E">
      <w:pPr>
        <w:pStyle w:val="Prrafodelista"/>
        <w:rPr>
          <w:rFonts w:ascii="Palatino Linotype" w:eastAsia="Palatino Linotype" w:hAnsi="Palatino Linotype" w:cs="Palatino Linotype"/>
          <w:color w:val="000000"/>
          <w:lang w:eastAsia="es-ES"/>
        </w:rPr>
      </w:pPr>
    </w:p>
    <w:p w:rsidR="004E24CE" w:rsidRPr="00561137" w:rsidRDefault="0020570E" w:rsidP="00392A3F">
      <w:pPr>
        <w:numPr>
          <w:ilvl w:val="0"/>
          <w:numId w:val="1"/>
        </w:numPr>
        <w:spacing w:line="360" w:lineRule="auto"/>
        <w:ind w:left="0" w:right="255" w:firstLine="0"/>
        <w:jc w:val="both"/>
        <w:rPr>
          <w:rFonts w:ascii="Palatino Linotype" w:eastAsia="Palatino Linotype" w:hAnsi="Palatino Linotype" w:cs="Palatino Linotype"/>
          <w:color w:val="000000"/>
          <w:lang w:val="es-ES_tradnl" w:eastAsia="es-ES"/>
        </w:rPr>
      </w:pPr>
      <w:r w:rsidRPr="00561137">
        <w:rPr>
          <w:rFonts w:ascii="Palatino Linotype" w:eastAsia="Palatino Linotype" w:hAnsi="Palatino Linotype" w:cs="Palatino Linotype"/>
          <w:color w:val="000000"/>
          <w:lang w:eastAsia="es-ES"/>
        </w:rPr>
        <w:t xml:space="preserve">Ahora bien, se debe de analizar que este Órgano Garante no tiene la facultad de dar vista a los Órganos Internos de Control para iniciar procedimientos e investigaciones en relación con la información entregada, por lo que se hace del conocimiento del </w:t>
      </w:r>
      <w:r w:rsidRPr="00561137">
        <w:rPr>
          <w:rFonts w:ascii="Palatino Linotype" w:eastAsia="Palatino Linotype" w:hAnsi="Palatino Linotype" w:cs="Palatino Linotype"/>
          <w:b/>
          <w:color w:val="000000"/>
          <w:lang w:eastAsia="es-ES"/>
        </w:rPr>
        <w:t xml:space="preserve">RECURRENTE </w:t>
      </w:r>
      <w:r w:rsidRPr="00561137">
        <w:rPr>
          <w:rFonts w:ascii="Palatino Linotype" w:eastAsia="Palatino Linotype" w:hAnsi="Palatino Linotype" w:cs="Palatino Linotype"/>
          <w:color w:val="000000"/>
          <w:lang w:eastAsia="es-ES"/>
        </w:rPr>
        <w:t xml:space="preserve">que este Instituto tiene la facultad de dar vista a los Órganos Internos de Control cuando los sujetos obligados son omisos en atender las solicitudes información. </w:t>
      </w:r>
    </w:p>
    <w:p w:rsidR="00392A3F" w:rsidRPr="00561137" w:rsidRDefault="00392A3F" w:rsidP="00392A3F">
      <w:pPr>
        <w:spacing w:line="360" w:lineRule="auto"/>
        <w:ind w:right="255"/>
        <w:jc w:val="both"/>
        <w:rPr>
          <w:rFonts w:ascii="Palatino Linotype" w:eastAsia="Palatino Linotype" w:hAnsi="Palatino Linotype" w:cs="Palatino Linotype"/>
          <w:color w:val="000000"/>
          <w:lang w:val="es-ES_tradnl" w:eastAsia="es-ES"/>
        </w:rPr>
      </w:pPr>
    </w:p>
    <w:p w:rsidR="00392A3F" w:rsidRPr="00561137" w:rsidRDefault="00392A3F" w:rsidP="00392A3F">
      <w:pPr>
        <w:numPr>
          <w:ilvl w:val="0"/>
          <w:numId w:val="1"/>
        </w:numPr>
        <w:spacing w:line="360" w:lineRule="auto"/>
        <w:ind w:left="0" w:right="255" w:firstLine="0"/>
        <w:jc w:val="both"/>
        <w:rPr>
          <w:rFonts w:ascii="Palatino Linotype" w:eastAsia="Palatino Linotype" w:hAnsi="Palatino Linotype" w:cs="Palatino Linotype"/>
          <w:color w:val="000000"/>
          <w:lang w:val="es-ES_tradnl" w:eastAsia="es-ES"/>
        </w:rPr>
      </w:pPr>
      <w:r w:rsidRPr="00561137">
        <w:rPr>
          <w:rFonts w:ascii="Palatino Linotype" w:eastAsia="Palatino Linotype" w:hAnsi="Palatino Linotype" w:cs="Palatino Linotype"/>
          <w:color w:val="000000"/>
          <w:lang w:val="es-ES_tradnl" w:eastAsia="es-ES"/>
        </w:rPr>
        <w:t xml:space="preserve">De lo expuesto en párrafos anteriores, se debe de establecer que el </w:t>
      </w:r>
      <w:r w:rsidRPr="00561137">
        <w:rPr>
          <w:rFonts w:ascii="Palatino Linotype" w:eastAsia="Palatino Linotype" w:hAnsi="Palatino Linotype" w:cs="Palatino Linotype"/>
          <w:b/>
          <w:color w:val="000000"/>
          <w:lang w:val="es-ES_tradnl" w:eastAsia="es-ES"/>
        </w:rPr>
        <w:t xml:space="preserve">SUJETO OBLIGADO </w:t>
      </w:r>
      <w:r w:rsidR="0020570E" w:rsidRPr="00561137">
        <w:rPr>
          <w:rFonts w:ascii="Palatino Linotype" w:eastAsia="Palatino Linotype" w:hAnsi="Palatino Linotype" w:cs="Palatino Linotype"/>
          <w:color w:val="000000"/>
          <w:lang w:val="es-ES_tradnl" w:eastAsia="es-ES"/>
        </w:rPr>
        <w:t>entrego la información relacionada con la nómina general</w:t>
      </w:r>
      <w:r w:rsidRPr="00561137">
        <w:rPr>
          <w:rFonts w:ascii="Palatino Linotype" w:eastAsia="Palatino Linotype" w:hAnsi="Palatino Linotype" w:cs="Palatino Linotype"/>
          <w:b/>
          <w:color w:val="000000"/>
          <w:lang w:val="es-ES_tradnl" w:eastAsia="es-ES"/>
        </w:rPr>
        <w:t xml:space="preserve">, </w:t>
      </w:r>
      <w:r w:rsidRPr="00561137">
        <w:rPr>
          <w:rFonts w:ascii="Palatino Linotype" w:eastAsia="Palatino Linotype" w:hAnsi="Palatino Linotype" w:cs="Palatino Linotype"/>
          <w:color w:val="000000"/>
          <w:lang w:val="es-ES_tradnl" w:eastAsia="es-ES"/>
        </w:rPr>
        <w:t xml:space="preserve">sin embargo no se puede confirmar la respuesta toda vez que dejo a la vista la información </w:t>
      </w:r>
      <w:r w:rsidR="0020570E" w:rsidRPr="00561137">
        <w:rPr>
          <w:rFonts w:ascii="Palatino Linotype" w:eastAsia="Palatino Linotype" w:hAnsi="Palatino Linotype" w:cs="Palatino Linotype"/>
          <w:color w:val="000000"/>
          <w:lang w:val="es-ES_tradnl" w:eastAsia="es-ES"/>
        </w:rPr>
        <w:t xml:space="preserve">datos </w:t>
      </w:r>
      <w:r w:rsidR="0020570E" w:rsidRPr="00561137">
        <w:rPr>
          <w:rFonts w:ascii="Palatino Linotype" w:eastAsia="Palatino Linotype" w:hAnsi="Palatino Linotype" w:cs="Palatino Linotype"/>
          <w:b/>
          <w:color w:val="000000"/>
          <w:lang w:val="es-ES_tradnl" w:eastAsia="es-ES"/>
        </w:rPr>
        <w:t>de pensión alimenticia y préstamos bancarios personales</w:t>
      </w:r>
      <w:r w:rsidRPr="00561137">
        <w:rPr>
          <w:rFonts w:ascii="Palatino Linotype" w:eastAsia="Palatino Linotype" w:hAnsi="Palatino Linotype" w:cs="Palatino Linotype"/>
          <w:b/>
          <w:color w:val="000000"/>
          <w:lang w:val="es-ES_tradnl" w:eastAsia="es-ES"/>
        </w:rPr>
        <w:t xml:space="preserve">, </w:t>
      </w:r>
      <w:r w:rsidRPr="00561137">
        <w:rPr>
          <w:rFonts w:ascii="Palatino Linotype" w:eastAsia="Palatino Linotype" w:hAnsi="Palatino Linotype" w:cs="Palatino Linotype"/>
          <w:color w:val="000000"/>
          <w:lang w:val="es-ES_tradnl" w:eastAsia="es-ES"/>
        </w:rPr>
        <w:t>dato</w:t>
      </w:r>
      <w:r w:rsidR="0020570E" w:rsidRPr="00561137">
        <w:rPr>
          <w:rFonts w:ascii="Palatino Linotype" w:eastAsia="Palatino Linotype" w:hAnsi="Palatino Linotype" w:cs="Palatino Linotype"/>
          <w:color w:val="000000"/>
          <w:lang w:val="es-ES_tradnl" w:eastAsia="es-ES"/>
        </w:rPr>
        <w:t>s que debieron</w:t>
      </w:r>
      <w:r w:rsidRPr="00561137">
        <w:rPr>
          <w:rFonts w:ascii="Palatino Linotype" w:eastAsia="Palatino Linotype" w:hAnsi="Palatino Linotype" w:cs="Palatino Linotype"/>
          <w:color w:val="000000"/>
          <w:lang w:val="es-ES_tradnl" w:eastAsia="es-ES"/>
        </w:rPr>
        <w:t xml:space="preserve"> de ser clasificado de conformidad con el artículo 143 fracción I de la Ley de Transparencia y Acceso a la Información Pública del Estado de México y Municipios, no es una causal para interponer el recurso de revisión. </w:t>
      </w:r>
    </w:p>
    <w:p w:rsidR="00392A3F" w:rsidRPr="00561137" w:rsidRDefault="00392A3F" w:rsidP="0020570E">
      <w:pPr>
        <w:rPr>
          <w:rFonts w:ascii="Palatino Linotype" w:hAnsi="Palatino Linotype"/>
          <w:color w:val="000000"/>
        </w:rPr>
      </w:pPr>
    </w:p>
    <w:p w:rsidR="00392A3F" w:rsidRPr="00561137" w:rsidRDefault="00392A3F" w:rsidP="00392A3F">
      <w:pPr>
        <w:numPr>
          <w:ilvl w:val="0"/>
          <w:numId w:val="1"/>
        </w:numPr>
        <w:spacing w:line="360" w:lineRule="auto"/>
        <w:ind w:left="0" w:right="255" w:firstLine="0"/>
        <w:jc w:val="both"/>
        <w:rPr>
          <w:rFonts w:ascii="Palatino Linotype" w:eastAsia="Palatino Linotype" w:hAnsi="Palatino Linotype" w:cs="Palatino Linotype"/>
          <w:b/>
          <w:i/>
        </w:rPr>
      </w:pPr>
      <w:r w:rsidRPr="00561137">
        <w:rPr>
          <w:rFonts w:ascii="Palatino Linotype" w:hAnsi="Palatino Linotype"/>
          <w:color w:val="000000"/>
        </w:rPr>
        <w:t xml:space="preserve">En ese sentido, si bien </w:t>
      </w:r>
      <w:r w:rsidRPr="00561137">
        <w:rPr>
          <w:rFonts w:ascii="Palatino Linotype" w:hAnsi="Palatino Linotype"/>
        </w:rPr>
        <w:t xml:space="preserve">el recurso revisión tiene como finalidad reparar cualquier posible </w:t>
      </w:r>
      <w:r w:rsidRPr="00561137">
        <w:rPr>
          <w:rFonts w:ascii="Palatino Linotype" w:eastAsia="Palatino Linotype" w:hAnsi="Palatino Linotype" w:cs="Palatino Linotype"/>
        </w:rPr>
        <w:t>afectación</w:t>
      </w:r>
      <w:r w:rsidRPr="00561137">
        <w:rPr>
          <w:rFonts w:ascii="Palatino Linotype" w:hAnsi="Palatino Linotype"/>
        </w:rPr>
        <w:t xml:space="preserve"> al derecho de acceso a la información pública en términos del Título Octavo de la Ley de Transparencia, Acceso a la Información Pública del Estado de México y Municipios, y </w:t>
      </w:r>
      <w:r w:rsidRPr="00561137">
        <w:rPr>
          <w:rFonts w:ascii="Palatino Linotype" w:eastAsia="Calibri" w:hAnsi="Palatino Linotype" w:cs="Arial"/>
        </w:rPr>
        <w:t>determinar</w:t>
      </w:r>
      <w:r w:rsidRPr="00561137">
        <w:rPr>
          <w:rFonts w:ascii="Palatino Linotype" w:hAnsi="Palatino Linotype"/>
        </w:rPr>
        <w:t xml:space="preserve"> la confirmación; revocación o modificación; desechamiento o sobreseimiento; y, en su caso, ordenar la entrega de la información respecto a la respuesta emitida por el </w:t>
      </w:r>
      <w:r w:rsidRPr="00561137">
        <w:rPr>
          <w:rFonts w:ascii="Palatino Linotype" w:hAnsi="Palatino Linotype"/>
          <w:b/>
          <w:bCs/>
        </w:rPr>
        <w:t>SUJETO OBLIGADO,</w:t>
      </w:r>
      <w:r w:rsidRPr="00561137">
        <w:rPr>
          <w:rFonts w:ascii="Palatino Linotype" w:hAnsi="Palatino Linotype"/>
        </w:rPr>
        <w:t xml:space="preserve"> lo cierto, es que este Órgano Garante advierte que se actualiza la causal de </w:t>
      </w:r>
      <w:r w:rsidRPr="00561137">
        <w:rPr>
          <w:rFonts w:ascii="Palatino Linotype" w:hAnsi="Palatino Linotype"/>
        </w:rPr>
        <w:lastRenderedPageBreak/>
        <w:t xml:space="preserve">sobreseimiento prevista en la fracción V del artículo 192 de la Ley de Transparencia y Acceso a la Información Pública del Estado de México y Municipios, como se expone a continuación: </w:t>
      </w:r>
    </w:p>
    <w:p w:rsidR="00392A3F" w:rsidRPr="00561137" w:rsidRDefault="00392A3F" w:rsidP="00392A3F">
      <w:pPr>
        <w:pStyle w:val="Prrafodelista"/>
        <w:ind w:left="1134" w:right="1106"/>
        <w:rPr>
          <w:rFonts w:ascii="Palatino Linotype" w:hAnsi="Palatino Linotype"/>
        </w:rPr>
      </w:pPr>
    </w:p>
    <w:p w:rsidR="00392A3F" w:rsidRPr="00561137" w:rsidRDefault="00392A3F" w:rsidP="00392A3F">
      <w:pPr>
        <w:ind w:left="1134" w:right="1106"/>
        <w:contextualSpacing/>
        <w:jc w:val="both"/>
        <w:rPr>
          <w:rFonts w:ascii="Palatino Linotype" w:hAnsi="Palatino Linotype"/>
          <w:i/>
          <w:iCs/>
        </w:rPr>
      </w:pPr>
      <w:r w:rsidRPr="00561137">
        <w:rPr>
          <w:rFonts w:ascii="Palatino Linotype" w:hAnsi="Palatino Linotype"/>
          <w:b/>
          <w:bCs/>
          <w:i/>
          <w:iCs/>
        </w:rPr>
        <w:t>“Artículo 192.</w:t>
      </w:r>
      <w:r w:rsidRPr="00561137">
        <w:rPr>
          <w:rFonts w:ascii="Palatino Linotype" w:hAnsi="Palatino Linotype"/>
          <w:i/>
          <w:iCs/>
        </w:rPr>
        <w:t xml:space="preserve"> El recurso será sobreseído, en todo o en parte, cuando una vez admitido, se actualicen alguno de los siguientes supuestos: </w:t>
      </w:r>
    </w:p>
    <w:p w:rsidR="00392A3F" w:rsidRPr="00561137" w:rsidRDefault="00392A3F" w:rsidP="00392A3F">
      <w:pPr>
        <w:ind w:left="1134" w:right="1106"/>
        <w:contextualSpacing/>
        <w:jc w:val="both"/>
        <w:rPr>
          <w:rFonts w:ascii="Palatino Linotype" w:hAnsi="Palatino Linotype"/>
          <w:i/>
          <w:iCs/>
        </w:rPr>
      </w:pPr>
      <w:r w:rsidRPr="00561137">
        <w:rPr>
          <w:rFonts w:ascii="Palatino Linotype" w:hAnsi="Palatino Linotype"/>
          <w:i/>
          <w:iCs/>
        </w:rPr>
        <w:t xml:space="preserve">(…) </w:t>
      </w:r>
    </w:p>
    <w:p w:rsidR="00392A3F" w:rsidRPr="00561137" w:rsidRDefault="00392A3F" w:rsidP="00392A3F">
      <w:pPr>
        <w:ind w:left="1134" w:right="1106"/>
        <w:contextualSpacing/>
        <w:jc w:val="both"/>
        <w:rPr>
          <w:rFonts w:ascii="Palatino Linotype" w:hAnsi="Palatino Linotype"/>
          <w:b/>
          <w:bCs/>
          <w:i/>
          <w:iCs/>
        </w:rPr>
      </w:pPr>
      <w:r w:rsidRPr="00561137">
        <w:rPr>
          <w:rFonts w:ascii="Palatino Linotype" w:hAnsi="Palatino Linotype"/>
          <w:b/>
          <w:bCs/>
          <w:i/>
          <w:iCs/>
        </w:rPr>
        <w:t>V. Cuando por cualquier motivo se quede sin materia.”</w:t>
      </w:r>
    </w:p>
    <w:p w:rsidR="00392A3F" w:rsidRPr="00561137" w:rsidRDefault="00392A3F" w:rsidP="00392A3F">
      <w:pPr>
        <w:keepNext/>
        <w:keepLines/>
        <w:spacing w:line="360" w:lineRule="auto"/>
        <w:ind w:right="48"/>
        <w:rPr>
          <w:rFonts w:ascii="Palatino Linotype" w:eastAsia="Palatino Linotype" w:hAnsi="Palatino Linotype" w:cs="Palatino Linotype"/>
          <w:b/>
        </w:rPr>
      </w:pPr>
    </w:p>
    <w:p w:rsidR="00392A3F" w:rsidRPr="00561137" w:rsidRDefault="00392A3F" w:rsidP="00392A3F">
      <w:pPr>
        <w:numPr>
          <w:ilvl w:val="0"/>
          <w:numId w:val="1"/>
        </w:numPr>
        <w:spacing w:line="360" w:lineRule="auto"/>
        <w:ind w:left="0" w:right="255" w:firstLine="0"/>
        <w:jc w:val="both"/>
        <w:rPr>
          <w:rFonts w:ascii="Palatino Linotype" w:eastAsia="Palatino Linotype" w:hAnsi="Palatino Linotype" w:cs="Palatino Linotype"/>
          <w:color w:val="000000"/>
        </w:rPr>
      </w:pPr>
      <w:r w:rsidRPr="00561137">
        <w:rPr>
          <w:rFonts w:ascii="Palatino Linotype" w:eastAsia="Palatino Linotype" w:hAnsi="Palatino Linotype" w:cs="Palatino Linotype"/>
          <w:color w:val="000000"/>
        </w:rPr>
        <w:t>L</w:t>
      </w:r>
      <w:r w:rsidRPr="00561137">
        <w:rPr>
          <w:rFonts w:ascii="Palatino Linotype" w:hAnsi="Palatino Linotype"/>
        </w:rPr>
        <w:t xml:space="preserve">uego de analizar las actuaciones realizadas por las partes en el expediente radicado en </w:t>
      </w:r>
      <w:r w:rsidRPr="00561137">
        <w:rPr>
          <w:rFonts w:ascii="Palatino Linotype" w:eastAsia="Palatino Linotype" w:hAnsi="Palatino Linotype" w:cs="Palatino Linotype"/>
        </w:rPr>
        <w:t>el</w:t>
      </w:r>
      <w:r w:rsidRPr="00561137">
        <w:rPr>
          <w:rFonts w:ascii="Palatino Linotype" w:hAnsi="Palatino Linotype"/>
        </w:rPr>
        <w:t xml:space="preserve"> Sistema de Acceso a la Información Mexiquense </w:t>
      </w:r>
      <w:r w:rsidRPr="00561137">
        <w:rPr>
          <w:rFonts w:ascii="Palatino Linotype" w:hAnsi="Palatino Linotype"/>
          <w:b/>
          <w:bCs/>
        </w:rPr>
        <w:t>(SAIMEX),</w:t>
      </w:r>
      <w:r w:rsidRPr="00561137">
        <w:rPr>
          <w:rFonts w:ascii="Palatino Linotype" w:hAnsi="Palatino Linotype"/>
        </w:rPr>
        <w:t xml:space="preserve"> bajo el número </w:t>
      </w:r>
      <w:r w:rsidR="00A5346A" w:rsidRPr="00561137">
        <w:rPr>
          <w:rFonts w:ascii="Palatino Linotype" w:hAnsi="Palatino Linotype"/>
          <w:b/>
          <w:bCs/>
          <w:noProof/>
        </w:rPr>
        <w:t>05603/INFOEM/IP/RR/2026</w:t>
      </w:r>
      <w:r w:rsidRPr="00561137">
        <w:rPr>
          <w:rFonts w:ascii="Palatino Linotype" w:hAnsi="Palatino Linotype"/>
          <w:b/>
          <w:bCs/>
          <w:noProof/>
        </w:rPr>
        <w:t xml:space="preserve">, </w:t>
      </w:r>
      <w:r w:rsidRPr="00561137">
        <w:rPr>
          <w:rFonts w:ascii="Palatino Linotype" w:hAnsi="Palatino Linotype"/>
        </w:rPr>
        <w:t xml:space="preserve">con fundamento en la fracción V del artículo 192, de la Ley de Transparencia y Acceso a la Información Pública del Estado de México y Municipios, se </w:t>
      </w:r>
      <w:r w:rsidRPr="00561137">
        <w:rPr>
          <w:rFonts w:ascii="Palatino Linotype" w:hAnsi="Palatino Linotype"/>
          <w:b/>
          <w:bCs/>
        </w:rPr>
        <w:t>SOBRESEE</w:t>
      </w:r>
      <w:r w:rsidRPr="00561137">
        <w:rPr>
          <w:rFonts w:ascii="Palatino Linotype" w:hAnsi="Palatino Linotype"/>
        </w:rPr>
        <w:t xml:space="preserve"> el recurso de revisión, </w:t>
      </w:r>
      <w:r w:rsidRPr="00561137">
        <w:rPr>
          <w:rFonts w:ascii="Palatino Linotype" w:hAnsi="Palatino Linotype"/>
          <w:b/>
        </w:rPr>
        <w:t>por quedar sin materia.</w:t>
      </w:r>
    </w:p>
    <w:p w:rsidR="00392A3F" w:rsidRPr="00561137" w:rsidRDefault="00392A3F" w:rsidP="00392A3F">
      <w:pPr>
        <w:spacing w:line="360" w:lineRule="auto"/>
        <w:ind w:right="255"/>
        <w:jc w:val="both"/>
        <w:rPr>
          <w:rFonts w:ascii="Palatino Linotype" w:eastAsia="Palatino Linotype" w:hAnsi="Palatino Linotype" w:cs="Palatino Linotype"/>
        </w:rPr>
      </w:pPr>
    </w:p>
    <w:p w:rsidR="00392A3F" w:rsidRPr="00561137" w:rsidRDefault="00392A3F" w:rsidP="00392A3F">
      <w:pPr>
        <w:tabs>
          <w:tab w:val="left" w:pos="426"/>
        </w:tabs>
        <w:spacing w:before="240" w:after="240" w:line="360" w:lineRule="auto"/>
        <w:ind w:right="51"/>
        <w:contextualSpacing/>
        <w:jc w:val="both"/>
        <w:outlineLvl w:val="1"/>
        <w:rPr>
          <w:rFonts w:ascii="Palatino Linotype" w:hAnsi="Palatino Linotype"/>
          <w:b/>
          <w:bCs/>
          <w:color w:val="000000"/>
        </w:rPr>
      </w:pPr>
      <w:r w:rsidRPr="00561137">
        <w:rPr>
          <w:rFonts w:ascii="Palatino Linotype" w:hAnsi="Palatino Linotype"/>
          <w:b/>
          <w:bCs/>
          <w:color w:val="000000"/>
        </w:rPr>
        <w:t>SEXTO. Vista a la Dirección General de Protección de Datos Personales.</w:t>
      </w:r>
    </w:p>
    <w:p w:rsidR="00392A3F" w:rsidRPr="00561137" w:rsidRDefault="00392A3F" w:rsidP="00392A3F">
      <w:pPr>
        <w:numPr>
          <w:ilvl w:val="0"/>
          <w:numId w:val="1"/>
        </w:numPr>
        <w:spacing w:line="360" w:lineRule="auto"/>
        <w:ind w:left="0" w:right="255" w:firstLine="0"/>
        <w:jc w:val="both"/>
        <w:rPr>
          <w:rFonts w:ascii="Palatino Linotype" w:hAnsi="Palatino Linotype"/>
        </w:rPr>
      </w:pPr>
      <w:r w:rsidRPr="00561137">
        <w:rPr>
          <w:rFonts w:ascii="Palatino Linotype" w:eastAsia="MS Mincho" w:hAnsi="Palatino Linotype"/>
        </w:rPr>
        <w:t xml:space="preserve">Es </w:t>
      </w:r>
      <w:r w:rsidRPr="00561137">
        <w:rPr>
          <w:rFonts w:ascii="Palatino Linotype" w:hAnsi="Palatino Linotype"/>
        </w:rPr>
        <w:t xml:space="preserve">necesario resaltar que el recurso de revisión previsto en la Ley de la materia no es el medio para investigar y, en su caso, sancionar a servidores públicos por la falta de cuidado </w:t>
      </w:r>
      <w:r w:rsidRPr="00561137">
        <w:rPr>
          <w:rFonts w:ascii="Palatino Linotype" w:eastAsia="Palatino Linotype" w:hAnsi="Palatino Linotype" w:cs="Palatino Linotype"/>
        </w:rPr>
        <w:t>de</w:t>
      </w:r>
      <w:r w:rsidRPr="00561137">
        <w:rPr>
          <w:rFonts w:ascii="Palatino Linotype" w:hAnsi="Palatino Linotype"/>
        </w:rPr>
        <w:t xml:space="preserve"> la protección de datos personales; es así que, de la información remitida en respuesta a la solicitud, se aprecia que se dejaron a la vista datos personales susceptibles de ser clasificados como confidenciales, consistentes en las </w:t>
      </w:r>
      <w:r w:rsidR="00E150EA" w:rsidRPr="00561137">
        <w:rPr>
          <w:rFonts w:ascii="Palatino Linotype" w:hAnsi="Palatino Linotype"/>
          <w:b/>
          <w:lang w:val="es-ES_tradnl"/>
        </w:rPr>
        <w:t>de pensión alimenticia y préstamos bancarios personales</w:t>
      </w:r>
      <w:r w:rsidRPr="00561137">
        <w:rPr>
          <w:rFonts w:ascii="Palatino Linotype" w:hAnsi="Palatino Linotype"/>
        </w:rPr>
        <w:t xml:space="preserve">, por lo que es necesario dar vista al área competente para que en ejercicio de sus atribuciones realice las investigaciones pertinentes por las omisiones detectadas atribuibles al </w:t>
      </w:r>
      <w:r w:rsidRPr="00561137">
        <w:rPr>
          <w:rFonts w:ascii="Palatino Linotype" w:hAnsi="Palatino Linotype"/>
          <w:b/>
        </w:rPr>
        <w:t>SUJETO OBLIGADO</w:t>
      </w:r>
      <w:r w:rsidRPr="00561137">
        <w:rPr>
          <w:rFonts w:ascii="Palatino Linotype" w:hAnsi="Palatino Linotype"/>
        </w:rPr>
        <w:t>.</w:t>
      </w:r>
    </w:p>
    <w:p w:rsidR="00392A3F" w:rsidRPr="00561137" w:rsidRDefault="00392A3F" w:rsidP="00392A3F">
      <w:pPr>
        <w:numPr>
          <w:ilvl w:val="0"/>
          <w:numId w:val="1"/>
        </w:numPr>
        <w:spacing w:line="360" w:lineRule="auto"/>
        <w:ind w:left="0" w:right="255" w:firstLine="0"/>
        <w:jc w:val="both"/>
        <w:rPr>
          <w:rFonts w:ascii="Palatino Linotype" w:hAnsi="Palatino Linotype"/>
          <w:color w:val="000000"/>
        </w:rPr>
      </w:pPr>
      <w:r w:rsidRPr="00561137">
        <w:rPr>
          <w:rFonts w:ascii="Palatino Linotype" w:hAnsi="Palatino Linotype" w:cs="Arial"/>
        </w:rPr>
        <w:lastRenderedPageBreak/>
        <w:t xml:space="preserve">Por </w:t>
      </w:r>
      <w:r w:rsidRPr="00561137">
        <w:rPr>
          <w:rFonts w:ascii="Palatino Linotype" w:eastAsia="Palatino Linotype" w:hAnsi="Palatino Linotype" w:cs="Palatino Linotype"/>
        </w:rPr>
        <w:t>ello</w:t>
      </w:r>
      <w:r w:rsidRPr="00561137">
        <w:rPr>
          <w:rFonts w:ascii="Palatino Linotype" w:eastAsia="MS Mincho" w:hAnsi="Palatino Linotype"/>
        </w:rPr>
        <w:t>, es conveniente señalar las fracciones XIV, XXII, XXIII y XXV, del artículo 82, de la Ley de Protección de Datos Personales en Posesión de Sujetos Obligados del Estado de México y Municipios, que establece:</w:t>
      </w:r>
    </w:p>
    <w:p w:rsidR="00392A3F" w:rsidRPr="00561137" w:rsidRDefault="00392A3F" w:rsidP="00392A3F">
      <w:pPr>
        <w:tabs>
          <w:tab w:val="left" w:pos="142"/>
          <w:tab w:val="left" w:pos="284"/>
          <w:tab w:val="left" w:pos="993"/>
        </w:tabs>
        <w:spacing w:before="240" w:after="240"/>
        <w:ind w:left="1134" w:right="1389"/>
        <w:contextualSpacing/>
        <w:jc w:val="both"/>
        <w:rPr>
          <w:rFonts w:ascii="Palatino Linotype" w:hAnsi="Palatino Linotype"/>
          <w:b/>
          <w:i/>
        </w:rPr>
      </w:pPr>
      <w:r w:rsidRPr="00561137">
        <w:rPr>
          <w:rFonts w:ascii="Palatino Linotype" w:hAnsi="Palatino Linotype"/>
          <w:b/>
          <w:i/>
        </w:rPr>
        <w:t xml:space="preserve">Atribuciones del Instituto </w:t>
      </w:r>
    </w:p>
    <w:p w:rsidR="00392A3F" w:rsidRPr="00561137" w:rsidRDefault="00392A3F" w:rsidP="00392A3F">
      <w:pPr>
        <w:tabs>
          <w:tab w:val="left" w:pos="142"/>
          <w:tab w:val="left" w:pos="284"/>
          <w:tab w:val="left" w:pos="993"/>
        </w:tabs>
        <w:spacing w:before="240" w:after="240"/>
        <w:ind w:left="1134" w:right="1389"/>
        <w:contextualSpacing/>
        <w:jc w:val="both"/>
        <w:rPr>
          <w:rFonts w:ascii="Palatino Linotype" w:hAnsi="Palatino Linotype"/>
          <w:i/>
        </w:rPr>
      </w:pPr>
      <w:r w:rsidRPr="00561137">
        <w:rPr>
          <w:rFonts w:ascii="Palatino Linotype" w:hAnsi="Palatino Linotype"/>
          <w:b/>
          <w:i/>
        </w:rPr>
        <w:t>Artículo 82.</w:t>
      </w:r>
      <w:r w:rsidRPr="00561137">
        <w:rPr>
          <w:rFonts w:ascii="Palatino Linotype" w:hAnsi="Palatino Linotype"/>
          <w:i/>
        </w:rPr>
        <w:t xml:space="preserve"> El Instituto, además de las atribuciones encomendadas por la Ley de Transparencia y normatividad aplicable, tendrá las atribuciones siguientes:</w:t>
      </w:r>
    </w:p>
    <w:p w:rsidR="00392A3F" w:rsidRPr="00561137" w:rsidRDefault="00392A3F" w:rsidP="00392A3F">
      <w:pPr>
        <w:tabs>
          <w:tab w:val="left" w:pos="142"/>
          <w:tab w:val="left" w:pos="284"/>
          <w:tab w:val="left" w:pos="993"/>
        </w:tabs>
        <w:spacing w:before="240" w:after="240"/>
        <w:ind w:left="1134" w:right="1389"/>
        <w:contextualSpacing/>
        <w:jc w:val="both"/>
        <w:rPr>
          <w:rFonts w:ascii="Palatino Linotype" w:eastAsia="MS Mincho" w:hAnsi="Palatino Linotype"/>
          <w:i/>
        </w:rPr>
      </w:pPr>
      <w:r w:rsidRPr="00561137">
        <w:rPr>
          <w:rFonts w:ascii="Palatino Linotype" w:hAnsi="Palatino Linotype"/>
          <w:i/>
        </w:rPr>
        <w:t>(…)</w:t>
      </w:r>
    </w:p>
    <w:p w:rsidR="00392A3F" w:rsidRPr="00561137" w:rsidRDefault="00392A3F" w:rsidP="00392A3F">
      <w:pPr>
        <w:tabs>
          <w:tab w:val="left" w:pos="142"/>
          <w:tab w:val="left" w:pos="284"/>
          <w:tab w:val="left" w:pos="993"/>
        </w:tabs>
        <w:spacing w:before="240" w:after="240"/>
        <w:ind w:left="1134" w:right="1389"/>
        <w:contextualSpacing/>
        <w:jc w:val="both"/>
        <w:rPr>
          <w:rFonts w:ascii="Palatino Linotype" w:hAnsi="Palatino Linotype"/>
          <w:i/>
        </w:rPr>
      </w:pPr>
      <w:r w:rsidRPr="00561137">
        <w:rPr>
          <w:rFonts w:ascii="Palatino Linotype" w:hAnsi="Palatino Linotype"/>
          <w:b/>
          <w:i/>
        </w:rPr>
        <w:t>XIV.</w:t>
      </w:r>
      <w:r w:rsidRPr="00561137">
        <w:rPr>
          <w:rFonts w:ascii="Palatino Linotype" w:hAnsi="Palatino Linotype"/>
          <w:i/>
        </w:rPr>
        <w:t xml:space="preserve"> </w:t>
      </w:r>
      <w:r w:rsidRPr="00561137">
        <w:rPr>
          <w:rFonts w:ascii="Palatino Linotype" w:hAnsi="Palatino Linotype"/>
          <w:b/>
          <w:i/>
        </w:rPr>
        <w:t>Formular observaciones y recomendaciones</w:t>
      </w:r>
      <w:r w:rsidRPr="00561137">
        <w:rPr>
          <w:rFonts w:ascii="Palatino Linotype" w:hAnsi="Palatino Linotype"/>
          <w:i/>
        </w:rPr>
        <w:t xml:space="preserve"> a los sujetos obligados que incumplan esta Ley.</w:t>
      </w:r>
    </w:p>
    <w:p w:rsidR="00392A3F" w:rsidRPr="00561137" w:rsidRDefault="00392A3F" w:rsidP="00392A3F">
      <w:pPr>
        <w:tabs>
          <w:tab w:val="left" w:pos="142"/>
          <w:tab w:val="left" w:pos="284"/>
          <w:tab w:val="left" w:pos="993"/>
        </w:tabs>
        <w:spacing w:before="240" w:after="240"/>
        <w:ind w:left="1134" w:right="1389"/>
        <w:contextualSpacing/>
        <w:jc w:val="both"/>
        <w:rPr>
          <w:rFonts w:ascii="Palatino Linotype" w:hAnsi="Palatino Linotype"/>
          <w:i/>
        </w:rPr>
      </w:pPr>
      <w:r w:rsidRPr="00561137">
        <w:rPr>
          <w:rFonts w:ascii="Palatino Linotype" w:hAnsi="Palatino Linotype"/>
          <w:i/>
        </w:rPr>
        <w:t>(…)</w:t>
      </w:r>
    </w:p>
    <w:p w:rsidR="00392A3F" w:rsidRPr="00561137" w:rsidRDefault="00392A3F" w:rsidP="00392A3F">
      <w:pPr>
        <w:tabs>
          <w:tab w:val="left" w:pos="142"/>
          <w:tab w:val="left" w:pos="284"/>
          <w:tab w:val="left" w:pos="993"/>
        </w:tabs>
        <w:spacing w:before="240" w:after="240"/>
        <w:ind w:left="1134" w:right="1389"/>
        <w:contextualSpacing/>
        <w:jc w:val="both"/>
        <w:rPr>
          <w:rFonts w:ascii="Palatino Linotype" w:hAnsi="Palatino Linotype"/>
          <w:i/>
        </w:rPr>
      </w:pPr>
      <w:r w:rsidRPr="00561137">
        <w:rPr>
          <w:rFonts w:ascii="Palatino Linotype" w:hAnsi="Palatino Linotype"/>
          <w:b/>
          <w:i/>
        </w:rPr>
        <w:t>XXII.</w:t>
      </w:r>
      <w:r w:rsidRPr="00561137">
        <w:rPr>
          <w:rFonts w:ascii="Palatino Linotype" w:hAnsi="Palatino Linotype"/>
          <w:i/>
        </w:rPr>
        <w:t xml:space="preserve"> </w:t>
      </w:r>
      <w:r w:rsidRPr="00561137">
        <w:rPr>
          <w:rFonts w:ascii="Palatino Linotype" w:hAnsi="Palatino Linotype"/>
          <w:b/>
          <w:i/>
        </w:rPr>
        <w:t>Verificar el cumplimiento</w:t>
      </w:r>
      <w:r w:rsidRPr="00561137">
        <w:rPr>
          <w:rFonts w:ascii="Palatino Linotype" w:hAnsi="Palatino Linotype"/>
          <w:i/>
        </w:rPr>
        <w:t xml:space="preserve"> de las disposiciones previstas en esta Ley a través de los procedimientos de revisión que resulten compatibles con las disposiciones de esta Ley.</w:t>
      </w:r>
    </w:p>
    <w:p w:rsidR="00392A3F" w:rsidRPr="00561137" w:rsidRDefault="00392A3F" w:rsidP="00392A3F">
      <w:pPr>
        <w:tabs>
          <w:tab w:val="left" w:pos="142"/>
          <w:tab w:val="left" w:pos="284"/>
          <w:tab w:val="left" w:pos="993"/>
        </w:tabs>
        <w:spacing w:before="240" w:after="240"/>
        <w:ind w:left="1134" w:right="1389"/>
        <w:contextualSpacing/>
        <w:jc w:val="both"/>
        <w:rPr>
          <w:rFonts w:ascii="Palatino Linotype" w:hAnsi="Palatino Linotype"/>
          <w:i/>
        </w:rPr>
      </w:pPr>
      <w:r w:rsidRPr="00561137">
        <w:rPr>
          <w:rFonts w:ascii="Palatino Linotype" w:hAnsi="Palatino Linotype"/>
          <w:b/>
          <w:i/>
        </w:rPr>
        <w:t>XXIII.</w:t>
      </w:r>
      <w:r w:rsidRPr="00561137">
        <w:rPr>
          <w:rFonts w:ascii="Palatino Linotype" w:hAnsi="Palatino Linotype"/>
          <w:i/>
        </w:rPr>
        <w:t xml:space="preserve"> </w:t>
      </w:r>
      <w:r w:rsidRPr="00561137">
        <w:rPr>
          <w:rFonts w:ascii="Palatino Linotype" w:hAnsi="Palatino Linotype"/>
          <w:b/>
          <w:i/>
        </w:rPr>
        <w:t>Implementar</w:t>
      </w:r>
      <w:r w:rsidRPr="00561137">
        <w:rPr>
          <w:rFonts w:ascii="Palatino Linotype" w:hAnsi="Palatino Linotype"/>
          <w:i/>
        </w:rPr>
        <w:t xml:space="preserve"> los </w:t>
      </w:r>
      <w:r w:rsidRPr="00561137">
        <w:rPr>
          <w:rFonts w:ascii="Palatino Linotype" w:hAnsi="Palatino Linotype"/>
          <w:b/>
          <w:i/>
        </w:rPr>
        <w:t>procedimientos</w:t>
      </w:r>
      <w:r w:rsidRPr="00561137">
        <w:rPr>
          <w:rFonts w:ascii="Palatino Linotype" w:hAnsi="Palatino Linotype"/>
          <w:i/>
        </w:rPr>
        <w:t xml:space="preserve"> que resulten necesarios </w:t>
      </w:r>
      <w:r w:rsidRPr="00561137">
        <w:rPr>
          <w:rFonts w:ascii="Palatino Linotype" w:hAnsi="Palatino Linotype"/>
          <w:b/>
          <w:i/>
        </w:rPr>
        <w:t xml:space="preserve">para el cumplimiento </w:t>
      </w:r>
      <w:r w:rsidRPr="00561137">
        <w:rPr>
          <w:rFonts w:ascii="Palatino Linotype" w:hAnsi="Palatino Linotype"/>
          <w:i/>
        </w:rPr>
        <w:t>de las disposiciones de esta Ley y para asegurar la protección de datos personales de los titulares. (…)</w:t>
      </w:r>
    </w:p>
    <w:p w:rsidR="00392A3F" w:rsidRPr="00561137" w:rsidRDefault="00392A3F" w:rsidP="00392A3F">
      <w:pPr>
        <w:tabs>
          <w:tab w:val="left" w:pos="142"/>
          <w:tab w:val="left" w:pos="284"/>
          <w:tab w:val="left" w:pos="993"/>
        </w:tabs>
        <w:spacing w:before="240" w:after="240"/>
        <w:ind w:left="1134" w:right="1389"/>
        <w:contextualSpacing/>
        <w:jc w:val="both"/>
        <w:rPr>
          <w:rFonts w:ascii="Palatino Linotype" w:hAnsi="Palatino Linotype"/>
          <w:i/>
        </w:rPr>
      </w:pPr>
      <w:r w:rsidRPr="00561137">
        <w:rPr>
          <w:rFonts w:ascii="Palatino Linotype" w:hAnsi="Palatino Linotype"/>
          <w:b/>
          <w:i/>
        </w:rPr>
        <w:t>XXV.</w:t>
      </w:r>
      <w:r w:rsidRPr="00561137">
        <w:rPr>
          <w:rFonts w:ascii="Palatino Linotype" w:hAnsi="Palatino Linotype"/>
          <w:i/>
        </w:rPr>
        <w:t xml:space="preserve"> </w:t>
      </w:r>
      <w:r w:rsidRPr="00561137">
        <w:rPr>
          <w:rFonts w:ascii="Palatino Linotype" w:hAnsi="Palatino Linotype"/>
          <w:b/>
          <w:i/>
        </w:rPr>
        <w:t>Investigar</w:t>
      </w:r>
      <w:r w:rsidRPr="00561137">
        <w:rPr>
          <w:rFonts w:ascii="Palatino Linotype" w:hAnsi="Palatino Linotype"/>
          <w:i/>
        </w:rPr>
        <w:t xml:space="preserve"> las </w:t>
      </w:r>
      <w:r w:rsidRPr="00561137">
        <w:rPr>
          <w:rFonts w:ascii="Palatino Linotype" w:hAnsi="Palatino Linotype"/>
          <w:b/>
          <w:i/>
        </w:rPr>
        <w:t>posibles violaciones</w:t>
      </w:r>
      <w:r w:rsidRPr="00561137">
        <w:rPr>
          <w:rFonts w:ascii="Palatino Linotype" w:hAnsi="Palatino Linotype"/>
          <w:i/>
        </w:rPr>
        <w:t xml:space="preserve"> a la seguridad de los datos personales a fin de determinar la práctica de verificaciones.</w:t>
      </w:r>
    </w:p>
    <w:p w:rsidR="00392A3F" w:rsidRPr="00561137" w:rsidRDefault="00392A3F" w:rsidP="00392A3F">
      <w:pPr>
        <w:tabs>
          <w:tab w:val="left" w:pos="142"/>
          <w:tab w:val="left" w:pos="284"/>
          <w:tab w:val="left" w:pos="993"/>
        </w:tabs>
        <w:spacing w:before="240" w:after="240"/>
        <w:ind w:left="1134" w:right="1389"/>
        <w:contextualSpacing/>
        <w:jc w:val="both"/>
        <w:rPr>
          <w:rFonts w:ascii="Palatino Linotype" w:hAnsi="Palatino Linotype"/>
          <w:i/>
        </w:rPr>
      </w:pPr>
      <w:r w:rsidRPr="00561137">
        <w:rPr>
          <w:rFonts w:ascii="Palatino Linotype" w:hAnsi="Palatino Linotype"/>
          <w:i/>
        </w:rPr>
        <w:t>(…)”</w:t>
      </w:r>
    </w:p>
    <w:p w:rsidR="00392A3F" w:rsidRPr="00561137" w:rsidRDefault="00392A3F" w:rsidP="00392A3F">
      <w:pPr>
        <w:tabs>
          <w:tab w:val="left" w:pos="142"/>
          <w:tab w:val="left" w:pos="284"/>
          <w:tab w:val="left" w:pos="993"/>
        </w:tabs>
        <w:spacing w:before="240" w:after="240"/>
        <w:ind w:left="1134" w:right="1389"/>
        <w:contextualSpacing/>
        <w:jc w:val="both"/>
        <w:rPr>
          <w:rFonts w:ascii="Palatino Linotype" w:eastAsia="MS Gothic" w:hAnsi="Palatino Linotype"/>
        </w:rPr>
      </w:pPr>
      <w:r w:rsidRPr="00561137">
        <w:rPr>
          <w:rFonts w:ascii="Palatino Linotype" w:hAnsi="Palatino Linotype"/>
        </w:rPr>
        <w:t>(Énfasis añadido)</w:t>
      </w:r>
    </w:p>
    <w:p w:rsidR="00392A3F" w:rsidRPr="00561137" w:rsidRDefault="00392A3F" w:rsidP="00392A3F">
      <w:pPr>
        <w:tabs>
          <w:tab w:val="left" w:pos="426"/>
        </w:tabs>
        <w:spacing w:before="240" w:after="240" w:line="360" w:lineRule="auto"/>
        <w:ind w:right="51"/>
        <w:contextualSpacing/>
        <w:jc w:val="both"/>
        <w:rPr>
          <w:rFonts w:ascii="Palatino Linotype" w:hAnsi="Palatino Linotype"/>
          <w:color w:val="000000"/>
        </w:rPr>
      </w:pPr>
    </w:p>
    <w:p w:rsidR="00392A3F" w:rsidRPr="00561137" w:rsidRDefault="00392A3F" w:rsidP="00392A3F">
      <w:pPr>
        <w:numPr>
          <w:ilvl w:val="0"/>
          <w:numId w:val="1"/>
        </w:numPr>
        <w:spacing w:line="360" w:lineRule="auto"/>
        <w:ind w:left="0" w:right="255" w:firstLine="0"/>
        <w:jc w:val="both"/>
        <w:rPr>
          <w:rFonts w:ascii="Palatino Linotype" w:hAnsi="Palatino Linotype" w:cs="Arial"/>
        </w:rPr>
      </w:pPr>
      <w:r w:rsidRPr="00561137">
        <w:rPr>
          <w:rFonts w:ascii="Palatino Linotype" w:eastAsia="MS Mincho" w:hAnsi="Palatino Linotype"/>
        </w:rPr>
        <w:t xml:space="preserve">Por </w:t>
      </w:r>
      <w:r w:rsidRPr="00561137">
        <w:rPr>
          <w:rFonts w:ascii="Palatino Linotype" w:eastAsia="Calibri" w:hAnsi="Palatino Linotype" w:cs="Arial"/>
          <w:color w:val="000000"/>
        </w:rPr>
        <w:t xml:space="preserve">lo tanto, es menester dar vista a la Dirección General de Protección de Datos Personales de este Instituto para que en ejercicio de sus atribuciones atienda las directivas </w:t>
      </w:r>
      <w:r w:rsidRPr="00561137">
        <w:rPr>
          <w:rFonts w:ascii="Palatino Linotype" w:eastAsia="Palatino Linotype" w:hAnsi="Palatino Linotype" w:cs="Palatino Linotype"/>
        </w:rPr>
        <w:t>marcadas</w:t>
      </w:r>
      <w:r w:rsidRPr="00561137">
        <w:rPr>
          <w:rFonts w:ascii="Palatino Linotype" w:eastAsia="Calibri" w:hAnsi="Palatino Linotype" w:cs="Arial"/>
          <w:color w:val="000000"/>
        </w:rPr>
        <w:t xml:space="preserve"> en la propia Ley de la materia, con fundamento en el artículo 82 de la Ley de la materia, el cual señala la atribución de este Órgano Garante para </w:t>
      </w:r>
      <w:r w:rsidRPr="00561137">
        <w:rPr>
          <w:rFonts w:ascii="Palatino Linotype" w:hAnsi="Palatino Linotype"/>
        </w:rPr>
        <w:t>Investigar las posibles violaciones a la seguridad de los datos personales a fin de determinar la práctica de verificaciones.</w:t>
      </w:r>
    </w:p>
    <w:p w:rsidR="00392A3F" w:rsidRPr="00561137" w:rsidRDefault="00392A3F" w:rsidP="00392A3F">
      <w:pPr>
        <w:numPr>
          <w:ilvl w:val="0"/>
          <w:numId w:val="1"/>
        </w:numPr>
        <w:spacing w:line="360" w:lineRule="auto"/>
        <w:ind w:left="0" w:right="255" w:firstLine="0"/>
        <w:jc w:val="both"/>
        <w:rPr>
          <w:rFonts w:ascii="Palatino Linotype" w:eastAsia="MS Mincho" w:hAnsi="Palatino Linotype" w:cs="Bookman Old Style"/>
        </w:rPr>
      </w:pPr>
      <w:r w:rsidRPr="00561137">
        <w:rPr>
          <w:rFonts w:ascii="Palatino Linotype" w:eastAsia="MS Mincho" w:hAnsi="Palatino Linotype" w:cs="Bookman Old Style"/>
        </w:rPr>
        <w:lastRenderedPageBreak/>
        <w:t xml:space="preserve">Por último y no menos importante, se debe enfatizar que tal y como se mencionó en este </w:t>
      </w:r>
      <w:r w:rsidRPr="00561137">
        <w:rPr>
          <w:rFonts w:ascii="Palatino Linotype" w:eastAsia="Palatino Linotype" w:hAnsi="Palatino Linotype" w:cs="Palatino Linotype"/>
        </w:rPr>
        <w:t>considerando</w:t>
      </w:r>
      <w:r w:rsidRPr="00561137">
        <w:rPr>
          <w:rFonts w:ascii="Palatino Linotype" w:eastAsia="MS Mincho" w:hAnsi="Palatino Linotype" w:cs="Bookman Old Style"/>
        </w:rPr>
        <w:t xml:space="preserve">, el Sujeto Obligado proporcionó información que debió ser clasificada como confidencial, es decir, dejó a la vista datos personales concernientes a la vida privada de los servidores públicos. Por dicha información es menester hacer del conocimiento de la persona que solicitó la información, que ahora se encuentra sujeto a la </w:t>
      </w:r>
      <w:r w:rsidRPr="00561137">
        <w:rPr>
          <w:rFonts w:ascii="Palatino Linotype" w:eastAsia="MS Mincho" w:hAnsi="Palatino Linotype" w:cs="Bookman Old Style"/>
          <w:b/>
        </w:rPr>
        <w:t>LEY FEDERAL DE PROTECCIÓN DE DATOS PERSONALES EN POSESIÓN DE LOS PARTICULARES</w:t>
      </w:r>
      <w:r w:rsidRPr="00561137">
        <w:rPr>
          <w:rFonts w:ascii="Palatino Linotype" w:eastAsia="MS Mincho" w:hAnsi="Palatino Linotype" w:cs="Bookman Old Style"/>
        </w:rPr>
        <w:t xml:space="preserve"> que señala puntualmente en su artículo 1 lo siguiente:</w:t>
      </w:r>
    </w:p>
    <w:p w:rsidR="00392A3F" w:rsidRPr="00561137" w:rsidRDefault="00392A3F" w:rsidP="00392A3F">
      <w:pPr>
        <w:ind w:left="1134" w:right="1389"/>
        <w:contextualSpacing/>
        <w:jc w:val="both"/>
        <w:rPr>
          <w:rFonts w:ascii="Palatino Linotype" w:eastAsia="MS Mincho" w:hAnsi="Palatino Linotype" w:cs="Bookman Old Style"/>
          <w:i/>
        </w:rPr>
      </w:pPr>
      <w:r w:rsidRPr="00561137">
        <w:rPr>
          <w:rFonts w:ascii="Palatino Linotype" w:hAnsi="Palatino Linotype"/>
          <w:i/>
        </w:rPr>
        <w:t xml:space="preserve">Artículo 1.- La presente Ley es de orden público y de observancia general en toda la República y </w:t>
      </w:r>
      <w:r w:rsidRPr="00561137">
        <w:rPr>
          <w:rFonts w:ascii="Palatino Linotype" w:hAnsi="Palatino Linotype"/>
          <w:b/>
          <w:i/>
        </w:rPr>
        <w:t>tiene por objeto la protección de los datos personales en posesión de los particulares</w:t>
      </w:r>
      <w:r w:rsidRPr="00561137">
        <w:rPr>
          <w:rFonts w:ascii="Palatino Linotype" w:hAnsi="Palatino Linotype"/>
          <w:i/>
        </w:rPr>
        <w:t>, con la finalidad de regular su tratamiento legítimo, controlado e informado, a efecto de garantizar la privacidad y el derecho a la autodeterminación informativa de las personas.</w:t>
      </w:r>
    </w:p>
    <w:p w:rsidR="00392A3F" w:rsidRPr="00561137" w:rsidRDefault="00392A3F" w:rsidP="00392A3F">
      <w:pPr>
        <w:spacing w:line="360" w:lineRule="auto"/>
        <w:ind w:left="708" w:right="49" w:hanging="708"/>
        <w:jc w:val="both"/>
        <w:rPr>
          <w:rFonts w:ascii="Palatino Linotype" w:eastAsia="MS Mincho" w:hAnsi="Palatino Linotype" w:cs="Bookman Old Style"/>
        </w:rPr>
      </w:pPr>
    </w:p>
    <w:p w:rsidR="00392A3F" w:rsidRPr="00561137" w:rsidRDefault="00392A3F" w:rsidP="00392A3F">
      <w:pPr>
        <w:numPr>
          <w:ilvl w:val="0"/>
          <w:numId w:val="1"/>
        </w:numPr>
        <w:spacing w:line="360" w:lineRule="auto"/>
        <w:ind w:left="0" w:right="255" w:firstLine="0"/>
        <w:jc w:val="both"/>
        <w:rPr>
          <w:rFonts w:ascii="Palatino Linotype" w:eastAsia="MS Mincho" w:hAnsi="Palatino Linotype" w:cs="Bookman Old Style"/>
        </w:rPr>
      </w:pPr>
      <w:r w:rsidRPr="00561137">
        <w:rPr>
          <w:rFonts w:ascii="Palatino Linotype" w:eastAsia="MS Mincho" w:hAnsi="Palatino Linotype" w:cs="Bookman Old Style"/>
        </w:rPr>
        <w:t xml:space="preserve">En ese escenario, el particular deberá de ser responsable en el buen uso de la </w:t>
      </w:r>
      <w:r w:rsidRPr="00561137">
        <w:rPr>
          <w:rFonts w:ascii="Palatino Linotype" w:eastAsia="Palatino Linotype" w:hAnsi="Palatino Linotype" w:cs="Palatino Linotype"/>
        </w:rPr>
        <w:t>información</w:t>
      </w:r>
      <w:r w:rsidRPr="00561137">
        <w:rPr>
          <w:rFonts w:ascii="Palatino Linotype" w:eastAsia="MS Mincho" w:hAnsi="Palatino Linotype" w:cs="Bookman Old Style"/>
        </w:rPr>
        <w:t xml:space="preserve"> proporcionada, pues se trata de datos personales que le fueron proporcionados por haber incurrido en una probable violación a la privacidad de las personas.</w:t>
      </w:r>
    </w:p>
    <w:p w:rsidR="00392A3F" w:rsidRPr="00561137" w:rsidRDefault="00392A3F" w:rsidP="00392A3F">
      <w:pPr>
        <w:spacing w:line="360" w:lineRule="auto"/>
        <w:ind w:left="360" w:right="255"/>
        <w:jc w:val="both"/>
        <w:rPr>
          <w:rFonts w:ascii="Palatino Linotype" w:eastAsia="Palatino Linotype" w:hAnsi="Palatino Linotype" w:cs="Palatino Linotype"/>
        </w:rPr>
      </w:pPr>
    </w:p>
    <w:p w:rsidR="00392A3F" w:rsidRPr="00561137" w:rsidRDefault="00392A3F" w:rsidP="00392A3F">
      <w:pPr>
        <w:numPr>
          <w:ilvl w:val="0"/>
          <w:numId w:val="1"/>
        </w:numPr>
        <w:spacing w:line="360" w:lineRule="auto"/>
        <w:ind w:left="0" w:right="255" w:firstLine="0"/>
        <w:jc w:val="both"/>
        <w:rPr>
          <w:rFonts w:ascii="Palatino Linotype" w:eastAsia="Palatino Linotype" w:hAnsi="Palatino Linotype" w:cs="Palatino Linotype"/>
        </w:rPr>
      </w:pPr>
      <w:r w:rsidRPr="00561137">
        <w:rPr>
          <w:rFonts w:ascii="Palatino Linotype" w:eastAsia="Palatino Linotype" w:hAnsi="Palatino Linotype" w:cs="Palatino Linotype"/>
          <w:color w:val="000000"/>
        </w:rPr>
        <w:t xml:space="preserve">Por lo anteriormente expuesto y fundado, este </w:t>
      </w:r>
      <w:r w:rsidRPr="00561137">
        <w:rPr>
          <w:rFonts w:ascii="Palatino Linotype" w:eastAsia="Palatino Linotype" w:hAnsi="Palatino Linotype" w:cs="Palatino Linotype"/>
          <w:b/>
          <w:color w:val="000000"/>
        </w:rPr>
        <w:t>ÓRGANO GARANTE</w:t>
      </w:r>
      <w:r w:rsidRPr="00561137">
        <w:rPr>
          <w:rFonts w:ascii="Palatino Linotype" w:eastAsia="Palatino Linotype" w:hAnsi="Palatino Linotype" w:cs="Palatino Linotype"/>
          <w:color w:val="000000"/>
        </w:rPr>
        <w:t xml:space="preserve"> emite los siguientes:</w:t>
      </w:r>
      <w:r w:rsidR="00561137">
        <w:rPr>
          <w:rFonts w:ascii="Palatino Linotype" w:eastAsia="Palatino Linotype" w:hAnsi="Palatino Linotype" w:cs="Palatino Linotype"/>
          <w:color w:val="000000"/>
        </w:rPr>
        <w:t xml:space="preserve"> ---------------------------------------------------------------------------------------------------------------</w:t>
      </w:r>
    </w:p>
    <w:p w:rsidR="00392A3F" w:rsidRPr="00561137" w:rsidRDefault="00392A3F" w:rsidP="00392A3F">
      <w:pPr>
        <w:spacing w:line="360" w:lineRule="auto"/>
        <w:ind w:right="255"/>
        <w:jc w:val="both"/>
        <w:rPr>
          <w:rFonts w:ascii="Palatino Linotype" w:eastAsia="Palatino Linotype" w:hAnsi="Palatino Linotype" w:cs="Palatino Linotype"/>
        </w:rPr>
      </w:pPr>
    </w:p>
    <w:p w:rsidR="00392A3F" w:rsidRPr="00561137" w:rsidRDefault="00392A3F" w:rsidP="00392A3F">
      <w:pPr>
        <w:keepNext/>
        <w:keepLines/>
        <w:spacing w:line="360" w:lineRule="auto"/>
        <w:ind w:right="255"/>
        <w:jc w:val="center"/>
        <w:rPr>
          <w:rFonts w:ascii="Palatino Linotype" w:eastAsia="Palatino Linotype" w:hAnsi="Palatino Linotype" w:cs="Palatino Linotype"/>
          <w:b/>
        </w:rPr>
      </w:pPr>
      <w:bookmarkStart w:id="13" w:name="_heading=h.lnxbz9" w:colFirst="0" w:colLast="0"/>
      <w:bookmarkEnd w:id="13"/>
      <w:r w:rsidRPr="00561137">
        <w:rPr>
          <w:rFonts w:ascii="Palatino Linotype" w:eastAsia="Palatino Linotype" w:hAnsi="Palatino Linotype" w:cs="Palatino Linotype"/>
          <w:b/>
        </w:rPr>
        <w:lastRenderedPageBreak/>
        <w:t>R E S O L U T I V O S</w:t>
      </w:r>
    </w:p>
    <w:p w:rsidR="00392A3F" w:rsidRPr="00561137" w:rsidRDefault="00392A3F" w:rsidP="00392A3F">
      <w:pPr>
        <w:keepNext/>
        <w:keepLines/>
        <w:spacing w:line="360" w:lineRule="auto"/>
        <w:ind w:right="255"/>
        <w:jc w:val="center"/>
        <w:rPr>
          <w:rFonts w:ascii="Palatino Linotype" w:eastAsia="Palatino Linotype" w:hAnsi="Palatino Linotype" w:cs="Palatino Linotype"/>
          <w:b/>
        </w:rPr>
      </w:pPr>
    </w:p>
    <w:p w:rsidR="00392A3F" w:rsidRPr="00561137" w:rsidRDefault="00392A3F" w:rsidP="0080314A">
      <w:pPr>
        <w:spacing w:line="360" w:lineRule="auto"/>
        <w:jc w:val="both"/>
        <w:rPr>
          <w:rFonts w:ascii="Palatino Linotype" w:hAnsi="Palatino Linotype"/>
          <w:b/>
          <w:bCs/>
        </w:rPr>
      </w:pPr>
      <w:r w:rsidRPr="00561137">
        <w:rPr>
          <w:rFonts w:ascii="Palatino Linotype" w:hAnsi="Palatino Linotype" w:cs="Arial"/>
          <w:b/>
        </w:rPr>
        <w:t xml:space="preserve">PRIMERO. </w:t>
      </w:r>
      <w:r w:rsidRPr="00561137">
        <w:rPr>
          <w:rFonts w:ascii="Palatino Linotype" w:hAnsi="Palatino Linotype"/>
        </w:rPr>
        <w:t xml:space="preserve">Se </w:t>
      </w:r>
      <w:r w:rsidRPr="00561137">
        <w:rPr>
          <w:rFonts w:ascii="Palatino Linotype" w:hAnsi="Palatino Linotype"/>
          <w:b/>
        </w:rPr>
        <w:t xml:space="preserve">SOBRESEE </w:t>
      </w:r>
      <w:r w:rsidRPr="00561137">
        <w:rPr>
          <w:rFonts w:ascii="Palatino Linotype" w:hAnsi="Palatino Linotype"/>
        </w:rPr>
        <w:t xml:space="preserve">el recurso de revisión número </w:t>
      </w:r>
      <w:r w:rsidR="00A5346A" w:rsidRPr="00561137">
        <w:rPr>
          <w:rFonts w:ascii="Palatino Linotype" w:hAnsi="Palatino Linotype"/>
          <w:b/>
          <w:bCs/>
        </w:rPr>
        <w:t>05603/INFOEM/IP/RR/2026</w:t>
      </w:r>
      <w:r w:rsidRPr="00561137">
        <w:rPr>
          <w:rFonts w:ascii="Palatino Linotype" w:hAnsi="Palatino Linotype"/>
          <w:b/>
          <w:bCs/>
        </w:rPr>
        <w:t xml:space="preserve"> </w:t>
      </w:r>
      <w:r w:rsidRPr="00561137">
        <w:rPr>
          <w:rFonts w:ascii="Palatino Linotype" w:hAnsi="Palatino Linotype"/>
          <w:bCs/>
        </w:rPr>
        <w:t>de conformidad con la fracción V</w:t>
      </w:r>
      <w:r w:rsidR="0080314A" w:rsidRPr="00561137">
        <w:rPr>
          <w:rFonts w:ascii="Palatino Linotype" w:hAnsi="Palatino Linotype"/>
          <w:bCs/>
        </w:rPr>
        <w:t>,</w:t>
      </w:r>
      <w:r w:rsidRPr="00561137">
        <w:rPr>
          <w:rFonts w:ascii="Palatino Linotype" w:hAnsi="Palatino Linotype"/>
          <w:bCs/>
        </w:rPr>
        <w:t xml:space="preserve"> del artículo 192</w:t>
      </w:r>
      <w:r w:rsidR="0080314A" w:rsidRPr="00561137">
        <w:rPr>
          <w:rFonts w:ascii="Palatino Linotype" w:hAnsi="Palatino Linotype"/>
          <w:bCs/>
        </w:rPr>
        <w:t>,</w:t>
      </w:r>
      <w:r w:rsidRPr="00561137">
        <w:rPr>
          <w:rFonts w:ascii="Palatino Linotype" w:hAnsi="Palatino Linotype"/>
          <w:bCs/>
        </w:rPr>
        <w:t xml:space="preserve"> de la Ley de Transparencia y Acceso a la Información Pública del Estado de México y Municipios</w:t>
      </w:r>
      <w:r w:rsidRPr="00561137">
        <w:rPr>
          <w:rFonts w:ascii="Palatino Linotype" w:hAnsi="Palatino Linotype"/>
        </w:rPr>
        <w:t xml:space="preserve">, en términos del </w:t>
      </w:r>
      <w:r w:rsidRPr="00561137">
        <w:rPr>
          <w:rFonts w:ascii="Palatino Linotype" w:hAnsi="Palatino Linotype"/>
          <w:b/>
        </w:rPr>
        <w:t>Considerando TERCERO</w:t>
      </w:r>
      <w:r w:rsidRPr="00561137">
        <w:rPr>
          <w:rFonts w:ascii="Palatino Linotype" w:hAnsi="Palatino Linotype"/>
        </w:rPr>
        <w:t xml:space="preserve"> de la presente resolución.</w:t>
      </w:r>
    </w:p>
    <w:p w:rsidR="00392A3F" w:rsidRPr="00561137" w:rsidRDefault="00392A3F" w:rsidP="00392A3F">
      <w:pPr>
        <w:spacing w:line="360" w:lineRule="auto"/>
        <w:ind w:right="255"/>
        <w:jc w:val="both"/>
        <w:rPr>
          <w:rFonts w:ascii="Palatino Linotype" w:eastAsia="Palatino Linotype" w:hAnsi="Palatino Linotype" w:cs="Palatino Linotype"/>
          <w:b/>
        </w:rPr>
      </w:pPr>
    </w:p>
    <w:p w:rsidR="00392A3F" w:rsidRPr="00561137" w:rsidRDefault="00392A3F" w:rsidP="00392A3F">
      <w:pPr>
        <w:pBdr>
          <w:top w:val="nil"/>
          <w:left w:val="nil"/>
          <w:bottom w:val="nil"/>
          <w:right w:val="nil"/>
          <w:between w:val="nil"/>
        </w:pBdr>
        <w:spacing w:line="360" w:lineRule="auto"/>
        <w:ind w:right="255"/>
        <w:jc w:val="both"/>
        <w:rPr>
          <w:rFonts w:ascii="Palatino Linotype" w:eastAsia="Palatino Linotype" w:hAnsi="Palatino Linotype" w:cs="Palatino Linotype"/>
          <w:b/>
          <w:color w:val="000000"/>
        </w:rPr>
      </w:pPr>
      <w:bookmarkStart w:id="14" w:name="_heading=h.35nkun2" w:colFirst="0" w:colLast="0"/>
      <w:bookmarkEnd w:id="14"/>
      <w:r w:rsidRPr="00561137">
        <w:rPr>
          <w:rFonts w:ascii="Palatino Linotype" w:eastAsia="Palatino Linotype" w:hAnsi="Palatino Linotype" w:cs="Palatino Linotype"/>
          <w:b/>
          <w:color w:val="000000"/>
        </w:rPr>
        <w:t xml:space="preserve">SEGUNDO. Notifíquese </w:t>
      </w:r>
      <w:r w:rsidRPr="00561137">
        <w:rPr>
          <w:rFonts w:ascii="Palatino Linotype" w:eastAsia="Palatino Linotype" w:hAnsi="Palatino Linotype" w:cs="Palatino Linotype"/>
          <w:color w:val="000000"/>
        </w:rPr>
        <w:t xml:space="preserve">a través del Sistema de Acceso a la Información Mexiquense </w:t>
      </w:r>
      <w:r w:rsidRPr="00561137">
        <w:rPr>
          <w:rFonts w:ascii="Palatino Linotype" w:eastAsia="Palatino Linotype" w:hAnsi="Palatino Linotype" w:cs="Palatino Linotype"/>
          <w:b/>
          <w:color w:val="000000"/>
        </w:rPr>
        <w:t xml:space="preserve">(SAIMEX) </w:t>
      </w:r>
      <w:r w:rsidRPr="00561137">
        <w:rPr>
          <w:rFonts w:ascii="Palatino Linotype" w:eastAsia="Palatino Linotype" w:hAnsi="Palatino Linotype" w:cs="Palatino Linotype"/>
          <w:color w:val="000000"/>
        </w:rPr>
        <w:t>la presente resolución al Titular de la Unidad de Transparencia del</w:t>
      </w:r>
      <w:r w:rsidRPr="00561137">
        <w:rPr>
          <w:rFonts w:ascii="Palatino Linotype" w:eastAsia="Palatino Linotype" w:hAnsi="Palatino Linotype" w:cs="Palatino Linotype"/>
          <w:b/>
          <w:color w:val="000000"/>
        </w:rPr>
        <w:t xml:space="preserve"> SUJETO OBLIGADO. </w:t>
      </w:r>
    </w:p>
    <w:p w:rsidR="00392A3F" w:rsidRPr="00561137" w:rsidRDefault="00392A3F" w:rsidP="00392A3F">
      <w:pPr>
        <w:pBdr>
          <w:top w:val="nil"/>
          <w:left w:val="nil"/>
          <w:bottom w:val="nil"/>
          <w:right w:val="nil"/>
          <w:between w:val="nil"/>
        </w:pBdr>
        <w:spacing w:line="360" w:lineRule="auto"/>
        <w:ind w:right="255"/>
        <w:jc w:val="both"/>
        <w:rPr>
          <w:rFonts w:ascii="Palatino Linotype" w:eastAsia="Palatino Linotype" w:hAnsi="Palatino Linotype" w:cs="Palatino Linotype"/>
          <w:b/>
          <w:color w:val="000000"/>
        </w:rPr>
      </w:pPr>
    </w:p>
    <w:p w:rsidR="00392A3F" w:rsidRPr="00561137" w:rsidRDefault="00392A3F" w:rsidP="00392A3F">
      <w:pPr>
        <w:pBdr>
          <w:top w:val="nil"/>
          <w:left w:val="nil"/>
          <w:bottom w:val="nil"/>
          <w:right w:val="nil"/>
          <w:between w:val="nil"/>
        </w:pBdr>
        <w:spacing w:line="360" w:lineRule="auto"/>
        <w:ind w:right="255"/>
        <w:jc w:val="both"/>
        <w:rPr>
          <w:rFonts w:ascii="Palatino Linotype" w:eastAsia="Palatino Linotype" w:hAnsi="Palatino Linotype" w:cs="Palatino Linotype"/>
          <w:color w:val="000000"/>
        </w:rPr>
      </w:pPr>
      <w:r w:rsidRPr="00561137">
        <w:rPr>
          <w:rFonts w:ascii="Palatino Linotype" w:eastAsia="Palatino Linotype" w:hAnsi="Palatino Linotype" w:cs="Palatino Linotype"/>
          <w:b/>
          <w:color w:val="000000"/>
        </w:rPr>
        <w:t xml:space="preserve">TERCERO. Notifíquese </w:t>
      </w:r>
      <w:r w:rsidRPr="00561137">
        <w:rPr>
          <w:rFonts w:ascii="Palatino Linotype" w:eastAsia="Palatino Linotype" w:hAnsi="Palatino Linotype" w:cs="Palatino Linotype"/>
          <w:color w:val="000000"/>
        </w:rPr>
        <w:t xml:space="preserve">al </w:t>
      </w:r>
      <w:r w:rsidRPr="00561137">
        <w:rPr>
          <w:rFonts w:ascii="Palatino Linotype" w:eastAsia="Palatino Linotype" w:hAnsi="Palatino Linotype" w:cs="Palatino Linotype"/>
          <w:b/>
          <w:color w:val="000000"/>
        </w:rPr>
        <w:t xml:space="preserve">RECURRENTE </w:t>
      </w:r>
      <w:r w:rsidRPr="00561137">
        <w:rPr>
          <w:rFonts w:ascii="Palatino Linotype" w:eastAsia="Palatino Linotype" w:hAnsi="Palatino Linotype" w:cs="Palatino Linotype"/>
          <w:color w:val="000000"/>
        </w:rPr>
        <w:t>la presente resolución, vía SAIMEX.</w:t>
      </w:r>
    </w:p>
    <w:p w:rsidR="00392A3F" w:rsidRPr="00561137" w:rsidRDefault="00392A3F" w:rsidP="00392A3F">
      <w:pPr>
        <w:tabs>
          <w:tab w:val="left" w:pos="8080"/>
        </w:tabs>
        <w:spacing w:line="360" w:lineRule="auto"/>
        <w:ind w:right="255"/>
        <w:jc w:val="both"/>
        <w:rPr>
          <w:rFonts w:ascii="Palatino Linotype" w:eastAsia="Palatino Linotype" w:hAnsi="Palatino Linotype" w:cs="Palatino Linotype"/>
          <w:b/>
        </w:rPr>
      </w:pPr>
    </w:p>
    <w:p w:rsidR="00392A3F" w:rsidRPr="00561137" w:rsidRDefault="00392A3F" w:rsidP="00392A3F">
      <w:pPr>
        <w:shd w:val="clear" w:color="auto" w:fill="FFFFFF"/>
        <w:spacing w:line="360" w:lineRule="auto"/>
        <w:ind w:right="255"/>
        <w:jc w:val="both"/>
        <w:rPr>
          <w:rFonts w:ascii="Palatino Linotype" w:eastAsia="Palatino Linotype" w:hAnsi="Palatino Linotype" w:cs="Palatino Linotype"/>
        </w:rPr>
      </w:pPr>
      <w:r w:rsidRPr="00561137">
        <w:rPr>
          <w:rFonts w:ascii="Palatino Linotype" w:eastAsia="Palatino Linotype" w:hAnsi="Palatino Linotype" w:cs="Palatino Linotype"/>
          <w:b/>
        </w:rPr>
        <w:t>CUARTO.</w:t>
      </w:r>
      <w:r w:rsidRPr="00561137">
        <w:rPr>
          <w:rFonts w:ascii="Palatino Linotype" w:eastAsia="Palatino Linotype" w:hAnsi="Palatino Linotype" w:cs="Palatino Linotype"/>
        </w:rPr>
        <w:t xml:space="preserve"> Se hace del conocimiento del </w:t>
      </w:r>
      <w:r w:rsidRPr="00561137">
        <w:rPr>
          <w:rFonts w:ascii="Palatino Linotype" w:eastAsia="Palatino Linotype" w:hAnsi="Palatino Linotype" w:cs="Palatino Linotype"/>
          <w:b/>
        </w:rPr>
        <w:t xml:space="preserve">RECURRENTE </w:t>
      </w:r>
      <w:r w:rsidRPr="00561137">
        <w:rPr>
          <w:rFonts w:ascii="Palatino Linotype" w:eastAsia="Palatino Linotype" w:hAnsi="Palatino Linotype" w:cs="Palatino Linotype"/>
        </w:rPr>
        <w:t>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392A3F" w:rsidRPr="00561137" w:rsidRDefault="00392A3F" w:rsidP="00392A3F">
      <w:pPr>
        <w:shd w:val="clear" w:color="auto" w:fill="FFFFFF"/>
        <w:spacing w:line="360" w:lineRule="auto"/>
        <w:ind w:right="255"/>
        <w:jc w:val="both"/>
        <w:rPr>
          <w:rFonts w:ascii="Palatino Linotype" w:eastAsia="Palatino Linotype" w:hAnsi="Palatino Linotype" w:cs="Palatino Linotype"/>
        </w:rPr>
      </w:pPr>
    </w:p>
    <w:p w:rsidR="00392A3F" w:rsidRPr="00561137" w:rsidRDefault="00392A3F" w:rsidP="00392A3F">
      <w:pPr>
        <w:shd w:val="clear" w:color="auto" w:fill="FFFFFF"/>
        <w:spacing w:line="360" w:lineRule="auto"/>
        <w:ind w:right="255"/>
        <w:jc w:val="both"/>
        <w:rPr>
          <w:rFonts w:ascii="Palatino Linotype" w:eastAsia="Palatino Linotype" w:hAnsi="Palatino Linotype" w:cs="Palatino Linotype"/>
        </w:rPr>
      </w:pPr>
      <w:r w:rsidRPr="00561137">
        <w:rPr>
          <w:rFonts w:ascii="Palatino Linotype" w:eastAsia="Palatino Linotype" w:hAnsi="Palatino Linotype" w:cs="Palatino Linotype"/>
          <w:b/>
        </w:rPr>
        <w:t>QUINTO</w:t>
      </w:r>
      <w:r w:rsidRPr="00561137">
        <w:rPr>
          <w:rFonts w:ascii="Palatino Linotype" w:eastAsia="Palatino Linotype" w:hAnsi="Palatino Linotype" w:cs="Palatino Linotype"/>
        </w:rPr>
        <w:t xml:space="preserve">. Con fundamento en lo dispuesto en los artículos 14, fracción XXVI y 24, fracciones XI, XII y XIII del Reglamento Interior del Instituto de Transparencia, Acceso a la Información Pública y Protección de Datos Personales del Estado de México y Municipios, gírese oficio a la </w:t>
      </w:r>
      <w:r w:rsidRPr="00561137">
        <w:rPr>
          <w:rFonts w:ascii="Palatino Linotype" w:eastAsia="Palatino Linotype" w:hAnsi="Palatino Linotype" w:cs="Palatino Linotype"/>
        </w:rPr>
        <w:lastRenderedPageBreak/>
        <w:t>Dirección General de Protección de Datos Personales de este Instituto, en términos de lo dispuesto en el Considerando TERCERO de la presente Resolución.</w:t>
      </w:r>
    </w:p>
    <w:p w:rsidR="00392A3F" w:rsidRPr="00561137" w:rsidRDefault="00392A3F" w:rsidP="00392A3F">
      <w:pPr>
        <w:shd w:val="clear" w:color="auto" w:fill="FFFFFF"/>
        <w:spacing w:line="360" w:lineRule="auto"/>
        <w:ind w:right="255"/>
        <w:jc w:val="both"/>
        <w:rPr>
          <w:rFonts w:ascii="Palatino Linotype" w:eastAsia="Palatino Linotype" w:hAnsi="Palatino Linotype" w:cs="Palatino Linotype"/>
        </w:rPr>
      </w:pPr>
    </w:p>
    <w:p w:rsidR="0080314A" w:rsidRPr="00561137" w:rsidRDefault="0080314A" w:rsidP="0080314A">
      <w:pPr>
        <w:spacing w:before="240" w:after="240" w:line="360" w:lineRule="auto"/>
        <w:ind w:firstLine="1"/>
        <w:jc w:val="both"/>
        <w:rPr>
          <w:rFonts w:ascii="Palatino Linotype" w:hAnsi="Palatino Linotype"/>
        </w:rPr>
      </w:pPr>
      <w:bookmarkStart w:id="15" w:name="_Hlk99014733"/>
      <w:r w:rsidRPr="00561137">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CUARTA SESIÓN ORDINARIA, CELEBRADA EL UNO (01) DE JULIO DE DOS MIL VEINTISÉIS, ANTE EL SECRETARIO TÉCNICO DEL PLENO </w:t>
      </w:r>
      <w:r w:rsidRPr="00561137">
        <w:rPr>
          <w:rFonts w:ascii="Palatino Linotype" w:hAnsi="Palatino Linotype" w:cs="Palatino Linotype"/>
          <w:color w:val="000000" w:themeColor="text1"/>
        </w:rPr>
        <w:t>ALEXIS TAPIA RAMÍREZ.</w:t>
      </w:r>
    </w:p>
    <w:bookmarkEnd w:id="15"/>
    <w:p w:rsidR="00392A3F" w:rsidRPr="00561137" w:rsidRDefault="00392A3F" w:rsidP="00392A3F">
      <w:pPr>
        <w:spacing w:before="240" w:after="240" w:line="360" w:lineRule="auto"/>
        <w:ind w:right="255" w:firstLine="1"/>
        <w:jc w:val="both"/>
        <w:rPr>
          <w:rFonts w:ascii="Palatino Linotype" w:eastAsia="Palatino Linotype" w:hAnsi="Palatino Linotype" w:cs="Palatino Linotype"/>
        </w:rPr>
      </w:pPr>
    </w:p>
    <w:p w:rsidR="00392A3F" w:rsidRPr="00561137" w:rsidRDefault="00392A3F" w:rsidP="00392A3F">
      <w:pPr>
        <w:spacing w:before="240" w:after="240" w:line="360" w:lineRule="auto"/>
        <w:ind w:right="255" w:firstLine="1"/>
        <w:jc w:val="both"/>
        <w:rPr>
          <w:rFonts w:ascii="Palatino Linotype" w:eastAsia="Palatino Linotype" w:hAnsi="Palatino Linotype" w:cs="Palatino Linotype"/>
        </w:rPr>
      </w:pPr>
    </w:p>
    <w:p w:rsidR="00392A3F" w:rsidRPr="00561137" w:rsidRDefault="00392A3F" w:rsidP="00392A3F">
      <w:pPr>
        <w:spacing w:before="240" w:after="240" w:line="360" w:lineRule="auto"/>
        <w:ind w:right="255" w:firstLine="1"/>
        <w:jc w:val="both"/>
        <w:rPr>
          <w:rFonts w:ascii="Palatino Linotype" w:eastAsia="Palatino Linotype" w:hAnsi="Palatino Linotype" w:cs="Palatino Linotype"/>
        </w:rPr>
      </w:pPr>
    </w:p>
    <w:p w:rsidR="00392A3F" w:rsidRPr="00561137" w:rsidRDefault="00392A3F" w:rsidP="00392A3F">
      <w:pPr>
        <w:spacing w:before="240" w:after="240" w:line="360" w:lineRule="auto"/>
        <w:ind w:right="255" w:firstLine="1"/>
        <w:jc w:val="both"/>
        <w:rPr>
          <w:rFonts w:ascii="Palatino Linotype" w:eastAsia="Palatino Linotype" w:hAnsi="Palatino Linotype" w:cs="Palatino Linotype"/>
        </w:rPr>
      </w:pPr>
    </w:p>
    <w:p w:rsidR="00392A3F" w:rsidRPr="00561137" w:rsidRDefault="00392A3F" w:rsidP="00392A3F">
      <w:pPr>
        <w:spacing w:before="240" w:after="240" w:line="360" w:lineRule="auto"/>
        <w:ind w:right="255" w:firstLine="1"/>
        <w:jc w:val="both"/>
        <w:rPr>
          <w:rFonts w:ascii="Palatino Linotype" w:eastAsia="Palatino Linotype" w:hAnsi="Palatino Linotype" w:cs="Palatino Linotype"/>
        </w:rPr>
      </w:pPr>
    </w:p>
    <w:p w:rsidR="00392A3F" w:rsidRPr="00561137" w:rsidRDefault="00392A3F" w:rsidP="00392A3F">
      <w:pPr>
        <w:spacing w:line="360" w:lineRule="auto"/>
        <w:ind w:right="255"/>
        <w:jc w:val="both"/>
        <w:rPr>
          <w:rFonts w:ascii="Palatino Linotype" w:eastAsia="Palatino Linotype" w:hAnsi="Palatino Linotype" w:cs="Palatino Linotype"/>
        </w:rPr>
      </w:pPr>
    </w:p>
    <w:p w:rsidR="00392A3F" w:rsidRPr="00561137" w:rsidRDefault="00392A3F" w:rsidP="00392A3F"/>
    <w:p w:rsidR="00392A3F" w:rsidRPr="00561137" w:rsidRDefault="00392A3F" w:rsidP="00392A3F"/>
    <w:p w:rsidR="006C654F" w:rsidRPr="00561137" w:rsidRDefault="006C654F"/>
    <w:sectPr w:rsidR="006C654F" w:rsidRPr="00561137" w:rsidSect="00561137">
      <w:headerReference w:type="even" r:id="rId7"/>
      <w:headerReference w:type="default" r:id="rId8"/>
      <w:footerReference w:type="default" r:id="rId9"/>
      <w:headerReference w:type="first" r:id="rId10"/>
      <w:footerReference w:type="first" r:id="rId11"/>
      <w:pgSz w:w="12240" w:h="15840"/>
      <w:pgMar w:top="80" w:right="333"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2C82" w:rsidRDefault="00DA2C82" w:rsidP="00392A3F">
      <w:r>
        <w:separator/>
      </w:r>
    </w:p>
  </w:endnote>
  <w:endnote w:type="continuationSeparator" w:id="0">
    <w:p w:rsidR="00DA2C82" w:rsidRDefault="00DA2C82" w:rsidP="00392A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24CE" w:rsidRPr="00561137" w:rsidRDefault="004E24CE">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561137">
      <w:rPr>
        <w:rFonts w:ascii="Palatino Linotype" w:hAnsi="Palatino Linotype"/>
        <w:color w:val="000000"/>
        <w:sz w:val="22"/>
      </w:rPr>
      <w:t xml:space="preserve">Página </w:t>
    </w:r>
    <w:r w:rsidRPr="00561137">
      <w:rPr>
        <w:rFonts w:ascii="Palatino Linotype" w:hAnsi="Palatino Linotype"/>
        <w:b/>
        <w:color w:val="000000"/>
        <w:sz w:val="22"/>
      </w:rPr>
      <w:fldChar w:fldCharType="begin"/>
    </w:r>
    <w:r w:rsidRPr="00561137">
      <w:rPr>
        <w:rFonts w:ascii="Palatino Linotype" w:hAnsi="Palatino Linotype"/>
        <w:b/>
        <w:color w:val="000000"/>
        <w:sz w:val="22"/>
      </w:rPr>
      <w:instrText>PAGE</w:instrText>
    </w:r>
    <w:r w:rsidRPr="00561137">
      <w:rPr>
        <w:rFonts w:ascii="Palatino Linotype" w:hAnsi="Palatino Linotype"/>
        <w:b/>
        <w:color w:val="000000"/>
        <w:sz w:val="22"/>
      </w:rPr>
      <w:fldChar w:fldCharType="separate"/>
    </w:r>
    <w:r w:rsidR="002F4336">
      <w:rPr>
        <w:rFonts w:ascii="Palatino Linotype" w:hAnsi="Palatino Linotype"/>
        <w:b/>
        <w:noProof/>
        <w:color w:val="000000"/>
        <w:sz w:val="22"/>
      </w:rPr>
      <w:t>13</w:t>
    </w:r>
    <w:r w:rsidRPr="00561137">
      <w:rPr>
        <w:rFonts w:ascii="Palatino Linotype" w:hAnsi="Palatino Linotype"/>
        <w:b/>
        <w:color w:val="000000"/>
        <w:sz w:val="22"/>
      </w:rPr>
      <w:fldChar w:fldCharType="end"/>
    </w:r>
    <w:r w:rsidRPr="00561137">
      <w:rPr>
        <w:rFonts w:ascii="Palatino Linotype" w:hAnsi="Palatino Linotype"/>
        <w:color w:val="000000"/>
        <w:sz w:val="22"/>
      </w:rPr>
      <w:t xml:space="preserve"> de </w:t>
    </w:r>
    <w:r w:rsidRPr="00561137">
      <w:rPr>
        <w:rFonts w:ascii="Palatino Linotype" w:hAnsi="Palatino Linotype"/>
        <w:b/>
        <w:color w:val="000000"/>
        <w:sz w:val="22"/>
      </w:rPr>
      <w:fldChar w:fldCharType="begin"/>
    </w:r>
    <w:r w:rsidRPr="00561137">
      <w:rPr>
        <w:rFonts w:ascii="Palatino Linotype" w:hAnsi="Palatino Linotype"/>
        <w:b/>
        <w:color w:val="000000"/>
        <w:sz w:val="22"/>
      </w:rPr>
      <w:instrText>NUMPAGES</w:instrText>
    </w:r>
    <w:r w:rsidRPr="00561137">
      <w:rPr>
        <w:rFonts w:ascii="Palatino Linotype" w:hAnsi="Palatino Linotype"/>
        <w:b/>
        <w:color w:val="000000"/>
        <w:sz w:val="22"/>
      </w:rPr>
      <w:fldChar w:fldCharType="separate"/>
    </w:r>
    <w:r w:rsidR="002F4336">
      <w:rPr>
        <w:rFonts w:ascii="Palatino Linotype" w:hAnsi="Palatino Linotype"/>
        <w:b/>
        <w:noProof/>
        <w:color w:val="000000"/>
        <w:sz w:val="22"/>
      </w:rPr>
      <w:t>19</w:t>
    </w:r>
    <w:r w:rsidRPr="00561137">
      <w:rPr>
        <w:rFonts w:ascii="Palatino Linotype" w:hAnsi="Palatino Linotype"/>
        <w:b/>
        <w:color w:val="000000"/>
        <w:sz w:val="22"/>
      </w:rPr>
      <w:fldChar w:fldCharType="end"/>
    </w:r>
  </w:p>
  <w:p w:rsidR="004E24CE" w:rsidRDefault="004E24CE">
    <w:pPr>
      <w:pBdr>
        <w:top w:val="nil"/>
        <w:left w:val="nil"/>
        <w:bottom w:val="nil"/>
        <w:right w:val="nil"/>
        <w:between w:val="nil"/>
      </w:pBdr>
      <w:tabs>
        <w:tab w:val="center" w:pos="4419"/>
        <w:tab w:val="right" w:pos="8838"/>
      </w:tabs>
      <w:rPr>
        <w:color w:val="000000"/>
      </w:rPr>
    </w:pPr>
  </w:p>
  <w:p w:rsidR="004E24CE" w:rsidRDefault="004E24C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24CE" w:rsidRPr="00561137" w:rsidRDefault="004E24CE">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561137">
      <w:rPr>
        <w:rFonts w:ascii="Palatino Linotype" w:hAnsi="Palatino Linotype"/>
        <w:color w:val="000000"/>
        <w:sz w:val="22"/>
      </w:rPr>
      <w:t xml:space="preserve">Página </w:t>
    </w:r>
    <w:r w:rsidRPr="00561137">
      <w:rPr>
        <w:rFonts w:ascii="Palatino Linotype" w:hAnsi="Palatino Linotype"/>
        <w:b/>
        <w:color w:val="000000"/>
        <w:sz w:val="22"/>
      </w:rPr>
      <w:fldChar w:fldCharType="begin"/>
    </w:r>
    <w:r w:rsidRPr="00561137">
      <w:rPr>
        <w:rFonts w:ascii="Palatino Linotype" w:hAnsi="Palatino Linotype"/>
        <w:b/>
        <w:color w:val="000000"/>
        <w:sz w:val="22"/>
      </w:rPr>
      <w:instrText>PAGE</w:instrText>
    </w:r>
    <w:r w:rsidRPr="00561137">
      <w:rPr>
        <w:rFonts w:ascii="Palatino Linotype" w:hAnsi="Palatino Linotype"/>
        <w:b/>
        <w:color w:val="000000"/>
        <w:sz w:val="22"/>
      </w:rPr>
      <w:fldChar w:fldCharType="separate"/>
    </w:r>
    <w:r w:rsidR="002F4336">
      <w:rPr>
        <w:rFonts w:ascii="Palatino Linotype" w:hAnsi="Palatino Linotype"/>
        <w:b/>
        <w:noProof/>
        <w:color w:val="000000"/>
        <w:sz w:val="22"/>
      </w:rPr>
      <w:t>1</w:t>
    </w:r>
    <w:r w:rsidRPr="00561137">
      <w:rPr>
        <w:rFonts w:ascii="Palatino Linotype" w:hAnsi="Palatino Linotype"/>
        <w:b/>
        <w:color w:val="000000"/>
        <w:sz w:val="22"/>
      </w:rPr>
      <w:fldChar w:fldCharType="end"/>
    </w:r>
    <w:r w:rsidRPr="00561137">
      <w:rPr>
        <w:rFonts w:ascii="Palatino Linotype" w:hAnsi="Palatino Linotype"/>
        <w:color w:val="000000"/>
        <w:sz w:val="22"/>
      </w:rPr>
      <w:t xml:space="preserve"> de </w:t>
    </w:r>
    <w:r w:rsidRPr="00561137">
      <w:rPr>
        <w:rFonts w:ascii="Palatino Linotype" w:hAnsi="Palatino Linotype"/>
        <w:b/>
        <w:color w:val="000000"/>
        <w:sz w:val="22"/>
      </w:rPr>
      <w:fldChar w:fldCharType="begin"/>
    </w:r>
    <w:r w:rsidRPr="00561137">
      <w:rPr>
        <w:rFonts w:ascii="Palatino Linotype" w:hAnsi="Palatino Linotype"/>
        <w:b/>
        <w:color w:val="000000"/>
        <w:sz w:val="22"/>
      </w:rPr>
      <w:instrText>NUMPAGES</w:instrText>
    </w:r>
    <w:r w:rsidRPr="00561137">
      <w:rPr>
        <w:rFonts w:ascii="Palatino Linotype" w:hAnsi="Palatino Linotype"/>
        <w:b/>
        <w:color w:val="000000"/>
        <w:sz w:val="22"/>
      </w:rPr>
      <w:fldChar w:fldCharType="separate"/>
    </w:r>
    <w:r w:rsidR="002F4336">
      <w:rPr>
        <w:rFonts w:ascii="Palatino Linotype" w:hAnsi="Palatino Linotype"/>
        <w:b/>
        <w:noProof/>
        <w:color w:val="000000"/>
        <w:sz w:val="22"/>
      </w:rPr>
      <w:t>19</w:t>
    </w:r>
    <w:r w:rsidRPr="00561137">
      <w:rPr>
        <w:rFonts w:ascii="Palatino Linotype" w:hAnsi="Palatino Linotype"/>
        <w:b/>
        <w:color w:val="000000"/>
        <w:sz w:val="22"/>
      </w:rPr>
      <w:fldChar w:fldCharType="end"/>
    </w:r>
  </w:p>
  <w:p w:rsidR="004E24CE" w:rsidRDefault="004E24CE">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2C82" w:rsidRDefault="00DA2C82" w:rsidP="00392A3F">
      <w:r>
        <w:separator/>
      </w:r>
    </w:p>
  </w:footnote>
  <w:footnote w:type="continuationSeparator" w:id="0">
    <w:p w:rsidR="00DA2C82" w:rsidRDefault="00DA2C82" w:rsidP="00392A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24CE" w:rsidRDefault="00DA2C82">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 style="position:absolute;margin-left:0;margin-top:0;width:589.8pt;height:768pt;z-index:-251657216;mso-position-horizontal:center;mso-position-horizontal-relative:margin;mso-position-vertical:center;mso-position-vertical-relative:margin">
          <v:imagedata r:id="rId1" o:title="image1"/>
          <w10:wrap anchorx="margin" anchory="margin"/>
        </v:shape>
      </w:pict>
    </w:r>
  </w:p>
  <w:p w:rsidR="004E24CE" w:rsidRDefault="004E24C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348" w:type="dxa"/>
      <w:tblLayout w:type="fixed"/>
      <w:tblLook w:val="0400" w:firstRow="0" w:lastRow="0" w:firstColumn="0" w:lastColumn="0" w:noHBand="0" w:noVBand="1"/>
    </w:tblPr>
    <w:tblGrid>
      <w:gridCol w:w="2268"/>
      <w:gridCol w:w="8080"/>
    </w:tblGrid>
    <w:tr w:rsidR="004E24CE" w:rsidTr="00561137">
      <w:trPr>
        <w:trHeight w:val="2803"/>
      </w:trPr>
      <w:tc>
        <w:tcPr>
          <w:tcW w:w="2268" w:type="dxa"/>
        </w:tcPr>
        <w:p w:rsidR="004E24CE" w:rsidRDefault="004E24CE">
          <w:pPr>
            <w:tabs>
              <w:tab w:val="right" w:pos="4273"/>
            </w:tabs>
            <w:rPr>
              <w:rFonts w:ascii="Garamond" w:eastAsia="Garamond" w:hAnsi="Garamond" w:cs="Garamond"/>
              <w:sz w:val="16"/>
              <w:szCs w:val="16"/>
            </w:rPr>
          </w:pPr>
        </w:p>
      </w:tc>
      <w:tc>
        <w:tcPr>
          <w:tcW w:w="8080" w:type="dxa"/>
        </w:tcPr>
        <w:tbl>
          <w:tblPr>
            <w:tblW w:w="7654" w:type="dxa"/>
            <w:tblInd w:w="318" w:type="dxa"/>
            <w:tblLayout w:type="fixed"/>
            <w:tblLook w:val="0400" w:firstRow="0" w:lastRow="0" w:firstColumn="0" w:lastColumn="0" w:noHBand="0" w:noVBand="1"/>
          </w:tblPr>
          <w:tblGrid>
            <w:gridCol w:w="2803"/>
            <w:gridCol w:w="4851"/>
          </w:tblGrid>
          <w:tr w:rsidR="004E24CE" w:rsidTr="00561137">
            <w:trPr>
              <w:trHeight w:val="144"/>
            </w:trPr>
            <w:tc>
              <w:tcPr>
                <w:tcW w:w="2803" w:type="dxa"/>
                <w:tcBorders>
                  <w:top w:val="nil"/>
                  <w:left w:val="nil"/>
                  <w:bottom w:val="nil"/>
                  <w:right w:val="nil"/>
                </w:tcBorders>
              </w:tcPr>
              <w:p w:rsidR="004E24CE" w:rsidRPr="00561137" w:rsidRDefault="004E24CE">
                <w:pPr>
                  <w:tabs>
                    <w:tab w:val="right" w:pos="8838"/>
                  </w:tabs>
                  <w:ind w:left="-264" w:right="-105" w:firstLine="195"/>
                  <w:rPr>
                    <w:rFonts w:ascii="Palatino Linotype" w:eastAsia="Palatino Linotype" w:hAnsi="Palatino Linotype" w:cs="Palatino Linotype"/>
                    <w:b/>
                  </w:rPr>
                </w:pPr>
                <w:r w:rsidRPr="00561137">
                  <w:rPr>
                    <w:rFonts w:ascii="Palatino Linotype" w:eastAsia="Palatino Linotype" w:hAnsi="Palatino Linotype" w:cs="Palatino Linotype"/>
                    <w:b/>
                  </w:rPr>
                  <w:t>Recurso de Revisión:</w:t>
                </w:r>
              </w:p>
            </w:tc>
            <w:tc>
              <w:tcPr>
                <w:tcW w:w="4851" w:type="dxa"/>
                <w:tcBorders>
                  <w:top w:val="nil"/>
                  <w:left w:val="nil"/>
                  <w:bottom w:val="nil"/>
                  <w:right w:val="nil"/>
                </w:tcBorders>
              </w:tcPr>
              <w:p w:rsidR="004E24CE" w:rsidRPr="00561137" w:rsidRDefault="004E24CE" w:rsidP="00561137">
                <w:pPr>
                  <w:tabs>
                    <w:tab w:val="right" w:pos="8838"/>
                  </w:tabs>
                  <w:ind w:left="-74" w:right="-1415"/>
                  <w:rPr>
                    <w:rFonts w:ascii="Palatino Linotype" w:eastAsia="Palatino Linotype" w:hAnsi="Palatino Linotype" w:cs="Palatino Linotype"/>
                  </w:rPr>
                </w:pPr>
                <w:r w:rsidRPr="00561137">
                  <w:rPr>
                    <w:rFonts w:ascii="Palatino Linotype" w:eastAsia="Palatino Linotype" w:hAnsi="Palatino Linotype" w:cs="Palatino Linotype"/>
                    <w:bCs/>
                  </w:rPr>
                  <w:t>05603/INFOEM/IP/RR/2026</w:t>
                </w:r>
              </w:p>
            </w:tc>
          </w:tr>
          <w:tr w:rsidR="004E24CE" w:rsidTr="00561137">
            <w:trPr>
              <w:trHeight w:val="144"/>
            </w:trPr>
            <w:tc>
              <w:tcPr>
                <w:tcW w:w="2803" w:type="dxa"/>
                <w:tcBorders>
                  <w:top w:val="nil"/>
                  <w:left w:val="nil"/>
                  <w:bottom w:val="nil"/>
                  <w:right w:val="nil"/>
                </w:tcBorders>
              </w:tcPr>
              <w:p w:rsidR="004E24CE" w:rsidRPr="00561137" w:rsidRDefault="004E24CE">
                <w:pPr>
                  <w:tabs>
                    <w:tab w:val="right" w:pos="8838"/>
                  </w:tabs>
                  <w:ind w:left="-74" w:right="-105"/>
                  <w:rPr>
                    <w:rFonts w:ascii="Palatino Linotype" w:eastAsia="Palatino Linotype" w:hAnsi="Palatino Linotype" w:cs="Palatino Linotype"/>
                    <w:b/>
                  </w:rPr>
                </w:pPr>
                <w:r w:rsidRPr="00561137">
                  <w:rPr>
                    <w:rFonts w:ascii="Palatino Linotype" w:eastAsia="Palatino Linotype" w:hAnsi="Palatino Linotype" w:cs="Palatino Linotype"/>
                    <w:b/>
                  </w:rPr>
                  <w:t>Recurrente:</w:t>
                </w:r>
              </w:p>
            </w:tc>
            <w:tc>
              <w:tcPr>
                <w:tcW w:w="4851" w:type="dxa"/>
                <w:tcBorders>
                  <w:top w:val="nil"/>
                  <w:left w:val="nil"/>
                  <w:bottom w:val="nil"/>
                  <w:right w:val="nil"/>
                </w:tcBorders>
              </w:tcPr>
              <w:p w:rsidR="004E24CE" w:rsidRPr="00561137" w:rsidRDefault="004E24CE" w:rsidP="00561137">
                <w:pPr>
                  <w:tabs>
                    <w:tab w:val="left" w:pos="3122"/>
                    <w:tab w:val="right" w:pos="8838"/>
                  </w:tabs>
                  <w:ind w:left="-74" w:right="-1415"/>
                  <w:rPr>
                    <w:rFonts w:ascii="Palatino Linotype" w:eastAsia="Palatino Linotype" w:hAnsi="Palatino Linotype" w:cs="Palatino Linotype"/>
                  </w:rPr>
                </w:pPr>
                <w:r w:rsidRPr="00561137">
                  <w:rPr>
                    <w:rFonts w:ascii="Palatino Linotype" w:eastAsia="Palatino Linotype" w:hAnsi="Palatino Linotype" w:cs="Palatino Linotype"/>
                    <w:bCs/>
                  </w:rPr>
                  <w:t>No dio información</w:t>
                </w:r>
              </w:p>
            </w:tc>
          </w:tr>
          <w:tr w:rsidR="004E24CE" w:rsidTr="00561137">
            <w:trPr>
              <w:trHeight w:val="283"/>
            </w:trPr>
            <w:tc>
              <w:tcPr>
                <w:tcW w:w="2803" w:type="dxa"/>
                <w:tcBorders>
                  <w:top w:val="nil"/>
                  <w:left w:val="nil"/>
                  <w:bottom w:val="nil"/>
                  <w:right w:val="nil"/>
                </w:tcBorders>
              </w:tcPr>
              <w:p w:rsidR="004E24CE" w:rsidRPr="00561137" w:rsidRDefault="004E24CE">
                <w:pPr>
                  <w:tabs>
                    <w:tab w:val="right" w:pos="8838"/>
                  </w:tabs>
                  <w:ind w:left="-74" w:right="-105"/>
                  <w:rPr>
                    <w:rFonts w:ascii="Palatino Linotype" w:eastAsia="Palatino Linotype" w:hAnsi="Palatino Linotype" w:cs="Palatino Linotype"/>
                    <w:b/>
                  </w:rPr>
                </w:pPr>
                <w:r w:rsidRPr="00561137">
                  <w:rPr>
                    <w:rFonts w:ascii="Palatino Linotype" w:eastAsia="Palatino Linotype" w:hAnsi="Palatino Linotype" w:cs="Palatino Linotype"/>
                    <w:b/>
                  </w:rPr>
                  <w:t>Sujeto Obligado:</w:t>
                </w:r>
              </w:p>
            </w:tc>
            <w:tc>
              <w:tcPr>
                <w:tcW w:w="4851" w:type="dxa"/>
                <w:tcBorders>
                  <w:top w:val="nil"/>
                  <w:left w:val="nil"/>
                  <w:bottom w:val="nil"/>
                  <w:right w:val="nil"/>
                </w:tcBorders>
              </w:tcPr>
              <w:p w:rsidR="004E24CE" w:rsidRPr="00561137" w:rsidRDefault="004E24CE" w:rsidP="00561137">
                <w:pPr>
                  <w:ind w:left="-74" w:right="-105"/>
                  <w:rPr>
                    <w:rFonts w:ascii="Palatino Linotype" w:eastAsia="Palatino Linotype" w:hAnsi="Palatino Linotype" w:cs="Palatino Linotype"/>
                  </w:rPr>
                </w:pPr>
                <w:r w:rsidRPr="00561137">
                  <w:rPr>
                    <w:rFonts w:ascii="Palatino Linotype" w:eastAsia="Palatino Linotype" w:hAnsi="Palatino Linotype" w:cs="Palatino Linotype"/>
                    <w:bCs/>
                  </w:rPr>
                  <w:t>Organismo Público Descentralizado Municipal para la prestación de los servicios de Agua Potable, Drenaje, Alcantarillado y Saneamiento de Calimaya, México</w:t>
                </w:r>
              </w:p>
            </w:tc>
          </w:tr>
          <w:tr w:rsidR="004E24CE" w:rsidTr="00561137">
            <w:trPr>
              <w:trHeight w:val="283"/>
            </w:trPr>
            <w:tc>
              <w:tcPr>
                <w:tcW w:w="2803" w:type="dxa"/>
                <w:tcBorders>
                  <w:top w:val="nil"/>
                  <w:left w:val="nil"/>
                  <w:bottom w:val="nil"/>
                  <w:right w:val="nil"/>
                </w:tcBorders>
              </w:tcPr>
              <w:p w:rsidR="004E24CE" w:rsidRPr="00561137" w:rsidRDefault="004E24CE">
                <w:pPr>
                  <w:tabs>
                    <w:tab w:val="right" w:pos="8838"/>
                  </w:tabs>
                  <w:ind w:left="-74" w:right="-105"/>
                  <w:rPr>
                    <w:rFonts w:ascii="Palatino Linotype" w:eastAsia="Palatino Linotype" w:hAnsi="Palatino Linotype" w:cs="Palatino Linotype"/>
                    <w:b/>
                  </w:rPr>
                </w:pPr>
                <w:r w:rsidRPr="00561137">
                  <w:rPr>
                    <w:rFonts w:ascii="Palatino Linotype" w:eastAsia="Palatino Linotype" w:hAnsi="Palatino Linotype" w:cs="Palatino Linotype"/>
                    <w:b/>
                  </w:rPr>
                  <w:t>Comisionada ponente:</w:t>
                </w:r>
              </w:p>
            </w:tc>
            <w:tc>
              <w:tcPr>
                <w:tcW w:w="4851" w:type="dxa"/>
                <w:tcBorders>
                  <w:top w:val="nil"/>
                  <w:left w:val="nil"/>
                  <w:bottom w:val="nil"/>
                  <w:right w:val="nil"/>
                </w:tcBorders>
              </w:tcPr>
              <w:p w:rsidR="004E24CE" w:rsidRPr="00561137" w:rsidRDefault="004E24CE" w:rsidP="00561137">
                <w:pPr>
                  <w:tabs>
                    <w:tab w:val="right" w:pos="8838"/>
                  </w:tabs>
                  <w:ind w:left="-74" w:right="-1415"/>
                  <w:rPr>
                    <w:rFonts w:ascii="Palatino Linotype" w:eastAsia="Palatino Linotype" w:hAnsi="Palatino Linotype" w:cs="Palatino Linotype"/>
                  </w:rPr>
                </w:pPr>
                <w:r w:rsidRPr="00561137">
                  <w:rPr>
                    <w:rFonts w:ascii="Palatino Linotype" w:eastAsia="Palatino Linotype" w:hAnsi="Palatino Linotype" w:cs="Palatino Linotype"/>
                  </w:rPr>
                  <w:t>María del Rosario Mejía Ayala</w:t>
                </w:r>
              </w:p>
              <w:p w:rsidR="004E24CE" w:rsidRPr="00561137" w:rsidRDefault="004E24CE" w:rsidP="00561137">
                <w:pPr>
                  <w:tabs>
                    <w:tab w:val="right" w:pos="8838"/>
                  </w:tabs>
                  <w:ind w:left="-74" w:right="-1415"/>
                  <w:rPr>
                    <w:rFonts w:ascii="Palatino Linotype" w:eastAsia="Palatino Linotype" w:hAnsi="Palatino Linotype" w:cs="Palatino Linotype"/>
                  </w:rPr>
                </w:pPr>
              </w:p>
            </w:tc>
          </w:tr>
        </w:tbl>
        <w:p w:rsidR="004E24CE" w:rsidRDefault="004E24CE">
          <w:pPr>
            <w:tabs>
              <w:tab w:val="right" w:pos="8838"/>
            </w:tabs>
            <w:ind w:left="-28"/>
            <w:jc w:val="both"/>
            <w:rPr>
              <w:rFonts w:ascii="Arial" w:eastAsia="Arial" w:hAnsi="Arial" w:cs="Arial"/>
              <w:b/>
            </w:rPr>
          </w:pPr>
        </w:p>
      </w:tc>
    </w:tr>
  </w:tbl>
  <w:p w:rsidR="004E24CE" w:rsidRDefault="00DA2C82">
    <w:pPr>
      <w:pBdr>
        <w:top w:val="nil"/>
        <w:left w:val="nil"/>
        <w:bottom w:val="nil"/>
        <w:right w:val="nil"/>
        <w:between w:val="nil"/>
      </w:pBdr>
      <w:tabs>
        <w:tab w:val="center" w:pos="4419"/>
        <w:tab w:val="right" w:pos="8838"/>
      </w:tabs>
      <w:rPr>
        <w:color w:val="000000"/>
        <w:sz w:val="14"/>
        <w:szCs w:val="14"/>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margin-left:-85.1pt;margin-top:-194.55pt;width:589.8pt;height:768pt;z-index:-251656192;mso-position-horizontal-relative:margin;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90" w:type="dxa"/>
      <w:tblLayout w:type="fixed"/>
      <w:tblLook w:val="0400" w:firstRow="0" w:lastRow="0" w:firstColumn="0" w:lastColumn="0" w:noHBand="0" w:noVBand="1"/>
    </w:tblPr>
    <w:tblGrid>
      <w:gridCol w:w="2265"/>
      <w:gridCol w:w="8225"/>
    </w:tblGrid>
    <w:tr w:rsidR="004E24CE" w:rsidTr="00561137">
      <w:trPr>
        <w:trHeight w:val="2514"/>
      </w:trPr>
      <w:tc>
        <w:tcPr>
          <w:tcW w:w="2265" w:type="dxa"/>
        </w:tcPr>
        <w:p w:rsidR="004E24CE" w:rsidRDefault="004E24CE">
          <w:pPr>
            <w:tabs>
              <w:tab w:val="right" w:pos="4273"/>
            </w:tabs>
            <w:rPr>
              <w:rFonts w:ascii="Garamond" w:eastAsia="Garamond" w:hAnsi="Garamond" w:cs="Garamond"/>
            </w:rPr>
          </w:pPr>
        </w:p>
      </w:tc>
      <w:tc>
        <w:tcPr>
          <w:tcW w:w="8225" w:type="dxa"/>
        </w:tcPr>
        <w:tbl>
          <w:tblPr>
            <w:tblW w:w="7938" w:type="dxa"/>
            <w:tblInd w:w="37" w:type="dxa"/>
            <w:tblLayout w:type="fixed"/>
            <w:tblLook w:val="0400" w:firstRow="0" w:lastRow="0" w:firstColumn="0" w:lastColumn="0" w:noHBand="0" w:noVBand="1"/>
          </w:tblPr>
          <w:tblGrid>
            <w:gridCol w:w="2807"/>
            <w:gridCol w:w="5131"/>
          </w:tblGrid>
          <w:tr w:rsidR="004E24CE" w:rsidTr="00561137">
            <w:trPr>
              <w:trHeight w:val="144"/>
            </w:trPr>
            <w:tc>
              <w:tcPr>
                <w:tcW w:w="2807" w:type="dxa"/>
                <w:tcBorders>
                  <w:top w:val="nil"/>
                  <w:left w:val="nil"/>
                  <w:bottom w:val="nil"/>
                  <w:right w:val="nil"/>
                </w:tcBorders>
              </w:tcPr>
              <w:p w:rsidR="004E24CE" w:rsidRPr="00561137" w:rsidRDefault="004E24CE">
                <w:pPr>
                  <w:tabs>
                    <w:tab w:val="right" w:pos="8838"/>
                  </w:tabs>
                  <w:ind w:right="16"/>
                  <w:rPr>
                    <w:rFonts w:ascii="Palatino Linotype" w:eastAsia="Palatino Linotype" w:hAnsi="Palatino Linotype" w:cs="Palatino Linotype"/>
                    <w:b/>
                  </w:rPr>
                </w:pPr>
                <w:r w:rsidRPr="00561137">
                  <w:rPr>
                    <w:rFonts w:ascii="Palatino Linotype" w:eastAsia="Palatino Linotype" w:hAnsi="Palatino Linotype" w:cs="Palatino Linotype"/>
                    <w:b/>
                  </w:rPr>
                  <w:t>Recurso de Revisión:</w:t>
                </w:r>
              </w:p>
            </w:tc>
            <w:tc>
              <w:tcPr>
                <w:tcW w:w="5131" w:type="dxa"/>
                <w:tcBorders>
                  <w:top w:val="nil"/>
                  <w:left w:val="nil"/>
                  <w:bottom w:val="nil"/>
                  <w:right w:val="nil"/>
                </w:tcBorders>
              </w:tcPr>
              <w:p w:rsidR="004E24CE" w:rsidRPr="00561137" w:rsidRDefault="004E24CE" w:rsidP="003F587A">
                <w:pPr>
                  <w:ind w:right="-494"/>
                  <w:rPr>
                    <w:rFonts w:ascii="Palatino Linotype" w:eastAsia="Palatino Linotype" w:hAnsi="Palatino Linotype" w:cs="Palatino Linotype"/>
                  </w:rPr>
                </w:pPr>
                <w:r w:rsidRPr="00561137">
                  <w:rPr>
                    <w:rFonts w:ascii="Palatino Linotype" w:eastAsia="Palatino Linotype" w:hAnsi="Palatino Linotype" w:cs="Palatino Linotype"/>
                    <w:bCs/>
                  </w:rPr>
                  <w:t>05603/INFOEM/IP/RR/2026</w:t>
                </w:r>
              </w:p>
            </w:tc>
          </w:tr>
          <w:tr w:rsidR="004E24CE" w:rsidTr="00561137">
            <w:trPr>
              <w:trHeight w:val="144"/>
            </w:trPr>
            <w:tc>
              <w:tcPr>
                <w:tcW w:w="2807" w:type="dxa"/>
                <w:tcBorders>
                  <w:top w:val="nil"/>
                  <w:left w:val="nil"/>
                  <w:bottom w:val="nil"/>
                  <w:right w:val="nil"/>
                </w:tcBorders>
              </w:tcPr>
              <w:p w:rsidR="004E24CE" w:rsidRPr="00561137" w:rsidRDefault="004E24CE">
                <w:pPr>
                  <w:tabs>
                    <w:tab w:val="right" w:pos="8838"/>
                  </w:tabs>
                  <w:ind w:right="16"/>
                  <w:rPr>
                    <w:rFonts w:ascii="Palatino Linotype" w:eastAsia="Palatino Linotype" w:hAnsi="Palatino Linotype" w:cs="Palatino Linotype"/>
                    <w:b/>
                  </w:rPr>
                </w:pPr>
                <w:r w:rsidRPr="00561137">
                  <w:rPr>
                    <w:rFonts w:ascii="Palatino Linotype" w:eastAsia="Palatino Linotype" w:hAnsi="Palatino Linotype" w:cs="Palatino Linotype"/>
                    <w:b/>
                  </w:rPr>
                  <w:t>Recurrente:</w:t>
                </w:r>
              </w:p>
            </w:tc>
            <w:tc>
              <w:tcPr>
                <w:tcW w:w="5131" w:type="dxa"/>
                <w:tcBorders>
                  <w:top w:val="nil"/>
                  <w:left w:val="nil"/>
                  <w:bottom w:val="nil"/>
                  <w:right w:val="nil"/>
                </w:tcBorders>
              </w:tcPr>
              <w:p w:rsidR="004E24CE" w:rsidRPr="00561137" w:rsidRDefault="004E24CE">
                <w:pPr>
                  <w:tabs>
                    <w:tab w:val="left" w:pos="3827"/>
                  </w:tabs>
                  <w:ind w:right="-494"/>
                  <w:rPr>
                    <w:rFonts w:ascii="Palatino Linotype" w:eastAsia="Palatino Linotype" w:hAnsi="Palatino Linotype" w:cs="Palatino Linotype"/>
                  </w:rPr>
                </w:pPr>
              </w:p>
            </w:tc>
          </w:tr>
          <w:tr w:rsidR="004E24CE" w:rsidTr="00561137">
            <w:trPr>
              <w:trHeight w:val="283"/>
            </w:trPr>
            <w:tc>
              <w:tcPr>
                <w:tcW w:w="2807" w:type="dxa"/>
                <w:tcBorders>
                  <w:top w:val="nil"/>
                  <w:left w:val="nil"/>
                  <w:bottom w:val="nil"/>
                  <w:right w:val="nil"/>
                </w:tcBorders>
              </w:tcPr>
              <w:p w:rsidR="004E24CE" w:rsidRPr="00561137" w:rsidRDefault="004E24CE">
                <w:pPr>
                  <w:tabs>
                    <w:tab w:val="right" w:pos="8838"/>
                  </w:tabs>
                  <w:ind w:right="16"/>
                  <w:rPr>
                    <w:rFonts w:ascii="Palatino Linotype" w:eastAsia="Palatino Linotype" w:hAnsi="Palatino Linotype" w:cs="Palatino Linotype"/>
                    <w:b/>
                  </w:rPr>
                </w:pPr>
                <w:r w:rsidRPr="00561137">
                  <w:rPr>
                    <w:rFonts w:ascii="Palatino Linotype" w:eastAsia="Palatino Linotype" w:hAnsi="Palatino Linotype" w:cs="Palatino Linotype"/>
                    <w:b/>
                  </w:rPr>
                  <w:t>Sujeto Obligado:</w:t>
                </w:r>
              </w:p>
            </w:tc>
            <w:tc>
              <w:tcPr>
                <w:tcW w:w="5131" w:type="dxa"/>
                <w:tcBorders>
                  <w:top w:val="nil"/>
                  <w:left w:val="nil"/>
                  <w:bottom w:val="nil"/>
                  <w:right w:val="nil"/>
                </w:tcBorders>
              </w:tcPr>
              <w:p w:rsidR="004E24CE" w:rsidRPr="00561137" w:rsidRDefault="004E24CE" w:rsidP="003F587A">
                <w:pPr>
                  <w:tabs>
                    <w:tab w:val="left" w:pos="2834"/>
                  </w:tabs>
                  <w:ind w:right="-494"/>
                  <w:rPr>
                    <w:rFonts w:ascii="Palatino Linotype" w:eastAsia="Palatino Linotype" w:hAnsi="Palatino Linotype" w:cs="Palatino Linotype"/>
                  </w:rPr>
                </w:pPr>
                <w:r w:rsidRPr="00561137">
                  <w:rPr>
                    <w:rFonts w:ascii="Palatino Linotype" w:eastAsia="Palatino Linotype" w:hAnsi="Palatino Linotype" w:cs="Palatino Linotype"/>
                    <w:bCs/>
                  </w:rPr>
                  <w:t>Organismo Público Descentralizado Municipal para la prestación de los servicios de Agua Potable, Drenaje, Alcantarillado y Saneamiento de Calimaya, México</w:t>
                </w:r>
              </w:p>
            </w:tc>
          </w:tr>
          <w:tr w:rsidR="004E24CE" w:rsidTr="00561137">
            <w:trPr>
              <w:trHeight w:val="283"/>
            </w:trPr>
            <w:tc>
              <w:tcPr>
                <w:tcW w:w="2807" w:type="dxa"/>
                <w:tcBorders>
                  <w:top w:val="nil"/>
                  <w:left w:val="nil"/>
                  <w:bottom w:val="nil"/>
                  <w:right w:val="nil"/>
                </w:tcBorders>
              </w:tcPr>
              <w:p w:rsidR="004E24CE" w:rsidRPr="00561137" w:rsidRDefault="004E24CE">
                <w:pPr>
                  <w:tabs>
                    <w:tab w:val="right" w:pos="8838"/>
                  </w:tabs>
                  <w:ind w:right="16"/>
                  <w:rPr>
                    <w:rFonts w:ascii="Palatino Linotype" w:eastAsia="Palatino Linotype" w:hAnsi="Palatino Linotype" w:cs="Palatino Linotype"/>
                    <w:b/>
                  </w:rPr>
                </w:pPr>
                <w:r w:rsidRPr="00561137">
                  <w:rPr>
                    <w:rFonts w:ascii="Palatino Linotype" w:eastAsia="Palatino Linotype" w:hAnsi="Palatino Linotype" w:cs="Palatino Linotype"/>
                    <w:b/>
                  </w:rPr>
                  <w:t>Comisionada ponente:</w:t>
                </w:r>
              </w:p>
            </w:tc>
            <w:tc>
              <w:tcPr>
                <w:tcW w:w="5131" w:type="dxa"/>
                <w:tcBorders>
                  <w:top w:val="nil"/>
                  <w:left w:val="nil"/>
                  <w:bottom w:val="nil"/>
                  <w:right w:val="nil"/>
                </w:tcBorders>
              </w:tcPr>
              <w:p w:rsidR="004E24CE" w:rsidRPr="00561137" w:rsidRDefault="004E24CE">
                <w:pPr>
                  <w:ind w:right="-494"/>
                  <w:rPr>
                    <w:rFonts w:ascii="Palatino Linotype" w:eastAsia="Palatino Linotype" w:hAnsi="Palatino Linotype" w:cs="Palatino Linotype"/>
                  </w:rPr>
                </w:pPr>
                <w:r w:rsidRPr="00561137">
                  <w:rPr>
                    <w:rFonts w:ascii="Palatino Linotype" w:eastAsia="Palatino Linotype" w:hAnsi="Palatino Linotype" w:cs="Palatino Linotype"/>
                  </w:rPr>
                  <w:t>María del Rosario Mejía Ayala</w:t>
                </w:r>
              </w:p>
              <w:p w:rsidR="004E24CE" w:rsidRPr="00561137" w:rsidRDefault="004E24CE">
                <w:pPr>
                  <w:ind w:right="-494"/>
                  <w:rPr>
                    <w:rFonts w:ascii="Palatino Linotype" w:eastAsia="Palatino Linotype" w:hAnsi="Palatino Linotype" w:cs="Palatino Linotype"/>
                  </w:rPr>
                </w:pPr>
              </w:p>
            </w:tc>
          </w:tr>
        </w:tbl>
        <w:p w:rsidR="004E24CE" w:rsidRDefault="004E24CE">
          <w:pPr>
            <w:tabs>
              <w:tab w:val="right" w:pos="8838"/>
            </w:tabs>
            <w:ind w:left="-28"/>
            <w:jc w:val="both"/>
            <w:rPr>
              <w:rFonts w:ascii="Arial" w:eastAsia="Arial" w:hAnsi="Arial" w:cs="Arial"/>
              <w:b/>
            </w:rPr>
          </w:pPr>
        </w:p>
      </w:tc>
    </w:tr>
  </w:tbl>
  <w:p w:rsidR="004E24CE" w:rsidRDefault="00DA2C82">
    <w:pPr>
      <w:pBdr>
        <w:top w:val="nil"/>
        <w:left w:val="nil"/>
        <w:bottom w:val="nil"/>
        <w:right w:val="nil"/>
        <w:between w:val="nil"/>
      </w:pBdr>
      <w:tabs>
        <w:tab w:val="center" w:pos="4419"/>
        <w:tab w:val="right" w:pos="8838"/>
      </w:tabs>
      <w:rPr>
        <w:color w:val="000000"/>
        <w:sz w:val="2"/>
        <w:szCs w:val="2"/>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1" type="#_x0000_t75" alt="" style="position:absolute;margin-left:-77pt;margin-top:-176pt;width:589.8pt;height:768pt;z-index:-251655168;mso-position-horizontal-relative:margin;mso-position-vertical-relative:margin">
          <v:imagedata r:id="rId1" o:title="image1"/>
          <w10:wrap anchorx="margin" anchory="margin"/>
        </v:shape>
      </w:pict>
    </w:r>
  </w:p>
  <w:p w:rsidR="004E24CE" w:rsidRDefault="004E24C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FC7E6D"/>
    <w:multiLevelType w:val="hybridMultilevel"/>
    <w:tmpl w:val="CD283222"/>
    <w:lvl w:ilvl="0" w:tplc="080A0001">
      <w:start w:val="1"/>
      <w:numFmt w:val="bullet"/>
      <w:lvlText w:val=""/>
      <w:lvlJc w:val="left"/>
      <w:pPr>
        <w:ind w:left="786" w:hanging="360"/>
      </w:pPr>
      <w:rPr>
        <w:rFonts w:ascii="Symbol" w:hAnsi="Symbol" w:hint="default"/>
      </w:rPr>
    </w:lvl>
    <w:lvl w:ilvl="1" w:tplc="080A0003" w:tentative="1">
      <w:start w:val="1"/>
      <w:numFmt w:val="bullet"/>
      <w:lvlText w:val="o"/>
      <w:lvlJc w:val="left"/>
      <w:pPr>
        <w:ind w:left="1506" w:hanging="360"/>
      </w:pPr>
      <w:rPr>
        <w:rFonts w:ascii="Courier New" w:hAnsi="Courier New" w:cs="Courier New" w:hint="default"/>
      </w:rPr>
    </w:lvl>
    <w:lvl w:ilvl="2" w:tplc="080A0005" w:tentative="1">
      <w:start w:val="1"/>
      <w:numFmt w:val="bullet"/>
      <w:lvlText w:val=""/>
      <w:lvlJc w:val="left"/>
      <w:pPr>
        <w:ind w:left="2226" w:hanging="360"/>
      </w:pPr>
      <w:rPr>
        <w:rFonts w:ascii="Wingdings" w:hAnsi="Wingdings" w:hint="default"/>
      </w:rPr>
    </w:lvl>
    <w:lvl w:ilvl="3" w:tplc="080A0001" w:tentative="1">
      <w:start w:val="1"/>
      <w:numFmt w:val="bullet"/>
      <w:lvlText w:val=""/>
      <w:lvlJc w:val="left"/>
      <w:pPr>
        <w:ind w:left="2946" w:hanging="360"/>
      </w:pPr>
      <w:rPr>
        <w:rFonts w:ascii="Symbol" w:hAnsi="Symbol" w:hint="default"/>
      </w:rPr>
    </w:lvl>
    <w:lvl w:ilvl="4" w:tplc="080A0003" w:tentative="1">
      <w:start w:val="1"/>
      <w:numFmt w:val="bullet"/>
      <w:lvlText w:val="o"/>
      <w:lvlJc w:val="left"/>
      <w:pPr>
        <w:ind w:left="3666" w:hanging="360"/>
      </w:pPr>
      <w:rPr>
        <w:rFonts w:ascii="Courier New" w:hAnsi="Courier New" w:cs="Courier New" w:hint="default"/>
      </w:rPr>
    </w:lvl>
    <w:lvl w:ilvl="5" w:tplc="080A0005" w:tentative="1">
      <w:start w:val="1"/>
      <w:numFmt w:val="bullet"/>
      <w:lvlText w:val=""/>
      <w:lvlJc w:val="left"/>
      <w:pPr>
        <w:ind w:left="4386" w:hanging="360"/>
      </w:pPr>
      <w:rPr>
        <w:rFonts w:ascii="Wingdings" w:hAnsi="Wingdings" w:hint="default"/>
      </w:rPr>
    </w:lvl>
    <w:lvl w:ilvl="6" w:tplc="080A0001" w:tentative="1">
      <w:start w:val="1"/>
      <w:numFmt w:val="bullet"/>
      <w:lvlText w:val=""/>
      <w:lvlJc w:val="left"/>
      <w:pPr>
        <w:ind w:left="5106" w:hanging="360"/>
      </w:pPr>
      <w:rPr>
        <w:rFonts w:ascii="Symbol" w:hAnsi="Symbol" w:hint="default"/>
      </w:rPr>
    </w:lvl>
    <w:lvl w:ilvl="7" w:tplc="080A0003" w:tentative="1">
      <w:start w:val="1"/>
      <w:numFmt w:val="bullet"/>
      <w:lvlText w:val="o"/>
      <w:lvlJc w:val="left"/>
      <w:pPr>
        <w:ind w:left="5826" w:hanging="360"/>
      </w:pPr>
      <w:rPr>
        <w:rFonts w:ascii="Courier New" w:hAnsi="Courier New" w:cs="Courier New" w:hint="default"/>
      </w:rPr>
    </w:lvl>
    <w:lvl w:ilvl="8" w:tplc="080A0005" w:tentative="1">
      <w:start w:val="1"/>
      <w:numFmt w:val="bullet"/>
      <w:lvlText w:val=""/>
      <w:lvlJc w:val="left"/>
      <w:pPr>
        <w:ind w:left="6546" w:hanging="360"/>
      </w:pPr>
      <w:rPr>
        <w:rFonts w:ascii="Wingdings" w:hAnsi="Wingdings" w:hint="default"/>
      </w:rPr>
    </w:lvl>
  </w:abstractNum>
  <w:abstractNum w:abstractNumId="1" w15:restartNumberingAfterBreak="0">
    <w:nsid w:val="0FCD4D37"/>
    <w:multiLevelType w:val="multilevel"/>
    <w:tmpl w:val="3F32EAC8"/>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rPr>
        <w:b/>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A177B67"/>
    <w:multiLevelType w:val="multilevel"/>
    <w:tmpl w:val="D236FA1A"/>
    <w:lvl w:ilvl="0">
      <w:start w:val="1"/>
      <w:numFmt w:val="decimal"/>
      <w:lvlText w:val="%1."/>
      <w:lvlJc w:val="left"/>
      <w:pPr>
        <w:ind w:left="786"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15B793B"/>
    <w:multiLevelType w:val="hybridMultilevel"/>
    <w:tmpl w:val="4AB20D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745C4DFB"/>
    <w:multiLevelType w:val="multilevel"/>
    <w:tmpl w:val="C5D040BC"/>
    <w:lvl w:ilvl="0">
      <w:start w:val="1"/>
      <w:numFmt w:val="decimal"/>
      <w:lvlText w:val="%1."/>
      <w:lvlJc w:val="left"/>
      <w:pPr>
        <w:ind w:left="644"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1430"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AB53EB0"/>
    <w:multiLevelType w:val="hybridMultilevel"/>
    <w:tmpl w:val="0FB85ED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3"/>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2A3F"/>
    <w:rsid w:val="00024395"/>
    <w:rsid w:val="001164E8"/>
    <w:rsid w:val="0013340C"/>
    <w:rsid w:val="00155A12"/>
    <w:rsid w:val="0020570E"/>
    <w:rsid w:val="0025421B"/>
    <w:rsid w:val="00254AB3"/>
    <w:rsid w:val="002C3B2F"/>
    <w:rsid w:val="002F4336"/>
    <w:rsid w:val="00392A3F"/>
    <w:rsid w:val="003A3D2C"/>
    <w:rsid w:val="003F587A"/>
    <w:rsid w:val="004D11F0"/>
    <w:rsid w:val="004E24CE"/>
    <w:rsid w:val="00561137"/>
    <w:rsid w:val="005D0968"/>
    <w:rsid w:val="0063280C"/>
    <w:rsid w:val="006C1F97"/>
    <w:rsid w:val="006C654F"/>
    <w:rsid w:val="007A72C5"/>
    <w:rsid w:val="0080314A"/>
    <w:rsid w:val="00903C0A"/>
    <w:rsid w:val="00916692"/>
    <w:rsid w:val="00A41529"/>
    <w:rsid w:val="00A5346A"/>
    <w:rsid w:val="00BD7EE1"/>
    <w:rsid w:val="00C16A2C"/>
    <w:rsid w:val="00C23655"/>
    <w:rsid w:val="00C34793"/>
    <w:rsid w:val="00D4251A"/>
    <w:rsid w:val="00D97134"/>
    <w:rsid w:val="00DA2C82"/>
    <w:rsid w:val="00DE0AB4"/>
    <w:rsid w:val="00DF52CD"/>
    <w:rsid w:val="00E150EA"/>
    <w:rsid w:val="00ED0587"/>
    <w:rsid w:val="00EE4E35"/>
    <w:rsid w:val="00F1081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9A7A7CE1-7736-46B0-A3DD-B158E12F8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2A3F"/>
    <w:pPr>
      <w:spacing w:after="0" w:line="240" w:lineRule="auto"/>
    </w:pPr>
    <w:rPr>
      <w:rFonts w:ascii="Times New Roman" w:eastAsia="Times New Roman" w:hAnsi="Times New Roman" w:cs="Times New Roman"/>
      <w:sz w:val="24"/>
      <w:szCs w:val="24"/>
      <w:lang w:eastAsia="es-MX"/>
      <w14:ligatures w14:val="standardContextual"/>
    </w:rPr>
  </w:style>
  <w:style w:type="paragraph" w:styleId="Ttulo2">
    <w:name w:val="heading 2"/>
    <w:basedOn w:val="Normal"/>
    <w:next w:val="Normal"/>
    <w:link w:val="Ttulo2Car"/>
    <w:uiPriority w:val="9"/>
    <w:semiHidden/>
    <w:unhideWhenUsed/>
    <w:qFormat/>
    <w:rsid w:val="00392A3F"/>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semiHidden/>
    <w:rsid w:val="00392A3F"/>
    <w:rPr>
      <w:rFonts w:asciiTheme="majorHAnsi" w:eastAsiaTheme="majorEastAsia" w:hAnsiTheme="majorHAnsi" w:cstheme="majorBidi"/>
      <w:color w:val="2E74B5" w:themeColor="accent1" w:themeShade="BF"/>
      <w:sz w:val="26"/>
      <w:szCs w:val="26"/>
      <w:lang w:eastAsia="es-MX"/>
      <w14:ligatures w14:val="standardContextual"/>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392A3F"/>
    <w:pPr>
      <w:ind w:left="720"/>
      <w:contextualSpacing/>
    </w:pPr>
    <w:rPr>
      <w:rFonts w:ascii="Century Gothic" w:hAnsi="Century Gothic"/>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392A3F"/>
    <w:rPr>
      <w:rFonts w:ascii="Century Gothic" w:eastAsia="Times New Roman" w:hAnsi="Century Gothic" w:cs="Times New Roman"/>
      <w:sz w:val="24"/>
      <w:szCs w:val="24"/>
      <w:lang w:eastAsia="es-MX"/>
      <w14:ligatures w14:val="standardContextual"/>
    </w:rPr>
  </w:style>
  <w:style w:type="character" w:styleId="Hipervnculo">
    <w:name w:val="Hyperlink"/>
    <w:aliases w:val="Hipervínculo1,Hipervínculo11,Hipervínculo12,Hipervínculo13,Hipervínculo14,Hipervínculo15"/>
    <w:basedOn w:val="Fuentedeprrafopredeter"/>
    <w:uiPriority w:val="99"/>
    <w:unhideWhenUsed/>
    <w:rsid w:val="00392A3F"/>
    <w:rPr>
      <w:color w:val="0563C1"/>
      <w:u w:val="single"/>
    </w:rPr>
  </w:style>
  <w:style w:type="table" w:styleId="Tablaconcuadrcula">
    <w:name w:val="Table Grid"/>
    <w:basedOn w:val="Tablanormal"/>
    <w:uiPriority w:val="59"/>
    <w:qFormat/>
    <w:rsid w:val="00392A3F"/>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92A3F"/>
    <w:pPr>
      <w:tabs>
        <w:tab w:val="center" w:pos="4419"/>
        <w:tab w:val="right" w:pos="8838"/>
      </w:tabs>
    </w:pPr>
  </w:style>
  <w:style w:type="character" w:customStyle="1" w:styleId="PiedepginaCar">
    <w:name w:val="Pie de página Car"/>
    <w:basedOn w:val="Fuentedeprrafopredeter"/>
    <w:link w:val="Piedepgina"/>
    <w:uiPriority w:val="99"/>
    <w:rsid w:val="00392A3F"/>
    <w:rPr>
      <w:rFonts w:ascii="Times New Roman" w:eastAsia="Times New Roman" w:hAnsi="Times New Roman" w:cs="Times New Roman"/>
      <w:sz w:val="24"/>
      <w:szCs w:val="24"/>
      <w:lang w:eastAsia="es-MX"/>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2762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19</Pages>
  <Words>4253</Words>
  <Characters>23396</Characters>
  <Application>Microsoft Office Word</Application>
  <DocSecurity>0</DocSecurity>
  <Lines>194</Lines>
  <Paragraphs>55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27594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INFOEM399</dc:creator>
  <cp:keywords/>
  <dc:description/>
  <cp:lastModifiedBy>Cuenta Microsoft</cp:lastModifiedBy>
  <cp:revision>7</cp:revision>
  <cp:lastPrinted>2026-07-03T16:06:00Z</cp:lastPrinted>
  <dcterms:created xsi:type="dcterms:W3CDTF">2026-06-24T23:38:00Z</dcterms:created>
  <dcterms:modified xsi:type="dcterms:W3CDTF">2026-07-08T19:26:00Z</dcterms:modified>
</cp:coreProperties>
</file>