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B83D5" w14:textId="1859D83E" w:rsidR="004D3BF2" w:rsidRDefault="004D5219" w:rsidP="00CA6D43">
      <w:pPr>
        <w:tabs>
          <w:tab w:val="left" w:pos="8931"/>
        </w:tabs>
        <w:spacing w:after="0" w:line="360" w:lineRule="auto"/>
      </w:pPr>
      <w:r>
        <w:t xml:space="preserve">Resolución del Pleno del Instituto de Transparencia, Acceso a la Información Pública y Protección de Datos Personales del Estado de México y Municipios, con domicilio en Metepec, Estado de México, de </w:t>
      </w:r>
      <w:r w:rsidR="008C270F">
        <w:t xml:space="preserve">fecha ocho de julio de dos mil veintiséis. </w:t>
      </w:r>
    </w:p>
    <w:p w14:paraId="132D3BDA" w14:textId="77777777" w:rsidR="004D3BF2" w:rsidRDefault="004D3BF2" w:rsidP="00CA6D43">
      <w:pPr>
        <w:spacing w:after="0" w:line="360" w:lineRule="auto"/>
        <w:rPr>
          <w:b/>
        </w:rPr>
      </w:pPr>
    </w:p>
    <w:p w14:paraId="495DD9E2" w14:textId="6107DBCD" w:rsidR="004D3BF2" w:rsidRDefault="004D5219" w:rsidP="00CA6D43">
      <w:pPr>
        <w:spacing w:after="0" w:line="360" w:lineRule="auto"/>
        <w:rPr>
          <w:color w:val="0D0D0D"/>
        </w:rPr>
      </w:pPr>
      <w:r>
        <w:rPr>
          <w:b/>
        </w:rPr>
        <w:t xml:space="preserve">VISTO </w:t>
      </w:r>
      <w:r>
        <w:t xml:space="preserve">el expediente electrónico conformado con motivo del Recurso de Revisión </w:t>
      </w:r>
      <w:r w:rsidR="008C270F" w:rsidRPr="00B957B8">
        <w:rPr>
          <w:b/>
        </w:rPr>
        <w:t>04741/INFOEM/IP/RR/2026</w:t>
      </w:r>
      <w:r w:rsidRPr="00CA6D43">
        <w:t>, interpuesto por</w:t>
      </w:r>
      <w:r w:rsidR="0051117E">
        <w:t xml:space="preserve"> la persona</w:t>
      </w:r>
      <w:bookmarkStart w:id="0" w:name="_GoBack"/>
      <w:bookmarkEnd w:id="0"/>
      <w:r w:rsidRPr="00CA6D43">
        <w:rPr>
          <w:rFonts w:ascii="Arial" w:eastAsia="Arial" w:hAnsi="Arial" w:cs="Arial"/>
          <w:color w:val="333333"/>
          <w:sz w:val="15"/>
          <w:szCs w:val="15"/>
          <w:shd w:val="clear" w:color="auto" w:fill="F7F7F8"/>
        </w:rPr>
        <w:t xml:space="preserve"> </w:t>
      </w:r>
      <w:r w:rsidRPr="00CA6D43">
        <w:rPr>
          <w:color w:val="0D0D0D"/>
        </w:rPr>
        <w:t xml:space="preserve">Recurrente o Particular, en contra de la respuesta del Sujeto Obligado, </w:t>
      </w:r>
      <w:r w:rsidR="008C270F" w:rsidRPr="00B957B8">
        <w:rPr>
          <w:b/>
          <w:color w:val="0D0D0D"/>
        </w:rPr>
        <w:t>Instituto Municipal de Cultura Física y Deporte de Chimalhuacán</w:t>
      </w:r>
      <w:r w:rsidRPr="00B957B8">
        <w:rPr>
          <w:b/>
          <w:color w:val="0D0D0D"/>
        </w:rPr>
        <w:t>,</w:t>
      </w:r>
      <w:r w:rsidRPr="00CA6D43">
        <w:rPr>
          <w:color w:val="0D0D0D"/>
        </w:rPr>
        <w:t xml:space="preserve"> a la solicitud de acceso a la información pública </w:t>
      </w:r>
      <w:r w:rsidR="008C270F" w:rsidRPr="00CA6D43">
        <w:t>00022/IMCUFIDECHIMAL/IP/2026</w:t>
      </w:r>
      <w:r w:rsidRPr="00CA6D43">
        <w:rPr>
          <w:color w:val="000000"/>
        </w:rPr>
        <w:t>,</w:t>
      </w:r>
      <w:r>
        <w:rPr>
          <w:color w:val="000000"/>
        </w:rPr>
        <w:t xml:space="preserve"> </w:t>
      </w:r>
      <w:r>
        <w:rPr>
          <w:color w:val="0D0D0D"/>
        </w:rPr>
        <w:t>se emite la presente Resolución, con base en los Antecedentes y Considerandos que se exponen a continuación:</w:t>
      </w:r>
    </w:p>
    <w:p w14:paraId="307C9C14" w14:textId="77777777" w:rsidR="004D3BF2" w:rsidRDefault="004D3BF2" w:rsidP="00CA6D43">
      <w:pPr>
        <w:spacing w:after="0" w:line="360" w:lineRule="auto"/>
        <w:rPr>
          <w:b/>
        </w:rPr>
      </w:pPr>
    </w:p>
    <w:p w14:paraId="377C711A" w14:textId="77777777" w:rsidR="004D3BF2" w:rsidRDefault="004D5219" w:rsidP="00CA6D43">
      <w:pPr>
        <w:pStyle w:val="Ttulo1"/>
        <w:spacing w:before="0" w:after="0" w:line="360" w:lineRule="auto"/>
        <w:jc w:val="center"/>
        <w:rPr>
          <w:sz w:val="22"/>
          <w:szCs w:val="22"/>
        </w:rPr>
      </w:pPr>
      <w:r>
        <w:rPr>
          <w:sz w:val="22"/>
          <w:szCs w:val="22"/>
        </w:rPr>
        <w:t>A N T E C E D E N T E S</w:t>
      </w:r>
    </w:p>
    <w:p w14:paraId="3C0BB103" w14:textId="77777777" w:rsidR="004D3BF2" w:rsidRDefault="004D3BF2" w:rsidP="00CA6D43">
      <w:pPr>
        <w:spacing w:after="0" w:line="360" w:lineRule="auto"/>
        <w:jc w:val="center"/>
        <w:rPr>
          <w:b/>
        </w:rPr>
      </w:pPr>
    </w:p>
    <w:p w14:paraId="27928D45" w14:textId="77777777" w:rsidR="004D3BF2" w:rsidRDefault="004D5219" w:rsidP="00CA6D43">
      <w:pPr>
        <w:pStyle w:val="Ttulo2"/>
        <w:spacing w:before="0" w:after="0" w:line="360" w:lineRule="auto"/>
        <w:rPr>
          <w:sz w:val="22"/>
          <w:szCs w:val="22"/>
        </w:rPr>
      </w:pPr>
      <w:r>
        <w:rPr>
          <w:sz w:val="22"/>
          <w:szCs w:val="22"/>
        </w:rPr>
        <w:t>I. Presentación de la solicitud de información</w:t>
      </w:r>
    </w:p>
    <w:p w14:paraId="3C4246FD" w14:textId="77777777" w:rsidR="004D3BF2" w:rsidRDefault="004D3BF2" w:rsidP="00CA6D43">
      <w:pPr>
        <w:tabs>
          <w:tab w:val="left" w:pos="567"/>
        </w:tabs>
        <w:spacing w:after="0" w:line="360" w:lineRule="auto"/>
      </w:pPr>
    </w:p>
    <w:p w14:paraId="55AA3738" w14:textId="7B1B61AA" w:rsidR="004D3BF2" w:rsidRDefault="004D5219" w:rsidP="00CA6D43">
      <w:pPr>
        <w:spacing w:after="0" w:line="360" w:lineRule="auto"/>
      </w:pPr>
      <w:r>
        <w:t xml:space="preserve">El </w:t>
      </w:r>
      <w:r w:rsidR="008C270F">
        <w:t>seis de abril de dos mil veintiséis</w:t>
      </w:r>
      <w:r>
        <w:t xml:space="preserve"> el Particular presentó una solicitud de acceso a la información pública, a través del Sistema de Acceso a la Información Mexiquense (SAIMEX), ante el </w:t>
      </w:r>
      <w:r w:rsidR="008C270F">
        <w:t>Instituto Municipal de Cultura Física y Deporte de Chimalhuacán</w:t>
      </w:r>
      <w:r>
        <w:rPr>
          <w:color w:val="000000"/>
        </w:rPr>
        <w:t>,</w:t>
      </w:r>
      <w:r>
        <w:t xml:space="preserve"> en los siguientes términos: </w:t>
      </w:r>
    </w:p>
    <w:p w14:paraId="7E153AFA" w14:textId="77777777" w:rsidR="004D3BF2" w:rsidRDefault="004D3BF2" w:rsidP="00CA6D43">
      <w:pPr>
        <w:spacing w:after="0" w:line="360" w:lineRule="auto"/>
      </w:pPr>
    </w:p>
    <w:p w14:paraId="0F848EA5" w14:textId="77777777" w:rsidR="004D3BF2" w:rsidRDefault="004D5219" w:rsidP="00CA6D43">
      <w:pPr>
        <w:tabs>
          <w:tab w:val="left" w:pos="4667"/>
        </w:tabs>
        <w:spacing w:after="0" w:line="360" w:lineRule="auto"/>
        <w:ind w:left="567" w:right="567"/>
        <w:rPr>
          <w:b/>
          <w:i/>
          <w:sz w:val="20"/>
          <w:szCs w:val="20"/>
        </w:rPr>
      </w:pPr>
      <w:r>
        <w:rPr>
          <w:b/>
          <w:i/>
          <w:sz w:val="20"/>
          <w:szCs w:val="20"/>
        </w:rPr>
        <w:t>“DESCRIPCIÓN CLARA Y PRECISA DE LA INFORMACIÓN SOLICITADA</w:t>
      </w:r>
    </w:p>
    <w:p w14:paraId="6B61134D" w14:textId="0C8826F0" w:rsidR="004D3BF2" w:rsidRDefault="008C270F" w:rsidP="00CA6D43">
      <w:pPr>
        <w:tabs>
          <w:tab w:val="left" w:pos="4667"/>
        </w:tabs>
        <w:spacing w:after="0" w:line="360" w:lineRule="auto"/>
        <w:ind w:left="567" w:right="567"/>
        <w:rPr>
          <w:i/>
          <w:sz w:val="20"/>
          <w:szCs w:val="20"/>
        </w:rPr>
      </w:pPr>
      <w:r w:rsidRPr="008C270F">
        <w:rPr>
          <w:i/>
          <w:sz w:val="20"/>
          <w:szCs w:val="20"/>
        </w:rPr>
        <w:t>Lista de unidades deportivas y su estado actual Presupuesto destinado a mantenimiento Empresas o contratos para rehabilitación</w:t>
      </w:r>
      <w:r w:rsidR="007839E2">
        <w:rPr>
          <w:i/>
          <w:sz w:val="20"/>
          <w:szCs w:val="20"/>
        </w:rPr>
        <w:t>” (Sic.)</w:t>
      </w:r>
    </w:p>
    <w:p w14:paraId="062E5621" w14:textId="77777777" w:rsidR="004D3BF2" w:rsidRDefault="004D3BF2" w:rsidP="00CA6D43">
      <w:pPr>
        <w:tabs>
          <w:tab w:val="left" w:pos="4667"/>
        </w:tabs>
        <w:spacing w:after="0" w:line="360" w:lineRule="auto"/>
        <w:ind w:left="567" w:right="567"/>
        <w:rPr>
          <w:b/>
          <w:i/>
          <w:sz w:val="20"/>
          <w:szCs w:val="20"/>
        </w:rPr>
      </w:pPr>
    </w:p>
    <w:p w14:paraId="3AAAEBDB" w14:textId="77777777" w:rsidR="004D3BF2" w:rsidRDefault="004D5219" w:rsidP="00CA6D43">
      <w:pPr>
        <w:tabs>
          <w:tab w:val="left" w:pos="4667"/>
        </w:tabs>
        <w:spacing w:after="0" w:line="360" w:lineRule="auto"/>
        <w:ind w:left="567" w:right="567"/>
        <w:rPr>
          <w:b/>
          <w:i/>
          <w:sz w:val="20"/>
          <w:szCs w:val="20"/>
        </w:rPr>
      </w:pPr>
      <w:r>
        <w:rPr>
          <w:b/>
          <w:i/>
          <w:sz w:val="20"/>
          <w:szCs w:val="20"/>
        </w:rPr>
        <w:t>“MODALIDAD DE ENTREGA</w:t>
      </w:r>
    </w:p>
    <w:p w14:paraId="4A270F6B" w14:textId="77777777" w:rsidR="004D3BF2" w:rsidRDefault="004D5219" w:rsidP="00CA6D43">
      <w:pPr>
        <w:spacing w:after="0" w:line="360" w:lineRule="auto"/>
        <w:ind w:left="567" w:right="567"/>
        <w:rPr>
          <w:i/>
          <w:sz w:val="20"/>
          <w:szCs w:val="20"/>
        </w:rPr>
      </w:pPr>
      <w:r>
        <w:rPr>
          <w:i/>
          <w:sz w:val="20"/>
          <w:szCs w:val="20"/>
        </w:rPr>
        <w:t>A través del SAIMEX”</w:t>
      </w:r>
    </w:p>
    <w:p w14:paraId="57875410" w14:textId="77777777" w:rsidR="004D3BF2" w:rsidRDefault="004D3BF2" w:rsidP="00CA6D43">
      <w:pPr>
        <w:spacing w:after="0" w:line="360" w:lineRule="auto"/>
        <w:ind w:left="567" w:right="567"/>
        <w:rPr>
          <w:i/>
          <w:sz w:val="20"/>
          <w:szCs w:val="20"/>
        </w:rPr>
      </w:pPr>
    </w:p>
    <w:p w14:paraId="7DB0BBA1" w14:textId="77777777" w:rsidR="004D3BF2" w:rsidRDefault="004D5219" w:rsidP="00CA6D43">
      <w:pPr>
        <w:pStyle w:val="Ttulo2"/>
        <w:spacing w:before="0" w:after="0" w:line="360" w:lineRule="auto"/>
        <w:rPr>
          <w:sz w:val="22"/>
          <w:szCs w:val="22"/>
        </w:rPr>
      </w:pPr>
      <w:r>
        <w:rPr>
          <w:sz w:val="22"/>
          <w:szCs w:val="22"/>
        </w:rPr>
        <w:lastRenderedPageBreak/>
        <w:t>II. Respuesta del Sujeto Obligado</w:t>
      </w:r>
    </w:p>
    <w:p w14:paraId="001B1D2F" w14:textId="77777777" w:rsidR="004D3BF2" w:rsidRDefault="004D3BF2" w:rsidP="00CA6D43">
      <w:pPr>
        <w:spacing w:after="0" w:line="360" w:lineRule="auto"/>
        <w:rPr>
          <w:b/>
        </w:rPr>
      </w:pPr>
    </w:p>
    <w:p w14:paraId="2B3B33C5" w14:textId="6824357B" w:rsidR="004D3BF2" w:rsidRDefault="004D5219" w:rsidP="00CA6D43">
      <w:pPr>
        <w:spacing w:after="0" w:line="360" w:lineRule="auto"/>
        <w:rPr>
          <w:color w:val="000000"/>
        </w:rPr>
      </w:pPr>
      <w:r>
        <w:t xml:space="preserve">El </w:t>
      </w:r>
      <w:r w:rsidR="008C270F">
        <w:t>veintisiete de abril de dos mil veintiséis</w:t>
      </w:r>
      <w:r>
        <w:t xml:space="preserve">, el Sujeto Obligado notificó, a través del Sistema de Acceso a la Información Mexiquense (SAIMEX), la respuesta a la solicitud de acceso a la información pública, </w:t>
      </w:r>
      <w:r w:rsidR="008C270F">
        <w:rPr>
          <w:color w:val="000000"/>
        </w:rPr>
        <w:t>por medio de la remisión de lo siguiente:</w:t>
      </w:r>
    </w:p>
    <w:p w14:paraId="2A514B14" w14:textId="77777777" w:rsidR="008C270F" w:rsidRDefault="008C270F" w:rsidP="00CA6D43">
      <w:pPr>
        <w:spacing w:after="0" w:line="360" w:lineRule="auto"/>
        <w:rPr>
          <w:color w:val="000000"/>
        </w:rPr>
      </w:pPr>
    </w:p>
    <w:p w14:paraId="7AEE4FFD" w14:textId="689FAD79" w:rsidR="008C270F" w:rsidRDefault="008C270F" w:rsidP="00CA6D43">
      <w:pPr>
        <w:pStyle w:val="Prrafodelista"/>
        <w:numPr>
          <w:ilvl w:val="0"/>
          <w:numId w:val="25"/>
        </w:numPr>
        <w:spacing w:line="360" w:lineRule="auto"/>
        <w:rPr>
          <w:color w:val="000000"/>
        </w:rPr>
      </w:pPr>
      <w:r>
        <w:rPr>
          <w:color w:val="000000"/>
        </w:rPr>
        <w:t>Listado de Unidades deportivas y estado actual.</w:t>
      </w:r>
    </w:p>
    <w:p w14:paraId="2D1381C3" w14:textId="042A11FF" w:rsidR="008C270F" w:rsidRDefault="008C270F" w:rsidP="00CA6D43">
      <w:pPr>
        <w:pStyle w:val="Prrafodelista"/>
        <w:numPr>
          <w:ilvl w:val="0"/>
          <w:numId w:val="25"/>
        </w:numPr>
        <w:spacing w:line="360" w:lineRule="auto"/>
        <w:rPr>
          <w:color w:val="000000"/>
        </w:rPr>
      </w:pPr>
      <w:r>
        <w:rPr>
          <w:color w:val="000000"/>
        </w:rPr>
        <w:t>Presupuesto de Egresos 2025</w:t>
      </w:r>
      <w:r w:rsidR="00CA6D43">
        <w:rPr>
          <w:color w:val="000000"/>
        </w:rPr>
        <w:t>;</w:t>
      </w:r>
    </w:p>
    <w:p w14:paraId="225B14A0" w14:textId="6419F79E" w:rsidR="008C270F" w:rsidRDefault="008C270F" w:rsidP="00CA6D43">
      <w:pPr>
        <w:pStyle w:val="Prrafodelista"/>
        <w:numPr>
          <w:ilvl w:val="0"/>
          <w:numId w:val="25"/>
        </w:numPr>
        <w:spacing w:line="360" w:lineRule="auto"/>
        <w:rPr>
          <w:color w:val="000000"/>
        </w:rPr>
      </w:pPr>
      <w:r>
        <w:rPr>
          <w:color w:val="000000"/>
        </w:rPr>
        <w:t>Tres contratos de prestación de servicios</w:t>
      </w:r>
      <w:r w:rsidR="00CA6D43">
        <w:rPr>
          <w:color w:val="000000"/>
        </w:rPr>
        <w:t>, y</w:t>
      </w:r>
    </w:p>
    <w:p w14:paraId="2DAC2886" w14:textId="51E48C3E" w:rsidR="008C270F" w:rsidRPr="008C270F" w:rsidRDefault="00C7174F" w:rsidP="00CA6D43">
      <w:pPr>
        <w:pStyle w:val="Prrafodelista"/>
        <w:numPr>
          <w:ilvl w:val="0"/>
          <w:numId w:val="25"/>
        </w:numPr>
        <w:spacing w:line="360" w:lineRule="auto"/>
        <w:rPr>
          <w:color w:val="000000"/>
        </w:rPr>
      </w:pPr>
      <w:r>
        <w:rPr>
          <w:color w:val="000000"/>
        </w:rPr>
        <w:t xml:space="preserve">Acta de la Décima Sesión Extraordinaria del Comité de Transparencia, donde se aprobó la clasificación de información contenida en los contratos. </w:t>
      </w:r>
    </w:p>
    <w:p w14:paraId="74CAB659" w14:textId="77777777" w:rsidR="0005799F" w:rsidRDefault="0005799F" w:rsidP="00CA6D43">
      <w:pPr>
        <w:spacing w:after="0" w:line="360" w:lineRule="auto"/>
      </w:pPr>
    </w:p>
    <w:p w14:paraId="5CD54057" w14:textId="77777777" w:rsidR="004D3BF2" w:rsidRDefault="004D5219" w:rsidP="00CA6D43">
      <w:pPr>
        <w:pStyle w:val="Ttulo2"/>
        <w:spacing w:before="0" w:after="0" w:line="360" w:lineRule="auto"/>
        <w:rPr>
          <w:sz w:val="22"/>
          <w:szCs w:val="22"/>
        </w:rPr>
      </w:pPr>
      <w:r>
        <w:rPr>
          <w:sz w:val="22"/>
          <w:szCs w:val="22"/>
        </w:rPr>
        <w:t>III. Interposición del Recurso de Revisión</w:t>
      </w:r>
    </w:p>
    <w:p w14:paraId="7C1228C3" w14:textId="77777777" w:rsidR="004D3BF2" w:rsidRDefault="004D3BF2" w:rsidP="00CA6D43">
      <w:pPr>
        <w:spacing w:after="0" w:line="360" w:lineRule="auto"/>
        <w:rPr>
          <w:b/>
        </w:rPr>
      </w:pPr>
    </w:p>
    <w:p w14:paraId="65D2E9B1" w14:textId="570701B5" w:rsidR="004D3BF2" w:rsidRDefault="004D5219" w:rsidP="00CA6D43">
      <w:pPr>
        <w:spacing w:after="0" w:line="360" w:lineRule="auto"/>
      </w:pPr>
      <w:r>
        <w:t xml:space="preserve">El </w:t>
      </w:r>
      <w:r w:rsidR="00C7174F">
        <w:t>cuatro de mayo de dos mil veintiséis</w:t>
      </w:r>
      <w:r>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1A55A163" w14:textId="77777777" w:rsidR="00BF6E44" w:rsidRDefault="00BF6E44" w:rsidP="00CA6D43">
      <w:pPr>
        <w:spacing w:after="0" w:line="360" w:lineRule="auto"/>
      </w:pPr>
    </w:p>
    <w:p w14:paraId="675C1B17" w14:textId="77777777" w:rsidR="004D3BF2" w:rsidRDefault="004D5219" w:rsidP="00CA6D43">
      <w:pPr>
        <w:spacing w:after="0" w:line="360" w:lineRule="auto"/>
        <w:ind w:left="567" w:right="567"/>
        <w:rPr>
          <w:i/>
          <w:sz w:val="20"/>
          <w:szCs w:val="20"/>
        </w:rPr>
      </w:pPr>
      <w:r>
        <w:rPr>
          <w:b/>
          <w:i/>
          <w:sz w:val="20"/>
          <w:szCs w:val="20"/>
        </w:rPr>
        <w:t>‘’ACTO IMPUGNADO</w:t>
      </w:r>
    </w:p>
    <w:p w14:paraId="538841DB" w14:textId="090B6646" w:rsidR="004D3BF2" w:rsidRDefault="00C7174F" w:rsidP="00CA6D43">
      <w:pPr>
        <w:spacing w:after="0" w:line="360" w:lineRule="auto"/>
        <w:ind w:left="567" w:right="567"/>
        <w:rPr>
          <w:i/>
          <w:sz w:val="20"/>
          <w:szCs w:val="20"/>
        </w:rPr>
      </w:pPr>
      <w:r w:rsidRPr="00C7174F">
        <w:rPr>
          <w:i/>
          <w:sz w:val="20"/>
          <w:szCs w:val="20"/>
        </w:rPr>
        <w:t>informacion publico se encuentra borrado, se solicita de nuevo la informacion</w:t>
      </w:r>
      <w:r w:rsidR="00204B72">
        <w:rPr>
          <w:i/>
          <w:sz w:val="20"/>
          <w:szCs w:val="20"/>
        </w:rPr>
        <w:t>” (Sic.)</w:t>
      </w:r>
    </w:p>
    <w:p w14:paraId="2D535C1B" w14:textId="77777777" w:rsidR="004D3BF2" w:rsidRDefault="004D3BF2" w:rsidP="00CA6D43">
      <w:pPr>
        <w:spacing w:after="0" w:line="360" w:lineRule="auto"/>
        <w:ind w:left="567" w:right="567"/>
        <w:rPr>
          <w:i/>
          <w:sz w:val="20"/>
          <w:szCs w:val="20"/>
        </w:rPr>
      </w:pPr>
    </w:p>
    <w:p w14:paraId="720140B6" w14:textId="77777777" w:rsidR="004D3BF2" w:rsidRDefault="004D5219" w:rsidP="00CA6D43">
      <w:pPr>
        <w:spacing w:after="0" w:line="360" w:lineRule="auto"/>
        <w:ind w:left="567" w:right="567"/>
        <w:rPr>
          <w:b/>
          <w:i/>
          <w:sz w:val="20"/>
          <w:szCs w:val="20"/>
        </w:rPr>
      </w:pPr>
      <w:r>
        <w:rPr>
          <w:b/>
          <w:i/>
          <w:sz w:val="20"/>
          <w:szCs w:val="20"/>
        </w:rPr>
        <w:t>‘’RAZONES O MOTIVOS DE LA INCONFORMIDAD</w:t>
      </w:r>
    </w:p>
    <w:p w14:paraId="351C7C35" w14:textId="019E89F6" w:rsidR="004D3BF2" w:rsidRDefault="00C7174F" w:rsidP="00CA6D43">
      <w:pPr>
        <w:spacing w:after="0" w:line="360" w:lineRule="auto"/>
        <w:ind w:left="567" w:right="567"/>
        <w:rPr>
          <w:i/>
          <w:sz w:val="20"/>
          <w:szCs w:val="20"/>
        </w:rPr>
      </w:pPr>
      <w:r w:rsidRPr="00C7174F">
        <w:rPr>
          <w:i/>
          <w:sz w:val="20"/>
          <w:szCs w:val="20"/>
        </w:rPr>
        <w:t>informacion publico se encuentra borrado, se solicita de nuevo la informacion</w:t>
      </w:r>
      <w:r w:rsidR="000249F8" w:rsidRPr="000249F8">
        <w:rPr>
          <w:i/>
          <w:sz w:val="20"/>
          <w:szCs w:val="20"/>
        </w:rPr>
        <w:t>.</w:t>
      </w:r>
      <w:r w:rsidR="00204B72">
        <w:rPr>
          <w:i/>
          <w:sz w:val="20"/>
          <w:szCs w:val="20"/>
        </w:rPr>
        <w:t>”</w:t>
      </w:r>
    </w:p>
    <w:p w14:paraId="20D5BAEC" w14:textId="77777777" w:rsidR="004D3BF2" w:rsidRDefault="004D3BF2" w:rsidP="00CA6D43">
      <w:pPr>
        <w:spacing w:after="0" w:line="360" w:lineRule="auto"/>
        <w:ind w:left="567" w:right="567" w:firstLine="32"/>
        <w:rPr>
          <w:i/>
          <w:sz w:val="20"/>
          <w:szCs w:val="20"/>
        </w:rPr>
      </w:pPr>
    </w:p>
    <w:p w14:paraId="4270B604" w14:textId="77777777" w:rsidR="004D3BF2" w:rsidRDefault="004D5219" w:rsidP="00CA6D43">
      <w:pPr>
        <w:pStyle w:val="Ttulo2"/>
        <w:spacing w:before="0" w:after="0" w:line="360" w:lineRule="auto"/>
        <w:rPr>
          <w:sz w:val="22"/>
          <w:szCs w:val="22"/>
        </w:rPr>
      </w:pPr>
      <w:r>
        <w:rPr>
          <w:sz w:val="22"/>
          <w:szCs w:val="22"/>
        </w:rPr>
        <w:t>IV. Trámite del Recurso de Revisión ante este Instituto</w:t>
      </w:r>
    </w:p>
    <w:p w14:paraId="79039FD3" w14:textId="77777777" w:rsidR="004D3BF2" w:rsidRDefault="004D3BF2" w:rsidP="00CA6D43">
      <w:pPr>
        <w:spacing w:after="0" w:line="360" w:lineRule="auto"/>
        <w:rPr>
          <w:b/>
        </w:rPr>
      </w:pPr>
    </w:p>
    <w:p w14:paraId="6B373E8C" w14:textId="7C3CA374" w:rsidR="004D3BF2" w:rsidRDefault="004D5219" w:rsidP="00CA6D43">
      <w:pPr>
        <w:spacing w:after="0" w:line="360" w:lineRule="auto"/>
      </w:pPr>
      <w:r>
        <w:rPr>
          <w:b/>
        </w:rPr>
        <w:t>a) Turno del Medio de Impugnación.</w:t>
      </w:r>
      <w:r>
        <w:t xml:space="preserve"> El </w:t>
      </w:r>
      <w:r w:rsidR="00C7174F" w:rsidRPr="00C7174F">
        <w:t>cuatro de mayo de dos mil veintiséis</w:t>
      </w:r>
      <w:r>
        <w:t xml:space="preserve">, el Sistema de Acceso a la Información Mexiquense (SAIMEX), asignó el número de expediente </w:t>
      </w:r>
      <w:r w:rsidR="008C270F">
        <w:rPr>
          <w:b/>
        </w:rPr>
        <w:t>04741/INFOEM/IP/RR/2026</w:t>
      </w:r>
      <w:r>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6FFC2435" w14:textId="77777777" w:rsidR="000249F8" w:rsidRPr="00204B72" w:rsidRDefault="000249F8" w:rsidP="00CA6D43">
      <w:pPr>
        <w:spacing w:after="0" w:line="360" w:lineRule="auto"/>
      </w:pPr>
    </w:p>
    <w:p w14:paraId="41677167" w14:textId="00800972" w:rsidR="004D3BF2" w:rsidRDefault="004D5219" w:rsidP="00CA6D43">
      <w:pPr>
        <w:spacing w:after="0" w:line="360" w:lineRule="auto"/>
      </w:pPr>
      <w:r>
        <w:rPr>
          <w:b/>
        </w:rPr>
        <w:t xml:space="preserve">b) Admisión del Recurso de Revisión. </w:t>
      </w:r>
      <w:r>
        <w:t xml:space="preserve">El </w:t>
      </w:r>
      <w:r w:rsidR="00C7174F">
        <w:t>ocho</w:t>
      </w:r>
      <w:r w:rsidR="00C7174F" w:rsidRPr="00C7174F">
        <w:t xml:space="preserve"> de mayo de dos mil veintiséis</w:t>
      </w:r>
      <w:r>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82C9E33" w14:textId="77777777" w:rsidR="00BF6E44" w:rsidRDefault="00BF6E44" w:rsidP="00CA6D43">
      <w:pPr>
        <w:spacing w:after="0" w:line="360" w:lineRule="auto"/>
      </w:pPr>
    </w:p>
    <w:p w14:paraId="6BDEC1DC" w14:textId="27AA81E9" w:rsidR="004D3BF2" w:rsidRDefault="004D5219" w:rsidP="00CA6D43">
      <w:pPr>
        <w:tabs>
          <w:tab w:val="left" w:pos="3261"/>
        </w:tabs>
        <w:spacing w:after="0" w:line="360" w:lineRule="auto"/>
        <w:rPr>
          <w:rFonts w:cs="Tahoma"/>
          <w:bCs/>
          <w:iCs/>
          <w:lang w:val="es-ES"/>
        </w:rPr>
      </w:pPr>
      <w:r>
        <w:rPr>
          <w:b/>
          <w:color w:val="000000"/>
        </w:rPr>
        <w:t>c) Informe Justificado</w:t>
      </w:r>
      <w:r w:rsidR="00204B72">
        <w:rPr>
          <w:b/>
          <w:color w:val="000000"/>
        </w:rPr>
        <w:t xml:space="preserve"> o manifestaciones</w:t>
      </w:r>
      <w:r>
        <w:rPr>
          <w:b/>
          <w:color w:val="000000"/>
        </w:rPr>
        <w:t>.</w:t>
      </w:r>
      <w:r w:rsidR="00204B72">
        <w:rPr>
          <w:color w:val="000000"/>
        </w:rPr>
        <w:t xml:space="preserve"> </w:t>
      </w:r>
      <w:r w:rsidR="00204B72" w:rsidRPr="00204B72">
        <w:rPr>
          <w:rFonts w:cs="Tahoma"/>
          <w:bCs/>
          <w:iCs/>
          <w:lang w:val="es-ES"/>
        </w:rPr>
        <w:t>Las partes fueron omisas en realizar manifestaciones o alegatos</w:t>
      </w:r>
    </w:p>
    <w:p w14:paraId="02BA370F" w14:textId="77777777" w:rsidR="00C7174F" w:rsidRDefault="00C7174F" w:rsidP="00CA6D43">
      <w:pPr>
        <w:tabs>
          <w:tab w:val="left" w:pos="3261"/>
        </w:tabs>
        <w:spacing w:after="0" w:line="360" w:lineRule="auto"/>
        <w:rPr>
          <w:rFonts w:cs="Tahoma"/>
          <w:bCs/>
          <w:iCs/>
          <w:lang w:val="es-ES"/>
        </w:rPr>
      </w:pPr>
    </w:p>
    <w:p w14:paraId="606F9715" w14:textId="256827FA" w:rsidR="00C7174F" w:rsidRDefault="00C7174F" w:rsidP="00CA6D43">
      <w:pPr>
        <w:tabs>
          <w:tab w:val="left" w:pos="3261"/>
        </w:tabs>
        <w:spacing w:after="0" w:line="360" w:lineRule="auto"/>
        <w:rPr>
          <w:rFonts w:cs="Tahoma"/>
          <w:bCs/>
          <w:iCs/>
          <w:lang w:val="es-ES"/>
        </w:rPr>
      </w:pPr>
      <w:r w:rsidRPr="00D517FE">
        <w:rPr>
          <w:rFonts w:cs="Tahoma"/>
          <w:b/>
          <w:iCs/>
          <w:lang w:val="es-ES"/>
        </w:rPr>
        <w:t>d) Ampliación de plazo.</w:t>
      </w:r>
      <w:r w:rsidR="00D517FE">
        <w:rPr>
          <w:rFonts w:cs="Tahoma"/>
          <w:b/>
          <w:iCs/>
          <w:lang w:val="es-ES"/>
        </w:rPr>
        <w:t xml:space="preserve"> </w:t>
      </w:r>
      <w:r>
        <w:rPr>
          <w:rFonts w:cs="Tahoma"/>
          <w:bCs/>
          <w:iCs/>
          <w:lang w:val="es-ES"/>
        </w:rPr>
        <w:t>El primero de julio de dos mil veintiséis, el Comisionado Ponente</w:t>
      </w:r>
      <w:r w:rsidRPr="00C7174F">
        <w:rPr>
          <w:rFonts w:cs="Tahoma"/>
          <w:bCs/>
          <w:iCs/>
          <w:lang w:val="es-ES"/>
        </w:rPr>
        <w:t>, con fundamento en lo dispuesto por el artículo 181, párrafo tercero, de la Ley de Transparencia y Acceso a la Información Pública del Estado de México y Municipios, acordó ampliar el plazo para resolver el Recurso de Revisión que nos ocupa; acto que fue notificado a las partes, mediante el Sistema de Acceso a la Información Mexiquense (SAIMEX).</w:t>
      </w:r>
    </w:p>
    <w:p w14:paraId="07FF74D2" w14:textId="77777777" w:rsidR="008A3F45" w:rsidRDefault="008A3F45" w:rsidP="00CA6D43">
      <w:pPr>
        <w:tabs>
          <w:tab w:val="left" w:pos="3261"/>
        </w:tabs>
        <w:spacing w:after="0" w:line="360" w:lineRule="auto"/>
        <w:rPr>
          <w:rFonts w:cs="Tahoma"/>
          <w:bCs/>
          <w:iCs/>
          <w:lang w:val="es-ES"/>
        </w:rPr>
      </w:pPr>
    </w:p>
    <w:p w14:paraId="70CC7767" w14:textId="52E31D07" w:rsidR="004D3BF2" w:rsidRDefault="00D517FE" w:rsidP="00CA6D43">
      <w:pPr>
        <w:spacing w:after="0" w:line="360" w:lineRule="auto"/>
      </w:pPr>
      <w:r>
        <w:rPr>
          <w:b/>
          <w:color w:val="000000"/>
        </w:rPr>
        <w:t>e</w:t>
      </w:r>
      <w:r w:rsidR="006F186C" w:rsidRPr="006F186C">
        <w:rPr>
          <w:b/>
          <w:color w:val="000000"/>
        </w:rPr>
        <w:t xml:space="preserve">) </w:t>
      </w:r>
      <w:r w:rsidR="006F186C">
        <w:rPr>
          <w:b/>
        </w:rPr>
        <w:t>Cierre de instrucción.</w:t>
      </w:r>
      <w:r w:rsidR="006F186C">
        <w:t xml:space="preserve"> El </w:t>
      </w:r>
      <w:r w:rsidR="00C7174F">
        <w:t xml:space="preserve">primero de julio de dos mil </w:t>
      </w:r>
      <w:r>
        <w:t>veintiséis</w:t>
      </w:r>
      <w:r w:rsidR="006F186C">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6F0DADD7" w14:textId="77777777" w:rsidR="004D3BF2" w:rsidRDefault="004D3BF2" w:rsidP="00CA6D43">
      <w:pPr>
        <w:spacing w:after="0" w:line="360" w:lineRule="auto"/>
      </w:pPr>
    </w:p>
    <w:p w14:paraId="7AD30205" w14:textId="77777777" w:rsidR="004D3BF2" w:rsidRDefault="004D5219" w:rsidP="00CA6D43">
      <w:pPr>
        <w:spacing w:after="0" w:line="360" w:lineRule="auto"/>
        <w:rPr>
          <w:color w:val="000000"/>
        </w:rPr>
      </w:pPr>
      <w:r>
        <w:rPr>
          <w:color w:val="000000"/>
        </w:rPr>
        <w:t>En razón de que fue debidamente sustanciado e integrado el expediente electrónico y no existe diligencia pendiente de desahogo, se emite la resolución que conforme a Derecho proceda, de acuerdo a los siguientes:</w:t>
      </w:r>
    </w:p>
    <w:p w14:paraId="0C016FD5" w14:textId="77777777" w:rsidR="004D3BF2" w:rsidRDefault="004D3BF2" w:rsidP="00CA6D43">
      <w:pPr>
        <w:spacing w:after="0" w:line="360" w:lineRule="auto"/>
        <w:rPr>
          <w:color w:val="000000"/>
        </w:rPr>
      </w:pPr>
    </w:p>
    <w:p w14:paraId="2E2BF527" w14:textId="77777777" w:rsidR="004D3BF2" w:rsidRDefault="004D5219" w:rsidP="00CA6D43">
      <w:pPr>
        <w:pStyle w:val="Ttulo1"/>
        <w:spacing w:before="0" w:after="0" w:line="360" w:lineRule="auto"/>
        <w:jc w:val="center"/>
        <w:rPr>
          <w:sz w:val="22"/>
          <w:szCs w:val="22"/>
        </w:rPr>
      </w:pPr>
      <w:r>
        <w:rPr>
          <w:sz w:val="22"/>
          <w:szCs w:val="22"/>
        </w:rPr>
        <w:t>C O N S I D E R A N D O S</w:t>
      </w:r>
    </w:p>
    <w:p w14:paraId="6768AA8A" w14:textId="77777777" w:rsidR="004D3BF2" w:rsidRDefault="004D3BF2" w:rsidP="00CA6D43">
      <w:pPr>
        <w:spacing w:after="0" w:line="360" w:lineRule="auto"/>
        <w:jc w:val="center"/>
        <w:rPr>
          <w:b/>
          <w:color w:val="000000"/>
        </w:rPr>
      </w:pPr>
    </w:p>
    <w:p w14:paraId="35635403" w14:textId="77777777" w:rsidR="004D3BF2" w:rsidRDefault="004D5219" w:rsidP="00CA6D43">
      <w:pPr>
        <w:pStyle w:val="Ttulo2"/>
        <w:spacing w:before="0" w:after="0" w:line="360" w:lineRule="auto"/>
        <w:rPr>
          <w:sz w:val="22"/>
          <w:szCs w:val="22"/>
        </w:rPr>
      </w:pPr>
      <w:r>
        <w:rPr>
          <w:sz w:val="22"/>
          <w:szCs w:val="22"/>
        </w:rPr>
        <w:t>PRIMERO. Competencia</w:t>
      </w:r>
    </w:p>
    <w:p w14:paraId="25EBBC48" w14:textId="77777777" w:rsidR="008A3F45" w:rsidRPr="008A3F45" w:rsidRDefault="008A3F45" w:rsidP="008A3F45"/>
    <w:p w14:paraId="3E9AD5CD" w14:textId="3D0F3652" w:rsidR="004D3BF2" w:rsidRDefault="008A3F45" w:rsidP="00CA6D43">
      <w:pPr>
        <w:spacing w:after="0" w:line="360" w:lineRule="auto"/>
      </w:pPr>
      <w:bookmarkStart w:id="1" w:name="_heading=h.30j0zll" w:colFirst="0" w:colLast="0"/>
      <w:bookmarkEnd w:id="1"/>
      <w:r w:rsidRPr="008A3F45">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4F79D6E" w14:textId="77777777" w:rsidR="004D3BF2" w:rsidRDefault="004D3BF2" w:rsidP="00CA6D43">
      <w:pPr>
        <w:spacing w:after="0" w:line="360" w:lineRule="auto"/>
        <w:rPr>
          <w:b/>
          <w:color w:val="000000"/>
        </w:rPr>
      </w:pPr>
    </w:p>
    <w:p w14:paraId="1A5F51FD" w14:textId="77777777" w:rsidR="004D3BF2" w:rsidRDefault="004D5219" w:rsidP="00CA6D43">
      <w:pPr>
        <w:pStyle w:val="Ttulo2"/>
        <w:spacing w:before="0" w:after="0" w:line="360" w:lineRule="auto"/>
        <w:rPr>
          <w:sz w:val="22"/>
          <w:szCs w:val="22"/>
        </w:rPr>
      </w:pPr>
      <w:r>
        <w:rPr>
          <w:sz w:val="22"/>
          <w:szCs w:val="22"/>
        </w:rPr>
        <w:t>SEGUNDO. Causales de improcedencia y sobreseimiento</w:t>
      </w:r>
    </w:p>
    <w:p w14:paraId="55D92642" w14:textId="77777777" w:rsidR="004D3BF2" w:rsidRDefault="004D3BF2" w:rsidP="00CA6D43">
      <w:pPr>
        <w:spacing w:after="0" w:line="360" w:lineRule="auto"/>
        <w:rPr>
          <w:color w:val="000000"/>
        </w:rPr>
      </w:pPr>
    </w:p>
    <w:p w14:paraId="069D9988" w14:textId="77777777" w:rsidR="004D3BF2" w:rsidRDefault="004D5219" w:rsidP="00CA6D43">
      <w:pPr>
        <w:spacing w:after="0" w:line="360" w:lineRule="auto"/>
        <w:rPr>
          <w:color w:val="000000"/>
        </w:rPr>
      </w:pPr>
      <w:r>
        <w:rPr>
          <w:color w:val="000000"/>
        </w:rPr>
        <w:t xml:space="preserve">De las constancias que forma parte del Recurso de Revisión que se analiza, se advierte que previo al estudio del fondo de la </w:t>
      </w:r>
      <w:r>
        <w:rPr>
          <w:i/>
          <w:color w:val="000000"/>
        </w:rPr>
        <w:t>litis</w:t>
      </w:r>
      <w:r>
        <w:rPr>
          <w:color w:val="000000"/>
        </w:rPr>
        <w:t>, es necesario estudiar las causales de improcedencia y sobreseimiento que se adviertan, para determinar lo que en Derecho proceda.</w:t>
      </w:r>
    </w:p>
    <w:p w14:paraId="6717AAEE" w14:textId="77777777" w:rsidR="004D3BF2" w:rsidRDefault="004D3BF2" w:rsidP="00CA6D43">
      <w:pPr>
        <w:spacing w:after="0" w:line="360" w:lineRule="auto"/>
        <w:rPr>
          <w:color w:val="000000"/>
        </w:rPr>
      </w:pPr>
    </w:p>
    <w:p w14:paraId="120552F7" w14:textId="77777777" w:rsidR="004D3BF2" w:rsidRDefault="004D5219" w:rsidP="00CA6D43">
      <w:pPr>
        <w:spacing w:after="0" w:line="360" w:lineRule="auto"/>
        <w:rPr>
          <w:b/>
        </w:rPr>
      </w:pPr>
      <w:r>
        <w:rPr>
          <w:b/>
        </w:rPr>
        <w:t>Causales de improcedencia</w:t>
      </w:r>
    </w:p>
    <w:p w14:paraId="714C93C9" w14:textId="77777777" w:rsidR="004D3BF2" w:rsidRDefault="004D3BF2" w:rsidP="00CA6D43">
      <w:pPr>
        <w:spacing w:after="0" w:line="360" w:lineRule="auto"/>
        <w:rPr>
          <w:b/>
        </w:rPr>
      </w:pPr>
    </w:p>
    <w:p w14:paraId="21CE7FDB" w14:textId="77777777" w:rsidR="004D3BF2" w:rsidRDefault="004D5219" w:rsidP="00CA6D43">
      <w:pPr>
        <w:spacing w:after="0" w:line="360" w:lineRule="auto"/>
        <w:rPr>
          <w:color w:val="000000"/>
        </w:rPr>
      </w:pPr>
      <w:r>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A0BB586" w14:textId="77777777" w:rsidR="004D3BF2" w:rsidRDefault="004D3BF2" w:rsidP="00CA6D43">
      <w:pPr>
        <w:spacing w:after="0" w:line="360" w:lineRule="auto"/>
        <w:rPr>
          <w:color w:val="000000"/>
        </w:rPr>
      </w:pPr>
    </w:p>
    <w:p w14:paraId="7E3F9BA9" w14:textId="77777777" w:rsidR="004D3BF2" w:rsidRDefault="004D5219" w:rsidP="00CA6D43">
      <w:pPr>
        <w:spacing w:after="0" w:line="360" w:lineRule="auto"/>
        <w:rPr>
          <w:color w:val="000000"/>
        </w:rPr>
      </w:pPr>
      <w:r>
        <w:rPr>
          <w:color w:val="000000"/>
        </w:rPr>
        <w:t>En el presente caso, </w:t>
      </w:r>
      <w:r>
        <w:rPr>
          <w:b/>
          <w:color w:val="000000"/>
        </w:rPr>
        <w:t>no se actualiza ninguna de las causales de improcedencia</w:t>
      </w:r>
      <w:r>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69439542" w14:textId="77777777" w:rsidR="004D3BF2" w:rsidRDefault="004D3BF2" w:rsidP="00CA6D43">
      <w:pPr>
        <w:spacing w:after="0" w:line="360" w:lineRule="auto"/>
        <w:rPr>
          <w:color w:val="000000"/>
        </w:rPr>
      </w:pPr>
    </w:p>
    <w:p w14:paraId="0B2E6B57" w14:textId="3EF37974" w:rsidR="004D3BF2" w:rsidRDefault="004D5219" w:rsidP="00CA6D43">
      <w:pPr>
        <w:spacing w:after="0" w:line="360" w:lineRule="auto"/>
      </w:pPr>
      <w:r>
        <w:t xml:space="preserve">Por lo cual, se actualiza la causal de procedencia del Recurso de Revisión señalada en el artículo 179, </w:t>
      </w:r>
      <w:r w:rsidR="000249F8">
        <w:t>fracción II</w:t>
      </w:r>
      <w:r>
        <w:t xml:space="preserve">, de la Ley en cita, pues la persona Recurrente se inconformó de la </w:t>
      </w:r>
      <w:r w:rsidR="000249F8">
        <w:t>clasificación de la información</w:t>
      </w:r>
      <w:r w:rsidR="00FB3EEF">
        <w:t xml:space="preserve">. </w:t>
      </w:r>
    </w:p>
    <w:p w14:paraId="65B9826A" w14:textId="77777777" w:rsidR="000249F8" w:rsidRDefault="000249F8" w:rsidP="00CA6D43">
      <w:pPr>
        <w:spacing w:after="0" w:line="360" w:lineRule="auto"/>
      </w:pPr>
    </w:p>
    <w:p w14:paraId="260E2D22" w14:textId="42BDECD5" w:rsidR="004D3BF2" w:rsidRDefault="004D5219" w:rsidP="00CA6D43">
      <w:pPr>
        <w:spacing w:after="0" w:line="360" w:lineRule="auto"/>
        <w:rPr>
          <w:b/>
          <w:color w:val="0D0D0D"/>
        </w:rPr>
      </w:pPr>
      <w:r>
        <w:rPr>
          <w:b/>
          <w:color w:val="0D0D0D"/>
        </w:rPr>
        <w:t>Causales de sobreseimiento</w:t>
      </w:r>
    </w:p>
    <w:p w14:paraId="0D95B9D9" w14:textId="77777777" w:rsidR="00BF6E44" w:rsidRDefault="00BF6E44" w:rsidP="00CA6D43">
      <w:pPr>
        <w:spacing w:after="0" w:line="360" w:lineRule="auto"/>
        <w:rPr>
          <w:color w:val="0D0D0D"/>
        </w:rPr>
      </w:pPr>
    </w:p>
    <w:p w14:paraId="08E62AAD" w14:textId="77777777" w:rsidR="004D3BF2" w:rsidRDefault="004D5219" w:rsidP="00CA6D43">
      <w:pPr>
        <w:spacing w:after="0" w:line="360" w:lineRule="auto"/>
        <w:rPr>
          <w:color w:val="0D0D0D"/>
        </w:rPr>
      </w:pPr>
      <w:r>
        <w:rPr>
          <w:color w:val="0D0D0D"/>
        </w:rPr>
        <w:t>Por ser de previo y especial pronunciamiento, este Instituto analiza si se actualiza alguna causal de sobreseimiento.</w:t>
      </w:r>
    </w:p>
    <w:p w14:paraId="00FFE09B" w14:textId="77777777" w:rsidR="004D3BF2" w:rsidRDefault="004D3BF2" w:rsidP="00CA6D43">
      <w:pPr>
        <w:spacing w:after="0" w:line="360" w:lineRule="auto"/>
        <w:rPr>
          <w:color w:val="0D0D0D"/>
        </w:rPr>
      </w:pPr>
    </w:p>
    <w:p w14:paraId="73583ECC" w14:textId="77777777" w:rsidR="004D3BF2" w:rsidRDefault="004D5219" w:rsidP="00CA6D43">
      <w:pPr>
        <w:spacing w:after="0" w:line="360" w:lineRule="auto"/>
        <w:rPr>
          <w:color w:val="000000"/>
        </w:rPr>
      </w:pPr>
      <w:r>
        <w:rPr>
          <w:color w:val="0D0D0D"/>
        </w:rPr>
        <w:t>Sobre el tema, e</w:t>
      </w:r>
      <w:r>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1B6E038F" w14:textId="77777777" w:rsidR="004D3BF2" w:rsidRDefault="004D3BF2" w:rsidP="00CA6D43">
      <w:pPr>
        <w:spacing w:after="0" w:line="360" w:lineRule="auto"/>
        <w:rPr>
          <w:color w:val="000000"/>
        </w:rPr>
      </w:pPr>
    </w:p>
    <w:p w14:paraId="668B5618" w14:textId="77777777" w:rsidR="004D3BF2" w:rsidRDefault="004D5219" w:rsidP="00CA6D43">
      <w:pPr>
        <w:spacing w:after="0" w:line="360" w:lineRule="auto"/>
        <w:rPr>
          <w:color w:val="0D0D0D"/>
        </w:rPr>
      </w:pPr>
      <w:r>
        <w:rPr>
          <w:color w:val="0D0D0D"/>
        </w:rPr>
        <w:t xml:space="preserve">Por tales motivos, se considera procedente entrar al fondo del presente asunto. </w:t>
      </w:r>
    </w:p>
    <w:p w14:paraId="0A72CC0F" w14:textId="77777777" w:rsidR="004D3BF2" w:rsidRDefault="004D3BF2" w:rsidP="00CA6D43">
      <w:pPr>
        <w:spacing w:after="0" w:line="360" w:lineRule="auto"/>
        <w:rPr>
          <w:b/>
          <w:color w:val="000000"/>
        </w:rPr>
      </w:pPr>
    </w:p>
    <w:p w14:paraId="710B2028" w14:textId="77777777" w:rsidR="004D3BF2" w:rsidRDefault="004D5219" w:rsidP="00CA6D43">
      <w:pPr>
        <w:pStyle w:val="Ttulo2"/>
        <w:spacing w:before="0" w:after="0" w:line="360" w:lineRule="auto"/>
        <w:rPr>
          <w:sz w:val="22"/>
          <w:szCs w:val="22"/>
        </w:rPr>
      </w:pPr>
      <w:r>
        <w:rPr>
          <w:sz w:val="22"/>
          <w:szCs w:val="22"/>
        </w:rPr>
        <w:t>TERCERO. Determinación de la Controversia</w:t>
      </w:r>
    </w:p>
    <w:p w14:paraId="52DD8E06" w14:textId="77777777" w:rsidR="004D3BF2" w:rsidRDefault="004D3BF2" w:rsidP="00CA6D43">
      <w:pPr>
        <w:spacing w:after="0" w:line="360" w:lineRule="auto"/>
        <w:rPr>
          <w:b/>
          <w:color w:val="000000"/>
        </w:rPr>
      </w:pPr>
    </w:p>
    <w:p w14:paraId="0EA6C3D3" w14:textId="49FA63BD" w:rsidR="00C7174F" w:rsidRDefault="004D5219" w:rsidP="00CA6D43">
      <w:pPr>
        <w:spacing w:after="0" w:line="360" w:lineRule="auto"/>
      </w:pPr>
      <w:r>
        <w:t>Con el objetivo de ilustrar la controversia planteada, resulta conveniente precisar, que una vez realizado el estudio de las constancias que integran el expediente en el que se actúa, se despr</w:t>
      </w:r>
      <w:r w:rsidRPr="008B5FCE">
        <w:t>ende qu</w:t>
      </w:r>
      <w:r>
        <w:t xml:space="preserve">e el Particular requirió </w:t>
      </w:r>
      <w:r w:rsidR="00C7174F">
        <w:t>la l</w:t>
      </w:r>
      <w:r w:rsidR="00C7174F" w:rsidRPr="00C7174F">
        <w:t>ista de unidades deportivas y su estado actual</w:t>
      </w:r>
      <w:r w:rsidR="00C7174F">
        <w:t>, el</w:t>
      </w:r>
      <w:r w:rsidR="00C7174F" w:rsidRPr="00C7174F">
        <w:t xml:space="preserve"> Presupuesto destinado a </w:t>
      </w:r>
      <w:r w:rsidR="008B5FCE" w:rsidRPr="00C7174F">
        <w:t xml:space="preserve">mantenimiento </w:t>
      </w:r>
      <w:r w:rsidR="008B5FCE">
        <w:t>y</w:t>
      </w:r>
      <w:r w:rsidR="00C7174F">
        <w:t xml:space="preserve"> las e</w:t>
      </w:r>
      <w:r w:rsidR="00C7174F" w:rsidRPr="00C7174F">
        <w:t>mpresas o contratos para rehabilitación</w:t>
      </w:r>
      <w:r w:rsidR="00C7174F">
        <w:t>.</w:t>
      </w:r>
    </w:p>
    <w:p w14:paraId="2C1A1DD5" w14:textId="77777777" w:rsidR="00C7174F" w:rsidRDefault="00C7174F" w:rsidP="00CA6D43">
      <w:pPr>
        <w:spacing w:after="0" w:line="360" w:lineRule="auto"/>
      </w:pPr>
    </w:p>
    <w:p w14:paraId="5DFE580E" w14:textId="3BA94DAE" w:rsidR="004D3BF2" w:rsidRDefault="00C7174F" w:rsidP="00CA6D43">
      <w:pPr>
        <w:spacing w:after="0" w:line="360" w:lineRule="auto"/>
      </w:pPr>
      <w:r>
        <w:t>Por respuesta, el Sujeto Obligado remitió una relación con</w:t>
      </w:r>
      <w:r w:rsidR="008B5FCE">
        <w:t xml:space="preserve"> las unidades deportivas y su estado actual, el presupuesto de egresos 2025 y tres contratos de prestación de servicios relacionados con mantenimiento</w:t>
      </w:r>
      <w:r w:rsidRPr="007F4114">
        <w:rPr>
          <w:color w:val="000000"/>
        </w:rPr>
        <w:t xml:space="preserve">; </w:t>
      </w:r>
      <w:r w:rsidRPr="007F4114">
        <w:t xml:space="preserve">ante dicha circunstancia, el Particular se inconformó </w:t>
      </w:r>
      <w:r w:rsidR="000249F8">
        <w:t xml:space="preserve">de la clasificación, al señalar que </w:t>
      </w:r>
      <w:r w:rsidR="008B5FCE">
        <w:t>información pública se encuentra borrada</w:t>
      </w:r>
      <w:r>
        <w:t>,</w:t>
      </w:r>
      <w:r w:rsidR="000249F8">
        <w:t xml:space="preserve"> lo cual actualiza la causal establecida en la fracción II,</w:t>
      </w:r>
      <w:r>
        <w:t xml:space="preserve"> del artículo 179 de la Ley de Transparencia y Acceso a la Información Pública del Estado de México y Municipios</w:t>
      </w:r>
      <w:r>
        <w:rPr>
          <w:color w:val="0D0D0D"/>
        </w:rPr>
        <w:t xml:space="preserve">. </w:t>
      </w:r>
      <w:r>
        <w:t xml:space="preserve">Así, las cosas, una vez admitido y notificado el Recurso de Revisión a las partes, </w:t>
      </w:r>
      <w:r w:rsidR="00EF70B3">
        <w:t>estas fueron</w:t>
      </w:r>
      <w:r>
        <w:t xml:space="preserve"> omisa</w:t>
      </w:r>
      <w:r w:rsidR="00EF70B3">
        <w:t>s</w:t>
      </w:r>
      <w:r>
        <w:t xml:space="preserve"> en manifestarse.  </w:t>
      </w:r>
    </w:p>
    <w:p w14:paraId="1D241EEA" w14:textId="77777777" w:rsidR="0041090A" w:rsidRDefault="0041090A" w:rsidP="00CA6D43">
      <w:pPr>
        <w:spacing w:after="0" w:line="360" w:lineRule="auto"/>
      </w:pPr>
    </w:p>
    <w:p w14:paraId="0C0D4796" w14:textId="6D56AD97" w:rsidR="0041090A" w:rsidRDefault="0041090A" w:rsidP="00CA6D43">
      <w:pPr>
        <w:spacing w:after="0" w:line="360" w:lineRule="auto"/>
      </w:pPr>
      <w:r>
        <w:t xml:space="preserve">En tal sentido puede apreciarse que el Particular no se inconformó de la totalidad de la respuesta, en lo relativo al listado de las unidades deportivas y su estado, así </w:t>
      </w:r>
      <w:r w:rsidR="00CA6D43">
        <w:t>como de</w:t>
      </w:r>
      <w:r>
        <w:t xml:space="preserve"> la información relativa al</w:t>
      </w:r>
      <w:r w:rsidRPr="0041090A">
        <w:t xml:space="preserve"> Presupuesto destinado a mantenimiento</w:t>
      </w:r>
      <w:r>
        <w:t>, por lo que dicha parte de la solicitud se considera como actos consentidos.</w:t>
      </w:r>
    </w:p>
    <w:p w14:paraId="264B0C51" w14:textId="77777777" w:rsidR="0041090A" w:rsidRDefault="0041090A" w:rsidP="00CA6D43">
      <w:pPr>
        <w:spacing w:after="0" w:line="360" w:lineRule="auto"/>
      </w:pPr>
    </w:p>
    <w:p w14:paraId="74C31044" w14:textId="7FB185A4" w:rsidR="0041090A" w:rsidRPr="000336F4" w:rsidRDefault="0041090A" w:rsidP="00CA6D43">
      <w:pPr>
        <w:spacing w:after="0" w:line="360" w:lineRule="auto"/>
        <w:rPr>
          <w:rFonts w:eastAsia="Batang" w:cs="Tahoma"/>
          <w:bCs/>
          <w:lang w:val="es-ES"/>
        </w:rPr>
      </w:pPr>
      <w:r>
        <w:rPr>
          <w:rFonts w:eastAsia="Batang" w:cs="Tahoma"/>
          <w:bCs/>
          <w:lang w:val="es-ES"/>
        </w:rPr>
        <w:t xml:space="preserve">Así mismo es de resaltar que, por lo que respecta </w:t>
      </w:r>
      <w:r w:rsidR="00CA6D43">
        <w:rPr>
          <w:rFonts w:eastAsia="Batang" w:cs="Tahoma"/>
          <w:bCs/>
          <w:lang w:val="es-ES"/>
        </w:rPr>
        <w:t>a los contratos proporcionados</w:t>
      </w:r>
      <w:r w:rsidRPr="000336F4">
        <w:rPr>
          <w:rFonts w:eastAsia="Batang" w:cs="Tahoma"/>
          <w:bCs/>
          <w:lang w:val="es-ES"/>
        </w:rPr>
        <w:t xml:space="preserve">, el Particular </w:t>
      </w:r>
      <w:r w:rsidR="00CA6D43">
        <w:rPr>
          <w:rFonts w:eastAsia="Batang" w:cs="Tahoma"/>
          <w:bCs/>
          <w:lang w:val="es-ES"/>
        </w:rPr>
        <w:t>únicamente manifestó su inconformidad con su entrega en versión pública, al considerar que se testaban datos</w:t>
      </w:r>
      <w:r w:rsidRPr="000336F4">
        <w:rPr>
          <w:rFonts w:eastAsia="Batang" w:cs="Tahoma"/>
          <w:bCs/>
          <w:lang w:val="es-ES"/>
        </w:rPr>
        <w:t>, por lo que se está ante la presencia de actos consentidos tácitamente, en tal razón no serán objeto de estudio</w:t>
      </w:r>
      <w:r>
        <w:rPr>
          <w:rFonts w:eastAsia="Batang" w:cs="Tahoma"/>
          <w:bCs/>
          <w:lang w:val="es-ES"/>
        </w:rPr>
        <w:t xml:space="preserve"> adicional</w:t>
      </w:r>
      <w:r w:rsidRPr="000336F4">
        <w:rPr>
          <w:rFonts w:eastAsia="Batang" w:cs="Tahoma"/>
          <w:bCs/>
          <w:lang w:val="es-ES"/>
        </w:rPr>
        <w:t>, dándose por satisfecho el dere</w:t>
      </w:r>
      <w:r>
        <w:rPr>
          <w:rFonts w:eastAsia="Batang" w:cs="Tahoma"/>
          <w:bCs/>
          <w:lang w:val="es-ES"/>
        </w:rPr>
        <w:t>cho de acceso a la información</w:t>
      </w:r>
      <w:r w:rsidRPr="000336F4">
        <w:rPr>
          <w:rFonts w:eastAsia="Batang" w:cs="Tahoma"/>
          <w:bCs/>
          <w:lang w:val="es-ES"/>
        </w:rPr>
        <w:t xml:space="preserve">. Sirve de sustento de lo anterior, el Criterio </w:t>
      </w:r>
      <w:r w:rsidR="00CA6D43">
        <w:rPr>
          <w:rFonts w:eastAsia="Batang" w:cs="Tahoma"/>
          <w:bCs/>
          <w:lang w:val="es-ES"/>
        </w:rPr>
        <w:t>Orientados SO/0</w:t>
      </w:r>
      <w:r w:rsidRPr="000336F4">
        <w:rPr>
          <w:rFonts w:eastAsia="Batang" w:cs="Tahoma"/>
          <w:bCs/>
          <w:lang w:val="es-ES"/>
        </w:rPr>
        <w:t>01/</w:t>
      </w:r>
      <w:r w:rsidR="00CA6D43">
        <w:rPr>
          <w:rFonts w:eastAsia="Batang" w:cs="Tahoma"/>
          <w:bCs/>
          <w:lang w:val="es-ES"/>
        </w:rPr>
        <w:t>202</w:t>
      </w:r>
      <w:r w:rsidRPr="000336F4">
        <w:rPr>
          <w:rFonts w:eastAsia="Batang" w:cs="Tahoma"/>
          <w:bCs/>
          <w:lang w:val="es-ES"/>
        </w:rPr>
        <w:t>20</w:t>
      </w:r>
      <w:r w:rsidR="00CA6D43">
        <w:rPr>
          <w:rFonts w:eastAsia="Batang" w:cs="Tahoma"/>
          <w:bCs/>
          <w:lang w:val="es-ES"/>
        </w:rPr>
        <w:t>, emitido por el entonces</w:t>
      </w:r>
      <w:r w:rsidRPr="000336F4">
        <w:rPr>
          <w:rFonts w:eastAsia="Batang" w:cs="Tahoma"/>
          <w:bCs/>
          <w:lang w:val="es-ES"/>
        </w:rPr>
        <w:t xml:space="preserve"> Instituto Nacional de Transparencia y Acceso a la Información y Protección de Datos Personales</w:t>
      </w:r>
      <w:r w:rsidR="00CA6D43">
        <w:rPr>
          <w:rFonts w:eastAsia="Batang" w:cs="Tahoma"/>
          <w:bCs/>
          <w:lang w:val="es-ES"/>
        </w:rPr>
        <w:t>, que precisa lo siguiente</w:t>
      </w:r>
    </w:p>
    <w:p w14:paraId="7A53F284" w14:textId="77777777" w:rsidR="0041090A" w:rsidRPr="000336F4" w:rsidRDefault="0041090A" w:rsidP="00CA6D43">
      <w:pPr>
        <w:spacing w:after="0" w:line="360" w:lineRule="auto"/>
        <w:rPr>
          <w:rFonts w:eastAsia="Batang" w:cs="Tahoma"/>
          <w:bCs/>
          <w:lang w:val="es-ES"/>
        </w:rPr>
      </w:pPr>
    </w:p>
    <w:p w14:paraId="018BAEDD" w14:textId="77777777" w:rsidR="0041090A" w:rsidRPr="00CA6D43" w:rsidRDefault="0041090A" w:rsidP="00CA6D43">
      <w:pPr>
        <w:spacing w:after="0" w:line="360" w:lineRule="auto"/>
        <w:ind w:left="567" w:right="539"/>
        <w:rPr>
          <w:rFonts w:eastAsia="Batang" w:cs="Tahoma"/>
          <w:bCs/>
          <w:i/>
          <w:sz w:val="20"/>
          <w:szCs w:val="20"/>
          <w:lang w:val="es-ES"/>
        </w:rPr>
      </w:pPr>
      <w:r w:rsidRPr="00CA6D43">
        <w:rPr>
          <w:rFonts w:eastAsia="Batang" w:cs="Tahoma"/>
          <w:b/>
          <w:i/>
          <w:sz w:val="20"/>
          <w:szCs w:val="20"/>
          <w:lang w:val="es-ES"/>
        </w:rPr>
        <w:t>Actos consentidos tácitamente.</w:t>
      </w:r>
      <w:r w:rsidRPr="00CA6D43">
        <w:rPr>
          <w:rFonts w:eastAsia="Batang" w:cs="Tahoma"/>
          <w:bCs/>
          <w:i/>
          <w:sz w:val="20"/>
          <w:szCs w:val="20"/>
          <w:lang w:val="es-ES"/>
        </w:rPr>
        <w:t xml:space="preserve"> Improcedencia de su análisis. 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04854587" w14:textId="77777777" w:rsidR="00CA6D43" w:rsidRDefault="00CA6D43" w:rsidP="00CA6D43">
      <w:pPr>
        <w:spacing w:after="0" w:line="360" w:lineRule="auto"/>
        <w:ind w:left="567" w:right="539"/>
        <w:rPr>
          <w:rFonts w:eastAsia="Batang" w:cs="Tahoma"/>
          <w:bCs/>
          <w:i/>
          <w:lang w:val="es-ES"/>
        </w:rPr>
      </w:pPr>
    </w:p>
    <w:p w14:paraId="66BFFFF7" w14:textId="0ED1F090" w:rsidR="0041090A" w:rsidRDefault="0041090A" w:rsidP="00CA6D43">
      <w:pPr>
        <w:spacing w:after="0" w:line="360" w:lineRule="auto"/>
      </w:pPr>
      <w:r>
        <w:t>Por lo que únicamente se entrará al estudio de fondo en lo relativo a la clasificación de la información en los contratos.</w:t>
      </w:r>
    </w:p>
    <w:p w14:paraId="161C1684" w14:textId="77777777" w:rsidR="00CA6D43" w:rsidRDefault="00CA6D43" w:rsidP="00CA6D43">
      <w:pPr>
        <w:spacing w:after="0" w:line="360" w:lineRule="auto"/>
      </w:pPr>
    </w:p>
    <w:p w14:paraId="4AE75D97" w14:textId="77777777" w:rsidR="00CA6D43" w:rsidRDefault="00CA6D43" w:rsidP="00CA6D43">
      <w:pPr>
        <w:spacing w:after="0" w:line="360" w:lineRule="auto"/>
      </w:pPr>
    </w:p>
    <w:p w14:paraId="63CDB0EA" w14:textId="347B2E26" w:rsidR="004D3BF2" w:rsidRDefault="004D5219" w:rsidP="00CA6D43">
      <w:pPr>
        <w:tabs>
          <w:tab w:val="left" w:pos="4962"/>
        </w:tabs>
        <w:spacing w:after="0" w:line="360" w:lineRule="auto"/>
      </w:pPr>
      <w:r>
        <w:t>Lo anterior, se desprende de las documentales que obran en el expediente de referencia, materia de la presente resolución, consistente en: la solicitud de acceso a la información</w:t>
      </w:r>
      <w:r w:rsidR="00E802F9">
        <w:t xml:space="preserve"> y </w:t>
      </w:r>
      <w:r>
        <w:t>el escrito recursal; instrumentales que se toman en cuenta a efecto de resolver el presente medio de impugnación, conforme a lo dispuesto por el artículo 185, fracción IV, de la Ley de Transparencia y Acceso a la Información Pública del Estado de México y Municipios.</w:t>
      </w:r>
    </w:p>
    <w:p w14:paraId="6508E629" w14:textId="77777777" w:rsidR="004D3BF2" w:rsidRDefault="004D3BF2" w:rsidP="00CA6D43">
      <w:pPr>
        <w:spacing w:after="0" w:line="360" w:lineRule="auto"/>
        <w:rPr>
          <w:b/>
          <w:color w:val="000000"/>
        </w:rPr>
      </w:pPr>
    </w:p>
    <w:p w14:paraId="2172A071" w14:textId="77777777" w:rsidR="004D3BF2" w:rsidRDefault="004D5219" w:rsidP="00CA6D43">
      <w:pPr>
        <w:pStyle w:val="Ttulo2"/>
        <w:spacing w:before="0" w:after="0" w:line="360" w:lineRule="auto"/>
        <w:rPr>
          <w:sz w:val="22"/>
          <w:szCs w:val="22"/>
        </w:rPr>
      </w:pPr>
      <w:r>
        <w:rPr>
          <w:sz w:val="22"/>
          <w:szCs w:val="22"/>
        </w:rPr>
        <w:t>CUARTO. Marco normativo aplicable en materia de transparencia y acceso a la información pública</w:t>
      </w:r>
    </w:p>
    <w:p w14:paraId="4581D7F5" w14:textId="77777777" w:rsidR="004D3BF2" w:rsidRDefault="004D3BF2" w:rsidP="00CA6D43">
      <w:pPr>
        <w:spacing w:after="0" w:line="360" w:lineRule="auto"/>
        <w:rPr>
          <w:color w:val="000000"/>
        </w:rPr>
      </w:pPr>
    </w:p>
    <w:p w14:paraId="2146A1BB" w14:textId="77777777" w:rsidR="004D3BF2" w:rsidRDefault="004D5219" w:rsidP="00CA6D43">
      <w:pPr>
        <w:spacing w:after="0" w:line="360" w:lineRule="auto"/>
        <w:rPr>
          <w:color w:val="000000"/>
        </w:rPr>
      </w:pPr>
      <w:r>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DB7409A" w14:textId="77777777" w:rsidR="004D3BF2" w:rsidRDefault="004D3BF2" w:rsidP="00CA6D43">
      <w:pPr>
        <w:spacing w:after="0" w:line="360" w:lineRule="auto"/>
        <w:rPr>
          <w:color w:val="000000"/>
        </w:rPr>
      </w:pPr>
    </w:p>
    <w:p w14:paraId="38990B72" w14:textId="0B338D36" w:rsidR="004D3BF2" w:rsidRDefault="004D5219" w:rsidP="00CA6D43">
      <w:pPr>
        <w:spacing w:after="0" w:line="360" w:lineRule="auto"/>
        <w:rPr>
          <w:color w:val="000000"/>
        </w:rPr>
      </w:pPr>
      <w:r>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9E92057" w14:textId="77777777" w:rsidR="00E802F9" w:rsidRDefault="00E802F9" w:rsidP="00CA6D43">
      <w:pPr>
        <w:spacing w:after="0" w:line="360" w:lineRule="auto"/>
        <w:rPr>
          <w:color w:val="000000"/>
        </w:rPr>
      </w:pPr>
    </w:p>
    <w:p w14:paraId="08DE639C" w14:textId="6F8A6193" w:rsidR="004D3BF2" w:rsidRDefault="004D5219" w:rsidP="00CA6D43">
      <w:pPr>
        <w:spacing w:after="0" w:line="360" w:lineRule="auto"/>
        <w:rPr>
          <w:color w:val="000000"/>
        </w:rPr>
      </w:pPr>
      <w:r>
        <w:rPr>
          <w:color w:val="000000"/>
        </w:rPr>
        <w:t>Por su parte, la Ley de Transparencia y Acceso a la Información Pública del Estado de México y Municipios (Reglamentaria del artículo 5° de la Constitución Local), establece lo siguiente:</w:t>
      </w:r>
    </w:p>
    <w:p w14:paraId="569FFB7D" w14:textId="77777777" w:rsidR="004D3BF2" w:rsidRDefault="004D5219" w:rsidP="00CA6D43">
      <w:pPr>
        <w:spacing w:after="0" w:line="360" w:lineRule="auto"/>
        <w:rPr>
          <w:color w:val="000000"/>
        </w:rPr>
      </w:pPr>
      <w:r>
        <w:rPr>
          <w:color w:val="000000"/>
        </w:rPr>
        <w:t>El artículo 12, que, quienes generen, recopilen, administren, manejen, procesen, archiven o conserven información pública serán responsables de la misma.</w:t>
      </w:r>
    </w:p>
    <w:p w14:paraId="527FBD81" w14:textId="77777777" w:rsidR="004D3BF2" w:rsidRDefault="004D3BF2" w:rsidP="00CA6D43">
      <w:pPr>
        <w:spacing w:after="0" w:line="360" w:lineRule="auto"/>
        <w:rPr>
          <w:color w:val="000000"/>
        </w:rPr>
      </w:pPr>
    </w:p>
    <w:p w14:paraId="0995E891" w14:textId="77777777" w:rsidR="004D3BF2" w:rsidRDefault="004D5219" w:rsidP="00CA6D43">
      <w:pPr>
        <w:widowControl w:val="0"/>
        <w:spacing w:after="0" w:line="360" w:lineRule="auto"/>
        <w:rPr>
          <w:color w:val="000000"/>
        </w:rPr>
      </w:pPr>
      <w:r>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5707A8F7" w14:textId="77777777" w:rsidR="004D3BF2" w:rsidRDefault="004D3BF2" w:rsidP="00CA6D43">
      <w:pPr>
        <w:widowControl w:val="0"/>
        <w:spacing w:after="0" w:line="360" w:lineRule="auto"/>
        <w:rPr>
          <w:color w:val="000000"/>
        </w:rPr>
      </w:pPr>
    </w:p>
    <w:p w14:paraId="5BE9DE9A" w14:textId="77777777" w:rsidR="004D3BF2" w:rsidRDefault="004D5219" w:rsidP="00CA6D43">
      <w:pPr>
        <w:spacing w:after="0" w:line="360" w:lineRule="auto"/>
        <w:rPr>
          <w:color w:val="000000"/>
        </w:rPr>
      </w:pPr>
      <w:r>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60D8FBD" w14:textId="77777777" w:rsidR="004D3BF2" w:rsidRDefault="004D3BF2" w:rsidP="00CA6D43">
      <w:pPr>
        <w:spacing w:after="0" w:line="360" w:lineRule="auto"/>
      </w:pPr>
    </w:p>
    <w:p w14:paraId="41501EAD" w14:textId="77777777" w:rsidR="004D3BF2" w:rsidRDefault="004D5219" w:rsidP="00CA6D43">
      <w:pPr>
        <w:pStyle w:val="Ttulo2"/>
        <w:spacing w:before="0" w:after="0" w:line="360" w:lineRule="auto"/>
        <w:rPr>
          <w:sz w:val="22"/>
          <w:szCs w:val="22"/>
        </w:rPr>
      </w:pPr>
      <w:r>
        <w:rPr>
          <w:sz w:val="22"/>
          <w:szCs w:val="22"/>
        </w:rPr>
        <w:t>QUINTO. Estudio de Fondo</w:t>
      </w:r>
    </w:p>
    <w:p w14:paraId="39B5A498" w14:textId="77777777" w:rsidR="004D3BF2" w:rsidRDefault="004D3BF2" w:rsidP="00CA6D43">
      <w:pPr>
        <w:spacing w:after="0" w:line="360" w:lineRule="auto"/>
        <w:rPr>
          <w:b/>
          <w:color w:val="000000"/>
        </w:rPr>
      </w:pPr>
    </w:p>
    <w:p w14:paraId="08783B95" w14:textId="77777777" w:rsidR="004D3BF2" w:rsidRDefault="004D5219" w:rsidP="00CA6D43">
      <w:pPr>
        <w:spacing w:after="0" w:line="360" w:lineRule="auto"/>
        <w:rPr>
          <w:color w:val="000000"/>
        </w:rPr>
      </w:pPr>
      <w:r>
        <w:rPr>
          <w:color w:val="000000"/>
        </w:rPr>
        <w:t xml:space="preserve">Expuestas las posturas de las partes, se procede al análisis de los agravios hechos valer por </w:t>
      </w:r>
      <w:r w:rsidRPr="00D517FE">
        <w:rPr>
          <w:color w:val="000000"/>
        </w:rPr>
        <w:t>la persona Recurrente, por lo que, en principio es necesario contextualizar la solicitud de información.</w:t>
      </w:r>
    </w:p>
    <w:p w14:paraId="079266E0" w14:textId="77777777" w:rsidR="004D3BF2" w:rsidRDefault="004D3BF2" w:rsidP="00CA6D43">
      <w:pPr>
        <w:spacing w:after="0" w:line="360" w:lineRule="auto"/>
        <w:rPr>
          <w:color w:val="000000"/>
        </w:rPr>
      </w:pPr>
    </w:p>
    <w:p w14:paraId="5F3C10D4" w14:textId="77777777" w:rsidR="0041090A" w:rsidRPr="0041090A" w:rsidRDefault="0041090A" w:rsidP="00CA6D43">
      <w:pPr>
        <w:spacing w:after="0" w:line="360" w:lineRule="auto"/>
        <w:rPr>
          <w:color w:val="000000" w:themeColor="text1"/>
        </w:rPr>
      </w:pPr>
      <w:r w:rsidRPr="0041090A">
        <w:rPr>
          <w:color w:val="000000" w:themeColor="text1"/>
        </w:rPr>
        <w:t xml:space="preserve">Al respecto, los artículos 1 y 4, de la Ley de la de Contratación Pública del Estado de México y Municipios, precisa que las Dependencias, serán las encargadas de realizar los actos relativos a la planeación, programación, presupuestación, ejecución y control de la adquisición (bienes muebles e inmuebles), arrendamiento (bienes muebles e inmuebles), y </w:t>
      </w:r>
      <w:r w:rsidRPr="0041090A">
        <w:rPr>
          <w:bCs/>
          <w:color w:val="000000" w:themeColor="text1"/>
        </w:rPr>
        <w:t>la contratación de servicios de cualquier naturaleza.</w:t>
      </w:r>
      <w:r w:rsidRPr="0041090A">
        <w:rPr>
          <w:color w:val="000000" w:themeColor="text1"/>
        </w:rPr>
        <w:t xml:space="preserve"> </w:t>
      </w:r>
    </w:p>
    <w:p w14:paraId="1E5E85A3" w14:textId="77777777" w:rsidR="0041090A" w:rsidRPr="0041090A" w:rsidRDefault="0041090A" w:rsidP="00CA6D43">
      <w:pPr>
        <w:spacing w:after="0" w:line="360" w:lineRule="auto"/>
        <w:rPr>
          <w:color w:val="000000" w:themeColor="text1"/>
        </w:rPr>
      </w:pPr>
    </w:p>
    <w:p w14:paraId="2B3971EB" w14:textId="77777777" w:rsidR="0041090A" w:rsidRPr="0041090A" w:rsidRDefault="0041090A" w:rsidP="00CA6D43">
      <w:pPr>
        <w:spacing w:after="0" w:line="360" w:lineRule="auto"/>
        <w:rPr>
          <w:color w:val="000000" w:themeColor="text1"/>
        </w:rPr>
      </w:pPr>
      <w:r w:rsidRPr="0041090A">
        <w:rPr>
          <w:color w:val="000000" w:themeColor="text1"/>
        </w:rPr>
        <w:t>En ese contexto, conforme a los artículos 26 y 27 de dicho ordenamiento jurídico, las adquisiciones, arrendamientos y servicios, se adjudicarán a través de procedimientos de licitación pública, invitación restringida y adjudicación directa.</w:t>
      </w:r>
    </w:p>
    <w:p w14:paraId="55D40495" w14:textId="77777777" w:rsidR="0041090A" w:rsidRPr="0041090A" w:rsidRDefault="0041090A" w:rsidP="00CA6D43">
      <w:pPr>
        <w:spacing w:after="0" w:line="360" w:lineRule="auto"/>
        <w:rPr>
          <w:color w:val="000000" w:themeColor="text1"/>
        </w:rPr>
      </w:pPr>
    </w:p>
    <w:p w14:paraId="41C0BB85" w14:textId="77777777" w:rsidR="0041090A" w:rsidRPr="0041090A" w:rsidRDefault="0041090A" w:rsidP="00CA6D43">
      <w:pPr>
        <w:spacing w:after="0" w:line="360" w:lineRule="auto"/>
        <w:rPr>
          <w:color w:val="000000" w:themeColor="text1"/>
        </w:rPr>
      </w:pPr>
      <w:r w:rsidRPr="0041090A">
        <w:rPr>
          <w:color w:val="000000" w:themeColor="text1"/>
        </w:rPr>
        <w:t>Asimismo, el artículo 12.38 del Código Administrativo del Estado de México y el 65 de la Ley de Contratación Pública del Estado de México y Municipios, que establecen que la adjudicación de un procedimiento de adquisición y arrendamiento de bienes, contratación de servicios y ejecución de obra, se realizará mediante la suscripción de un contrato, entre el Ayuntamiento y la persona a la cual haya ganado el procedimiento licitatorio, dentro de los diez días hábiles siguientes a la notificación del fallo.</w:t>
      </w:r>
    </w:p>
    <w:p w14:paraId="19E6ACAB" w14:textId="77777777" w:rsidR="0041090A" w:rsidRPr="0041090A" w:rsidRDefault="0041090A" w:rsidP="00CA6D43">
      <w:pPr>
        <w:spacing w:after="0" w:line="360" w:lineRule="auto"/>
        <w:rPr>
          <w:color w:val="000000" w:themeColor="text1"/>
        </w:rPr>
      </w:pPr>
    </w:p>
    <w:p w14:paraId="417ADD4F" w14:textId="77777777" w:rsidR="0041090A" w:rsidRPr="0041090A" w:rsidRDefault="0041090A" w:rsidP="00CA6D43">
      <w:pPr>
        <w:spacing w:after="0" w:line="360" w:lineRule="auto"/>
        <w:rPr>
          <w:color w:val="000000" w:themeColor="text1"/>
        </w:rPr>
      </w:pPr>
      <w:r w:rsidRPr="0041090A">
        <w:rPr>
          <w:color w:val="000000" w:themeColor="text1"/>
        </w:rPr>
        <w:t>En ese sentido, el artículo 2, del Reglamento de la Ley de Contratación Pública del Estado de México y Municipios, precisa que la adjudicación directa es la excepción al procedimiento de licitación pública para la adquisición de bienes, enajenación o arrendamiento de bienes, o la contratación de servicios en el que la convocante, designa al proveedor de bienes, arrendador, comprador o prestador del servicio, con base en las mejores condiciones en cuanto a precio, calidad, financiamiento, oportunidad y demás circunstancias pertinentes, así como, el proveedor es la persona que celebra contratos de adquisición de bienes con las dependencias, en este caso, los Ayuntamientos.</w:t>
      </w:r>
    </w:p>
    <w:p w14:paraId="6554D5C3" w14:textId="77777777" w:rsidR="00A3086D" w:rsidRDefault="00A3086D" w:rsidP="00CA6D43">
      <w:pPr>
        <w:spacing w:after="0" w:line="360" w:lineRule="auto"/>
      </w:pPr>
    </w:p>
    <w:p w14:paraId="1D6A8D30" w14:textId="1654DAA0" w:rsidR="00FA6505" w:rsidRDefault="004D5219" w:rsidP="00CA6D43">
      <w:pPr>
        <w:spacing w:after="0" w:line="360" w:lineRule="auto"/>
        <w:rPr>
          <w:color w:val="000000"/>
        </w:rPr>
      </w:pPr>
      <w:r w:rsidRPr="00D517FE">
        <w:rPr>
          <w:color w:val="000000"/>
        </w:rPr>
        <w:t>Conforme a lo anterior, se logra vislumbrar</w:t>
      </w:r>
      <w:r>
        <w:rPr>
          <w:color w:val="000000"/>
        </w:rPr>
        <w:t xml:space="preserve"> que la pretensión de la </w:t>
      </w:r>
      <w:r w:rsidR="002B36A1">
        <w:rPr>
          <w:color w:val="000000"/>
        </w:rPr>
        <w:t>persona Recurrente</w:t>
      </w:r>
      <w:r>
        <w:rPr>
          <w:color w:val="000000"/>
        </w:rPr>
        <w:t xml:space="preserve">, es obtener, </w:t>
      </w:r>
      <w:r w:rsidR="0041090A">
        <w:rPr>
          <w:color w:val="000000"/>
        </w:rPr>
        <w:t>las e</w:t>
      </w:r>
      <w:r w:rsidR="0041090A" w:rsidRPr="0041090A">
        <w:rPr>
          <w:color w:val="000000"/>
        </w:rPr>
        <w:t>mpresas o contratos</w:t>
      </w:r>
      <w:r w:rsidR="0041090A">
        <w:rPr>
          <w:color w:val="000000"/>
        </w:rPr>
        <w:t xml:space="preserve"> celebrados</w:t>
      </w:r>
      <w:r w:rsidR="0041090A" w:rsidRPr="0041090A">
        <w:rPr>
          <w:color w:val="000000"/>
        </w:rPr>
        <w:t xml:space="preserve"> para rehabilitación</w:t>
      </w:r>
      <w:r w:rsidR="0041090A">
        <w:rPr>
          <w:color w:val="000000"/>
        </w:rPr>
        <w:t>.</w:t>
      </w:r>
    </w:p>
    <w:p w14:paraId="40537EF9" w14:textId="77777777" w:rsidR="0041090A" w:rsidRDefault="0041090A" w:rsidP="00CA6D43">
      <w:pPr>
        <w:spacing w:after="0" w:line="360" w:lineRule="auto"/>
        <w:rPr>
          <w:color w:val="000000"/>
        </w:rPr>
      </w:pPr>
    </w:p>
    <w:p w14:paraId="4BB5F83A" w14:textId="2D6A1E7C" w:rsidR="004D3BF2" w:rsidRDefault="004D5219" w:rsidP="00CA6D43">
      <w:pPr>
        <w:spacing w:after="0" w:line="360" w:lineRule="auto"/>
        <w:ind w:right="-28"/>
        <w:rPr>
          <w:color w:val="000000"/>
        </w:rPr>
      </w:pPr>
      <w:r>
        <w:rPr>
          <w:color w:val="000000"/>
        </w:rPr>
        <w:t xml:space="preserve">Establecida dicha circunstancia, se procede analizar la respuesta entregada, para lo cual, es de señalar que de las constancias que de las constancias que obran en el expediente, se logra vislumbrar que el Sujeto Obligado turno la solicitud de información a la </w:t>
      </w:r>
      <w:r w:rsidR="0041090A">
        <w:rPr>
          <w:b/>
          <w:color w:val="000000"/>
        </w:rPr>
        <w:t>Dirección de Administración y Finanzas</w:t>
      </w:r>
      <w:r>
        <w:rPr>
          <w:color w:val="000000"/>
        </w:rPr>
        <w:t>, así,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3834D21E" w14:textId="2D8D44E7" w:rsidR="00701370" w:rsidRPr="00701370" w:rsidRDefault="00701370" w:rsidP="00CA6D43">
      <w:pPr>
        <w:spacing w:after="0" w:line="360" w:lineRule="auto"/>
        <w:rPr>
          <w:color w:val="000000"/>
        </w:rPr>
      </w:pPr>
      <w:r w:rsidRPr="00D517FE">
        <w:rPr>
          <w:color w:val="000000"/>
        </w:rPr>
        <w:t xml:space="preserve">Así y de lo plasmado en párrafos anteriores, </w:t>
      </w:r>
      <w:r w:rsidRPr="00D517FE">
        <w:t xml:space="preserve">se logra colegir que el Sujeto Obligado cumplió con el procedimiento de búsqueda </w:t>
      </w:r>
      <w:r w:rsidRPr="00D517FE">
        <w:rPr>
          <w:color w:val="000000"/>
        </w:rPr>
        <w:t>establecido en el artículo 162 de la Ley de Transparencia y Acceso a la Información Pública del Estado de México y Municipios, toda vez, que gestionó el requerimiento de información al área competente para conocer de lo peticionado.</w:t>
      </w:r>
    </w:p>
    <w:p w14:paraId="0622450D" w14:textId="77777777" w:rsidR="004D3BF2" w:rsidRDefault="004D3BF2" w:rsidP="00CA6D43">
      <w:pPr>
        <w:spacing w:after="0" w:line="360" w:lineRule="auto"/>
        <w:rPr>
          <w:color w:val="000000"/>
        </w:rPr>
      </w:pPr>
    </w:p>
    <w:p w14:paraId="6534709F" w14:textId="39AF8A03" w:rsidR="0061202A" w:rsidRDefault="00FA6505" w:rsidP="00CA6D43">
      <w:pPr>
        <w:spacing w:after="0" w:line="360" w:lineRule="auto"/>
        <w:rPr>
          <w:color w:val="000000" w:themeColor="text1"/>
        </w:rPr>
      </w:pPr>
      <w:r w:rsidRPr="00FA6505">
        <w:rPr>
          <w:color w:val="000000" w:themeColor="text1"/>
        </w:rPr>
        <w:t xml:space="preserve">Ahora bien, dicha </w:t>
      </w:r>
      <w:r w:rsidR="00CA6D43" w:rsidRPr="00FA6505">
        <w:rPr>
          <w:color w:val="000000" w:themeColor="text1"/>
        </w:rPr>
        <w:t xml:space="preserve">área </w:t>
      </w:r>
      <w:r w:rsidR="00CA6D43">
        <w:rPr>
          <w:color w:val="000000" w:themeColor="text1"/>
        </w:rPr>
        <w:t>remitió</w:t>
      </w:r>
      <w:r w:rsidR="0061202A">
        <w:rPr>
          <w:color w:val="000000" w:themeColor="text1"/>
        </w:rPr>
        <w:t xml:space="preserve"> </w:t>
      </w:r>
      <w:r w:rsidR="00CA6D43">
        <w:rPr>
          <w:color w:val="000000" w:themeColor="text1"/>
        </w:rPr>
        <w:t>la versión</w:t>
      </w:r>
      <w:r w:rsidR="0061202A">
        <w:rPr>
          <w:color w:val="000000" w:themeColor="text1"/>
        </w:rPr>
        <w:t xml:space="preserve"> pública de tres contratos de prestación de servicios relacionadas con mantenimiento de albercas, donde se testaron los siguientes datos:</w:t>
      </w:r>
    </w:p>
    <w:p w14:paraId="1B14B93C" w14:textId="77777777" w:rsidR="0061202A" w:rsidRDefault="0061202A" w:rsidP="00CA6D43">
      <w:pPr>
        <w:spacing w:after="0" w:line="360" w:lineRule="auto"/>
        <w:rPr>
          <w:color w:val="000000" w:themeColor="text1"/>
        </w:rPr>
      </w:pPr>
    </w:p>
    <w:p w14:paraId="453AAD82" w14:textId="1E4E6D6F" w:rsidR="0061202A" w:rsidRPr="0061202A" w:rsidRDefault="0061202A" w:rsidP="00CA6D43">
      <w:pPr>
        <w:pStyle w:val="Prrafodelista"/>
        <w:numPr>
          <w:ilvl w:val="0"/>
          <w:numId w:val="26"/>
        </w:numPr>
        <w:spacing w:line="360" w:lineRule="auto"/>
        <w:rPr>
          <w:color w:val="000000" w:themeColor="text1"/>
        </w:rPr>
      </w:pPr>
      <w:r w:rsidRPr="0061202A">
        <w:rPr>
          <w:color w:val="000000" w:themeColor="text1"/>
        </w:rPr>
        <w:t>Firma del proveedor</w:t>
      </w:r>
      <w:r w:rsidR="00CA6D43">
        <w:rPr>
          <w:color w:val="000000" w:themeColor="text1"/>
        </w:rPr>
        <w:t>;</w:t>
      </w:r>
    </w:p>
    <w:p w14:paraId="03448EDD" w14:textId="08931232" w:rsidR="0061202A" w:rsidRPr="0061202A" w:rsidRDefault="0061202A" w:rsidP="00CA6D43">
      <w:pPr>
        <w:pStyle w:val="Prrafodelista"/>
        <w:numPr>
          <w:ilvl w:val="0"/>
          <w:numId w:val="26"/>
        </w:numPr>
        <w:spacing w:line="360" w:lineRule="auto"/>
        <w:rPr>
          <w:color w:val="000000" w:themeColor="text1"/>
        </w:rPr>
      </w:pPr>
      <w:r w:rsidRPr="0061202A">
        <w:rPr>
          <w:color w:val="000000" w:themeColor="text1"/>
        </w:rPr>
        <w:t>RFC del proveedor</w:t>
      </w:r>
      <w:r w:rsidR="00CA6D43">
        <w:rPr>
          <w:color w:val="000000" w:themeColor="text1"/>
        </w:rPr>
        <w:t>, y</w:t>
      </w:r>
    </w:p>
    <w:p w14:paraId="31363537" w14:textId="3D29B59D" w:rsidR="00CA6D43" w:rsidRPr="00CA6D43" w:rsidRDefault="0061202A" w:rsidP="00CA6D43">
      <w:pPr>
        <w:pStyle w:val="Prrafodelista"/>
        <w:numPr>
          <w:ilvl w:val="0"/>
          <w:numId w:val="26"/>
        </w:numPr>
        <w:spacing w:line="360" w:lineRule="auto"/>
        <w:rPr>
          <w:color w:val="000000" w:themeColor="text1"/>
        </w:rPr>
      </w:pPr>
      <w:r w:rsidRPr="0061202A">
        <w:rPr>
          <w:color w:val="000000" w:themeColor="text1"/>
        </w:rPr>
        <w:t>Domicilio del Proveedor</w:t>
      </w:r>
      <w:r w:rsidR="00CA6D43">
        <w:rPr>
          <w:color w:val="000000" w:themeColor="text1"/>
        </w:rPr>
        <w:t>.</w:t>
      </w:r>
    </w:p>
    <w:p w14:paraId="2AD796E1" w14:textId="77777777" w:rsidR="0061202A" w:rsidRDefault="0061202A" w:rsidP="00CA6D43">
      <w:pPr>
        <w:spacing w:after="0" w:line="360" w:lineRule="auto"/>
        <w:rPr>
          <w:color w:val="000000" w:themeColor="text1"/>
        </w:rPr>
      </w:pPr>
    </w:p>
    <w:p w14:paraId="43FE06FD" w14:textId="16D642E8" w:rsidR="00FA6505" w:rsidRPr="00FA6505" w:rsidRDefault="00FA6505" w:rsidP="00CA6D43">
      <w:pPr>
        <w:spacing w:after="0" w:line="360" w:lineRule="auto"/>
        <w:rPr>
          <w:b/>
          <w:bCs/>
          <w:color w:val="000000" w:themeColor="text1"/>
        </w:rPr>
      </w:pPr>
      <w:r>
        <w:rPr>
          <w:color w:val="000000" w:themeColor="text1"/>
        </w:rPr>
        <w:t>Así</w:t>
      </w:r>
      <w:r w:rsidRPr="00FA6505">
        <w:rPr>
          <w:color w:val="000000" w:themeColor="text1"/>
        </w:rPr>
        <w:t xml:space="preserve">, es de señalar que las excepciones al derecho de acceso a la información, consisten en que </w:t>
      </w:r>
      <w:r w:rsidRPr="00D517FE">
        <w:rPr>
          <w:color w:val="000000" w:themeColor="text1"/>
        </w:rPr>
        <w:t>la documentación sea inexistente</w:t>
      </w:r>
      <w:r w:rsidRPr="00FA6505">
        <w:rPr>
          <w:b/>
          <w:bCs/>
          <w:color w:val="000000" w:themeColor="text1"/>
        </w:rPr>
        <w:t>, obre en los archivos, pero se encuentre clasificada, o bien, el Sujeto Obligado sea incompetente</w:t>
      </w:r>
      <w:r w:rsidRPr="00FA6505">
        <w:rPr>
          <w:color w:val="000000" w:themeColor="text1"/>
        </w:rPr>
        <w:t xml:space="preserve"> para contar con esta; esto es, la negativa de acceso a la información, recae cuando la documentación no se encuentre en los archivos del sujeto obligado, o bien exista, pero no pueda proporcionarse por contener datos </w:t>
      </w:r>
      <w:r w:rsidRPr="00FA6505">
        <w:rPr>
          <w:b/>
          <w:bCs/>
          <w:color w:val="000000" w:themeColor="text1"/>
        </w:rPr>
        <w:t>confidenciales o reservados.</w:t>
      </w:r>
    </w:p>
    <w:p w14:paraId="035EE4CA" w14:textId="77777777" w:rsidR="00FA6505" w:rsidRPr="00FA6505" w:rsidRDefault="00FA6505" w:rsidP="00CA6D43">
      <w:pPr>
        <w:spacing w:after="0" w:line="360" w:lineRule="auto"/>
        <w:rPr>
          <w:color w:val="000000" w:themeColor="text1"/>
        </w:rPr>
      </w:pPr>
    </w:p>
    <w:p w14:paraId="6A7BDACB" w14:textId="678993FA" w:rsidR="00FA6505" w:rsidRPr="00FA6505" w:rsidRDefault="00FA6505" w:rsidP="00CA6D43">
      <w:pPr>
        <w:spacing w:after="0" w:line="360" w:lineRule="auto"/>
        <w:rPr>
          <w:color w:val="000000" w:themeColor="text1"/>
        </w:rPr>
      </w:pPr>
      <w:r w:rsidRPr="00FA6505">
        <w:rPr>
          <w:color w:val="000000" w:themeColor="text1"/>
        </w:rPr>
        <w:t xml:space="preserve">En ese contexto, es de referir que el Sujeto Obligado, </w:t>
      </w:r>
      <w:r w:rsidR="0061202A">
        <w:rPr>
          <w:color w:val="000000" w:themeColor="text1"/>
        </w:rPr>
        <w:t>testó diversa información contenida en los contratos, al amparo del acuerdo del Comité de Transparencia</w:t>
      </w:r>
      <w:r>
        <w:rPr>
          <w:color w:val="000000" w:themeColor="text1"/>
        </w:rPr>
        <w:t>, es decir, aludió a una clasificación</w:t>
      </w:r>
      <w:r w:rsidRPr="00FA6505">
        <w:rPr>
          <w:color w:val="000000" w:themeColor="text1"/>
        </w:rPr>
        <w:t xml:space="preserve">; sobre el tema, en los artículos 122, 128 y 130 de la Ley Transparencia y Acceso a la Información Pública del Estado de México y Municipios, se prevé que la clasificación es el proceso mediante el cual los sujetos obligados determinan que la información en su poder, actualiza alguno de los supuestos de </w:t>
      </w:r>
      <w:r w:rsidRPr="00FA6505">
        <w:rPr>
          <w:b/>
          <w:bCs/>
          <w:color w:val="000000" w:themeColor="text1"/>
        </w:rPr>
        <w:t>reserva o confidencialidad</w:t>
      </w:r>
      <w:r w:rsidRPr="00FA6505">
        <w:rPr>
          <w:color w:val="000000" w:themeColor="text1"/>
        </w:rPr>
        <w:t>. Además, que dichos entes deberán aplicar de manera restrictiva y limitada, las excepciones al derecho de acceso a la información, por lo que, tendrán que acreditar la procedencia.</w:t>
      </w:r>
    </w:p>
    <w:p w14:paraId="2C858D8A" w14:textId="77777777" w:rsidR="00FA6505" w:rsidRPr="00FA6505" w:rsidRDefault="00FA6505" w:rsidP="00CA6D43">
      <w:pPr>
        <w:spacing w:after="0" w:line="360" w:lineRule="auto"/>
        <w:rPr>
          <w:color w:val="000000" w:themeColor="text1"/>
        </w:rPr>
      </w:pPr>
    </w:p>
    <w:p w14:paraId="1A93C146" w14:textId="77777777" w:rsidR="00FA6505" w:rsidRPr="00FA6505" w:rsidRDefault="00FA6505" w:rsidP="00CA6D43">
      <w:pPr>
        <w:spacing w:after="0" w:line="360" w:lineRule="auto"/>
        <w:rPr>
          <w:color w:val="000000" w:themeColor="text1"/>
        </w:rPr>
      </w:pPr>
      <w:r w:rsidRPr="00FA6505">
        <w:rPr>
          <w:color w:val="000000" w:themeColor="text1"/>
        </w:rPr>
        <w:t xml:space="preserve">Por lo cual, en los casos en que se niegue el acceso a la información, por actualizarse alguno de los supuestos de clasificación, </w:t>
      </w:r>
      <w:r w:rsidRPr="00FA6505">
        <w:rPr>
          <w:b/>
          <w:bCs/>
          <w:color w:val="000000" w:themeColor="text1"/>
        </w:rPr>
        <w:t>el Comité de Transparencia deberá confirmar, modificar o revocar la decisión;</w:t>
      </w:r>
      <w:r w:rsidRPr="00FA6505">
        <w:rPr>
          <w:color w:val="000000" w:themeColor="text1"/>
        </w:rPr>
        <w:t xml:space="preserve"> 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316A619D" w14:textId="77777777" w:rsidR="00FA6505" w:rsidRPr="00FA6505" w:rsidRDefault="00FA6505" w:rsidP="00CA6D43">
      <w:pPr>
        <w:spacing w:after="0" w:line="360" w:lineRule="auto"/>
        <w:rPr>
          <w:color w:val="000000" w:themeColor="text1"/>
        </w:rPr>
      </w:pPr>
    </w:p>
    <w:p w14:paraId="592F8CF0" w14:textId="77777777" w:rsidR="00FA6505" w:rsidRPr="00FA6505" w:rsidRDefault="00FA6505" w:rsidP="00CA6D43">
      <w:pPr>
        <w:spacing w:after="0" w:line="360" w:lineRule="auto"/>
        <w:rPr>
          <w:b/>
          <w:bCs/>
          <w:color w:val="000000" w:themeColor="text1"/>
        </w:rPr>
      </w:pPr>
      <w:r w:rsidRPr="00FA6505">
        <w:rPr>
          <w:color w:val="000000" w:themeColor="text1"/>
        </w:rPr>
        <w:t xml:space="preserve">En ese contexto, de la interpretación del artículo 134 de la Ley de Transparencia y Acceso a la Información Pública del Estado de México y Municipios, se logra observar que </w:t>
      </w:r>
      <w:r w:rsidRPr="00FA6505">
        <w:rPr>
          <w:b/>
          <w:bCs/>
          <w:color w:val="000000" w:themeColor="text1"/>
        </w:rPr>
        <w:t>la clasificación depende del contenido de los documentos, pues de su análisis se establece si corresponde a una clasificación total o parcial.</w:t>
      </w:r>
    </w:p>
    <w:p w14:paraId="103EC947" w14:textId="77777777" w:rsidR="00FA6505" w:rsidRPr="00FA6505" w:rsidRDefault="00FA6505" w:rsidP="00CA6D43">
      <w:pPr>
        <w:spacing w:after="0" w:line="360" w:lineRule="auto"/>
        <w:rPr>
          <w:color w:val="000000" w:themeColor="text1"/>
        </w:rPr>
      </w:pPr>
    </w:p>
    <w:p w14:paraId="53BC6675" w14:textId="77777777" w:rsidR="00FA6505" w:rsidRPr="00FA6505" w:rsidRDefault="00FA6505" w:rsidP="00CA6D43">
      <w:pPr>
        <w:spacing w:after="0" w:line="360" w:lineRule="auto"/>
        <w:rPr>
          <w:color w:val="000000" w:themeColor="text1"/>
        </w:rPr>
      </w:pPr>
      <w:r w:rsidRPr="00FA6505">
        <w:rPr>
          <w:color w:val="000000" w:themeColor="text1"/>
        </w:rPr>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7DB38326" w14:textId="77777777" w:rsidR="00FA6505" w:rsidRPr="00FA6505" w:rsidRDefault="00FA6505" w:rsidP="00CA6D43">
      <w:pPr>
        <w:spacing w:after="0" w:line="360" w:lineRule="auto"/>
        <w:rPr>
          <w:b/>
          <w:bCs/>
          <w:color w:val="000000" w:themeColor="text1"/>
        </w:rPr>
      </w:pPr>
    </w:p>
    <w:p w14:paraId="6ABB312D" w14:textId="77777777" w:rsidR="00FA6505" w:rsidRPr="00FA6505" w:rsidRDefault="00FA6505" w:rsidP="00CA6D43">
      <w:pPr>
        <w:spacing w:after="0" w:line="360" w:lineRule="auto"/>
        <w:rPr>
          <w:b/>
          <w:bCs/>
          <w:color w:val="000000" w:themeColor="text1"/>
        </w:rPr>
      </w:pPr>
      <w:r w:rsidRPr="00FA6505">
        <w:rPr>
          <w:color w:val="000000" w:themeColor="text1"/>
        </w:rPr>
        <w:t xml:space="preserve">En ese contexto, según Bonifaz, Leticia (2016), en la “Ley General de Transparencia y Acceso a la Información Pública Comentada” (p. 342), la </w:t>
      </w:r>
      <w:r w:rsidRPr="00FA6505">
        <w:rPr>
          <w:b/>
          <w:bCs/>
          <w:color w:val="000000" w:themeColor="text1"/>
        </w:rPr>
        <w:t>clasificación de la información</w:t>
      </w:r>
      <w:r w:rsidRPr="00FA6505">
        <w:rPr>
          <w:color w:val="000000" w:themeColor="text1"/>
        </w:rPr>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FA6505">
        <w:rPr>
          <w:b/>
          <w:bCs/>
          <w:color w:val="000000" w:themeColor="text1"/>
        </w:rPr>
        <w:t>de manera adecuada la negativa de información.</w:t>
      </w:r>
    </w:p>
    <w:p w14:paraId="2A5A8C9A" w14:textId="77777777" w:rsidR="00FA6505" w:rsidRPr="00FA6505" w:rsidRDefault="00FA6505" w:rsidP="00CA6D43">
      <w:pPr>
        <w:spacing w:after="0" w:line="360" w:lineRule="auto"/>
        <w:rPr>
          <w:b/>
          <w:bCs/>
          <w:color w:val="000000" w:themeColor="text1"/>
        </w:rPr>
      </w:pPr>
    </w:p>
    <w:p w14:paraId="6ED0B015" w14:textId="77777777" w:rsidR="00FA6505" w:rsidRPr="00FA6505" w:rsidRDefault="00FA6505" w:rsidP="00CA6D43">
      <w:pPr>
        <w:spacing w:after="0" w:line="360" w:lineRule="auto"/>
        <w:rPr>
          <w:rFonts w:cs="Tahoma"/>
          <w:b/>
          <w:bCs/>
          <w:iCs/>
        </w:rPr>
      </w:pPr>
      <w:r w:rsidRPr="00FA6505">
        <w:rPr>
          <w:color w:val="000000" w:themeColor="text1"/>
        </w:rPr>
        <w:t xml:space="preserve">Además, conforme al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Pr="00FA6505">
        <w:rPr>
          <w:b/>
          <w:bCs/>
          <w:color w:val="000000" w:themeColor="text1"/>
        </w:rPr>
        <w:t>análisis caso por caso.</w:t>
      </w:r>
    </w:p>
    <w:p w14:paraId="5700020D" w14:textId="77777777" w:rsidR="00FA6505" w:rsidRPr="00FA6505" w:rsidRDefault="00FA6505" w:rsidP="00CA6D43">
      <w:pPr>
        <w:spacing w:after="0" w:line="360" w:lineRule="auto"/>
        <w:rPr>
          <w:color w:val="000000" w:themeColor="text1"/>
        </w:rPr>
      </w:pPr>
    </w:p>
    <w:p w14:paraId="365B8045" w14:textId="77777777" w:rsidR="00FA6505" w:rsidRPr="00FA6505" w:rsidRDefault="00FA6505" w:rsidP="00CA6D43">
      <w:pPr>
        <w:spacing w:after="0" w:line="360" w:lineRule="auto"/>
        <w:rPr>
          <w:color w:val="000000" w:themeColor="text1"/>
        </w:rPr>
      </w:pPr>
      <w:r w:rsidRPr="00FA6505">
        <w:rPr>
          <w:color w:val="000000" w:themeColor="text1"/>
        </w:rPr>
        <w:t>Sobre lo anterior, el artículo 131 de la Ley referida, así como el Quinto de los Lineamientos Generales, establecen que los sujetos obligados deberán fundar y motivar debidamente la clasificación de la información.</w:t>
      </w:r>
    </w:p>
    <w:p w14:paraId="6F549ED8" w14:textId="77777777" w:rsidR="00FA6505" w:rsidRPr="00FA6505" w:rsidRDefault="00FA6505" w:rsidP="00CA6D43">
      <w:pPr>
        <w:spacing w:after="0" w:line="360" w:lineRule="auto"/>
        <w:rPr>
          <w:color w:val="000000" w:themeColor="text1"/>
        </w:rPr>
      </w:pPr>
    </w:p>
    <w:p w14:paraId="1C5EC520" w14:textId="77777777" w:rsidR="00FA6505" w:rsidRPr="00FA6505" w:rsidRDefault="00FA6505" w:rsidP="00CA6D43">
      <w:pPr>
        <w:spacing w:after="0" w:line="360" w:lineRule="auto"/>
        <w:rPr>
          <w:color w:val="000000" w:themeColor="text1"/>
        </w:rPr>
      </w:pPr>
      <w:r w:rsidRPr="00FA6505">
        <w:rPr>
          <w:color w:val="000000" w:themeColor="text1"/>
        </w:rPr>
        <w:t>Al respecto, el Octavo de los Lineamientos Generales, precisa lo siguiente:</w:t>
      </w:r>
    </w:p>
    <w:p w14:paraId="7ABD0B74" w14:textId="77777777" w:rsidR="00FA6505" w:rsidRPr="00FA6505" w:rsidRDefault="00FA6505" w:rsidP="00CA6D43">
      <w:pPr>
        <w:spacing w:after="0" w:line="360" w:lineRule="auto"/>
        <w:rPr>
          <w:color w:val="000000" w:themeColor="text1"/>
        </w:rPr>
      </w:pPr>
    </w:p>
    <w:p w14:paraId="416D4F23" w14:textId="77777777" w:rsidR="00FA6505" w:rsidRPr="00FA6505" w:rsidRDefault="00FA6505" w:rsidP="00CA6D43">
      <w:pPr>
        <w:numPr>
          <w:ilvl w:val="0"/>
          <w:numId w:val="19"/>
        </w:numPr>
        <w:spacing w:after="0" w:line="360" w:lineRule="auto"/>
        <w:contextualSpacing/>
        <w:rPr>
          <w:rFonts w:eastAsia="Times New Roman" w:cs="Times New Roman"/>
          <w:color w:val="000000" w:themeColor="text1"/>
          <w:szCs w:val="24"/>
          <w:u w:val="single"/>
          <w:lang w:eastAsia="es-ES"/>
        </w:rPr>
      </w:pPr>
      <w:r w:rsidRPr="00FA6505">
        <w:rPr>
          <w:rFonts w:eastAsia="Times New Roman" w:cs="Times New Roman"/>
          <w:b/>
          <w:bCs/>
          <w:color w:val="000000" w:themeColor="text1"/>
          <w:szCs w:val="24"/>
          <w:lang w:eastAsia="es-ES"/>
        </w:rPr>
        <w:t>Para fundar la clasificación</w:t>
      </w:r>
      <w:r w:rsidRPr="00FA6505">
        <w:rPr>
          <w:rFonts w:eastAsia="Times New Roman" w:cs="Times New Roman"/>
          <w:color w:val="000000" w:themeColor="text1"/>
          <w:szCs w:val="24"/>
          <w:lang w:eastAsia="es-ES"/>
        </w:rPr>
        <w:t xml:space="preserve"> de la información se deberán </w:t>
      </w:r>
      <w:r w:rsidRPr="00FA6505">
        <w:rPr>
          <w:rFonts w:eastAsia="Times New Roman" w:cs="Times New Roman"/>
          <w:color w:val="000000" w:themeColor="text1"/>
          <w:szCs w:val="24"/>
          <w:u w:val="single"/>
          <w:lang w:eastAsia="es-ES"/>
        </w:rPr>
        <w:t>señalar el artículo, fracción, inciso, párrafo o numeral de la Ley aplicable.</w:t>
      </w:r>
    </w:p>
    <w:p w14:paraId="1981BE12" w14:textId="77777777" w:rsidR="00FA6505" w:rsidRPr="00FA6505" w:rsidRDefault="00FA6505" w:rsidP="00CA6D43">
      <w:pPr>
        <w:spacing w:after="0" w:line="360" w:lineRule="auto"/>
        <w:ind w:left="720"/>
        <w:contextualSpacing/>
        <w:rPr>
          <w:rFonts w:eastAsia="Times New Roman" w:cs="Times New Roman"/>
          <w:color w:val="000000" w:themeColor="text1"/>
          <w:szCs w:val="24"/>
          <w:u w:val="single"/>
          <w:lang w:eastAsia="es-ES"/>
        </w:rPr>
      </w:pPr>
    </w:p>
    <w:p w14:paraId="21656F8A" w14:textId="77777777" w:rsidR="00FA6505" w:rsidRPr="00FA6505" w:rsidRDefault="00FA6505" w:rsidP="00CA6D43">
      <w:pPr>
        <w:numPr>
          <w:ilvl w:val="0"/>
          <w:numId w:val="19"/>
        </w:numPr>
        <w:spacing w:after="0" w:line="360" w:lineRule="auto"/>
        <w:contextualSpacing/>
        <w:rPr>
          <w:rFonts w:eastAsia="Times New Roman" w:cs="Tahoma"/>
          <w:iCs/>
          <w:szCs w:val="24"/>
          <w:lang w:eastAsia="es-ES"/>
        </w:rPr>
      </w:pPr>
      <w:r w:rsidRPr="00FA6505">
        <w:rPr>
          <w:rFonts w:eastAsia="Times New Roman" w:cs="Times New Roman"/>
          <w:b/>
          <w:bCs/>
          <w:color w:val="000000" w:themeColor="text1"/>
          <w:szCs w:val="24"/>
          <w:lang w:eastAsia="es-ES"/>
        </w:rPr>
        <w:t>Para motivar la clasificación</w:t>
      </w:r>
      <w:r w:rsidRPr="00FA6505">
        <w:rPr>
          <w:rFonts w:eastAsia="Times New Roman" w:cs="Times New Roman"/>
          <w:color w:val="000000" w:themeColor="text1"/>
          <w:szCs w:val="24"/>
          <w:lang w:eastAsia="es-ES"/>
        </w:rPr>
        <w:t xml:space="preserve"> se deberán </w:t>
      </w:r>
      <w:r w:rsidRPr="00FA6505">
        <w:rPr>
          <w:rFonts w:eastAsia="Times New Roman" w:cs="Times New Roman"/>
          <w:color w:val="000000" w:themeColor="text1"/>
          <w:szCs w:val="24"/>
          <w:u w:val="single"/>
          <w:lang w:eastAsia="es-ES"/>
        </w:rPr>
        <w:t>indicar las razones y circunstancias</w:t>
      </w:r>
      <w:r w:rsidRPr="00FA6505">
        <w:rPr>
          <w:rFonts w:eastAsia="Times New Roman" w:cs="Times New Roman"/>
          <w:color w:val="000000" w:themeColor="text1"/>
          <w:szCs w:val="24"/>
          <w:lang w:eastAsia="es-ES"/>
        </w:rPr>
        <w:t xml:space="preserve"> especiales que lo llevaron a concluir que el caso particular se ajusta al supuesto previsto por la norma legal invocada.</w:t>
      </w:r>
    </w:p>
    <w:p w14:paraId="4B74C10C" w14:textId="77777777" w:rsidR="00FA6505" w:rsidRPr="00FA6505" w:rsidRDefault="00FA6505" w:rsidP="00CA6D43">
      <w:pPr>
        <w:spacing w:after="0" w:line="360" w:lineRule="auto"/>
        <w:ind w:left="720"/>
        <w:contextualSpacing/>
        <w:rPr>
          <w:rFonts w:ascii="Times New Roman" w:eastAsia="Times New Roman" w:hAnsi="Times New Roman" w:cs="Tahoma"/>
          <w:iCs/>
          <w:szCs w:val="24"/>
          <w:lang w:eastAsia="es-ES"/>
        </w:rPr>
      </w:pPr>
    </w:p>
    <w:p w14:paraId="591EC0E0" w14:textId="77777777" w:rsidR="00FA6505" w:rsidRPr="00FA6505" w:rsidRDefault="00FA6505" w:rsidP="00CA6D43">
      <w:pPr>
        <w:spacing w:after="0" w:line="360" w:lineRule="auto"/>
        <w:rPr>
          <w:color w:val="000000" w:themeColor="text1"/>
        </w:rPr>
      </w:pPr>
      <w:r w:rsidRPr="00FA6505">
        <w:rPr>
          <w:color w:val="000000" w:themeColor="text1"/>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0BDA3136" w14:textId="77777777" w:rsidR="00FA6505" w:rsidRPr="00FA6505" w:rsidRDefault="00FA6505" w:rsidP="00CA6D43">
      <w:pPr>
        <w:spacing w:after="0" w:line="360" w:lineRule="auto"/>
        <w:rPr>
          <w:color w:val="000000" w:themeColor="text1"/>
        </w:rPr>
      </w:pPr>
    </w:p>
    <w:p w14:paraId="4C9EA44E" w14:textId="77777777" w:rsidR="00FA6505" w:rsidRPr="00FA6505" w:rsidRDefault="00FA6505" w:rsidP="00CA6D43">
      <w:pPr>
        <w:spacing w:after="0" w:line="360" w:lineRule="auto"/>
        <w:ind w:left="567" w:right="567"/>
        <w:rPr>
          <w:i/>
          <w:iCs/>
          <w:sz w:val="20"/>
          <w:szCs w:val="20"/>
        </w:rPr>
      </w:pPr>
      <w:r w:rsidRPr="00FA6505">
        <w:rPr>
          <w:b/>
          <w:bCs/>
          <w:i/>
          <w:iCs/>
          <w:sz w:val="20"/>
          <w:szCs w:val="20"/>
        </w:rPr>
        <w:t>“FUNDAMENTACION Y MOTIVACION, CONCEPTO DE.</w:t>
      </w:r>
      <w:r w:rsidRPr="00FA6505">
        <w:rPr>
          <w:i/>
          <w:iCs/>
          <w:sz w:val="20"/>
          <w:szCs w:val="20"/>
        </w:rPr>
        <w:t xml:space="preserve"> 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7D122D4F" w14:textId="77777777" w:rsidR="00FA6505" w:rsidRPr="00FA6505" w:rsidRDefault="00FA6505" w:rsidP="00CA6D43">
      <w:pPr>
        <w:spacing w:after="0" w:line="360" w:lineRule="auto"/>
        <w:rPr>
          <w:rFonts w:cs="Tahoma"/>
          <w:iCs/>
        </w:rPr>
      </w:pPr>
    </w:p>
    <w:p w14:paraId="3D611BE5" w14:textId="77777777" w:rsidR="00FA6505" w:rsidRPr="00FA6505" w:rsidRDefault="00FA6505" w:rsidP="00CA6D43">
      <w:pPr>
        <w:spacing w:after="0" w:line="360" w:lineRule="auto"/>
        <w:rPr>
          <w:color w:val="000000" w:themeColor="text1"/>
        </w:rPr>
      </w:pPr>
      <w:r w:rsidRPr="00FA6505">
        <w:rPr>
          <w:color w:val="000000" w:themeColor="text1"/>
        </w:rPr>
        <w:t>Conforme a lo anterior, se advierte lo siguiente:</w:t>
      </w:r>
    </w:p>
    <w:p w14:paraId="5178051E" w14:textId="77777777" w:rsidR="00FA6505" w:rsidRPr="00FA6505" w:rsidRDefault="00FA6505" w:rsidP="00CA6D43">
      <w:pPr>
        <w:spacing w:after="0" w:line="360" w:lineRule="auto"/>
        <w:rPr>
          <w:color w:val="000000" w:themeColor="text1"/>
        </w:rPr>
      </w:pPr>
    </w:p>
    <w:p w14:paraId="04694371" w14:textId="77777777" w:rsidR="00FA6505" w:rsidRPr="00FA6505" w:rsidRDefault="00FA6505" w:rsidP="00CA6D43">
      <w:pPr>
        <w:numPr>
          <w:ilvl w:val="0"/>
          <w:numId w:val="20"/>
        </w:numPr>
        <w:spacing w:after="0" w:line="360" w:lineRule="auto"/>
        <w:contextualSpacing/>
        <w:rPr>
          <w:rFonts w:eastAsia="Times New Roman" w:cs="Times New Roman"/>
          <w:color w:val="000000" w:themeColor="text1"/>
          <w:szCs w:val="24"/>
          <w:lang w:eastAsia="es-ES"/>
        </w:rPr>
      </w:pPr>
      <w:r w:rsidRPr="00FA6505">
        <w:rPr>
          <w:rFonts w:eastAsia="Times New Roman" w:cs="Times New Roman"/>
          <w:b/>
          <w:bCs/>
          <w:color w:val="000000" w:themeColor="text1"/>
          <w:szCs w:val="24"/>
          <w:lang w:eastAsia="es-ES"/>
        </w:rPr>
        <w:t>Fundamentación:</w:t>
      </w:r>
      <w:r w:rsidRPr="00FA6505">
        <w:rPr>
          <w:rFonts w:eastAsia="Times New Roman" w:cs="Times New Roman"/>
          <w:color w:val="000000" w:themeColor="text1"/>
          <w:szCs w:val="24"/>
          <w:lang w:eastAsia="es-ES"/>
        </w:rPr>
        <w:t xml:space="preserve"> Obligación de la autoridad que emite un acto, para citar los preceptos legales, sustantivos y adjetivos, en que se apoye para la determinación tomada. </w:t>
      </w:r>
    </w:p>
    <w:p w14:paraId="554CFCF9" w14:textId="77777777" w:rsidR="00FA6505" w:rsidRPr="00FA6505" w:rsidRDefault="00FA6505" w:rsidP="00CA6D43">
      <w:pPr>
        <w:spacing w:after="0" w:line="360" w:lineRule="auto"/>
        <w:ind w:left="720"/>
        <w:contextualSpacing/>
        <w:rPr>
          <w:rFonts w:eastAsia="Times New Roman" w:cs="Times New Roman"/>
          <w:color w:val="000000" w:themeColor="text1"/>
          <w:szCs w:val="24"/>
          <w:lang w:eastAsia="es-ES"/>
        </w:rPr>
      </w:pPr>
    </w:p>
    <w:p w14:paraId="0591BBC5" w14:textId="77777777" w:rsidR="00FA6505" w:rsidRDefault="00FA6505" w:rsidP="00CA6D43">
      <w:pPr>
        <w:numPr>
          <w:ilvl w:val="0"/>
          <w:numId w:val="20"/>
        </w:numPr>
        <w:spacing w:after="0" w:line="360" w:lineRule="auto"/>
        <w:contextualSpacing/>
        <w:rPr>
          <w:rFonts w:eastAsia="Times New Roman" w:cs="Times New Roman"/>
          <w:color w:val="000000" w:themeColor="text1"/>
          <w:szCs w:val="24"/>
          <w:lang w:eastAsia="es-ES"/>
        </w:rPr>
      </w:pPr>
      <w:r w:rsidRPr="00FA6505">
        <w:rPr>
          <w:rFonts w:eastAsia="Times New Roman" w:cs="Times New Roman"/>
          <w:b/>
          <w:bCs/>
          <w:color w:val="000000" w:themeColor="text1"/>
          <w:szCs w:val="24"/>
          <w:lang w:eastAsia="es-ES"/>
        </w:rPr>
        <w:t>Motivación:</w:t>
      </w:r>
      <w:r w:rsidRPr="00FA6505">
        <w:rPr>
          <w:rFonts w:eastAsia="Times New Roman" w:cs="Times New Roman"/>
          <w:color w:val="000000" w:themeColor="text1"/>
          <w:szCs w:val="24"/>
          <w:lang w:eastAsia="es-ES"/>
        </w:rPr>
        <w:t xml:space="preserve"> Razonamientos lógico-jurídicos sobre porque se consideró en el caso en concreto, que se ajusta a la hipótesis normativa.</w:t>
      </w:r>
    </w:p>
    <w:p w14:paraId="76370180" w14:textId="77777777" w:rsidR="00BF2703" w:rsidRDefault="00BF2703" w:rsidP="00BF2703">
      <w:pPr>
        <w:pStyle w:val="Prrafodelista"/>
        <w:rPr>
          <w:color w:val="000000" w:themeColor="text1"/>
        </w:rPr>
      </w:pPr>
    </w:p>
    <w:p w14:paraId="399AFC91" w14:textId="77777777" w:rsidR="00FA6505" w:rsidRPr="00FA6505" w:rsidRDefault="00FA6505" w:rsidP="00CA6D43">
      <w:pPr>
        <w:spacing w:after="0" w:line="360" w:lineRule="auto"/>
        <w:rPr>
          <w:color w:val="000000" w:themeColor="text1"/>
        </w:rPr>
      </w:pPr>
      <w:r w:rsidRPr="00FA6505">
        <w:rPr>
          <w:color w:val="000000" w:themeColor="text1"/>
        </w:rPr>
        <w:t>Situación que toma relevancia, pues conforme al artículo 149 de la Ley de Transparencia y Acceso a la Información Pública del Estado de México y Municipios, todo acuerdo que clasifique la información como confidencial, deberá contener un razonamiento lógico en el que se demuestre que la información actualiza alguna de las hipótesis previstas en el artículo 143 del ordenamiento jurídico establecido.</w:t>
      </w:r>
    </w:p>
    <w:p w14:paraId="09D809E4" w14:textId="77777777" w:rsidR="00FA6505" w:rsidRPr="00FA6505" w:rsidRDefault="00FA6505" w:rsidP="00CA6D43">
      <w:pPr>
        <w:spacing w:after="0" w:line="360" w:lineRule="auto"/>
        <w:rPr>
          <w:color w:val="000000" w:themeColor="text1"/>
        </w:rPr>
      </w:pPr>
    </w:p>
    <w:p w14:paraId="74F81AEA" w14:textId="032FA17A" w:rsidR="0061202A" w:rsidRDefault="00FA6505" w:rsidP="00CA6D43">
      <w:pPr>
        <w:spacing w:after="0" w:line="360" w:lineRule="auto"/>
        <w:rPr>
          <w:color w:val="000000" w:themeColor="text1"/>
        </w:rPr>
      </w:pPr>
      <w:r w:rsidRPr="00FA6505">
        <w:rPr>
          <w:color w:val="000000" w:themeColor="text1"/>
        </w:rPr>
        <w:t xml:space="preserve">En ese contexto, es de señalar que </w:t>
      </w:r>
      <w:r w:rsidR="008C270F">
        <w:rPr>
          <w:color w:val="000000" w:themeColor="text1"/>
        </w:rPr>
        <w:t>Instituto Municipal de Cultura Física y Deporte de Chimalhuacán</w:t>
      </w:r>
      <w:r w:rsidRPr="00FA6505">
        <w:rPr>
          <w:color w:val="000000" w:themeColor="text1"/>
        </w:rPr>
        <w:t>, no precisó de manera fundada y motivada las razones por las cuales, consideraba que los</w:t>
      </w:r>
      <w:r w:rsidR="0061202A">
        <w:rPr>
          <w:color w:val="000000" w:themeColor="text1"/>
        </w:rPr>
        <w:t xml:space="preserve"> datos contenidos en los</w:t>
      </w:r>
      <w:r w:rsidRPr="00FA6505">
        <w:rPr>
          <w:color w:val="000000" w:themeColor="text1"/>
        </w:rPr>
        <w:t xml:space="preserve"> documentos solicitados eran clasificados; ni el Comité de Transparencia </w:t>
      </w:r>
      <w:r w:rsidR="0061202A">
        <w:rPr>
          <w:color w:val="000000" w:themeColor="text1"/>
        </w:rPr>
        <w:t>fundó de forma correcta la clasificación de la información.</w:t>
      </w:r>
    </w:p>
    <w:p w14:paraId="560E1182" w14:textId="77777777" w:rsidR="0061202A" w:rsidRDefault="0061202A" w:rsidP="00CA6D43">
      <w:pPr>
        <w:spacing w:after="0" w:line="360" w:lineRule="auto"/>
        <w:rPr>
          <w:color w:val="000000" w:themeColor="text1"/>
        </w:rPr>
      </w:pPr>
    </w:p>
    <w:p w14:paraId="1EBB3FDC" w14:textId="77777777" w:rsidR="00FA6505" w:rsidRPr="00FA6505" w:rsidRDefault="00FA6505" w:rsidP="00CA6D43">
      <w:pPr>
        <w:spacing w:after="0" w:line="360" w:lineRule="auto"/>
        <w:rPr>
          <w:color w:val="000000" w:themeColor="text1"/>
        </w:rPr>
      </w:pPr>
      <w:r w:rsidRPr="00FA6505">
        <w:rPr>
          <w:color w:val="000000" w:themeColor="text1"/>
        </w:rPr>
        <w:t xml:space="preserve">En ese contexto, el artículo 137 de la Ley de Transparencia y Acceso a la Información Pública del Estado de México y Municipios y los numerales Segundo, fracción XVIII, y Quincuagésimo sexto de los Lineamientos Generales, establecen que cuando un documento contenga información pública y reservada o confidencial, la Unidad de Transparencia para efectos de atender al requerimiento informativo, </w:t>
      </w:r>
      <w:r w:rsidRPr="00FA6505">
        <w:rPr>
          <w:b/>
          <w:bCs/>
          <w:color w:val="000000" w:themeColor="text1"/>
        </w:rPr>
        <w:t xml:space="preserve">deberá elaborar una versión pública </w:t>
      </w:r>
      <w:r w:rsidRPr="00FA6505">
        <w:rPr>
          <w:color w:val="000000" w:themeColor="text1"/>
        </w:rPr>
        <w:t>en la que se testen las partes o secciones clasificadas, indicando su contenido de manera genérica y fundando y motivando su clasificación; documento que deberá ser aprobado por el Comité de Transparencia.</w:t>
      </w:r>
    </w:p>
    <w:p w14:paraId="108D9718" w14:textId="77777777" w:rsidR="00FA6505" w:rsidRPr="00FA6505" w:rsidRDefault="00FA6505" w:rsidP="00CA6D43">
      <w:pPr>
        <w:spacing w:after="0" w:line="360" w:lineRule="auto"/>
        <w:rPr>
          <w:color w:val="000000" w:themeColor="text1"/>
        </w:rPr>
      </w:pPr>
    </w:p>
    <w:p w14:paraId="22EA21BA" w14:textId="77777777" w:rsidR="00FA6505" w:rsidRPr="00FA6505" w:rsidRDefault="00FA6505" w:rsidP="00CA6D43">
      <w:pPr>
        <w:spacing w:after="0" w:line="360" w:lineRule="auto"/>
        <w:rPr>
          <w:color w:val="000000" w:themeColor="text1"/>
        </w:rPr>
      </w:pPr>
      <w:r w:rsidRPr="00FA6505">
        <w:rPr>
          <w:color w:val="000000" w:themeColor="text1"/>
        </w:rPr>
        <w:t>Como se logra observar, la clasificación total del documento no es la única forma de proteger información localizada en este, pues existe otro procedimiento, en el cual, solamente se testan las partes que contienen datos o información, denominado versión pública; con lo cual, el Sujeto Obligado podría testar los datos confidenciales y proporcionar el documento que da cuenta de la información solicitada.</w:t>
      </w:r>
    </w:p>
    <w:p w14:paraId="0B1CA448" w14:textId="77777777" w:rsidR="00FA6505" w:rsidRPr="00FA6505" w:rsidRDefault="00FA6505" w:rsidP="00CA6D43">
      <w:pPr>
        <w:spacing w:after="0" w:line="360" w:lineRule="auto"/>
        <w:rPr>
          <w:color w:val="000000" w:themeColor="text1"/>
        </w:rPr>
      </w:pPr>
    </w:p>
    <w:p w14:paraId="4027BA80" w14:textId="697F82F7" w:rsidR="003B4272" w:rsidRDefault="003B4272" w:rsidP="00CA6D43">
      <w:pPr>
        <w:spacing w:after="0" w:line="360" w:lineRule="auto"/>
        <w:ind w:right="-28"/>
        <w:rPr>
          <w:color w:val="000000"/>
        </w:rPr>
      </w:pPr>
      <w:r>
        <w:rPr>
          <w:color w:val="000000"/>
        </w:rPr>
        <w:t xml:space="preserve">De lo anterior, resulta procedente analizar si </w:t>
      </w:r>
      <w:r w:rsidR="00EC1B37">
        <w:rPr>
          <w:color w:val="000000"/>
        </w:rPr>
        <w:t xml:space="preserve">la información testada corresponde a </w:t>
      </w:r>
      <w:r>
        <w:rPr>
          <w:color w:val="000000"/>
        </w:rPr>
        <w:t>datos públicos o privados; para lo cual, el artículo 143, fracción I, de la Ley previamente citada, establece que la información privada y los datos personales, concernientes a una persona física o jurídica colectiva identificada o identificable son confidenciales.</w:t>
      </w:r>
    </w:p>
    <w:p w14:paraId="4F2A8D60" w14:textId="77777777" w:rsidR="003B4272" w:rsidRDefault="003B4272" w:rsidP="00CA6D43">
      <w:pPr>
        <w:spacing w:after="0" w:line="360" w:lineRule="auto"/>
        <w:rPr>
          <w:color w:val="000000"/>
        </w:rPr>
      </w:pPr>
    </w:p>
    <w:p w14:paraId="2E7E83A7" w14:textId="77777777" w:rsidR="003B4272" w:rsidRDefault="003B4272" w:rsidP="00CA6D43">
      <w:pPr>
        <w:spacing w:after="0" w:line="360" w:lineRule="auto"/>
        <w:rPr>
          <w:color w:val="000000"/>
        </w:rPr>
      </w:pPr>
      <w:r>
        <w:rPr>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68D6719" w14:textId="77777777" w:rsidR="003B4272" w:rsidRDefault="003B4272" w:rsidP="00CA6D43">
      <w:pPr>
        <w:spacing w:after="0" w:line="360" w:lineRule="auto"/>
        <w:rPr>
          <w:color w:val="000000"/>
        </w:rPr>
      </w:pPr>
    </w:p>
    <w:p w14:paraId="39B90439" w14:textId="77777777" w:rsidR="003B4272" w:rsidRDefault="003B4272" w:rsidP="00CA6D43">
      <w:pPr>
        <w:spacing w:after="0" w:line="360" w:lineRule="auto"/>
        <w:rPr>
          <w:color w:val="000000"/>
        </w:rPr>
      </w:pPr>
      <w:r>
        <w:rPr>
          <w:color w:val="000000"/>
        </w:rPr>
        <w:t>En términos de lo expuesto, la documentación y aquellos datos que se consideren confidenciales, serán una limitante del derecho de acceso a la información, siempre y cuando:</w:t>
      </w:r>
    </w:p>
    <w:p w14:paraId="09E3C5E4" w14:textId="77777777" w:rsidR="003B4272" w:rsidRDefault="003B4272" w:rsidP="00CA6D43">
      <w:pPr>
        <w:spacing w:after="0" w:line="360" w:lineRule="auto"/>
        <w:rPr>
          <w:color w:val="000000"/>
        </w:rPr>
      </w:pPr>
    </w:p>
    <w:p w14:paraId="022B84BD" w14:textId="77777777" w:rsidR="003B4272" w:rsidRDefault="003B4272" w:rsidP="00CA6D43">
      <w:pPr>
        <w:numPr>
          <w:ilvl w:val="0"/>
          <w:numId w:val="5"/>
        </w:numPr>
        <w:pBdr>
          <w:top w:val="nil"/>
          <w:left w:val="nil"/>
          <w:bottom w:val="nil"/>
          <w:right w:val="nil"/>
          <w:between w:val="nil"/>
        </w:pBdr>
        <w:spacing w:after="0" w:line="360" w:lineRule="auto"/>
        <w:rPr>
          <w:color w:val="000000"/>
        </w:rPr>
      </w:pPr>
      <w:r>
        <w:rPr>
          <w:color w:val="000000"/>
        </w:rPr>
        <w:t xml:space="preserve">Se trate de datos personales o información privada; esto es, información concerniente a una persona física o jurídico colectiva y que esta sea identificada o identificable. </w:t>
      </w:r>
    </w:p>
    <w:p w14:paraId="5A8FF005" w14:textId="77777777" w:rsidR="003B4272" w:rsidRDefault="003B4272" w:rsidP="00CA6D43">
      <w:pPr>
        <w:numPr>
          <w:ilvl w:val="0"/>
          <w:numId w:val="5"/>
        </w:numPr>
        <w:pBdr>
          <w:top w:val="nil"/>
          <w:left w:val="nil"/>
          <w:bottom w:val="nil"/>
          <w:right w:val="nil"/>
          <w:between w:val="nil"/>
        </w:pBdr>
        <w:spacing w:after="0" w:line="360" w:lineRule="auto"/>
        <w:jc w:val="left"/>
        <w:rPr>
          <w:color w:val="000000"/>
        </w:rPr>
      </w:pPr>
      <w:r>
        <w:rPr>
          <w:color w:val="000000"/>
        </w:rPr>
        <w:t xml:space="preserve">Para la difusión de los datos, se requiera el consentimiento del titular. </w:t>
      </w:r>
    </w:p>
    <w:p w14:paraId="5EF7D3D9" w14:textId="77777777" w:rsidR="003B4272" w:rsidRDefault="003B4272" w:rsidP="00CA6D43">
      <w:pPr>
        <w:spacing w:after="0" w:line="360" w:lineRule="auto"/>
        <w:rPr>
          <w:color w:val="000000"/>
        </w:rPr>
      </w:pPr>
    </w:p>
    <w:p w14:paraId="6487091E" w14:textId="77777777" w:rsidR="003B4272" w:rsidRDefault="003B4272" w:rsidP="00CA6D43">
      <w:pPr>
        <w:spacing w:after="0" w:line="360" w:lineRule="auto"/>
        <w:rPr>
          <w:color w:val="000000"/>
        </w:rPr>
      </w:pPr>
      <w:r>
        <w:rPr>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B75A335" w14:textId="77777777" w:rsidR="003B4272" w:rsidRDefault="003B4272" w:rsidP="00CA6D43">
      <w:pPr>
        <w:spacing w:after="0" w:line="360" w:lineRule="auto"/>
        <w:rPr>
          <w:color w:val="000000"/>
        </w:rPr>
      </w:pPr>
    </w:p>
    <w:p w14:paraId="5B0303E4" w14:textId="77777777" w:rsidR="003B4272" w:rsidRDefault="003B4272" w:rsidP="00CA6D43">
      <w:pPr>
        <w:spacing w:after="0" w:line="360" w:lineRule="auto"/>
        <w:rPr>
          <w:color w:val="000000"/>
        </w:rPr>
      </w:pPr>
      <w:r>
        <w:rPr>
          <w:color w:val="000000"/>
        </w:rPr>
        <w:t>Además, en el artículo 5° de dicho ordenamiento jurídico, establece que es la Ley aplicable para todo tratamiento de datos personales.</w:t>
      </w:r>
    </w:p>
    <w:p w14:paraId="1DB9214A" w14:textId="77777777" w:rsidR="003B4272" w:rsidRDefault="003B4272" w:rsidP="00CA6D43">
      <w:pPr>
        <w:spacing w:after="0" w:line="360" w:lineRule="auto"/>
        <w:rPr>
          <w:color w:val="000000"/>
        </w:rPr>
      </w:pPr>
    </w:p>
    <w:p w14:paraId="623ED717" w14:textId="77777777" w:rsidR="003B4272" w:rsidRDefault="003B4272" w:rsidP="00CA6D43">
      <w:pPr>
        <w:spacing w:after="0" w:line="360" w:lineRule="auto"/>
        <w:rPr>
          <w:color w:val="000000"/>
        </w:rPr>
      </w:pPr>
      <w:r>
        <w:rPr>
          <w:color w:val="000000"/>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1FCE8AF0" w14:textId="77777777" w:rsidR="003B4272" w:rsidRDefault="003B4272" w:rsidP="00CA6D43">
      <w:pPr>
        <w:spacing w:after="0" w:line="360" w:lineRule="auto"/>
        <w:rPr>
          <w:color w:val="000000"/>
        </w:rPr>
      </w:pPr>
    </w:p>
    <w:p w14:paraId="51B4DD26" w14:textId="77777777" w:rsidR="003B4272" w:rsidRDefault="003B4272" w:rsidP="00CA6D43">
      <w:pPr>
        <w:spacing w:after="0" w:line="360" w:lineRule="auto"/>
        <w:rPr>
          <w:color w:val="000000"/>
        </w:rPr>
      </w:pPr>
      <w:r>
        <w:rPr>
          <w:color w:val="000000"/>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49BF4FD0" w14:textId="77777777" w:rsidR="003B4272" w:rsidRDefault="003B4272" w:rsidP="00CA6D43">
      <w:pPr>
        <w:spacing w:after="0" w:line="360" w:lineRule="auto"/>
        <w:rPr>
          <w:color w:val="000000"/>
        </w:rPr>
      </w:pPr>
    </w:p>
    <w:p w14:paraId="66B7EFB2" w14:textId="4D0E390F" w:rsidR="004D3BF2" w:rsidRDefault="004D5219" w:rsidP="00CA6D43">
      <w:pPr>
        <w:numPr>
          <w:ilvl w:val="0"/>
          <w:numId w:val="22"/>
        </w:numPr>
        <w:spacing w:after="0" w:line="360" w:lineRule="auto"/>
        <w:contextualSpacing/>
        <w:rPr>
          <w:b/>
          <w:color w:val="000000"/>
        </w:rPr>
      </w:pPr>
      <w:r>
        <w:rPr>
          <w:b/>
          <w:color w:val="000000"/>
        </w:rPr>
        <w:t xml:space="preserve">Registro Federal de Contribuyentes </w:t>
      </w:r>
    </w:p>
    <w:p w14:paraId="39736963" w14:textId="77777777" w:rsidR="004D3BF2" w:rsidRDefault="004D3BF2" w:rsidP="00CA6D43">
      <w:pPr>
        <w:spacing w:after="0" w:line="360" w:lineRule="auto"/>
        <w:rPr>
          <w:color w:val="000000"/>
        </w:rPr>
      </w:pPr>
    </w:p>
    <w:p w14:paraId="1B9EE01F" w14:textId="7E4C4F6B" w:rsidR="004D3BF2" w:rsidRDefault="004D5219" w:rsidP="00CA6D43">
      <w:pPr>
        <w:spacing w:after="0" w:line="360" w:lineRule="auto"/>
        <w:rPr>
          <w:b/>
          <w:color w:val="000000"/>
        </w:rPr>
      </w:pPr>
      <w:r>
        <w:rPr>
          <w:b/>
          <w:color w:val="000000"/>
        </w:rPr>
        <w:t>Persona física</w:t>
      </w:r>
      <w:r w:rsidR="00BF2703">
        <w:rPr>
          <w:b/>
          <w:color w:val="000000"/>
        </w:rPr>
        <w:t xml:space="preserve"> (</w:t>
      </w:r>
      <w:r w:rsidR="00C850A0">
        <w:rPr>
          <w:b/>
          <w:color w:val="000000"/>
        </w:rPr>
        <w:t>proveedor o contratista)</w:t>
      </w:r>
    </w:p>
    <w:p w14:paraId="3908C0FB" w14:textId="77777777" w:rsidR="004D3BF2" w:rsidRDefault="004D3BF2" w:rsidP="00CA6D43">
      <w:pPr>
        <w:spacing w:after="0" w:line="360" w:lineRule="auto"/>
        <w:rPr>
          <w:color w:val="000000"/>
        </w:rPr>
      </w:pPr>
    </w:p>
    <w:p w14:paraId="1FE02E1C" w14:textId="77777777" w:rsidR="004D3BF2" w:rsidRDefault="004D5219" w:rsidP="00CA6D43">
      <w:pPr>
        <w:spacing w:after="0" w:line="360" w:lineRule="auto"/>
        <w:rPr>
          <w:color w:val="000000"/>
        </w:rPr>
      </w:pPr>
      <w:r>
        <w:rPr>
          <w:color w:val="000000"/>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14:paraId="7655A23D" w14:textId="77777777" w:rsidR="004D3BF2" w:rsidRDefault="004D3BF2" w:rsidP="00CA6D43">
      <w:pPr>
        <w:spacing w:after="0" w:line="360" w:lineRule="auto"/>
        <w:rPr>
          <w:color w:val="000000"/>
        </w:rPr>
      </w:pPr>
    </w:p>
    <w:p w14:paraId="4E3DF598" w14:textId="77777777" w:rsidR="004D3BF2" w:rsidRDefault="004D5219" w:rsidP="00CA6D43">
      <w:pPr>
        <w:spacing w:after="0" w:line="360" w:lineRule="auto"/>
        <w:rPr>
          <w:color w:val="000000"/>
        </w:rPr>
      </w:pPr>
      <w:r>
        <w:rPr>
          <w:color w:val="000000"/>
        </w:rPr>
        <w:t>Por lo tanto, en el presente caso, si bien el Registro Federal de Contribuyentes de personas físicas es un dato personal, también lo es, que corresponde a un requisito indispensable para ser proveedor y poder llevar a cabo actividades comerciales con la Entidad, ya que, sin este, no se pueden realizar dichas acciones, por lo que su entrega es un elemento adicional que respalda la legalidad de los procesos adquisitivos.</w:t>
      </w:r>
    </w:p>
    <w:p w14:paraId="3A03B6BD" w14:textId="77777777" w:rsidR="004D3BF2" w:rsidRDefault="004D3BF2" w:rsidP="00CA6D43">
      <w:pPr>
        <w:spacing w:after="0" w:line="360" w:lineRule="auto"/>
        <w:rPr>
          <w:color w:val="000000"/>
        </w:rPr>
      </w:pPr>
    </w:p>
    <w:p w14:paraId="3B86476D" w14:textId="77777777" w:rsidR="004D3BF2" w:rsidRDefault="004D5219" w:rsidP="00CA6D43">
      <w:pPr>
        <w:spacing w:after="0" w:line="360" w:lineRule="auto"/>
        <w:rPr>
          <w:color w:val="000000"/>
        </w:rPr>
      </w:pPr>
      <w:r>
        <w:rPr>
          <w:color w:val="000000"/>
        </w:rPr>
        <w:t>En ese contexto, entregar el Registro Federal de Contribuyentes aún de personas físicas cuando son proveedores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296F077A" w14:textId="77777777" w:rsidR="004D3BF2" w:rsidRDefault="004D3BF2" w:rsidP="00CA6D43">
      <w:pPr>
        <w:spacing w:after="0" w:line="360" w:lineRule="auto"/>
        <w:rPr>
          <w:color w:val="000000"/>
        </w:rPr>
      </w:pPr>
    </w:p>
    <w:p w14:paraId="237E95DC" w14:textId="77777777" w:rsidR="004D3BF2" w:rsidRDefault="004D5219" w:rsidP="00CA6D43">
      <w:pPr>
        <w:tabs>
          <w:tab w:val="center" w:pos="4522"/>
        </w:tabs>
        <w:spacing w:after="0" w:line="360" w:lineRule="auto"/>
        <w:rPr>
          <w:color w:val="000000"/>
        </w:rPr>
      </w:pPr>
      <w:r>
        <w:rPr>
          <w:color w:val="000000"/>
        </w:rPr>
        <w:t>Lo anterior, se robustece con el Criterio Orientador, de la Segunda Época, con número de registro SO/004/2021, emitido por el entonces Instituto Nacional de Transparencia, Acceso a la Información y Protección de Datos Personales, vigente a la fecha de la solicitud, en el cual se señala lo siguiente:</w:t>
      </w:r>
    </w:p>
    <w:p w14:paraId="4A47D7C9" w14:textId="77777777" w:rsidR="004D3BF2" w:rsidRDefault="004D3BF2" w:rsidP="00CA6D43">
      <w:pPr>
        <w:tabs>
          <w:tab w:val="center" w:pos="4522"/>
        </w:tabs>
        <w:spacing w:after="0" w:line="360" w:lineRule="auto"/>
        <w:rPr>
          <w:color w:val="000000"/>
        </w:rPr>
      </w:pPr>
    </w:p>
    <w:p w14:paraId="412E2312" w14:textId="77777777" w:rsidR="004D3BF2" w:rsidRDefault="004D5219" w:rsidP="00CA6D43">
      <w:pPr>
        <w:tabs>
          <w:tab w:val="center" w:pos="4522"/>
        </w:tabs>
        <w:spacing w:after="0" w:line="360" w:lineRule="auto"/>
        <w:ind w:left="567" w:right="567"/>
        <w:rPr>
          <w:i/>
          <w:color w:val="000000"/>
          <w:sz w:val="20"/>
          <w:szCs w:val="20"/>
        </w:rPr>
      </w:pPr>
      <w:r>
        <w:rPr>
          <w:b/>
          <w:i/>
          <w:color w:val="000000"/>
          <w:sz w:val="20"/>
          <w:szCs w:val="20"/>
        </w:rPr>
        <w:t xml:space="preserve">“Registro Federal de Contribuyentes (RFC) de personas físicas proveedores o contratistas. </w:t>
      </w:r>
      <w:r>
        <w:rPr>
          <w:i/>
          <w:color w:val="000000"/>
          <w:sz w:val="20"/>
          <w:szCs w:val="20"/>
        </w:rPr>
        <w:t>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22043658" w14:textId="77777777" w:rsidR="004D3BF2" w:rsidRDefault="004D3BF2" w:rsidP="00CA6D43">
      <w:pPr>
        <w:tabs>
          <w:tab w:val="center" w:pos="4522"/>
        </w:tabs>
        <w:spacing w:after="0" w:line="360" w:lineRule="auto"/>
        <w:rPr>
          <w:color w:val="000000"/>
        </w:rPr>
      </w:pPr>
    </w:p>
    <w:p w14:paraId="16A5886A" w14:textId="77777777" w:rsidR="004D3BF2" w:rsidRDefault="004D5219" w:rsidP="00CA6D43">
      <w:pPr>
        <w:tabs>
          <w:tab w:val="center" w:pos="4522"/>
        </w:tabs>
        <w:spacing w:after="0" w:line="360" w:lineRule="auto"/>
        <w:rPr>
          <w:b/>
          <w:color w:val="000000"/>
          <w:u w:val="single"/>
        </w:rPr>
      </w:pPr>
      <w:r>
        <w:rPr>
          <w:color w:val="000000"/>
        </w:rPr>
        <w:t>En conclusión, toda vez, que el Registro Federal de Contribuyentes de proveedores o contratistas, es un requisito indispensable, para poder participar en adquisiciones públicas y contracción de servicios y que abona a la transparencia con la que deben administrarse los recursos públicos, no actualiza la causal de clasificación prevista en el artículo 143, fracción I de la Ley de Transparencia y Acceso a la Información Pública del Estado de México y Municipios.</w:t>
      </w:r>
    </w:p>
    <w:p w14:paraId="676F180E" w14:textId="77777777" w:rsidR="004D3BF2" w:rsidRDefault="004D3BF2" w:rsidP="00CA6D43">
      <w:pPr>
        <w:tabs>
          <w:tab w:val="center" w:pos="4522"/>
        </w:tabs>
        <w:spacing w:after="0" w:line="360" w:lineRule="auto"/>
        <w:rPr>
          <w:b/>
          <w:color w:val="000000"/>
        </w:rPr>
      </w:pPr>
    </w:p>
    <w:p w14:paraId="2BFAD137" w14:textId="77777777" w:rsidR="004D3BF2" w:rsidRDefault="004D5219" w:rsidP="00CA6D43">
      <w:pPr>
        <w:tabs>
          <w:tab w:val="center" w:pos="4522"/>
        </w:tabs>
        <w:spacing w:after="0" w:line="360" w:lineRule="auto"/>
        <w:rPr>
          <w:b/>
          <w:color w:val="000000"/>
        </w:rPr>
      </w:pPr>
      <w:r>
        <w:rPr>
          <w:b/>
          <w:color w:val="000000"/>
        </w:rPr>
        <w:t>Persona Moral</w:t>
      </w:r>
    </w:p>
    <w:p w14:paraId="5038F5AF" w14:textId="77777777" w:rsidR="004D3BF2" w:rsidRDefault="004D3BF2" w:rsidP="00CA6D43">
      <w:pPr>
        <w:tabs>
          <w:tab w:val="center" w:pos="4522"/>
        </w:tabs>
        <w:spacing w:after="0" w:line="360" w:lineRule="auto"/>
        <w:rPr>
          <w:color w:val="000000"/>
        </w:rPr>
      </w:pPr>
    </w:p>
    <w:p w14:paraId="34361816" w14:textId="77777777" w:rsidR="004D3BF2" w:rsidRDefault="004D5219" w:rsidP="00CA6D43">
      <w:pPr>
        <w:tabs>
          <w:tab w:val="center" w:pos="4522"/>
        </w:tabs>
        <w:spacing w:after="0" w:line="360" w:lineRule="auto"/>
        <w:rPr>
          <w:color w:val="000000"/>
        </w:rPr>
      </w:pPr>
      <w:r>
        <w:rPr>
          <w:color w:val="000000"/>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14:paraId="1A46D1D8" w14:textId="77777777" w:rsidR="004D3BF2" w:rsidRDefault="004D3BF2" w:rsidP="00CA6D43">
      <w:pPr>
        <w:tabs>
          <w:tab w:val="center" w:pos="4522"/>
        </w:tabs>
        <w:spacing w:after="0" w:line="360" w:lineRule="auto"/>
        <w:rPr>
          <w:color w:val="000000"/>
        </w:rPr>
      </w:pPr>
    </w:p>
    <w:p w14:paraId="29ED1ABF" w14:textId="77777777" w:rsidR="004D3BF2" w:rsidRDefault="004D5219" w:rsidP="00CA6D43">
      <w:pPr>
        <w:tabs>
          <w:tab w:val="center" w:pos="4522"/>
        </w:tabs>
        <w:spacing w:after="0" w:line="360" w:lineRule="auto"/>
        <w:rPr>
          <w:color w:val="000000"/>
        </w:rPr>
      </w:pPr>
      <w:r>
        <w:rPr>
          <w:color w:val="000000"/>
        </w:rPr>
        <w:t>Por ende, la información correspondiente al Registro Federal de Contribuyentes de una persona moral da cuenta del cumplimiento o no en sus obligaciones fiscales; por tanto, no se actualiza su clasificación como confidencial.</w:t>
      </w:r>
    </w:p>
    <w:p w14:paraId="0827CB9C" w14:textId="77777777" w:rsidR="004D3BF2" w:rsidRDefault="004D3BF2" w:rsidP="00CA6D43">
      <w:pPr>
        <w:tabs>
          <w:tab w:val="center" w:pos="4522"/>
        </w:tabs>
        <w:spacing w:after="0" w:line="360" w:lineRule="auto"/>
        <w:rPr>
          <w:color w:val="000000"/>
        </w:rPr>
      </w:pPr>
    </w:p>
    <w:p w14:paraId="1009818E" w14:textId="604A387F" w:rsidR="004D3BF2" w:rsidRDefault="004D5219" w:rsidP="00CA6D43">
      <w:pPr>
        <w:tabs>
          <w:tab w:val="center" w:pos="4522"/>
        </w:tabs>
        <w:spacing w:after="0" w:line="360" w:lineRule="auto"/>
        <w:rPr>
          <w:color w:val="000000"/>
        </w:rPr>
      </w:pPr>
      <w:r>
        <w:rPr>
          <w:color w:val="000000"/>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14:paraId="57BBEE3D" w14:textId="77777777" w:rsidR="004D3BF2" w:rsidRDefault="004D5219" w:rsidP="00CA6D43">
      <w:pPr>
        <w:tabs>
          <w:tab w:val="center" w:pos="4522"/>
        </w:tabs>
        <w:spacing w:after="0" w:line="360" w:lineRule="auto"/>
        <w:rPr>
          <w:color w:val="000000"/>
        </w:rPr>
      </w:pPr>
      <w:r>
        <w:rPr>
          <w:color w:val="000000"/>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59D1E1FD" w14:textId="77777777" w:rsidR="00EC1B37" w:rsidRDefault="00EC1B37" w:rsidP="00CA6D43">
      <w:pPr>
        <w:tabs>
          <w:tab w:val="center" w:pos="4522"/>
        </w:tabs>
        <w:spacing w:after="0" w:line="360" w:lineRule="auto"/>
        <w:rPr>
          <w:color w:val="000000"/>
        </w:rPr>
      </w:pPr>
    </w:p>
    <w:p w14:paraId="36B36E0E" w14:textId="77777777" w:rsidR="004D3BF2" w:rsidRDefault="004D5219" w:rsidP="00CA6D43">
      <w:pPr>
        <w:numPr>
          <w:ilvl w:val="0"/>
          <w:numId w:val="22"/>
        </w:numPr>
        <w:spacing w:after="0" w:line="360" w:lineRule="auto"/>
        <w:contextualSpacing/>
        <w:rPr>
          <w:color w:val="000000"/>
        </w:rPr>
      </w:pPr>
      <w:r>
        <w:rPr>
          <w:b/>
          <w:color w:val="000000"/>
        </w:rPr>
        <w:t>Firma del proveedor, contratista o representante legal</w:t>
      </w:r>
    </w:p>
    <w:p w14:paraId="1C91E70E" w14:textId="77777777" w:rsidR="004D3BF2" w:rsidRDefault="004D3BF2" w:rsidP="00CA6D43">
      <w:pPr>
        <w:spacing w:after="0" w:line="360" w:lineRule="auto"/>
        <w:jc w:val="left"/>
        <w:rPr>
          <w:color w:val="000000"/>
        </w:rPr>
      </w:pPr>
    </w:p>
    <w:p w14:paraId="2459C101" w14:textId="77777777" w:rsidR="004D3BF2" w:rsidRDefault="004D5219" w:rsidP="00CA6D43">
      <w:pPr>
        <w:spacing w:after="0" w:line="360" w:lineRule="auto"/>
        <w:rPr>
          <w:color w:val="000000"/>
        </w:rPr>
      </w:pPr>
      <w:r>
        <w:rPr>
          <w:color w:val="000000"/>
        </w:rPr>
        <w:t>Al respecto, la firma es considerada un dato personal, al tratarse de información gráfica a través de la cual su titular exterioriza su voluntad en actos públicos y privados; dicho dato exterioriza la voluntad en un acto público y que lo realiza una persona física identificada o identificable, en su calidad de proveedor o representante legal, por lo que, expresa el consentimiento del contratista para realizar o recibir ciertas obligaciones; además, que le otorga validez al instrumento jurídico, en el presente caso, la celebración de contratos para la adquisición o arrendamiento de bienes y servicios.</w:t>
      </w:r>
    </w:p>
    <w:p w14:paraId="224E10B1" w14:textId="77777777" w:rsidR="004D3BF2" w:rsidRDefault="004D3BF2" w:rsidP="00CA6D43">
      <w:pPr>
        <w:spacing w:after="0" w:line="360" w:lineRule="auto"/>
        <w:jc w:val="left"/>
        <w:rPr>
          <w:color w:val="000000"/>
        </w:rPr>
      </w:pPr>
    </w:p>
    <w:p w14:paraId="27E31B29" w14:textId="77777777" w:rsidR="004D3BF2" w:rsidRDefault="004D5219" w:rsidP="00CA6D43">
      <w:pPr>
        <w:spacing w:after="0" w:line="360" w:lineRule="auto"/>
        <w:rPr>
          <w:color w:val="000000"/>
        </w:rPr>
      </w:pPr>
      <w:r>
        <w:rPr>
          <w:color w:val="000000"/>
        </w:rPr>
        <w:t>Conforme a lo anterior, no procede la clasificación de la firma del proveedor o representante legal, localizados en los documentos que den cuenta de la información solicitada, en términos del artículo 143, fracción I de la Ley de Transparencia y Acceso a la Información Pública del Estado de México y Municipios.</w:t>
      </w:r>
    </w:p>
    <w:p w14:paraId="4E95CAF6" w14:textId="77777777" w:rsidR="004D3BF2" w:rsidRDefault="004D3BF2" w:rsidP="00CA6D43">
      <w:pPr>
        <w:spacing w:after="0" w:line="360" w:lineRule="auto"/>
        <w:jc w:val="left"/>
        <w:rPr>
          <w:b/>
          <w:color w:val="000000"/>
        </w:rPr>
      </w:pPr>
    </w:p>
    <w:p w14:paraId="63981BC0" w14:textId="77777777" w:rsidR="004D3BF2" w:rsidRDefault="004D5219" w:rsidP="00CA6D43">
      <w:pPr>
        <w:numPr>
          <w:ilvl w:val="0"/>
          <w:numId w:val="22"/>
        </w:numPr>
        <w:spacing w:after="0" w:line="360" w:lineRule="auto"/>
        <w:contextualSpacing/>
        <w:rPr>
          <w:b/>
          <w:color w:val="000000"/>
        </w:rPr>
      </w:pPr>
      <w:r>
        <w:rPr>
          <w:b/>
          <w:color w:val="000000"/>
        </w:rPr>
        <w:t>Domicilio Fiscal o legal para recibir y oír notificaciones (proveedor o contratista persona física o moral).</w:t>
      </w:r>
    </w:p>
    <w:p w14:paraId="5D6D9387" w14:textId="77777777" w:rsidR="004D3BF2" w:rsidRDefault="004D3BF2" w:rsidP="00CA6D43">
      <w:pPr>
        <w:tabs>
          <w:tab w:val="center" w:pos="4522"/>
        </w:tabs>
        <w:spacing w:after="0" w:line="360" w:lineRule="auto"/>
        <w:rPr>
          <w:color w:val="000000"/>
        </w:rPr>
      </w:pPr>
    </w:p>
    <w:p w14:paraId="4FC188C5" w14:textId="77777777" w:rsidR="004D3BF2" w:rsidRDefault="004D5219" w:rsidP="00CA6D43">
      <w:pPr>
        <w:tabs>
          <w:tab w:val="center" w:pos="4522"/>
        </w:tabs>
        <w:spacing w:after="0" w:line="360" w:lineRule="auto"/>
        <w:rPr>
          <w:color w:val="000000"/>
        </w:rPr>
      </w:pPr>
      <w:r>
        <w:rPr>
          <w:color w:val="000000"/>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4EA8C887" w14:textId="77777777" w:rsidR="004D3BF2" w:rsidRDefault="004D3BF2" w:rsidP="00CA6D43">
      <w:pPr>
        <w:tabs>
          <w:tab w:val="center" w:pos="4522"/>
        </w:tabs>
        <w:spacing w:after="0" w:line="360" w:lineRule="auto"/>
        <w:rPr>
          <w:color w:val="000000"/>
        </w:rPr>
      </w:pPr>
    </w:p>
    <w:p w14:paraId="3C21D084" w14:textId="77777777" w:rsidR="004D3BF2" w:rsidRDefault="004D5219" w:rsidP="00CA6D43">
      <w:pPr>
        <w:tabs>
          <w:tab w:val="center" w:pos="4522"/>
        </w:tabs>
        <w:spacing w:after="0" w:line="360" w:lineRule="auto"/>
        <w:rPr>
          <w:color w:val="000000"/>
        </w:rPr>
      </w:pPr>
      <w:r>
        <w:rPr>
          <w:color w:val="000000"/>
        </w:rPr>
        <w:t>De la misma manera, lo establece los diversos 29 y 33 del Código Civil Federal, al precisar que el domicilio de personas físicas</w:t>
      </w:r>
      <w:r>
        <w:rPr>
          <w:b/>
          <w:color w:val="000000"/>
        </w:rPr>
        <w:t xml:space="preserve">, es el lugar donde residen habitualmente, el lugar del centro principal de sus negocios, donde residan o el lugar donde se encuentren; </w:t>
      </w:r>
      <w:r>
        <w:rPr>
          <w:color w:val="000000"/>
        </w:rPr>
        <w:t>mientras que, de las personas morales, aquel donde se halle su administración.</w:t>
      </w:r>
    </w:p>
    <w:p w14:paraId="784919E3" w14:textId="77777777" w:rsidR="004D3BF2" w:rsidRDefault="004D3BF2" w:rsidP="00CA6D43">
      <w:pPr>
        <w:tabs>
          <w:tab w:val="center" w:pos="4522"/>
        </w:tabs>
        <w:spacing w:after="0" w:line="360" w:lineRule="auto"/>
        <w:rPr>
          <w:b/>
          <w:color w:val="000000"/>
        </w:rPr>
      </w:pPr>
    </w:p>
    <w:p w14:paraId="277313AD" w14:textId="77777777" w:rsidR="004D3BF2" w:rsidRDefault="004D5219" w:rsidP="00CA6D43">
      <w:pPr>
        <w:tabs>
          <w:tab w:val="center" w:pos="4522"/>
        </w:tabs>
        <w:spacing w:after="0" w:line="360" w:lineRule="auto"/>
        <w:rPr>
          <w:color w:val="000000"/>
        </w:rPr>
      </w:pPr>
      <w:r>
        <w:rPr>
          <w:color w:val="000000"/>
        </w:rPr>
        <w:t>Además, respecto al domicilio fiscal, resulta necesario traer el artículo 10 del Código Fiscal de la Federación, que establece que, tratándose de personas físicas, corresponderá dicho dato:</w:t>
      </w:r>
    </w:p>
    <w:p w14:paraId="04C69138" w14:textId="77777777" w:rsidR="004D3BF2" w:rsidRDefault="004D3BF2" w:rsidP="00CA6D43">
      <w:pPr>
        <w:tabs>
          <w:tab w:val="center" w:pos="4522"/>
        </w:tabs>
        <w:spacing w:after="0" w:line="360" w:lineRule="auto"/>
        <w:rPr>
          <w:color w:val="000000"/>
        </w:rPr>
      </w:pPr>
    </w:p>
    <w:p w14:paraId="50BDBBC1" w14:textId="77777777" w:rsidR="004D3BF2" w:rsidRDefault="004D5219" w:rsidP="00CA6D43">
      <w:pPr>
        <w:numPr>
          <w:ilvl w:val="0"/>
          <w:numId w:val="10"/>
        </w:numPr>
        <w:pBdr>
          <w:top w:val="nil"/>
          <w:left w:val="nil"/>
          <w:bottom w:val="nil"/>
          <w:right w:val="nil"/>
          <w:between w:val="nil"/>
        </w:pBdr>
        <w:tabs>
          <w:tab w:val="center" w:pos="4522"/>
        </w:tabs>
        <w:spacing w:after="0" w:line="360" w:lineRule="auto"/>
        <w:jc w:val="left"/>
        <w:rPr>
          <w:color w:val="000000"/>
        </w:rPr>
      </w:pPr>
      <w:r>
        <w:rPr>
          <w:color w:val="000000"/>
        </w:rPr>
        <w:t>El lugar donde realizan actividades empresariales, el local, en que se encuentre el principal asiente de sus negocios, y</w:t>
      </w:r>
    </w:p>
    <w:p w14:paraId="19D8AD9D" w14:textId="77777777" w:rsidR="004D3BF2" w:rsidRDefault="004D3BF2" w:rsidP="00CA6D43">
      <w:pPr>
        <w:tabs>
          <w:tab w:val="center" w:pos="4522"/>
        </w:tabs>
        <w:spacing w:after="0" w:line="360" w:lineRule="auto"/>
        <w:rPr>
          <w:color w:val="000000"/>
        </w:rPr>
      </w:pPr>
    </w:p>
    <w:p w14:paraId="288912FD" w14:textId="77777777" w:rsidR="004D3BF2" w:rsidRDefault="004D5219" w:rsidP="00CA6D43">
      <w:pPr>
        <w:numPr>
          <w:ilvl w:val="0"/>
          <w:numId w:val="10"/>
        </w:numPr>
        <w:pBdr>
          <w:top w:val="nil"/>
          <w:left w:val="nil"/>
          <w:bottom w:val="nil"/>
          <w:right w:val="nil"/>
          <w:between w:val="nil"/>
        </w:pBdr>
        <w:tabs>
          <w:tab w:val="center" w:pos="4522"/>
        </w:tabs>
        <w:spacing w:after="0" w:line="360" w:lineRule="auto"/>
        <w:jc w:val="left"/>
        <w:rPr>
          <w:color w:val="000000"/>
        </w:rPr>
      </w:pPr>
      <w:r>
        <w:rPr>
          <w:color w:val="000000"/>
        </w:rPr>
        <w:t>La casa habitación, cuando no cuenta con un local o lugar donde realice las acciones previamente señaladas.</w:t>
      </w:r>
    </w:p>
    <w:p w14:paraId="2DAA3B2B" w14:textId="77777777" w:rsidR="004D3BF2" w:rsidRDefault="004D3BF2" w:rsidP="00CA6D43">
      <w:pPr>
        <w:tabs>
          <w:tab w:val="center" w:pos="4522"/>
        </w:tabs>
        <w:spacing w:after="0" w:line="360" w:lineRule="auto"/>
        <w:rPr>
          <w:color w:val="000000"/>
        </w:rPr>
      </w:pPr>
    </w:p>
    <w:p w14:paraId="76ACB07E" w14:textId="77777777" w:rsidR="004D3BF2" w:rsidRDefault="004D5219" w:rsidP="00CA6D43">
      <w:pPr>
        <w:tabs>
          <w:tab w:val="center" w:pos="4522"/>
        </w:tabs>
        <w:spacing w:after="0" w:line="360" w:lineRule="auto"/>
        <w:rPr>
          <w:color w:val="000000"/>
        </w:rPr>
      </w:pPr>
      <w:r>
        <w:rPr>
          <w:color w:val="000000"/>
        </w:rPr>
        <w:t>Mientras que, en el caso de personas morales, el domicilio fiscal, corresponderá al local donde se encuentra la administración principal del negocio. Como se logra observar, el domicilio fiscal de los proveedores personas físicas, se encuentra en dos supuestos, por lo que, se procede a su análisis.</w:t>
      </w:r>
    </w:p>
    <w:p w14:paraId="59FBC3BD" w14:textId="77777777" w:rsidR="004D3BF2" w:rsidRDefault="004D3BF2" w:rsidP="00CA6D43">
      <w:pPr>
        <w:tabs>
          <w:tab w:val="center" w:pos="4522"/>
        </w:tabs>
        <w:spacing w:after="0" w:line="360" w:lineRule="auto"/>
        <w:rPr>
          <w:color w:val="000000"/>
        </w:rPr>
      </w:pPr>
    </w:p>
    <w:p w14:paraId="2A910E24" w14:textId="77777777" w:rsidR="004D3BF2" w:rsidRDefault="004D5219" w:rsidP="00CA6D43">
      <w:pPr>
        <w:tabs>
          <w:tab w:val="center" w:pos="4522"/>
        </w:tabs>
        <w:spacing w:after="0" w:line="360" w:lineRule="auto"/>
        <w:rPr>
          <w:color w:val="000000"/>
        </w:rPr>
      </w:pPr>
      <w:r>
        <w:rPr>
          <w:color w:val="000000"/>
        </w:rPr>
        <w:t>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19D844CF" w14:textId="77777777" w:rsidR="004D3BF2" w:rsidRDefault="004D3BF2" w:rsidP="00CA6D43">
      <w:pPr>
        <w:tabs>
          <w:tab w:val="center" w:pos="4522"/>
        </w:tabs>
        <w:spacing w:after="0" w:line="360" w:lineRule="auto"/>
        <w:rPr>
          <w:color w:val="000000"/>
        </w:rPr>
      </w:pPr>
    </w:p>
    <w:p w14:paraId="18D488DA" w14:textId="77777777" w:rsidR="004D3BF2" w:rsidRDefault="004D5219" w:rsidP="00CA6D43">
      <w:pPr>
        <w:tabs>
          <w:tab w:val="center" w:pos="4522"/>
        </w:tabs>
        <w:spacing w:after="0" w:line="360" w:lineRule="auto"/>
        <w:rPr>
          <w:color w:val="000000"/>
        </w:rPr>
      </w:pPr>
      <w:r>
        <w:rPr>
          <w:color w:val="000000"/>
        </w:rPr>
        <w:t>Como se logra observar, es obligación de transparencia proporcionar el domicilio fiscal de los proveedores, por lo que, se considera que, en el caso, de que dicho dato, corresponda a un local o lugar donde realice sus actividades empresariales, se debe entregar.</w:t>
      </w:r>
    </w:p>
    <w:p w14:paraId="2C92C9E5" w14:textId="77777777" w:rsidR="004D3BF2" w:rsidRDefault="004D3BF2" w:rsidP="00CA6D43">
      <w:pPr>
        <w:tabs>
          <w:tab w:val="center" w:pos="4522"/>
        </w:tabs>
        <w:spacing w:after="0" w:line="360" w:lineRule="auto"/>
        <w:rPr>
          <w:color w:val="000000"/>
        </w:rPr>
      </w:pPr>
    </w:p>
    <w:p w14:paraId="16582099" w14:textId="77777777" w:rsidR="004D3BF2" w:rsidRDefault="004D5219" w:rsidP="00CA6D43">
      <w:pPr>
        <w:tabs>
          <w:tab w:val="center" w:pos="4522"/>
        </w:tabs>
        <w:spacing w:after="0" w:line="360" w:lineRule="auto"/>
        <w:rPr>
          <w:color w:val="000000"/>
        </w:rPr>
      </w:pPr>
      <w:r>
        <w:rPr>
          <w:color w:val="000000"/>
        </w:rPr>
        <w:t>De tal suerte que, tratándose de proveedores (personas físicas o jurídico-colectivas), el domicilio fiscal, no actualiza la causal de clasificación, establecida en el artículo 143, fracción I de la Ley de Transparencia y Acceso a la Información Pública del Estado de México y Municipios.</w:t>
      </w:r>
    </w:p>
    <w:p w14:paraId="4DE74F38" w14:textId="77777777" w:rsidR="004D3BF2" w:rsidRDefault="004D3BF2" w:rsidP="00CA6D43">
      <w:pPr>
        <w:tabs>
          <w:tab w:val="center" w:pos="4522"/>
        </w:tabs>
        <w:spacing w:after="0" w:line="360" w:lineRule="auto"/>
        <w:rPr>
          <w:color w:val="000000"/>
        </w:rPr>
      </w:pPr>
    </w:p>
    <w:p w14:paraId="7D2CA6EC" w14:textId="11A38A26" w:rsidR="004D3BF2" w:rsidRDefault="00BF2703" w:rsidP="00CA6D43">
      <w:pPr>
        <w:spacing w:after="0" w:line="360" w:lineRule="auto"/>
        <w:ind w:right="-28"/>
        <w:rPr>
          <w:rFonts w:eastAsia="Calibri" w:cs="Times New Roman"/>
          <w:color w:val="000000"/>
          <w:lang w:eastAsia="en-US"/>
        </w:rPr>
      </w:pPr>
      <w:r>
        <w:rPr>
          <w:rFonts w:eastAsia="Calibri" w:cs="Times New Roman"/>
          <w:color w:val="000000"/>
          <w:lang w:eastAsia="en-US"/>
        </w:rPr>
        <w:t>Conforme a lo analizado, ningún de los datos testados actualiza la causal de clasificación prevista en el fundamento legal señalado en el párrafo anterior, por lo que, en el presente caso deberá proporcionar los contratos entregados en respuesta, en versión integrar, es decir, sin clasificar información alguna.</w:t>
      </w:r>
    </w:p>
    <w:p w14:paraId="3A386DDE" w14:textId="77777777" w:rsidR="00BF2703" w:rsidRDefault="00BF2703" w:rsidP="00CA6D43">
      <w:pPr>
        <w:spacing w:after="0" w:line="360" w:lineRule="auto"/>
        <w:ind w:right="-28"/>
        <w:rPr>
          <w:rFonts w:eastAsia="Calibri" w:cs="Times New Roman"/>
          <w:color w:val="000000"/>
          <w:lang w:eastAsia="en-US"/>
        </w:rPr>
      </w:pPr>
    </w:p>
    <w:p w14:paraId="15473A96" w14:textId="77777777" w:rsidR="00BF2703" w:rsidRPr="00BF2703" w:rsidRDefault="00BF2703" w:rsidP="00BF2703">
      <w:pPr>
        <w:spacing w:after="0" w:line="360" w:lineRule="auto"/>
        <w:rPr>
          <w:rFonts w:eastAsia="Calibri" w:cs="Tahoma"/>
          <w:bCs/>
          <w:color w:val="000000" w:themeColor="text1"/>
        </w:rPr>
      </w:pPr>
      <w:r w:rsidRPr="00BF2703">
        <w:rPr>
          <w:rFonts w:eastAsia="Times New Roman" w:cs="Tahoma"/>
          <w:color w:val="000000" w:themeColor="text1"/>
          <w:lang w:eastAsia="es-ES"/>
        </w:rPr>
        <w:t xml:space="preserve">Finalmente, es necesario precisar que el Sujeto Obligado elaboró una versión pública, en donde se puede acceder a los datos testados; </w:t>
      </w:r>
      <w:r w:rsidRPr="00BF2703">
        <w:rPr>
          <w:rFonts w:eastAsia="Calibri" w:cs="Tahoma"/>
          <w:bCs/>
          <w:color w:val="000000" w:themeColor="text1"/>
        </w:rPr>
        <w:t>sobre el tema, los Lineamientos Generales establecen los requisitos que deben cumplir las versiones públicas, tal como se muestra a continuación:</w:t>
      </w:r>
    </w:p>
    <w:p w14:paraId="689F4882" w14:textId="77777777" w:rsidR="00BF2703" w:rsidRPr="00BF2703" w:rsidRDefault="00BF2703" w:rsidP="00BF2703">
      <w:pPr>
        <w:spacing w:after="0" w:line="360" w:lineRule="auto"/>
        <w:rPr>
          <w:rFonts w:eastAsia="Calibri" w:cs="Tahoma"/>
          <w:bCs/>
          <w:color w:val="000000" w:themeColor="text1"/>
        </w:rPr>
      </w:pPr>
    </w:p>
    <w:p w14:paraId="41AD9006" w14:textId="77777777" w:rsidR="00BF2703" w:rsidRPr="00BF2703" w:rsidRDefault="00BF2703" w:rsidP="00BF2703">
      <w:pPr>
        <w:numPr>
          <w:ilvl w:val="0"/>
          <w:numId w:val="28"/>
        </w:numPr>
        <w:spacing w:after="0" w:line="360" w:lineRule="auto"/>
        <w:rPr>
          <w:rFonts w:eastAsia="Calibri" w:cs="Tahoma"/>
          <w:b/>
          <w:bCs/>
          <w:iCs/>
          <w:color w:val="000000" w:themeColor="text1"/>
        </w:rPr>
      </w:pPr>
      <w:r w:rsidRPr="00BF2703">
        <w:rPr>
          <w:rFonts w:eastAsia="Calibri" w:cs="Tahoma"/>
          <w:b/>
          <w:bCs/>
          <w:iCs/>
          <w:color w:val="000000" w:themeColor="text1"/>
        </w:rPr>
        <w:t xml:space="preserve">(Quincuagésimo octavo): </w:t>
      </w:r>
      <w:r w:rsidRPr="00BF2703">
        <w:rPr>
          <w:rFonts w:eastAsia="Calibri" w:cs="Tahoma"/>
          <w:bCs/>
          <w:iCs/>
          <w:color w:val="000000" w:themeColor="text1"/>
        </w:rPr>
        <w:t>Los sujetos obligados garantizarán que los sistemas o medios empleados para eliminar la información en las versiones públicas</w:t>
      </w:r>
      <w:r w:rsidRPr="00BF2703">
        <w:rPr>
          <w:rFonts w:eastAsia="Calibri" w:cs="Tahoma"/>
          <w:b/>
          <w:bCs/>
          <w:iCs/>
          <w:color w:val="000000" w:themeColor="text1"/>
        </w:rPr>
        <w:t xml:space="preserve"> no permitan la recuperación o visualización de la misma.</w:t>
      </w:r>
    </w:p>
    <w:p w14:paraId="3A7B0621" w14:textId="77777777" w:rsidR="00BF2703" w:rsidRPr="00BF2703" w:rsidRDefault="00BF2703" w:rsidP="00BF2703">
      <w:pPr>
        <w:spacing w:after="0" w:line="360" w:lineRule="auto"/>
        <w:rPr>
          <w:rFonts w:eastAsia="Calibri" w:cs="Tahoma"/>
          <w:b/>
          <w:bCs/>
          <w:iCs/>
          <w:color w:val="000000" w:themeColor="text1"/>
        </w:rPr>
      </w:pPr>
    </w:p>
    <w:p w14:paraId="1CA6F290" w14:textId="77777777" w:rsidR="00BF2703" w:rsidRPr="00BF2703" w:rsidRDefault="00BF2703" w:rsidP="00BF2703">
      <w:pPr>
        <w:numPr>
          <w:ilvl w:val="0"/>
          <w:numId w:val="28"/>
        </w:numPr>
        <w:spacing w:after="0" w:line="360" w:lineRule="auto"/>
        <w:rPr>
          <w:rFonts w:eastAsia="Calibri" w:cs="Tahoma"/>
          <w:b/>
          <w:bCs/>
          <w:iCs/>
          <w:color w:val="000000" w:themeColor="text1"/>
        </w:rPr>
      </w:pPr>
      <w:r w:rsidRPr="00BF2703">
        <w:rPr>
          <w:rFonts w:eastAsia="Calibri" w:cs="Tahoma"/>
          <w:b/>
          <w:bCs/>
          <w:iCs/>
          <w:color w:val="000000" w:themeColor="text1"/>
        </w:rPr>
        <w:t xml:space="preserve">(Sexagésimo): </w:t>
      </w:r>
      <w:r w:rsidRPr="00BF2703">
        <w:rPr>
          <w:rFonts w:eastAsia="Calibri" w:cs="Tahoma"/>
          <w:bCs/>
          <w:iCs/>
          <w:color w:val="000000" w:themeColor="text1"/>
        </w:rPr>
        <w:t>En el caso de que el documento se posea en formato electrónico, deberá crearse un nuevo archivo electrónico para que sobre el mismo se elabore una versión pública, eliminando las partes o secciones clasificadas, de acuerdo con el modelo para testar documentos electrónicos, denominado “Modelo para testar documentos electrónicos”, mismo que se reproduce a continuación:</w:t>
      </w:r>
    </w:p>
    <w:p w14:paraId="4BB4383B" w14:textId="77777777" w:rsidR="00BF2703" w:rsidRPr="00BF2703" w:rsidRDefault="00BF2703" w:rsidP="00BF2703">
      <w:pPr>
        <w:spacing w:after="0" w:line="360" w:lineRule="auto"/>
        <w:rPr>
          <w:rFonts w:eastAsia="Calibri" w:cs="Tahoma"/>
          <w:b/>
          <w:bCs/>
          <w:color w:val="000000" w:themeColor="text1"/>
        </w:rPr>
      </w:pPr>
    </w:p>
    <w:p w14:paraId="5BDE18EE" w14:textId="77777777" w:rsidR="00BF2703" w:rsidRDefault="00BF2703" w:rsidP="00BF2703">
      <w:pPr>
        <w:spacing w:after="0" w:line="360" w:lineRule="auto"/>
        <w:jc w:val="center"/>
        <w:rPr>
          <w:rFonts w:eastAsia="Calibri" w:cs="Tahoma"/>
          <w:b/>
          <w:bCs/>
          <w:color w:val="000000" w:themeColor="text1"/>
        </w:rPr>
      </w:pPr>
      <w:r w:rsidRPr="00BF2703">
        <w:rPr>
          <w:rFonts w:eastAsia="Calibri" w:cs="Tahoma"/>
          <w:noProof/>
          <w:color w:val="000000" w:themeColor="text1"/>
        </w:rPr>
        <w:drawing>
          <wp:inline distT="0" distB="0" distL="0" distR="0" wp14:anchorId="3B6A9EB5" wp14:editId="4B75032C">
            <wp:extent cx="2181225" cy="2723214"/>
            <wp:effectExtent l="0" t="0" r="0" b="1270"/>
            <wp:docPr id="123803469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rotWithShape="1">
                    <a:blip r:embed="rId8">
                      <a:extLst>
                        <a:ext uri="{28A0092B-C50C-407E-A947-70E740481C1C}">
                          <a14:useLocalDpi xmlns:a14="http://schemas.microsoft.com/office/drawing/2010/main" val="0"/>
                        </a:ext>
                      </a:extLst>
                    </a:blip>
                    <a:srcRect t="7156" b="1673"/>
                    <a:stretch/>
                  </pic:blipFill>
                  <pic:spPr bwMode="auto">
                    <a:xfrm>
                      <a:off x="0" y="0"/>
                      <a:ext cx="2195600" cy="2741161"/>
                    </a:xfrm>
                    <a:prstGeom prst="rect">
                      <a:avLst/>
                    </a:prstGeom>
                    <a:noFill/>
                    <a:ln>
                      <a:noFill/>
                    </a:ln>
                    <a:extLst>
                      <a:ext uri="{53640926-AAD7-44D8-BBD7-CCE9431645EC}">
                        <a14:shadowObscured xmlns:a14="http://schemas.microsoft.com/office/drawing/2010/main"/>
                      </a:ext>
                    </a:extLst>
                  </pic:spPr>
                </pic:pic>
              </a:graphicData>
            </a:graphic>
          </wp:inline>
        </w:drawing>
      </w:r>
    </w:p>
    <w:p w14:paraId="08ED00E4" w14:textId="77777777" w:rsidR="00B16267" w:rsidRPr="00BF2703" w:rsidRDefault="00B16267" w:rsidP="00BF2703">
      <w:pPr>
        <w:spacing w:after="0" w:line="360" w:lineRule="auto"/>
        <w:jc w:val="center"/>
        <w:rPr>
          <w:rFonts w:eastAsia="Calibri" w:cs="Tahoma"/>
          <w:b/>
          <w:bCs/>
          <w:color w:val="000000" w:themeColor="text1"/>
        </w:rPr>
      </w:pPr>
    </w:p>
    <w:p w14:paraId="726F5912" w14:textId="77777777" w:rsidR="00BF2703" w:rsidRPr="00BF2703" w:rsidRDefault="00BF2703" w:rsidP="00BF2703">
      <w:pPr>
        <w:numPr>
          <w:ilvl w:val="0"/>
          <w:numId w:val="28"/>
        </w:numPr>
        <w:spacing w:after="0" w:line="360" w:lineRule="auto"/>
        <w:rPr>
          <w:rFonts w:eastAsia="Calibri" w:cs="Tahoma"/>
          <w:b/>
          <w:bCs/>
          <w:color w:val="000000" w:themeColor="text1"/>
        </w:rPr>
      </w:pPr>
      <w:r w:rsidRPr="00BF2703">
        <w:rPr>
          <w:rFonts w:eastAsia="Calibri" w:cs="Tahoma"/>
          <w:b/>
          <w:bCs/>
          <w:color w:val="000000" w:themeColor="text1"/>
        </w:rPr>
        <w:t xml:space="preserve">(Sexagésimo primero): </w:t>
      </w:r>
      <w:r w:rsidRPr="00BF2703">
        <w:rPr>
          <w:rFonts w:eastAsia="Calibri" w:cs="Tahoma"/>
          <w:bCs/>
          <w:color w:val="000000" w:themeColor="text1"/>
        </w:rPr>
        <w:t>En la parte del documento donde se hubiese ubicado originalmente el texto eliminado, deberá insertarse un cuadro de texto en color distinto al utilizado en el resto del documento con la palabra "Eliminado", el tipo de dato o información cancelado y señalarse si la omisión es una palabra, reglón o párrafo; así como, e fundamento legal.</w:t>
      </w:r>
    </w:p>
    <w:p w14:paraId="34B8F5FC" w14:textId="77777777" w:rsidR="00BF2703" w:rsidRPr="00BF2703" w:rsidRDefault="00BF2703" w:rsidP="00BF2703">
      <w:pPr>
        <w:spacing w:after="0" w:line="360" w:lineRule="auto"/>
        <w:ind w:left="720"/>
        <w:rPr>
          <w:rFonts w:eastAsia="Calibri" w:cs="Tahoma"/>
          <w:b/>
          <w:bCs/>
          <w:color w:val="000000" w:themeColor="text1"/>
        </w:rPr>
      </w:pPr>
    </w:p>
    <w:p w14:paraId="36C1947F" w14:textId="3F0850BE" w:rsidR="00BF2703" w:rsidRPr="00BF2703" w:rsidRDefault="00BF2703" w:rsidP="00BF2703">
      <w:pPr>
        <w:spacing w:after="0" w:line="360" w:lineRule="auto"/>
        <w:rPr>
          <w:rFonts w:eastAsia="Calibri" w:cs="Tahoma"/>
          <w:bCs/>
          <w:color w:val="000000" w:themeColor="text1"/>
        </w:rPr>
      </w:pPr>
      <w:r w:rsidRPr="00BF2703">
        <w:rPr>
          <w:rFonts w:eastAsia="Calibri" w:cs="Tahoma"/>
          <w:bCs/>
          <w:color w:val="000000" w:themeColor="text1"/>
        </w:rPr>
        <w:t>Como se logra observar, cuando se elabora una versión pública, se debe generar conforme a los requisitos previamente referidos en los Lineamientos Generales; lo cual no acontece en el presente caso, pues el Sujeto Obligado generó la documentación de manera tal que se pueden acceder a los datos</w:t>
      </w:r>
      <w:r>
        <w:rPr>
          <w:rFonts w:eastAsia="Calibri" w:cs="Tahoma"/>
          <w:bCs/>
          <w:color w:val="000000" w:themeColor="text1"/>
        </w:rPr>
        <w:t>; por lo que, en futuras ocasiones se le INSTA a generar sus versiones públicas, tomando en consideración lo previamente establecido.</w:t>
      </w:r>
    </w:p>
    <w:p w14:paraId="06939725" w14:textId="77777777" w:rsidR="00BF2703" w:rsidRDefault="00BF2703" w:rsidP="00CA6D43">
      <w:pPr>
        <w:spacing w:after="0" w:line="360" w:lineRule="auto"/>
        <w:ind w:right="-28"/>
        <w:rPr>
          <w:rFonts w:eastAsia="Calibri" w:cs="Times New Roman"/>
          <w:color w:val="000000"/>
          <w:lang w:eastAsia="en-US"/>
        </w:rPr>
      </w:pPr>
    </w:p>
    <w:p w14:paraId="350C9A68" w14:textId="77777777" w:rsidR="004D3BF2" w:rsidRDefault="004D5219" w:rsidP="00CA6D43">
      <w:pPr>
        <w:pStyle w:val="Ttulo2"/>
        <w:spacing w:before="0" w:after="0" w:line="360" w:lineRule="auto"/>
        <w:rPr>
          <w:sz w:val="22"/>
          <w:szCs w:val="22"/>
        </w:rPr>
      </w:pPr>
      <w:r>
        <w:rPr>
          <w:sz w:val="22"/>
          <w:szCs w:val="22"/>
        </w:rPr>
        <w:t>SEXTO. Decisión</w:t>
      </w:r>
    </w:p>
    <w:p w14:paraId="3F8C4632" w14:textId="77777777" w:rsidR="004D3BF2" w:rsidRDefault="004D3BF2" w:rsidP="00CA6D43">
      <w:pPr>
        <w:spacing w:after="0" w:line="360" w:lineRule="auto"/>
        <w:rPr>
          <w:b/>
        </w:rPr>
      </w:pPr>
    </w:p>
    <w:p w14:paraId="036DD1C5" w14:textId="782FF8AF" w:rsidR="004D3BF2" w:rsidRDefault="004D5219" w:rsidP="00CA6D43">
      <w:pPr>
        <w:spacing w:after="0" w:line="360" w:lineRule="auto"/>
        <w:rPr>
          <w:color w:val="000000"/>
        </w:rPr>
      </w:pPr>
      <w:r>
        <w:rPr>
          <w:color w:val="000000"/>
        </w:rPr>
        <w:t xml:space="preserve">De acuerdo con lo expuesto y, con fundamento en el artículo 186, fracción III, de la Ley de Transparencia y Acceso a la Información Pública del Estado de México y Municipios, este Instituto considera procedente </w:t>
      </w:r>
      <w:r w:rsidR="00BF2703">
        <w:rPr>
          <w:b/>
          <w:color w:val="000000"/>
        </w:rPr>
        <w:t>MODIFICAR la</w:t>
      </w:r>
      <w:r>
        <w:rPr>
          <w:color w:val="000000"/>
        </w:rPr>
        <w:t xml:space="preserve"> respuesta </w:t>
      </w:r>
      <w:r w:rsidR="00511A54">
        <w:rPr>
          <w:color w:val="000000"/>
        </w:rPr>
        <w:t>del</w:t>
      </w:r>
      <w:r w:rsidR="00511A54">
        <w:t xml:space="preserve"> </w:t>
      </w:r>
      <w:r w:rsidR="008C270F">
        <w:t>Instituto Municipal de Cultura Física y Deporte de Chimalhuacán</w:t>
      </w:r>
      <w:r>
        <w:rPr>
          <w:b/>
          <w:color w:val="000000"/>
        </w:rPr>
        <w:t xml:space="preserve">, </w:t>
      </w:r>
      <w:r>
        <w:rPr>
          <w:color w:val="000000"/>
        </w:rPr>
        <w:t xml:space="preserve">a efecto de que </w:t>
      </w:r>
      <w:r w:rsidR="00B16267">
        <w:rPr>
          <w:color w:val="000000"/>
        </w:rPr>
        <w:t>entregue de nueva cuenta los contratos analizados.</w:t>
      </w:r>
    </w:p>
    <w:p w14:paraId="271531BC" w14:textId="77777777" w:rsidR="004D3BF2" w:rsidRDefault="004D3BF2" w:rsidP="00CA6D43">
      <w:pPr>
        <w:spacing w:after="0" w:line="360" w:lineRule="auto"/>
      </w:pPr>
    </w:p>
    <w:p w14:paraId="7321B17E" w14:textId="77777777" w:rsidR="004D3BF2" w:rsidRDefault="004D5219" w:rsidP="00CA6D43">
      <w:pPr>
        <w:spacing w:after="0" w:line="360" w:lineRule="auto"/>
        <w:rPr>
          <w:b/>
        </w:rPr>
      </w:pPr>
      <w:r>
        <w:rPr>
          <w:b/>
        </w:rPr>
        <w:t>Términos de la Resolución para conocimiento del Particular</w:t>
      </w:r>
    </w:p>
    <w:p w14:paraId="6EA31174" w14:textId="77777777" w:rsidR="004D3BF2" w:rsidRDefault="004D3BF2" w:rsidP="00CA6D43">
      <w:pPr>
        <w:spacing w:after="0" w:line="360" w:lineRule="auto"/>
        <w:rPr>
          <w:b/>
        </w:rPr>
      </w:pPr>
    </w:p>
    <w:p w14:paraId="00E17187" w14:textId="4555AE7D" w:rsidR="004D3BF2" w:rsidRDefault="004D5219" w:rsidP="00CA6D43">
      <w:pPr>
        <w:spacing w:after="0" w:line="360" w:lineRule="auto"/>
        <w:rPr>
          <w:color w:val="000000"/>
        </w:rPr>
      </w:pPr>
      <w:r>
        <w:rPr>
          <w:color w:val="000000"/>
        </w:rPr>
        <w:t xml:space="preserve">Se le hace del conocimiento a la persona Recurrente que, en el presente asunto, se le da la razón, pues el Sujeto Obligado, </w:t>
      </w:r>
      <w:r w:rsidR="00EC1B37">
        <w:rPr>
          <w:color w:val="000000"/>
        </w:rPr>
        <w:t>clasificó información pública en los contratos remitidos</w:t>
      </w:r>
      <w:r>
        <w:rPr>
          <w:color w:val="000000"/>
        </w:rPr>
        <w:t xml:space="preserve">, por lo que, deberá </w:t>
      </w:r>
      <w:r w:rsidR="00EC1B37">
        <w:rPr>
          <w:color w:val="000000"/>
        </w:rPr>
        <w:t xml:space="preserve">entregarlos en versión </w:t>
      </w:r>
      <w:r w:rsidR="00B16267">
        <w:rPr>
          <w:color w:val="000000"/>
        </w:rPr>
        <w:t>íntegra</w:t>
      </w:r>
      <w:r w:rsidR="008C4FEE">
        <w:rPr>
          <w:color w:val="000000"/>
        </w:rPr>
        <w:t>;</w:t>
      </w:r>
      <w:r>
        <w:rPr>
          <w:color w:val="000000"/>
        </w:rPr>
        <w:t xml:space="preserve"> la labor del Instituto, es apoyar a la población a acceder a la información pública y garantizar la protección de sus datos personales.</w:t>
      </w:r>
    </w:p>
    <w:p w14:paraId="63CCE82F" w14:textId="77777777" w:rsidR="004D3BF2" w:rsidRDefault="004D3BF2" w:rsidP="00CA6D43">
      <w:pPr>
        <w:spacing w:after="0" w:line="360" w:lineRule="auto"/>
      </w:pPr>
    </w:p>
    <w:p w14:paraId="46F4505B" w14:textId="77777777" w:rsidR="004D3BF2" w:rsidRDefault="004D5219" w:rsidP="00CA6D43">
      <w:pPr>
        <w:spacing w:after="0" w:line="360" w:lineRule="auto"/>
      </w:pPr>
      <w:r>
        <w:t>Por lo expuesto y fundado, este Pleno:</w:t>
      </w:r>
    </w:p>
    <w:p w14:paraId="25BB8CF9" w14:textId="77777777" w:rsidR="004D3BF2" w:rsidRDefault="004D3BF2" w:rsidP="00CA6D43">
      <w:pPr>
        <w:spacing w:after="0" w:line="360" w:lineRule="auto"/>
      </w:pPr>
    </w:p>
    <w:p w14:paraId="271C0519" w14:textId="77777777" w:rsidR="004D3BF2" w:rsidRDefault="004D5219" w:rsidP="00CA6D43">
      <w:pPr>
        <w:pStyle w:val="Ttulo1"/>
        <w:spacing w:before="0" w:after="0" w:line="360" w:lineRule="auto"/>
        <w:jc w:val="center"/>
        <w:rPr>
          <w:sz w:val="22"/>
          <w:szCs w:val="22"/>
        </w:rPr>
      </w:pPr>
      <w:r>
        <w:rPr>
          <w:sz w:val="22"/>
          <w:szCs w:val="22"/>
        </w:rPr>
        <w:t>R E S U E L V E</w:t>
      </w:r>
    </w:p>
    <w:p w14:paraId="78FC6559" w14:textId="77777777" w:rsidR="004D3BF2" w:rsidRDefault="004D3BF2" w:rsidP="00CA6D43">
      <w:pPr>
        <w:spacing w:after="0" w:line="360" w:lineRule="auto"/>
      </w:pPr>
    </w:p>
    <w:p w14:paraId="05C8FC4D" w14:textId="2160301E" w:rsidR="004D3BF2" w:rsidRDefault="004D5219" w:rsidP="00CA6D43">
      <w:pPr>
        <w:spacing w:after="0" w:line="360" w:lineRule="auto"/>
        <w:rPr>
          <w:color w:val="000000"/>
        </w:rPr>
      </w:pPr>
      <w:r>
        <w:rPr>
          <w:b/>
          <w:color w:val="000000"/>
        </w:rPr>
        <w:t xml:space="preserve">PRIMERO. </w:t>
      </w:r>
      <w:r>
        <w:rPr>
          <w:color w:val="000000"/>
        </w:rPr>
        <w:t xml:space="preserve">Se </w:t>
      </w:r>
      <w:r w:rsidR="00D517FE">
        <w:rPr>
          <w:b/>
          <w:color w:val="000000"/>
        </w:rPr>
        <w:t>MODIFICA</w:t>
      </w:r>
      <w:r>
        <w:rPr>
          <w:b/>
          <w:color w:val="000000"/>
        </w:rPr>
        <w:t xml:space="preserve"> </w:t>
      </w:r>
      <w:r>
        <w:rPr>
          <w:color w:val="000000"/>
        </w:rPr>
        <w:t xml:space="preserve">la respuesta entregada por el </w:t>
      </w:r>
      <w:r w:rsidR="008C270F">
        <w:t>Instituto Municipal de Cultura Física y Deporte de Chimalhuacán</w:t>
      </w:r>
      <w:r>
        <w:rPr>
          <w:color w:val="000000"/>
        </w:rPr>
        <w:t xml:space="preserve">, a la solicitud de información </w:t>
      </w:r>
      <w:r w:rsidR="00D517FE" w:rsidRPr="00B16267">
        <w:rPr>
          <w:color w:val="000000"/>
        </w:rPr>
        <w:t>00022/IMCUFIDECHIMAL/IP/2026, p</w:t>
      </w:r>
      <w:r w:rsidRPr="00B16267">
        <w:rPr>
          <w:color w:val="000000"/>
        </w:rPr>
        <w:t>or resultar</w:t>
      </w:r>
      <w:r w:rsidR="00511A54" w:rsidRPr="00B16267">
        <w:rPr>
          <w:color w:val="000000"/>
        </w:rPr>
        <w:t xml:space="preserve"> </w:t>
      </w:r>
      <w:r w:rsidRPr="00B16267">
        <w:rPr>
          <w:b/>
          <w:bCs/>
          <w:color w:val="000000"/>
        </w:rPr>
        <w:t>FUNDADAS</w:t>
      </w:r>
      <w:r>
        <w:rPr>
          <w:b/>
          <w:color w:val="000000"/>
        </w:rPr>
        <w:t xml:space="preserve"> </w:t>
      </w:r>
      <w:r>
        <w:rPr>
          <w:color w:val="000000"/>
        </w:rPr>
        <w:t>las razones o motivos de inconformidad hechos valer por el Recurrente, en términos de los considerandos QUINTO y SEXTO de la presente Resolución.</w:t>
      </w:r>
    </w:p>
    <w:p w14:paraId="0A83B7EB" w14:textId="77777777" w:rsidR="004D3BF2" w:rsidRDefault="004D3BF2" w:rsidP="00CA6D43">
      <w:pPr>
        <w:spacing w:after="0" w:line="360" w:lineRule="auto"/>
        <w:rPr>
          <w:color w:val="000000"/>
        </w:rPr>
      </w:pPr>
    </w:p>
    <w:p w14:paraId="1572D08A" w14:textId="51F0BE73" w:rsidR="004D3BF2" w:rsidRPr="00B16267" w:rsidRDefault="004D5219" w:rsidP="00B16267">
      <w:pPr>
        <w:spacing w:after="0" w:line="360" w:lineRule="auto"/>
        <w:rPr>
          <w:color w:val="000000"/>
        </w:rPr>
      </w:pPr>
      <w:r>
        <w:rPr>
          <w:b/>
          <w:color w:val="000000"/>
        </w:rPr>
        <w:t xml:space="preserve">SEGUNDO. </w:t>
      </w:r>
      <w:r>
        <w:rPr>
          <w:color w:val="000000"/>
        </w:rPr>
        <w:t xml:space="preserve">Se </w:t>
      </w:r>
      <w:r>
        <w:rPr>
          <w:b/>
          <w:color w:val="000000"/>
        </w:rPr>
        <w:t>ORDENA</w:t>
      </w:r>
      <w:r>
        <w:rPr>
          <w:color w:val="000000"/>
        </w:rPr>
        <w:t xml:space="preserve"> al Ente Recurrido</w:t>
      </w:r>
      <w:r>
        <w:rPr>
          <w:b/>
          <w:color w:val="000000"/>
        </w:rPr>
        <w:t xml:space="preserve">, </w:t>
      </w:r>
      <w:r>
        <w:rPr>
          <w:color w:val="000000"/>
        </w:rPr>
        <w:t>a efecto de que entregue a través del Sistema de Acceso a la Información Mexiquense (SAIMEX</w:t>
      </w:r>
      <w:r w:rsidR="00B16267">
        <w:rPr>
          <w:color w:val="000000"/>
        </w:rPr>
        <w:t>), la</w:t>
      </w:r>
      <w:r w:rsidR="00B16267" w:rsidRPr="00B16267">
        <w:rPr>
          <w:color w:val="000000"/>
        </w:rPr>
        <w:t xml:space="preserve"> versión íntegra</w:t>
      </w:r>
      <w:r w:rsidR="00B16267">
        <w:rPr>
          <w:color w:val="000000"/>
        </w:rPr>
        <w:t xml:space="preserve"> </w:t>
      </w:r>
      <w:r w:rsidR="00B16267" w:rsidRPr="00B16267">
        <w:rPr>
          <w:color w:val="000000"/>
        </w:rPr>
        <w:t>de los</w:t>
      </w:r>
      <w:r w:rsidR="00511A54" w:rsidRPr="00B16267">
        <w:rPr>
          <w:color w:val="000000"/>
        </w:rPr>
        <w:t xml:space="preserve"> </w:t>
      </w:r>
      <w:r w:rsidR="00D517FE" w:rsidRPr="00B16267">
        <w:rPr>
          <w:color w:val="000000"/>
        </w:rPr>
        <w:t>contratos remitidos en respuesta</w:t>
      </w:r>
      <w:r w:rsidR="00B16267">
        <w:t>.</w:t>
      </w:r>
    </w:p>
    <w:p w14:paraId="5F44ED0D" w14:textId="77777777" w:rsidR="00B16267" w:rsidRDefault="004D5219" w:rsidP="00CA6D43">
      <w:pPr>
        <w:spacing w:after="0" w:line="360" w:lineRule="auto"/>
        <w:ind w:right="-28"/>
        <w:rPr>
          <w:color w:val="000000"/>
        </w:rPr>
      </w:pPr>
      <w:r>
        <w:rPr>
          <w:b/>
          <w:color w:val="000000"/>
        </w:rPr>
        <w:t xml:space="preserve">TERCERO. NOTIFÍQUESE </w:t>
      </w:r>
      <w:r w:rsidR="00D517FE">
        <w:rPr>
          <w:b/>
          <w:color w:val="000000"/>
        </w:rPr>
        <w:t>VÍA</w:t>
      </w:r>
      <w:r>
        <w:rPr>
          <w:b/>
          <w:color w:val="000000"/>
        </w:rPr>
        <w:t xml:space="preserve"> SAIMEX </w:t>
      </w:r>
      <w:r>
        <w:rPr>
          <w:color w:val="000000"/>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256B90C7" w14:textId="77777777" w:rsidR="00B16267" w:rsidRDefault="00B16267" w:rsidP="00CA6D43">
      <w:pPr>
        <w:spacing w:after="0" w:line="360" w:lineRule="auto"/>
        <w:ind w:right="-28"/>
        <w:rPr>
          <w:color w:val="000000"/>
        </w:rPr>
      </w:pPr>
    </w:p>
    <w:p w14:paraId="1D70D2E4" w14:textId="7246E928" w:rsidR="004D3BF2" w:rsidRDefault="004D5219" w:rsidP="00CA6D43">
      <w:pPr>
        <w:spacing w:after="0" w:line="360" w:lineRule="auto"/>
        <w:ind w:right="-28"/>
        <w:rPr>
          <w:color w:val="000000"/>
        </w:rPr>
      </w:pPr>
      <w:r>
        <w:rPr>
          <w:color w:val="000000"/>
        </w:rPr>
        <w:t>De conformidad con el artículo 198 de la Ley de la materia, de considerarlo procedente, el Sujeto Obligado de manera fundada y motivada, podrá solicitar una ampliación de plazo para el cumplimiento de la presente resolución.</w:t>
      </w:r>
    </w:p>
    <w:p w14:paraId="0C57253C" w14:textId="77777777" w:rsidR="004D3BF2" w:rsidRDefault="004D3BF2" w:rsidP="00CA6D43">
      <w:pPr>
        <w:spacing w:after="0" w:line="360" w:lineRule="auto"/>
        <w:rPr>
          <w:color w:val="000000"/>
        </w:rPr>
      </w:pPr>
    </w:p>
    <w:p w14:paraId="063C2F50" w14:textId="5D02DE91" w:rsidR="004D3BF2" w:rsidRDefault="004D5219" w:rsidP="00CA6D43">
      <w:pPr>
        <w:spacing w:after="0" w:line="360" w:lineRule="auto"/>
        <w:rPr>
          <w:color w:val="000000"/>
        </w:rPr>
      </w:pPr>
      <w:r>
        <w:rPr>
          <w:b/>
          <w:color w:val="000000"/>
        </w:rPr>
        <w:t xml:space="preserve">CUARTO. NOTIFÍQUESE </w:t>
      </w:r>
      <w:r w:rsidR="00D517FE">
        <w:rPr>
          <w:b/>
          <w:color w:val="000000"/>
        </w:rPr>
        <w:t>VÍA</w:t>
      </w:r>
      <w:r>
        <w:rPr>
          <w:b/>
          <w:color w:val="000000"/>
        </w:rPr>
        <w:t xml:space="preserve"> SAIMEX</w:t>
      </w:r>
      <w:r>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DEFD299" w14:textId="77777777" w:rsidR="004D3BF2" w:rsidRDefault="004D3BF2" w:rsidP="00CA6D43">
      <w:pPr>
        <w:spacing w:after="0" w:line="360" w:lineRule="auto"/>
        <w:rPr>
          <w:b/>
          <w:color w:val="000000"/>
        </w:rPr>
      </w:pPr>
    </w:p>
    <w:p w14:paraId="046F1CD0" w14:textId="5FA2D552" w:rsidR="004D3BF2" w:rsidRDefault="004D5219" w:rsidP="00CA6D43">
      <w:pPr>
        <w:spacing w:after="0" w:line="360" w:lineRule="auto"/>
        <w:rPr>
          <w:b/>
          <w:color w:val="000000"/>
        </w:rPr>
      </w:pPr>
      <w:r>
        <w:rPr>
          <w:color w:val="000000"/>
        </w:rPr>
        <w:t xml:space="preserve">ASÍ LO RESUELVE, POR </w:t>
      </w:r>
      <w:r>
        <w:rPr>
          <w:b/>
          <w:color w:val="000000"/>
        </w:rPr>
        <w:t>UNANIMIDAD</w:t>
      </w:r>
      <w:r>
        <w:rPr>
          <w:color w:val="000000"/>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w:t>
      </w:r>
      <w:r w:rsidR="00D517FE">
        <w:rPr>
          <w:color w:val="000000"/>
        </w:rPr>
        <w:t>QUINTA</w:t>
      </w:r>
      <w:r w:rsidR="007F4114">
        <w:rPr>
          <w:color w:val="000000"/>
        </w:rPr>
        <w:t xml:space="preserve"> </w:t>
      </w:r>
      <w:r>
        <w:rPr>
          <w:color w:val="000000"/>
        </w:rPr>
        <w:t xml:space="preserve">SESIÓN ORDINARIA, </w:t>
      </w:r>
      <w:r w:rsidR="00D517FE">
        <w:rPr>
          <w:color w:val="000000"/>
        </w:rPr>
        <w:t xml:space="preserve">CELEBRADA EL OCHO DE JULIO DE DOS MIL VEINTISÉIS, </w:t>
      </w:r>
      <w:r>
        <w:rPr>
          <w:color w:val="000000"/>
        </w:rPr>
        <w:t>ANTE EL SECRETARIO TÉCNICO DEL PLENO, ALEXIS TAPIA RAMÍREZ.</w:t>
      </w:r>
    </w:p>
    <w:p w14:paraId="35B11A40" w14:textId="77777777" w:rsidR="004D3BF2" w:rsidRDefault="004D3BF2" w:rsidP="00CA6D43">
      <w:pPr>
        <w:spacing w:after="0" w:line="360" w:lineRule="auto"/>
        <w:ind w:right="-28"/>
        <w:rPr>
          <w:color w:val="000000"/>
        </w:rPr>
      </w:pPr>
    </w:p>
    <w:p w14:paraId="6648D60D" w14:textId="77777777" w:rsidR="004D3BF2" w:rsidRDefault="004D3BF2" w:rsidP="00CA6D43">
      <w:pPr>
        <w:spacing w:after="0" w:line="360" w:lineRule="auto"/>
        <w:rPr>
          <w:b/>
        </w:rPr>
      </w:pPr>
    </w:p>
    <w:p w14:paraId="13489188" w14:textId="77777777" w:rsidR="004D3BF2" w:rsidRDefault="004D3BF2" w:rsidP="00CA6D43">
      <w:pPr>
        <w:spacing w:after="0" w:line="360" w:lineRule="auto"/>
        <w:rPr>
          <w:b/>
        </w:rPr>
      </w:pPr>
    </w:p>
    <w:p w14:paraId="6203DBF5" w14:textId="77777777" w:rsidR="004D3BF2" w:rsidRDefault="004D3BF2" w:rsidP="00CA6D43">
      <w:pPr>
        <w:spacing w:after="0" w:line="360" w:lineRule="auto"/>
        <w:rPr>
          <w:color w:val="000000"/>
        </w:rPr>
      </w:pPr>
    </w:p>
    <w:p w14:paraId="491A1FC5" w14:textId="77777777" w:rsidR="004D3BF2" w:rsidRDefault="004D3BF2" w:rsidP="00CA6D43">
      <w:pPr>
        <w:spacing w:after="0" w:line="360" w:lineRule="auto"/>
        <w:rPr>
          <w:color w:val="000000"/>
        </w:rPr>
      </w:pPr>
    </w:p>
    <w:p w14:paraId="0A419346" w14:textId="77777777" w:rsidR="004D3BF2" w:rsidRDefault="004D3BF2" w:rsidP="00CA6D43">
      <w:pPr>
        <w:spacing w:after="0" w:line="360" w:lineRule="auto"/>
      </w:pPr>
    </w:p>
    <w:p w14:paraId="10BB9B95" w14:textId="77777777" w:rsidR="004D3BF2" w:rsidRDefault="004D3BF2" w:rsidP="00CA6D43">
      <w:pPr>
        <w:spacing w:after="0" w:line="360" w:lineRule="auto"/>
      </w:pPr>
    </w:p>
    <w:p w14:paraId="084C4A9F" w14:textId="77777777" w:rsidR="004D3BF2" w:rsidRDefault="004D3BF2" w:rsidP="00CA6D43">
      <w:pPr>
        <w:spacing w:after="0" w:line="360" w:lineRule="auto"/>
        <w:rPr>
          <w:color w:val="000000"/>
        </w:rPr>
      </w:pPr>
    </w:p>
    <w:p w14:paraId="71D75EAB" w14:textId="77777777" w:rsidR="004D3BF2" w:rsidRDefault="004D3BF2" w:rsidP="00CA6D43">
      <w:pPr>
        <w:spacing w:after="0" w:line="360" w:lineRule="auto"/>
        <w:rPr>
          <w:color w:val="000000"/>
        </w:rPr>
      </w:pPr>
    </w:p>
    <w:p w14:paraId="6E57CD10" w14:textId="77777777" w:rsidR="004D3BF2" w:rsidRDefault="004D3BF2" w:rsidP="00CA6D43">
      <w:pPr>
        <w:tabs>
          <w:tab w:val="right" w:pos="8931"/>
        </w:tabs>
        <w:spacing w:after="0" w:line="360" w:lineRule="auto"/>
      </w:pPr>
    </w:p>
    <w:p w14:paraId="3962E443" w14:textId="77777777" w:rsidR="004D3BF2" w:rsidRDefault="004D3BF2" w:rsidP="00CA6D43">
      <w:pPr>
        <w:tabs>
          <w:tab w:val="right" w:pos="8931"/>
        </w:tabs>
        <w:spacing w:after="0" w:line="360" w:lineRule="auto"/>
      </w:pPr>
    </w:p>
    <w:p w14:paraId="21DBA526" w14:textId="77777777" w:rsidR="004D3BF2" w:rsidRDefault="004D3BF2" w:rsidP="00CA6D43">
      <w:pPr>
        <w:spacing w:after="0" w:line="360" w:lineRule="auto"/>
      </w:pPr>
    </w:p>
    <w:p w14:paraId="025B6F3C" w14:textId="77777777" w:rsidR="004D3BF2" w:rsidRDefault="004D3BF2" w:rsidP="00CA6D43">
      <w:pPr>
        <w:spacing w:after="0" w:line="360" w:lineRule="auto"/>
      </w:pPr>
    </w:p>
    <w:p w14:paraId="04DE895A" w14:textId="77777777" w:rsidR="008A3F45" w:rsidRDefault="008A3F45" w:rsidP="00CA6D43">
      <w:pPr>
        <w:spacing w:after="0" w:line="360" w:lineRule="auto"/>
      </w:pPr>
    </w:p>
    <w:p w14:paraId="6847FE03" w14:textId="77777777" w:rsidR="008A3F45" w:rsidRDefault="008A3F45" w:rsidP="00CA6D43">
      <w:pPr>
        <w:spacing w:after="0" w:line="360" w:lineRule="auto"/>
      </w:pPr>
    </w:p>
    <w:p w14:paraId="2CE89B66" w14:textId="77777777" w:rsidR="008A3F45" w:rsidRDefault="008A3F45" w:rsidP="00CA6D43">
      <w:pPr>
        <w:spacing w:after="0" w:line="360" w:lineRule="auto"/>
      </w:pPr>
    </w:p>
    <w:p w14:paraId="729E5784" w14:textId="77777777" w:rsidR="008A3F45" w:rsidRDefault="008A3F45" w:rsidP="00CA6D43">
      <w:pPr>
        <w:spacing w:after="0" w:line="360" w:lineRule="auto"/>
      </w:pPr>
    </w:p>
    <w:p w14:paraId="3F905D63" w14:textId="77777777" w:rsidR="008A3F45" w:rsidRDefault="008A3F45" w:rsidP="00CA6D43">
      <w:pPr>
        <w:spacing w:after="0" w:line="360" w:lineRule="auto"/>
      </w:pPr>
    </w:p>
    <w:p w14:paraId="205B7150" w14:textId="77777777" w:rsidR="008A3F45" w:rsidRDefault="008A3F45" w:rsidP="00CA6D43">
      <w:pPr>
        <w:spacing w:after="0" w:line="360" w:lineRule="auto"/>
      </w:pPr>
    </w:p>
    <w:p w14:paraId="6F16D570" w14:textId="77777777" w:rsidR="008A3F45" w:rsidRDefault="008A3F45" w:rsidP="00CA6D43">
      <w:pPr>
        <w:spacing w:after="0" w:line="360" w:lineRule="auto"/>
      </w:pPr>
    </w:p>
    <w:p w14:paraId="5A071F8C" w14:textId="77777777" w:rsidR="008A3F45" w:rsidRDefault="008A3F45" w:rsidP="00CA6D43">
      <w:pPr>
        <w:spacing w:after="0" w:line="360" w:lineRule="auto"/>
      </w:pPr>
    </w:p>
    <w:p w14:paraId="5E52336C" w14:textId="77777777" w:rsidR="008A3F45" w:rsidRDefault="008A3F45" w:rsidP="00CA6D43">
      <w:pPr>
        <w:spacing w:after="0" w:line="360" w:lineRule="auto"/>
      </w:pPr>
    </w:p>
    <w:p w14:paraId="128B8FDA" w14:textId="77777777" w:rsidR="008A3F45" w:rsidRDefault="008A3F45" w:rsidP="00CA6D43">
      <w:pPr>
        <w:spacing w:after="0" w:line="360" w:lineRule="auto"/>
      </w:pPr>
    </w:p>
    <w:p w14:paraId="0F1A5AF7" w14:textId="77777777" w:rsidR="008A3F45" w:rsidRDefault="008A3F45" w:rsidP="00CA6D43">
      <w:pPr>
        <w:spacing w:after="0" w:line="360" w:lineRule="auto"/>
      </w:pPr>
    </w:p>
    <w:p w14:paraId="01207520" w14:textId="77777777" w:rsidR="008A3F45" w:rsidRDefault="008A3F45" w:rsidP="00CA6D43">
      <w:pPr>
        <w:spacing w:after="0" w:line="360" w:lineRule="auto"/>
      </w:pPr>
    </w:p>
    <w:p w14:paraId="5539F35D" w14:textId="77777777" w:rsidR="008A3F45" w:rsidRDefault="008A3F45" w:rsidP="00CA6D43">
      <w:pPr>
        <w:spacing w:after="0" w:line="360" w:lineRule="auto"/>
      </w:pPr>
    </w:p>
    <w:p w14:paraId="2B3A0D1B" w14:textId="77777777" w:rsidR="008A3F45" w:rsidRDefault="008A3F45" w:rsidP="00CA6D43">
      <w:pPr>
        <w:spacing w:after="0" w:line="360" w:lineRule="auto"/>
      </w:pPr>
    </w:p>
    <w:p w14:paraId="6D158D56" w14:textId="77777777" w:rsidR="008A3F45" w:rsidRDefault="008A3F45" w:rsidP="00CA6D43">
      <w:pPr>
        <w:spacing w:after="0" w:line="360" w:lineRule="auto"/>
      </w:pPr>
    </w:p>
    <w:p w14:paraId="6EDC15D9" w14:textId="77777777" w:rsidR="008A3F45" w:rsidRDefault="008A3F45" w:rsidP="00CA6D43">
      <w:pPr>
        <w:spacing w:after="0" w:line="360" w:lineRule="auto"/>
      </w:pPr>
    </w:p>
    <w:sectPr w:rsidR="008A3F45">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A28D5" w14:textId="77777777" w:rsidR="002D79D8" w:rsidRDefault="002D79D8">
      <w:pPr>
        <w:spacing w:after="0" w:line="240" w:lineRule="auto"/>
      </w:pPr>
      <w:r>
        <w:separator/>
      </w:r>
    </w:p>
  </w:endnote>
  <w:endnote w:type="continuationSeparator" w:id="0">
    <w:p w14:paraId="352B5B81" w14:textId="77777777" w:rsidR="002D79D8" w:rsidRDefault="002D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9F45A" w14:textId="77777777" w:rsidR="004D3BF2" w:rsidRDefault="004D521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005A9">
      <w:rPr>
        <w:b/>
        <w:noProof/>
        <w:color w:val="000000"/>
        <w:sz w:val="24"/>
        <w:szCs w:val="24"/>
      </w:rPr>
      <w:t>28</w:t>
    </w:r>
    <w:r>
      <w:rPr>
        <w:b/>
        <w:color w:val="000000"/>
        <w:sz w:val="24"/>
        <w:szCs w:val="24"/>
      </w:rPr>
      <w:fldChar w:fldCharType="end"/>
    </w:r>
  </w:p>
  <w:p w14:paraId="43DFF477" w14:textId="77777777" w:rsidR="004D3BF2" w:rsidRDefault="004D3BF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6E64C" w14:textId="77777777" w:rsidR="004D3BF2" w:rsidRDefault="004D521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51117E">
      <w:rPr>
        <w:b/>
        <w:noProof/>
        <w:color w:val="000000"/>
        <w:sz w:val="24"/>
        <w:szCs w:val="24"/>
      </w:rPr>
      <w:t>21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51117E">
      <w:rPr>
        <w:b/>
        <w:noProof/>
        <w:color w:val="000000"/>
        <w:sz w:val="24"/>
        <w:szCs w:val="24"/>
      </w:rPr>
      <w:t>28</w:t>
    </w:r>
    <w:r>
      <w:rPr>
        <w:b/>
        <w:color w:val="000000"/>
        <w:sz w:val="24"/>
        <w:szCs w:val="24"/>
      </w:rPr>
      <w:fldChar w:fldCharType="end"/>
    </w:r>
  </w:p>
  <w:p w14:paraId="050DC7DC" w14:textId="77777777" w:rsidR="004D3BF2" w:rsidRDefault="004D3BF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91BF9" w14:textId="77777777" w:rsidR="004D3BF2" w:rsidRDefault="004D5219">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D79D8">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D79D8">
      <w:rPr>
        <w:b/>
        <w:noProof/>
        <w:color w:val="000000"/>
        <w:sz w:val="24"/>
        <w:szCs w:val="24"/>
      </w:rPr>
      <w:t>1</w:t>
    </w:r>
    <w:r>
      <w:rPr>
        <w:b/>
        <w:color w:val="000000"/>
        <w:sz w:val="24"/>
        <w:szCs w:val="24"/>
      </w:rPr>
      <w:fldChar w:fldCharType="end"/>
    </w:r>
  </w:p>
  <w:p w14:paraId="5722E703" w14:textId="77777777" w:rsidR="004D3BF2" w:rsidRDefault="004D3BF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8FACB" w14:textId="77777777" w:rsidR="002D79D8" w:rsidRDefault="002D79D8">
      <w:pPr>
        <w:spacing w:after="0" w:line="240" w:lineRule="auto"/>
      </w:pPr>
      <w:r>
        <w:separator/>
      </w:r>
    </w:p>
  </w:footnote>
  <w:footnote w:type="continuationSeparator" w:id="0">
    <w:p w14:paraId="2E6F2282" w14:textId="77777777" w:rsidR="002D79D8" w:rsidRDefault="002D7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6B1CD" w14:textId="77777777" w:rsidR="004D3BF2" w:rsidRDefault="004D3BF2">
    <w:pPr>
      <w:widowControl w:val="0"/>
      <w:pBdr>
        <w:top w:val="nil"/>
        <w:left w:val="nil"/>
        <w:bottom w:val="nil"/>
        <w:right w:val="nil"/>
        <w:between w:val="nil"/>
      </w:pBdr>
      <w:spacing w:after="0" w:line="276" w:lineRule="auto"/>
      <w:jc w:val="left"/>
      <w:rPr>
        <w:color w:val="000000"/>
      </w:rPr>
    </w:pPr>
  </w:p>
  <w:tbl>
    <w:tblPr>
      <w:tblStyle w:val="a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4D3BF2" w14:paraId="27381F76" w14:textId="77777777">
      <w:trPr>
        <w:trHeight w:val="132"/>
      </w:trPr>
      <w:tc>
        <w:tcPr>
          <w:tcW w:w="2691" w:type="dxa"/>
        </w:tcPr>
        <w:p w14:paraId="4D4FB74D" w14:textId="77777777" w:rsidR="004D3BF2" w:rsidRDefault="004D5219">
          <w:pPr>
            <w:tabs>
              <w:tab w:val="right" w:pos="8838"/>
            </w:tabs>
            <w:ind w:right="-105"/>
            <w:rPr>
              <w:b/>
            </w:rPr>
          </w:pPr>
          <w:r>
            <w:rPr>
              <w:b/>
            </w:rPr>
            <w:t>Recurso de Revisión:</w:t>
          </w:r>
        </w:p>
      </w:tc>
      <w:tc>
        <w:tcPr>
          <w:tcW w:w="3405" w:type="dxa"/>
        </w:tcPr>
        <w:p w14:paraId="0637D6CD" w14:textId="77777777" w:rsidR="004D3BF2" w:rsidRDefault="004D5219">
          <w:pPr>
            <w:tabs>
              <w:tab w:val="right" w:pos="8838"/>
            </w:tabs>
            <w:ind w:left="-28" w:right="-32"/>
          </w:pPr>
          <w:r>
            <w:t>03846/INFOEM/IP/RR/2020</w:t>
          </w:r>
        </w:p>
      </w:tc>
    </w:tr>
    <w:tr w:rsidR="004D3BF2" w14:paraId="249908F6" w14:textId="77777777">
      <w:trPr>
        <w:trHeight w:val="261"/>
      </w:trPr>
      <w:tc>
        <w:tcPr>
          <w:tcW w:w="2691" w:type="dxa"/>
        </w:tcPr>
        <w:p w14:paraId="2F1BB30E" w14:textId="77777777" w:rsidR="004D3BF2" w:rsidRDefault="004D5219">
          <w:pPr>
            <w:tabs>
              <w:tab w:val="right" w:pos="8838"/>
            </w:tabs>
            <w:ind w:right="-105"/>
            <w:rPr>
              <w:b/>
            </w:rPr>
          </w:pPr>
          <w:r>
            <w:rPr>
              <w:b/>
            </w:rPr>
            <w:t>Sujeto Obligado:</w:t>
          </w:r>
        </w:p>
      </w:tc>
      <w:tc>
        <w:tcPr>
          <w:tcW w:w="3405" w:type="dxa"/>
        </w:tcPr>
        <w:p w14:paraId="54B0FAF9" w14:textId="77777777" w:rsidR="004D3BF2" w:rsidRDefault="004D5219">
          <w:pPr>
            <w:tabs>
              <w:tab w:val="right" w:pos="8838"/>
            </w:tabs>
            <w:ind w:right="-32"/>
          </w:pPr>
          <w:r>
            <w:t>Ayuntamiento de Temascalcingo</w:t>
          </w:r>
        </w:p>
      </w:tc>
    </w:tr>
    <w:tr w:rsidR="004D3BF2" w14:paraId="424A7B5A" w14:textId="77777777">
      <w:trPr>
        <w:trHeight w:val="261"/>
      </w:trPr>
      <w:tc>
        <w:tcPr>
          <w:tcW w:w="2691" w:type="dxa"/>
        </w:tcPr>
        <w:p w14:paraId="1DF98B6D" w14:textId="77777777" w:rsidR="004D3BF2" w:rsidRDefault="004D5219">
          <w:pPr>
            <w:tabs>
              <w:tab w:val="right" w:pos="8838"/>
            </w:tabs>
            <w:ind w:right="-105"/>
            <w:rPr>
              <w:b/>
            </w:rPr>
          </w:pPr>
          <w:r>
            <w:rPr>
              <w:b/>
            </w:rPr>
            <w:t>Comisionado Ponente:</w:t>
          </w:r>
        </w:p>
      </w:tc>
      <w:tc>
        <w:tcPr>
          <w:tcW w:w="3405" w:type="dxa"/>
        </w:tcPr>
        <w:p w14:paraId="0966A812" w14:textId="77777777" w:rsidR="004D3BF2" w:rsidRDefault="004D5219">
          <w:pPr>
            <w:tabs>
              <w:tab w:val="right" w:pos="8838"/>
            </w:tabs>
            <w:ind w:right="-32"/>
            <w:rPr>
              <w:b/>
            </w:rPr>
          </w:pPr>
          <w:r>
            <w:t>Luis Gustavo Parra Noriega</w:t>
          </w:r>
        </w:p>
      </w:tc>
    </w:tr>
  </w:tbl>
  <w:p w14:paraId="3E6B0A1B" w14:textId="77777777" w:rsidR="004D3BF2" w:rsidRDefault="002D79D8">
    <w:pPr>
      <w:pBdr>
        <w:top w:val="nil"/>
        <w:left w:val="nil"/>
        <w:bottom w:val="nil"/>
        <w:right w:val="nil"/>
        <w:between w:val="nil"/>
      </w:pBdr>
      <w:tabs>
        <w:tab w:val="center" w:pos="4419"/>
        <w:tab w:val="right" w:pos="8838"/>
      </w:tabs>
      <w:spacing w:after="0" w:line="240" w:lineRule="auto"/>
      <w:rPr>
        <w:color w:val="000000"/>
      </w:rPr>
    </w:pPr>
    <w:r>
      <w:rPr>
        <w:color w:val="000000"/>
      </w:rPr>
      <w:pict w14:anchorId="418708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045C5" w14:textId="77777777" w:rsidR="004D3BF2" w:rsidRDefault="002D79D8">
    <w:pPr>
      <w:widowControl w:val="0"/>
      <w:pBdr>
        <w:top w:val="nil"/>
        <w:left w:val="nil"/>
        <w:bottom w:val="nil"/>
        <w:right w:val="nil"/>
        <w:between w:val="nil"/>
      </w:pBdr>
      <w:spacing w:after="0" w:line="276" w:lineRule="auto"/>
      <w:jc w:val="left"/>
    </w:pPr>
    <w:r>
      <w:rPr>
        <w:color w:val="000000"/>
      </w:rPr>
      <w:pict w14:anchorId="74650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5.35pt;margin-top:-137.45pt;width:663.5pt;height:12in;z-index:-251659776;mso-position-horizontal:absolute;mso-position-horizontal-relative:margin;mso-position-vertical:absolute;mso-position-vertical-relative:margin">
          <v:imagedata r:id="rId1" o:title="image2"/>
          <w10:wrap anchorx="margin" anchory="margin"/>
        </v:shape>
      </w:pict>
    </w:r>
  </w:p>
  <w:tbl>
    <w:tblPr>
      <w:tblStyle w:val="a3"/>
      <w:tblW w:w="6237"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268"/>
      <w:gridCol w:w="3969"/>
    </w:tblGrid>
    <w:tr w:rsidR="004D3BF2" w14:paraId="093BD70D" w14:textId="77777777" w:rsidTr="00CA6D43">
      <w:trPr>
        <w:trHeight w:val="138"/>
      </w:trPr>
      <w:tc>
        <w:tcPr>
          <w:tcW w:w="2268" w:type="dxa"/>
          <w:vAlign w:val="center"/>
        </w:tcPr>
        <w:p w14:paraId="6FB17BA4" w14:textId="77777777" w:rsidR="004D3BF2" w:rsidRDefault="004D3BF2">
          <w:pPr>
            <w:tabs>
              <w:tab w:val="right" w:pos="8838"/>
            </w:tabs>
            <w:ind w:left="-108" w:right="-105"/>
            <w:jc w:val="left"/>
            <w:rPr>
              <w:b/>
            </w:rPr>
          </w:pPr>
        </w:p>
        <w:p w14:paraId="06E14422" w14:textId="77777777" w:rsidR="004D3BF2" w:rsidRDefault="004D5219">
          <w:pPr>
            <w:tabs>
              <w:tab w:val="right" w:pos="8838"/>
            </w:tabs>
            <w:ind w:left="-108" w:right="-105"/>
            <w:jc w:val="left"/>
            <w:rPr>
              <w:b/>
            </w:rPr>
          </w:pPr>
          <w:r>
            <w:rPr>
              <w:b/>
            </w:rPr>
            <w:t>Recurso de Revisión:</w:t>
          </w:r>
        </w:p>
      </w:tc>
      <w:tc>
        <w:tcPr>
          <w:tcW w:w="3969" w:type="dxa"/>
        </w:tcPr>
        <w:p w14:paraId="0AFF8214" w14:textId="77777777" w:rsidR="004D3BF2" w:rsidRDefault="004D3BF2">
          <w:pPr>
            <w:tabs>
              <w:tab w:val="right" w:pos="8838"/>
            </w:tabs>
            <w:ind w:right="57"/>
          </w:pPr>
        </w:p>
        <w:p w14:paraId="072DF5D0" w14:textId="64B236EF" w:rsidR="004D3BF2" w:rsidRDefault="008C270F">
          <w:pPr>
            <w:tabs>
              <w:tab w:val="right" w:pos="8838"/>
            </w:tabs>
            <w:ind w:right="57"/>
          </w:pPr>
          <w:r>
            <w:t>04741/INFOEM/IP/RR/2026</w:t>
          </w:r>
        </w:p>
      </w:tc>
    </w:tr>
    <w:tr w:rsidR="004D3BF2" w14:paraId="5FD8D376" w14:textId="77777777" w:rsidTr="00CA6D43">
      <w:trPr>
        <w:trHeight w:val="273"/>
      </w:trPr>
      <w:tc>
        <w:tcPr>
          <w:tcW w:w="2268" w:type="dxa"/>
        </w:tcPr>
        <w:p w14:paraId="57B5C0D3" w14:textId="77777777" w:rsidR="004D3BF2" w:rsidRDefault="004D5219">
          <w:pPr>
            <w:tabs>
              <w:tab w:val="right" w:pos="8838"/>
            </w:tabs>
            <w:ind w:left="-108" w:right="-105"/>
            <w:rPr>
              <w:b/>
            </w:rPr>
          </w:pPr>
          <w:r>
            <w:rPr>
              <w:b/>
            </w:rPr>
            <w:t>Sujeto Obligado:</w:t>
          </w:r>
        </w:p>
      </w:tc>
      <w:tc>
        <w:tcPr>
          <w:tcW w:w="3969" w:type="dxa"/>
        </w:tcPr>
        <w:p w14:paraId="72B333D8" w14:textId="69455413" w:rsidR="004D3BF2" w:rsidRDefault="008C270F">
          <w:pPr>
            <w:tabs>
              <w:tab w:val="right" w:pos="8838"/>
            </w:tabs>
            <w:ind w:right="180"/>
          </w:pPr>
          <w:r>
            <w:t>Instituto Municipal de Cultura Física y Deporte de Chimalhuacán</w:t>
          </w:r>
        </w:p>
      </w:tc>
    </w:tr>
    <w:tr w:rsidR="004D3BF2" w14:paraId="05A39575" w14:textId="77777777" w:rsidTr="00CA6D43">
      <w:trPr>
        <w:trHeight w:val="273"/>
      </w:trPr>
      <w:tc>
        <w:tcPr>
          <w:tcW w:w="2268" w:type="dxa"/>
        </w:tcPr>
        <w:p w14:paraId="1C354896" w14:textId="77777777" w:rsidR="004D3BF2" w:rsidRDefault="004D5219">
          <w:pPr>
            <w:tabs>
              <w:tab w:val="right" w:pos="8838"/>
            </w:tabs>
            <w:ind w:left="-108" w:right="-105"/>
            <w:rPr>
              <w:b/>
            </w:rPr>
          </w:pPr>
          <w:r>
            <w:rPr>
              <w:b/>
            </w:rPr>
            <w:t>Comisionado Ponente:</w:t>
          </w:r>
        </w:p>
      </w:tc>
      <w:tc>
        <w:tcPr>
          <w:tcW w:w="3969" w:type="dxa"/>
        </w:tcPr>
        <w:p w14:paraId="432E597D" w14:textId="77777777" w:rsidR="004D3BF2" w:rsidRDefault="004D5219">
          <w:pPr>
            <w:tabs>
              <w:tab w:val="right" w:pos="8838"/>
            </w:tabs>
            <w:ind w:right="-170"/>
          </w:pPr>
          <w:r>
            <w:t>Luis Gustavo Parra Noriega</w:t>
          </w:r>
        </w:p>
        <w:p w14:paraId="642BF6AF" w14:textId="77777777" w:rsidR="004D3BF2" w:rsidRDefault="004D3BF2">
          <w:pPr>
            <w:tabs>
              <w:tab w:val="right" w:pos="8838"/>
            </w:tabs>
            <w:ind w:right="-170"/>
            <w:rPr>
              <w:b/>
            </w:rPr>
          </w:pPr>
        </w:p>
      </w:tc>
    </w:tr>
  </w:tbl>
  <w:p w14:paraId="6FA962F9" w14:textId="77777777" w:rsidR="004D3BF2" w:rsidRDefault="004D3BF2">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8CEB6" w14:textId="77777777" w:rsidR="004D3BF2" w:rsidRDefault="004D3BF2">
    <w:pPr>
      <w:widowControl w:val="0"/>
      <w:pBdr>
        <w:top w:val="nil"/>
        <w:left w:val="nil"/>
        <w:bottom w:val="nil"/>
        <w:right w:val="nil"/>
        <w:between w:val="nil"/>
      </w:pBdr>
      <w:spacing w:after="0" w:line="276" w:lineRule="auto"/>
      <w:jc w:val="left"/>
      <w:rPr>
        <w:color w:val="000000"/>
      </w:rPr>
    </w:pPr>
  </w:p>
  <w:tbl>
    <w:tblPr>
      <w:tblStyle w:val="a4"/>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4D3BF2" w14:paraId="314F3DD2" w14:textId="77777777" w:rsidTr="00CA6D43">
      <w:trPr>
        <w:trHeight w:val="132"/>
      </w:trPr>
      <w:tc>
        <w:tcPr>
          <w:tcW w:w="2551" w:type="dxa"/>
        </w:tcPr>
        <w:p w14:paraId="6A4EFF8B" w14:textId="77777777" w:rsidR="004D3BF2" w:rsidRDefault="004D3BF2">
          <w:pPr>
            <w:tabs>
              <w:tab w:val="right" w:pos="8838"/>
            </w:tabs>
            <w:ind w:right="-105"/>
            <w:rPr>
              <w:b/>
            </w:rPr>
          </w:pPr>
        </w:p>
        <w:p w14:paraId="73AE791F" w14:textId="77777777" w:rsidR="004D3BF2" w:rsidRDefault="004D5219">
          <w:pPr>
            <w:tabs>
              <w:tab w:val="right" w:pos="8838"/>
            </w:tabs>
            <w:ind w:right="-105"/>
            <w:rPr>
              <w:b/>
            </w:rPr>
          </w:pPr>
          <w:r>
            <w:rPr>
              <w:b/>
            </w:rPr>
            <w:t>Recurso de Revisión:</w:t>
          </w:r>
        </w:p>
      </w:tc>
      <w:tc>
        <w:tcPr>
          <w:tcW w:w="4253" w:type="dxa"/>
        </w:tcPr>
        <w:p w14:paraId="07697D3F" w14:textId="77777777" w:rsidR="004D3BF2" w:rsidRDefault="004D3BF2"/>
        <w:p w14:paraId="74F68B69" w14:textId="5C3C17F0" w:rsidR="004D3BF2" w:rsidRDefault="007839E2">
          <w:r w:rsidRPr="007839E2">
            <w:t>0</w:t>
          </w:r>
          <w:r w:rsidR="008C270F">
            <w:t>4741</w:t>
          </w:r>
          <w:r w:rsidRPr="007839E2">
            <w:t>/INFOEM/IP/RR/202</w:t>
          </w:r>
          <w:r w:rsidR="008C270F">
            <w:t>6</w:t>
          </w:r>
        </w:p>
      </w:tc>
    </w:tr>
    <w:tr w:rsidR="004D3BF2" w14:paraId="36484308" w14:textId="77777777" w:rsidTr="00CA6D43">
      <w:trPr>
        <w:trHeight w:val="132"/>
      </w:trPr>
      <w:tc>
        <w:tcPr>
          <w:tcW w:w="2551" w:type="dxa"/>
        </w:tcPr>
        <w:p w14:paraId="480372BC" w14:textId="77777777" w:rsidR="004D3BF2" w:rsidRDefault="004D5219">
          <w:pPr>
            <w:tabs>
              <w:tab w:val="left" w:pos="1875"/>
            </w:tabs>
            <w:ind w:right="-105"/>
            <w:rPr>
              <w:b/>
            </w:rPr>
          </w:pPr>
          <w:r>
            <w:rPr>
              <w:b/>
            </w:rPr>
            <w:t>Recurrente:</w:t>
          </w:r>
          <w:r>
            <w:rPr>
              <w:b/>
            </w:rPr>
            <w:tab/>
          </w:r>
        </w:p>
      </w:tc>
      <w:tc>
        <w:tcPr>
          <w:tcW w:w="4253" w:type="dxa"/>
        </w:tcPr>
        <w:p w14:paraId="47558125" w14:textId="5E2584B5" w:rsidR="004D3BF2" w:rsidRDefault="004D3BF2">
          <w:pPr>
            <w:tabs>
              <w:tab w:val="right" w:pos="8838"/>
            </w:tabs>
            <w:ind w:right="-250"/>
          </w:pPr>
        </w:p>
      </w:tc>
    </w:tr>
    <w:tr w:rsidR="004D3BF2" w14:paraId="7BB1E908" w14:textId="77777777" w:rsidTr="00CA6D43">
      <w:trPr>
        <w:trHeight w:val="261"/>
      </w:trPr>
      <w:tc>
        <w:tcPr>
          <w:tcW w:w="2551" w:type="dxa"/>
        </w:tcPr>
        <w:p w14:paraId="0D40548A" w14:textId="77777777" w:rsidR="004D3BF2" w:rsidRDefault="004D5219">
          <w:pPr>
            <w:tabs>
              <w:tab w:val="right" w:pos="8838"/>
            </w:tabs>
            <w:ind w:right="-105"/>
            <w:rPr>
              <w:b/>
            </w:rPr>
          </w:pPr>
          <w:r>
            <w:rPr>
              <w:b/>
            </w:rPr>
            <w:t>Sujeto Obligado:</w:t>
          </w:r>
        </w:p>
      </w:tc>
      <w:tc>
        <w:tcPr>
          <w:tcW w:w="4253" w:type="dxa"/>
        </w:tcPr>
        <w:p w14:paraId="77F7E24F" w14:textId="3A66BCEA" w:rsidR="004D3BF2" w:rsidRDefault="008C270F" w:rsidP="007839E2">
          <w:pPr>
            <w:ind w:right="456"/>
          </w:pPr>
          <w:r>
            <w:t>Instituto Municipal de Cultura Física y Deporte de Chimalhuacán</w:t>
          </w:r>
        </w:p>
      </w:tc>
    </w:tr>
    <w:tr w:rsidR="004D3BF2" w14:paraId="2983368D" w14:textId="77777777" w:rsidTr="00CA6D43">
      <w:trPr>
        <w:trHeight w:val="261"/>
      </w:trPr>
      <w:tc>
        <w:tcPr>
          <w:tcW w:w="2551" w:type="dxa"/>
        </w:tcPr>
        <w:p w14:paraId="7345CD51" w14:textId="77777777" w:rsidR="004D3BF2" w:rsidRDefault="004D5219">
          <w:pPr>
            <w:tabs>
              <w:tab w:val="right" w:pos="8838"/>
            </w:tabs>
            <w:ind w:right="-105"/>
            <w:rPr>
              <w:b/>
            </w:rPr>
          </w:pPr>
          <w:r>
            <w:rPr>
              <w:b/>
            </w:rPr>
            <w:t>Comisionado Ponente:</w:t>
          </w:r>
        </w:p>
      </w:tc>
      <w:tc>
        <w:tcPr>
          <w:tcW w:w="4253" w:type="dxa"/>
        </w:tcPr>
        <w:p w14:paraId="57E28E8A" w14:textId="77777777" w:rsidR="004D3BF2" w:rsidRDefault="004D5219">
          <w:pPr>
            <w:tabs>
              <w:tab w:val="right" w:pos="8838"/>
            </w:tabs>
            <w:ind w:right="-32"/>
            <w:rPr>
              <w:b/>
            </w:rPr>
          </w:pPr>
          <w:r>
            <w:t>Luis Gustavo Parra Noriega</w:t>
          </w:r>
        </w:p>
      </w:tc>
    </w:tr>
  </w:tbl>
  <w:p w14:paraId="29D080B6" w14:textId="77777777" w:rsidR="004D3BF2" w:rsidRDefault="002D79D8">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624A1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left:0;text-align:left;margin-left:-89.1pt;margin-top:-125pt;width:663.5pt;height:12in;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5083"/>
    <w:multiLevelType w:val="multilevel"/>
    <w:tmpl w:val="F4863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7119D3"/>
    <w:multiLevelType w:val="hybridMultilevel"/>
    <w:tmpl w:val="B484D3BE"/>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11C84DFF"/>
    <w:multiLevelType w:val="multilevel"/>
    <w:tmpl w:val="01E4D7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5045E1"/>
    <w:multiLevelType w:val="multilevel"/>
    <w:tmpl w:val="0DFE2D7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A15780"/>
    <w:multiLevelType w:val="hybridMultilevel"/>
    <w:tmpl w:val="08089B1A"/>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2A72A60"/>
    <w:multiLevelType w:val="multilevel"/>
    <w:tmpl w:val="DFCE67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1E2A8C"/>
    <w:multiLevelType w:val="multilevel"/>
    <w:tmpl w:val="036A3B9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5586D69"/>
    <w:multiLevelType w:val="multilevel"/>
    <w:tmpl w:val="5B8EEB3A"/>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A164502"/>
    <w:multiLevelType w:val="multilevel"/>
    <w:tmpl w:val="66961B0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C295C81"/>
    <w:multiLevelType w:val="hybridMultilevel"/>
    <w:tmpl w:val="1D5258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2407E62"/>
    <w:multiLevelType w:val="multilevel"/>
    <w:tmpl w:val="A4B8A2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581508E"/>
    <w:multiLevelType w:val="multilevel"/>
    <w:tmpl w:val="5A3E6F9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7" w15:restartNumberingAfterBreak="0">
    <w:nsid w:val="376A132C"/>
    <w:multiLevelType w:val="hybridMultilevel"/>
    <w:tmpl w:val="867E03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9291B33"/>
    <w:multiLevelType w:val="hybridMultilevel"/>
    <w:tmpl w:val="51BCF65C"/>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43170B26"/>
    <w:multiLevelType w:val="hybridMultilevel"/>
    <w:tmpl w:val="9500C044"/>
    <w:lvl w:ilvl="0" w:tplc="7AA0B6C0">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4E5E32FB"/>
    <w:multiLevelType w:val="multilevel"/>
    <w:tmpl w:val="0826009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1" w15:restartNumberingAfterBreak="0">
    <w:nsid w:val="530B1C1E"/>
    <w:multiLevelType w:val="multilevel"/>
    <w:tmpl w:val="D6C28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DA59F6"/>
    <w:multiLevelType w:val="multilevel"/>
    <w:tmpl w:val="E26258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7613A4"/>
    <w:multiLevelType w:val="hybridMultilevel"/>
    <w:tmpl w:val="62F4C464"/>
    <w:lvl w:ilvl="0" w:tplc="631454D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578E297F"/>
    <w:multiLevelType w:val="hybridMultilevel"/>
    <w:tmpl w:val="4D4CB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FE27C5"/>
    <w:multiLevelType w:val="hybridMultilevel"/>
    <w:tmpl w:val="766466B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A1E071B"/>
    <w:multiLevelType w:val="hybridMultilevel"/>
    <w:tmpl w:val="EA626B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3EF0F51"/>
    <w:multiLevelType w:val="hybridMultilevel"/>
    <w:tmpl w:val="B41E5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EF371FB"/>
    <w:multiLevelType w:val="hybridMultilevel"/>
    <w:tmpl w:val="F5A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6"/>
  </w:num>
  <w:num w:numId="4">
    <w:abstractNumId w:val="12"/>
  </w:num>
  <w:num w:numId="5">
    <w:abstractNumId w:val="9"/>
  </w:num>
  <w:num w:numId="6">
    <w:abstractNumId w:val="11"/>
  </w:num>
  <w:num w:numId="7">
    <w:abstractNumId w:val="5"/>
  </w:num>
  <w:num w:numId="8">
    <w:abstractNumId w:val="10"/>
  </w:num>
  <w:num w:numId="9">
    <w:abstractNumId w:val="0"/>
  </w:num>
  <w:num w:numId="10">
    <w:abstractNumId w:val="7"/>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3"/>
  </w:num>
  <w:num w:numId="14">
    <w:abstractNumId w:val="1"/>
  </w:num>
  <w:num w:numId="15">
    <w:abstractNumId w:val="24"/>
  </w:num>
  <w:num w:numId="16">
    <w:abstractNumId w:val="15"/>
  </w:num>
  <w:num w:numId="17">
    <w:abstractNumId w:val="2"/>
  </w:num>
  <w:num w:numId="18">
    <w:abstractNumId w:val="14"/>
  </w:num>
  <w:num w:numId="19">
    <w:abstractNumId w:val="17"/>
  </w:num>
  <w:num w:numId="20">
    <w:abstractNumId w:val="13"/>
  </w:num>
  <w:num w:numId="21">
    <w:abstractNumId w:val="18"/>
  </w:num>
  <w:num w:numId="22">
    <w:abstractNumId w:val="19"/>
  </w:num>
  <w:num w:numId="23">
    <w:abstractNumId w:val="2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8"/>
  </w:num>
  <w:num w:numId="27">
    <w:abstractNumId w:val="26"/>
  </w:num>
  <w:num w:numId="28">
    <w:abstractNumId w:val="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F2"/>
    <w:rsid w:val="00014EBA"/>
    <w:rsid w:val="000249F8"/>
    <w:rsid w:val="0005799F"/>
    <w:rsid w:val="0006182F"/>
    <w:rsid w:val="000E0BD5"/>
    <w:rsid w:val="00106F3F"/>
    <w:rsid w:val="00204B72"/>
    <w:rsid w:val="002B36A1"/>
    <w:rsid w:val="002D79D8"/>
    <w:rsid w:val="0031185A"/>
    <w:rsid w:val="0037193D"/>
    <w:rsid w:val="003A4151"/>
    <w:rsid w:val="003B4272"/>
    <w:rsid w:val="0041090A"/>
    <w:rsid w:val="004D3BF2"/>
    <w:rsid w:val="004D5219"/>
    <w:rsid w:val="0051117E"/>
    <w:rsid w:val="00511A54"/>
    <w:rsid w:val="0058443F"/>
    <w:rsid w:val="0061202A"/>
    <w:rsid w:val="00614608"/>
    <w:rsid w:val="006403C3"/>
    <w:rsid w:val="00672A27"/>
    <w:rsid w:val="00686B1F"/>
    <w:rsid w:val="006956A8"/>
    <w:rsid w:val="006F186C"/>
    <w:rsid w:val="00701370"/>
    <w:rsid w:val="00716AE7"/>
    <w:rsid w:val="00744FB0"/>
    <w:rsid w:val="007839E2"/>
    <w:rsid w:val="007F4114"/>
    <w:rsid w:val="00814869"/>
    <w:rsid w:val="008A3F45"/>
    <w:rsid w:val="008B5FCE"/>
    <w:rsid w:val="008C270F"/>
    <w:rsid w:val="008C4FEE"/>
    <w:rsid w:val="00924F14"/>
    <w:rsid w:val="00942E09"/>
    <w:rsid w:val="00A3086D"/>
    <w:rsid w:val="00A95F03"/>
    <w:rsid w:val="00B16267"/>
    <w:rsid w:val="00B91EC5"/>
    <w:rsid w:val="00B957B8"/>
    <w:rsid w:val="00BC62A8"/>
    <w:rsid w:val="00BF2703"/>
    <w:rsid w:val="00BF6E44"/>
    <w:rsid w:val="00C7174F"/>
    <w:rsid w:val="00C850A0"/>
    <w:rsid w:val="00CA6D43"/>
    <w:rsid w:val="00D005A9"/>
    <w:rsid w:val="00D517FE"/>
    <w:rsid w:val="00D659F2"/>
    <w:rsid w:val="00D815A8"/>
    <w:rsid w:val="00DD2F48"/>
    <w:rsid w:val="00E06D48"/>
    <w:rsid w:val="00E2405B"/>
    <w:rsid w:val="00E446B5"/>
    <w:rsid w:val="00E802F9"/>
    <w:rsid w:val="00EC1B37"/>
    <w:rsid w:val="00EF21D4"/>
    <w:rsid w:val="00EF70B3"/>
    <w:rsid w:val="00F0485D"/>
    <w:rsid w:val="00FA6505"/>
    <w:rsid w:val="00FB3E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B96AFA"/>
  <w15:docId w15:val="{A6BFB787-007D-48CC-B42B-64397882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4">
    <w:name w:val="4"/>
    <w:basedOn w:val="TableNormal1"/>
    <w:pPr>
      <w:spacing w:after="0" w:line="240" w:lineRule="auto"/>
    </w:pPr>
    <w:tblPr>
      <w:tblStyleRowBandSize w:val="1"/>
      <w:tblStyleColBandSize w:val="1"/>
      <w:tblCellMar>
        <w:left w:w="108" w:type="dxa"/>
        <w:right w:w="108" w:type="dxa"/>
      </w:tblCellMar>
    </w:tblPr>
  </w:style>
  <w:style w:type="table" w:customStyle="1" w:styleId="3">
    <w:name w:val="3"/>
    <w:basedOn w:val="TableNormal1"/>
    <w:pPr>
      <w:spacing w:after="0" w:line="240" w:lineRule="auto"/>
    </w:pPr>
    <w:tblPr>
      <w:tblStyleRowBandSize w:val="1"/>
      <w:tblStyleColBandSize w:val="1"/>
      <w:tblCellMar>
        <w:left w:w="108" w:type="dxa"/>
        <w:right w:w="108" w:type="dxa"/>
      </w:tblCellMar>
    </w:tblPr>
  </w:style>
  <w:style w:type="table" w:customStyle="1" w:styleId="2">
    <w:name w:val="2"/>
    <w:basedOn w:val="TableNormal1"/>
    <w:pPr>
      <w:spacing w:after="0" w:line="240" w:lineRule="auto"/>
    </w:pPr>
    <w:tblPr>
      <w:tblStyleRowBandSize w:val="1"/>
      <w:tblStyleColBandSize w:val="1"/>
      <w:tblCellMar>
        <w:left w:w="108" w:type="dxa"/>
        <w:right w:w="108"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6A5775"/>
    <w:pPr>
      <w:tabs>
        <w:tab w:val="right" w:leader="dot" w:pos="8921"/>
      </w:tabs>
      <w:spacing w:after="0" w:line="360" w:lineRule="auto"/>
      <w:ind w:left="220"/>
    </w:p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FB3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16506">
      <w:bodyDiv w:val="1"/>
      <w:marLeft w:val="0"/>
      <w:marRight w:val="0"/>
      <w:marTop w:val="0"/>
      <w:marBottom w:val="0"/>
      <w:divBdr>
        <w:top w:val="none" w:sz="0" w:space="0" w:color="auto"/>
        <w:left w:val="none" w:sz="0" w:space="0" w:color="auto"/>
        <w:bottom w:val="none" w:sz="0" w:space="0" w:color="auto"/>
        <w:right w:val="none" w:sz="0" w:space="0" w:color="auto"/>
      </w:divBdr>
    </w:div>
    <w:div w:id="128517546">
      <w:bodyDiv w:val="1"/>
      <w:marLeft w:val="0"/>
      <w:marRight w:val="0"/>
      <w:marTop w:val="0"/>
      <w:marBottom w:val="0"/>
      <w:divBdr>
        <w:top w:val="none" w:sz="0" w:space="0" w:color="auto"/>
        <w:left w:val="none" w:sz="0" w:space="0" w:color="auto"/>
        <w:bottom w:val="none" w:sz="0" w:space="0" w:color="auto"/>
        <w:right w:val="none" w:sz="0" w:space="0" w:color="auto"/>
      </w:divBdr>
    </w:div>
    <w:div w:id="708997141">
      <w:bodyDiv w:val="1"/>
      <w:marLeft w:val="0"/>
      <w:marRight w:val="0"/>
      <w:marTop w:val="0"/>
      <w:marBottom w:val="0"/>
      <w:divBdr>
        <w:top w:val="none" w:sz="0" w:space="0" w:color="auto"/>
        <w:left w:val="none" w:sz="0" w:space="0" w:color="auto"/>
        <w:bottom w:val="none" w:sz="0" w:space="0" w:color="auto"/>
        <w:right w:val="none" w:sz="0" w:space="0" w:color="auto"/>
      </w:divBdr>
    </w:div>
    <w:div w:id="829563742">
      <w:bodyDiv w:val="1"/>
      <w:marLeft w:val="0"/>
      <w:marRight w:val="0"/>
      <w:marTop w:val="0"/>
      <w:marBottom w:val="0"/>
      <w:divBdr>
        <w:top w:val="none" w:sz="0" w:space="0" w:color="auto"/>
        <w:left w:val="none" w:sz="0" w:space="0" w:color="auto"/>
        <w:bottom w:val="none" w:sz="0" w:space="0" w:color="auto"/>
        <w:right w:val="none" w:sz="0" w:space="0" w:color="auto"/>
      </w:divBdr>
    </w:div>
    <w:div w:id="834958147">
      <w:bodyDiv w:val="1"/>
      <w:marLeft w:val="0"/>
      <w:marRight w:val="0"/>
      <w:marTop w:val="0"/>
      <w:marBottom w:val="0"/>
      <w:divBdr>
        <w:top w:val="none" w:sz="0" w:space="0" w:color="auto"/>
        <w:left w:val="none" w:sz="0" w:space="0" w:color="auto"/>
        <w:bottom w:val="none" w:sz="0" w:space="0" w:color="auto"/>
        <w:right w:val="none" w:sz="0" w:space="0" w:color="auto"/>
      </w:divBdr>
    </w:div>
    <w:div w:id="1099986485">
      <w:bodyDiv w:val="1"/>
      <w:marLeft w:val="0"/>
      <w:marRight w:val="0"/>
      <w:marTop w:val="0"/>
      <w:marBottom w:val="0"/>
      <w:divBdr>
        <w:top w:val="none" w:sz="0" w:space="0" w:color="auto"/>
        <w:left w:val="none" w:sz="0" w:space="0" w:color="auto"/>
        <w:bottom w:val="none" w:sz="0" w:space="0" w:color="auto"/>
        <w:right w:val="none" w:sz="0" w:space="0" w:color="auto"/>
      </w:divBdr>
    </w:div>
    <w:div w:id="1310207102">
      <w:bodyDiv w:val="1"/>
      <w:marLeft w:val="0"/>
      <w:marRight w:val="0"/>
      <w:marTop w:val="0"/>
      <w:marBottom w:val="0"/>
      <w:divBdr>
        <w:top w:val="none" w:sz="0" w:space="0" w:color="auto"/>
        <w:left w:val="none" w:sz="0" w:space="0" w:color="auto"/>
        <w:bottom w:val="none" w:sz="0" w:space="0" w:color="auto"/>
        <w:right w:val="none" w:sz="0" w:space="0" w:color="auto"/>
      </w:divBdr>
    </w:div>
    <w:div w:id="1554803437">
      <w:bodyDiv w:val="1"/>
      <w:marLeft w:val="0"/>
      <w:marRight w:val="0"/>
      <w:marTop w:val="0"/>
      <w:marBottom w:val="0"/>
      <w:divBdr>
        <w:top w:val="none" w:sz="0" w:space="0" w:color="auto"/>
        <w:left w:val="none" w:sz="0" w:space="0" w:color="auto"/>
        <w:bottom w:val="none" w:sz="0" w:space="0" w:color="auto"/>
        <w:right w:val="none" w:sz="0" w:space="0" w:color="auto"/>
      </w:divBdr>
    </w:div>
    <w:div w:id="1648582411">
      <w:bodyDiv w:val="1"/>
      <w:marLeft w:val="0"/>
      <w:marRight w:val="0"/>
      <w:marTop w:val="0"/>
      <w:marBottom w:val="0"/>
      <w:divBdr>
        <w:top w:val="none" w:sz="0" w:space="0" w:color="auto"/>
        <w:left w:val="none" w:sz="0" w:space="0" w:color="auto"/>
        <w:bottom w:val="none" w:sz="0" w:space="0" w:color="auto"/>
        <w:right w:val="none" w:sz="0" w:space="0" w:color="auto"/>
      </w:divBdr>
    </w:div>
    <w:div w:id="1864589295">
      <w:bodyDiv w:val="1"/>
      <w:marLeft w:val="0"/>
      <w:marRight w:val="0"/>
      <w:marTop w:val="0"/>
      <w:marBottom w:val="0"/>
      <w:divBdr>
        <w:top w:val="none" w:sz="0" w:space="0" w:color="auto"/>
        <w:left w:val="none" w:sz="0" w:space="0" w:color="auto"/>
        <w:bottom w:val="none" w:sz="0" w:space="0" w:color="auto"/>
        <w:right w:val="none" w:sz="0" w:space="0" w:color="auto"/>
      </w:divBdr>
    </w:div>
    <w:div w:id="1947500187">
      <w:bodyDiv w:val="1"/>
      <w:marLeft w:val="0"/>
      <w:marRight w:val="0"/>
      <w:marTop w:val="0"/>
      <w:marBottom w:val="0"/>
      <w:divBdr>
        <w:top w:val="none" w:sz="0" w:space="0" w:color="auto"/>
        <w:left w:val="none" w:sz="0" w:space="0" w:color="auto"/>
        <w:bottom w:val="none" w:sz="0" w:space="0" w:color="auto"/>
        <w:right w:val="none" w:sz="0" w:space="0" w:color="auto"/>
      </w:divBdr>
    </w:div>
    <w:div w:id="2012173857">
      <w:bodyDiv w:val="1"/>
      <w:marLeft w:val="0"/>
      <w:marRight w:val="0"/>
      <w:marTop w:val="0"/>
      <w:marBottom w:val="0"/>
      <w:divBdr>
        <w:top w:val="none" w:sz="0" w:space="0" w:color="auto"/>
        <w:left w:val="none" w:sz="0" w:space="0" w:color="auto"/>
        <w:bottom w:val="none" w:sz="0" w:space="0" w:color="auto"/>
        <w:right w:val="none" w:sz="0" w:space="0" w:color="auto"/>
      </w:divBdr>
    </w:div>
    <w:div w:id="2012174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Kd/iYokphHER5EF8es5zj59DLg==">CgMxLjAyDmguOHhiYW41emczMDRvMg5oLnlkcmh0bW52djhpdjIOaC4xdjhsajVhMXR4aDkyDmguZ29rcG9meXN3dWk5Mg5oLjM3aXl4OGJrZGJ5dzINaC5ibmw0M3IxNGE0NDIOaC5kZDF3NDhwMG9yZTQyDmgubzIzY2ZxdDhnYjFnMgloLjMwajB6bGwyDmgucTJrM2k3Z2c3YXp3Mg5oLm1lejVzYXYwNDdvbjIOaC54ZXg3bGszNnprcTQyDmguaXJ1d3YxNHA5eXRoMg5oLmp5ZGo4eXlucWFsbzIOaC41Y3I1dHlmdnFpZjI4AHIhMTlVblV1MU53MG5naFZmczUwZGl5MzVxMW5IT000bE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6356</Words>
  <Characters>34961</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ROX</cp:lastModifiedBy>
  <cp:revision>4</cp:revision>
  <cp:lastPrinted>2026-07-10T16:04:00Z</cp:lastPrinted>
  <dcterms:created xsi:type="dcterms:W3CDTF">2026-07-10T16:04:00Z</dcterms:created>
  <dcterms:modified xsi:type="dcterms:W3CDTF">2026-08-10T23:07:00Z</dcterms:modified>
</cp:coreProperties>
</file>