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a cinco de febrero de dos mil veintiséis.</w:t>
      </w:r>
    </w:p>
    <w:p w:rsidR="00000000" w:rsidDel="00000000" w:rsidP="00000000" w:rsidRDefault="00000000" w:rsidRPr="00000000" w14:paraId="0000000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3">
      <w:pPr>
        <w:spacing w:line="360" w:lineRule="auto"/>
        <w:jc w:val="both"/>
        <w:rPr>
          <w:rFonts w:ascii="Palatino Linotype" w:cs="Palatino Linotype" w:eastAsia="Palatino Linotype" w:hAnsi="Palatino Linotype"/>
          <w:sz w:val="22"/>
          <w:szCs w:val="22"/>
        </w:rPr>
      </w:pPr>
      <w:bookmarkStart w:colFirst="0" w:colLast="0" w:name="_heading=h.7h67hmqeeil4" w:id="0"/>
      <w:bookmarkEnd w:id="0"/>
      <w:r w:rsidDel="00000000" w:rsidR="00000000" w:rsidRPr="00000000">
        <w:rPr>
          <w:rFonts w:ascii="Palatino Linotype" w:cs="Palatino Linotype" w:eastAsia="Palatino Linotype" w:hAnsi="Palatino Linotype"/>
          <w:b w:val="1"/>
          <w:bCs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formado con motivo del recurso de revisión </w:t>
      </w:r>
      <w:r w:rsidDel="00000000" w:rsidR="00000000" w:rsidRPr="00000000">
        <w:rPr>
          <w:rFonts w:ascii="Palatino Linotype" w:cs="Palatino Linotype" w:eastAsia="Palatino Linotype" w:hAnsi="Palatino Linotype"/>
          <w:b w:val="1"/>
          <w:bCs w:val="1"/>
          <w:sz w:val="22"/>
          <w:szCs w:val="22"/>
          <w:rtl w:val="0"/>
        </w:rPr>
        <w:t xml:space="preserve">07529/INFOEM/IP/RR/2025</w:t>
      </w:r>
      <w:r w:rsidDel="00000000" w:rsidR="00000000" w:rsidRPr="00000000">
        <w:rPr>
          <w:rFonts w:ascii="Palatino Linotype" w:cs="Palatino Linotype" w:eastAsia="Palatino Linotype" w:hAnsi="Palatino Linotype"/>
          <w:sz w:val="22"/>
          <w:szCs w:val="22"/>
          <w:rtl w:val="0"/>
        </w:rPr>
        <w:t xml:space="preserve">, por</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interpuesto por</w:t>
      </w:r>
      <w:r w:rsidDel="00000000" w:rsidR="00000000" w:rsidRPr="00000000">
        <w:rPr>
          <w:rFonts w:ascii="Palatino Linotype" w:cs="Palatino Linotype" w:eastAsia="Palatino Linotype" w:hAnsi="Palatino Linotype"/>
          <w:b w:val="1"/>
          <w:bCs w:val="1"/>
          <w:sz w:val="22"/>
          <w:szCs w:val="22"/>
          <w:rtl w:val="0"/>
        </w:rPr>
        <w:t xml:space="preserve"> XXXXX XXXXXXXX XXXXXXXXX, </w:t>
      </w:r>
      <w:r w:rsidDel="00000000" w:rsidR="00000000" w:rsidRPr="00000000">
        <w:rPr>
          <w:rFonts w:ascii="Palatino Linotype" w:cs="Palatino Linotype" w:eastAsia="Palatino Linotype" w:hAnsi="Palatino Linotype"/>
          <w:sz w:val="22"/>
          <w:szCs w:val="22"/>
          <w:rtl w:val="0"/>
        </w:rPr>
        <w:t xml:space="preserve">en lo sucesivo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contra de la respuesta a su solicitud por parte del </w:t>
      </w:r>
      <w:r w:rsidDel="00000000" w:rsidR="00000000" w:rsidRPr="00000000">
        <w:rPr>
          <w:rFonts w:ascii="Palatino Linotype" w:cs="Palatino Linotype" w:eastAsia="Palatino Linotype" w:hAnsi="Palatino Linotype"/>
          <w:b w:val="1"/>
          <w:bCs w:val="1"/>
          <w:sz w:val="22"/>
          <w:szCs w:val="22"/>
          <w:rtl w:val="0"/>
        </w:rPr>
        <w:t xml:space="preserve">Ayuntamiento de Nicolás Romero,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w:t>
      </w:r>
    </w:p>
    <w:p w:rsidR="00000000" w:rsidDel="00000000" w:rsidP="00000000" w:rsidRDefault="00000000" w:rsidRPr="00000000" w14:paraId="0000000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5">
      <w:pPr>
        <w:spacing w:line="360" w:lineRule="auto"/>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I. A N T E C E D E N T E S</w:t>
      </w:r>
    </w:p>
    <w:p w:rsidR="00000000" w:rsidDel="00000000" w:rsidP="00000000" w:rsidRDefault="00000000" w:rsidRPr="00000000" w14:paraId="00000006">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0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1. Solicitud de acceso a la información.</w:t>
      </w:r>
      <w:r w:rsidDel="00000000" w:rsidR="00000000" w:rsidRPr="00000000">
        <w:rPr>
          <w:rFonts w:ascii="Palatino Linotype" w:cs="Palatino Linotype" w:eastAsia="Palatino Linotype" w:hAnsi="Palatino Linotype"/>
          <w:sz w:val="22"/>
          <w:szCs w:val="22"/>
          <w:rtl w:val="0"/>
        </w:rPr>
        <w:t xml:space="preserve"> Con fecha </w:t>
      </w:r>
      <w:r w:rsidDel="00000000" w:rsidR="00000000" w:rsidRPr="00000000">
        <w:rPr>
          <w:rFonts w:ascii="Palatino Linotype" w:cs="Palatino Linotype" w:eastAsia="Palatino Linotype" w:hAnsi="Palatino Linotype"/>
          <w:b w:val="1"/>
          <w:bCs w:val="1"/>
          <w:sz w:val="22"/>
          <w:szCs w:val="22"/>
          <w:rtl w:val="0"/>
        </w:rPr>
        <w:t xml:space="preserve">veintinueve de mayo de dos mil veinticinco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formuló una solicitud través del Sistema de Acceso a la Información Mexiquense, en lo subsecuente el </w:t>
      </w:r>
      <w:r w:rsidDel="00000000" w:rsidR="00000000" w:rsidRPr="00000000">
        <w:rPr>
          <w:rFonts w:ascii="Palatino Linotype" w:cs="Palatino Linotype" w:eastAsia="Palatino Linotype" w:hAnsi="Palatino Linotype"/>
          <w:b w:val="1"/>
          <w:bCs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ante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bCs w:val="1"/>
          <w:sz w:val="22"/>
          <w:szCs w:val="22"/>
          <w:rtl w:val="0"/>
        </w:rPr>
        <w:t xml:space="preserve"> 00171/NICOROM/IP/2025, </w:t>
      </w:r>
      <w:r w:rsidDel="00000000" w:rsidR="00000000" w:rsidRPr="00000000">
        <w:rPr>
          <w:rFonts w:ascii="Palatino Linotype" w:cs="Palatino Linotype" w:eastAsia="Palatino Linotype" w:hAnsi="Palatino Linotype"/>
          <w:sz w:val="22"/>
          <w:szCs w:val="22"/>
          <w:rtl w:val="0"/>
        </w:rPr>
        <w:t xml:space="preserve">mediante la cual requirió la información siguiente:</w:t>
      </w:r>
    </w:p>
    <w:p w:rsidR="00000000" w:rsidDel="00000000" w:rsidP="00000000" w:rsidRDefault="00000000" w:rsidRPr="00000000" w14:paraId="00000008">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09">
      <w:pPr>
        <w:spacing w:line="276" w:lineRule="auto"/>
        <w:ind w:left="851" w:right="850" w:firstLine="0"/>
        <w:jc w:val="both"/>
        <w:rPr>
          <w:rFonts w:ascii="Palatino Linotype" w:cs="Palatino Linotype" w:eastAsia="Palatino Linotype" w:hAnsi="Palatino Linotype"/>
          <w:i w:val="1"/>
          <w:iCs w:val="1"/>
          <w:sz w:val="22"/>
          <w:szCs w:val="22"/>
        </w:rPr>
      </w:pPr>
      <w:bookmarkStart w:colFirst="0" w:colLast="0" w:name="_heading=h.gjdgxs" w:id="1"/>
      <w:bookmarkEnd w:id="1"/>
      <w:r w:rsidDel="00000000" w:rsidR="00000000" w:rsidRPr="00000000">
        <w:rPr>
          <w:rFonts w:ascii="Palatino Linotype" w:cs="Palatino Linotype" w:eastAsia="Palatino Linotype" w:hAnsi="Palatino Linotype"/>
          <w:i w:val="1"/>
          <w:iCs w:val="1"/>
          <w:sz w:val="22"/>
          <w:szCs w:val="22"/>
          <w:rtl w:val="0"/>
        </w:rPr>
        <w:t xml:space="preserve">“SOLICITO EL EXPEDIENTE TECNICO Y ADMINISTRATIVO, ASI COMO LOS PAGOS QUE SE REALIZARON POR LA COMPRA DEL PREDIO QUE SE ENCUNTRA A UN COSTADO DE LA PLAZA TOWN CENTER, DONDE SE PROYECTO LA CONSTRUCICON DE UNA CLINICA DE ESPECILIDADES IMSS. TAMBIEN SOLICITO LOS OFICIOS QUE EL IMSS EMITE AL AYUNTAMIENTO DE NICOLAS ROMERO, DONDE EXPRESA QUE NO ES POSIBLE LA INVERSION EN EL PREDIO POR NO CONTAR CON CERTEZA JURIDICA, ASI COMO TODO EL SEGUIMIENTO Y RELACION DE OFICIOS Y EXPEDIENTES QUE TENGAN QUE VER Y OBRAR POR EL CITADO TEMA DE LA CLINICA.” (Sic)</w:t>
      </w:r>
    </w:p>
    <w:p w:rsidR="00000000" w:rsidDel="00000000" w:rsidP="00000000" w:rsidRDefault="00000000" w:rsidRPr="00000000" w14:paraId="0000000A">
      <w:pPr>
        <w:spacing w:line="360" w:lineRule="auto"/>
        <w:ind w:right="902"/>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0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Modalidad de Entrega:</w:t>
      </w:r>
      <w:r w:rsidDel="00000000" w:rsidR="00000000" w:rsidRPr="00000000">
        <w:rPr>
          <w:rFonts w:ascii="Palatino Linotype" w:cs="Palatino Linotype" w:eastAsia="Palatino Linotype" w:hAnsi="Palatino Linotype"/>
          <w:sz w:val="22"/>
          <w:szCs w:val="22"/>
          <w:rtl w:val="0"/>
        </w:rPr>
        <w:t xml:space="preserve"> A través de SAIMEX. </w:t>
      </w:r>
    </w:p>
    <w:p w:rsidR="00000000" w:rsidDel="00000000" w:rsidP="00000000" w:rsidRDefault="00000000" w:rsidRPr="00000000" w14:paraId="0000000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D">
      <w:pPr>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2. Respuesta.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bCs w:val="1"/>
          <w:sz w:val="22"/>
          <w:szCs w:val="22"/>
          <w:rtl w:val="0"/>
        </w:rPr>
        <w:t xml:space="preserve">diecinueve de junio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envió su respuesta a la solicitud de acceso a la información a través de SAIMEX, sustancialmente en los términos siguientes:  </w:t>
      </w:r>
      <w:r w:rsidDel="00000000" w:rsidR="00000000" w:rsidRPr="00000000">
        <w:rPr>
          <w:rtl w:val="0"/>
        </w:rPr>
      </w:r>
    </w:p>
    <w:p w:rsidR="00000000" w:rsidDel="00000000" w:rsidP="00000000" w:rsidRDefault="00000000" w:rsidRPr="00000000" w14:paraId="0000000E">
      <w:pPr>
        <w:spacing w:line="360" w:lineRule="auto"/>
        <w:ind w:left="567" w:right="902"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0F">
      <w:pPr>
        <w:spacing w:line="276" w:lineRule="auto"/>
        <w:ind w:left="851" w:right="99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0">
      <w:pPr>
        <w:spacing w:line="276" w:lineRule="auto"/>
        <w:ind w:left="851" w:right="99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Estimado/a Particular, adjunto encontrara respuesta a su Solicitud, gracias por hacer uso de su Derecho Humano de Acceso a la Información Pública.</w:t>
      </w:r>
    </w:p>
    <w:p w:rsidR="00000000" w:rsidDel="00000000" w:rsidP="00000000" w:rsidRDefault="00000000" w:rsidRPr="00000000" w14:paraId="00000011">
      <w:pPr>
        <w:spacing w:line="276" w:lineRule="auto"/>
        <w:ind w:left="851" w:right="99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ATENTAMENTE</w:t>
      </w:r>
    </w:p>
    <w:p w:rsidR="00000000" w:rsidDel="00000000" w:rsidP="00000000" w:rsidRDefault="00000000" w:rsidRPr="00000000" w14:paraId="00000012">
      <w:pPr>
        <w:spacing w:line="276" w:lineRule="auto"/>
        <w:ind w:left="851" w:right="99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LCDA OLIVIA REYES CABALLERO” (Sic)</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adjuntó el documento electrónico siguiente:</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851" w:right="850"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000000"/>
          <w:sz w:val="22"/>
          <w:szCs w:val="22"/>
          <w:u w:val="none"/>
          <w:shd w:fill="auto" w:val="clear"/>
          <w:vertAlign w:val="baseline"/>
          <w:rtl w:val="0"/>
        </w:rPr>
        <w:t xml:space="preserve">Respuesta Sol 171.pdf</w:t>
      </w: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Oficio número NR/DIG/UT/USI/226/2025 de fecha diecinueve de junio de dos mil veinticinco, suscrito por la Titular de la Unidad de Transparencia, en el que informó la entrega de la respuesta de la Tesorería Municipal a través del oficio número NR/TM/SbE/1058/2025.</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851" w:right="850"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Oficio número NR/TM/SbE/1058/2025 del dieciocho de junio de dos mil veinticinco, suscrito por el Tesorero Municipal, en el que informó que el peticionario se limita a exponer que requiere los pagos que se realizaron por la compra del predio que se encuentra a un costado del Town Center, sin precisar qué costado (norte, sur, oriente o poniente), tampoco precisa la ubicación exacta o clave catastral; para estar en condiciones de identificar el predio al que hace mención y atender su petición en tiempo y forma.</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850"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850"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Con ello en mente, citó el numeral 155, fracciones III y IV, de la Ley de Transparencia y Acceso a la Información Pública del Estado de México y Municipios, del que se aprecia que, para dar atención a la solicitud de información, es necesario que el interesado describa la información que requiere y proporcione mayores datos.</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3. 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veinte de junio de dos mil veinticinco,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interpuso el recurso de revisión a través de </w:t>
      </w:r>
      <w:r w:rsidDel="00000000" w:rsidR="00000000" w:rsidRPr="00000000">
        <w:rPr>
          <w:rFonts w:ascii="Palatino Linotype" w:cs="Palatino Linotype" w:eastAsia="Palatino Linotype" w:hAnsi="Palatino Linotype"/>
          <w:b w:val="1"/>
          <w:bCs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en donde se manifestó de la siguiente manera:</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D">
      <w:pPr>
        <w:numPr>
          <w:ilvl w:val="0"/>
          <w:numId w:val="2"/>
        </w:numPr>
        <w:pBdr>
          <w:top w:space="0" w:sz="0" w:val="nil"/>
          <w:left w:space="0" w:sz="0" w:val="nil"/>
          <w:bottom w:space="0" w:sz="0" w:val="nil"/>
          <w:right w:space="0" w:sz="0" w:val="nil"/>
          <w:between w:space="0" w:sz="0" w:val="nil"/>
        </w:pBdr>
        <w:tabs>
          <w:tab w:val="left" w:leader="none" w:pos="1134"/>
        </w:tabs>
        <w:spacing w:line="360" w:lineRule="auto"/>
        <w:ind w:left="851" w:right="850"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Acto impugnado: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851" w:right="850" w:firstLine="0"/>
        <w:jc w:val="both"/>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“La información presentada no es la requerida” (Sic) </w:t>
      </w:r>
    </w:p>
    <w:p w:rsidR="00000000" w:rsidDel="00000000" w:rsidP="00000000" w:rsidRDefault="00000000" w:rsidRPr="00000000" w14:paraId="0000001F">
      <w:pPr>
        <w:tabs>
          <w:tab w:val="left" w:leader="none" w:pos="1134"/>
        </w:tabs>
        <w:spacing w:line="360"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20">
      <w:pPr>
        <w:numPr>
          <w:ilvl w:val="0"/>
          <w:numId w:val="2"/>
        </w:numPr>
        <w:pBdr>
          <w:top w:space="0" w:sz="0" w:val="nil"/>
          <w:left w:space="0" w:sz="0" w:val="nil"/>
          <w:bottom w:space="0" w:sz="0" w:val="nil"/>
          <w:right w:space="0" w:sz="0" w:val="nil"/>
          <w:between w:space="0" w:sz="0" w:val="nil"/>
        </w:pBdr>
        <w:tabs>
          <w:tab w:val="left" w:leader="none" w:pos="1134"/>
        </w:tabs>
        <w:spacing w:line="360" w:lineRule="auto"/>
        <w:ind w:left="851" w:right="85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Razones o motivos de inconformidad</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leader="none" w:pos="1134"/>
        </w:tabs>
        <w:spacing w:line="276" w:lineRule="auto"/>
        <w:ind w:left="851" w:right="850" w:firstLine="0"/>
        <w:jc w:val="both"/>
        <w:rPr>
          <w:rFonts w:ascii="Palatino Linotype" w:cs="Palatino Linotype" w:eastAsia="Palatino Linotype" w:hAnsi="Palatino Linotype"/>
          <w:i w:val="1"/>
          <w:iCs w:val="1"/>
          <w:sz w:val="22"/>
          <w:szCs w:val="22"/>
        </w:rPr>
      </w:pPr>
      <w:bookmarkStart w:colFirst="0" w:colLast="0" w:name="_heading=h.30j0zll" w:id="2"/>
      <w:bookmarkEnd w:id="2"/>
      <w:r w:rsidDel="00000000" w:rsidR="00000000" w:rsidRPr="00000000">
        <w:rPr>
          <w:rFonts w:ascii="Palatino Linotype" w:cs="Palatino Linotype" w:eastAsia="Palatino Linotype" w:hAnsi="Palatino Linotype"/>
          <w:i w:val="1"/>
          <w:iCs w:val="1"/>
          <w:sz w:val="22"/>
          <w:szCs w:val="22"/>
          <w:rtl w:val="0"/>
        </w:rPr>
        <w:t xml:space="preserve">“La información presentada no es la requerida, argumentando no se especificó de manera más clara solicitud, toda vez que se solicitó todo lo relacionado al predio que se compró a un costado de la plaza Town Center donde se "PROYECTO UNA CLINICA DE ESPECIALIDADES DEL IMSS", haciendo hincapié que fue claro precisar que los datos de requiero son todos los relacionados al predio donde se edificara el proyecto de la clínica de especialidades IMSS, hacer mención que si la solicitud no fue clara, la unidad de transparencia tuvo determinados días para pedir aclaración de la solicitud y no fue así, por lo que la se toma como evasiva u ocultan la información para su acceso, toda vez que es pública.” (Sic)</w:t>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leader="none" w:pos="1134"/>
        </w:tabs>
        <w:spacing w:line="360" w:lineRule="auto"/>
        <w:ind w:right="85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1134"/>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Adjuntando al recurso de revisión el archivo electrónico denominado</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“Respuesta Sol 171 .pdf”</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mismo que contiene la respuesta emitida por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360" w:lineRule="auto"/>
        <w:ind w:left="720" w:right="902"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25">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4. 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bCs w:val="1"/>
          <w:sz w:val="22"/>
          <w:szCs w:val="22"/>
          <w:rtl w:val="0"/>
        </w:rPr>
        <w:t xml:space="preserve">Guadalupe Ramírez Peña, </w:t>
      </w:r>
      <w:r w:rsidDel="00000000" w:rsidR="00000000" w:rsidRPr="00000000">
        <w:rPr>
          <w:rFonts w:ascii="Palatino Linotype" w:cs="Palatino Linotype" w:eastAsia="Palatino Linotype" w:hAnsi="Palatino Linotype"/>
          <w:sz w:val="22"/>
          <w:szCs w:val="22"/>
          <w:rtl w:val="0"/>
        </w:rPr>
        <w:t xml:space="preserve">a efecto de que analizara sobre su admisión o su desechamiento.</w:t>
      </w:r>
    </w:p>
    <w:p w:rsidR="00000000" w:rsidDel="00000000" w:rsidP="00000000" w:rsidRDefault="00000000" w:rsidRPr="00000000" w14:paraId="00000026">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5. Admisión del Recurso de revisión.</w:t>
      </w:r>
      <w:r w:rsidDel="00000000" w:rsidR="00000000" w:rsidRPr="00000000">
        <w:rPr>
          <w:rFonts w:ascii="Palatino Linotype" w:cs="Palatino Linotype" w:eastAsia="Palatino Linotype" w:hAnsi="Palatino Linotype"/>
          <w:sz w:val="22"/>
          <w:szCs w:val="22"/>
          <w:rtl w:val="0"/>
        </w:rPr>
        <w:t xml:space="preserve"> Con fecha</w:t>
      </w:r>
      <w:r w:rsidDel="00000000" w:rsidR="00000000" w:rsidRPr="00000000">
        <w:rPr>
          <w:rFonts w:ascii="Palatino Linotype" w:cs="Palatino Linotype" w:eastAsia="Palatino Linotype" w:hAnsi="Palatino Linotype"/>
          <w:b w:val="1"/>
          <w:bCs w:val="1"/>
          <w:sz w:val="22"/>
          <w:szCs w:val="22"/>
          <w:rtl w:val="0"/>
        </w:rPr>
        <w:t xml:space="preserve"> veinticuatro de junio de dos mil veinticinco, </w:t>
      </w:r>
      <w:r w:rsidDel="00000000" w:rsidR="00000000" w:rsidRPr="00000000">
        <w:rPr>
          <w:rFonts w:ascii="Palatino Linotype" w:cs="Palatino Linotype" w:eastAsia="Palatino Linotype" w:hAnsi="Palatino Linotype"/>
          <w:sz w:val="22"/>
          <w:szCs w:val="22"/>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presentara su informe justificado.</w:t>
      </w:r>
    </w:p>
    <w:p w:rsidR="00000000" w:rsidDel="00000000" w:rsidP="00000000" w:rsidRDefault="00000000" w:rsidRPr="00000000" w14:paraId="0000002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tabs>
          <w:tab w:val="left" w:leader="none" w:pos="709"/>
        </w:tabs>
        <w:spacing w:line="360" w:lineRule="auto"/>
        <w:jc w:val="both"/>
        <w:rPr>
          <w:rFonts w:ascii="Palatino Linotype" w:cs="Palatino Linotype" w:eastAsia="Palatino Linotype" w:hAnsi="Palatino Linotype"/>
          <w:sz w:val="22"/>
          <w:szCs w:val="22"/>
        </w:rPr>
      </w:pPr>
      <w:bookmarkStart w:colFirst="0" w:colLast="0" w:name="_heading=h.2s8eyo1" w:id="3"/>
      <w:bookmarkEnd w:id="3"/>
      <w:r w:rsidDel="00000000" w:rsidR="00000000" w:rsidRPr="00000000">
        <w:rPr>
          <w:rFonts w:ascii="Palatino Linotype" w:cs="Palatino Linotype" w:eastAsia="Palatino Linotype" w:hAnsi="Palatino Linotype"/>
          <w:b w:val="1"/>
          <w:bCs w:val="1"/>
          <w:sz w:val="22"/>
          <w:szCs w:val="22"/>
          <w:rtl w:val="0"/>
        </w:rPr>
        <w:t xml:space="preserve">6. Manifestaciones</w:t>
      </w:r>
      <w:r w:rsidDel="00000000" w:rsidR="00000000" w:rsidRPr="00000000">
        <w:rPr>
          <w:rFonts w:ascii="Palatino Linotype" w:cs="Palatino Linotype" w:eastAsia="Palatino Linotype" w:hAnsi="Palatino Linotype"/>
          <w:sz w:val="22"/>
          <w:szCs w:val="22"/>
          <w:rtl w:val="0"/>
        </w:rPr>
        <w:t xml:space="preserve">. Las partes fueron omisas en rendir manifestaciones.</w:t>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760720" cy="1323975"/>
            <wp:effectExtent b="0" l="0" r="0" t="0"/>
            <wp:docPr id="9"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760720" cy="1323975"/>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tabs>
          <w:tab w:val="left" w:leader="none" w:pos="851"/>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7. Cierre de instrucción. </w:t>
      </w:r>
      <w:r w:rsidDel="00000000" w:rsidR="00000000" w:rsidRPr="00000000">
        <w:rPr>
          <w:rFonts w:ascii="Palatino Linotype" w:cs="Palatino Linotype" w:eastAsia="Palatino Linotype" w:hAnsi="Palatino Linotype"/>
          <w:sz w:val="22"/>
          <w:szCs w:val="22"/>
          <w:rtl w:val="0"/>
        </w:rPr>
        <w:t xml:space="preserve">Una vez transcurrido el periodo otorgado a las partes para realizar sus manifestaciones y no habiendo documentos que integrar al expediente, con fecha de</w:t>
      </w:r>
      <w:r w:rsidDel="00000000" w:rsidR="00000000" w:rsidRPr="00000000">
        <w:rPr>
          <w:rFonts w:ascii="Palatino Linotype" w:cs="Palatino Linotype" w:eastAsia="Palatino Linotype" w:hAnsi="Palatino Linotype"/>
          <w:b w:val="1"/>
          <w:bCs w:val="1"/>
          <w:sz w:val="22"/>
          <w:szCs w:val="22"/>
          <w:rtl w:val="0"/>
        </w:rPr>
        <w:t xml:space="preserve"> veintidós de enero de dos mil veintiséis, </w:t>
      </w:r>
      <w:r w:rsidDel="00000000" w:rsidR="00000000" w:rsidRPr="00000000">
        <w:rPr>
          <w:rFonts w:ascii="Palatino Linotype" w:cs="Palatino Linotype" w:eastAsia="Palatino Linotype" w:hAnsi="Palatino Linotype"/>
          <w:sz w:val="22"/>
          <w:szCs w:val="22"/>
          <w:rtl w:val="0"/>
        </w:rPr>
        <w:t xml:space="preserve">la Comisionada Ponente determinó el cierre de instrucción en términos de la fracción VI del artículo 185 de la Ley de Transparencia y Acceso a la Información Pública del Estado de México y Municipios. </w:t>
      </w:r>
    </w:p>
    <w:p w:rsidR="00000000" w:rsidDel="00000000" w:rsidP="00000000" w:rsidRDefault="00000000" w:rsidRPr="00000000" w14:paraId="0000002D">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2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8. Ampliación del término para resolver</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veintidós de enero de dos mil veintiséis</w:t>
      </w:r>
      <w:r w:rsidDel="00000000" w:rsidR="00000000" w:rsidRPr="00000000">
        <w:rPr>
          <w:rFonts w:ascii="Palatino Linotype" w:cs="Palatino Linotype" w:eastAsia="Palatino Linotype" w:hAnsi="Palatino Linotype"/>
          <w:sz w:val="22"/>
          <w:szCs w:val="22"/>
          <w:rtl w:val="0"/>
        </w:rPr>
        <w:t xml:space="preserve">, se amplió el término para resolver el recurso de revisión en términos del artículo 181 párrafo tercero de la Ley de Transparencia y Acceso a la Información Pública del Estado de México y Municipios.</w:t>
      </w:r>
    </w:p>
    <w:p w:rsidR="00000000" w:rsidDel="00000000" w:rsidP="00000000" w:rsidRDefault="00000000" w:rsidRPr="00000000" w14:paraId="0000002F">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3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3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es menester precisar que si bien se ha excedido el plazo para resolver el presente medio de impugnación, de conformidad con la ley de la materia, el plazo para emitir la resolución se encuentra ju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3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3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3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excepcionalmente, si un asunto es resuelto con posterioridad a los plazos señalados por la norma debe analizarse la razonabilidad del tiempo necesario para su resolución atentos a los siguientes criterios:</w:t>
      </w:r>
    </w:p>
    <w:p w:rsidR="00000000" w:rsidDel="00000000" w:rsidP="00000000" w:rsidRDefault="00000000" w:rsidRPr="00000000" w14:paraId="00000039">
      <w:pPr>
        <w:spacing w:line="360" w:lineRule="auto"/>
        <w:jc w:val="both"/>
        <w:rPr>
          <w:rFonts w:ascii="Palatino Linotype" w:cs="Palatino Linotype" w:eastAsia="Palatino Linotype" w:hAnsi="Palatino Linotype"/>
          <w:strike w:val="1"/>
          <w:sz w:val="22"/>
          <w:szCs w:val="22"/>
        </w:rPr>
      </w:pPr>
      <w:r w:rsidDel="00000000" w:rsidR="00000000" w:rsidRPr="00000000">
        <w:rPr>
          <w:rtl w:val="0"/>
        </w:rPr>
      </w:r>
    </w:p>
    <w:p w:rsidR="00000000" w:rsidDel="00000000" w:rsidP="00000000" w:rsidRDefault="00000000" w:rsidRPr="00000000" w14:paraId="0000003A">
      <w:pPr>
        <w:numPr>
          <w:ilvl w:val="0"/>
          <w:numId w:val="3"/>
        </w:numPr>
        <w:tabs>
          <w:tab w:val="left" w:leader="none" w:pos="993"/>
        </w:tabs>
        <w:spacing w:line="360"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Complejidad del Asunto:</w:t>
      </w:r>
      <w:r w:rsidDel="00000000" w:rsidR="00000000" w:rsidRPr="00000000">
        <w:rPr>
          <w:rFonts w:ascii="Palatino Linotype" w:cs="Palatino Linotype" w:eastAsia="Palatino Linotype" w:hAnsi="Palatino Linotype"/>
          <w:sz w:val="22"/>
          <w:szCs w:val="22"/>
          <w:rtl w:val="0"/>
        </w:rPr>
        <w:t xml:space="preserve"> La complejidad de la prueba, la pluralidad de sujetos procesales, el tiempo transcurrido, las características y contexto del recurso. </w:t>
      </w:r>
    </w:p>
    <w:p w:rsidR="00000000" w:rsidDel="00000000" w:rsidP="00000000" w:rsidRDefault="00000000" w:rsidRPr="00000000" w14:paraId="0000003B">
      <w:pPr>
        <w:numPr>
          <w:ilvl w:val="0"/>
          <w:numId w:val="3"/>
        </w:numPr>
        <w:tabs>
          <w:tab w:val="left" w:leader="none" w:pos="993"/>
        </w:tabs>
        <w:spacing w:line="360"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Actividad Procesal del interesado</w:t>
      </w:r>
      <w:r w:rsidDel="00000000" w:rsidR="00000000" w:rsidRPr="00000000">
        <w:rPr>
          <w:rFonts w:ascii="Palatino Linotype" w:cs="Palatino Linotype" w:eastAsia="Palatino Linotype" w:hAnsi="Palatino Linotype"/>
          <w:sz w:val="22"/>
          <w:szCs w:val="22"/>
          <w:rtl w:val="0"/>
        </w:rPr>
        <w:t xml:space="preserve">. Acciones u omisiones del interesado.</w:t>
      </w:r>
    </w:p>
    <w:p w:rsidR="00000000" w:rsidDel="00000000" w:rsidP="00000000" w:rsidRDefault="00000000" w:rsidRPr="00000000" w14:paraId="0000003C">
      <w:pPr>
        <w:numPr>
          <w:ilvl w:val="0"/>
          <w:numId w:val="3"/>
        </w:numPr>
        <w:tabs>
          <w:tab w:val="left" w:leader="none" w:pos="993"/>
        </w:tabs>
        <w:spacing w:line="360"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Conducta de la Autoridad:</w:t>
      </w:r>
      <w:r w:rsidDel="00000000" w:rsidR="00000000" w:rsidRPr="00000000">
        <w:rPr>
          <w:rFonts w:ascii="Palatino Linotype" w:cs="Palatino Linotype" w:eastAsia="Palatino Linotype" w:hAnsi="Palatino Linotype"/>
          <w:sz w:val="22"/>
          <w:szCs w:val="22"/>
          <w:rtl w:val="0"/>
        </w:rPr>
        <w:t xml:space="preserve"> Las Acciones u omisiones realizadas en el procedimiento. Así como si la autoridad actuó con la debida diligencia.</w:t>
      </w:r>
    </w:p>
    <w:p w:rsidR="00000000" w:rsidDel="00000000" w:rsidP="00000000" w:rsidRDefault="00000000" w:rsidRPr="00000000" w14:paraId="0000003D">
      <w:pPr>
        <w:numPr>
          <w:ilvl w:val="0"/>
          <w:numId w:val="3"/>
        </w:numPr>
        <w:tabs>
          <w:tab w:val="left" w:leader="none" w:pos="993"/>
        </w:tabs>
        <w:spacing w:line="360"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La afectación generada en la situación jurídica de la persona involucrada en el proceso:</w:t>
      </w:r>
      <w:r w:rsidDel="00000000" w:rsidR="00000000" w:rsidRPr="00000000">
        <w:rPr>
          <w:rFonts w:ascii="Palatino Linotype" w:cs="Palatino Linotype" w:eastAsia="Palatino Linotype" w:hAnsi="Palatino Linotype"/>
          <w:sz w:val="22"/>
          <w:szCs w:val="22"/>
          <w:rtl w:val="0"/>
        </w:rPr>
        <w:t xml:space="preserve"> Violación a sus derechos humanos.</w:t>
      </w:r>
    </w:p>
    <w:p w:rsidR="00000000" w:rsidDel="00000000" w:rsidP="00000000" w:rsidRDefault="00000000" w:rsidRPr="00000000" w14:paraId="0000003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4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iCs w:val="1"/>
          <w:sz w:val="22"/>
          <w:szCs w:val="22"/>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sz w:val="22"/>
          <w:szCs w:val="22"/>
          <w:rtl w:val="0"/>
        </w:rPr>
        <w:t xml:space="preserve">, visible en la Gaceta del Seminario Judicial de la Federación con el registro digital 205635.</w:t>
      </w:r>
    </w:p>
    <w:p w:rsidR="00000000" w:rsidDel="00000000" w:rsidP="00000000" w:rsidRDefault="00000000" w:rsidRPr="00000000" w14:paraId="00000042">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4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4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46">
      <w:pPr>
        <w:spacing w:line="360" w:lineRule="auto"/>
        <w:ind w:left="851" w:right="90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7">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consultable en el Seminario Judicial de la Federación y su gaceta, con el registro digital 2002351.</w:t>
      </w:r>
    </w:p>
    <w:p w:rsidR="00000000" w:rsidDel="00000000" w:rsidP="00000000" w:rsidRDefault="00000000" w:rsidRPr="00000000" w14:paraId="00000048">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9">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sz w:val="22"/>
          <w:szCs w:val="22"/>
          <w:rtl w:val="0"/>
        </w:rPr>
        <w:t xml:space="preserve">, visible en el Seminario Judicial de la Federación y su gaceta, con el registro digital 2002350.</w:t>
      </w:r>
    </w:p>
    <w:p w:rsidR="00000000" w:rsidDel="00000000" w:rsidP="00000000" w:rsidRDefault="00000000" w:rsidRPr="00000000" w14:paraId="0000004A">
      <w:pPr>
        <w:spacing w:line="360" w:lineRule="auto"/>
        <w:ind w:left="851" w:right="90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4E">
      <w:pPr>
        <w:widowControl w:val="0"/>
        <w:spacing w:line="360" w:lineRule="auto"/>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II. C O N S I D E R A N D O S</w:t>
      </w:r>
    </w:p>
    <w:p w:rsidR="00000000" w:rsidDel="00000000" w:rsidP="00000000" w:rsidRDefault="00000000" w:rsidRPr="00000000" w14:paraId="0000004F">
      <w:pPr>
        <w:widowControl w:val="0"/>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5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5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2">
      <w:pPr>
        <w:spacing w:line="360" w:lineRule="auto"/>
        <w:jc w:val="both"/>
        <w:rPr>
          <w:rFonts w:ascii="Palatino Linotype" w:cs="Palatino Linotype" w:eastAsia="Palatino Linotype" w:hAnsi="Palatino Linotype"/>
          <w:sz w:val="22"/>
          <w:szCs w:val="22"/>
        </w:rPr>
      </w:pPr>
      <w:bookmarkStart w:colFirst="0" w:colLast="0" w:name="_heading=h.tyjcwt" w:id="4"/>
      <w:bookmarkEnd w:id="4"/>
      <w:r w:rsidDel="00000000" w:rsidR="00000000" w:rsidRPr="00000000">
        <w:rPr>
          <w:rFonts w:ascii="Palatino Linotype" w:cs="Palatino Linotype" w:eastAsia="Palatino Linotype" w:hAnsi="Palatino Linotype"/>
          <w:b w:val="1"/>
          <w:bCs w:val="1"/>
          <w:sz w:val="22"/>
          <w:szCs w:val="22"/>
          <w:rtl w:val="0"/>
        </w:rPr>
        <w:t xml:space="preserve">Segundo. Oportunidad y Procedibilidad del Recurso de Revisión. </w:t>
      </w:r>
      <w:r w:rsidDel="00000000" w:rsidR="00000000" w:rsidRPr="00000000">
        <w:rPr>
          <w:rFonts w:ascii="Palatino Linotype" w:cs="Palatino Linotype" w:eastAsia="Palatino Linotype" w:hAnsi="Palatino Linotype"/>
          <w:sz w:val="22"/>
          <w:szCs w:val="22"/>
          <w:rtl w:val="0"/>
        </w:rPr>
        <w:t xml:space="preserve">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5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la Ley de Transparencia y Acceso a la Información Pública del Estado de México y Municipios, establece lo siguiente:</w:t>
      </w:r>
    </w:p>
    <w:p w:rsidR="00000000" w:rsidDel="00000000" w:rsidP="00000000" w:rsidRDefault="00000000" w:rsidRPr="00000000" w14:paraId="0000005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6">
      <w:pPr>
        <w:spacing w:line="276"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178. </w:t>
      </w:r>
      <w:r w:rsidDel="00000000" w:rsidR="00000000" w:rsidRPr="00000000">
        <w:rPr>
          <w:rFonts w:ascii="Palatino Linotype" w:cs="Palatino Linotype" w:eastAsia="Palatino Linotype" w:hAnsi="Palatino Linotype"/>
          <w:i w:val="1"/>
          <w:iCs w:val="1"/>
          <w:sz w:val="22"/>
          <w:szCs w:val="22"/>
          <w:rtl w:val="0"/>
        </w:rPr>
        <w:t xml:space="preserve">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000000" w:rsidDel="00000000" w:rsidP="00000000" w:rsidRDefault="00000000" w:rsidRPr="00000000" w14:paraId="00000057">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8">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remitió la respuesta a la solicitud de información el </w:t>
      </w:r>
      <w:r w:rsidDel="00000000" w:rsidR="00000000" w:rsidRPr="00000000">
        <w:rPr>
          <w:rFonts w:ascii="Palatino Linotype" w:cs="Palatino Linotype" w:eastAsia="Palatino Linotype" w:hAnsi="Palatino Linotype"/>
          <w:b w:val="1"/>
          <w:bCs w:val="1"/>
          <w:sz w:val="22"/>
          <w:szCs w:val="22"/>
          <w:rtl w:val="0"/>
        </w:rPr>
        <w:t xml:space="preserve">diecinueve de junio de dos mil veinticinco, </w:t>
      </w:r>
      <w:r w:rsidDel="00000000" w:rsidR="00000000" w:rsidRPr="00000000">
        <w:rPr>
          <w:rFonts w:ascii="Palatino Linotype" w:cs="Palatino Linotype" w:eastAsia="Palatino Linotype" w:hAnsi="Palatino Linotype"/>
          <w:sz w:val="22"/>
          <w:szCs w:val="22"/>
          <w:rtl w:val="0"/>
        </w:rPr>
        <w:t xml:space="preserve">mientras que el recurso de revisión interpuesto por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se tuvo por presentado el día </w:t>
      </w:r>
      <w:r w:rsidDel="00000000" w:rsidR="00000000" w:rsidRPr="00000000">
        <w:rPr>
          <w:rFonts w:ascii="Palatino Linotype" w:cs="Palatino Linotype" w:eastAsia="Palatino Linotype" w:hAnsi="Palatino Linotype"/>
          <w:b w:val="1"/>
          <w:bCs w:val="1"/>
          <w:sz w:val="22"/>
          <w:szCs w:val="22"/>
          <w:rtl w:val="0"/>
        </w:rPr>
        <w:t xml:space="preserve">veinte de junio de dos mil veinticinco</w:t>
      </w:r>
      <w:r w:rsidDel="00000000" w:rsidR="00000000" w:rsidRPr="00000000">
        <w:rPr>
          <w:rFonts w:ascii="Palatino Linotype" w:cs="Palatino Linotype" w:eastAsia="Palatino Linotype" w:hAnsi="Palatino Linotype"/>
          <w:sz w:val="22"/>
          <w:szCs w:val="22"/>
          <w:rtl w:val="0"/>
        </w:rPr>
        <w:t xml:space="preserve">; esto es, al primer día hábil que se tuvo conocimiento de la respuesta.</w:t>
      </w:r>
    </w:p>
    <w:p w:rsidR="00000000" w:rsidDel="00000000" w:rsidP="00000000" w:rsidRDefault="00000000" w:rsidRPr="00000000" w14:paraId="00000059">
      <w:pPr>
        <w:spacing w:line="360" w:lineRule="auto"/>
        <w:ind w:right="49"/>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5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 la procedibilidad del recurso de revisión, es de suma importancia señalar que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no proporcionó su nombre</w:t>
      </w:r>
      <w:r w:rsidDel="00000000" w:rsidR="00000000" w:rsidRPr="00000000">
        <w:rPr>
          <w:rFonts w:ascii="Palatino Linotype" w:cs="Palatino Linotype" w:eastAsia="Palatino Linotype" w:hAnsi="Palatino Linotype"/>
          <w:b w:val="1"/>
          <w:bCs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como se advierte en el detalle de seguimiento del SAIMEX, no obstante el no proporcionar nombre</w:t>
      </w:r>
      <w:r w:rsidDel="00000000" w:rsidR="00000000" w:rsidRPr="00000000">
        <w:rPr>
          <w:rFonts w:ascii="Palatino Linotype" w:cs="Palatino Linotype" w:eastAsia="Palatino Linotype" w:hAnsi="Palatino Linotype"/>
          <w:strike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5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C">
      <w:pPr>
        <w:spacing w:line="276"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Las solicitudes </w:t>
      </w:r>
      <w:r w:rsidDel="00000000" w:rsidR="00000000" w:rsidRPr="00000000">
        <w:rPr>
          <w:rFonts w:ascii="Palatino Linotype" w:cs="Palatino Linotype" w:eastAsia="Palatino Linotype" w:hAnsi="Palatino Linotype"/>
          <w:i w:val="1"/>
          <w:iCs w:val="1"/>
          <w:sz w:val="22"/>
          <w:szCs w:val="22"/>
          <w:rtl w:val="0"/>
        </w:rPr>
        <w:t xml:space="preserve">anónimas, con </w:t>
      </w:r>
      <w:r w:rsidDel="00000000" w:rsidR="00000000" w:rsidRPr="00000000">
        <w:rPr>
          <w:rFonts w:ascii="Palatino Linotype" w:cs="Palatino Linotype" w:eastAsia="Palatino Linotype" w:hAnsi="Palatino Linotype"/>
          <w:b w:val="1"/>
          <w:bCs w:val="1"/>
          <w:i w:val="1"/>
          <w:iCs w:val="1"/>
          <w:sz w:val="22"/>
          <w:szCs w:val="22"/>
          <w:rtl w:val="0"/>
        </w:rPr>
        <w:t xml:space="preserve">nombre incompleto o seudónimo</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iCs w:val="1"/>
          <w:sz w:val="22"/>
          <w:szCs w:val="22"/>
          <w:rtl w:val="0"/>
        </w:rPr>
        <w:t xml:space="preserve">. No podrá requerirse información adicional con motivo del nombre proporcionado por el solicitante."(Sic)</w:t>
      </w:r>
    </w:p>
    <w:p w:rsidR="00000000" w:rsidDel="00000000" w:rsidP="00000000" w:rsidRDefault="00000000" w:rsidRPr="00000000" w14:paraId="0000005D">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E">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5F">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procedente la interposición del recurso de revisión al rubro anotado, toda vez que se actualiza las hipótesis previstas en el artículo 179, fracción VI, de la ley de la materia, que a la letra dice:</w:t>
      </w:r>
    </w:p>
    <w:p w:rsidR="00000000" w:rsidDel="00000000" w:rsidP="00000000" w:rsidRDefault="00000000" w:rsidRPr="00000000" w14:paraId="00000061">
      <w:pPr>
        <w:ind w:left="851" w:right="1041"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62">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179. </w:t>
      </w:r>
      <w:r w:rsidDel="00000000" w:rsidR="00000000" w:rsidRPr="00000000">
        <w:rPr>
          <w:rFonts w:ascii="Palatino Linotype" w:cs="Palatino Linotype" w:eastAsia="Palatino Linotype" w:hAnsi="Palatino Linotype"/>
          <w:i w:val="1"/>
          <w:iCs w:val="1"/>
          <w:sz w:val="22"/>
          <w:szCs w:val="22"/>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63">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64">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VI. La entrega de información que no corresponda con lo solicitado;</w:t>
      </w:r>
    </w:p>
    <w:p w:rsidR="00000000" w:rsidDel="00000000" w:rsidP="00000000" w:rsidRDefault="00000000" w:rsidRPr="00000000" w14:paraId="00000065">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 (Sic)</w:t>
      </w:r>
    </w:p>
    <w:p w:rsidR="00000000" w:rsidDel="00000000" w:rsidP="00000000" w:rsidRDefault="00000000" w:rsidRPr="00000000" w14:paraId="00000066">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6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Tercero. Materia de Revisión</w:t>
      </w:r>
      <w:r w:rsidDel="00000000" w:rsidR="00000000" w:rsidRPr="00000000">
        <w:rPr>
          <w:rFonts w:ascii="Palatino Linotype" w:cs="Palatino Linotype" w:eastAsia="Palatino Linotype" w:hAnsi="Palatino Linotype"/>
          <w:sz w:val="22"/>
          <w:szCs w:val="22"/>
          <w:rtl w:val="0"/>
        </w:rPr>
        <w:t xml:space="preserve">: De las constancias que integran el expediente electrónico se advierte que el tema sobre el que este Instituto se pronunciará será: verificar si la respuesta otorgada por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es adecuada y suficiente para satisfacer el derecho de acceso a la información pública del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o en su defecto, en caso de ser procedente, ordenar la entrega de información.</w:t>
      </w:r>
    </w:p>
    <w:p w:rsidR="00000000" w:rsidDel="00000000" w:rsidP="00000000" w:rsidRDefault="00000000" w:rsidRPr="00000000" w14:paraId="0000006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Cuarto. Estudio de fondo del asunto. </w:t>
      </w:r>
      <w:r w:rsidDel="00000000" w:rsidR="00000000" w:rsidRPr="00000000">
        <w:rPr>
          <w:rFonts w:ascii="Palatino Linotype" w:cs="Palatino Linotype" w:eastAsia="Palatino Linotype" w:hAnsi="Palatino Linotype"/>
          <w:sz w:val="22"/>
          <w:szCs w:val="22"/>
          <w:rtl w:val="0"/>
        </w:rPr>
        <w:t xml:space="preserve">Es conveniente analizar si la respuesta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6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B">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Artículo 4</w:t>
      </w:r>
      <w:r w:rsidDel="00000000" w:rsidR="00000000" w:rsidRPr="00000000">
        <w:rPr>
          <w:rFonts w:ascii="Palatino Linotype" w:cs="Palatino Linotype" w:eastAsia="Palatino Linotype" w:hAnsi="Palatino Linotype"/>
          <w:i w:val="1"/>
          <w:iCs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6C">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iCs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6D">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6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7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1">
      <w:pPr>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12.-</w:t>
      </w:r>
      <w:r w:rsidDel="00000000" w:rsidR="00000000" w:rsidRPr="00000000">
        <w:rPr>
          <w:rFonts w:ascii="Palatino Linotype" w:cs="Palatino Linotype" w:eastAsia="Palatino Linotype" w:hAnsi="Palatino Linotype"/>
          <w:i w:val="1"/>
          <w:iCs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72">
      <w:pPr>
        <w:ind w:left="851" w:right="850"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73">
      <w:pPr>
        <w:ind w:left="851" w:right="850"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 </w:t>
      </w:r>
    </w:p>
    <w:p w:rsidR="00000000" w:rsidDel="00000000" w:rsidP="00000000" w:rsidRDefault="00000000" w:rsidRPr="00000000" w14:paraId="00000074">
      <w:pPr>
        <w:spacing w:line="360" w:lineRule="auto"/>
        <w:ind w:left="567" w:right="758"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75">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76">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7">
      <w:pPr>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orientador 03-17, expuesto por el entonces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bCs w:val="1"/>
          <w:sz w:val="22"/>
          <w:szCs w:val="22"/>
          <w:rtl w:val="0"/>
        </w:rPr>
        <w:t xml:space="preserve"> </w:t>
      </w:r>
    </w:p>
    <w:p w:rsidR="00000000" w:rsidDel="00000000" w:rsidP="00000000" w:rsidRDefault="00000000" w:rsidRPr="00000000" w14:paraId="00000078">
      <w:pPr>
        <w:spacing w:line="360" w:lineRule="auto"/>
        <w:ind w:left="851" w:right="85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9">
      <w:pPr>
        <w:spacing w:line="276" w:lineRule="auto"/>
        <w:ind w:left="851" w:right="90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iCs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00000" w:rsidDel="00000000" w:rsidP="00000000" w:rsidRDefault="00000000" w:rsidRPr="00000000" w14:paraId="0000007A">
      <w:pPr>
        <w:spacing w:line="276" w:lineRule="auto"/>
        <w:ind w:left="851" w:right="90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Resoluciones: </w:t>
      </w:r>
    </w:p>
    <w:p w:rsidR="00000000" w:rsidDel="00000000" w:rsidP="00000000" w:rsidRDefault="00000000" w:rsidRPr="00000000" w14:paraId="0000007B">
      <w:pPr>
        <w:spacing w:line="276" w:lineRule="auto"/>
        <w:ind w:left="851" w:right="90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 RRA 0050/16. Instituto Nacional para la Evaluación de la Educación. 13 julio de 2016. Por unanimidad. Comisionado Ponente: Francisco Javier Acuña Llamas.</w:t>
      </w:r>
    </w:p>
    <w:p w:rsidR="00000000" w:rsidDel="00000000" w:rsidP="00000000" w:rsidRDefault="00000000" w:rsidRPr="00000000" w14:paraId="0000007C">
      <w:pPr>
        <w:spacing w:line="276" w:lineRule="auto"/>
        <w:ind w:left="851" w:right="90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 RRA 0310/16. Instituto Nacional de Transparencia, Acceso a la Información y Protección de Datos Personales. 10 de agosto de 2016. Por unanimidad. Comisionada Ponente. Areli Cano Guadiana. </w:t>
      </w:r>
    </w:p>
    <w:p w:rsidR="00000000" w:rsidDel="00000000" w:rsidP="00000000" w:rsidRDefault="00000000" w:rsidRPr="00000000" w14:paraId="0000007D">
      <w:pPr>
        <w:spacing w:line="276" w:lineRule="auto"/>
        <w:ind w:left="851" w:right="90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 RRA 1889/16. Secretaría de Hacienda y Crédito Público. 05 de octubre de 2016. Por unanimidad. Comisionada Ponente. Ximena Puente de la Mora.”</w:t>
      </w:r>
    </w:p>
    <w:p w:rsidR="00000000" w:rsidDel="00000000" w:rsidP="00000000" w:rsidRDefault="00000000" w:rsidRPr="00000000" w14:paraId="0000007E">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8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1">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8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84">
      <w:pPr>
        <w:ind w:left="851" w:right="899"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85">
      <w:pPr>
        <w:spacing w:line="276" w:lineRule="auto"/>
        <w:ind w:left="851" w:right="89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3. </w:t>
      </w:r>
      <w:r w:rsidDel="00000000" w:rsidR="00000000" w:rsidRPr="00000000">
        <w:rPr>
          <w:rFonts w:ascii="Palatino Linotype" w:cs="Palatino Linotype" w:eastAsia="Palatino Linotype" w:hAnsi="Palatino Linotype"/>
          <w:i w:val="1"/>
          <w:iCs w:val="1"/>
          <w:sz w:val="22"/>
          <w:szCs w:val="22"/>
          <w:rtl w:val="0"/>
        </w:rPr>
        <w:t xml:space="preserve">Para los efectos de la presente Ley se entenderá por:</w:t>
      </w:r>
    </w:p>
    <w:p w:rsidR="00000000" w:rsidDel="00000000" w:rsidP="00000000" w:rsidRDefault="00000000" w:rsidRPr="00000000" w14:paraId="00000086">
      <w:pPr>
        <w:spacing w:line="276" w:lineRule="auto"/>
        <w:ind w:left="851" w:right="89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87">
      <w:pPr>
        <w:spacing w:line="276" w:lineRule="auto"/>
        <w:ind w:left="851" w:right="89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XI. Documento:</w:t>
      </w:r>
      <w:r w:rsidDel="00000000" w:rsidR="00000000" w:rsidRPr="00000000">
        <w:rPr>
          <w:rFonts w:ascii="Palatino Linotype" w:cs="Palatino Linotype" w:eastAsia="Palatino Linotype" w:hAnsi="Palatino Linotype"/>
          <w:i w:val="1"/>
          <w:iCs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bCs w:val="1"/>
          <w:i w:val="1"/>
          <w:iCs w:val="1"/>
          <w:sz w:val="22"/>
          <w:szCs w:val="22"/>
          <w:rtl w:val="0"/>
        </w:rPr>
        <w:t xml:space="preserve">,</w:t>
      </w:r>
      <w:r w:rsidDel="00000000" w:rsidR="00000000" w:rsidRPr="00000000">
        <w:rPr>
          <w:rFonts w:ascii="Palatino Linotype" w:cs="Palatino Linotype" w:eastAsia="Palatino Linotype" w:hAnsi="Palatino Linotype"/>
          <w:i w:val="1"/>
          <w:iCs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88">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8A">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B">
      <w:pPr>
        <w:spacing w:line="276" w:lineRule="auto"/>
        <w:ind w:left="851" w:right="899"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CRITERIO 0002-11</w:t>
      </w:r>
    </w:p>
    <w:p w:rsidR="00000000" w:rsidDel="00000000" w:rsidP="00000000" w:rsidRDefault="00000000" w:rsidRPr="00000000" w14:paraId="0000008C">
      <w:pPr>
        <w:spacing w:line="276" w:lineRule="auto"/>
        <w:ind w:left="851" w:right="89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iCs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8D">
      <w:pPr>
        <w:spacing w:line="276" w:lineRule="auto"/>
        <w:ind w:left="851" w:right="89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8E">
      <w:pPr>
        <w:spacing w:line="276" w:lineRule="auto"/>
        <w:ind w:left="851" w:right="89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8F">
      <w:pPr>
        <w:spacing w:line="276" w:lineRule="auto"/>
        <w:ind w:left="851" w:right="899"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90">
      <w:pPr>
        <w:spacing w:line="276" w:lineRule="auto"/>
        <w:ind w:left="851" w:right="899"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3) Que se trate de información registrada en cualquier soporte documental, que en ejercicio de las atribuciones conferidas, se encuentre en posesión de los Sujetos Obligados.”</w:t>
      </w:r>
    </w:p>
    <w:p w:rsidR="00000000" w:rsidDel="00000000" w:rsidP="00000000" w:rsidRDefault="00000000" w:rsidRPr="00000000" w14:paraId="0000009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2">
      <w:pPr>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sz w:val="22"/>
          <w:szCs w:val="22"/>
          <w:rtl w:val="0"/>
        </w:rPr>
        <w:t xml:space="preserve">Ahora bien, del análisis de la solicitud de información motivo del recurso de revisión que ahora se resuelve, es necesario referir que el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solicitó, </w:t>
      </w:r>
      <w:r w:rsidDel="00000000" w:rsidR="00000000" w:rsidRPr="00000000">
        <w:rPr>
          <w:rFonts w:ascii="Palatino Linotype" w:cs="Palatino Linotype" w:eastAsia="Palatino Linotype" w:hAnsi="Palatino Linotype"/>
          <w:b w:val="1"/>
          <w:bCs w:val="1"/>
          <w:sz w:val="22"/>
          <w:szCs w:val="22"/>
          <w:rtl w:val="0"/>
        </w:rPr>
        <w:t xml:space="preserve">del predio que se encuentra a un costado de la plaza Town Center, en donde se proyectó la construcción de una clínica de especialidades del IMSS, lo siguiente: </w:t>
      </w:r>
    </w:p>
    <w:p w:rsidR="00000000" w:rsidDel="00000000" w:rsidP="00000000" w:rsidRDefault="00000000" w:rsidRPr="00000000" w14:paraId="00000093">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9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851" w:right="850"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Expediente técnico, administrativo, oficios, documentos que guarden relación y los pagos realizados por la compra. </w:t>
      </w:r>
    </w:p>
    <w:p w:rsidR="00000000" w:rsidDel="00000000" w:rsidP="00000000" w:rsidRDefault="00000000" w:rsidRPr="00000000" w14:paraId="0000009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851" w:right="850"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Oficios que el IMSS emite al Ayuntamiento, donde expresa que no es posible la inversión en el predio por no contar con certeza jurídica. </w:t>
      </w:r>
    </w:p>
    <w:p w:rsidR="00000000" w:rsidDel="00000000" w:rsidP="00000000" w:rsidRDefault="00000000" w:rsidRPr="00000000" w14:paraId="0000009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7">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la Tesorería Municipal informó que, el peticionario se limita a exponer que requiere los pagos que se realizaron por la compra del predio que se encuentra a un costado del Town Center, sin precisar qué costado (norte, sur, oriente o poniente), tampoco precisa la ubicación exacta o clave catastral; para estar en condiciones de identificar el predio al que hace mención y atender su petición en tiempo y forma.</w:t>
      </w:r>
    </w:p>
    <w:p w:rsidR="00000000" w:rsidDel="00000000" w:rsidP="00000000" w:rsidRDefault="00000000" w:rsidRPr="00000000" w14:paraId="00000098">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9">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 ello en mente, citó el numeral 155, fracciones III y IV, de la Ley de Transparencia y Acceso a la Información Pública del Estado de México y Municipios, del que se aprecia que, para dar atención a la solicitud de información, es necesario que el interesado describa la información que requiere y proporcione mayores datos.</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line="360" w:lineRule="auto"/>
        <w:ind w:left="720" w:right="4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Ante la interposición del recurso de revisión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fue omiso en rendir su informe justificado y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de igual forma no rindió manifestación alguna. </w:t>
      </w:r>
    </w:p>
    <w:p w:rsidR="00000000" w:rsidDel="00000000" w:rsidP="00000000" w:rsidRDefault="00000000" w:rsidRPr="00000000" w14:paraId="0000009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D">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Una vez expuestas estas consideraciones, resulta necesario iniciar el presente análisis, señalando que este Instituto localizó que en fecha nueve de mayo de dos mil veintidós, el Ayuntamiento de Nicolás Romero</w:t>
      </w:r>
      <w:r w:rsidDel="00000000" w:rsidR="00000000" w:rsidRPr="00000000">
        <w:rPr>
          <w:rFonts w:ascii="Palatino Linotype" w:cs="Palatino Linotype" w:eastAsia="Palatino Linotype" w:hAnsi="Palatino Linotype"/>
          <w:sz w:val="22"/>
          <w:szCs w:val="22"/>
          <w:vertAlign w:val="superscript"/>
        </w:rPr>
        <w:footnoteReference w:customMarkFollows="0" w:id="0"/>
      </w:r>
      <w:r w:rsidDel="00000000" w:rsidR="00000000" w:rsidRPr="00000000">
        <w:rPr>
          <w:rFonts w:ascii="Palatino Linotype" w:cs="Palatino Linotype" w:eastAsia="Palatino Linotype" w:hAnsi="Palatino Linotype"/>
          <w:sz w:val="22"/>
          <w:szCs w:val="22"/>
          <w:rtl w:val="0"/>
        </w:rPr>
        <w:t xml:space="preserve"> sostuvo una reunión de trabajo en la que participaron directivos del Instituto Mexicano del Seguro Social (IMSS), dirigentes del sindicato de trabajadores del IMSS, el diputado local Jesús Moreno y todos los integrantes del cabildo 2022-2024, en el que el titular del Ejecutivo Municipal detalló que el Cabildo de Nicolás Romero aprobó la compra de un predio que será donado al IMSS para la construcción del hospital regional del IMSS con más de 250 camas y 17 especialidades, siguiendo de los diversos trámites administrativos para completar los requerimientos y que pueda darse luz verde final al inicio de los trabajos, tal y como se insertan a continuación: </w:t>
      </w:r>
    </w:p>
    <w:p w:rsidR="00000000" w:rsidDel="00000000" w:rsidP="00000000" w:rsidRDefault="00000000" w:rsidRPr="00000000" w14:paraId="0000009E">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F">
      <w:pPr>
        <w:spacing w:line="360" w:lineRule="auto"/>
        <w:ind w:right="49"/>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007808" cy="2747843"/>
            <wp:effectExtent b="0" l="0" r="0" t="0"/>
            <wp:docPr id="11"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4007808" cy="2747843"/>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1">
      <w:pPr>
        <w:spacing w:line="360" w:lineRule="auto"/>
        <w:ind w:right="49"/>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283317" cy="4119753"/>
            <wp:effectExtent b="0" l="0" r="0" t="0"/>
            <wp:docPr id="10"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283317" cy="411975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653415</wp:posOffset>
                </wp:positionH>
                <wp:positionV relativeFrom="paragraph">
                  <wp:posOffset>13335</wp:posOffset>
                </wp:positionV>
                <wp:extent cx="4362450" cy="695325"/>
                <wp:effectExtent b="0" l="0" r="0" t="0"/>
                <wp:wrapNone/>
                <wp:docPr id="1" name=""/>
                <a:graphic>
                  <a:graphicData uri="http://schemas.microsoft.com/office/word/2010/wordprocessingShape">
                    <wps:wsp>
                      <wps:cNvSpPr/>
                      <wps:cNvPr id="2" name="Shape 2"/>
                      <wps:spPr>
                        <a:xfrm>
                          <a:off x="3174300" y="3441863"/>
                          <a:ext cx="4343400" cy="676275"/>
                        </a:xfrm>
                        <a:prstGeom prst="rect">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653415</wp:posOffset>
                </wp:positionH>
                <wp:positionV relativeFrom="paragraph">
                  <wp:posOffset>13335</wp:posOffset>
                </wp:positionV>
                <wp:extent cx="4362450" cy="695325"/>
                <wp:effectExtent b="0" l="0" r="0" t="0"/>
                <wp:wrapNone/>
                <wp:docPr id="1" name="image15.png"/>
                <a:graphic>
                  <a:graphicData uri="http://schemas.openxmlformats.org/drawingml/2006/picture">
                    <pic:pic>
                      <pic:nvPicPr>
                        <pic:cNvPr id="0" name="image15.png"/>
                        <pic:cNvPicPr preferRelativeResize="0"/>
                      </pic:nvPicPr>
                      <pic:blipFill>
                        <a:blip r:embed="rId11"/>
                        <a:srcRect/>
                        <a:stretch>
                          <a:fillRect/>
                        </a:stretch>
                      </pic:blipFill>
                      <pic:spPr>
                        <a:xfrm>
                          <a:off x="0" y="0"/>
                          <a:ext cx="4362450"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739141</wp:posOffset>
                </wp:positionH>
                <wp:positionV relativeFrom="paragraph">
                  <wp:posOffset>1927860</wp:posOffset>
                </wp:positionV>
                <wp:extent cx="4257040" cy="523875"/>
                <wp:effectExtent b="0" l="0" r="0" t="0"/>
                <wp:wrapNone/>
                <wp:docPr id="3" name=""/>
                <a:graphic>
                  <a:graphicData uri="http://schemas.microsoft.com/office/word/2010/wordprocessingShape">
                    <wps:wsp>
                      <wps:cNvSpPr/>
                      <wps:cNvPr id="4" name="Shape 4"/>
                      <wps:spPr>
                        <a:xfrm>
                          <a:off x="3227005" y="3527588"/>
                          <a:ext cx="4237990" cy="504825"/>
                        </a:xfrm>
                        <a:prstGeom prst="rect">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739141</wp:posOffset>
                </wp:positionH>
                <wp:positionV relativeFrom="paragraph">
                  <wp:posOffset>1927860</wp:posOffset>
                </wp:positionV>
                <wp:extent cx="4257040" cy="523875"/>
                <wp:effectExtent b="0" l="0" r="0" t="0"/>
                <wp:wrapNone/>
                <wp:docPr id="3" name="image17.png"/>
                <a:graphic>
                  <a:graphicData uri="http://schemas.openxmlformats.org/drawingml/2006/picture">
                    <pic:pic>
                      <pic:nvPicPr>
                        <pic:cNvPr id="0" name="image17.png"/>
                        <pic:cNvPicPr preferRelativeResize="0"/>
                      </pic:nvPicPr>
                      <pic:blipFill>
                        <a:blip r:embed="rId11"/>
                        <a:srcRect/>
                        <a:stretch>
                          <a:fillRect/>
                        </a:stretch>
                      </pic:blipFill>
                      <pic:spPr>
                        <a:xfrm>
                          <a:off x="0" y="0"/>
                          <a:ext cx="4257040" cy="523875"/>
                        </a:xfrm>
                        <a:prstGeom prst="rect"/>
                        <a:ln/>
                      </pic:spPr>
                    </pic:pic>
                  </a:graphicData>
                </a:graphic>
              </wp:anchor>
            </w:drawing>
          </mc:Fallback>
        </mc:AlternateContent>
      </w:r>
    </w:p>
    <w:p w:rsidR="00000000" w:rsidDel="00000000" w:rsidP="00000000" w:rsidRDefault="00000000" w:rsidRPr="00000000" w14:paraId="000000A2">
      <w:pPr>
        <w:spacing w:line="360" w:lineRule="auto"/>
        <w:ind w:right="49"/>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605250" cy="2916141"/>
            <wp:effectExtent b="0" l="0" r="0" t="0"/>
            <wp:docPr id="13"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4605250" cy="291614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567690</wp:posOffset>
                </wp:positionH>
                <wp:positionV relativeFrom="paragraph">
                  <wp:posOffset>709930</wp:posOffset>
                </wp:positionV>
                <wp:extent cx="4486275" cy="342900"/>
                <wp:effectExtent b="0" l="0" r="0" t="0"/>
                <wp:wrapNone/>
                <wp:docPr id="6" name=""/>
                <a:graphic>
                  <a:graphicData uri="http://schemas.microsoft.com/office/word/2010/wordprocessingShape">
                    <wps:wsp>
                      <wps:cNvSpPr/>
                      <wps:cNvPr id="7" name="Shape 7"/>
                      <wps:spPr>
                        <a:xfrm>
                          <a:off x="3112388" y="3618075"/>
                          <a:ext cx="4467225" cy="323850"/>
                        </a:xfrm>
                        <a:prstGeom prst="rect">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567690</wp:posOffset>
                </wp:positionH>
                <wp:positionV relativeFrom="paragraph">
                  <wp:posOffset>709930</wp:posOffset>
                </wp:positionV>
                <wp:extent cx="4486275" cy="342900"/>
                <wp:effectExtent b="0" l="0" r="0" t="0"/>
                <wp:wrapNone/>
                <wp:docPr id="6" name="image20.png"/>
                <a:graphic>
                  <a:graphicData uri="http://schemas.openxmlformats.org/drawingml/2006/picture">
                    <pic:pic>
                      <pic:nvPicPr>
                        <pic:cNvPr id="0" name="image20.png"/>
                        <pic:cNvPicPr preferRelativeResize="0"/>
                      </pic:nvPicPr>
                      <pic:blipFill>
                        <a:blip r:embed="rId11"/>
                        <a:srcRect/>
                        <a:stretch>
                          <a:fillRect/>
                        </a:stretch>
                      </pic:blipFill>
                      <pic:spPr>
                        <a:xfrm>
                          <a:off x="0" y="0"/>
                          <a:ext cx="4486275" cy="342900"/>
                        </a:xfrm>
                        <a:prstGeom prst="rect"/>
                        <a:ln/>
                      </pic:spPr>
                    </pic:pic>
                  </a:graphicData>
                </a:graphic>
              </wp:anchor>
            </w:drawing>
          </mc:Fallback>
        </mc:AlternateContent>
      </w:r>
    </w:p>
    <w:p w:rsidR="00000000" w:rsidDel="00000000" w:rsidP="00000000" w:rsidRDefault="00000000" w:rsidRPr="00000000" w14:paraId="000000A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4">
      <w:pPr>
        <w:spacing w:line="360" w:lineRule="auto"/>
        <w:ind w:right="49"/>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413391" cy="1148988"/>
            <wp:effectExtent b="0" l="0" r="0" t="0"/>
            <wp:docPr id="12"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4413391" cy="1148988"/>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modo, este Organismo Garante localizó la Gaceta Municipal número 19, en el que se publicaron los acuerdos aprobados en la Décima Segunda Sesión Ordinaria de Cabildo celebrada el veintiocho de abril de dos mil veintidós y en la que se aprobó se realicen todas las acciones jurídicas y administrativas tendientes a la adquisición y posterior donación al Instituto Mexicano del Seguro Social de un predio para la construcción de un hospital general regional de 260 camas en el territorio municipal, mismo que se inserta para mayor entendimiento: </w:t>
      </w:r>
    </w:p>
    <w:p w:rsidR="00000000" w:rsidDel="00000000" w:rsidP="00000000" w:rsidRDefault="00000000" w:rsidRPr="00000000" w14:paraId="000000A6">
      <w:pPr>
        <w:spacing w:line="360" w:lineRule="auto"/>
        <w:ind w:right="49"/>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048125" cy="968748"/>
            <wp:effectExtent b="0" l="0" r="0" t="0"/>
            <wp:docPr id="15"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4048125" cy="968748"/>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spacing w:line="360" w:lineRule="auto"/>
        <w:ind w:right="49"/>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3989462" cy="3231800"/>
            <wp:effectExtent b="0" l="0" r="0" t="0"/>
            <wp:docPr id="14"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3989462" cy="32318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948690</wp:posOffset>
                </wp:positionH>
                <wp:positionV relativeFrom="paragraph">
                  <wp:posOffset>1446530</wp:posOffset>
                </wp:positionV>
                <wp:extent cx="3857625" cy="647700"/>
                <wp:effectExtent b="0" l="0" r="0" t="0"/>
                <wp:wrapNone/>
                <wp:docPr id="4" name=""/>
                <a:graphic>
                  <a:graphicData uri="http://schemas.microsoft.com/office/word/2010/wordprocessingShape">
                    <wps:wsp>
                      <wps:cNvSpPr/>
                      <wps:cNvPr id="5" name="Shape 5"/>
                      <wps:spPr>
                        <a:xfrm>
                          <a:off x="3426713" y="3465675"/>
                          <a:ext cx="3838575" cy="628650"/>
                        </a:xfrm>
                        <a:prstGeom prst="rect">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948690</wp:posOffset>
                </wp:positionH>
                <wp:positionV relativeFrom="paragraph">
                  <wp:posOffset>1446530</wp:posOffset>
                </wp:positionV>
                <wp:extent cx="3857625" cy="647700"/>
                <wp:effectExtent b="0" l="0" r="0" t="0"/>
                <wp:wrapNone/>
                <wp:docPr id="4" name="image18.png"/>
                <a:graphic>
                  <a:graphicData uri="http://schemas.openxmlformats.org/drawingml/2006/picture">
                    <pic:pic>
                      <pic:nvPicPr>
                        <pic:cNvPr id="0" name="image18.png"/>
                        <pic:cNvPicPr preferRelativeResize="0"/>
                      </pic:nvPicPr>
                      <pic:blipFill>
                        <a:blip r:embed="rId11"/>
                        <a:srcRect/>
                        <a:stretch>
                          <a:fillRect/>
                        </a:stretch>
                      </pic:blipFill>
                      <pic:spPr>
                        <a:xfrm>
                          <a:off x="0" y="0"/>
                          <a:ext cx="3857625" cy="647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1905952</wp:posOffset>
                </wp:positionH>
                <wp:positionV relativeFrom="paragraph">
                  <wp:posOffset>1729423</wp:posOffset>
                </wp:positionV>
                <wp:extent cx="2171700" cy="55244"/>
                <wp:effectExtent b="0" l="0" r="0" t="0"/>
                <wp:wrapNone/>
                <wp:docPr id="5" name=""/>
                <a:graphic>
                  <a:graphicData uri="http://schemas.microsoft.com/office/word/2010/wordprocessingShape">
                    <wps:wsp>
                      <wps:cNvCnPr/>
                      <wps:spPr>
                        <a:xfrm flipH="1" rot="10800000">
                          <a:off x="4264913" y="3757141"/>
                          <a:ext cx="2162175" cy="45719"/>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1905952</wp:posOffset>
                </wp:positionH>
                <wp:positionV relativeFrom="paragraph">
                  <wp:posOffset>1729423</wp:posOffset>
                </wp:positionV>
                <wp:extent cx="2171700" cy="55244"/>
                <wp:effectExtent b="0" l="0" r="0" t="0"/>
                <wp:wrapNone/>
                <wp:docPr id="5" name="image19.png"/>
                <a:graphic>
                  <a:graphicData uri="http://schemas.openxmlformats.org/drawingml/2006/picture">
                    <pic:pic>
                      <pic:nvPicPr>
                        <pic:cNvPr id="0" name="image19.png"/>
                        <pic:cNvPicPr preferRelativeResize="0"/>
                      </pic:nvPicPr>
                      <pic:blipFill>
                        <a:blip r:embed="rId11"/>
                        <a:srcRect/>
                        <a:stretch>
                          <a:fillRect/>
                        </a:stretch>
                      </pic:blipFill>
                      <pic:spPr>
                        <a:xfrm>
                          <a:off x="0" y="0"/>
                          <a:ext cx="2171700" cy="55244"/>
                        </a:xfrm>
                        <a:prstGeom prst="rect"/>
                        <a:ln/>
                      </pic:spPr>
                    </pic:pic>
                  </a:graphicData>
                </a:graphic>
              </wp:anchor>
            </w:drawing>
          </mc:Fallback>
        </mc:AlternateContent>
      </w:r>
    </w:p>
    <w:p w:rsidR="00000000" w:rsidDel="00000000" w:rsidP="00000000" w:rsidRDefault="00000000" w:rsidRPr="00000000" w14:paraId="000000A8">
      <w:pPr>
        <w:spacing w:line="360" w:lineRule="auto"/>
        <w:ind w:right="49"/>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014412" cy="5180857"/>
            <wp:effectExtent b="0" l="0" r="0" t="0"/>
            <wp:docPr id="17"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4014412" cy="5180857"/>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spacing w:line="360" w:lineRule="auto"/>
        <w:ind w:left="1418" w:right="49" w:firstLine="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2109172" cy="284215"/>
            <wp:effectExtent b="0" l="0" r="0" t="0"/>
            <wp:docPr id="16"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2109172" cy="284215"/>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B">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la red social Facebook del Gobierno Municipal de Nicolás Romero en fecha veintiséis de noviembre de dos mil veinticuatro, público que el Proyecto del Hospital de Especialidades IMSS en Nicolás Romero pronto sería una realidad para las y los nicolasromerenses, así como para los municipios vecinos, puesto que estaba por concretarse, brindando más y mejores servicios de salud a la comunidad, tal y como se visualiza a continuación: </w:t>
      </w:r>
    </w:p>
    <w:p w:rsidR="00000000" w:rsidDel="00000000" w:rsidP="00000000" w:rsidRDefault="00000000" w:rsidRPr="00000000" w14:paraId="000000AC">
      <w:pPr>
        <w:spacing w:line="360" w:lineRule="auto"/>
        <w:ind w:right="49"/>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3333674" cy="2131355"/>
            <wp:effectExtent b="0" l="0" r="0" t="0"/>
            <wp:docPr id="20"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3333674" cy="2131355"/>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spacing w:line="360" w:lineRule="auto"/>
        <w:ind w:right="49"/>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3501036" cy="2481353"/>
            <wp:effectExtent b="0" l="0" r="0" t="0"/>
            <wp:docPr id="18"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3501036" cy="2481353"/>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suerte que, con lo vertido anteriormente, podemos concluir que obran indicios respeto de la compra del predio para la construcción de la clínica de especialidades del IMSS en Nicolás Romero, por lo que estaríamos ante un hecho notorio, el cual se sustenta conforme a las siguientes tesis jurisprudenciales:</w:t>
      </w:r>
    </w:p>
    <w:p w:rsidR="00000000" w:rsidDel="00000000" w:rsidP="00000000" w:rsidRDefault="00000000" w:rsidRPr="00000000" w14:paraId="000000B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1">
      <w:pPr>
        <w:spacing w:line="276" w:lineRule="auto"/>
        <w:ind w:left="851" w:right="850"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 “HECHOS NOTORIOS. CONCEPTOS GENERAL Y JURÍDICO</w:t>
      </w:r>
    </w:p>
    <w:p w:rsidR="00000000" w:rsidDel="00000000" w:rsidP="00000000" w:rsidRDefault="00000000" w:rsidRPr="00000000" w14:paraId="000000B2">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Conforme al artículo </w:t>
      </w:r>
      <w:hyperlink r:id="rId20">
        <w:r w:rsidDel="00000000" w:rsidR="00000000" w:rsidRPr="00000000">
          <w:rPr>
            <w:rFonts w:ascii="Palatino Linotype" w:cs="Palatino Linotype" w:eastAsia="Palatino Linotype" w:hAnsi="Palatino Linotype"/>
            <w:b w:val="1"/>
            <w:bCs w:val="1"/>
            <w:i w:val="1"/>
            <w:iCs w:val="1"/>
            <w:sz w:val="22"/>
            <w:szCs w:val="22"/>
            <w:rtl w:val="0"/>
          </w:rPr>
          <w:t xml:space="preserve">88 del Código Federal de Procedimientos Civiles</w:t>
        </w:r>
      </w:hyperlink>
      <w:r w:rsidDel="00000000" w:rsidR="00000000" w:rsidRPr="00000000">
        <w:rPr>
          <w:rFonts w:ascii="Palatino Linotype" w:cs="Palatino Linotype" w:eastAsia="Palatino Linotype" w:hAnsi="Palatino Linotype"/>
          <w:b w:val="1"/>
          <w:bCs w:val="1"/>
          <w:i w:val="1"/>
          <w:iCs w:val="1"/>
          <w:sz w:val="22"/>
          <w:szCs w:val="22"/>
          <w:rtl w:val="0"/>
        </w:rPr>
        <w:t xml:space="preserve"> los tribunales pueden invocar hechos notorios aunque no hayan sido alegados ni probados por las partes.</w:t>
      </w:r>
      <w:r w:rsidDel="00000000" w:rsidR="00000000" w:rsidRPr="00000000">
        <w:rPr>
          <w:rFonts w:ascii="Palatino Linotype" w:cs="Palatino Linotype" w:eastAsia="Palatino Linotype" w:hAnsi="Palatino Linotype"/>
          <w:i w:val="1"/>
          <w:iCs w:val="1"/>
          <w:sz w:val="22"/>
          <w:szCs w:val="22"/>
          <w:rtl w:val="0"/>
        </w:rPr>
        <w:t xml:space="preserve"> Por hechos notorios deben entenderse, en general, aquellos que por el conocimiento humano se consideran ciertos e indiscutibles, ya sea que pertenezcan a la historia, a la ciencia, a la naturaleza</w:t>
      </w:r>
      <w:r w:rsidDel="00000000" w:rsidR="00000000" w:rsidRPr="00000000">
        <w:rPr>
          <w:rFonts w:ascii="Palatino Linotype" w:cs="Palatino Linotype" w:eastAsia="Palatino Linotype" w:hAnsi="Palatino Linotype"/>
          <w:b w:val="1"/>
          <w:bCs w:val="1"/>
          <w:i w:val="1"/>
          <w:iCs w:val="1"/>
          <w:sz w:val="22"/>
          <w:szCs w:val="22"/>
          <w:rtl w:val="0"/>
        </w:rPr>
        <w:t xml:space="preserve">, a las vicisitudes de la vida pública actual o a circunstancias comúnmente conocidas en un determinado lugar</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de modo que toda persona de ese medio esté en condiciones de saberlo</w:t>
      </w:r>
      <w:r w:rsidDel="00000000" w:rsidR="00000000" w:rsidRPr="00000000">
        <w:rPr>
          <w:rFonts w:ascii="Palatino Linotype" w:cs="Palatino Linotype" w:eastAsia="Palatino Linotype" w:hAnsi="Palatino Linotype"/>
          <w:i w:val="1"/>
          <w:iCs w:val="1"/>
          <w:sz w:val="22"/>
          <w:szCs w:val="22"/>
          <w:rtl w:val="0"/>
        </w:rPr>
        <w:t xml:space="preserve">;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rsidR="00000000" w:rsidDel="00000000" w:rsidP="00000000" w:rsidRDefault="00000000" w:rsidRPr="00000000" w14:paraId="000000B3">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B4">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Controversia constitucional 24/2005. Cámara de Diputados del Congreso de la Unión. 9 de marzo de 2006. Once votos. Ponente: José Ramón Cossío Díaz. Secretarios: Raúl Manuel Mejía Garza y Laura Patricia Rojas Zamudio.</w:t>
      </w:r>
    </w:p>
    <w:p w:rsidR="00000000" w:rsidDel="00000000" w:rsidP="00000000" w:rsidRDefault="00000000" w:rsidRPr="00000000" w14:paraId="000000B5">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El Tribunal Pleno, el dieciséis de mayo en curso, aprobó, con el número 74/2006, la tesis jurisprudencial que antecede. México, Distrito Federal, a dieciséis de mayo de dos mil seis.</w:t>
      </w:r>
    </w:p>
    <w:p w:rsidR="00000000" w:rsidDel="00000000" w:rsidP="00000000" w:rsidRDefault="00000000" w:rsidRPr="00000000" w14:paraId="000000B6">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Nota: Esta tesis fue objeto de la denuncia relativa a la contradicción de tesis 91/2014, desechada por notoriamente improcedente, mediante acuerdo de 24 de marzo de 2014.”</w:t>
      </w:r>
    </w:p>
    <w:p w:rsidR="00000000" w:rsidDel="00000000" w:rsidP="00000000" w:rsidRDefault="00000000" w:rsidRPr="00000000" w14:paraId="000000B7">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shd w:fill="ffffff" w:val="clea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PÁGINAS WEB O ELECTRÓNICAS. SU CONTENIDO ES UN HECHO NOTORIO Y SUSCEPTIBLE DE SER VALORADO EN UNA DECISIÓN JUDICIAL.</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iCs w:val="1"/>
          <w:sz w:val="22"/>
          <w:szCs w:val="22"/>
          <w:rtl w:val="0"/>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Mardygras, S.A. de C.V. 7 de diciembre de 2012. Unanimidad de votos. Ponente: Neófito López Ramos. Secretaria: Ana Lilia Osorno Arroyo. 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 Los datos que aparecen en las páginas electrónicas oficiales que los órganos de gobierno utilizan para poner a disposición del público, entre otros servicios, la descripción de sus plazas, el directorio de sus empleados o el estado que guardan sus expedientes, constituyen Tesis: XX.2o. J/24 Semanario Judicial de la Federación y su Gaceta Novena Época 168124 75 de 163 Tribunales Colegiados de Circuito Tomo XXIX, Enero de 2009 Pag. 2470 Jurisprudencia(Común)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 SEGUNDO TRIBUNAL COLEGIADO DEL VIGÉSIMO CIRCUITO. Amparo directo 816/2006. 13 de junio de 2007. Unanimidad de votos. Ponente: Carlos Arteaga Álvarez. Secretario: Jorge Alberto Camacho Pérez. Amparo directo 77/2008. 10 de octubre de 2008. Unanimidad de votos. Ponente: Carlos Arteaga Álvarez. Secretario: José Martín Lázaro Vázquez. Amparo directo 74/2008. 10 de octubre de 2008. Unanimidad de votos. Ponente: Carlos Arteaga Álvarez. Secretario: Jorge Alberto Camacho Pérez. Amparo directo 355/2008. 16 de octubre de 2008. Unanimidad de votos. Ponente: Antonio Artemio Maldonado Cruz, secretario de tribunal autorizado por la Comisión de Carrera Judicial del Consejo de la Judicatura Federal para desempeñar las funciones de Magistrado. Secretario: Rolando Meza Camacho. Amparo directo 968/2007. 23 de octubre de 2008. Unanimidad de votos. Ponente: Marta Olivia Tello Acuña. Secretaria: Elvia Aguilar Moreno. Nota: Esta tesis fue objeto de la denuncia relativa a la contradicción de tesis 91/2014, desechada por notoriamente improcedente, mediante acuerdo de 23 de marzo de 2014. Por ejecutoria del 19 de junio de 2013, la Segunda Sala declaró inexistente la contradicción de tesis 132/2013 derivada de la denuncia de la que fue objeto el criterio contenido en esta tesis, al estimarse que no son discrepantes los criterios materia de la denuncia respectiva.”</w:t>
      </w:r>
    </w:p>
    <w:p w:rsidR="00000000" w:rsidDel="00000000" w:rsidP="00000000" w:rsidRDefault="00000000" w:rsidRPr="00000000" w14:paraId="000000B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Establecido lo anterior, procedemos al análisis de la respuesta proporcionada, para tal efecto, debemos recordar que, en el presente asunto se pronunció el servidor público habilitado de la Tesorería Municipal, misma que de conformidad con el Reglamento Orgánico de la Administración Pública Municipal de Nicolás Romero y Ley Orgánica Municipal, cuenta con las siguientes atribuciones:</w:t>
      </w:r>
    </w:p>
    <w:p w:rsidR="00000000" w:rsidDel="00000000" w:rsidP="00000000" w:rsidRDefault="00000000" w:rsidRPr="00000000" w14:paraId="000000B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C">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“Artículo 69. </w:t>
      </w:r>
      <w:r w:rsidDel="00000000" w:rsidR="00000000" w:rsidRPr="00000000">
        <w:rPr>
          <w:rFonts w:ascii="Palatino Linotype" w:cs="Palatino Linotype" w:eastAsia="Palatino Linotype" w:hAnsi="Palatino Linotype"/>
          <w:b w:val="1"/>
          <w:bCs w:val="1"/>
          <w:i w:val="1"/>
          <w:iCs w:val="1"/>
          <w:sz w:val="22"/>
          <w:szCs w:val="22"/>
          <w:rtl w:val="0"/>
        </w:rPr>
        <w:t xml:space="preserve">La Tesorería Municipal</w:t>
      </w:r>
      <w:r w:rsidDel="00000000" w:rsidR="00000000" w:rsidRPr="00000000">
        <w:rPr>
          <w:rFonts w:ascii="Palatino Linotype" w:cs="Palatino Linotype" w:eastAsia="Palatino Linotype" w:hAnsi="Palatino Linotype"/>
          <w:i w:val="1"/>
          <w:iCs w:val="1"/>
          <w:sz w:val="22"/>
          <w:szCs w:val="22"/>
          <w:rtl w:val="0"/>
        </w:rPr>
        <w:t xml:space="preserve"> es la dependencia encargada de dirigir la política hacendaria municipal, así como de la recaudación de los ingresos municipales y de las erogaciones que deba hacer el Ayuntamiento, siempre con estricto apego a la legislación de la materia.</w:t>
      </w:r>
    </w:p>
    <w:p w:rsidR="00000000" w:rsidDel="00000000" w:rsidP="00000000" w:rsidRDefault="00000000" w:rsidRPr="00000000" w14:paraId="000000BD">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La Tesorería tendrá a su cargo el despacho de los asuntos que le encomienda la Ley Orgánica Municipal del Estado de México, el Código Financiero del Estado de México y Municipios, la Ley de Fiscalización Superior del Estado de México, la Ley de Contratación Pública del Estado de México y Municipios y demás disposiciones aplicables.</w:t>
      </w:r>
    </w:p>
    <w:p w:rsidR="00000000" w:rsidDel="00000000" w:rsidP="00000000" w:rsidRDefault="00000000" w:rsidRPr="00000000" w14:paraId="000000BE">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BF">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71</w:t>
      </w:r>
      <w:r w:rsidDel="00000000" w:rsidR="00000000" w:rsidRPr="00000000">
        <w:rPr>
          <w:rFonts w:ascii="Palatino Linotype" w:cs="Palatino Linotype" w:eastAsia="Palatino Linotype" w:hAnsi="Palatino Linotype"/>
          <w:i w:val="1"/>
          <w:iCs w:val="1"/>
          <w:sz w:val="22"/>
          <w:szCs w:val="22"/>
          <w:rtl w:val="0"/>
        </w:rPr>
        <w:t xml:space="preserve">. Además de las previstas en el artículo 95 de la Ley Orgánica Municipal del Estado de México, son </w:t>
      </w:r>
      <w:r w:rsidDel="00000000" w:rsidR="00000000" w:rsidRPr="00000000">
        <w:rPr>
          <w:rFonts w:ascii="Palatino Linotype" w:cs="Palatino Linotype" w:eastAsia="Palatino Linotype" w:hAnsi="Palatino Linotype"/>
          <w:b w:val="1"/>
          <w:bCs w:val="1"/>
          <w:i w:val="1"/>
          <w:iCs w:val="1"/>
          <w:sz w:val="22"/>
          <w:szCs w:val="22"/>
          <w:rtl w:val="0"/>
        </w:rPr>
        <w:t xml:space="preserve">facultades y obligaciones de la o el Tesorero Municipal</w:t>
      </w:r>
      <w:r w:rsidDel="00000000" w:rsidR="00000000" w:rsidRPr="00000000">
        <w:rPr>
          <w:rFonts w:ascii="Palatino Linotype" w:cs="Palatino Linotype" w:eastAsia="Palatino Linotype" w:hAnsi="Palatino Linotype"/>
          <w:i w:val="1"/>
          <w:iCs w:val="1"/>
          <w:sz w:val="22"/>
          <w:szCs w:val="22"/>
          <w:rtl w:val="0"/>
        </w:rPr>
        <w:t xml:space="preserve"> las siguientes:</w:t>
      </w:r>
    </w:p>
    <w:p w:rsidR="00000000" w:rsidDel="00000000" w:rsidP="00000000" w:rsidRDefault="00000000" w:rsidRPr="00000000" w14:paraId="000000C0">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Proponer y dirigir la política financiera y tributaria del municipio;</w:t>
      </w:r>
    </w:p>
    <w:p w:rsidR="00000000" w:rsidDel="00000000" w:rsidP="00000000" w:rsidRDefault="00000000" w:rsidRPr="00000000" w14:paraId="000000C1">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 Diseñar y establecer las bases, políticas y lineamientos para el proceso interno de programación y presupuestación;</w:t>
      </w:r>
    </w:p>
    <w:p w:rsidR="00000000" w:rsidDel="00000000" w:rsidP="00000000" w:rsidRDefault="00000000" w:rsidRPr="00000000" w14:paraId="000000C2">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III. Integrar, revisar y validar los anteproyectos de presupuesto por programas de las dependencias municipales;</w:t>
      </w:r>
    </w:p>
    <w:p w:rsidR="00000000" w:rsidDel="00000000" w:rsidP="00000000" w:rsidRDefault="00000000" w:rsidRPr="00000000" w14:paraId="000000C3">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IV. </w:t>
      </w:r>
      <w:r w:rsidDel="00000000" w:rsidR="00000000" w:rsidRPr="00000000">
        <w:rPr>
          <w:rFonts w:ascii="Palatino Linotype" w:cs="Palatino Linotype" w:eastAsia="Palatino Linotype" w:hAnsi="Palatino Linotype"/>
          <w:b w:val="1"/>
          <w:bCs w:val="1"/>
          <w:i w:val="1"/>
          <w:iCs w:val="1"/>
          <w:sz w:val="22"/>
          <w:szCs w:val="22"/>
          <w:rtl w:val="0"/>
        </w:rPr>
        <w:t xml:space="preserve">Definir los presupuestos</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de</w:t>
      </w:r>
      <w:r w:rsidDel="00000000" w:rsidR="00000000" w:rsidRPr="00000000">
        <w:rPr>
          <w:rFonts w:ascii="Palatino Linotype" w:cs="Palatino Linotype" w:eastAsia="Palatino Linotype" w:hAnsi="Palatino Linotype"/>
          <w:i w:val="1"/>
          <w:iCs w:val="1"/>
          <w:sz w:val="22"/>
          <w:szCs w:val="22"/>
          <w:rtl w:val="0"/>
        </w:rPr>
        <w:t xml:space="preserve"> ingresos y </w:t>
      </w:r>
      <w:r w:rsidDel="00000000" w:rsidR="00000000" w:rsidRPr="00000000">
        <w:rPr>
          <w:rFonts w:ascii="Palatino Linotype" w:cs="Palatino Linotype" w:eastAsia="Palatino Linotype" w:hAnsi="Palatino Linotype"/>
          <w:b w:val="1"/>
          <w:bCs w:val="1"/>
          <w:i w:val="1"/>
          <w:iCs w:val="1"/>
          <w:sz w:val="22"/>
          <w:szCs w:val="22"/>
          <w:rtl w:val="0"/>
        </w:rPr>
        <w:t xml:space="preserve">egresos de las diferentes dependencias del Gobierno Municipal y someterlos ante el H. Ayuntamiento para su aprobación</w:t>
      </w:r>
      <w:r w:rsidDel="00000000" w:rsidR="00000000" w:rsidRPr="00000000">
        <w:rPr>
          <w:rFonts w:ascii="Palatino Linotype" w:cs="Palatino Linotype" w:eastAsia="Palatino Linotype" w:hAnsi="Palatino Linotype"/>
          <w:i w:val="1"/>
          <w:iCs w:val="1"/>
          <w:sz w:val="22"/>
          <w:szCs w:val="22"/>
          <w:rtl w:val="0"/>
        </w:rPr>
        <w:t xml:space="preserve">, previa la entrega oportuna de la información completa referente a las claves programáticas del presupuesto respectivo;</w:t>
      </w:r>
    </w:p>
    <w:p w:rsidR="00000000" w:rsidDel="00000000" w:rsidP="00000000" w:rsidRDefault="00000000" w:rsidRPr="00000000" w14:paraId="000000C4">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u w:val="single"/>
          <w:rtl w:val="0"/>
        </w:rPr>
        <w:t xml:space="preserve">V. Llevar los registros financieros y contables</w:t>
      </w:r>
      <w:r w:rsidDel="00000000" w:rsidR="00000000" w:rsidRPr="00000000">
        <w:rPr>
          <w:rFonts w:ascii="Palatino Linotype" w:cs="Palatino Linotype" w:eastAsia="Palatino Linotype" w:hAnsi="Palatino Linotype"/>
          <w:i w:val="1"/>
          <w:iCs w:val="1"/>
          <w:sz w:val="22"/>
          <w:szCs w:val="22"/>
          <w:rtl w:val="0"/>
        </w:rPr>
        <w:t xml:space="preserve"> requeridos para elaborar el informe trimestral que debe ser enviado al Órgano Superior de Fiscalización del Estado de México;</w:t>
      </w:r>
    </w:p>
    <w:p w:rsidR="00000000" w:rsidDel="00000000" w:rsidP="00000000" w:rsidRDefault="00000000" w:rsidRPr="00000000" w14:paraId="000000C5">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VI. Diseñar conjuntamente con la Secretaría del H. Ayuntamiento, la Contraloría Municipal y la Dirección de Administración, las políticas y lineamientos de legalidad, honestidad, eficiencia, economía, racionalidad, austeridad, transparencia, control, rendición de cuentas y equidad de género, en el ejercicio de los recursos financieros, estableciendo los mecanismos que garanticen el adecuado y estricto control del presupuesto de egresos municipal;</w:t>
      </w:r>
    </w:p>
    <w:p w:rsidR="00000000" w:rsidDel="00000000" w:rsidP="00000000" w:rsidRDefault="00000000" w:rsidRPr="00000000" w14:paraId="000000C6">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VII. Proponer las políticas, criterios y lineamientos en materia de información e investigación catastral en el municipio;</w:t>
      </w:r>
    </w:p>
    <w:p w:rsidR="00000000" w:rsidDel="00000000" w:rsidP="00000000" w:rsidRDefault="00000000" w:rsidRPr="00000000" w14:paraId="000000C7">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VIII. Validar con su firma electrónica los trámites y servicios que se realicen de manera digital; y</w:t>
      </w:r>
    </w:p>
    <w:p w:rsidR="00000000" w:rsidDel="00000000" w:rsidP="00000000" w:rsidRDefault="00000000" w:rsidRPr="00000000" w14:paraId="000000C8">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IX. Las demás que señalen otras disposiciones legales de carácter federal, estatal o municipal en el ámbito de su competencia, el H. Ayuntamiento, la Presidencia Municipal y demás superiores, en su caso.</w:t>
      </w:r>
    </w:p>
    <w:p w:rsidR="00000000" w:rsidDel="00000000" w:rsidP="00000000" w:rsidRDefault="00000000" w:rsidRPr="00000000" w14:paraId="000000C9">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sz w:val="22"/>
          <w:szCs w:val="22"/>
          <w:rtl w:val="0"/>
        </w:rPr>
        <w:br w:type="textWrapping"/>
      </w:r>
      <w:r w:rsidDel="00000000" w:rsidR="00000000" w:rsidRPr="00000000">
        <w:rPr>
          <w:rFonts w:ascii="Palatino Linotype" w:cs="Palatino Linotype" w:eastAsia="Palatino Linotype" w:hAnsi="Palatino Linotype"/>
          <w:i w:val="1"/>
          <w:iCs w:val="1"/>
          <w:sz w:val="22"/>
          <w:szCs w:val="22"/>
          <w:rtl w:val="0"/>
        </w:rPr>
        <w:t xml:space="preserve"> Ley Orgánica Municipal</w:t>
      </w:r>
    </w:p>
    <w:p w:rsidR="00000000" w:rsidDel="00000000" w:rsidP="00000000" w:rsidRDefault="00000000" w:rsidRPr="00000000" w14:paraId="000000CA">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Artículo 95.- Son atribuciones del tesorero municipal:</w:t>
      </w:r>
    </w:p>
    <w:p w:rsidR="00000000" w:rsidDel="00000000" w:rsidP="00000000" w:rsidRDefault="00000000" w:rsidRPr="00000000" w14:paraId="000000CB">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w:t>
      </w:r>
      <w:r w:rsidDel="00000000" w:rsidR="00000000" w:rsidRPr="00000000">
        <w:rPr>
          <w:rFonts w:ascii="Palatino Linotype" w:cs="Palatino Linotype" w:eastAsia="Palatino Linotype" w:hAnsi="Palatino Linotype"/>
          <w:b w:val="1"/>
          <w:bCs w:val="1"/>
          <w:i w:val="1"/>
          <w:iCs w:val="1"/>
          <w:sz w:val="22"/>
          <w:szCs w:val="22"/>
          <w:rtl w:val="0"/>
        </w:rPr>
        <w:t xml:space="preserve">Administrar la hacienda pública municipal</w:t>
      </w:r>
      <w:r w:rsidDel="00000000" w:rsidR="00000000" w:rsidRPr="00000000">
        <w:rPr>
          <w:rFonts w:ascii="Palatino Linotype" w:cs="Palatino Linotype" w:eastAsia="Palatino Linotype" w:hAnsi="Palatino Linotype"/>
          <w:i w:val="1"/>
          <w:iCs w:val="1"/>
          <w:sz w:val="22"/>
          <w:szCs w:val="22"/>
          <w:rtl w:val="0"/>
        </w:rPr>
        <w:t xml:space="preserve">, de conformidad con las disposiciones legales aplicables;</w:t>
      </w:r>
    </w:p>
    <w:p w:rsidR="00000000" w:rsidDel="00000000" w:rsidP="00000000" w:rsidRDefault="00000000" w:rsidRPr="00000000" w14:paraId="000000CC">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CD">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u w:val="single"/>
          <w:rtl w:val="0"/>
        </w:rPr>
        <w:t xml:space="preserve">IV. Llevar los registros contables, financieros y administrativos de los ingresos, egresos, e inventarios</w:t>
      </w:r>
      <w:r w:rsidDel="00000000" w:rsidR="00000000" w:rsidRPr="00000000">
        <w:rPr>
          <w:rFonts w:ascii="Palatino Linotype" w:cs="Palatino Linotype" w:eastAsia="Palatino Linotype" w:hAnsi="Palatino Linotype"/>
          <w:i w:val="1"/>
          <w:iCs w:val="1"/>
          <w:sz w:val="22"/>
          <w:szCs w:val="22"/>
          <w:rtl w:val="0"/>
        </w:rPr>
        <w:t xml:space="preserve">;” </w:t>
      </w:r>
    </w:p>
    <w:p w:rsidR="00000000" w:rsidDel="00000000" w:rsidP="00000000" w:rsidRDefault="00000000" w:rsidRPr="00000000" w14:paraId="000000CE">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(Énfasis añadido)</w:t>
      </w:r>
    </w:p>
    <w:p w:rsidR="00000000" w:rsidDel="00000000" w:rsidP="00000000" w:rsidRDefault="00000000" w:rsidRPr="00000000" w14:paraId="000000CF">
      <w:pPr>
        <w:spacing w:line="276" w:lineRule="auto"/>
        <w:ind w:left="851" w:right="85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0">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los preceptos previamente citados, se advierte que el área de Tesorería Municipal cuenta con las atribuciones de realizar erogaciones; así como, llevar los registros contables, financieros y administrativos de los egresos; sin embargo, el indicio previamente insertado, da cuenta de la adquisición del predio para la construcción de un Hospital Regional con 260 camas en Nicolás Romero, ubicado en la colonia Vista Hermosa, cerca del Centro Comercial Town Center, por lo tanto, se estima que la información obra en los archivos del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a la fecha de la solicitud.</w:t>
      </w:r>
    </w:p>
    <w:p w:rsidR="00000000" w:rsidDel="00000000" w:rsidP="00000000" w:rsidRDefault="00000000" w:rsidRPr="00000000" w14:paraId="000000D1">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2">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conviene recordar que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 la Tesorería Municipal informó en lo medular que no podía hacer entrega de la información al no contar con elementos suficientes para estar en condiciones de identificar el predio al que hace mención y atender su petición en tiempo y forma, al respecto se menciona que, la Ley de la Materia confiere a los Sujetos Obligados la potestad de que, por una sola vez, requieran a los solicitantes para que proporcionen datos adicionales que les permitan localizar la información a la que desean acceder, dentro de los cinco días posteriores a la recepción de la solicitud.</w:t>
      </w:r>
    </w:p>
    <w:p w:rsidR="00000000" w:rsidDel="00000000" w:rsidP="00000000" w:rsidRDefault="00000000" w:rsidRPr="00000000" w14:paraId="000000D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Asimismo, para aplicar dicha facultad, debe actualizarse el supuesto jurídico que consiste en que los términos de la solicitud sean vagos o imprecisos, o que los datos proporcionados sean insuficientes o incompletos, impidiendo a los Sujetos Obligados tener certeza de que información deben ubicar y entregar.</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No obstante, y de acuerdo al análisis realizado hasta el momento, a consideración de este Organismo Garante no era necesaria </w:t>
      </w: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la aclaración</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pues los términos de la solicitud son claros y permiten identificar plenamente la información que es del interés de la persona solicitante, por lo que la aclaración pretendida por el Sujeto Obligado a través de la respuesta a la solicitud de información o era necesaria, además de que se formuló fuera del plazo legal establecido para tales efectos. </w:t>
      </w:r>
      <w:r w:rsidDel="00000000" w:rsidR="00000000" w:rsidRPr="00000000">
        <w:rPr>
          <w:rtl w:val="0"/>
        </w:rPr>
      </w:r>
    </w:p>
    <w:p w:rsidR="00000000" w:rsidDel="00000000" w:rsidP="00000000" w:rsidRDefault="00000000" w:rsidRPr="00000000" w14:paraId="000000D7">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8">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resulta pertinente señalar que de la revisión a los artículos 29, 30, 32, 92, 93, 99 y 100 del referido Reglamento, existente otras áreas que de manera enunciativa más no limitativa cuentan con atribuciones para generar, poseer y administrar la información solicitada, siendo estas: </w:t>
      </w:r>
    </w:p>
    <w:p w:rsidR="00000000" w:rsidDel="00000000" w:rsidP="00000000" w:rsidRDefault="00000000" w:rsidRPr="00000000" w14:paraId="000000D9">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A">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29.</w:t>
      </w:r>
      <w:r w:rsidDel="00000000" w:rsidR="00000000" w:rsidRPr="00000000">
        <w:rPr>
          <w:rFonts w:ascii="Palatino Linotype" w:cs="Palatino Linotype" w:eastAsia="Palatino Linotype" w:hAnsi="Palatino Linotype"/>
          <w:i w:val="1"/>
          <w:iCs w:val="1"/>
          <w:sz w:val="22"/>
          <w:szCs w:val="22"/>
          <w:rtl w:val="0"/>
        </w:rPr>
        <w:t xml:space="preserve"> La </w:t>
      </w:r>
      <w:r w:rsidDel="00000000" w:rsidR="00000000" w:rsidRPr="00000000">
        <w:rPr>
          <w:rFonts w:ascii="Palatino Linotype" w:cs="Palatino Linotype" w:eastAsia="Palatino Linotype" w:hAnsi="Palatino Linotype"/>
          <w:b w:val="1"/>
          <w:bCs w:val="1"/>
          <w:i w:val="1"/>
          <w:iCs w:val="1"/>
          <w:sz w:val="22"/>
          <w:szCs w:val="22"/>
          <w:rtl w:val="0"/>
        </w:rPr>
        <w:t xml:space="preserve">Consejería Jurídica y Consultiva</w:t>
      </w:r>
      <w:r w:rsidDel="00000000" w:rsidR="00000000" w:rsidRPr="00000000">
        <w:rPr>
          <w:rFonts w:ascii="Palatino Linotype" w:cs="Palatino Linotype" w:eastAsia="Palatino Linotype" w:hAnsi="Palatino Linotype"/>
          <w:i w:val="1"/>
          <w:iCs w:val="1"/>
          <w:sz w:val="22"/>
          <w:szCs w:val="22"/>
          <w:rtl w:val="0"/>
        </w:rPr>
        <w:t xml:space="preserve"> tiene como facultad la defensa de los intereses jurídicos del H. Ayuntamiento, de la Presidenta Municipal y sus Dependencias; así como su representación y la obligación de asesorarles en el desempeño de sus funciones.</w:t>
      </w:r>
    </w:p>
    <w:p w:rsidR="00000000" w:rsidDel="00000000" w:rsidP="00000000" w:rsidRDefault="00000000" w:rsidRPr="00000000" w14:paraId="000000DB">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DC">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30. </w:t>
      </w:r>
      <w:r w:rsidDel="00000000" w:rsidR="00000000" w:rsidRPr="00000000">
        <w:rPr>
          <w:rFonts w:ascii="Palatino Linotype" w:cs="Palatino Linotype" w:eastAsia="Palatino Linotype" w:hAnsi="Palatino Linotype"/>
          <w:i w:val="1"/>
          <w:iCs w:val="1"/>
          <w:sz w:val="22"/>
          <w:szCs w:val="22"/>
          <w:rtl w:val="0"/>
        </w:rPr>
        <w:t xml:space="preserve">La Consejería Jurídica y Consultiva tiene las siguientes atribuciones:</w:t>
      </w:r>
    </w:p>
    <w:p w:rsidR="00000000" w:rsidDel="00000000" w:rsidP="00000000" w:rsidRDefault="00000000" w:rsidRPr="00000000" w14:paraId="000000DD">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DE">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w:t>
      </w:r>
      <w:r w:rsidDel="00000000" w:rsidR="00000000" w:rsidRPr="00000000">
        <w:rPr>
          <w:rFonts w:ascii="Palatino Linotype" w:cs="Palatino Linotype" w:eastAsia="Palatino Linotype" w:hAnsi="Palatino Linotype"/>
          <w:b w:val="1"/>
          <w:bCs w:val="1"/>
          <w:i w:val="1"/>
          <w:iCs w:val="1"/>
          <w:sz w:val="22"/>
          <w:szCs w:val="22"/>
          <w:rtl w:val="0"/>
        </w:rPr>
        <w:t xml:space="preserve">. Ser apoderada o apoderado legal de la Presidenta Municipal, del Síndico Municipal y de las Dependencias de la Administración Pública Municipal Centralizada en términos del poder notarial </w:t>
      </w:r>
      <w:r w:rsidDel="00000000" w:rsidR="00000000" w:rsidRPr="00000000">
        <w:rPr>
          <w:rFonts w:ascii="Palatino Linotype" w:cs="Palatino Linotype" w:eastAsia="Palatino Linotype" w:hAnsi="Palatino Linotype"/>
          <w:i w:val="1"/>
          <w:iCs w:val="1"/>
          <w:sz w:val="22"/>
          <w:szCs w:val="22"/>
          <w:rtl w:val="0"/>
        </w:rPr>
        <w:t xml:space="preserve">o mediante el oficio respectivo que para tal efecto sea conferido, para la representación jurídica en los litigios en que sean parte ante las autoridades estatales, federales o del orden constitucional, ante Fiscalías de Justicia, Ministerio Público, Tribunales, Salas, Juzgados, Comisiones de Derechos Humanos o Contralorías de los Poderes; en asuntos del orden civil, agrario, mercantil, penal, fiscal, laboral, amparo, administrativo o derechos humanos que corresponda en términos de lo dispuesto por los artículos 49 y 50 de la Ley Orgánica Municipal del Estado de México.</w:t>
      </w:r>
    </w:p>
    <w:p w:rsidR="00000000" w:rsidDel="00000000" w:rsidP="00000000" w:rsidRDefault="00000000" w:rsidRPr="00000000" w14:paraId="000000DF">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 Coadyuvar con la Sindicatura Municipal en los procedimientos que por disposición de ley deban conocer, tramitar y resolver;</w:t>
      </w:r>
    </w:p>
    <w:p w:rsidR="00000000" w:rsidDel="00000000" w:rsidP="00000000" w:rsidRDefault="00000000" w:rsidRPr="00000000" w14:paraId="000000E0">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 Atender, desahogar y suscribir los documentos que sean necesarios en representación de los integrantes del Ayuntamiento,</w:t>
      </w:r>
      <w:r w:rsidDel="00000000" w:rsidR="00000000" w:rsidRPr="00000000">
        <w:rPr>
          <w:rFonts w:ascii="Palatino Linotype" w:cs="Palatino Linotype" w:eastAsia="Palatino Linotype" w:hAnsi="Palatino Linotype"/>
          <w:i w:val="1"/>
          <w:iCs w:val="1"/>
          <w:sz w:val="22"/>
          <w:szCs w:val="22"/>
          <w:rtl w:val="0"/>
        </w:rPr>
        <w:t xml:space="preserve"> de la Presidenta Municipal y de las Dependencias Municipales, para dar respuesta a las peticiones de la ciudadanía; a los mandamientos o requerimientos ministeriales, judiciales, de los tribunales en materia administrativa, civil, agraria, penal, laboral, fiscal, mercantil o amparo; ya sea dentro o fuera de juicios; y general para toda clase de representación legal de estos;</w:t>
      </w:r>
    </w:p>
    <w:p w:rsidR="00000000" w:rsidDel="00000000" w:rsidP="00000000" w:rsidRDefault="00000000" w:rsidRPr="00000000" w14:paraId="000000E1">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E2">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 Analizar, elaborar, validar y resguardar </w:t>
      </w:r>
      <w:r w:rsidDel="00000000" w:rsidR="00000000" w:rsidRPr="00000000">
        <w:rPr>
          <w:rFonts w:ascii="Palatino Linotype" w:cs="Palatino Linotype" w:eastAsia="Palatino Linotype" w:hAnsi="Palatino Linotype"/>
          <w:i w:val="1"/>
          <w:iCs w:val="1"/>
          <w:sz w:val="22"/>
          <w:szCs w:val="22"/>
          <w:rtl w:val="0"/>
        </w:rPr>
        <w:t xml:space="preserve">acuerdos</w:t>
      </w:r>
      <w:r w:rsidDel="00000000" w:rsidR="00000000" w:rsidRPr="00000000">
        <w:rPr>
          <w:rFonts w:ascii="Palatino Linotype" w:cs="Palatino Linotype" w:eastAsia="Palatino Linotype" w:hAnsi="Palatino Linotype"/>
          <w:i w:val="1"/>
          <w:iCs w:val="1"/>
          <w:sz w:val="22"/>
          <w:szCs w:val="22"/>
          <w:u w:val="single"/>
          <w:rtl w:val="0"/>
        </w:rPr>
        <w:t xml:space="preserve">,</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 contratos</w:t>
      </w:r>
      <w:r w:rsidDel="00000000" w:rsidR="00000000" w:rsidRPr="00000000">
        <w:rPr>
          <w:rFonts w:ascii="Palatino Linotype" w:cs="Palatino Linotype" w:eastAsia="Palatino Linotype" w:hAnsi="Palatino Linotype"/>
          <w:b w:val="1"/>
          <w:bCs w:val="1"/>
          <w:i w:val="1"/>
          <w:iCs w:val="1"/>
          <w:sz w:val="22"/>
          <w:szCs w:val="22"/>
          <w:rtl w:val="0"/>
        </w:rPr>
        <w:t xml:space="preserve"> </w:t>
      </w:r>
      <w:r w:rsidDel="00000000" w:rsidR="00000000" w:rsidRPr="00000000">
        <w:rPr>
          <w:rFonts w:ascii="Palatino Linotype" w:cs="Palatino Linotype" w:eastAsia="Palatino Linotype" w:hAnsi="Palatino Linotype"/>
          <w:i w:val="1"/>
          <w:iCs w:val="1"/>
          <w:sz w:val="22"/>
          <w:szCs w:val="22"/>
          <w:rtl w:val="0"/>
        </w:rPr>
        <w:t xml:space="preserve">y convenios</w:t>
      </w:r>
      <w:r w:rsidDel="00000000" w:rsidR="00000000" w:rsidRPr="00000000">
        <w:rPr>
          <w:rFonts w:ascii="Palatino Linotype" w:cs="Palatino Linotype" w:eastAsia="Palatino Linotype" w:hAnsi="Palatino Linotype"/>
          <w:b w:val="1"/>
          <w:bCs w:val="1"/>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que celebre o emita el H. Ayuntamiento</w:t>
      </w:r>
      <w:r w:rsidDel="00000000" w:rsidR="00000000" w:rsidRPr="00000000">
        <w:rPr>
          <w:rFonts w:ascii="Palatino Linotype" w:cs="Palatino Linotype" w:eastAsia="Palatino Linotype" w:hAnsi="Palatino Linotype"/>
          <w:b w:val="1"/>
          <w:bCs w:val="1"/>
          <w:i w:val="1"/>
          <w:iCs w:val="1"/>
          <w:sz w:val="22"/>
          <w:szCs w:val="22"/>
          <w:rtl w:val="0"/>
        </w:rPr>
        <w:t xml:space="preserve"> </w:t>
      </w:r>
      <w:r w:rsidDel="00000000" w:rsidR="00000000" w:rsidRPr="00000000">
        <w:rPr>
          <w:rFonts w:ascii="Palatino Linotype" w:cs="Palatino Linotype" w:eastAsia="Palatino Linotype" w:hAnsi="Palatino Linotype"/>
          <w:i w:val="1"/>
          <w:iCs w:val="1"/>
          <w:sz w:val="22"/>
          <w:szCs w:val="22"/>
          <w:rtl w:val="0"/>
        </w:rPr>
        <w:t xml:space="preserve">y sus Dependencias en el ámbito de su competencia;</w:t>
      </w:r>
    </w:p>
    <w:p w:rsidR="00000000" w:rsidDel="00000000" w:rsidP="00000000" w:rsidRDefault="00000000" w:rsidRPr="00000000" w14:paraId="000000E3">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VIII. Coadyuvar la regularización del patrimonio inmobiliario del municipio</w:t>
      </w:r>
      <w:r w:rsidDel="00000000" w:rsidR="00000000" w:rsidRPr="00000000">
        <w:rPr>
          <w:rFonts w:ascii="Palatino Linotype" w:cs="Palatino Linotype" w:eastAsia="Palatino Linotype" w:hAnsi="Palatino Linotype"/>
          <w:i w:val="1"/>
          <w:iCs w:val="1"/>
          <w:sz w:val="22"/>
          <w:szCs w:val="22"/>
          <w:rtl w:val="0"/>
        </w:rPr>
        <w:t xml:space="preserve">, ejerciendo las acciones oportunas ante las diversas autoridades que, conforme su competencia, les corresponda resolver;</w:t>
      </w:r>
    </w:p>
    <w:p w:rsidR="00000000" w:rsidDel="00000000" w:rsidP="00000000" w:rsidRDefault="00000000" w:rsidRPr="00000000" w14:paraId="000000E4">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IX. Asesorar jurídicamente en los procedimientos de expropiación que determine el H. Ayuntamiento;</w:t>
      </w:r>
    </w:p>
    <w:p w:rsidR="00000000" w:rsidDel="00000000" w:rsidP="00000000" w:rsidRDefault="00000000" w:rsidRPr="00000000" w14:paraId="000000E5">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X. Asesorar en materia jurídica a la población;</w:t>
      </w:r>
    </w:p>
    <w:p w:rsidR="00000000" w:rsidDel="00000000" w:rsidP="00000000" w:rsidRDefault="00000000" w:rsidRPr="00000000" w14:paraId="000000E6">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E7">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XX. Representar jurídicamente al H. Ayuntamiento de Nicolás Romero en materia fiscal</w:t>
      </w:r>
      <w:r w:rsidDel="00000000" w:rsidR="00000000" w:rsidRPr="00000000">
        <w:rPr>
          <w:rFonts w:ascii="Palatino Linotype" w:cs="Palatino Linotype" w:eastAsia="Palatino Linotype" w:hAnsi="Palatino Linotype"/>
          <w:i w:val="1"/>
          <w:iCs w:val="1"/>
          <w:sz w:val="22"/>
          <w:szCs w:val="22"/>
          <w:rtl w:val="0"/>
        </w:rPr>
        <w:t xml:space="preserve">;</w:t>
        <w:br w:type="textWrapping"/>
        <w:t xml:space="preserve">…</w:t>
      </w:r>
    </w:p>
    <w:p w:rsidR="00000000" w:rsidDel="00000000" w:rsidP="00000000" w:rsidRDefault="00000000" w:rsidRPr="00000000" w14:paraId="000000E8">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32</w:t>
      </w:r>
      <w:r w:rsidDel="00000000" w:rsidR="00000000" w:rsidRPr="00000000">
        <w:rPr>
          <w:rFonts w:ascii="Palatino Linotype" w:cs="Palatino Linotype" w:eastAsia="Palatino Linotype" w:hAnsi="Palatino Linotype"/>
          <w:i w:val="1"/>
          <w:iCs w:val="1"/>
          <w:sz w:val="22"/>
          <w:szCs w:val="22"/>
          <w:rtl w:val="0"/>
        </w:rPr>
        <w:t xml:space="preserve">. La </w:t>
      </w:r>
      <w:r w:rsidDel="00000000" w:rsidR="00000000" w:rsidRPr="00000000">
        <w:rPr>
          <w:rFonts w:ascii="Palatino Linotype" w:cs="Palatino Linotype" w:eastAsia="Palatino Linotype" w:hAnsi="Palatino Linotype"/>
          <w:b w:val="1"/>
          <w:bCs w:val="1"/>
          <w:i w:val="1"/>
          <w:iCs w:val="1"/>
          <w:sz w:val="22"/>
          <w:szCs w:val="22"/>
          <w:rtl w:val="0"/>
        </w:rPr>
        <w:t xml:space="preserve">Coordinación de Consultoría Jurídica</w:t>
      </w:r>
      <w:r w:rsidDel="00000000" w:rsidR="00000000" w:rsidRPr="00000000">
        <w:rPr>
          <w:rFonts w:ascii="Palatino Linotype" w:cs="Palatino Linotype" w:eastAsia="Palatino Linotype" w:hAnsi="Palatino Linotype"/>
          <w:i w:val="1"/>
          <w:iCs w:val="1"/>
          <w:sz w:val="22"/>
          <w:szCs w:val="22"/>
          <w:rtl w:val="0"/>
        </w:rPr>
        <w:t xml:space="preserve"> tiene las siguientes funciones:</w:t>
      </w:r>
    </w:p>
    <w:p w:rsidR="00000000" w:rsidDel="00000000" w:rsidP="00000000" w:rsidRDefault="00000000" w:rsidRPr="00000000" w14:paraId="000000E9">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EA">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IX</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 Recibir, registrar, dar contestación, elaborar, revisar y validar los documentos e información necesaria para la elaboración de contratos,</w:t>
      </w:r>
      <w:r w:rsidDel="00000000" w:rsidR="00000000" w:rsidRPr="00000000">
        <w:rPr>
          <w:rFonts w:ascii="Palatino Linotype" w:cs="Palatino Linotype" w:eastAsia="Palatino Linotype" w:hAnsi="Palatino Linotype"/>
          <w:i w:val="1"/>
          <w:iCs w:val="1"/>
          <w:sz w:val="22"/>
          <w:szCs w:val="22"/>
          <w:rtl w:val="0"/>
        </w:rPr>
        <w:t xml:space="preserve"> convenios, acuerdos y otros actos jurídicos que le soliciten las áreas del Ayuntamiento; </w:t>
      </w:r>
    </w:p>
    <w:p w:rsidR="00000000" w:rsidDel="00000000" w:rsidP="00000000" w:rsidRDefault="00000000" w:rsidRPr="00000000" w14:paraId="000000EB">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X. Apoyar a la Consejería Jurídica y Consultiva en la integración de expedientes relativos a los actos jurídicos que requieren autorización de la H. Legislatura del Estado de México;</w:t>
      </w:r>
    </w:p>
    <w:p w:rsidR="00000000" w:rsidDel="00000000" w:rsidP="00000000" w:rsidRDefault="00000000" w:rsidRPr="00000000" w14:paraId="000000EC">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XI. Integrar, archivar y tener bajo custodia los contratos,</w:t>
      </w:r>
      <w:r w:rsidDel="00000000" w:rsidR="00000000" w:rsidRPr="00000000">
        <w:rPr>
          <w:rFonts w:ascii="Palatino Linotype" w:cs="Palatino Linotype" w:eastAsia="Palatino Linotype" w:hAnsi="Palatino Linotype"/>
          <w:i w:val="1"/>
          <w:iCs w:val="1"/>
          <w:sz w:val="22"/>
          <w:szCs w:val="22"/>
          <w:rtl w:val="0"/>
        </w:rPr>
        <w:t xml:space="preserve"> convenios y acuerdos, así </w:t>
      </w:r>
      <w:r w:rsidDel="00000000" w:rsidR="00000000" w:rsidRPr="00000000">
        <w:rPr>
          <w:rFonts w:ascii="Palatino Linotype" w:cs="Palatino Linotype" w:eastAsia="Palatino Linotype" w:hAnsi="Palatino Linotype"/>
          <w:b w:val="1"/>
          <w:bCs w:val="1"/>
          <w:i w:val="1"/>
          <w:iCs w:val="1"/>
          <w:sz w:val="22"/>
          <w:szCs w:val="22"/>
          <w:rtl w:val="0"/>
        </w:rPr>
        <w:t xml:space="preserve">como sus expedientes</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ED">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XII. Integrar y difundir información de la normatividad municipal; </w:t>
      </w:r>
    </w:p>
    <w:p w:rsidR="00000000" w:rsidDel="00000000" w:rsidP="00000000" w:rsidRDefault="00000000" w:rsidRPr="00000000" w14:paraId="000000EE">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EF">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92.</w:t>
      </w:r>
      <w:r w:rsidDel="00000000" w:rsidR="00000000" w:rsidRPr="00000000">
        <w:rPr>
          <w:rFonts w:ascii="Palatino Linotype" w:cs="Palatino Linotype" w:eastAsia="Palatino Linotype" w:hAnsi="Palatino Linotype"/>
          <w:i w:val="1"/>
          <w:iCs w:val="1"/>
          <w:sz w:val="22"/>
          <w:szCs w:val="22"/>
          <w:rtl w:val="0"/>
        </w:rPr>
        <w:t xml:space="preserve"> La </w:t>
      </w:r>
      <w:r w:rsidDel="00000000" w:rsidR="00000000" w:rsidRPr="00000000">
        <w:rPr>
          <w:rFonts w:ascii="Palatino Linotype" w:cs="Palatino Linotype" w:eastAsia="Palatino Linotype" w:hAnsi="Palatino Linotype"/>
          <w:b w:val="1"/>
          <w:bCs w:val="1"/>
          <w:i w:val="1"/>
          <w:iCs w:val="1"/>
          <w:sz w:val="22"/>
          <w:szCs w:val="22"/>
          <w:rtl w:val="0"/>
        </w:rPr>
        <w:t xml:space="preserve">Dirección de Administración</w:t>
      </w:r>
      <w:r w:rsidDel="00000000" w:rsidR="00000000" w:rsidRPr="00000000">
        <w:rPr>
          <w:rFonts w:ascii="Palatino Linotype" w:cs="Palatino Linotype" w:eastAsia="Palatino Linotype" w:hAnsi="Palatino Linotype"/>
          <w:i w:val="1"/>
          <w:iCs w:val="1"/>
          <w:sz w:val="22"/>
          <w:szCs w:val="22"/>
          <w:rtl w:val="0"/>
        </w:rPr>
        <w:t xml:space="preserve"> es el área </w:t>
      </w:r>
      <w:r w:rsidDel="00000000" w:rsidR="00000000" w:rsidRPr="00000000">
        <w:rPr>
          <w:rFonts w:ascii="Palatino Linotype" w:cs="Palatino Linotype" w:eastAsia="Palatino Linotype" w:hAnsi="Palatino Linotype"/>
          <w:b w:val="1"/>
          <w:bCs w:val="1"/>
          <w:i w:val="1"/>
          <w:iCs w:val="1"/>
          <w:sz w:val="22"/>
          <w:szCs w:val="22"/>
          <w:rtl w:val="0"/>
        </w:rPr>
        <w:t xml:space="preserve">responsable de planear, administrar, dirigir y manejar los recursos </w:t>
      </w:r>
      <w:r w:rsidDel="00000000" w:rsidR="00000000" w:rsidRPr="00000000">
        <w:rPr>
          <w:rFonts w:ascii="Palatino Linotype" w:cs="Palatino Linotype" w:eastAsia="Palatino Linotype" w:hAnsi="Palatino Linotype"/>
          <w:i w:val="1"/>
          <w:iCs w:val="1"/>
          <w:sz w:val="22"/>
          <w:szCs w:val="22"/>
          <w:rtl w:val="0"/>
        </w:rPr>
        <w:t xml:space="preserve">humanos, </w:t>
      </w:r>
      <w:r w:rsidDel="00000000" w:rsidR="00000000" w:rsidRPr="00000000">
        <w:rPr>
          <w:rFonts w:ascii="Palatino Linotype" w:cs="Palatino Linotype" w:eastAsia="Palatino Linotype" w:hAnsi="Palatino Linotype"/>
          <w:b w:val="1"/>
          <w:bCs w:val="1"/>
          <w:i w:val="1"/>
          <w:iCs w:val="1"/>
          <w:sz w:val="22"/>
          <w:szCs w:val="22"/>
          <w:rtl w:val="0"/>
        </w:rPr>
        <w:t xml:space="preserve">materiales </w:t>
      </w:r>
      <w:r w:rsidDel="00000000" w:rsidR="00000000" w:rsidRPr="00000000">
        <w:rPr>
          <w:rFonts w:ascii="Palatino Linotype" w:cs="Palatino Linotype" w:eastAsia="Palatino Linotype" w:hAnsi="Palatino Linotype"/>
          <w:i w:val="1"/>
          <w:iCs w:val="1"/>
          <w:sz w:val="22"/>
          <w:szCs w:val="22"/>
          <w:rtl w:val="0"/>
        </w:rPr>
        <w:t xml:space="preserve">y los servicios </w:t>
      </w:r>
      <w:r w:rsidDel="00000000" w:rsidR="00000000" w:rsidRPr="00000000">
        <w:rPr>
          <w:rFonts w:ascii="Palatino Linotype" w:cs="Palatino Linotype" w:eastAsia="Palatino Linotype" w:hAnsi="Palatino Linotype"/>
          <w:b w:val="1"/>
          <w:bCs w:val="1"/>
          <w:i w:val="1"/>
          <w:iCs w:val="1"/>
          <w:sz w:val="22"/>
          <w:szCs w:val="22"/>
          <w:rtl w:val="0"/>
        </w:rPr>
        <w:t xml:space="preserve">de la Administración Pública Municipal</w:t>
      </w:r>
      <w:r w:rsidDel="00000000" w:rsidR="00000000" w:rsidRPr="00000000">
        <w:rPr>
          <w:rFonts w:ascii="Palatino Linotype" w:cs="Palatino Linotype" w:eastAsia="Palatino Linotype" w:hAnsi="Palatino Linotype"/>
          <w:i w:val="1"/>
          <w:iCs w:val="1"/>
          <w:sz w:val="22"/>
          <w:szCs w:val="22"/>
          <w:rtl w:val="0"/>
        </w:rPr>
        <w:t xml:space="preserve"> conforme a la normatividad y demás disposiciones vigentes, teniendo las siguientes atribuciones:</w:t>
      </w:r>
    </w:p>
    <w:p w:rsidR="00000000" w:rsidDel="00000000" w:rsidP="00000000" w:rsidRDefault="00000000" w:rsidRPr="00000000" w14:paraId="000000F0">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Reclutar, seleccionar, contratar y asignar a las diversas áreas de la Administración Pública Municipal el personal que requieren para el cumplimiento de sus funciones;</w:t>
      </w:r>
    </w:p>
    <w:p w:rsidR="00000000" w:rsidDel="00000000" w:rsidP="00000000" w:rsidRDefault="00000000" w:rsidRPr="00000000" w14:paraId="000000F1">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F2">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XVI. Elaborar el programa anual de adquisiciones con base en el presupuesto autorizado de la Administración Pública Municipal;</w:t>
      </w:r>
    </w:p>
    <w:p w:rsidR="00000000" w:rsidDel="00000000" w:rsidP="00000000" w:rsidRDefault="00000000" w:rsidRPr="00000000" w14:paraId="000000F3">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u w:val="single"/>
          <w:rtl w:val="0"/>
        </w:rPr>
        <w:t xml:space="preserve">XVII. Tener a su cargo el Almacén para la recepción, resguardo y entrega de los bienes que se adquieran en términos del marco jurídico aplicable</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F4">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F5">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XXIV. Suscribir contratos de adquisiciones de bienes </w:t>
      </w:r>
      <w:r w:rsidDel="00000000" w:rsidR="00000000" w:rsidRPr="00000000">
        <w:rPr>
          <w:rFonts w:ascii="Palatino Linotype" w:cs="Palatino Linotype" w:eastAsia="Palatino Linotype" w:hAnsi="Palatino Linotype"/>
          <w:i w:val="1"/>
          <w:iCs w:val="1"/>
          <w:sz w:val="22"/>
          <w:szCs w:val="22"/>
          <w:rtl w:val="0"/>
        </w:rPr>
        <w:t xml:space="preserve">muebles y contratación de servicios en términos de lo dispuesto en la normatividad aplicable y demás disposiciones a que haya lugar;</w:t>
      </w:r>
    </w:p>
    <w:p w:rsidR="00000000" w:rsidDel="00000000" w:rsidP="00000000" w:rsidRDefault="00000000" w:rsidRPr="00000000" w14:paraId="000000F6">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u w:val="single"/>
          <w:rtl w:val="0"/>
        </w:rPr>
        <w:t xml:space="preserve">XXV. Enviar a la Consejería Jurídica y Consultiva, para su validación, los contratos y convenios que deriven de los diversos procedimientos de adjudicación</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F7">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F8">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93.</w:t>
      </w:r>
      <w:r w:rsidDel="00000000" w:rsidR="00000000" w:rsidRPr="00000000">
        <w:rPr>
          <w:rFonts w:ascii="Palatino Linotype" w:cs="Palatino Linotype" w:eastAsia="Palatino Linotype" w:hAnsi="Palatino Linotype"/>
          <w:i w:val="1"/>
          <w:iCs w:val="1"/>
          <w:sz w:val="22"/>
          <w:szCs w:val="22"/>
          <w:rtl w:val="0"/>
        </w:rPr>
        <w:t xml:space="preserve"> La Dirección de Administración para el ejercicio de sus funciones, se auxiliará de las siguientes áreas:</w:t>
      </w:r>
    </w:p>
    <w:p w:rsidR="00000000" w:rsidDel="00000000" w:rsidP="00000000" w:rsidRDefault="00000000" w:rsidRPr="00000000" w14:paraId="000000F9">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FA">
      <w:pPr>
        <w:spacing w:line="276" w:lineRule="auto"/>
        <w:ind w:left="851" w:right="850"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IV</w:t>
      </w:r>
      <w:r w:rsidDel="00000000" w:rsidR="00000000" w:rsidRPr="00000000">
        <w:rPr>
          <w:rFonts w:ascii="Palatino Linotype" w:cs="Palatino Linotype" w:eastAsia="Palatino Linotype" w:hAnsi="Palatino Linotype"/>
          <w:b w:val="1"/>
          <w:bCs w:val="1"/>
          <w:i w:val="1"/>
          <w:iCs w:val="1"/>
          <w:sz w:val="22"/>
          <w:szCs w:val="22"/>
          <w:rtl w:val="0"/>
        </w:rPr>
        <w:t xml:space="preserve">. Departamento de Recursos Materiales;</w:t>
      </w:r>
    </w:p>
    <w:p w:rsidR="00000000" w:rsidDel="00000000" w:rsidP="00000000" w:rsidRDefault="00000000" w:rsidRPr="00000000" w14:paraId="000000FB">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a. Unidad de Adquisiciones y Contratos;</w:t>
      </w:r>
    </w:p>
    <w:p w:rsidR="00000000" w:rsidDel="00000000" w:rsidP="00000000" w:rsidRDefault="00000000" w:rsidRPr="00000000" w14:paraId="000000FC">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FD">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Artículo 99. El </w:t>
      </w:r>
      <w:r w:rsidDel="00000000" w:rsidR="00000000" w:rsidRPr="00000000">
        <w:rPr>
          <w:rFonts w:ascii="Palatino Linotype" w:cs="Palatino Linotype" w:eastAsia="Palatino Linotype" w:hAnsi="Palatino Linotype"/>
          <w:b w:val="1"/>
          <w:bCs w:val="1"/>
          <w:i w:val="1"/>
          <w:iCs w:val="1"/>
          <w:sz w:val="22"/>
          <w:szCs w:val="22"/>
          <w:rtl w:val="0"/>
        </w:rPr>
        <w:t xml:space="preserve">Departamento de Recursos Materiales</w:t>
      </w:r>
      <w:r w:rsidDel="00000000" w:rsidR="00000000" w:rsidRPr="00000000">
        <w:rPr>
          <w:rFonts w:ascii="Palatino Linotype" w:cs="Palatino Linotype" w:eastAsia="Palatino Linotype" w:hAnsi="Palatino Linotype"/>
          <w:i w:val="1"/>
          <w:iCs w:val="1"/>
          <w:sz w:val="22"/>
          <w:szCs w:val="22"/>
          <w:rtl w:val="0"/>
        </w:rPr>
        <w:t xml:space="preserve"> tiene las siguientes facultades y obligaciones:</w:t>
      </w:r>
    </w:p>
    <w:p w:rsidR="00000000" w:rsidDel="00000000" w:rsidP="00000000" w:rsidRDefault="00000000" w:rsidRPr="00000000" w14:paraId="000000FE">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FF">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u w:val="single"/>
          <w:rtl w:val="0"/>
        </w:rPr>
        <w:t xml:space="preserve">IV. Substanciar los procedimientos de adquisición de bienes </w:t>
      </w:r>
      <w:r w:rsidDel="00000000" w:rsidR="00000000" w:rsidRPr="00000000">
        <w:rPr>
          <w:rFonts w:ascii="Palatino Linotype" w:cs="Palatino Linotype" w:eastAsia="Palatino Linotype" w:hAnsi="Palatino Linotype"/>
          <w:i w:val="1"/>
          <w:iCs w:val="1"/>
          <w:sz w:val="22"/>
          <w:szCs w:val="22"/>
          <w:rtl w:val="0"/>
        </w:rPr>
        <w:t xml:space="preserve">o contratación para la prestación de servicios con apego a la normatividad de la materia;</w:t>
      </w:r>
    </w:p>
    <w:p w:rsidR="00000000" w:rsidDel="00000000" w:rsidP="00000000" w:rsidRDefault="00000000" w:rsidRPr="00000000" w14:paraId="00000100">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w:t>
      </w:r>
      <w:r w:rsidDel="00000000" w:rsidR="00000000" w:rsidRPr="00000000">
        <w:rPr>
          <w:rtl w:val="0"/>
        </w:rPr>
      </w:r>
    </w:p>
    <w:p w:rsidR="00000000" w:rsidDel="00000000" w:rsidP="00000000" w:rsidRDefault="00000000" w:rsidRPr="00000000" w14:paraId="00000101">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u w:val="single"/>
          <w:rtl w:val="0"/>
        </w:rPr>
        <w:t xml:space="preserve">IX. Apoyar a las diferentes Dependencias de la Administración Pública Municipal durante el procedimiento de adjudicación para la adquisición de bienes</w:t>
      </w:r>
      <w:r w:rsidDel="00000000" w:rsidR="00000000" w:rsidRPr="00000000">
        <w:rPr>
          <w:rFonts w:ascii="Palatino Linotype" w:cs="Palatino Linotype" w:eastAsia="Palatino Linotype" w:hAnsi="Palatino Linotype"/>
          <w:i w:val="1"/>
          <w:iCs w:val="1"/>
          <w:sz w:val="22"/>
          <w:szCs w:val="22"/>
          <w:rtl w:val="0"/>
        </w:rPr>
        <w:t xml:space="preserve"> o la contratación para la prestación de servicios; </w:t>
      </w:r>
    </w:p>
    <w:p w:rsidR="00000000" w:rsidDel="00000000" w:rsidP="00000000" w:rsidRDefault="00000000" w:rsidRPr="00000000" w14:paraId="00000102">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X</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 Elaborar los documentos respectivos, para enviar a validación de la Consejería Jurídica y Consultiva, los contratos que deriven de los procedimientos de adjudicación</w:t>
      </w:r>
      <w:r w:rsidDel="00000000" w:rsidR="00000000" w:rsidRPr="00000000">
        <w:rPr>
          <w:rFonts w:ascii="Palatino Linotype" w:cs="Palatino Linotype" w:eastAsia="Palatino Linotype" w:hAnsi="Palatino Linotype"/>
          <w:i w:val="1"/>
          <w:iCs w:val="1"/>
          <w:sz w:val="22"/>
          <w:szCs w:val="22"/>
          <w:rtl w:val="0"/>
        </w:rPr>
        <w:t xml:space="preserve">; y</w:t>
      </w:r>
    </w:p>
    <w:p w:rsidR="00000000" w:rsidDel="00000000" w:rsidP="00000000" w:rsidRDefault="00000000" w:rsidRPr="00000000" w14:paraId="00000103">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XI. Las demás que señalen otras disposiciones normativas de carácter federal, estatal o municipal en el ámbito de su competencia, el H. Ayuntamiento, la Presidenta Municipal y demás superiores, en su caso.</w:t>
      </w:r>
    </w:p>
    <w:p w:rsidR="00000000" w:rsidDel="00000000" w:rsidP="00000000" w:rsidRDefault="00000000" w:rsidRPr="00000000" w14:paraId="00000104">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05">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100.</w:t>
      </w:r>
      <w:r w:rsidDel="00000000" w:rsidR="00000000" w:rsidRPr="00000000">
        <w:rPr>
          <w:rFonts w:ascii="Palatino Linotype" w:cs="Palatino Linotype" w:eastAsia="Palatino Linotype" w:hAnsi="Palatino Linotype"/>
          <w:i w:val="1"/>
          <w:iCs w:val="1"/>
          <w:sz w:val="22"/>
          <w:szCs w:val="22"/>
          <w:rtl w:val="0"/>
        </w:rPr>
        <w:t xml:space="preserve"> La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Unidad de Adquisiciones y Contratos</w:t>
      </w:r>
      <w:r w:rsidDel="00000000" w:rsidR="00000000" w:rsidRPr="00000000">
        <w:rPr>
          <w:rFonts w:ascii="Palatino Linotype" w:cs="Palatino Linotype" w:eastAsia="Palatino Linotype" w:hAnsi="Palatino Linotype"/>
          <w:i w:val="1"/>
          <w:iCs w:val="1"/>
          <w:sz w:val="22"/>
          <w:szCs w:val="22"/>
          <w:rtl w:val="0"/>
        </w:rPr>
        <w:t xml:space="preserve"> cuenta con las siguientes facultades y obligaciones:</w:t>
      </w:r>
    </w:p>
    <w:p w:rsidR="00000000" w:rsidDel="00000000" w:rsidP="00000000" w:rsidRDefault="00000000" w:rsidRPr="00000000" w14:paraId="00000106">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w:t>
      </w:r>
      <w:r w:rsidDel="00000000" w:rsidR="00000000" w:rsidRPr="00000000">
        <w:rPr>
          <w:rFonts w:ascii="Palatino Linotype" w:cs="Palatino Linotype" w:eastAsia="Palatino Linotype" w:hAnsi="Palatino Linotype"/>
          <w:b w:val="1"/>
          <w:bCs w:val="1"/>
          <w:i w:val="1"/>
          <w:iCs w:val="1"/>
          <w:sz w:val="22"/>
          <w:szCs w:val="22"/>
          <w:rtl w:val="0"/>
        </w:rPr>
        <w:t xml:space="preserve">. Planear, organizar, programar y ejecutar los procedimientos de adquisiciones</w:t>
      </w:r>
      <w:r w:rsidDel="00000000" w:rsidR="00000000" w:rsidRPr="00000000">
        <w:rPr>
          <w:rFonts w:ascii="Palatino Linotype" w:cs="Palatino Linotype" w:eastAsia="Palatino Linotype" w:hAnsi="Palatino Linotype"/>
          <w:i w:val="1"/>
          <w:iCs w:val="1"/>
          <w:sz w:val="22"/>
          <w:szCs w:val="22"/>
          <w:rtl w:val="0"/>
        </w:rPr>
        <w:t xml:space="preserve"> y servicios </w:t>
      </w:r>
      <w:r w:rsidDel="00000000" w:rsidR="00000000" w:rsidRPr="00000000">
        <w:rPr>
          <w:rFonts w:ascii="Palatino Linotype" w:cs="Palatino Linotype" w:eastAsia="Palatino Linotype" w:hAnsi="Palatino Linotype"/>
          <w:b w:val="1"/>
          <w:bCs w:val="1"/>
          <w:i w:val="1"/>
          <w:iCs w:val="1"/>
          <w:sz w:val="22"/>
          <w:szCs w:val="22"/>
          <w:rtl w:val="0"/>
        </w:rPr>
        <w:t xml:space="preserve">en sus diferentes modalidades y etapas</w:t>
      </w:r>
      <w:r w:rsidDel="00000000" w:rsidR="00000000" w:rsidRPr="00000000">
        <w:rPr>
          <w:rFonts w:ascii="Palatino Linotype" w:cs="Palatino Linotype" w:eastAsia="Palatino Linotype" w:hAnsi="Palatino Linotype"/>
          <w:i w:val="1"/>
          <w:iCs w:val="1"/>
          <w:sz w:val="22"/>
          <w:szCs w:val="22"/>
          <w:rtl w:val="0"/>
        </w:rPr>
        <w:t xml:space="preserve"> como elaboración de bases, convocatoria, invitación a los integrantes del Comité de Adquisiciones y Servicios, venta y entrega de bases, junta aclaratoria, apertura y evaluación de propuestas, dictamen y fallo de las licitaciones públicas, invitación a cuando menos tres personas o invitación restringida y adjudicación directa;</w:t>
      </w:r>
    </w:p>
    <w:p w:rsidR="00000000" w:rsidDel="00000000" w:rsidP="00000000" w:rsidRDefault="00000000" w:rsidRPr="00000000" w14:paraId="00000107">
      <w:pPr>
        <w:spacing w:line="276" w:lineRule="auto"/>
        <w:ind w:left="851" w:right="850"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 Organizar, documentar y transparentar los procedimientos de adjudicación;</w:t>
      </w:r>
    </w:p>
    <w:p w:rsidR="00000000" w:rsidDel="00000000" w:rsidP="00000000" w:rsidRDefault="00000000" w:rsidRPr="00000000" w14:paraId="00000108">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III. Integrar, organizar y presentar ante el Comité de Adquisiciones y Servicios, para su análisis, evaluación y dictaminación, los expedientes de la adjudicación y demás asuntos competencia del citado órgano colegiado;</w:t>
      </w:r>
    </w:p>
    <w:p w:rsidR="00000000" w:rsidDel="00000000" w:rsidP="00000000" w:rsidRDefault="00000000" w:rsidRPr="00000000" w14:paraId="00000109">
      <w:pPr>
        <w:spacing w:line="276" w:lineRule="auto"/>
        <w:ind w:left="851" w:right="850"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IV. Integrar los expedientes derivados de los diversos procedimientos de adjudicación;</w:t>
      </w:r>
    </w:p>
    <w:p w:rsidR="00000000" w:rsidDel="00000000" w:rsidP="00000000" w:rsidRDefault="00000000" w:rsidRPr="00000000" w14:paraId="0000010A">
      <w:pPr>
        <w:spacing w:line="276" w:lineRule="auto"/>
        <w:ind w:left="851" w:right="850" w:firstLine="0"/>
        <w:jc w:val="both"/>
        <w:rPr>
          <w:rFonts w:ascii="Palatino Linotype" w:cs="Palatino Linotype" w:eastAsia="Palatino Linotype" w:hAnsi="Palatino Linotype"/>
          <w:b w:val="1"/>
          <w:bCs w:val="1"/>
          <w:i w:val="1"/>
          <w:iCs w:val="1"/>
          <w:sz w:val="22"/>
          <w:szCs w:val="22"/>
          <w:u w:val="single"/>
        </w:rPr>
      </w:pPr>
      <w:r w:rsidDel="00000000" w:rsidR="00000000" w:rsidRPr="00000000">
        <w:rPr>
          <w:rFonts w:ascii="Palatino Linotype" w:cs="Palatino Linotype" w:eastAsia="Palatino Linotype" w:hAnsi="Palatino Linotype"/>
          <w:i w:val="1"/>
          <w:iCs w:val="1"/>
          <w:sz w:val="22"/>
          <w:szCs w:val="22"/>
          <w:rtl w:val="0"/>
        </w:rPr>
        <w:t xml:space="preserve">V</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 Recibir, analizar y verificar que las requisiciones de adquisición de bienes</w:t>
      </w:r>
      <w:r w:rsidDel="00000000" w:rsidR="00000000" w:rsidRPr="00000000">
        <w:rPr>
          <w:rFonts w:ascii="Palatino Linotype" w:cs="Palatino Linotype" w:eastAsia="Palatino Linotype" w:hAnsi="Palatino Linotype"/>
          <w:i w:val="1"/>
          <w:iCs w:val="1"/>
          <w:sz w:val="22"/>
          <w:szCs w:val="22"/>
          <w:rtl w:val="0"/>
        </w:rPr>
        <w:t xml:space="preserve"> y contratación para la prestación de servicios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hayan sido elaboradas con los elementos y soportes técnico-administrativos suficientes para ser atendidas de acuerdo con las necesidades de la Administración Pública Municipal;</w:t>
      </w:r>
    </w:p>
    <w:p w:rsidR="00000000" w:rsidDel="00000000" w:rsidP="00000000" w:rsidRDefault="00000000" w:rsidRPr="00000000" w14:paraId="0000010B">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VI. Realizar las solicitudes de cotizaciones a efecto de elaborar el correspondiente cuadro comparativo y/o estudio de mercado con imparcialidad y transparencia, y apego a las disposiciones jurídicas, presupuestales y técnicas a que haya lugar;</w:t>
      </w:r>
    </w:p>
    <w:p w:rsidR="00000000" w:rsidDel="00000000" w:rsidP="00000000" w:rsidRDefault="00000000" w:rsidRPr="00000000" w14:paraId="0000010C">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VII. Revisar las cotizaciones con la finalidad de que correspondan con las características y especificaciones solicitadas por la Dirección de Administración;</w:t>
      </w:r>
    </w:p>
    <w:p w:rsidR="00000000" w:rsidDel="00000000" w:rsidP="00000000" w:rsidRDefault="00000000" w:rsidRPr="00000000" w14:paraId="0000010D">
      <w:pPr>
        <w:spacing w:line="276" w:lineRule="auto"/>
        <w:ind w:left="851" w:right="850"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VIII. Verificar que los bienes</w:t>
      </w:r>
      <w:r w:rsidDel="00000000" w:rsidR="00000000" w:rsidRPr="00000000">
        <w:rPr>
          <w:rFonts w:ascii="Palatino Linotype" w:cs="Palatino Linotype" w:eastAsia="Palatino Linotype" w:hAnsi="Palatino Linotype"/>
          <w:i w:val="1"/>
          <w:iCs w:val="1"/>
          <w:sz w:val="22"/>
          <w:szCs w:val="22"/>
          <w:rtl w:val="0"/>
        </w:rPr>
        <w:t xml:space="preserve"> y servicios </w:t>
      </w:r>
      <w:r w:rsidDel="00000000" w:rsidR="00000000" w:rsidRPr="00000000">
        <w:rPr>
          <w:rFonts w:ascii="Palatino Linotype" w:cs="Palatino Linotype" w:eastAsia="Palatino Linotype" w:hAnsi="Palatino Linotype"/>
          <w:b w:val="1"/>
          <w:bCs w:val="1"/>
          <w:i w:val="1"/>
          <w:iCs w:val="1"/>
          <w:sz w:val="22"/>
          <w:szCs w:val="22"/>
          <w:rtl w:val="0"/>
        </w:rPr>
        <w:t xml:space="preserve">cotizados cumplan con las especificaciones y características contenidas en las requisiciones;</w:t>
      </w:r>
    </w:p>
    <w:p w:rsidR="00000000" w:rsidDel="00000000" w:rsidP="00000000" w:rsidRDefault="00000000" w:rsidRPr="00000000" w14:paraId="0000010E">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IX. Contar con la documentación suficiente que sustente el correspondiente estudio de mercado;</w:t>
      </w:r>
    </w:p>
    <w:p w:rsidR="00000000" w:rsidDel="00000000" w:rsidP="00000000" w:rsidRDefault="00000000" w:rsidRPr="00000000" w14:paraId="0000010F">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110">
      <w:pPr>
        <w:spacing w:line="276" w:lineRule="auto"/>
        <w:ind w:left="851" w:right="850" w:firstLine="0"/>
        <w:jc w:val="both"/>
        <w:rPr>
          <w:rFonts w:ascii="Palatino Linotype" w:cs="Palatino Linotype" w:eastAsia="Palatino Linotype" w:hAnsi="Palatino Linotype"/>
          <w:b w:val="1"/>
          <w:bCs w:val="1"/>
          <w:i w:val="1"/>
          <w:iCs w:val="1"/>
          <w:sz w:val="22"/>
          <w:szCs w:val="22"/>
          <w:u w:val="single"/>
        </w:rPr>
      </w:pPr>
      <w:r w:rsidDel="00000000" w:rsidR="00000000" w:rsidRPr="00000000">
        <w:rPr>
          <w:rFonts w:ascii="Palatino Linotype" w:cs="Palatino Linotype" w:eastAsia="Palatino Linotype" w:hAnsi="Palatino Linotype"/>
          <w:b w:val="1"/>
          <w:bCs w:val="1"/>
          <w:i w:val="1"/>
          <w:iCs w:val="1"/>
          <w:sz w:val="22"/>
          <w:szCs w:val="22"/>
          <w:u w:val="single"/>
          <w:rtl w:val="0"/>
        </w:rPr>
        <w:t xml:space="preserve">XIII. Contar con la validación de Consejería Jurídica y Consultiva en los contratos derivados de los procedimientos de adjudicación;</w:t>
      </w:r>
    </w:p>
    <w:p w:rsidR="00000000" w:rsidDel="00000000" w:rsidP="00000000" w:rsidRDefault="00000000" w:rsidRPr="00000000" w14:paraId="00000111">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XIV. Implementar los mecanismos necesarios para formalizar y validar los contratos, recabar rúbricas y firmas de las y los proveedores, las y los prestadores de servicios, así como de las y los titulares de las Dependencias solicitantes, la o el titular de la Secretaría del Ayuntamiento y la Presidenta Municipal, según correspondan; ...”</w:t>
      </w:r>
    </w:p>
    <w:p w:rsidR="00000000" w:rsidDel="00000000" w:rsidP="00000000" w:rsidRDefault="00000000" w:rsidRPr="00000000" w14:paraId="00000112">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(Énfasis Añadido)</w:t>
      </w:r>
    </w:p>
    <w:p w:rsidR="00000000" w:rsidDel="00000000" w:rsidP="00000000" w:rsidRDefault="00000000" w:rsidRPr="00000000" w14:paraId="00000113">
      <w:pPr>
        <w:spacing w:line="276" w:lineRule="auto"/>
        <w:ind w:right="85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1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la normativa anterior se advierte que tanto la Consejería Jurídica y Consultiva como la Dirección de Administración del Ayuntamiento de Nicolás Romero cuentan con atribuciones para conocer de la información relacionada con la elaboración, validación y resguardo de los contratos y convenios que celebre o emita el Ayuntamiento; así como, substanciar los procedimientos de adquisición de bienes e integrar los expedientes derivados de los procedimientos de adquisición y recibir, analizar y verificar que las requisiciones de adquisición de bienes hayan sido elaboradas con los elementos y soportes técnico-administrativos suficientes para ser atendidas de acuerdo con las necesidades de la Administración Pública Municipal; por lo que, es dable afirmar que no se realizó el turno correcto de la presente solicitud, determinando que estamos ante una vulneración al derecho de acceso a la información del particular, por lo que para otorgar mayor certeza jurídica al particular, deberá ordenarse que se efectúe una búsqueda exhaustiva y razonable, para ello, dicho requerimiento debió turnarse a su vez a la </w:t>
      </w:r>
      <w:r w:rsidDel="00000000" w:rsidR="00000000" w:rsidRPr="00000000">
        <w:rPr>
          <w:rFonts w:ascii="Palatino Linotype" w:cs="Palatino Linotype" w:eastAsia="Palatino Linotype" w:hAnsi="Palatino Linotype"/>
          <w:b w:val="1"/>
          <w:bCs w:val="1"/>
          <w:sz w:val="22"/>
          <w:szCs w:val="22"/>
          <w:rtl w:val="0"/>
        </w:rPr>
        <w:t xml:space="preserve">Consejería Jurídica y Consultiva y la Dirección de Administración</w:t>
      </w:r>
      <w:r w:rsidDel="00000000" w:rsidR="00000000" w:rsidRPr="00000000">
        <w:rPr>
          <w:rFonts w:ascii="Palatino Linotype" w:cs="Palatino Linotype" w:eastAsia="Palatino Linotype" w:hAnsi="Palatino Linotype"/>
          <w:sz w:val="22"/>
          <w:szCs w:val="22"/>
          <w:rtl w:val="0"/>
        </w:rPr>
        <w:t xml:space="preserve"> del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 ese sentido, compete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rsidR="00000000" w:rsidDel="00000000" w:rsidP="00000000" w:rsidRDefault="00000000" w:rsidRPr="00000000" w14:paraId="0000011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 respuesta a los requerimientos informativos, deberá notificarse al interesado en el menor tiempo posible, que no podrá exceder de quince días hábiles, contados a partir del día siguiente a la presentación de esta. </w:t>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Excepcionalmente, el plazo referido podrá ampliarse por siete días hábiles más, cuando existan razones fundadas y motivadas, a través del Comité de Transparencia; </w:t>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El acceso se dará en la modalidad de entrega y en su caso, de envío elegido por la solicitante, cuando no pueda entregarse en dicha modalidad,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deberá ofrecer otras; por lo cual, deberá fundar y motivar la necesidad de modificar el medio de entrega, y </w:t>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1">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insertado con anterioridad, se determina que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cuenta con la obligación de turnar a todas las áreas que se consideren competentes para que realicen una búsqueda exhaustiva y razonable de la información solicitada a fin de que esta sea entregada a los solicitantes.</w:t>
      </w:r>
    </w:p>
    <w:p w:rsidR="00000000" w:rsidDel="00000000" w:rsidP="00000000" w:rsidRDefault="00000000" w:rsidRPr="00000000" w14:paraId="0000012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se debe entender que el trámite interno que se realice a las solicitudes de acceso a la información, es con el propósito de que se realice una búsqueda exhaustiva y razonable de la información entre sus archivos y, en su caso, se entregue la información de interés para el particular.</w:t>
      </w:r>
    </w:p>
    <w:p w:rsidR="00000000" w:rsidDel="00000000" w:rsidP="00000000" w:rsidRDefault="00000000" w:rsidRPr="00000000" w14:paraId="0000012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 precisar que dicho trámite se debe realizar ante el servidor público habilitado competente, el cual es conceptualizado por los artículos 3, 58 y 59 de la Ley de Transparencia Local, mismos que se insertan a continuación:</w:t>
      </w:r>
    </w:p>
    <w:p w:rsidR="00000000" w:rsidDel="00000000" w:rsidP="00000000" w:rsidRDefault="00000000" w:rsidRPr="00000000" w14:paraId="0000012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7">
      <w:pPr>
        <w:spacing w:line="276" w:lineRule="auto"/>
        <w:ind w:left="851" w:right="900" w:firstLine="0"/>
        <w:jc w:val="both"/>
        <w:rPr>
          <w:rFonts w:ascii="Palatino Linotype" w:cs="Palatino Linotype" w:eastAsia="Palatino Linotype" w:hAnsi="Palatino Linotype"/>
          <w:b w:val="1"/>
          <w:bCs w:val="1"/>
          <w:i w:val="1"/>
          <w:iCs w:val="1"/>
          <w:sz w:val="22"/>
          <w:szCs w:val="22"/>
          <w:u w:val="single"/>
        </w:rPr>
      </w:pPr>
      <w:r w:rsidDel="00000000" w:rsidR="00000000" w:rsidRPr="00000000">
        <w:rPr>
          <w:rFonts w:ascii="Palatino Linotype" w:cs="Palatino Linotype" w:eastAsia="Palatino Linotype" w:hAnsi="Palatino Linotype"/>
          <w:i w:val="1"/>
          <w:iCs w:val="1"/>
          <w:sz w:val="22"/>
          <w:szCs w:val="22"/>
          <w:rtl w:val="0"/>
        </w:rPr>
        <w:t xml:space="preserve">“XXXIX.Servidor público habilitado: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Persona encargada dentro de las diversas unidades administrativas o áreas del sujeto obligado, de apoyar, gestionar y entregar la información</w:t>
      </w:r>
      <w:r w:rsidDel="00000000" w:rsidR="00000000" w:rsidRPr="00000000">
        <w:rPr>
          <w:rFonts w:ascii="Palatino Linotype" w:cs="Palatino Linotype" w:eastAsia="Palatino Linotype" w:hAnsi="Palatino Linotype"/>
          <w:i w:val="1"/>
          <w:iCs w:val="1"/>
          <w:sz w:val="22"/>
          <w:szCs w:val="22"/>
          <w:rtl w:val="0"/>
        </w:rPr>
        <w:t xml:space="preserve"> o datos personales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que se ubiquen en la misma, a sus respectivas unidades de transparencia; respecto de las solicitudes presentadas y aportar en primera instancia el fundamento y motivación de la clasificación de la información;</w:t>
      </w:r>
    </w:p>
    <w:p w:rsidR="00000000" w:rsidDel="00000000" w:rsidP="00000000" w:rsidRDefault="00000000" w:rsidRPr="00000000" w14:paraId="00000128">
      <w:pPr>
        <w:spacing w:line="276"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129">
      <w:pPr>
        <w:spacing w:line="276" w:lineRule="auto"/>
        <w:ind w:left="851" w:right="900"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58. Los servidores públicos habilitados serán designados por el titular del sujeto obligado a propuesta del responsable de la Unidad de Transparencia.</w:t>
      </w:r>
    </w:p>
    <w:p w:rsidR="00000000" w:rsidDel="00000000" w:rsidP="00000000" w:rsidRDefault="00000000" w:rsidRPr="00000000" w14:paraId="0000012A">
      <w:pPr>
        <w:spacing w:line="276" w:lineRule="auto"/>
        <w:ind w:left="851" w:right="900"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59. Los servidores públicos habilitados tendrán las funciones siguientes:</w:t>
      </w:r>
    </w:p>
    <w:p w:rsidR="00000000" w:rsidDel="00000000" w:rsidP="00000000" w:rsidRDefault="00000000" w:rsidRPr="00000000" w14:paraId="0000012B">
      <w:pPr>
        <w:spacing w:line="276" w:lineRule="auto"/>
        <w:ind w:left="851" w:right="900"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 Localizar la información que le solicite la Unidad de Transparencia;</w:t>
      </w:r>
    </w:p>
    <w:p w:rsidR="00000000" w:rsidDel="00000000" w:rsidP="00000000" w:rsidRDefault="00000000" w:rsidRPr="00000000" w14:paraId="0000012C">
      <w:pPr>
        <w:spacing w:line="276" w:lineRule="auto"/>
        <w:ind w:left="851" w:right="900"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 Proporcionar la información que obre en los archivos y que le sea solicitada por la Unidad de Transparencia;</w:t>
      </w:r>
    </w:p>
    <w:p w:rsidR="00000000" w:rsidDel="00000000" w:rsidP="00000000" w:rsidRDefault="00000000" w:rsidRPr="00000000" w14:paraId="0000012D">
      <w:pPr>
        <w:spacing w:line="276"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III. Apoyar a la Unidad de Transparencia en lo que esta le solicite para el cumplimiento de sus funciones;</w:t>
      </w:r>
    </w:p>
    <w:p w:rsidR="00000000" w:rsidDel="00000000" w:rsidP="00000000" w:rsidRDefault="00000000" w:rsidRPr="00000000" w14:paraId="0000012E">
      <w:pPr>
        <w:spacing w:line="276"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IV. Proporcionar a la Unidad de Transparencia, las modificaciones a la información pública de oficio que obre en su poder;</w:t>
      </w:r>
    </w:p>
    <w:p w:rsidR="00000000" w:rsidDel="00000000" w:rsidP="00000000" w:rsidRDefault="00000000" w:rsidRPr="00000000" w14:paraId="0000012F">
      <w:pPr>
        <w:spacing w:line="276"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 Integrar y presentar al responsable de la Unidad de Transparencia la propuesta de clasificación de información, la cual tendrá los fundamentos y argumentos en que se basa dicha propuesta;</w:t>
      </w:r>
    </w:p>
    <w:p w:rsidR="00000000" w:rsidDel="00000000" w:rsidP="00000000" w:rsidRDefault="00000000" w:rsidRPr="00000000" w14:paraId="00000130">
      <w:pPr>
        <w:spacing w:line="276"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VI. Verificar, una vez analizado el contenido de la información, que no se encuentre en los supuestos de información clasificada; y</w:t>
      </w:r>
    </w:p>
    <w:p w:rsidR="00000000" w:rsidDel="00000000" w:rsidP="00000000" w:rsidRDefault="00000000" w:rsidRPr="00000000" w14:paraId="00000131">
      <w:pPr>
        <w:spacing w:line="276"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VII. Dar cuenta a la Unidad de Transparencia del vencimiento de los plazos de reserva.” (Énfasis añadido)</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Determinado lo anterior, se tiene que en el presente caso las unidades que también son competentes para conocer de esta solicitud de información son la Consejería Jurídica y Consultiva y la Dirección de Administración, de conformidad con el Reglamento Orgánico de la Administración Pública Municipal de Nicolás Romero, tal y como quedo precisado en líneas que anteceden. </w:t>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Bajo otro orden de ideas, se procede a analizar la naturaleza de la información solicitada que es la concerniente al expediente que se integró con motivo de la adquisición del Predio para la construcción del Hospital Regional del Instituto Mexicano del Seguro Social (IMSS) en Nicolás Romero, ubicado a un costado de la plaza Town Center, contemplando comprobantes de pago. </w:t>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Aunado a ello, es oportuno citar la siguiente normatividad, con sustento en los numerales Noveno, fracción XXVI, Quincuagésimo Sexto, fracciones I y V, Quincuagésimo Octavo, fracciones I, II y III, de Lineamientos para el Registro y Control del Inventario y la Conciliación y Desincorporación de Bienes Muebles e Inmuebles para las Entidades Fiscalizables Municipales del Estado de México, y los artículos 7.600 y 7.620 del Código Civil del Estado de México, a saber: </w:t>
      </w:r>
    </w:p>
    <w:p w:rsidR="00000000" w:rsidDel="00000000" w:rsidP="00000000" w:rsidRDefault="00000000" w:rsidRPr="00000000" w14:paraId="0000013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9">
      <w:pPr>
        <w:spacing w:line="276"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“NOVENO: Para efectos de los presentes Lineamientos, se entenderá por: </w:t>
      </w:r>
    </w:p>
    <w:p w:rsidR="00000000" w:rsidDel="00000000" w:rsidP="00000000" w:rsidRDefault="00000000" w:rsidRPr="00000000" w14:paraId="0000013A">
      <w:pPr>
        <w:spacing w:line="276"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13B">
      <w:pPr>
        <w:spacing w:line="276"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u w:val="single"/>
          <w:rtl w:val="0"/>
        </w:rPr>
        <w:t xml:space="preserve">XXVI. EXPEDIENTE INDIVIDUAL POR BIEN:</w:t>
      </w:r>
      <w:r w:rsidDel="00000000" w:rsidR="00000000" w:rsidRPr="00000000">
        <w:rPr>
          <w:rFonts w:ascii="Palatino Linotype" w:cs="Palatino Linotype" w:eastAsia="Palatino Linotype" w:hAnsi="Palatino Linotype"/>
          <w:i w:val="1"/>
          <w:iCs w:val="1"/>
          <w:sz w:val="22"/>
          <w:szCs w:val="22"/>
          <w:u w:val="single"/>
          <w:rtl w:val="0"/>
        </w:rPr>
        <w:t xml:space="preserve">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Al conjunto de documentos que refieren a un mismo objeto o lugar describiendo en cada documento las mismas características del bien</w:t>
      </w:r>
      <w:r w:rsidDel="00000000" w:rsidR="00000000" w:rsidRPr="00000000">
        <w:rPr>
          <w:rFonts w:ascii="Palatino Linotype" w:cs="Palatino Linotype" w:eastAsia="Palatino Linotype" w:hAnsi="Palatino Linotype"/>
          <w:i w:val="1"/>
          <w:iCs w:val="1"/>
          <w:sz w:val="22"/>
          <w:szCs w:val="22"/>
          <w:u w:val="single"/>
          <w:rtl w:val="0"/>
        </w:rPr>
        <w:t xml:space="preserve">, </w:t>
      </w:r>
      <w:r w:rsidDel="00000000" w:rsidR="00000000" w:rsidRPr="00000000">
        <w:rPr>
          <w:rFonts w:ascii="Palatino Linotype" w:cs="Palatino Linotype" w:eastAsia="Palatino Linotype" w:hAnsi="Palatino Linotype"/>
          <w:i w:val="1"/>
          <w:iCs w:val="1"/>
          <w:sz w:val="22"/>
          <w:szCs w:val="22"/>
          <w:rtl w:val="0"/>
        </w:rPr>
        <w:t xml:space="preserve">en el caso de los bienes muebles: resguardo, oficio de petición del bien por el área que lo solicita, vale de entrada y salida del almacén, póliza contable, factura, cuadro comparativo de adquisición, contrato de adquisición, seguro del bien.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En el caso de los bienes inmuebles: póliza contable, formato individual de inventario de bienes inmuebles, los documentos relativos a la adquisición, escritura pública a favor de la entidad fiscalizable</w:t>
      </w:r>
      <w:r w:rsidDel="00000000" w:rsidR="00000000" w:rsidRPr="00000000">
        <w:rPr>
          <w:rFonts w:ascii="Palatino Linotype" w:cs="Palatino Linotype" w:eastAsia="Palatino Linotype" w:hAnsi="Palatino Linotype"/>
          <w:i w:val="1"/>
          <w:iCs w:val="1"/>
          <w:sz w:val="22"/>
          <w:szCs w:val="22"/>
          <w:u w:val="single"/>
          <w:rtl w:val="0"/>
        </w:rPr>
        <w:t xml:space="preserve"> </w:t>
      </w:r>
      <w:r w:rsidDel="00000000" w:rsidR="00000000" w:rsidRPr="00000000">
        <w:rPr>
          <w:rFonts w:ascii="Palatino Linotype" w:cs="Palatino Linotype" w:eastAsia="Palatino Linotype" w:hAnsi="Palatino Linotype"/>
          <w:i w:val="1"/>
          <w:iCs w:val="1"/>
          <w:sz w:val="22"/>
          <w:szCs w:val="22"/>
          <w:rtl w:val="0"/>
        </w:rPr>
        <w:t xml:space="preserve">(en caso de estar en proceso de regularización presentar documentación que acredite los tramites), clave catastral, y plano del inmueble; </w:t>
      </w:r>
    </w:p>
    <w:p w:rsidR="00000000" w:rsidDel="00000000" w:rsidP="00000000" w:rsidRDefault="00000000" w:rsidRPr="00000000" w14:paraId="0000013C">
      <w:pPr>
        <w:spacing w:line="276"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 </w:t>
      </w:r>
    </w:p>
    <w:p w:rsidR="00000000" w:rsidDel="00000000" w:rsidP="00000000" w:rsidRDefault="00000000" w:rsidRPr="00000000" w14:paraId="0000013D">
      <w:pPr>
        <w:spacing w:line="276" w:lineRule="auto"/>
        <w:ind w:left="851" w:right="902"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SEXTO: Para adquirir bienes inmuebles por compra, se deberán satisfacer los siguientes requisitos: </w:t>
      </w:r>
    </w:p>
    <w:p w:rsidR="00000000" w:rsidDel="00000000" w:rsidP="00000000" w:rsidRDefault="00000000" w:rsidRPr="00000000" w14:paraId="0000013E">
      <w:pPr>
        <w:spacing w:line="276"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Observar lo establecido en el Código Civil del Estado de México, en la Ley de Bienes del Estado de México y sus Municipios, así como en el Reglamento del Registro Público de la Propiedad del Estado de México, en el Código Administrativo del Estado de México, entre otros; </w:t>
      </w:r>
    </w:p>
    <w:p w:rsidR="00000000" w:rsidDel="00000000" w:rsidP="00000000" w:rsidRDefault="00000000" w:rsidRPr="00000000" w14:paraId="0000013F">
      <w:pPr>
        <w:spacing w:line="276"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 Contar con acta del órgano máximo de gobierno, autorizando la adquisición, vía presupuesto de egresos</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140">
      <w:pPr>
        <w:spacing w:line="276"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III. Contar con un Comité de arrendamientos en términos de las disposiciones legales aplicables;</w:t>
      </w:r>
    </w:p>
    <w:p w:rsidR="00000000" w:rsidDel="00000000" w:rsidP="00000000" w:rsidRDefault="00000000" w:rsidRPr="00000000" w14:paraId="00000141">
      <w:pPr>
        <w:spacing w:line="276" w:lineRule="auto"/>
        <w:ind w:left="851" w:right="902"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IV</w:t>
      </w:r>
      <w:r w:rsidDel="00000000" w:rsidR="00000000" w:rsidRPr="00000000">
        <w:rPr>
          <w:rFonts w:ascii="Palatino Linotype" w:cs="Palatino Linotype" w:eastAsia="Palatino Linotype" w:hAnsi="Palatino Linotype"/>
          <w:b w:val="1"/>
          <w:bCs w:val="1"/>
          <w:i w:val="1"/>
          <w:iCs w:val="1"/>
          <w:sz w:val="22"/>
          <w:szCs w:val="22"/>
          <w:rtl w:val="0"/>
        </w:rPr>
        <w:t xml:space="preserve">. Contar con acta de fallo del Comité de arrendamientos, adquisiciones de inmuebles y enajenaciones;</w:t>
      </w:r>
    </w:p>
    <w:p w:rsidR="00000000" w:rsidDel="00000000" w:rsidP="00000000" w:rsidRDefault="00000000" w:rsidRPr="00000000" w14:paraId="00000142">
      <w:pPr>
        <w:spacing w:line="276"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Los bienes adquiridos se destinarán a cumplir con los planes y programas previamente establecidos; </w:t>
      </w:r>
    </w:p>
    <w:p w:rsidR="00000000" w:rsidDel="00000000" w:rsidP="00000000" w:rsidRDefault="00000000" w:rsidRPr="00000000" w14:paraId="00000143">
      <w:pPr>
        <w:spacing w:line="276" w:lineRule="auto"/>
        <w:ind w:left="851" w:right="902"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 Constar en escritura pública; </w:t>
      </w:r>
    </w:p>
    <w:p w:rsidR="00000000" w:rsidDel="00000000" w:rsidP="00000000" w:rsidRDefault="00000000" w:rsidRPr="00000000" w14:paraId="00000144">
      <w:pPr>
        <w:spacing w:line="276"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El secretario o en su caso el director general, elaborará la actualización administrativa del inventario de bienes inmuebles, por la adquisición de los bienes al valor de su adquisición, independientemente de su valor catastral y para ello contará con 30 días hábiles a partir de su adquisición, así mismo se deberá integrar un expediente individual por bien;</w:t>
      </w:r>
    </w:p>
    <w:p w:rsidR="00000000" w:rsidDel="00000000" w:rsidP="00000000" w:rsidRDefault="00000000" w:rsidRPr="00000000" w14:paraId="00000145">
      <w:pPr>
        <w:spacing w:line="276"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46">
      <w:pPr>
        <w:spacing w:line="276"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El síndico realizará las gestiones necesarias para regularizar la propiedad de los bienes inmuebles adquiridos, tendrán para ello un plazo de ciento veinte días hábiles contados a partir de la fecha de la adquisición, rindiendo un informe trimestral al Cabildo para su conocimiento y opinión;</w:t>
      </w:r>
    </w:p>
    <w:p w:rsidR="00000000" w:rsidDel="00000000" w:rsidP="00000000" w:rsidRDefault="00000000" w:rsidRPr="00000000" w14:paraId="00000147">
      <w:pPr>
        <w:spacing w:line="276"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48">
      <w:pPr>
        <w:spacing w:line="276"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Lo propio hará en el ámbito de su respectiva competencia, el servidor público titular del organismo descentralizado y fideicomisos públicos.</w:t>
      </w:r>
    </w:p>
    <w:p w:rsidR="00000000" w:rsidDel="00000000" w:rsidP="00000000" w:rsidRDefault="00000000" w:rsidRPr="00000000" w14:paraId="00000149">
      <w:pPr>
        <w:spacing w:line="276"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VI. Registrar contablemente la adquisición del bien;</w:t>
      </w:r>
    </w:p>
    <w:p w:rsidR="00000000" w:rsidDel="00000000" w:rsidP="00000000" w:rsidRDefault="00000000" w:rsidRPr="00000000" w14:paraId="0000014A">
      <w:pPr>
        <w:spacing w:line="276"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VII. Realizar el registro en el inventario de bienes inmuebles, libro especial y en el Sistema de Información Inmobiliaria; y</w:t>
      </w:r>
    </w:p>
    <w:p w:rsidR="00000000" w:rsidDel="00000000" w:rsidP="00000000" w:rsidRDefault="00000000" w:rsidRPr="00000000" w14:paraId="0000014B">
      <w:pPr>
        <w:spacing w:line="276"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VIII. Póliza</w:t>
      </w:r>
    </w:p>
    <w:p w:rsidR="00000000" w:rsidDel="00000000" w:rsidP="00000000" w:rsidRDefault="00000000" w:rsidRPr="00000000" w14:paraId="0000014C">
      <w:pPr>
        <w:spacing w:line="276" w:lineRule="auto"/>
        <w:ind w:left="851" w:right="902" w:firstLine="0"/>
        <w:jc w:val="both"/>
        <w:rPr>
          <w:rFonts w:ascii="Palatino Linotype" w:cs="Palatino Linotype" w:eastAsia="Palatino Linotype" w:hAnsi="Palatino Linotype"/>
          <w:b w:val="1"/>
          <w:bCs w:val="1"/>
          <w:i w:val="1"/>
          <w:iCs w:val="1"/>
          <w:sz w:val="22"/>
          <w:szCs w:val="22"/>
        </w:rPr>
      </w:pPr>
      <w:r w:rsidDel="00000000" w:rsidR="00000000" w:rsidRPr="00000000">
        <w:rPr>
          <w:rtl w:val="0"/>
        </w:rPr>
      </w:r>
    </w:p>
    <w:p w:rsidR="00000000" w:rsidDel="00000000" w:rsidP="00000000" w:rsidRDefault="00000000" w:rsidRPr="00000000" w14:paraId="0000014D">
      <w:pPr>
        <w:spacing w:line="276"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OCTAVO: </w:t>
      </w:r>
      <w:r w:rsidDel="00000000" w:rsidR="00000000" w:rsidRPr="00000000">
        <w:rPr>
          <w:rFonts w:ascii="Palatino Linotype" w:cs="Palatino Linotype" w:eastAsia="Palatino Linotype" w:hAnsi="Palatino Linotype"/>
          <w:i w:val="1"/>
          <w:iCs w:val="1"/>
          <w:sz w:val="22"/>
          <w:szCs w:val="22"/>
          <w:rtl w:val="0"/>
        </w:rPr>
        <w:t xml:space="preserve">Para adquirir bienes inmuebles por donación, se deberán satisfacer los siguientes requisitos:</w:t>
      </w:r>
    </w:p>
    <w:p w:rsidR="00000000" w:rsidDel="00000000" w:rsidP="00000000" w:rsidRDefault="00000000" w:rsidRPr="00000000" w14:paraId="0000014E">
      <w:pPr>
        <w:spacing w:line="276"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Observar lo establecido en el Código Financiero del Estado de México y Municipios, en el Código Civil del Estado de México, así como en la Ley de Bienes del Estado de México y sus Municipios;</w:t>
      </w:r>
    </w:p>
    <w:p w:rsidR="00000000" w:rsidDel="00000000" w:rsidP="00000000" w:rsidRDefault="00000000" w:rsidRPr="00000000" w14:paraId="0000014F">
      <w:pPr>
        <w:spacing w:line="276"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 Contar con el convenio de donación, donde se precisen las características del donativo, su valor individual por el bien objeto y la legal procedencia así como especificar si se encuentra libre de gravamen;</w:t>
      </w:r>
    </w:p>
    <w:p w:rsidR="00000000" w:rsidDel="00000000" w:rsidP="00000000" w:rsidRDefault="00000000" w:rsidRPr="00000000" w14:paraId="00000150">
      <w:pPr>
        <w:spacing w:line="276"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III. Constar en escritura pública;</w:t>
      </w:r>
    </w:p>
    <w:p w:rsidR="00000000" w:rsidDel="00000000" w:rsidP="00000000" w:rsidRDefault="00000000" w:rsidRPr="00000000" w14:paraId="00000151">
      <w:pPr>
        <w:spacing w:line="276"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52">
      <w:pPr>
        <w:spacing w:line="276"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El secretario o en su caso el director general, elaborará la actualización administrativa del inventario, por la adquisición de los bienes inmuebles y para ello contará con 30 días hábiles a partir de su adquisición, así mismo se deberá integrar un expediente individual por bien.</w:t>
      </w:r>
    </w:p>
    <w:p w:rsidR="00000000" w:rsidDel="00000000" w:rsidP="00000000" w:rsidRDefault="00000000" w:rsidRPr="00000000" w14:paraId="00000153">
      <w:pPr>
        <w:spacing w:line="276"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54">
      <w:pPr>
        <w:spacing w:line="276"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El síndico realizará las gestiones necesarias para regularizar la propiedad de los bienes inmuebles adquiridos, tendrá para ello un plazo de ciento veinte días hábiles contados a partir de la fecha de la adquisición, rindiendo un informe trimestral al Cabildo para su conocí miento y opinión.</w:t>
      </w:r>
    </w:p>
    <w:p w:rsidR="00000000" w:rsidDel="00000000" w:rsidP="00000000" w:rsidRDefault="00000000" w:rsidRPr="00000000" w14:paraId="00000155">
      <w:pPr>
        <w:spacing w:line="276"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56">
      <w:pPr>
        <w:spacing w:line="276"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El tesorero expedirá el recibo oficial de ingreso correspondiente por el valor del bien; si no se conoce se establecerá a precio del avalúo por perito calificado en la materia, o en su defecto a valor catastral.</w:t>
      </w:r>
    </w:p>
    <w:p w:rsidR="00000000" w:rsidDel="00000000" w:rsidP="00000000" w:rsidRDefault="00000000" w:rsidRPr="00000000" w14:paraId="00000157">
      <w:pPr>
        <w:spacing w:line="276"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58">
      <w:pPr>
        <w:spacing w:line="276"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“Formalidad de la compra de inmuebles</w:t>
      </w:r>
    </w:p>
    <w:p w:rsidR="00000000" w:rsidDel="00000000" w:rsidP="00000000" w:rsidRDefault="00000000" w:rsidRPr="00000000" w14:paraId="00000159">
      <w:pPr>
        <w:spacing w:line="276"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7.600.- </w:t>
      </w:r>
      <w:r w:rsidDel="00000000" w:rsidR="00000000" w:rsidRPr="00000000">
        <w:rPr>
          <w:rFonts w:ascii="Palatino Linotype" w:cs="Palatino Linotype" w:eastAsia="Palatino Linotype" w:hAnsi="Palatino Linotype"/>
          <w:i w:val="1"/>
          <w:iCs w:val="1"/>
          <w:sz w:val="22"/>
          <w:szCs w:val="22"/>
          <w:rtl w:val="0"/>
        </w:rPr>
        <w:t xml:space="preserve">Si se trata de bienes inmuebles, la venta debe otorgarse en escritura pública.</w:t>
      </w:r>
    </w:p>
    <w:p w:rsidR="00000000" w:rsidDel="00000000" w:rsidP="00000000" w:rsidRDefault="00000000" w:rsidRPr="00000000" w14:paraId="0000015A">
      <w:pPr>
        <w:spacing w:line="276"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Formalidad de la donación de inmuebles</w:t>
      </w:r>
    </w:p>
    <w:p w:rsidR="00000000" w:rsidDel="00000000" w:rsidP="00000000" w:rsidRDefault="00000000" w:rsidRPr="00000000" w14:paraId="0000015B">
      <w:pPr>
        <w:spacing w:line="276"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7.620</w:t>
      </w:r>
      <w:r w:rsidDel="00000000" w:rsidR="00000000" w:rsidRPr="00000000">
        <w:rPr>
          <w:rFonts w:ascii="Palatino Linotype" w:cs="Palatino Linotype" w:eastAsia="Palatino Linotype" w:hAnsi="Palatino Linotype"/>
          <w:i w:val="1"/>
          <w:iCs w:val="1"/>
          <w:sz w:val="22"/>
          <w:szCs w:val="22"/>
          <w:rtl w:val="0"/>
        </w:rPr>
        <w:t xml:space="preserve">.- La donación de inmuebles se hará en la misma forma que para su venta exige la ley.”</w:t>
      </w:r>
    </w:p>
    <w:p w:rsidR="00000000" w:rsidDel="00000000" w:rsidP="00000000" w:rsidRDefault="00000000" w:rsidRPr="00000000" w14:paraId="0000015C">
      <w:pPr>
        <w:spacing w:line="276" w:lineRule="auto"/>
        <w:ind w:right="902"/>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5D">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conformidad a la normatividad antes señalada, los bienes inmuebles deben contar con un </w:t>
      </w:r>
      <w:r w:rsidDel="00000000" w:rsidR="00000000" w:rsidRPr="00000000">
        <w:rPr>
          <w:rFonts w:ascii="Palatino Linotype" w:cs="Palatino Linotype" w:eastAsia="Palatino Linotype" w:hAnsi="Palatino Linotype"/>
          <w:b w:val="1"/>
          <w:bCs w:val="1"/>
          <w:sz w:val="22"/>
          <w:szCs w:val="22"/>
          <w:u w:val="single"/>
          <w:rtl w:val="0"/>
        </w:rPr>
        <w:t xml:space="preserve">expediente individual</w:t>
      </w:r>
      <w:r w:rsidDel="00000000" w:rsidR="00000000" w:rsidRPr="00000000">
        <w:rPr>
          <w:rFonts w:ascii="Palatino Linotype" w:cs="Palatino Linotype" w:eastAsia="Palatino Linotype" w:hAnsi="Palatino Linotype"/>
          <w:sz w:val="22"/>
          <w:szCs w:val="22"/>
          <w:rtl w:val="0"/>
        </w:rPr>
        <w:t xml:space="preserve"> que es el conjunto de documentos que refieren a un mismo objeto o lugar describiendo en cada documento las mismas características del bien, en donde se advierte que debe obrar la escritura pública, además de que para la formalidad de la compra y donación de bienes inmuebles, deberán otorgarse en escritura pública, no obstante, el síndico realizará las gestiones necesarias para regularizar la propiedad de los bienes inmuebles adquiridos, tendrán para ello un plazo de ciento veinte días hábiles contados a partir de la fecha de la adquisición, motivo por el que se ordena el expediente integrado derivado de la adquisición del bien inmueble que se encuentra a un costado de la plaza Town Center, en el que se proyectó la construcción de una clínica de especialidades del IMSS, del que deberá contemplarse el documento que dé cuenta del pago realizado por la compra, generado al veintinueve de mayo de dos mil veinticinco, de ser procedente en versión pública, en términos del considerando quinto. </w:t>
      </w:r>
    </w:p>
    <w:p w:rsidR="00000000" w:rsidDel="00000000" w:rsidP="00000000" w:rsidRDefault="00000000" w:rsidRPr="00000000" w14:paraId="0000015E">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respecto a los “</w:t>
      </w:r>
      <w:r w:rsidDel="00000000" w:rsidR="00000000" w:rsidRPr="00000000">
        <w:rPr>
          <w:rFonts w:ascii="Palatino Linotype" w:cs="Palatino Linotype" w:eastAsia="Palatino Linotype" w:hAnsi="Palatino Linotype"/>
          <w:b w:val="1"/>
          <w:bCs w:val="1"/>
          <w:i w:val="1"/>
          <w:iCs w:val="1"/>
          <w:sz w:val="22"/>
          <w:szCs w:val="22"/>
          <w:rtl w:val="0"/>
        </w:rPr>
        <w:t xml:space="preserve">Oficios que el IMSS emite al Ayuntamiento, donde expresa que no es posible la inversión en el predio por no contar con certeza jurídica”</w:t>
      </w:r>
      <w:r w:rsidDel="00000000" w:rsidR="00000000" w:rsidRPr="00000000">
        <w:rPr>
          <w:rFonts w:ascii="Palatino Linotype" w:cs="Palatino Linotype" w:eastAsia="Palatino Linotype" w:hAnsi="Palatino Linotype"/>
          <w:sz w:val="22"/>
          <w:szCs w:val="22"/>
          <w:rtl w:val="0"/>
        </w:rPr>
        <w:t xml:space="preserve">, este Organismo Garante encontró dentro de la página del Ayuntamiento</w:t>
      </w:r>
      <w:r w:rsidDel="00000000" w:rsidR="00000000" w:rsidRPr="00000000">
        <w:rPr>
          <w:rFonts w:ascii="Palatino Linotype" w:cs="Palatino Linotype" w:eastAsia="Palatino Linotype" w:hAnsi="Palatino Linotype"/>
          <w:sz w:val="22"/>
          <w:szCs w:val="22"/>
          <w:vertAlign w:val="superscript"/>
        </w:rPr>
        <w:footnoteReference w:customMarkFollows="0" w:id="1"/>
      </w:r>
      <w:r w:rsidDel="00000000" w:rsidR="00000000" w:rsidRPr="00000000">
        <w:rPr>
          <w:rFonts w:ascii="Palatino Linotype" w:cs="Palatino Linotype" w:eastAsia="Palatino Linotype" w:hAnsi="Palatino Linotype"/>
          <w:sz w:val="22"/>
          <w:szCs w:val="22"/>
          <w:rtl w:val="0"/>
        </w:rPr>
        <w:t xml:space="preserve"> que el proyecto para la construcción del hospital de especialidades del IMSS en Nicolás Romero, estuvo detenido desde 2021 por errores jurídicos, destacando la actual Presidenta Municipal que el plan del hospital no había podido ir hacia adelante e incluso, que estuvo en riesgo de perderse, debido a diversas inconsistencias legales dentro de un proceso que se encontraba viciado, pues no había certeza jurídica, lo que hubiera causado que el IMSS se lo llevara a otra demarcación, tal y como se muestra a continuación: </w:t>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760720" cy="2914650"/>
            <wp:effectExtent b="0" l="0" r="0" t="0"/>
            <wp:docPr id="19"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5760720" cy="2914650"/>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760720" cy="2546350"/>
            <wp:effectExtent b="0" l="0" r="0" t="0"/>
            <wp:docPr id="21"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5760720" cy="254635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-41909</wp:posOffset>
                </wp:positionH>
                <wp:positionV relativeFrom="paragraph">
                  <wp:posOffset>731520</wp:posOffset>
                </wp:positionV>
                <wp:extent cx="5765800" cy="285750"/>
                <wp:effectExtent b="0" l="0" r="0" t="0"/>
                <wp:wrapNone/>
                <wp:docPr id="2" name=""/>
                <a:graphic>
                  <a:graphicData uri="http://schemas.microsoft.com/office/word/2010/wordprocessingShape">
                    <wps:wsp>
                      <wps:cNvSpPr/>
                      <wps:cNvPr id="3" name="Shape 3"/>
                      <wps:spPr>
                        <a:xfrm>
                          <a:off x="2472625" y="3646650"/>
                          <a:ext cx="5746750" cy="266700"/>
                        </a:xfrm>
                        <a:prstGeom prst="rect">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-41909</wp:posOffset>
                </wp:positionH>
                <wp:positionV relativeFrom="paragraph">
                  <wp:posOffset>731520</wp:posOffset>
                </wp:positionV>
                <wp:extent cx="5765800" cy="285750"/>
                <wp:effectExtent b="0" l="0" r="0" t="0"/>
                <wp:wrapNone/>
                <wp:docPr id="2" name="image16.png"/>
                <a:graphic>
                  <a:graphicData uri="http://schemas.openxmlformats.org/drawingml/2006/picture">
                    <pic:pic>
                      <pic:nvPicPr>
                        <pic:cNvPr id="0" name="image16.png"/>
                        <pic:cNvPicPr preferRelativeResize="0"/>
                      </pic:nvPicPr>
                      <pic:blipFill>
                        <a:blip r:embed="rId11"/>
                        <a:srcRect/>
                        <a:stretch>
                          <a:fillRect/>
                        </a:stretch>
                      </pic:blipFill>
                      <pic:spPr>
                        <a:xfrm>
                          <a:off x="0" y="0"/>
                          <a:ext cx="5765800" cy="285750"/>
                        </a:xfrm>
                        <a:prstGeom prst="rect"/>
                        <a:ln/>
                      </pic:spPr>
                    </pic:pic>
                  </a:graphicData>
                </a:graphic>
              </wp:anchor>
            </w:drawing>
          </mc:Fallback>
        </mc:AlternateContent>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la cita referida con anterioridad se advierte que si bien es cierto la Actual presidenta municipal explicó que el plan del hospital no había podido ir hacia adelante debido a diversas inconsistencias legales dentro de un proceso que se encontraba viciado, pues no había certeza jurídica, lo cierto es que, no se tiene certeza que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u w:val="single"/>
          <w:rtl w:val="0"/>
        </w:rPr>
        <w:t xml:space="preserve">cuente con un oficio emitido por el Instituto Mexicano del Seguro Social tal </w:t>
      </w:r>
      <w:r w:rsidDel="00000000" w:rsidR="00000000" w:rsidRPr="00000000">
        <w:rPr>
          <w:rFonts w:ascii="Palatino Linotype" w:cs="Palatino Linotype" w:eastAsia="Palatino Linotype" w:hAnsi="Palatino Linotype"/>
          <w:sz w:val="22"/>
          <w:szCs w:val="22"/>
          <w:rtl w:val="0"/>
        </w:rPr>
        <w:t xml:space="preserve">y como lo solicita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no obstante, los </w:t>
      </w:r>
      <w:r w:rsidDel="00000000" w:rsidR="00000000" w:rsidRPr="00000000">
        <w:rPr>
          <w:rFonts w:ascii="Palatino Linotype" w:cs="Palatino Linotype" w:eastAsia="Palatino Linotype" w:hAnsi="Palatino Linotype"/>
          <w:b w:val="1"/>
          <w:bCs w:val="1"/>
          <w:sz w:val="22"/>
          <w:szCs w:val="22"/>
          <w:rtl w:val="0"/>
        </w:rPr>
        <w:t xml:space="preserve">Sujetos Obligados</w:t>
      </w:r>
      <w:r w:rsidDel="00000000" w:rsidR="00000000" w:rsidRPr="00000000">
        <w:rPr>
          <w:rFonts w:ascii="Palatino Linotype" w:cs="Palatino Linotype" w:eastAsia="Palatino Linotype" w:hAnsi="Palatino Linotype"/>
          <w:sz w:val="22"/>
          <w:szCs w:val="22"/>
          <w:rtl w:val="0"/>
        </w:rPr>
        <w:t xml:space="preserve"> cuentan con el deber de dar a las solicitudes una interpretación que les dé una expresión documental, ya que </w:t>
      </w:r>
      <w:r w:rsidDel="00000000" w:rsidR="00000000" w:rsidRPr="00000000">
        <w:rPr>
          <w:rFonts w:ascii="Palatino Linotype" w:cs="Palatino Linotype" w:eastAsia="Palatino Linotype" w:hAnsi="Palatino Linotype"/>
          <w:b w:val="1"/>
          <w:bCs w:val="1"/>
          <w:sz w:val="22"/>
          <w:szCs w:val="22"/>
          <w:rtl w:val="0"/>
        </w:rPr>
        <w:t xml:space="preserve">para que el derecho de acceso a la información pública de los particulares se satisfaga</w:t>
      </w:r>
      <w:r w:rsidDel="00000000" w:rsidR="00000000" w:rsidRPr="00000000">
        <w:rPr>
          <w:rFonts w:ascii="Palatino Linotype" w:cs="Palatino Linotype" w:eastAsia="Palatino Linotype" w:hAnsi="Palatino Linotype"/>
          <w:sz w:val="22"/>
          <w:szCs w:val="22"/>
          <w:rtl w:val="0"/>
        </w:rPr>
        <w:t xml:space="preserve"> completamente, </w:t>
      </w:r>
      <w:r w:rsidDel="00000000" w:rsidR="00000000" w:rsidRPr="00000000">
        <w:rPr>
          <w:rFonts w:ascii="Palatino Linotype" w:cs="Palatino Linotype" w:eastAsia="Palatino Linotype" w:hAnsi="Palatino Linotype"/>
          <w:b w:val="1"/>
          <w:bCs w:val="1"/>
          <w:sz w:val="22"/>
          <w:szCs w:val="22"/>
          <w:rtl w:val="0"/>
        </w:rPr>
        <w:t xml:space="preserve">es necesario que se les brinde el acceso a datos, registros y todo tipo de información pública que conste en documentos, ya sea generados o que se encuentre en posesión de las autoridades, </w:t>
      </w:r>
      <w:r w:rsidDel="00000000" w:rsidR="00000000" w:rsidRPr="00000000">
        <w:rPr>
          <w:rFonts w:ascii="Palatino Linotype" w:cs="Palatino Linotype" w:eastAsia="Palatino Linotype" w:hAnsi="Palatino Linotype"/>
          <w:sz w:val="22"/>
          <w:szCs w:val="22"/>
          <w:rtl w:val="0"/>
        </w:rPr>
        <w:t xml:space="preserve">por tal motivo, privilegiando el principio de máxima publicidad, se deberá proceder a la entrega del soporte documental en donde conste la información que brinde respuesta a la solicitud, así el particular podrá buscar conforme a su interés.</w:t>
      </w:r>
    </w:p>
    <w:p w:rsidR="00000000" w:rsidDel="00000000" w:rsidP="00000000" w:rsidRDefault="00000000" w:rsidRPr="00000000" w14:paraId="0000016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sustento a lo anterior resulta aplicable el Criterio orientador 16/17, emitido por el Instituto Nacional de Transparencia, Acceso a la Información y Protección de Datos Personales, INAI, establece lo siguiente: </w:t>
      </w:r>
    </w:p>
    <w:p w:rsidR="00000000" w:rsidDel="00000000" w:rsidP="00000000" w:rsidRDefault="00000000" w:rsidRPr="00000000" w14:paraId="00000166">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line="276" w:lineRule="auto"/>
        <w:ind w:left="851" w:right="85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Expresión documental. </w:t>
      </w:r>
      <w:r w:rsidDel="00000000" w:rsidR="00000000" w:rsidRPr="00000000">
        <w:rPr>
          <w:rFonts w:ascii="Palatino Linotype" w:cs="Palatino Linotype" w:eastAsia="Palatino Linotype" w:hAnsi="Palatino Linotype"/>
          <w:i w:val="1"/>
          <w:iCs w:val="1"/>
          <w:sz w:val="22"/>
          <w:szCs w:val="22"/>
          <w:rtl w:val="0"/>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rsidR="00000000" w:rsidDel="00000000" w:rsidP="00000000" w:rsidRDefault="00000000" w:rsidRPr="00000000" w14:paraId="00000168">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6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ello, la Ley de la materia otorga la calidad de documento a los </w:t>
      </w:r>
      <w:r w:rsidDel="00000000" w:rsidR="00000000" w:rsidRPr="00000000">
        <w:rPr>
          <w:rFonts w:ascii="Palatino Linotype" w:cs="Palatino Linotype" w:eastAsia="Palatino Linotype" w:hAnsi="Palatino Linotype"/>
          <w:sz w:val="22"/>
          <w:szCs w:val="22"/>
          <w:u w:val="single"/>
          <w:rtl w:val="0"/>
        </w:rPr>
        <w:t xml:space="preserve">expedientes, reportes, estudios, actas, resoluciones, oficios, correspondencia, acuerdos, directivas, directrices, circulares, contratos, convenios, instructivos, notas, memorandos, estadísticas</w:t>
      </w:r>
      <w:r w:rsidDel="00000000" w:rsidR="00000000" w:rsidRPr="00000000">
        <w:rPr>
          <w:rFonts w:ascii="Palatino Linotype" w:cs="Palatino Linotype" w:eastAsia="Palatino Linotype" w:hAnsi="Palatino Linotype"/>
          <w:sz w:val="22"/>
          <w:szCs w:val="22"/>
          <w:rtl w:val="0"/>
        </w:rPr>
        <w:t xml:space="preserve"> o bien, </w:t>
      </w:r>
      <w:r w:rsidDel="00000000" w:rsidR="00000000" w:rsidRPr="00000000">
        <w:rPr>
          <w:rFonts w:ascii="Palatino Linotype" w:cs="Palatino Linotype" w:eastAsia="Palatino Linotype" w:hAnsi="Palatino Linotype"/>
          <w:b w:val="1"/>
          <w:bCs w:val="1"/>
          <w:sz w:val="22"/>
          <w:szCs w:val="22"/>
          <w:rtl w:val="0"/>
        </w:rPr>
        <w:t xml:space="preserve">cualquier otro registro que documente el ejercicio de las facultades, funciones y competencias de los sujetos obligados</w:t>
      </w:r>
      <w:r w:rsidDel="00000000" w:rsidR="00000000" w:rsidRPr="00000000">
        <w:rPr>
          <w:rFonts w:ascii="Palatino Linotype" w:cs="Palatino Linotype" w:eastAsia="Palatino Linotype" w:hAnsi="Palatino Linotype"/>
          <w:sz w:val="22"/>
          <w:szCs w:val="22"/>
          <w:rtl w:val="0"/>
        </w:rPr>
        <w:t xml:space="preserve">, sus servidores públicos e integrantes, sin importar su fuente o fecha de elaboración. Los documentos podrán estar en cualquier medio, sea escrito, impreso, sonoro, visual, electrónico, informático u holográfico.</w:t>
      </w:r>
    </w:p>
    <w:p w:rsidR="00000000" w:rsidDel="00000000" w:rsidP="00000000" w:rsidRDefault="00000000" w:rsidRPr="00000000" w14:paraId="0000016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B">
      <w:pPr>
        <w:widowControl w:val="0"/>
        <w:pBdr>
          <w:top w:space="0" w:sz="0" w:val="nil"/>
          <w:left w:space="0" w:sz="0" w:val="nil"/>
          <w:bottom w:space="0" w:sz="0" w:val="nil"/>
          <w:right w:space="0" w:sz="0" w:val="nil"/>
          <w:between w:space="0" w:sz="0" w:val="nil"/>
        </w:pBdr>
        <w:tabs>
          <w:tab w:val="left" w:leader="none" w:pos="1701"/>
          <w:tab w:val="left" w:leader="none" w:pos="1843"/>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Ante tales manifestaciones, este Organismo Garante determina ordenar al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previa búsqueda exhaustiva y razonable, la entrega del documento remitido por el IMSS al Ayuntamiento en el que se expresó la imposibilidad de la inversión en el predio por no contar con certeza jurídica.</w:t>
      </w:r>
    </w:p>
    <w:p w:rsidR="00000000" w:rsidDel="00000000" w:rsidP="00000000" w:rsidRDefault="00000000" w:rsidRPr="00000000" w14:paraId="0000016C">
      <w:pPr>
        <w:widowControl w:val="0"/>
        <w:pBdr>
          <w:top w:space="0" w:sz="0" w:val="nil"/>
          <w:left w:space="0" w:sz="0" w:val="nil"/>
          <w:bottom w:space="0" w:sz="0" w:val="nil"/>
          <w:right w:space="0" w:sz="0" w:val="nil"/>
          <w:between w:space="0" w:sz="0" w:val="nil"/>
        </w:pBdr>
        <w:tabs>
          <w:tab w:val="left" w:leader="none" w:pos="1701"/>
          <w:tab w:val="left" w:leader="none" w:pos="1843"/>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obstante de lo anterior, para el caso de que la información no obre en los archivos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por no haberse actualizado el supuesto indicado por el particular, bastará con que así se haga del conocimiento de la persona solicitante de manera fundada y motivada, para tener por colmado su derecho de acceso a la información, en términos de lo dispuesto por el artículo 19, párrafo segundo de la Ley de Transparencia y Acceso a la Información Pública del Estado de México y Municipios, a saber:</w:t>
      </w:r>
    </w:p>
    <w:p w:rsidR="00000000" w:rsidDel="00000000" w:rsidP="00000000" w:rsidRDefault="00000000" w:rsidRPr="00000000" w14:paraId="0000016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F">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19…</w:t>
      </w:r>
      <w:r w:rsidDel="00000000" w:rsidR="00000000" w:rsidRPr="00000000">
        <w:rPr>
          <w:rtl w:val="0"/>
        </w:rPr>
      </w:r>
    </w:p>
    <w:p w:rsidR="00000000" w:rsidDel="00000000" w:rsidP="00000000" w:rsidRDefault="00000000" w:rsidRPr="00000000" w14:paraId="00000170">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los casos en que ciertas facultades, competencias o funciones no se hayan ejercido, se debe motivar la respuesta en función de las causas que motiven tal circunstancia.”</w:t>
      </w:r>
    </w:p>
    <w:p w:rsidR="00000000" w:rsidDel="00000000" w:rsidP="00000000" w:rsidRDefault="00000000" w:rsidRPr="00000000" w14:paraId="00000171">
      <w:pPr>
        <w:ind w:left="851"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72">
      <w:pPr>
        <w:spacing w:line="360" w:lineRule="auto"/>
        <w:ind w:right="9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improcedente, en tal supuesto, la entrega de documento alguno, o en su caso, el Acuerdo de Inexistencia, toda vez que el pronunciamiento del Sujeto Obligado declararía en automática la inexistencia de la información solicitada de modo que no existe obligación de justificar o allegar pruebas, y por ende no tiene aplicación lo estatuido en el artículo 49, fracción XIII de la Ley de Transparencia y Acceso a la Información Pública del Estado de México y Municipios. </w:t>
      </w:r>
    </w:p>
    <w:p w:rsidR="00000000" w:rsidDel="00000000" w:rsidP="00000000" w:rsidRDefault="00000000" w:rsidRPr="00000000" w14:paraId="00000173">
      <w:pPr>
        <w:spacing w:line="360" w:lineRule="auto"/>
        <w:ind w:right="49"/>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174">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Quinto. Versión Pública. </w:t>
      </w:r>
      <w:r w:rsidDel="00000000" w:rsidR="00000000" w:rsidRPr="00000000">
        <w:rPr>
          <w:rFonts w:ascii="Palatino Linotype" w:cs="Palatino Linotype" w:eastAsia="Palatino Linotype" w:hAnsi="Palatino Linotype"/>
          <w:sz w:val="22"/>
          <w:szCs w:val="22"/>
          <w:rtl w:val="0"/>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sin menoscabar el derecho a la protección de los datos personales de terceros.</w:t>
      </w:r>
    </w:p>
    <w:p w:rsidR="00000000" w:rsidDel="00000000" w:rsidP="00000000" w:rsidRDefault="00000000" w:rsidRPr="00000000" w14:paraId="00000175">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6">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de conformidad a lo que señalan los artículos 3, fracciones IX, XX, XXXII, XLV; 6, 137 y 143 fracción I, de la Ley de Transparencia y Acceso a la Información Pública del Estado de México y Municipios vigente, que se leen como sigue:</w:t>
      </w:r>
    </w:p>
    <w:p w:rsidR="00000000" w:rsidDel="00000000" w:rsidP="00000000" w:rsidRDefault="00000000" w:rsidRPr="00000000" w14:paraId="00000177">
      <w:pPr>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tl w:val="0"/>
        </w:rPr>
      </w:r>
    </w:p>
    <w:p w:rsidR="00000000" w:rsidDel="00000000" w:rsidP="00000000" w:rsidRDefault="00000000" w:rsidRPr="00000000" w14:paraId="00000178">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 “Artículo 3. Para los efectos de la presente Ley se entenderá por:</w:t>
      </w:r>
    </w:p>
    <w:p w:rsidR="00000000" w:rsidDel="00000000" w:rsidP="00000000" w:rsidRDefault="00000000" w:rsidRPr="00000000" w14:paraId="00000179">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IX. Datos personales:</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La información concerniente a una persona, identificada o identificable</w:t>
      </w:r>
      <w:r w:rsidDel="00000000" w:rsidR="00000000" w:rsidRPr="00000000">
        <w:rPr>
          <w:rFonts w:ascii="Palatino Linotype" w:cs="Palatino Linotype" w:eastAsia="Palatino Linotype" w:hAnsi="Palatino Linotype"/>
          <w:i w:val="1"/>
          <w:iCs w:val="1"/>
          <w:sz w:val="22"/>
          <w:szCs w:val="22"/>
          <w:rtl w:val="0"/>
        </w:rPr>
        <w:t xml:space="preserve"> según lo dispuesto por la Ley de Protección de Datos Personales del Estado de México;</w:t>
      </w:r>
    </w:p>
    <w:p w:rsidR="00000000" w:rsidDel="00000000" w:rsidP="00000000" w:rsidRDefault="00000000" w:rsidRPr="00000000" w14:paraId="0000017A">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XX. Información clasificada:</w:t>
      </w:r>
      <w:r w:rsidDel="00000000" w:rsidR="00000000" w:rsidRPr="00000000">
        <w:rPr>
          <w:rFonts w:ascii="Palatino Linotype" w:cs="Palatino Linotype" w:eastAsia="Palatino Linotype" w:hAnsi="Palatino Linotype"/>
          <w:i w:val="1"/>
          <w:iCs w:val="1"/>
          <w:sz w:val="22"/>
          <w:szCs w:val="22"/>
          <w:rtl w:val="0"/>
        </w:rPr>
        <w:t xml:space="preserve"> Aquella considerada por la presente Ley como reservada o confidencial;</w:t>
      </w:r>
    </w:p>
    <w:p w:rsidR="00000000" w:rsidDel="00000000" w:rsidP="00000000" w:rsidRDefault="00000000" w:rsidRPr="00000000" w14:paraId="0000017B">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XXXII. Protección de Datos Personales:</w:t>
      </w:r>
      <w:r w:rsidDel="00000000" w:rsidR="00000000" w:rsidRPr="00000000">
        <w:rPr>
          <w:rFonts w:ascii="Palatino Linotype" w:cs="Palatino Linotype" w:eastAsia="Palatino Linotype" w:hAnsi="Palatino Linotype"/>
          <w:i w:val="1"/>
          <w:iCs w:val="1"/>
          <w:sz w:val="22"/>
          <w:szCs w:val="22"/>
          <w:rtl w:val="0"/>
        </w:rPr>
        <w:t xml:space="preserve"> Derecho humano que tutela la privacidad de datos personales en poder de los sujetos obligados y sujetos particulares;</w:t>
      </w:r>
    </w:p>
    <w:p w:rsidR="00000000" w:rsidDel="00000000" w:rsidP="00000000" w:rsidRDefault="00000000" w:rsidRPr="00000000" w14:paraId="0000017C">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XLV. Versión pública</w:t>
      </w:r>
      <w:r w:rsidDel="00000000" w:rsidR="00000000" w:rsidRPr="00000000">
        <w:rPr>
          <w:rFonts w:ascii="Palatino Linotype" w:cs="Palatino Linotype" w:eastAsia="Palatino Linotype" w:hAnsi="Palatino Linotype"/>
          <w:i w:val="1"/>
          <w:iCs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17D">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7E">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6.</w:t>
      </w:r>
      <w:r w:rsidDel="00000000" w:rsidR="00000000" w:rsidRPr="00000000">
        <w:rPr>
          <w:rFonts w:ascii="Palatino Linotype" w:cs="Palatino Linotype" w:eastAsia="Palatino Linotype" w:hAnsi="Palatino Linotype"/>
          <w:i w:val="1"/>
          <w:iCs w:val="1"/>
          <w:sz w:val="22"/>
          <w:szCs w:val="22"/>
          <w:rtl w:val="0"/>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000000" w:rsidDel="00000000" w:rsidP="00000000" w:rsidRDefault="00000000" w:rsidRPr="00000000" w14:paraId="0000017F">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80">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137.</w:t>
      </w:r>
      <w:r w:rsidDel="00000000" w:rsidR="00000000" w:rsidRPr="00000000">
        <w:rPr>
          <w:rFonts w:ascii="Palatino Linotype" w:cs="Palatino Linotype" w:eastAsia="Palatino Linotype" w:hAnsi="Palatino Linotype"/>
          <w:i w:val="1"/>
          <w:iCs w:val="1"/>
          <w:sz w:val="22"/>
          <w:szCs w:val="22"/>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r w:rsidDel="00000000" w:rsidR="00000000" w:rsidRPr="00000000">
        <w:rPr>
          <w:rtl w:val="0"/>
        </w:rPr>
      </w:r>
    </w:p>
    <w:p w:rsidR="00000000" w:rsidDel="00000000" w:rsidP="00000000" w:rsidRDefault="00000000" w:rsidRPr="00000000" w14:paraId="00000181">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tl w:val="0"/>
        </w:rPr>
      </w:r>
    </w:p>
    <w:p w:rsidR="00000000" w:rsidDel="00000000" w:rsidP="00000000" w:rsidRDefault="00000000" w:rsidRPr="00000000" w14:paraId="00000182">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143</w:t>
      </w:r>
      <w:r w:rsidDel="00000000" w:rsidR="00000000" w:rsidRPr="00000000">
        <w:rPr>
          <w:rFonts w:ascii="Palatino Linotype" w:cs="Palatino Linotype" w:eastAsia="Palatino Linotype" w:hAnsi="Palatino Linotype"/>
          <w:i w:val="1"/>
          <w:iCs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83">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Se refiera a la información privada y los datos personales concernientes a una persona física o jurídica colectiva identificada o identificable;</w:t>
      </w:r>
    </w:p>
    <w:p w:rsidR="00000000" w:rsidDel="00000000" w:rsidP="00000000" w:rsidRDefault="00000000" w:rsidRPr="00000000" w14:paraId="00000184">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85">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III. La que presenten los particulares a los sujetos obligados, de conformidad con lo dispuesto por las leyes o los tratados internacionales.” (Sic)</w:t>
      </w:r>
    </w:p>
    <w:p w:rsidR="00000000" w:rsidDel="00000000" w:rsidP="00000000" w:rsidRDefault="00000000" w:rsidRPr="00000000" w14:paraId="00000186">
      <w:pPr>
        <w:ind w:left="993" w:right="1041"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87">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para satisfacer el derecho de acceso a la información pública de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000000" w:rsidDel="00000000" w:rsidP="00000000" w:rsidRDefault="00000000" w:rsidRPr="00000000" w14:paraId="00000188">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000000" w:rsidDel="00000000" w:rsidP="00000000" w:rsidRDefault="00000000" w:rsidRPr="00000000" w14:paraId="0000018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lo cual, a su vez en el caso de información de carácter confidencial, se debe atender a lo que señala el artículo 149 de la Ley de Transparencia Local vigente, que se lee como sigue:</w:t>
      </w:r>
    </w:p>
    <w:p w:rsidR="00000000" w:rsidDel="00000000" w:rsidP="00000000" w:rsidRDefault="00000000" w:rsidRPr="00000000" w14:paraId="0000018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D">
      <w:pPr>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149.</w:t>
      </w:r>
      <w:r w:rsidDel="00000000" w:rsidR="00000000" w:rsidRPr="00000000">
        <w:rPr>
          <w:rFonts w:ascii="Palatino Linotype" w:cs="Palatino Linotype" w:eastAsia="Palatino Linotype" w:hAnsi="Palatino Linotype"/>
          <w:i w:val="1"/>
          <w:iCs w:val="1"/>
          <w:sz w:val="22"/>
          <w:szCs w:val="22"/>
          <w:rtl w:val="0"/>
        </w:rPr>
        <w:t xml:space="preserve"> El </w:t>
      </w:r>
      <w:r w:rsidDel="00000000" w:rsidR="00000000" w:rsidRPr="00000000">
        <w:rPr>
          <w:rFonts w:ascii="Palatino Linotype" w:cs="Palatino Linotype" w:eastAsia="Palatino Linotype" w:hAnsi="Palatino Linotype"/>
          <w:b w:val="1"/>
          <w:bCs w:val="1"/>
          <w:i w:val="1"/>
          <w:iCs w:val="1"/>
          <w:sz w:val="22"/>
          <w:szCs w:val="22"/>
          <w:rtl w:val="0"/>
        </w:rPr>
        <w:t xml:space="preserve">acuerdo que clasifique la información como confidencial</w:t>
      </w:r>
      <w:r w:rsidDel="00000000" w:rsidR="00000000" w:rsidRPr="00000000">
        <w:rPr>
          <w:rFonts w:ascii="Palatino Linotype" w:cs="Palatino Linotype" w:eastAsia="Palatino Linotype" w:hAnsi="Palatino Linotype"/>
          <w:i w:val="1"/>
          <w:iCs w:val="1"/>
          <w:sz w:val="22"/>
          <w:szCs w:val="22"/>
          <w:rtl w:val="0"/>
        </w:rPr>
        <w:t xml:space="preserve"> deberá contener un razonamiento lógico en el que demuestre que la información se encuentra en alguna o algunas de las hipótesis previstas en la presente Ley.”(Sic)</w:t>
      </w:r>
    </w:p>
    <w:p w:rsidR="00000000" w:rsidDel="00000000" w:rsidP="00000000" w:rsidRDefault="00000000" w:rsidRPr="00000000" w14:paraId="0000018E">
      <w:pPr>
        <w:spacing w:line="360" w:lineRule="auto"/>
        <w:ind w:right="51"/>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8F">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000000" w:rsidDel="00000000" w:rsidP="00000000" w:rsidRDefault="00000000" w:rsidRPr="00000000" w14:paraId="00000190">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caso particular, la información que se ordena pudiera contener datos personales susceptibles de clasificarse como confidenciales, de manera enunciativa más no limitativa, los siguientes:</w:t>
      </w:r>
    </w:p>
    <w:p w:rsidR="00000000" w:rsidDel="00000000" w:rsidP="00000000" w:rsidRDefault="00000000" w:rsidRPr="00000000" w14:paraId="0000019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Nombre de los colindantes del inmueble</w:t>
      </w:r>
      <w:r w:rsidDel="00000000" w:rsidR="00000000" w:rsidRPr="00000000">
        <w:rPr>
          <w:rFonts w:ascii="Palatino Linotype" w:cs="Palatino Linotype" w:eastAsia="Palatino Linotype" w:hAnsi="Palatino Linotype"/>
          <w:sz w:val="22"/>
          <w:szCs w:val="22"/>
          <w:rtl w:val="0"/>
        </w:rPr>
        <w:t xml:space="preserve">, siendo necesario referir que el nombre de una persona física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Del="00000000" w:rsidR="00000000" w:rsidRPr="00000000">
        <w:rPr>
          <w:rFonts w:ascii="Palatino Linotype" w:cs="Palatino Linotype" w:eastAsia="Palatino Linotype" w:hAnsi="Palatino Linotype"/>
          <w:i w:val="1"/>
          <w:iCs w:val="1"/>
          <w:sz w:val="22"/>
          <w:szCs w:val="22"/>
          <w:rtl w:val="0"/>
        </w:rPr>
        <w:t xml:space="preserve">per se</w:t>
      </w:r>
      <w:r w:rsidDel="00000000" w:rsidR="00000000" w:rsidRPr="00000000">
        <w:rPr>
          <w:rFonts w:ascii="Palatino Linotype" w:cs="Palatino Linotype" w:eastAsia="Palatino Linotype" w:hAnsi="Palatino Linotype"/>
          <w:sz w:val="22"/>
          <w:szCs w:val="22"/>
          <w:rtl w:val="0"/>
        </w:rPr>
        <w:t xml:space="preserve"> es un elemento que hace a una persona física identificada o identificable, por lo que actualiza el supuesto previsto en el artículo 143, fracción I, de la Ley de Transparencia y Acceso a la Información Pública del Estado de México y Municipios</w:t>
      </w:r>
    </w:p>
    <w:p w:rsidR="00000000" w:rsidDel="00000000" w:rsidP="00000000" w:rsidRDefault="00000000" w:rsidRPr="00000000" w14:paraId="0000019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sz w:val="22"/>
          <w:szCs w:val="22"/>
          <w:rtl w:val="0"/>
        </w:rPr>
        <w:t xml:space="preserve">Referente a la </w:t>
      </w:r>
      <w:r w:rsidDel="00000000" w:rsidR="00000000" w:rsidRPr="00000000">
        <w:rPr>
          <w:rFonts w:ascii="Palatino Linotype" w:cs="Palatino Linotype" w:eastAsia="Palatino Linotype" w:hAnsi="Palatino Linotype"/>
          <w:i w:val="1"/>
          <w:iCs w:val="1"/>
          <w:sz w:val="22"/>
          <w:szCs w:val="22"/>
          <w:rtl w:val="0"/>
        </w:rPr>
        <w:t xml:space="preserve">credencial de elector de particulares</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r w:rsidDel="00000000" w:rsidR="00000000" w:rsidRPr="00000000">
        <w:rPr>
          <w:rtl w:val="0"/>
        </w:rPr>
      </w:r>
    </w:p>
    <w:p w:rsidR="00000000" w:rsidDel="00000000" w:rsidP="00000000" w:rsidRDefault="00000000" w:rsidRPr="00000000" w14:paraId="00000196">
      <w:pPr>
        <w:tabs>
          <w:tab w:val="left" w:leader="none" w:pos="6345"/>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7">
      <w:pPr>
        <w:tabs>
          <w:tab w:val="left" w:leader="none" w:pos="6345"/>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manera particular el artículo 156, de la Ley General de Instituciones y Procedimientos Electorales dispone que la credencial para votar deberá contener, cuando menos, los siguientes datos:</w:t>
      </w:r>
    </w:p>
    <w:p w:rsidR="00000000" w:rsidDel="00000000" w:rsidP="00000000" w:rsidRDefault="00000000" w:rsidRPr="00000000" w14:paraId="00000198">
      <w:pPr>
        <w:tabs>
          <w:tab w:val="left" w:leader="none" w:pos="6345"/>
        </w:tabs>
        <w:spacing w:line="360" w:lineRule="auto"/>
        <w:ind w:left="567" w:right="53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9">
      <w:pPr>
        <w:tabs>
          <w:tab w:val="left" w:leader="none" w:pos="6345"/>
        </w:tabs>
        <w:spacing w:line="276" w:lineRule="auto"/>
        <w:ind w:left="567" w:right="53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a) 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w:t>
      </w:r>
    </w:p>
    <w:p w:rsidR="00000000" w:rsidDel="00000000" w:rsidP="00000000" w:rsidRDefault="00000000" w:rsidRPr="00000000" w14:paraId="0000019A">
      <w:pPr>
        <w:tabs>
          <w:tab w:val="left" w:leader="none" w:pos="6345"/>
        </w:tabs>
        <w:spacing w:line="276" w:lineRule="auto"/>
        <w:ind w:left="567" w:right="53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b) Sección electoral en donde deberá votar el ciudadano. En el caso de los ciudadanos residentes en el extranjero no será necesario incluir este requisito;</w:t>
      </w:r>
    </w:p>
    <w:p w:rsidR="00000000" w:rsidDel="00000000" w:rsidP="00000000" w:rsidRDefault="00000000" w:rsidRPr="00000000" w14:paraId="0000019B">
      <w:pPr>
        <w:tabs>
          <w:tab w:val="left" w:leader="none" w:pos="6345"/>
        </w:tabs>
        <w:spacing w:line="276" w:lineRule="auto"/>
        <w:ind w:left="567" w:right="53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c) Apellido paterno, apellido materno y nombre completo;</w:t>
      </w:r>
    </w:p>
    <w:p w:rsidR="00000000" w:rsidDel="00000000" w:rsidP="00000000" w:rsidRDefault="00000000" w:rsidRPr="00000000" w14:paraId="0000019C">
      <w:pPr>
        <w:tabs>
          <w:tab w:val="left" w:leader="none" w:pos="6345"/>
        </w:tabs>
        <w:spacing w:line="276" w:lineRule="auto"/>
        <w:ind w:left="567" w:right="53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d) Domicilio;</w:t>
      </w:r>
    </w:p>
    <w:p w:rsidR="00000000" w:rsidDel="00000000" w:rsidP="00000000" w:rsidRDefault="00000000" w:rsidRPr="00000000" w14:paraId="0000019D">
      <w:pPr>
        <w:tabs>
          <w:tab w:val="left" w:leader="none" w:pos="6345"/>
        </w:tabs>
        <w:spacing w:line="276" w:lineRule="auto"/>
        <w:ind w:left="567" w:right="53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 Sexo;</w:t>
      </w:r>
    </w:p>
    <w:p w:rsidR="00000000" w:rsidDel="00000000" w:rsidP="00000000" w:rsidRDefault="00000000" w:rsidRPr="00000000" w14:paraId="0000019E">
      <w:pPr>
        <w:tabs>
          <w:tab w:val="left" w:leader="none" w:pos="6345"/>
        </w:tabs>
        <w:spacing w:line="276" w:lineRule="auto"/>
        <w:ind w:left="567" w:right="53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f) Edad y año de registro;</w:t>
      </w:r>
    </w:p>
    <w:p w:rsidR="00000000" w:rsidDel="00000000" w:rsidP="00000000" w:rsidRDefault="00000000" w:rsidRPr="00000000" w14:paraId="0000019F">
      <w:pPr>
        <w:tabs>
          <w:tab w:val="left" w:leader="none" w:pos="6345"/>
        </w:tabs>
        <w:spacing w:line="276" w:lineRule="auto"/>
        <w:ind w:left="567" w:right="53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g) Firma, huella digital y fotografía del elector;</w:t>
      </w:r>
    </w:p>
    <w:p w:rsidR="00000000" w:rsidDel="00000000" w:rsidP="00000000" w:rsidRDefault="00000000" w:rsidRPr="00000000" w14:paraId="000001A0">
      <w:pPr>
        <w:tabs>
          <w:tab w:val="left" w:leader="none" w:pos="6345"/>
        </w:tabs>
        <w:spacing w:line="276" w:lineRule="auto"/>
        <w:ind w:left="567" w:right="53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h) Clave de registro, y</w:t>
      </w:r>
    </w:p>
    <w:p w:rsidR="00000000" w:rsidDel="00000000" w:rsidP="00000000" w:rsidRDefault="00000000" w:rsidRPr="00000000" w14:paraId="000001A1">
      <w:pPr>
        <w:tabs>
          <w:tab w:val="left" w:leader="none" w:pos="6345"/>
        </w:tabs>
        <w:spacing w:line="276" w:lineRule="auto"/>
        <w:ind w:left="567" w:right="53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Clave Única del Registro de Población.</w:t>
      </w:r>
    </w:p>
    <w:p w:rsidR="00000000" w:rsidDel="00000000" w:rsidP="00000000" w:rsidRDefault="00000000" w:rsidRPr="00000000" w14:paraId="000001A2">
      <w:pPr>
        <w:tabs>
          <w:tab w:val="left" w:leader="none" w:pos="6345"/>
        </w:tabs>
        <w:spacing w:line="276" w:lineRule="auto"/>
        <w:ind w:left="567" w:right="53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2. Además tendrá:</w:t>
      </w:r>
    </w:p>
    <w:p w:rsidR="00000000" w:rsidDel="00000000" w:rsidP="00000000" w:rsidRDefault="00000000" w:rsidRPr="00000000" w14:paraId="000001A3">
      <w:pPr>
        <w:tabs>
          <w:tab w:val="left" w:leader="none" w:pos="6345"/>
        </w:tabs>
        <w:spacing w:line="276" w:lineRule="auto"/>
        <w:ind w:left="567" w:right="53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a) Espacios necesarios para marcar año y elección de que se trate;</w:t>
      </w:r>
    </w:p>
    <w:p w:rsidR="00000000" w:rsidDel="00000000" w:rsidP="00000000" w:rsidRDefault="00000000" w:rsidRPr="00000000" w14:paraId="000001A4">
      <w:pPr>
        <w:tabs>
          <w:tab w:val="left" w:leader="none" w:pos="6345"/>
        </w:tabs>
        <w:spacing w:line="276" w:lineRule="auto"/>
        <w:ind w:left="567" w:right="53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b) Firma impresa del Secretario Ejecutivo del Instituto;</w:t>
      </w:r>
    </w:p>
    <w:p w:rsidR="00000000" w:rsidDel="00000000" w:rsidP="00000000" w:rsidRDefault="00000000" w:rsidRPr="00000000" w14:paraId="000001A5">
      <w:pPr>
        <w:tabs>
          <w:tab w:val="left" w:leader="none" w:pos="6345"/>
        </w:tabs>
        <w:spacing w:line="276" w:lineRule="auto"/>
        <w:ind w:left="567" w:right="53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c) Año de emisión;</w:t>
      </w:r>
    </w:p>
    <w:p w:rsidR="00000000" w:rsidDel="00000000" w:rsidP="00000000" w:rsidRDefault="00000000" w:rsidRPr="00000000" w14:paraId="000001A6">
      <w:pPr>
        <w:tabs>
          <w:tab w:val="left" w:leader="none" w:pos="6345"/>
        </w:tabs>
        <w:spacing w:line="276" w:lineRule="auto"/>
        <w:ind w:left="567" w:right="53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d) Año en el que expira su vigencia, y</w:t>
      </w:r>
    </w:p>
    <w:p w:rsidR="00000000" w:rsidDel="00000000" w:rsidP="00000000" w:rsidRDefault="00000000" w:rsidRPr="00000000" w14:paraId="000001A7">
      <w:pPr>
        <w:tabs>
          <w:tab w:val="left" w:leader="none" w:pos="6345"/>
        </w:tabs>
        <w:spacing w:line="276" w:lineRule="auto"/>
        <w:ind w:left="567" w:right="53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 En el caso de la que se expida al ciudadano residente en el extranjero, la leyenda</w:t>
      </w:r>
    </w:p>
    <w:p w:rsidR="00000000" w:rsidDel="00000000" w:rsidP="00000000" w:rsidRDefault="00000000" w:rsidRPr="00000000" w14:paraId="000001A8">
      <w:pPr>
        <w:tabs>
          <w:tab w:val="left" w:leader="none" w:pos="6345"/>
        </w:tabs>
        <w:spacing w:line="276" w:lineRule="auto"/>
        <w:ind w:left="567" w:right="539"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“Para Votar desde el Extranjero”.</w:t>
      </w:r>
    </w:p>
    <w:p w:rsidR="00000000" w:rsidDel="00000000" w:rsidP="00000000" w:rsidRDefault="00000000" w:rsidRPr="00000000" w14:paraId="000001A9">
      <w:pPr>
        <w:tabs>
          <w:tab w:val="left" w:leader="none" w:pos="6345"/>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A">
      <w:pPr>
        <w:tabs>
          <w:tab w:val="left" w:leader="none" w:pos="6345"/>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advierte, todos los elementos contenidos en la credencial hacen a su titular, identificado, identificable e incluso ubicable en su domicilio. 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rsidR="00000000" w:rsidDel="00000000" w:rsidP="00000000" w:rsidRDefault="00000000" w:rsidRPr="00000000" w14:paraId="000001AB">
      <w:pPr>
        <w:tabs>
          <w:tab w:val="left" w:leader="none" w:pos="6345"/>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C">
      <w:pPr>
        <w:tabs>
          <w:tab w:val="left" w:leader="none" w:pos="6345"/>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 Dada esta relevancia, en el presente caso, se considera que la credencial de elector, es confidencial y actualiza la causal de clasificación, establecida en el artículo 143, fracción I, de la Ley de Transparencia y Acceso a la Información Pública del Estado de México y Municipios. </w:t>
      </w:r>
    </w:p>
    <w:p w:rsidR="00000000" w:rsidDel="00000000" w:rsidP="00000000" w:rsidRDefault="00000000" w:rsidRPr="00000000" w14:paraId="000001AD">
      <w:pPr>
        <w:tabs>
          <w:tab w:val="left" w:leader="none" w:pos="6345"/>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E">
      <w:pPr>
        <w:tabs>
          <w:tab w:val="left" w:leader="none" w:pos="6345"/>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Nombre de persona física</w:t>
      </w:r>
      <w:r w:rsidDel="00000000" w:rsidR="00000000" w:rsidRPr="00000000">
        <w:rPr>
          <w:rFonts w:ascii="Palatino Linotype" w:cs="Palatino Linotype" w:eastAsia="Palatino Linotype" w:hAnsi="Palatino Linotype"/>
          <w:sz w:val="22"/>
          <w:szCs w:val="22"/>
          <w:rtl w:val="0"/>
        </w:rPr>
        <w:t xml:space="preserve">, al ser uno de los atributos de la personalidad y la manifestación principal del derecho subjetivo a la identidad, ya que por sí solo es un elemento que hace a una persona física identificada o identificable, por lo que dar publicidad al mismo vulneraría su ámbito de privacidad. </w:t>
      </w:r>
    </w:p>
    <w:p w:rsidR="00000000" w:rsidDel="00000000" w:rsidP="00000000" w:rsidRDefault="00000000" w:rsidRPr="00000000" w14:paraId="000001AF">
      <w:pPr>
        <w:tabs>
          <w:tab w:val="left" w:leader="none" w:pos="6345"/>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0">
      <w:pPr>
        <w:tabs>
          <w:tab w:val="left" w:leader="none" w:pos="6345"/>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 es conveniente señalar que el nombre de una persona física es un dato personal que, por regla general, debe considerarse como un dato confidencial en términos del artículo 143, fracción I de la Ley de Transparencia y Acceso a la Información Pública del Estado de México y Municipios, cuando se trate de personas que no se desempeñan en la función pública. </w:t>
      </w:r>
    </w:p>
    <w:p w:rsidR="00000000" w:rsidDel="00000000" w:rsidP="00000000" w:rsidRDefault="00000000" w:rsidRPr="00000000" w14:paraId="000001B1">
      <w:pPr>
        <w:tabs>
          <w:tab w:val="left" w:leader="none" w:pos="6345"/>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2">
      <w:pPr>
        <w:tabs>
          <w:tab w:val="left" w:leader="none" w:pos="6345"/>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obstante, </w:t>
      </w:r>
      <w:r w:rsidDel="00000000" w:rsidR="00000000" w:rsidRPr="00000000">
        <w:rPr>
          <w:rFonts w:ascii="Palatino Linotype" w:cs="Palatino Linotype" w:eastAsia="Palatino Linotype" w:hAnsi="Palatino Linotype"/>
          <w:b w:val="1"/>
          <w:bCs w:val="1"/>
          <w:sz w:val="22"/>
          <w:szCs w:val="22"/>
          <w:u w:val="single"/>
          <w:rtl w:val="0"/>
        </w:rPr>
        <w:t xml:space="preserve">existen ciertas excepciones a dicha regla por razones de interés público</w:t>
      </w:r>
      <w:r w:rsidDel="00000000" w:rsidR="00000000" w:rsidRPr="00000000">
        <w:rPr>
          <w:rFonts w:ascii="Palatino Linotype" w:cs="Palatino Linotype" w:eastAsia="Palatino Linotype" w:hAnsi="Palatino Linotype"/>
          <w:sz w:val="22"/>
          <w:szCs w:val="22"/>
          <w:rtl w:val="0"/>
        </w:rPr>
        <w:t xml:space="preserve">, como lo es en aquellos casos en donde dicho dato se relaciona con la erogación de recursos públicos, en cuyo caso, el nombre de estos guardan naturaleza de información pública y por tanto es improcedente su clasificación, con la finalidad de garantizar la rendición de cuentas por parte del ente público. </w:t>
      </w:r>
    </w:p>
    <w:p w:rsidR="00000000" w:rsidDel="00000000" w:rsidP="00000000" w:rsidRDefault="00000000" w:rsidRPr="00000000" w14:paraId="000001B3">
      <w:pPr>
        <w:tabs>
          <w:tab w:val="left" w:leader="none" w:pos="6345"/>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4">
      <w:pPr>
        <w:tabs>
          <w:tab w:val="left" w:leader="none" w:pos="6345"/>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en virtud de que los Sujetos Obligados cuentan con el deber de hacer pública toda aquella información relativa a los montos y las personas a quienes entreguen recursos públicos por cualquier concepto, como se desprende del artículo 23, penúltimo párrafo de la Ley de Transparencia y Acceso a la Información Pública del Estado de México y Municipios, que es del tenor literal siguiente:</w:t>
      </w:r>
    </w:p>
    <w:p w:rsidR="00000000" w:rsidDel="00000000" w:rsidP="00000000" w:rsidRDefault="00000000" w:rsidRPr="00000000" w14:paraId="000001B5">
      <w:pPr>
        <w:spacing w:line="276"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B6">
      <w:pPr>
        <w:spacing w:line="276"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23</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1B7">
      <w:pPr>
        <w:spacing w:line="276"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000000" w:rsidDel="00000000" w:rsidP="00000000" w:rsidRDefault="00000000" w:rsidRPr="00000000" w14:paraId="000001B8">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tenor, si el título de propiedad el bien inmueble de objeto de la venta o donación en favor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-es decir, el antecedente, o la operación anterior a la celebrada por el Sujeto Obligado-, derivó de la celebración de un contrato privado a la luz del derecho privado, el nombre de la persona que transmite la propiedad, así como el nombre de los propietarios de los predios colindantes, debe clasificarse como confidencial, por tratarse de personas físicas en su calidad de particular, no así el nombre de la persona que adquirió el bien inmueble al ser esta la que posteriormente transfirió la propiedad al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1B9">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Registro Federal de Contribuyentes (RFC)</w:t>
      </w:r>
      <w:r w:rsidDel="00000000" w:rsidR="00000000" w:rsidRPr="00000000">
        <w:rPr>
          <w:rFonts w:ascii="Palatino Linotype" w:cs="Palatino Linotype" w:eastAsia="Palatino Linotype" w:hAnsi="Palatino Linotype"/>
          <w:sz w:val="22"/>
          <w:szCs w:val="22"/>
          <w:rtl w:val="0"/>
        </w:rPr>
        <w:t xml:space="preserve">, este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rsidR="00000000" w:rsidDel="00000000" w:rsidP="00000000" w:rsidRDefault="00000000" w:rsidRPr="00000000" w14:paraId="000001BA">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000000" w:rsidDel="00000000" w:rsidP="00000000" w:rsidRDefault="00000000" w:rsidRPr="00000000" w14:paraId="000001B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es compartido por el Instituto Nacional de Transparencia, Acceso a la Información y Protección de Datos Personales, INAI, a través del Criterio 19/17, el cual es del tenor literal siguiente:</w:t>
      </w:r>
    </w:p>
    <w:p w:rsidR="00000000" w:rsidDel="00000000" w:rsidP="00000000" w:rsidRDefault="00000000" w:rsidRPr="00000000" w14:paraId="000001BC">
      <w:pPr>
        <w:spacing w:line="276"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“Registro Federal de Contribuyentes (RFC) de personas físicas</w:t>
      </w:r>
      <w:r w:rsidDel="00000000" w:rsidR="00000000" w:rsidRPr="00000000">
        <w:rPr>
          <w:rFonts w:ascii="Palatino Linotype" w:cs="Palatino Linotype" w:eastAsia="Palatino Linotype" w:hAnsi="Palatino Linotype"/>
          <w:i w:val="1"/>
          <w:iCs w:val="1"/>
          <w:sz w:val="22"/>
          <w:szCs w:val="22"/>
          <w:rtl w:val="0"/>
        </w:rPr>
        <w:t xml:space="preserve">. El RFC es una clave de carácter fiscal, única e irrepetible, que permite identificar al titular, su edad y fecha de nacimiento, por lo que es un dato personal de carácter confidencial.”</w:t>
      </w:r>
    </w:p>
    <w:p w:rsidR="00000000" w:rsidDel="00000000" w:rsidP="00000000" w:rsidRDefault="00000000" w:rsidRPr="00000000" w14:paraId="000001BD">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que debe ser protegido en términos del artículo 143, fracción I de la Ley de la Materia.</w:t>
      </w:r>
    </w:p>
    <w:p w:rsidR="00000000" w:rsidDel="00000000" w:rsidP="00000000" w:rsidRDefault="00000000" w:rsidRPr="00000000" w14:paraId="000001BE">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Clave catastral y número de cuenta predial</w:t>
      </w:r>
      <w:r w:rsidDel="00000000" w:rsidR="00000000" w:rsidRPr="00000000">
        <w:rPr>
          <w:rFonts w:ascii="Palatino Linotype" w:cs="Palatino Linotype" w:eastAsia="Palatino Linotype" w:hAnsi="Palatino Linotype"/>
          <w:sz w:val="22"/>
          <w:szCs w:val="22"/>
          <w:rtl w:val="0"/>
        </w:rPr>
        <w:t xml:space="preserve">. Dicho dato es un código alfanumérico único e irrepetible que se integra de dieciséis caracteres , y que se asigna para efectos de localización geográfica, identificación, inscripción, control y registro de los inmuebles, es decir, hace referencia a un predio determinado, haciéndolo  identificable mediante su localización geográfica e inscripción al padrón catastral de cada entidad federativa, por lo que pudiera revelar información inherente al patrimonio del propietario de dicho predio o inmueble, razón por la cual es procedente clasificar dicho dato como confidencial cuando se trata de inmuebles bajo el régimen de propiedad privada de particulares.</w:t>
      </w:r>
    </w:p>
    <w:p w:rsidR="00000000" w:rsidDel="00000000" w:rsidP="00000000" w:rsidRDefault="00000000" w:rsidRPr="00000000" w14:paraId="000001BF">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Sin embargo, en el caso de inmuebles de dominio público no es procedente su clasificación, dado que su publicidad abona a la transparencia y a la rendición de cuentas, por ello es que en presente asunto no debe ser clasificado, dado que dichos datos se relacionan con un inmueble que es propiedad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tl w:val="0"/>
        </w:rPr>
      </w:r>
    </w:p>
    <w:p w:rsidR="00000000" w:rsidDel="00000000" w:rsidP="00000000" w:rsidRDefault="00000000" w:rsidRPr="00000000" w14:paraId="000001C0">
      <w:pP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respecto al </w:t>
      </w:r>
      <w:r w:rsidDel="00000000" w:rsidR="00000000" w:rsidRPr="00000000">
        <w:rPr>
          <w:rFonts w:ascii="Palatino Linotype" w:cs="Palatino Linotype" w:eastAsia="Palatino Linotype" w:hAnsi="Palatino Linotype"/>
          <w:i w:val="1"/>
          <w:iCs w:val="1"/>
          <w:sz w:val="22"/>
          <w:szCs w:val="22"/>
          <w:rtl w:val="0"/>
        </w:rPr>
        <w:t xml:space="preserve">domicilio particular</w:t>
      </w:r>
      <w:r w:rsidDel="00000000" w:rsidR="00000000" w:rsidRPr="00000000">
        <w:rPr>
          <w:rFonts w:ascii="Palatino Linotype" w:cs="Palatino Linotype" w:eastAsia="Palatino Linotype" w:hAnsi="Palatino Linotype"/>
          <w:sz w:val="22"/>
          <w:szCs w:val="22"/>
          <w:rtl w:val="0"/>
        </w:rPr>
        <w:t xml:space="preserve">, de acuerdo a lo señalado en los artículos 2.3 y 2.5 del Código Civil del Estado de México, se indica que el domicilio es un atributo de la personalidad y un derecho de las personas; además que tiene como propósito que una persona pueda establecerse temporal o permanentemente en un lugar determinado, para habitar, establecer su centro de trabajo o negocios.</w:t>
      </w:r>
    </w:p>
    <w:p w:rsidR="00000000" w:rsidDel="00000000" w:rsidP="00000000" w:rsidRDefault="00000000" w:rsidRPr="00000000" w14:paraId="000001C1">
      <w:pP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2">
      <w:pP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la misma manera, lo establece el artículo 29 del Código Civil Federal, al precisar que el domicilio de personas físicas, es el lugar donde residen habitualmente, el lugar del centro principal de sus negocios, donde residan o el lugar donde se encuentren. </w:t>
      </w:r>
    </w:p>
    <w:p w:rsidR="00000000" w:rsidDel="00000000" w:rsidP="00000000" w:rsidRDefault="00000000" w:rsidRPr="00000000" w14:paraId="000001C3">
      <w:pP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4">
      <w:pP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rsidR="00000000" w:rsidDel="00000000" w:rsidP="00000000" w:rsidRDefault="00000000" w:rsidRPr="00000000" w14:paraId="000001C5">
      <w:pP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6">
      <w:pP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tanto, se actualiza la clasificación, de conformidad con la fracción I, del artículo 143 de la Ley de Transparencia y Acceso a la Información Pública del Estado de México y Municipios. </w:t>
      </w:r>
    </w:p>
    <w:p w:rsidR="00000000" w:rsidDel="00000000" w:rsidP="00000000" w:rsidRDefault="00000000" w:rsidRPr="00000000" w14:paraId="000001C7">
      <w:pPr>
        <w:tabs>
          <w:tab w:val="left" w:leader="none" w:pos="284"/>
        </w:tabs>
        <w:spacing w:line="360" w:lineRule="auto"/>
        <w:ind w:right="34"/>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se destaca que la versión pública que elabore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Del="00000000" w:rsidR="00000000" w:rsidRPr="00000000">
        <w:rPr>
          <w:rFonts w:ascii="Palatino Linotype" w:cs="Palatino Linotype" w:eastAsia="Palatino Linotype" w:hAnsi="Palatino Linotype"/>
          <w:b w:val="1"/>
          <w:bCs w:val="1"/>
          <w:sz w:val="22"/>
          <w:szCs w:val="22"/>
          <w:rtl w:val="0"/>
        </w:rPr>
        <w:t xml:space="preserve">LINEAMIENTOS GENERALES EN MATERIA DE CLASIFICACIÓN Y DESCLASIFICACIÓN DE LA INFORMACIÓN, ASÍ COMO PARA LA ELABORACIÓN DE VERSIONES PÚBLICAS</w:t>
      </w:r>
      <w:r w:rsidDel="00000000" w:rsidR="00000000" w:rsidRPr="00000000">
        <w:rPr>
          <w:rFonts w:ascii="Palatino Linotype" w:cs="Palatino Linotype" w:eastAsia="Palatino Linotype" w:hAnsi="Palatino Linotype"/>
          <w:sz w:val="22"/>
          <w:szCs w:val="22"/>
          <w:rtl w:val="0"/>
        </w:rPr>
        <w:t xml:space="preserve">,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rsidR="00000000" w:rsidDel="00000000" w:rsidP="00000000" w:rsidRDefault="00000000" w:rsidRPr="00000000" w14:paraId="000001C9">
      <w:pPr>
        <w:ind w:left="709" w:right="709" w:firstLine="0"/>
        <w:jc w:val="both"/>
        <w:rPr>
          <w:rFonts w:ascii="Palatino Linotype" w:cs="Palatino Linotype" w:eastAsia="Palatino Linotype" w:hAnsi="Palatino Linotype"/>
          <w:b w:val="1"/>
          <w:bCs w:val="1"/>
          <w:i w:val="1"/>
          <w:iCs w:val="1"/>
          <w:sz w:val="22"/>
          <w:szCs w:val="22"/>
        </w:rPr>
      </w:pP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“Lineamientos Generales en materia de Clasificación y Desclasificación de la Información, así como para la elaboración de Versiones Públicas</w:t>
      </w:r>
      <w:r w:rsidDel="00000000" w:rsidR="00000000" w:rsidRPr="00000000">
        <w:rPr>
          <w:rtl w:val="0"/>
        </w:rPr>
      </w:r>
    </w:p>
    <w:p w:rsidR="00000000" w:rsidDel="00000000" w:rsidP="00000000" w:rsidRDefault="00000000" w:rsidRPr="00000000" w14:paraId="000001CB">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Segundo.-</w:t>
      </w:r>
      <w:r w:rsidDel="00000000" w:rsidR="00000000" w:rsidRPr="00000000">
        <w:rPr>
          <w:rFonts w:ascii="Palatino Linotype" w:cs="Palatino Linotype" w:eastAsia="Palatino Linotype" w:hAnsi="Palatino Linotype"/>
          <w:i w:val="1"/>
          <w:iCs w:val="1"/>
          <w:sz w:val="22"/>
          <w:szCs w:val="22"/>
          <w:rtl w:val="0"/>
        </w:rPr>
        <w:t xml:space="preserve"> Para efectos de los presentes Lineamientos Generales, se entenderá por:</w:t>
      </w:r>
      <w:r w:rsidDel="00000000" w:rsidR="00000000" w:rsidRPr="00000000">
        <w:rPr>
          <w:rtl w:val="0"/>
        </w:rPr>
      </w:r>
    </w:p>
    <w:p w:rsidR="00000000" w:rsidDel="00000000" w:rsidP="00000000" w:rsidRDefault="00000000" w:rsidRPr="00000000" w14:paraId="000001CC">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XVIII.</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Versión pública:</w:t>
      </w:r>
      <w:r w:rsidDel="00000000" w:rsidR="00000000" w:rsidRPr="00000000">
        <w:rPr>
          <w:rFonts w:ascii="Palatino Linotype" w:cs="Palatino Linotype" w:eastAsia="Palatino Linotype" w:hAnsi="Palatino Linotype"/>
          <w:i w:val="1"/>
          <w:iCs w:val="1"/>
          <w:sz w:val="22"/>
          <w:szCs w:val="22"/>
          <w:rtl w:val="0"/>
        </w:rPr>
        <w:t xml:space="preserve"> El documento a partir del que se otorga acceso a la información, en el que se testan partes o secciones clasificadas, indicando el contenido de éstas de manera genérica,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fundando y motivando la</w:t>
      </w:r>
      <w:r w:rsidDel="00000000" w:rsidR="00000000" w:rsidRPr="00000000">
        <w:rPr>
          <w:rFonts w:ascii="Palatino Linotype" w:cs="Palatino Linotype" w:eastAsia="Palatino Linotype" w:hAnsi="Palatino Linotype"/>
          <w:i w:val="1"/>
          <w:iCs w:val="1"/>
          <w:sz w:val="22"/>
          <w:szCs w:val="22"/>
          <w:rtl w:val="0"/>
        </w:rPr>
        <w:t xml:space="preserve"> reserva o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confidencialidad</w:t>
      </w:r>
      <w:r w:rsidDel="00000000" w:rsidR="00000000" w:rsidRPr="00000000">
        <w:rPr>
          <w:rFonts w:ascii="Palatino Linotype" w:cs="Palatino Linotype" w:eastAsia="Palatino Linotype" w:hAnsi="Palatino Linotype"/>
          <w:i w:val="1"/>
          <w:iCs w:val="1"/>
          <w:sz w:val="22"/>
          <w:szCs w:val="22"/>
          <w:rtl w:val="0"/>
        </w:rPr>
        <w:t xml:space="preserve">, a través de la resolución que para tal efecto emita el Comité de Transparencia.</w:t>
      </w:r>
      <w:r w:rsidDel="00000000" w:rsidR="00000000" w:rsidRPr="00000000">
        <w:rPr>
          <w:rtl w:val="0"/>
        </w:rPr>
      </w:r>
    </w:p>
    <w:p w:rsidR="00000000" w:rsidDel="00000000" w:rsidP="00000000" w:rsidRDefault="00000000" w:rsidRPr="00000000" w14:paraId="000001CD">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Cuarto.</w:t>
      </w:r>
      <w:r w:rsidDel="00000000" w:rsidR="00000000" w:rsidRPr="00000000">
        <w:rPr>
          <w:rFonts w:ascii="Palatino Linotype" w:cs="Palatino Linotype" w:eastAsia="Palatino Linotype" w:hAnsi="Palatino Linotype"/>
          <w:i w:val="1"/>
          <w:iCs w:val="1"/>
          <w:sz w:val="22"/>
          <w:szCs w:val="22"/>
          <w:rtl w:val="0"/>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r w:rsidDel="00000000" w:rsidR="00000000" w:rsidRPr="00000000">
        <w:rPr>
          <w:rtl w:val="0"/>
        </w:rPr>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Los sujetos obligados deberán aplicar, de manera estricta, las excepciones al derecho de acceso a la información y sólo podrán invocarlas cuando acrediten su procedencia.</w:t>
      </w: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Quinto.</w:t>
      </w:r>
      <w:r w:rsidDel="00000000" w:rsidR="00000000" w:rsidRPr="00000000">
        <w:rPr>
          <w:rFonts w:ascii="Palatino Linotype" w:cs="Palatino Linotype" w:eastAsia="Palatino Linotype" w:hAnsi="Palatino Linotype"/>
          <w:i w:val="1"/>
          <w:iCs w:val="1"/>
          <w:sz w:val="22"/>
          <w:szCs w:val="22"/>
          <w:rtl w:val="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r w:rsidDel="00000000" w:rsidR="00000000" w:rsidRPr="00000000">
        <w:rPr>
          <w:rtl w:val="0"/>
        </w:rPr>
      </w:r>
    </w:p>
    <w:p w:rsidR="00000000" w:rsidDel="00000000" w:rsidP="00000000" w:rsidRDefault="00000000" w:rsidRPr="00000000" w14:paraId="000001D0">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w:t>
      </w:r>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Séptimo.</w:t>
      </w:r>
      <w:r w:rsidDel="00000000" w:rsidR="00000000" w:rsidRPr="00000000">
        <w:rPr>
          <w:rFonts w:ascii="Palatino Linotype" w:cs="Palatino Linotype" w:eastAsia="Palatino Linotype" w:hAnsi="Palatino Linotype"/>
          <w:i w:val="1"/>
          <w:iCs w:val="1"/>
          <w:sz w:val="22"/>
          <w:szCs w:val="22"/>
          <w:rtl w:val="0"/>
        </w:rPr>
        <w:t xml:space="preserve"> La clasificación de la información se llevará a cabo en el momento en que:</w:t>
      </w:r>
      <w:r w:rsidDel="00000000" w:rsidR="00000000" w:rsidRPr="00000000">
        <w:rPr>
          <w:rtl w:val="0"/>
        </w:rPr>
      </w:r>
    </w:p>
    <w:p w:rsidR="00000000" w:rsidDel="00000000" w:rsidP="00000000" w:rsidRDefault="00000000" w:rsidRPr="00000000" w14:paraId="000001D2">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Se reciba una solicitud de acceso a la información;</w:t>
      </w:r>
      <w:r w:rsidDel="00000000" w:rsidR="00000000" w:rsidRPr="00000000">
        <w:rPr>
          <w:rtl w:val="0"/>
        </w:rPr>
      </w:r>
    </w:p>
    <w:p w:rsidR="00000000" w:rsidDel="00000000" w:rsidP="00000000" w:rsidRDefault="00000000" w:rsidRPr="00000000" w14:paraId="000001D3">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Se  determine mediante resolución del Comité de Transparencia, el órgano garante </w:t>
      </w:r>
    </w:p>
    <w:p w:rsidR="00000000" w:rsidDel="00000000" w:rsidP="00000000" w:rsidRDefault="00000000" w:rsidRPr="00000000" w14:paraId="000001D4">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competente, o en cumplimiento a una sentencia del Poder Judicial; o</w:t>
      </w:r>
      <w:r w:rsidDel="00000000" w:rsidR="00000000" w:rsidRPr="00000000">
        <w:rPr>
          <w:rtl w:val="0"/>
        </w:rPr>
      </w:r>
    </w:p>
    <w:p w:rsidR="00000000" w:rsidDel="00000000" w:rsidP="00000000" w:rsidRDefault="00000000" w:rsidRPr="00000000" w14:paraId="000001D5">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w:t>
      </w:r>
      <w:r w:rsidDel="00000000" w:rsidR="00000000" w:rsidRPr="00000000">
        <w:rPr>
          <w:rFonts w:ascii="Palatino Linotype" w:cs="Palatino Linotype" w:eastAsia="Palatino Linotype" w:hAnsi="Palatino Linotype"/>
          <w:i w:val="1"/>
          <w:iCs w:val="1"/>
          <w:sz w:val="22"/>
          <w:szCs w:val="22"/>
          <w:rtl w:val="0"/>
        </w:rPr>
        <w:t xml:space="preserve"> Se generen versiones públicas para dar cumplimiento a las obligaciones de transparencia previstas en la Ley General, la Ley Federal y las correspondientes de las entidades federativas.</w:t>
      </w:r>
      <w:r w:rsidDel="00000000" w:rsidR="00000000" w:rsidRPr="00000000">
        <w:rPr>
          <w:rtl w:val="0"/>
        </w:rPr>
      </w:r>
    </w:p>
    <w:p w:rsidR="00000000" w:rsidDel="00000000" w:rsidP="00000000" w:rsidRDefault="00000000" w:rsidRPr="00000000" w14:paraId="000001D6">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Los titulares de las áreas deberán revisar la clasificación al momento de la recepción de una solicitud de acceso a la información, para verificar si encuadra en una causal de reserva o de confidencialidad.</w:t>
      </w:r>
      <w:r w:rsidDel="00000000" w:rsidR="00000000" w:rsidRPr="00000000">
        <w:rPr>
          <w:rtl w:val="0"/>
        </w:rPr>
      </w:r>
    </w:p>
    <w:p w:rsidR="00000000" w:rsidDel="00000000" w:rsidP="00000000" w:rsidRDefault="00000000" w:rsidRPr="00000000" w14:paraId="000001D7">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Octavo.</w:t>
      </w:r>
      <w:r w:rsidDel="00000000" w:rsidR="00000000" w:rsidRPr="00000000">
        <w:rPr>
          <w:rFonts w:ascii="Palatino Linotype" w:cs="Palatino Linotype" w:eastAsia="Palatino Linotype" w:hAnsi="Palatino Linotype"/>
          <w:i w:val="1"/>
          <w:iCs w:val="1"/>
          <w:sz w:val="22"/>
          <w:szCs w:val="22"/>
          <w:rtl w:val="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r w:rsidDel="00000000" w:rsidR="00000000" w:rsidRPr="00000000">
        <w:rPr>
          <w:rtl w:val="0"/>
        </w:rPr>
      </w:r>
    </w:p>
    <w:p w:rsidR="00000000" w:rsidDel="00000000" w:rsidP="00000000" w:rsidRDefault="00000000" w:rsidRPr="00000000" w14:paraId="000001D8">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Para motivar la clasificación se deberán señalar las razones o circunstancias especiales que lo llevaron a concluir que el caso particular se ajusta al supuesto previsto por la norma legal invocada como fundamento.</w:t>
      </w:r>
      <w:r w:rsidDel="00000000" w:rsidR="00000000" w:rsidRPr="00000000">
        <w:rPr>
          <w:rtl w:val="0"/>
        </w:rPr>
      </w:r>
    </w:p>
    <w:p w:rsidR="00000000" w:rsidDel="00000000" w:rsidP="00000000" w:rsidRDefault="00000000" w:rsidRPr="00000000" w14:paraId="000001D9">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rsidR="00000000" w:rsidDel="00000000" w:rsidP="00000000" w:rsidRDefault="00000000" w:rsidRPr="00000000" w14:paraId="000001DA">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Noveno.</w:t>
      </w:r>
      <w:r w:rsidDel="00000000" w:rsidR="00000000" w:rsidRPr="00000000">
        <w:rPr>
          <w:rFonts w:ascii="Palatino Linotype" w:cs="Palatino Linotype" w:eastAsia="Palatino Linotype" w:hAnsi="Palatino Linotype"/>
          <w:i w:val="1"/>
          <w:iCs w:val="1"/>
          <w:sz w:val="22"/>
          <w:szCs w:val="22"/>
          <w:rtl w:val="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r w:rsidDel="00000000" w:rsidR="00000000" w:rsidRPr="00000000">
        <w:rPr>
          <w:rtl w:val="0"/>
        </w:rPr>
      </w:r>
    </w:p>
    <w:p w:rsidR="00000000" w:rsidDel="00000000" w:rsidP="00000000" w:rsidRDefault="00000000" w:rsidRPr="00000000" w14:paraId="000001DB">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Décimo.</w:t>
      </w:r>
      <w:r w:rsidDel="00000000" w:rsidR="00000000" w:rsidRPr="00000000">
        <w:rPr>
          <w:rFonts w:ascii="Palatino Linotype" w:cs="Palatino Linotype" w:eastAsia="Palatino Linotype" w:hAnsi="Palatino Linotype"/>
          <w:i w:val="1"/>
          <w:iCs w:val="1"/>
          <w:sz w:val="22"/>
          <w:szCs w:val="22"/>
          <w:rtl w:val="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r w:rsidDel="00000000" w:rsidR="00000000" w:rsidRPr="00000000">
        <w:rPr>
          <w:rtl w:val="0"/>
        </w:rPr>
      </w:r>
    </w:p>
    <w:p w:rsidR="00000000" w:rsidDel="00000000" w:rsidP="00000000" w:rsidRDefault="00000000" w:rsidRPr="00000000" w14:paraId="000001DC">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En ausencia de los titulares de las áreas, la información será clasificada o desclasificada por la persona que lo supla, en términos de la normativa que rija la actuación del sujeto obligado.</w:t>
      </w:r>
      <w:r w:rsidDel="00000000" w:rsidR="00000000" w:rsidRPr="00000000">
        <w:rPr>
          <w:rtl w:val="0"/>
        </w:rPr>
      </w:r>
    </w:p>
    <w:p w:rsidR="00000000" w:rsidDel="00000000" w:rsidP="00000000" w:rsidRDefault="00000000" w:rsidRPr="00000000" w14:paraId="000001DD">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Décimo primero.</w:t>
      </w:r>
      <w:r w:rsidDel="00000000" w:rsidR="00000000" w:rsidRPr="00000000">
        <w:rPr>
          <w:rFonts w:ascii="Palatino Linotype" w:cs="Palatino Linotype" w:eastAsia="Palatino Linotype" w:hAnsi="Palatino Linotype"/>
          <w:i w:val="1"/>
          <w:iCs w:val="1"/>
          <w:sz w:val="22"/>
          <w:szCs w:val="22"/>
          <w:rtl w:val="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rsidR="00000000" w:rsidDel="00000000" w:rsidP="00000000" w:rsidRDefault="00000000" w:rsidRPr="00000000" w14:paraId="000001DE">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tl w:val="0"/>
        </w:rPr>
      </w:r>
    </w:p>
    <w:p w:rsidR="00000000" w:rsidDel="00000000" w:rsidP="00000000" w:rsidRDefault="00000000" w:rsidRPr="00000000" w14:paraId="000001DF">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CAPÍTULO VIII</w:t>
      </w:r>
      <w:r w:rsidDel="00000000" w:rsidR="00000000" w:rsidRPr="00000000">
        <w:rPr>
          <w:rtl w:val="0"/>
        </w:rPr>
      </w:r>
    </w:p>
    <w:p w:rsidR="00000000" w:rsidDel="00000000" w:rsidP="00000000" w:rsidRDefault="00000000" w:rsidRPr="00000000" w14:paraId="000001E0">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DE LOS ELEMENTOS PARA LA CLASIFICACIÓN</w:t>
      </w:r>
    </w:p>
    <w:p w:rsidR="00000000" w:rsidDel="00000000" w:rsidP="00000000" w:rsidRDefault="00000000" w:rsidRPr="00000000" w14:paraId="000001E1">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w:t>
      </w:r>
      <w:r w:rsidDel="00000000" w:rsidR="00000000" w:rsidRPr="00000000">
        <w:rPr>
          <w:rFonts w:ascii="Palatino Linotype" w:cs="Palatino Linotype" w:eastAsia="Palatino Linotype" w:hAnsi="Palatino Linotype"/>
          <w:i w:val="1"/>
          <w:iCs w:val="1"/>
          <w:sz w:val="22"/>
          <w:szCs w:val="22"/>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rsidR="00000000" w:rsidDel="00000000" w:rsidP="00000000" w:rsidRDefault="00000000" w:rsidRPr="00000000" w14:paraId="000001E2">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primero</w:t>
      </w:r>
      <w:r w:rsidDel="00000000" w:rsidR="00000000" w:rsidRPr="00000000">
        <w:rPr>
          <w:rFonts w:ascii="Palatino Linotype" w:cs="Palatino Linotype" w:eastAsia="Palatino Linotype" w:hAnsi="Palatino Linotype"/>
          <w:i w:val="1"/>
          <w:iCs w:val="1"/>
          <w:sz w:val="22"/>
          <w:szCs w:val="22"/>
          <w:rtl w:val="0"/>
        </w:rPr>
        <w:t xml:space="preserve">. Toda acta del Comité de Transparencia deberá contener:</w:t>
      </w:r>
    </w:p>
    <w:p w:rsidR="00000000" w:rsidDel="00000000" w:rsidP="00000000" w:rsidRDefault="00000000" w:rsidRPr="00000000" w14:paraId="000001E3">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El número de sesión y fecha; </w:t>
      </w:r>
    </w:p>
    <w:p w:rsidR="00000000" w:rsidDel="00000000" w:rsidP="00000000" w:rsidRDefault="00000000" w:rsidRPr="00000000" w14:paraId="000001E4">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 El nombre del área que solicitó la clasificación de información;</w:t>
      </w:r>
    </w:p>
    <w:p w:rsidR="00000000" w:rsidDel="00000000" w:rsidP="00000000" w:rsidRDefault="00000000" w:rsidRPr="00000000" w14:paraId="000001E5">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III. La fundamentación legal y motivación correspondiente;</w:t>
      </w:r>
    </w:p>
    <w:p w:rsidR="00000000" w:rsidDel="00000000" w:rsidP="00000000" w:rsidRDefault="00000000" w:rsidRPr="00000000" w14:paraId="000001E6">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IV. La resolución o resoluciones aprobadas; y</w:t>
      </w:r>
    </w:p>
    <w:p w:rsidR="00000000" w:rsidDel="00000000" w:rsidP="00000000" w:rsidRDefault="00000000" w:rsidRPr="00000000" w14:paraId="000001E7">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 La rúbrica o firma digital de cada integrante del Comité de Transparencia. </w:t>
      </w:r>
    </w:p>
    <w:p w:rsidR="00000000" w:rsidDel="00000000" w:rsidP="00000000" w:rsidRDefault="00000000" w:rsidRPr="00000000" w14:paraId="000001E8">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Las resoluciones del Comité en las que se haya determinado confirmar o modificar la clasificación de información pública como reservada, deberán incluir, cuando menos:</w:t>
      </w:r>
    </w:p>
    <w:p w:rsidR="00000000" w:rsidDel="00000000" w:rsidP="00000000" w:rsidRDefault="00000000" w:rsidRPr="00000000" w14:paraId="000001E9">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Los motivos y razonamientos que sustenten la confirmación o modificación de la prueba de daño;</w:t>
      </w:r>
    </w:p>
    <w:p w:rsidR="00000000" w:rsidDel="00000000" w:rsidP="00000000" w:rsidRDefault="00000000" w:rsidRPr="00000000" w14:paraId="000001EA">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 Descripción de las partes o secciones reservadas, en caso de clasificación parcial;</w:t>
      </w:r>
    </w:p>
    <w:p w:rsidR="00000000" w:rsidDel="00000000" w:rsidP="00000000" w:rsidRDefault="00000000" w:rsidRPr="00000000" w14:paraId="000001EB">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III. El periodo por el que mantendrá su clasificación y fecha de expiración; y</w:t>
      </w:r>
    </w:p>
    <w:p w:rsidR="00000000" w:rsidDel="00000000" w:rsidP="00000000" w:rsidRDefault="00000000" w:rsidRPr="00000000" w14:paraId="000001EC">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IV. El nombre del titular y área encargada de realizar la versión pública del documento, en su caso.</w:t>
      </w:r>
    </w:p>
    <w:p w:rsidR="00000000" w:rsidDel="00000000" w:rsidP="00000000" w:rsidRDefault="00000000" w:rsidRPr="00000000" w14:paraId="000001ED">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EE">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EF">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segundo</w:t>
      </w:r>
      <w:r w:rsidDel="00000000" w:rsidR="00000000" w:rsidRPr="00000000">
        <w:rPr>
          <w:rFonts w:ascii="Palatino Linotype" w:cs="Palatino Linotype" w:eastAsia="Palatino Linotype" w:hAnsi="Palatino Linotype"/>
          <w:i w:val="1"/>
          <w:iCs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F0">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el caso específico de la clasificación y elaboración de versiones públicas de documentos que contengan información confidencial, las áreas de los sujetos obligados deberán:</w:t>
      </w:r>
    </w:p>
    <w:p w:rsidR="00000000" w:rsidDel="00000000" w:rsidP="00000000" w:rsidRDefault="00000000" w:rsidRPr="00000000" w14:paraId="000001F1">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Fijar la fecha en que se elaboró la versión pública y la fecha en la cual el Comité de Transparencia confirmó dicha versión;</w:t>
      </w:r>
    </w:p>
    <w:p w:rsidR="00000000" w:rsidDel="00000000" w:rsidP="00000000" w:rsidRDefault="00000000" w:rsidRPr="00000000" w14:paraId="000001F2">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1F3">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III. Señalar las personas o instancias autorizadas a acceder a la información clasificada.</w:t>
      </w:r>
    </w:p>
    <w:p w:rsidR="00000000" w:rsidDel="00000000" w:rsidP="00000000" w:rsidRDefault="00000000" w:rsidRPr="00000000" w14:paraId="000001F4">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F5">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000000" w:rsidDel="00000000" w:rsidP="00000000" w:rsidRDefault="00000000" w:rsidRPr="00000000" w14:paraId="000001F6">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w:t>
      </w:r>
      <w:r w:rsidDel="00000000" w:rsidR="00000000" w:rsidRPr="00000000">
        <w:rPr>
          <w:rtl w:val="0"/>
        </w:rPr>
      </w:r>
    </w:p>
    <w:p w:rsidR="00000000" w:rsidDel="00000000" w:rsidP="00000000" w:rsidRDefault="00000000" w:rsidRPr="00000000" w14:paraId="000001F7">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F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Efectivamente, cuando se clasifica información como confidencial es importante someterlo al Comité de Transparencia, quien debe confirmar, modificar o revocar la clasificación. </w:t>
      </w:r>
    </w:p>
    <w:p w:rsidR="00000000" w:rsidDel="00000000" w:rsidP="00000000" w:rsidRDefault="00000000" w:rsidRPr="00000000" w14:paraId="000001F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FA">
      <w:pPr>
        <w:shd w:fill="ffffff" w:val="clea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1FB">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FC">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1FD">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FE">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sz w:val="22"/>
          <w:szCs w:val="22"/>
        </w:rPr>
      </w:pPr>
      <w:bookmarkStart w:colFirst="0" w:colLast="0" w:name="_heading=h.lnxbz9" w:id="5"/>
      <w:bookmarkEnd w:id="5"/>
      <w:r w:rsidDel="00000000" w:rsidR="00000000" w:rsidRPr="00000000">
        <w:rPr>
          <w:rFonts w:ascii="Palatino Linotype" w:cs="Palatino Linotype" w:eastAsia="Palatino Linotype" w:hAnsi="Palatino Linotype"/>
          <w:b w:val="1"/>
          <w:bCs w:val="1"/>
          <w:sz w:val="22"/>
          <w:szCs w:val="22"/>
          <w:rtl w:val="0"/>
        </w:rPr>
        <w:t xml:space="preserve">III. R E S U E L V E</w:t>
      </w:r>
    </w:p>
    <w:p w:rsidR="00000000" w:rsidDel="00000000" w:rsidP="00000000" w:rsidRDefault="00000000" w:rsidRPr="00000000" w14:paraId="000001FF">
      <w:pPr>
        <w:spacing w:line="360" w:lineRule="auto"/>
        <w:jc w:val="both"/>
        <w:rPr>
          <w:rFonts w:ascii="Palatino Linotype" w:cs="Palatino Linotype" w:eastAsia="Palatino Linotype" w:hAnsi="Palatino Linotype"/>
          <w:b w:val="1"/>
          <w:bCs w:val="1"/>
          <w:sz w:val="22"/>
          <w:szCs w:val="22"/>
        </w:rPr>
      </w:pPr>
      <w:bookmarkStart w:colFirst="0" w:colLast="0" w:name="_heading=h.1fob9te" w:id="6"/>
      <w:bookmarkEnd w:id="6"/>
      <w:r w:rsidDel="00000000" w:rsidR="00000000" w:rsidRPr="00000000">
        <w:rPr>
          <w:rtl w:val="0"/>
        </w:rPr>
      </w:r>
    </w:p>
    <w:p w:rsidR="00000000" w:rsidDel="00000000" w:rsidP="00000000" w:rsidRDefault="00000000" w:rsidRPr="00000000" w14:paraId="00000200">
      <w:pPr>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Resultan </w:t>
      </w:r>
      <w:r w:rsidDel="00000000" w:rsidR="00000000" w:rsidRPr="00000000">
        <w:rPr>
          <w:rFonts w:ascii="Palatino Linotype" w:cs="Palatino Linotype" w:eastAsia="Palatino Linotype" w:hAnsi="Palatino Linotype"/>
          <w:b w:val="1"/>
          <w:bCs w:val="1"/>
          <w:sz w:val="22"/>
          <w:szCs w:val="22"/>
          <w:rtl w:val="0"/>
        </w:rPr>
        <w:t xml:space="preserve">fundadas</w:t>
      </w:r>
      <w:r w:rsidDel="00000000" w:rsidR="00000000" w:rsidRPr="00000000">
        <w:rPr>
          <w:rFonts w:ascii="Palatino Linotype" w:cs="Palatino Linotype" w:eastAsia="Palatino Linotype" w:hAnsi="Palatino Linotype"/>
          <w:sz w:val="22"/>
          <w:szCs w:val="22"/>
          <w:rtl w:val="0"/>
        </w:rPr>
        <w:t xml:space="preserve"> las razones o motivos de inconformidad hechos valer por la parte</w:t>
      </w:r>
      <w:r w:rsidDel="00000000" w:rsidR="00000000" w:rsidRPr="00000000">
        <w:rPr>
          <w:rFonts w:ascii="Palatino Linotype" w:cs="Palatino Linotype" w:eastAsia="Palatino Linotype" w:hAnsi="Palatino Linotype"/>
          <w:b w:val="1"/>
          <w:bCs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el recurso de revisión </w:t>
      </w:r>
      <w:r w:rsidDel="00000000" w:rsidR="00000000" w:rsidRPr="00000000">
        <w:rPr>
          <w:rFonts w:ascii="Palatino Linotype" w:cs="Palatino Linotype" w:eastAsia="Palatino Linotype" w:hAnsi="Palatino Linotype"/>
          <w:b w:val="1"/>
          <w:bCs w:val="1"/>
          <w:sz w:val="22"/>
          <w:szCs w:val="22"/>
          <w:rtl w:val="0"/>
        </w:rPr>
        <w:t xml:space="preserve">07529/INFOEM/IP/RR/2025</w:t>
      </w:r>
      <w:r w:rsidDel="00000000" w:rsidR="00000000" w:rsidRPr="00000000">
        <w:rPr>
          <w:rFonts w:ascii="Palatino Linotype" w:cs="Palatino Linotype" w:eastAsia="Palatino Linotype" w:hAnsi="Palatino Linotype"/>
          <w:sz w:val="22"/>
          <w:szCs w:val="22"/>
          <w:rtl w:val="0"/>
        </w:rPr>
        <w:t xml:space="preserve">; por lo que, en términos de </w:t>
      </w:r>
      <w:r w:rsidDel="00000000" w:rsidR="00000000" w:rsidRPr="00000000">
        <w:rPr>
          <w:rFonts w:ascii="Palatino Linotype" w:cs="Palatino Linotype" w:eastAsia="Palatino Linotype" w:hAnsi="Palatino Linotype"/>
          <w:b w:val="1"/>
          <w:bCs w:val="1"/>
          <w:sz w:val="22"/>
          <w:szCs w:val="22"/>
          <w:rtl w:val="0"/>
        </w:rPr>
        <w:t xml:space="preserve">Considerando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esta resolución, se </w:t>
      </w:r>
      <w:r w:rsidDel="00000000" w:rsidR="00000000" w:rsidRPr="00000000">
        <w:rPr>
          <w:rFonts w:ascii="Palatino Linotype" w:cs="Palatino Linotype" w:eastAsia="Palatino Linotype" w:hAnsi="Palatino Linotype"/>
          <w:b w:val="1"/>
          <w:bCs w:val="1"/>
          <w:sz w:val="22"/>
          <w:szCs w:val="22"/>
          <w:rtl w:val="0"/>
        </w:rPr>
        <w:t xml:space="preserve">Revoca </w:t>
      </w:r>
      <w:r w:rsidDel="00000000" w:rsidR="00000000" w:rsidRPr="00000000">
        <w:rPr>
          <w:rFonts w:ascii="Palatino Linotype" w:cs="Palatino Linotype" w:eastAsia="Palatino Linotype" w:hAnsi="Palatino Linotype"/>
          <w:sz w:val="22"/>
          <w:szCs w:val="22"/>
          <w:rtl w:val="0"/>
        </w:rPr>
        <w:t xml:space="preserve">la respuesta emitida por el </w:t>
      </w:r>
      <w:r w:rsidDel="00000000" w:rsidR="00000000" w:rsidRPr="00000000">
        <w:rPr>
          <w:rFonts w:ascii="Palatino Linotype" w:cs="Palatino Linotype" w:eastAsia="Palatino Linotype" w:hAnsi="Palatino Linotype"/>
          <w:b w:val="1"/>
          <w:bCs w:val="1"/>
          <w:sz w:val="22"/>
          <w:szCs w:val="22"/>
          <w:rtl w:val="0"/>
        </w:rPr>
        <w:t xml:space="preserve">Sujeto Obligado.</w:t>
      </w:r>
    </w:p>
    <w:p w:rsidR="00000000" w:rsidDel="00000000" w:rsidP="00000000" w:rsidRDefault="00000000" w:rsidRPr="00000000" w14:paraId="0000020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02">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Segundo. </w:t>
      </w:r>
      <w:r w:rsidDel="00000000" w:rsidR="00000000" w:rsidRPr="00000000">
        <w:rPr>
          <w:rFonts w:ascii="Palatino Linotype" w:cs="Palatino Linotype" w:eastAsia="Palatino Linotype" w:hAnsi="Palatino Linotype"/>
          <w:sz w:val="22"/>
          <w:szCs w:val="22"/>
          <w:rtl w:val="0"/>
        </w:rPr>
        <w:t xml:space="preserve">Se </w:t>
      </w:r>
      <w:r w:rsidDel="00000000" w:rsidR="00000000" w:rsidRPr="00000000">
        <w:rPr>
          <w:rFonts w:ascii="Palatino Linotype" w:cs="Palatino Linotype" w:eastAsia="Palatino Linotype" w:hAnsi="Palatino Linotype"/>
          <w:b w:val="1"/>
          <w:bCs w:val="1"/>
          <w:sz w:val="22"/>
          <w:szCs w:val="22"/>
          <w:rtl w:val="0"/>
        </w:rPr>
        <w:t xml:space="preserve">Ordena</w:t>
      </w:r>
      <w:r w:rsidDel="00000000" w:rsidR="00000000" w:rsidRPr="00000000">
        <w:rPr>
          <w:rFonts w:ascii="Palatino Linotype" w:cs="Palatino Linotype" w:eastAsia="Palatino Linotype" w:hAnsi="Palatino Linotype"/>
          <w:sz w:val="22"/>
          <w:szCs w:val="22"/>
          <w:rtl w:val="0"/>
        </w:rPr>
        <w:t xml:space="preserve"> al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términos de los Considerandos </w:t>
      </w:r>
      <w:r w:rsidDel="00000000" w:rsidR="00000000" w:rsidRPr="00000000">
        <w:rPr>
          <w:rFonts w:ascii="Palatino Linotype" w:cs="Palatino Linotype" w:eastAsia="Palatino Linotype" w:hAnsi="Palatino Linotype"/>
          <w:b w:val="1"/>
          <w:bCs w:val="1"/>
          <w:sz w:val="22"/>
          <w:szCs w:val="22"/>
          <w:rtl w:val="0"/>
        </w:rPr>
        <w:t xml:space="preserve">Cuarto y Quinto </w:t>
      </w:r>
      <w:r w:rsidDel="00000000" w:rsidR="00000000" w:rsidRPr="00000000">
        <w:rPr>
          <w:rFonts w:ascii="Palatino Linotype" w:cs="Palatino Linotype" w:eastAsia="Palatino Linotype" w:hAnsi="Palatino Linotype"/>
          <w:sz w:val="22"/>
          <w:szCs w:val="22"/>
          <w:rtl w:val="0"/>
        </w:rPr>
        <w:t xml:space="preserve">de esta resolución, haga entrega vía</w:t>
      </w:r>
      <w:r w:rsidDel="00000000" w:rsidR="00000000" w:rsidRPr="00000000">
        <w:rPr>
          <w:rFonts w:ascii="Palatino Linotype" w:cs="Palatino Linotype" w:eastAsia="Palatino Linotype" w:hAnsi="Palatino Linotype"/>
          <w:b w:val="1"/>
          <w:bCs w:val="1"/>
          <w:sz w:val="22"/>
          <w:szCs w:val="22"/>
          <w:rtl w:val="0"/>
        </w:rPr>
        <w:t xml:space="preserve"> SAIMEX</w:t>
      </w:r>
      <w:r w:rsidDel="00000000" w:rsidR="00000000" w:rsidRPr="00000000">
        <w:rPr>
          <w:rFonts w:ascii="Palatino Linotype" w:cs="Palatino Linotype" w:eastAsia="Palatino Linotype" w:hAnsi="Palatino Linotype"/>
          <w:sz w:val="22"/>
          <w:szCs w:val="22"/>
          <w:rtl w:val="0"/>
        </w:rPr>
        <w:t xml:space="preserve">, previa búsqueda exhaustiva y razonable, de ser procedente en versión pública, de la siguiente información:</w:t>
      </w:r>
    </w:p>
    <w:p w:rsidR="00000000" w:rsidDel="00000000" w:rsidP="00000000" w:rsidRDefault="00000000" w:rsidRPr="00000000" w14:paraId="0000020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850" w:firstLine="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Del bien inmueble que se encuentra a un costado de la plaza Town Center, en el que se proyectó la construcción de una clínica de especialidades del IMSS: </w:t>
      </w:r>
    </w:p>
    <w:p w:rsidR="00000000" w:rsidDel="00000000" w:rsidP="00000000" w:rsidRDefault="00000000" w:rsidRPr="00000000" w14:paraId="0000020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851" w:right="850" w:firstLine="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Expediente integrado derivado de la compra del inmueble, en el que deberá contemplarse el documento que dé cuenta del pago realizado por la compra, generado al veintinueve de mayo de dos mil veinticinco. </w:t>
      </w:r>
    </w:p>
    <w:p w:rsidR="00000000" w:rsidDel="00000000" w:rsidP="00000000" w:rsidRDefault="00000000" w:rsidRPr="00000000" w14:paraId="0000020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851" w:right="850" w:firstLine="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El documento remitido por el IMSS al Ayuntamiento en el que se expresó la imposibilidad de la inversión en el predio por no contar con certeza jurídica, con el que cuente al veintinueve de mayo de dos mil veinticinco. </w:t>
      </w:r>
    </w:p>
    <w:p w:rsidR="00000000" w:rsidDel="00000000" w:rsidP="00000000" w:rsidRDefault="00000000" w:rsidRPr="00000000" w14:paraId="00000207">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w:t>
      </w:r>
      <w:r w:rsidDel="00000000" w:rsidR="00000000" w:rsidRPr="00000000">
        <w:rPr>
          <w:rFonts w:ascii="Palatino Linotype" w:cs="Palatino Linotype" w:eastAsia="Palatino Linotype" w:hAnsi="Palatino Linotype"/>
          <w:b w:val="1"/>
          <w:bCs w:val="1"/>
          <w:i w:val="1"/>
          <w:iCs w:val="1"/>
          <w:sz w:val="22"/>
          <w:szCs w:val="22"/>
          <w:rtl w:val="0"/>
        </w:rPr>
        <w:t xml:space="preserve"> </w:t>
      </w:r>
      <w:r w:rsidDel="00000000" w:rsidR="00000000" w:rsidRPr="00000000">
        <w:rPr>
          <w:rFonts w:ascii="Palatino Linotype" w:cs="Palatino Linotype" w:eastAsia="Palatino Linotype" w:hAnsi="Palatino Linotype"/>
          <w:i w:val="1"/>
          <w:iCs w:val="1"/>
          <w:sz w:val="22"/>
          <w:szCs w:val="22"/>
          <w:rtl w:val="0"/>
        </w:rPr>
        <w:t xml:space="preserve">y se ponga a disposición de la parte Recurrente, en términos de los artículos 49, fracción VIII, de la Ley de Transparencia y Acceso a la Información Pública del Estado de México y Municipios.</w:t>
      </w:r>
    </w:p>
    <w:p w:rsidR="00000000" w:rsidDel="00000000" w:rsidP="00000000" w:rsidRDefault="00000000" w:rsidRPr="00000000" w14:paraId="00000208">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209">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el supuesto que la información ordenada en el numeral 2, no obre en los archivos del Sujeto Obligado por no haberse poseído y/o administrado, bastará con que así lo haga del conocimiento del Recurrente, en términos del artículo 19, párrafo segundo de la Ley de Transparencia y Acceso a la Información Pública del Estado de México y Municipios, para tener por colmado el requerimiento de información.</w:t>
      </w:r>
    </w:p>
    <w:p w:rsidR="00000000" w:rsidDel="00000000" w:rsidP="00000000" w:rsidRDefault="00000000" w:rsidRPr="00000000" w14:paraId="0000020A">
      <w:pPr>
        <w:spacing w:line="276" w:lineRule="auto"/>
        <w:ind w:left="851" w:right="850"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20B">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20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Tercero.  Notifíquese </w:t>
      </w:r>
      <w:r w:rsidDel="00000000" w:rsidR="00000000" w:rsidRPr="00000000">
        <w:rPr>
          <w:rFonts w:ascii="Palatino Linotype" w:cs="Palatino Linotype" w:eastAsia="Palatino Linotype" w:hAnsi="Palatino Linotype"/>
          <w:sz w:val="22"/>
          <w:szCs w:val="22"/>
          <w:rtl w:val="0"/>
        </w:rPr>
        <w:t xml:space="preserve">vía </w:t>
      </w:r>
      <w:r w:rsidDel="00000000" w:rsidR="00000000" w:rsidRPr="00000000">
        <w:rPr>
          <w:rFonts w:ascii="Palatino Linotype" w:cs="Palatino Linotype" w:eastAsia="Palatino Linotype" w:hAnsi="Palatino Linotype"/>
          <w:b w:val="1"/>
          <w:bCs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000000" w:rsidDel="00000000" w:rsidP="00000000" w:rsidRDefault="00000000" w:rsidRPr="00000000" w14:paraId="0000020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0E">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Cuarto. Notifíquese </w:t>
      </w:r>
      <w:r w:rsidDel="00000000" w:rsidR="00000000" w:rsidRPr="00000000">
        <w:rPr>
          <w:rFonts w:ascii="Palatino Linotype" w:cs="Palatino Linotype" w:eastAsia="Palatino Linotype" w:hAnsi="Palatino Linotype"/>
          <w:sz w:val="22"/>
          <w:szCs w:val="22"/>
          <w:rtl w:val="0"/>
        </w:rPr>
        <w:t xml:space="preserve">a través del</w:t>
      </w:r>
      <w:r w:rsidDel="00000000" w:rsidR="00000000" w:rsidRPr="00000000">
        <w:rPr>
          <w:rFonts w:ascii="Palatino Linotype" w:cs="Palatino Linotype" w:eastAsia="Palatino Linotype" w:hAnsi="Palatino Linotype"/>
          <w:b w:val="1"/>
          <w:bCs w:val="1"/>
          <w:sz w:val="22"/>
          <w:szCs w:val="22"/>
          <w:rtl w:val="0"/>
        </w:rPr>
        <w:t xml:space="preserve"> SAIMEX, </w:t>
      </w:r>
      <w:r w:rsidDel="00000000" w:rsidR="00000000" w:rsidRPr="00000000">
        <w:rPr>
          <w:rFonts w:ascii="Palatino Linotype" w:cs="Palatino Linotype" w:eastAsia="Palatino Linotype" w:hAnsi="Palatino Linotype"/>
          <w:sz w:val="22"/>
          <w:szCs w:val="22"/>
          <w:rtl w:val="0"/>
        </w:rPr>
        <w:t xml:space="preserve">al Titular de la Unidad de Transparencia que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000000" w:rsidDel="00000000" w:rsidP="00000000" w:rsidRDefault="00000000" w:rsidRPr="00000000" w14:paraId="0000020F">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0">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Quinto. Notifíquese vía SAIMEX, </w:t>
      </w:r>
      <w:r w:rsidDel="00000000" w:rsidR="00000000" w:rsidRPr="00000000">
        <w:rPr>
          <w:rFonts w:ascii="Palatino Linotype" w:cs="Palatino Linotype" w:eastAsia="Palatino Linotype" w:hAnsi="Palatino Linotype"/>
          <w:sz w:val="22"/>
          <w:szCs w:val="22"/>
          <w:rtl w:val="0"/>
        </w:rPr>
        <w:t xml:space="preserve">a</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la parte</w:t>
      </w:r>
      <w:r w:rsidDel="00000000" w:rsidR="00000000" w:rsidRPr="00000000">
        <w:rPr>
          <w:rFonts w:ascii="Palatino Linotype" w:cs="Palatino Linotype" w:eastAsia="Palatino Linotype" w:hAnsi="Palatino Linotype"/>
          <w:b w:val="1"/>
          <w:bCs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 </w:t>
      </w:r>
    </w:p>
    <w:p w:rsidR="00000000" w:rsidDel="00000000" w:rsidP="00000000" w:rsidRDefault="00000000" w:rsidRPr="00000000" w14:paraId="00000211">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CINCO DE FEBRERO DE DOS MIL VEINTISÉIS, ANTE EL SECRETARIO TÉCNICO DEL PLENO ALEXIS TAPIA RAMÍREZ. </w:t>
      </w:r>
    </w:p>
    <w:p w:rsidR="00000000" w:rsidDel="00000000" w:rsidP="00000000" w:rsidRDefault="00000000" w:rsidRPr="00000000" w14:paraId="0000021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2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2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22">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23" w:type="default"/>
      <w:headerReference r:id="rId24" w:type="first"/>
      <w:footerReference r:id="rId25" w:type="default"/>
      <w:footerReference r:id="rId26" w:type="first"/>
      <w:pgSz w:h="15840" w:w="12240" w:orient="portrait"/>
      <w:pgMar w:bottom="1418" w:top="1985" w:left="1701" w:right="1467"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8">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bCs w:val="1"/>
        <w:color w:val="000000"/>
        <w:sz w:val="20"/>
        <w:szCs w:val="20"/>
        <w:rtl w:val="0"/>
      </w:rPr>
      <w:t xml:space="preserve">Página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39">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A">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bCs w:val="1"/>
        <w:color w:val="000000"/>
        <w:sz w:val="20"/>
        <w:szCs w:val="20"/>
        <w:rtl w:val="0"/>
      </w:rPr>
      <w:t xml:space="preserve">Página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3B">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0"/>
          <w:szCs w:val="20"/>
          <w:u w:val="none"/>
          <w:shd w:fill="auto" w:val="clear"/>
          <w:vertAlign w:val="baseline"/>
          <w:rtl w:val="0"/>
        </w:rPr>
        <w:t xml:space="preserve">Consultable en: </w:t>
      </w:r>
      <w:hyperlink r:id="rId1">
        <w:r w:rsidDel="00000000" w:rsidR="00000000" w:rsidRPr="00000000">
          <w:rPr>
            <w:rFonts w:ascii="Palatino Linotype" w:cs="Palatino Linotype" w:eastAsia="Palatino Linotype" w:hAnsi="Palatino Linotype"/>
            <w:b w:val="0"/>
            <w:bCs w:val="0"/>
            <w:i w:val="0"/>
            <w:iCs w:val="0"/>
            <w:smallCaps w:val="0"/>
            <w:strike w:val="0"/>
            <w:color w:val="0000ff"/>
            <w:sz w:val="20"/>
            <w:szCs w:val="20"/>
            <w:u w:val="single"/>
            <w:shd w:fill="auto" w:val="clear"/>
            <w:vertAlign w:val="baseline"/>
            <w:rtl w:val="0"/>
          </w:rPr>
          <w:t xml:space="preserve">https://www.semanariomiespacio.com/uncategorized/nr-49/#:~:text=Por%20su%20parte%2C%20el%20diputado%20Moreno%20felicit%C3%B3,Comercial%20Town%20Center.%20En%20tanto%2C%20la%20Dra</w:t>
        </w:r>
      </w:hyperlink>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 </w:t>
      </w:r>
    </w:p>
  </w:footnote>
  <w:footnote w:id="1">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 Consultable en: </w:t>
      </w:r>
      <w:hyperlink r:id="rId2">
        <w:r w:rsidDel="00000000" w:rsidR="00000000" w:rsidRPr="00000000">
          <w:rPr>
            <w:rFonts w:ascii="Cambria" w:cs="Cambria" w:eastAsia="Cambria" w:hAnsi="Cambria"/>
            <w:b w:val="0"/>
            <w:bCs w:val="0"/>
            <w:i w:val="0"/>
            <w:iCs w:val="0"/>
            <w:smallCaps w:val="0"/>
            <w:strike w:val="0"/>
            <w:color w:val="0000ff"/>
            <w:sz w:val="20"/>
            <w:szCs w:val="20"/>
            <w:u w:val="single"/>
            <w:shd w:fill="auto" w:val="clear"/>
            <w:vertAlign w:val="baseline"/>
            <w:rtl w:val="0"/>
          </w:rPr>
          <w:t xml:space="preserve">https://nicolasromero.gob.mx/destraba-gobierno-municipal-obstaculos-legales-para-construccion-de-un-hospital-del-imss-en-nicolas-romero/#</w:t>
        </w:r>
      </w:hyperlink>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5">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-1080128</wp:posOffset>
          </wp:positionH>
          <wp:positionV relativeFrom="paragraph">
            <wp:posOffset>-488308</wp:posOffset>
          </wp:positionV>
          <wp:extent cx="7809865" cy="10165715"/>
          <wp:effectExtent b="0" l="0" r="0" t="0"/>
          <wp:wrapNone/>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p w:rsidR="00000000" w:rsidDel="00000000" w:rsidP="00000000" w:rsidRDefault="00000000" w:rsidRPr="00000000" w14:paraId="00000226">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Recurso de Revisión:</w:t>
          </w:r>
        </w:p>
      </w:tc>
      <w:tc>
        <w:tcPr>
          <w:vAlign w:val="center"/>
        </w:tcPr>
        <w:p w:rsidR="00000000" w:rsidDel="00000000" w:rsidP="00000000" w:rsidRDefault="00000000" w:rsidRPr="00000000" w14:paraId="00000227">
          <w:pPr>
            <w:ind w:right="175"/>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07529/INFOEM/IP/RR/2025</w:t>
          </w:r>
        </w:p>
      </w:tc>
    </w:tr>
    <w:tr>
      <w:trPr>
        <w:cantSplit w:val="0"/>
        <w:trHeight w:val="228" w:hRule="atLeast"/>
        <w:tblHeader w:val="0"/>
      </w:trPr>
      <w:tc>
        <w:tcPr>
          <w:vAlign w:val="center"/>
        </w:tcPr>
        <w:p w:rsidR="00000000" w:rsidDel="00000000" w:rsidP="00000000" w:rsidRDefault="00000000" w:rsidRPr="00000000" w14:paraId="00000228">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Sujeto Obligado:</w:t>
          </w:r>
        </w:p>
      </w:tc>
      <w:tc>
        <w:tcPr>
          <w:vAlign w:val="center"/>
        </w:tcPr>
        <w:p w:rsidR="00000000" w:rsidDel="00000000" w:rsidP="00000000" w:rsidRDefault="00000000" w:rsidRPr="00000000" w14:paraId="00000229">
          <w:pPr>
            <w:ind w:left="-45" w:right="176"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Ayuntamiento de Nicolás Romero</w:t>
          </w:r>
        </w:p>
      </w:tc>
    </w:tr>
    <w:tr>
      <w:trPr>
        <w:cantSplit w:val="0"/>
        <w:tblHeader w:val="0"/>
      </w:trPr>
      <w:tc>
        <w:tcPr>
          <w:vAlign w:val="center"/>
        </w:tcPr>
        <w:p w:rsidR="00000000" w:rsidDel="00000000" w:rsidP="00000000" w:rsidRDefault="00000000" w:rsidRPr="00000000" w14:paraId="0000022A">
          <w:pPr>
            <w:ind w:right="-108"/>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Comisionada ponente:</w:t>
          </w:r>
        </w:p>
      </w:tc>
      <w:tc>
        <w:tcPr>
          <w:vAlign w:val="center"/>
        </w:tcPr>
        <w:p w:rsidR="00000000" w:rsidDel="00000000" w:rsidP="00000000" w:rsidRDefault="00000000" w:rsidRPr="00000000" w14:paraId="0000022B">
          <w:pPr>
            <w:ind w:right="175"/>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Guadalupe Ramírez Peña</w:t>
          </w:r>
        </w:p>
      </w:tc>
    </w:tr>
  </w:tbl>
  <w:p w:rsidR="00000000" w:rsidDel="00000000" w:rsidP="00000000" w:rsidRDefault="00000000" w:rsidRPr="00000000" w14:paraId="0000022C">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D">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-689609</wp:posOffset>
          </wp:positionH>
          <wp:positionV relativeFrom="paragraph">
            <wp:posOffset>-329564</wp:posOffset>
          </wp:positionV>
          <wp:extent cx="7809865" cy="10165715"/>
          <wp:effectExtent b="0" l="0" r="0" t="0"/>
          <wp:wrapNone/>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670.0" w:type="dxa"/>
      <w:jc w:val="left"/>
      <w:tblInd w:w="3261.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22E">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Recurso de Revisión:</w:t>
          </w:r>
        </w:p>
      </w:tc>
      <w:tc>
        <w:tcPr>
          <w:vAlign w:val="center"/>
        </w:tcPr>
        <w:p w:rsidR="00000000" w:rsidDel="00000000" w:rsidP="00000000" w:rsidRDefault="00000000" w:rsidRPr="00000000" w14:paraId="0000022F">
          <w:pPr>
            <w:tabs>
              <w:tab w:val="left" w:leader="none" w:pos="3153"/>
            </w:tabs>
            <w:ind w:left="-45"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07529/INFOEM/IP/RR/2025</w:t>
          </w:r>
        </w:p>
      </w:tc>
    </w:tr>
    <w:tr>
      <w:trPr>
        <w:cantSplit w:val="0"/>
        <w:trHeight w:val="130" w:hRule="atLeast"/>
        <w:tblHeader w:val="0"/>
      </w:trPr>
      <w:tc>
        <w:tcPr>
          <w:vAlign w:val="center"/>
        </w:tcPr>
        <w:p w:rsidR="00000000" w:rsidDel="00000000" w:rsidP="00000000" w:rsidRDefault="00000000" w:rsidRPr="00000000" w14:paraId="00000230">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Recurrente:</w:t>
          </w:r>
        </w:p>
      </w:tc>
      <w:tc>
        <w:tcPr>
          <w:vAlign w:val="center"/>
        </w:tcPr>
        <w:p w:rsidR="00000000" w:rsidDel="00000000" w:rsidP="00000000" w:rsidRDefault="00000000" w:rsidRPr="00000000" w14:paraId="00000231">
          <w:pPr>
            <w:tabs>
              <w:tab w:val="left" w:leader="none" w:pos="3153"/>
            </w:tabs>
            <w:ind w:left="-45"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XXXXX XXXXXXXX XXXXXXXXX </w:t>
          </w:r>
        </w:p>
      </w:tc>
    </w:tr>
    <w:tr>
      <w:trPr>
        <w:cantSplit w:val="0"/>
        <w:trHeight w:val="228" w:hRule="atLeast"/>
        <w:tblHeader w:val="0"/>
      </w:trPr>
      <w:tc>
        <w:tcPr>
          <w:vAlign w:val="center"/>
        </w:tcPr>
        <w:p w:rsidR="00000000" w:rsidDel="00000000" w:rsidP="00000000" w:rsidRDefault="00000000" w:rsidRPr="00000000" w14:paraId="00000232">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Sujeto obligado:</w:t>
          </w:r>
        </w:p>
      </w:tc>
      <w:tc>
        <w:tcPr>
          <w:vAlign w:val="center"/>
        </w:tcPr>
        <w:p w:rsidR="00000000" w:rsidDel="00000000" w:rsidP="00000000" w:rsidRDefault="00000000" w:rsidRPr="00000000" w14:paraId="00000233">
          <w:pPr>
            <w:ind w:left="-45" w:right="27"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Ayuntamiento de Nicolás Romero</w:t>
          </w:r>
        </w:p>
      </w:tc>
    </w:tr>
    <w:tr>
      <w:trPr>
        <w:cantSplit w:val="0"/>
        <w:tblHeader w:val="0"/>
      </w:trPr>
      <w:tc>
        <w:tcPr>
          <w:vAlign w:val="center"/>
        </w:tcPr>
        <w:p w:rsidR="00000000" w:rsidDel="00000000" w:rsidP="00000000" w:rsidRDefault="00000000" w:rsidRPr="00000000" w14:paraId="00000234">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Comisionada ponente:</w:t>
          </w:r>
        </w:p>
      </w:tc>
      <w:tc>
        <w:tcPr>
          <w:vAlign w:val="center"/>
        </w:tcPr>
        <w:p w:rsidR="00000000" w:rsidDel="00000000" w:rsidP="00000000" w:rsidRDefault="00000000" w:rsidRPr="00000000" w14:paraId="00000235">
          <w:pPr>
            <w:ind w:left="-45" w:right="-533"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Guadalupe Ramírez Peña</w:t>
          </w:r>
        </w:p>
      </w:tc>
    </w:tr>
  </w:tbl>
  <w:p w:rsidR="00000000" w:rsidDel="00000000" w:rsidP="00000000" w:rsidRDefault="00000000" w:rsidRPr="00000000" w14:paraId="00000236">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237">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927" w:hanging="360"/>
      </w:pPr>
      <w:rPr>
        <w:b w:val="1"/>
        <w:bCs w:val="1"/>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bCs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bCs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bCs w:val="1"/>
      <w:i w:val="1"/>
      <w:iCs w:val="1"/>
      <w:sz w:val="26"/>
      <w:szCs w:val="26"/>
    </w:rPr>
  </w:style>
  <w:style w:type="paragraph" w:styleId="Heading6">
    <w:name w:val="heading 6"/>
    <w:basedOn w:val="Normal"/>
    <w:next w:val="Normal"/>
    <w:pPr>
      <w:spacing w:after="60" w:before="240" w:lineRule="auto"/>
      <w:ind w:left="4320" w:hanging="720"/>
    </w:pPr>
    <w:rPr>
      <w:b w:val="1"/>
      <w:bCs w:val="1"/>
      <w:sz w:val="22"/>
      <w:szCs w:val="22"/>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about:blank" TargetMode="External"/><Relationship Id="rId22" Type="http://schemas.openxmlformats.org/officeDocument/2006/relationships/image" Target="media/image8.png"/><Relationship Id="rId21" Type="http://schemas.openxmlformats.org/officeDocument/2006/relationships/image" Target="media/image13.png"/><Relationship Id="rId24" Type="http://schemas.openxmlformats.org/officeDocument/2006/relationships/header" Target="header2.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9.png"/><Relationship Id="rId26" Type="http://schemas.openxmlformats.org/officeDocument/2006/relationships/footer" Target="footer2.xml"/><Relationship Id="rId25"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7.png"/><Relationship Id="rId11" Type="http://schemas.openxmlformats.org/officeDocument/2006/relationships/image" Target="media/image15.png"/><Relationship Id="rId10" Type="http://schemas.openxmlformats.org/officeDocument/2006/relationships/image" Target="media/image4.png"/><Relationship Id="rId13" Type="http://schemas.openxmlformats.org/officeDocument/2006/relationships/image" Target="media/image5.png"/><Relationship Id="rId12" Type="http://schemas.openxmlformats.org/officeDocument/2006/relationships/image" Target="media/image3.png"/><Relationship Id="rId15" Type="http://schemas.openxmlformats.org/officeDocument/2006/relationships/image" Target="media/image10.png"/><Relationship Id="rId14" Type="http://schemas.openxmlformats.org/officeDocument/2006/relationships/image" Target="media/image2.png"/><Relationship Id="rId17" Type="http://schemas.openxmlformats.org/officeDocument/2006/relationships/image" Target="media/image6.png"/><Relationship Id="rId16" Type="http://schemas.openxmlformats.org/officeDocument/2006/relationships/image" Target="media/image12.png"/><Relationship Id="rId19" Type="http://schemas.openxmlformats.org/officeDocument/2006/relationships/image" Target="media/image14.png"/><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https://www.semanariomiespacio.com/uncategorized/nr-49/#:~:text=Por%20su%20parte%2C%20el%20diputado%20Moreno%20felicit%C3%B3,Comercial%20Town%20Center.%20En%20tanto%2C%20la%20Dra" TargetMode="External"/><Relationship Id="rId2" Type="http://schemas.openxmlformats.org/officeDocument/2006/relationships/hyperlink" Target="https://nicolasromero.gob.mx/destraba-gobierno-municipal-obstaculos-legales-para-construccion-de-un-hospital-del-imss-en-nicolas-rome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xCvWht4VTV1L18XYXcu3w5mIA==">CgMxLjAyDmguN2g2N2htcWVlaWw0MghoLmdqZGd4czIJaC4zMGowemxsMgloLjJzOGV5bzEyCGgudHlqY3d0MghoLmxueGJ6OTIJaC4xZm9iOXRlOAByITFzQnl1N0RmMTB5VkszYnJ6al9OVXJDQmI1Wk1LYXN1Tg==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