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D092F" w14:textId="77777777" w:rsidR="00566CD1" w:rsidRPr="00DF63A7" w:rsidRDefault="00F83198" w:rsidP="00DF63A7">
      <w:pPr>
        <w:pBdr>
          <w:top w:val="nil"/>
          <w:left w:val="nil"/>
          <w:bottom w:val="nil"/>
          <w:right w:val="nil"/>
          <w:between w:val="nil"/>
        </w:pBdr>
        <w:spacing w:line="360" w:lineRule="auto"/>
        <w:ind w:right="-1134"/>
        <w:jc w:val="both"/>
        <w:rPr>
          <w:rFonts w:ascii="Palatino Linotype" w:eastAsia="Palatino Linotype" w:hAnsi="Palatino Linotype" w:cs="Palatino Linotype"/>
          <w:b/>
          <w:bCs/>
          <w:color w:val="000000"/>
        </w:rPr>
      </w:pPr>
      <w:bookmarkStart w:id="0" w:name="_GoBack"/>
      <w:bookmarkEnd w:id="0"/>
      <w:r w:rsidRPr="00DF63A7">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DF63A7">
        <w:rPr>
          <w:rFonts w:ascii="Palatino Linotype" w:eastAsia="Palatino Linotype" w:hAnsi="Palatino Linotype" w:cs="Palatino Linotype"/>
          <w:b/>
          <w:bCs/>
          <w:color w:val="000000"/>
        </w:rPr>
        <w:t>de</w:t>
      </w:r>
      <w:r w:rsidRPr="00DF63A7">
        <w:rPr>
          <w:rFonts w:ascii="Palatino Linotype" w:eastAsia="Palatino Linotype" w:hAnsi="Palatino Linotype" w:cs="Palatino Linotype"/>
          <w:b/>
          <w:bCs/>
        </w:rPr>
        <w:t xml:space="preserve"> fecha </w:t>
      </w:r>
      <w:r w:rsidRPr="00DF63A7">
        <w:rPr>
          <w:rFonts w:ascii="Palatino Linotype" w:eastAsia="Palatino Linotype" w:hAnsi="Palatino Linotype" w:cs="Palatino Linotype"/>
          <w:b/>
          <w:bCs/>
          <w:color w:val="000000"/>
        </w:rPr>
        <w:t>veinte (20) de mayo de dos mil veintiséis.</w:t>
      </w:r>
    </w:p>
    <w:p w14:paraId="40B62F02"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28363EE3" w14:textId="791C423D" w:rsidR="00566CD1" w:rsidRPr="00DF63A7" w:rsidRDefault="00F83198" w:rsidP="00DF63A7">
      <w:pPr>
        <w:pBdr>
          <w:top w:val="nil"/>
          <w:left w:val="nil"/>
          <w:bottom w:val="nil"/>
          <w:right w:val="nil"/>
          <w:between w:val="nil"/>
        </w:pBdr>
        <w:tabs>
          <w:tab w:val="center" w:pos="4252"/>
          <w:tab w:val="right" w:pos="8504"/>
        </w:tabs>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b/>
          <w:bCs/>
          <w:color w:val="000000"/>
        </w:rPr>
        <w:t>VISTO</w:t>
      </w:r>
      <w:r w:rsidRPr="00DF63A7">
        <w:rPr>
          <w:rFonts w:ascii="Palatino Linotype" w:eastAsia="Palatino Linotype" w:hAnsi="Palatino Linotype" w:cs="Palatino Linotype"/>
          <w:color w:val="000000"/>
        </w:rPr>
        <w:t xml:space="preserve"> en el expediente electrónico formado con motivo del recurso de revisión número </w:t>
      </w:r>
      <w:r w:rsidRPr="00DF63A7">
        <w:rPr>
          <w:rFonts w:ascii="Palatino Linotype" w:eastAsia="Palatino Linotype" w:hAnsi="Palatino Linotype" w:cs="Palatino Linotype"/>
          <w:b/>
          <w:bCs/>
          <w:color w:val="000000"/>
        </w:rPr>
        <w:t>01478/INFOEM/IP/RR/2026</w:t>
      </w:r>
      <w:r w:rsidRPr="00DF63A7">
        <w:rPr>
          <w:rFonts w:ascii="Palatino Linotype" w:eastAsia="Palatino Linotype" w:hAnsi="Palatino Linotype" w:cs="Palatino Linotype"/>
          <w:color w:val="000000"/>
        </w:rPr>
        <w:t xml:space="preserve">, promovido por </w:t>
      </w:r>
      <w:r w:rsidR="00E045FD" w:rsidRPr="00DF63A7">
        <w:rPr>
          <w:rFonts w:ascii="Palatino Linotype" w:eastAsia="Palatino Linotype" w:hAnsi="Palatino Linotype" w:cs="Palatino Linotype"/>
          <w:b/>
          <w:bCs/>
        </w:rPr>
        <w:t>una persona que no proporciono datos de identificación</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rPr>
        <w:t>a quien</w:t>
      </w:r>
      <w:r w:rsidRPr="00DF63A7">
        <w:rPr>
          <w:rFonts w:ascii="Palatino Linotype" w:eastAsia="Palatino Linotype" w:hAnsi="Palatino Linotype" w:cs="Palatino Linotype"/>
          <w:color w:val="000000"/>
        </w:rPr>
        <w:t xml:space="preserve"> en lo sucesivo denominaremos</w:t>
      </w:r>
      <w:r w:rsidRPr="00DF63A7">
        <w:rPr>
          <w:rFonts w:ascii="Palatino Linotype" w:eastAsia="Palatino Linotype" w:hAnsi="Palatino Linotype" w:cs="Palatino Linotype"/>
          <w:b/>
          <w:bCs/>
          <w:color w:val="000000"/>
        </w:rPr>
        <w:t xml:space="preserve"> RECURRENTE,</w:t>
      </w:r>
      <w:r w:rsidRPr="00DF63A7">
        <w:rPr>
          <w:rFonts w:ascii="Palatino Linotype" w:eastAsia="Palatino Linotype" w:hAnsi="Palatino Linotype" w:cs="Palatino Linotype"/>
          <w:color w:val="000000"/>
        </w:rPr>
        <w:t xml:space="preserve"> en contra de la respuesta del </w:t>
      </w:r>
      <w:r w:rsidRPr="00DF63A7">
        <w:rPr>
          <w:rFonts w:ascii="Palatino Linotype" w:eastAsia="Palatino Linotype" w:hAnsi="Palatino Linotype" w:cs="Palatino Linotype"/>
          <w:b/>
          <w:bCs/>
          <w:color w:val="000000"/>
        </w:rPr>
        <w:t>Ayuntamiento de Almoloya de Juárez</w:t>
      </w:r>
      <w:r w:rsidRPr="00DF63A7">
        <w:rPr>
          <w:rFonts w:ascii="Palatino Linotype" w:eastAsia="Palatino Linotype" w:hAnsi="Palatino Linotype" w:cs="Palatino Linotype"/>
          <w:color w:val="000000"/>
        </w:rPr>
        <w:t xml:space="preserve">, en </w:t>
      </w:r>
      <w:r w:rsidRPr="00DF63A7">
        <w:rPr>
          <w:rFonts w:ascii="Palatino Linotype" w:eastAsia="Palatino Linotype" w:hAnsi="Palatino Linotype" w:cs="Palatino Linotype"/>
        </w:rPr>
        <w:t>adelante</w:t>
      </w:r>
      <w:r w:rsidRPr="00DF63A7">
        <w:rPr>
          <w:rFonts w:ascii="Palatino Linotype" w:eastAsia="Palatino Linotype" w:hAnsi="Palatino Linotype" w:cs="Palatino Linotype"/>
          <w:color w:val="000000"/>
        </w:rPr>
        <w:t xml:space="preserve"> el</w:t>
      </w:r>
      <w:r w:rsidRPr="00DF63A7">
        <w:rPr>
          <w:rFonts w:ascii="Palatino Linotype" w:eastAsia="Palatino Linotype" w:hAnsi="Palatino Linotype" w:cs="Palatino Linotype"/>
          <w:b/>
          <w:bCs/>
          <w:color w:val="000000"/>
        </w:rPr>
        <w:t xml:space="preserve"> SUJETO OBLIGADO, </w:t>
      </w:r>
      <w:r w:rsidRPr="00DF63A7">
        <w:rPr>
          <w:rFonts w:ascii="Palatino Linotype" w:eastAsia="Palatino Linotype" w:hAnsi="Palatino Linotype" w:cs="Palatino Linotype"/>
          <w:color w:val="000000"/>
        </w:rPr>
        <w:t>se procede a dictar la presente resolución, con base en los siguientes:</w:t>
      </w:r>
    </w:p>
    <w:p w14:paraId="4417582A" w14:textId="77777777" w:rsidR="00566CD1" w:rsidRPr="00DF63A7" w:rsidRDefault="00566CD1" w:rsidP="00DF63A7">
      <w:pPr>
        <w:pBdr>
          <w:top w:val="nil"/>
          <w:left w:val="nil"/>
          <w:bottom w:val="nil"/>
          <w:right w:val="nil"/>
          <w:between w:val="nil"/>
        </w:pBdr>
        <w:tabs>
          <w:tab w:val="center" w:pos="4252"/>
          <w:tab w:val="right" w:pos="8504"/>
        </w:tabs>
        <w:spacing w:line="360" w:lineRule="auto"/>
        <w:ind w:right="-1134"/>
        <w:jc w:val="both"/>
        <w:rPr>
          <w:rFonts w:ascii="Palatino Linotype" w:eastAsia="Palatino Linotype" w:hAnsi="Palatino Linotype" w:cs="Palatino Linotype"/>
          <w:b/>
          <w:bCs/>
          <w:color w:val="000000"/>
        </w:rPr>
      </w:pPr>
    </w:p>
    <w:p w14:paraId="4E9E2AF5" w14:textId="77777777" w:rsidR="00566CD1" w:rsidRPr="00DF63A7" w:rsidRDefault="00F83198" w:rsidP="00DF63A7">
      <w:pPr>
        <w:pStyle w:val="Ttulo2"/>
        <w:spacing w:line="360" w:lineRule="auto"/>
        <w:ind w:right="-1134"/>
        <w:jc w:val="center"/>
        <w:rPr>
          <w:rFonts w:ascii="Palatino Linotype" w:eastAsia="Palatino Linotype" w:hAnsi="Palatino Linotype" w:cs="Palatino Linotype"/>
          <w:b/>
          <w:bCs/>
          <w:color w:val="000000"/>
          <w:sz w:val="24"/>
          <w:szCs w:val="24"/>
        </w:rPr>
      </w:pPr>
      <w:bookmarkStart w:id="1" w:name="_heading=h.gjdgxs" w:colFirst="0" w:colLast="0"/>
      <w:bookmarkEnd w:id="1"/>
      <w:r w:rsidRPr="00DF63A7">
        <w:rPr>
          <w:rFonts w:ascii="Palatino Linotype" w:eastAsia="Palatino Linotype" w:hAnsi="Palatino Linotype" w:cs="Palatino Linotype"/>
          <w:b/>
          <w:bCs/>
          <w:color w:val="000000"/>
          <w:sz w:val="24"/>
          <w:szCs w:val="24"/>
        </w:rPr>
        <w:t>A N T E C E D E N T E S</w:t>
      </w:r>
    </w:p>
    <w:p w14:paraId="24E2E1D5" w14:textId="77777777" w:rsidR="00566CD1" w:rsidRPr="00DF63A7" w:rsidRDefault="00566CD1" w:rsidP="00DF63A7">
      <w:pPr>
        <w:ind w:right="-1134"/>
      </w:pPr>
    </w:p>
    <w:p w14:paraId="2EFE6047" w14:textId="39A95674"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 xml:space="preserve">El </w:t>
      </w:r>
      <w:r w:rsidRPr="00DF63A7">
        <w:rPr>
          <w:rFonts w:ascii="Palatino Linotype" w:eastAsia="Palatino Linotype" w:hAnsi="Palatino Linotype" w:cs="Palatino Linotype"/>
          <w:b/>
          <w:bCs/>
          <w:color w:val="000000"/>
        </w:rPr>
        <w:t>veintisiete de enero de dos mil veintiséis</w:t>
      </w:r>
      <w:r w:rsidRPr="00DF63A7">
        <w:rPr>
          <w:rFonts w:ascii="Palatino Linotype" w:eastAsia="Palatino Linotype" w:hAnsi="Palatino Linotype" w:cs="Palatino Linotype"/>
          <w:color w:val="000000"/>
        </w:rPr>
        <w:t>, se</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presentó</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 xml:space="preserve">vía Sistema de Acceso a la Información Mexiquense </w:t>
      </w:r>
      <w:r w:rsidRPr="00DF63A7">
        <w:rPr>
          <w:rFonts w:ascii="Palatino Linotype" w:eastAsia="Palatino Linotype" w:hAnsi="Palatino Linotype" w:cs="Palatino Linotype"/>
          <w:b/>
          <w:bCs/>
          <w:color w:val="000000"/>
        </w:rPr>
        <w:t>(SAIMEX),</w:t>
      </w:r>
      <w:r w:rsidRPr="00DF63A7">
        <w:rPr>
          <w:rFonts w:ascii="Palatino Linotype" w:eastAsia="Palatino Linotype" w:hAnsi="Palatino Linotype" w:cs="Palatino Linotype"/>
          <w:color w:val="000000"/>
        </w:rPr>
        <w:t xml:space="preserve"> la solicitud de información pública registrada con el número </w:t>
      </w:r>
      <w:r w:rsidRPr="00DF63A7">
        <w:rPr>
          <w:rFonts w:ascii="Palatino Linotype" w:eastAsia="Palatino Linotype" w:hAnsi="Palatino Linotype" w:cs="Palatino Linotype"/>
          <w:b/>
          <w:color w:val="000000"/>
        </w:rPr>
        <w:t>0</w:t>
      </w:r>
      <w:r w:rsidR="00E045FD" w:rsidRPr="00DF63A7">
        <w:rPr>
          <w:rFonts w:ascii="Palatino Linotype" w:eastAsia="Palatino Linotype" w:hAnsi="Palatino Linotype" w:cs="Palatino Linotype"/>
          <w:b/>
          <w:color w:val="000000"/>
        </w:rPr>
        <w:t>0</w:t>
      </w:r>
      <w:r w:rsidRPr="00DF63A7">
        <w:rPr>
          <w:rFonts w:ascii="Palatino Linotype" w:eastAsia="Palatino Linotype" w:hAnsi="Palatino Linotype" w:cs="Palatino Linotype"/>
          <w:b/>
          <w:color w:val="000000"/>
        </w:rPr>
        <w:t>014</w:t>
      </w:r>
      <w:r w:rsidRPr="00DF63A7">
        <w:rPr>
          <w:rFonts w:ascii="Palatino Linotype" w:eastAsia="Palatino Linotype" w:hAnsi="Palatino Linotype" w:cs="Palatino Linotype"/>
          <w:b/>
          <w:bCs/>
          <w:color w:val="000000"/>
        </w:rPr>
        <w:t>/ALMOJU/IP/2026,</w:t>
      </w:r>
      <w:r w:rsidRPr="00DF63A7">
        <w:rPr>
          <w:rFonts w:ascii="Palatino Linotype" w:eastAsia="Palatino Linotype" w:hAnsi="Palatino Linotype" w:cs="Palatino Linotype"/>
          <w:color w:val="000000"/>
        </w:rPr>
        <w:t xml:space="preserve"> </w:t>
      </w:r>
      <w:r w:rsidRPr="00DF63A7">
        <w:rPr>
          <w:rFonts w:ascii="Palatino Linotype" w:eastAsia="Palatino Linotype" w:hAnsi="Palatino Linotype" w:cs="Palatino Linotype"/>
        </w:rPr>
        <w:t xml:space="preserve">en la que </w:t>
      </w:r>
      <w:r w:rsidRPr="00DF63A7">
        <w:rPr>
          <w:rFonts w:ascii="Palatino Linotype" w:eastAsia="Palatino Linotype" w:hAnsi="Palatino Linotype" w:cs="Palatino Linotype"/>
          <w:color w:val="000000"/>
        </w:rPr>
        <w:t>se requirió lo siguiente:</w:t>
      </w:r>
    </w:p>
    <w:p w14:paraId="6FC04A99" w14:textId="77777777" w:rsidR="00566CD1" w:rsidRPr="00DF63A7" w:rsidRDefault="00566CD1" w:rsidP="00DF63A7">
      <w:pPr>
        <w:ind w:right="-1134"/>
        <w:jc w:val="both"/>
        <w:rPr>
          <w:rFonts w:ascii="Palatino Linotype" w:eastAsia="Palatino Linotype" w:hAnsi="Palatino Linotype" w:cs="Palatino Linotype"/>
          <w:i/>
          <w:iCs/>
          <w:color w:val="000000"/>
        </w:rPr>
      </w:pPr>
    </w:p>
    <w:p w14:paraId="3EFAC25F"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“Listado de contrataciones mediante contrato pedido adjudicación directa invitación restringida y licitación publica de las contracciones de compra de vehículos feria almoloya de Juárez 2025 así como eventos compra de tinacos papelería y todas las contrataciones así como anexar PDF de los contratos realizados por la dirección de administracion y recusos materiales del ejercicio fiscal 2025...” (Sic)</w:t>
      </w:r>
    </w:p>
    <w:p w14:paraId="34FF9AD7"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rPr>
      </w:pPr>
    </w:p>
    <w:p w14:paraId="4CE40C43" w14:textId="77777777" w:rsidR="00566CD1" w:rsidRPr="00DF63A7" w:rsidRDefault="00F83198" w:rsidP="00DF63A7">
      <w:pPr>
        <w:pBdr>
          <w:top w:val="nil"/>
          <w:left w:val="nil"/>
          <w:bottom w:val="nil"/>
          <w:right w:val="nil"/>
          <w:between w:val="nil"/>
        </w:pBdr>
        <w:ind w:left="567" w:right="-1134"/>
        <w:rPr>
          <w:rFonts w:ascii="Palatino Linotype" w:eastAsia="Palatino Linotype" w:hAnsi="Palatino Linotype" w:cs="Palatino Linotype"/>
        </w:rPr>
      </w:pPr>
      <w:r w:rsidRPr="00DF63A7">
        <w:rPr>
          <w:rFonts w:ascii="Palatino Linotype" w:eastAsia="Palatino Linotype" w:hAnsi="Palatino Linotype" w:cs="Palatino Linotype"/>
        </w:rPr>
        <w:t xml:space="preserve">A la solicitud, adjuntó el documento denominado </w:t>
      </w:r>
      <w:r w:rsidRPr="00DF63A7">
        <w:rPr>
          <w:rFonts w:ascii="Palatino Linotype" w:eastAsia="Palatino Linotype" w:hAnsi="Palatino Linotype" w:cs="Palatino Linotype"/>
          <w:b/>
          <w:bCs/>
        </w:rPr>
        <w:t xml:space="preserve">“Solicitud de información.pdf”, </w:t>
      </w:r>
      <w:r w:rsidRPr="00DF63A7">
        <w:rPr>
          <w:rFonts w:ascii="Palatino Linotype" w:eastAsia="Palatino Linotype" w:hAnsi="Palatino Linotype" w:cs="Palatino Linotype"/>
        </w:rPr>
        <w:t xml:space="preserve"> documento del que se desprende lo siguiente:</w:t>
      </w:r>
    </w:p>
    <w:p w14:paraId="63B73E3B" w14:textId="77777777" w:rsidR="00566CD1" w:rsidRPr="00DF63A7" w:rsidRDefault="00566CD1" w:rsidP="00DF63A7">
      <w:pPr>
        <w:pBdr>
          <w:top w:val="nil"/>
          <w:left w:val="nil"/>
          <w:bottom w:val="nil"/>
          <w:right w:val="nil"/>
          <w:between w:val="nil"/>
        </w:pBdr>
        <w:ind w:left="567" w:right="-1134"/>
        <w:rPr>
          <w:rFonts w:ascii="Palatino Linotype" w:eastAsia="Palatino Linotype" w:hAnsi="Palatino Linotype" w:cs="Palatino Linotype"/>
        </w:rPr>
      </w:pPr>
    </w:p>
    <w:p w14:paraId="07DB39C0"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Se solicitan todas las contrataciones sin acotar ejercicio fiscal, unidad administrativa responsables, tipo especifico de procedimiento, ni periodo concreto se da respuesta al aclaramiento”</w:t>
      </w:r>
    </w:p>
    <w:p w14:paraId="2B0F473A"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lastRenderedPageBreak/>
        <w:t>Todas las Contrataciones del Ejercicio Fiscal 2025 en sus diferentes modalidades de acuerdo a lo estipulado por el presupuesto de egresos de acuerdo al Artículo 55. Que estipula que las Dependencias y Entidades Públicas en sus procesos adquisitivos, deberán observar lo establecido en la Ley de Contratación Pública del Estado de México y Municipios. Los montos máximos de adjudicación directa, mediante concurso por invitación restringida, para la adquisición o arrendamiento de bienes y la contratación de servicios que se realicen durante el Ejercicio Fiscal 2025, serán los siguientes:</w:t>
      </w:r>
    </w:p>
    <w:p w14:paraId="042C56AA" w14:textId="77777777" w:rsidR="00566CD1" w:rsidRPr="00DF63A7" w:rsidRDefault="00566CD1" w:rsidP="00DF63A7">
      <w:pPr>
        <w:pBdr>
          <w:top w:val="nil"/>
          <w:left w:val="nil"/>
          <w:bottom w:val="nil"/>
          <w:right w:val="nil"/>
          <w:between w:val="nil"/>
        </w:pBdr>
        <w:ind w:left="567" w:right="-1134"/>
        <w:rPr>
          <w:rFonts w:ascii="Palatino Linotype" w:eastAsia="Palatino Linotype" w:hAnsi="Palatino Linotype" w:cs="Palatino Linotype"/>
        </w:rPr>
      </w:pPr>
    </w:p>
    <w:p w14:paraId="34056A69" w14:textId="77777777" w:rsidR="00566CD1" w:rsidRPr="00DF63A7" w:rsidRDefault="00F83198" w:rsidP="00DF63A7">
      <w:pPr>
        <w:pBdr>
          <w:top w:val="nil"/>
          <w:left w:val="nil"/>
          <w:bottom w:val="nil"/>
          <w:right w:val="nil"/>
          <w:between w:val="nil"/>
        </w:pBdr>
        <w:ind w:left="567" w:right="-1134"/>
        <w:jc w:val="center"/>
        <w:rPr>
          <w:rFonts w:ascii="Palatino Linotype" w:eastAsia="Palatino Linotype" w:hAnsi="Palatino Linotype" w:cs="Palatino Linotype"/>
        </w:rPr>
      </w:pPr>
      <w:r w:rsidRPr="00DF63A7">
        <w:rPr>
          <w:rFonts w:ascii="Palatino Linotype" w:eastAsia="Palatino Linotype" w:hAnsi="Palatino Linotype" w:cs="Palatino Linotype"/>
          <w:noProof/>
        </w:rPr>
        <w:drawing>
          <wp:inline distT="0" distB="0" distL="0" distR="0" wp14:anchorId="1FE814C2" wp14:editId="25712740">
            <wp:extent cx="4676775" cy="137731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676775" cy="1377315"/>
                    </a:xfrm>
                    <a:prstGeom prst="rect">
                      <a:avLst/>
                    </a:prstGeom>
                    <a:ln/>
                  </pic:spPr>
                </pic:pic>
              </a:graphicData>
            </a:graphic>
          </wp:inline>
        </w:drawing>
      </w:r>
    </w:p>
    <w:p w14:paraId="4ED00FE4"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rPr>
      </w:pPr>
    </w:p>
    <w:p w14:paraId="1EFE7E30" w14:textId="77777777" w:rsidR="00566CD1" w:rsidRPr="00DF63A7" w:rsidRDefault="00566CD1" w:rsidP="00DF63A7">
      <w:pPr>
        <w:pBdr>
          <w:top w:val="nil"/>
          <w:left w:val="nil"/>
          <w:bottom w:val="nil"/>
          <w:right w:val="nil"/>
          <w:between w:val="nil"/>
        </w:pBdr>
        <w:ind w:right="-1134"/>
        <w:rPr>
          <w:rFonts w:ascii="Calibri" w:eastAsia="Calibri" w:hAnsi="Calibri" w:cs="Calibri"/>
          <w:color w:val="000000"/>
        </w:rPr>
      </w:pPr>
    </w:p>
    <w:p w14:paraId="243BC18B"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Contrataciones emitidas por la Dirección de administración y Tesorería municipal así como calendario y orden del día de las actas emitidas por el comité de adquisiciones y servicios, de acuerdo al punto 2 en donde estipula que se mezclan diversos conceptos, programas y eventos ( vehículos, feria, eventos, tinacos, papelería, etc) sin precisar si corresponden a un mismo ejercicio, proyecto, dependencia o fuente de financiamiento</w:t>
      </w:r>
    </w:p>
    <w:p w14:paraId="237CBDA0" w14:textId="77777777" w:rsidR="00566CD1" w:rsidRPr="00DF63A7" w:rsidRDefault="00566CD1" w:rsidP="00DF63A7">
      <w:pPr>
        <w:pBdr>
          <w:top w:val="nil"/>
          <w:left w:val="nil"/>
          <w:bottom w:val="nil"/>
          <w:right w:val="nil"/>
          <w:between w:val="nil"/>
        </w:pBdr>
        <w:ind w:right="-1134"/>
      </w:pPr>
    </w:p>
    <w:p w14:paraId="03836B96" w14:textId="77777777" w:rsidR="00566CD1" w:rsidRPr="00DF63A7" w:rsidRDefault="00566CD1"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p>
    <w:p w14:paraId="63C2FF67"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 Se solicitan la información de estas contrataciones que son llevadas por el comité de adquisiciones y servicios quien es presidido por la dirección de administración. Se solicita lo siguiente</w:t>
      </w:r>
    </w:p>
    <w:p w14:paraId="4ACD0F2C" w14:textId="77777777" w:rsidR="00566CD1" w:rsidRPr="00DF63A7" w:rsidRDefault="00566CD1" w:rsidP="00DF63A7">
      <w:pPr>
        <w:pBdr>
          <w:top w:val="nil"/>
          <w:left w:val="nil"/>
          <w:bottom w:val="nil"/>
          <w:right w:val="nil"/>
          <w:between w:val="nil"/>
        </w:pBdr>
        <w:ind w:right="-1134"/>
      </w:pPr>
    </w:p>
    <w:p w14:paraId="37CBF562" w14:textId="77777777" w:rsidR="00566CD1" w:rsidRPr="00DF63A7" w:rsidRDefault="00566CD1" w:rsidP="00DF63A7">
      <w:pPr>
        <w:pBdr>
          <w:top w:val="nil"/>
          <w:left w:val="nil"/>
          <w:bottom w:val="nil"/>
          <w:right w:val="nil"/>
          <w:between w:val="nil"/>
        </w:pBdr>
        <w:ind w:right="-1134"/>
        <w:rPr>
          <w:rFonts w:ascii="Calibri" w:eastAsia="Calibri" w:hAnsi="Calibri" w:cs="Calibri"/>
          <w:color w:val="000000"/>
        </w:rPr>
      </w:pPr>
    </w:p>
    <w:p w14:paraId="269187BF"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 Recurso propio y Fortamun</w:t>
      </w:r>
    </w:p>
    <w:p w14:paraId="38116761"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rPr>
      </w:pPr>
    </w:p>
    <w:p w14:paraId="0EB7C889" w14:textId="77777777" w:rsidR="00566CD1" w:rsidRPr="00DF63A7" w:rsidRDefault="00F83198" w:rsidP="00DF63A7">
      <w:pPr>
        <w:numPr>
          <w:ilvl w:val="0"/>
          <w:numId w:val="5"/>
        </w:numPr>
        <w:pBdr>
          <w:top w:val="nil"/>
          <w:left w:val="nil"/>
          <w:bottom w:val="nil"/>
          <w:right w:val="nil"/>
          <w:between w:val="nil"/>
        </w:pBdr>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Tipo, modalidad, fuente de financiamiento (suficiencia presupuestal emitida por la tesorería municipal) y contrato en pdf de la compra y/o arrendamiento de unidades tipo patrulla, ambulancias, camión de bomberos, camiones de basura, contenedores, gruas pelicano así como dictamen emitido para la compra y/o arrendamiento de las unidades involucradas (Seguridad Pública, Servicios Metropolitanos, Protección Civil) unidades entregadas el día 6 de enero de </w:t>
      </w:r>
      <w:r w:rsidRPr="00DF63A7">
        <w:rPr>
          <w:rFonts w:ascii="Palatino Linotype" w:eastAsia="Palatino Linotype" w:hAnsi="Palatino Linotype" w:cs="Palatino Linotype"/>
          <w:i/>
          <w:iCs/>
          <w:color w:val="000000"/>
        </w:rPr>
        <w:lastRenderedPageBreak/>
        <w:t>2025 en la cual la contratación no pudo ser mediante licitación pública por lo que solicito el dictamen de la excepción de la misma</w:t>
      </w:r>
    </w:p>
    <w:p w14:paraId="3B94F082" w14:textId="77777777" w:rsidR="00566CD1" w:rsidRPr="00DF63A7" w:rsidRDefault="00566CD1" w:rsidP="00DF63A7">
      <w:pPr>
        <w:pBdr>
          <w:top w:val="nil"/>
          <w:left w:val="nil"/>
          <w:bottom w:val="nil"/>
          <w:right w:val="nil"/>
          <w:between w:val="nil"/>
        </w:pBdr>
        <w:ind w:right="-1134"/>
        <w:rPr>
          <w:rFonts w:ascii="Calibri" w:eastAsia="Calibri" w:hAnsi="Calibri" w:cs="Calibri"/>
          <w:color w:val="000000"/>
        </w:rPr>
      </w:pPr>
    </w:p>
    <w:p w14:paraId="5BDB82AB" w14:textId="77777777" w:rsidR="00566CD1" w:rsidRPr="00DF63A7" w:rsidRDefault="00F83198" w:rsidP="00DF63A7">
      <w:pPr>
        <w:numPr>
          <w:ilvl w:val="0"/>
          <w:numId w:val="4"/>
        </w:numPr>
        <w:pBdr>
          <w:top w:val="nil"/>
          <w:left w:val="nil"/>
          <w:bottom w:val="nil"/>
          <w:right w:val="nil"/>
          <w:between w:val="nil"/>
        </w:pBdr>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Tipo, modalidad, fuente de financiamiento (suficiencia presupuestal emitida por la tesorería municipal) y contratos con proveedores en pdf de las contrataciones para la gestión de la feria Almoloya de Juárez marzo 2025 (contratación de audio e iluminación , carpas, grupos musicales etc) </w:t>
      </w:r>
    </w:p>
    <w:p w14:paraId="0F30B2FD" w14:textId="77777777" w:rsidR="00566CD1" w:rsidRPr="00DF63A7" w:rsidRDefault="00566CD1" w:rsidP="00DF63A7">
      <w:pPr>
        <w:pBdr>
          <w:top w:val="nil"/>
          <w:left w:val="nil"/>
          <w:bottom w:val="nil"/>
          <w:right w:val="nil"/>
          <w:between w:val="nil"/>
        </w:pBdr>
        <w:ind w:right="-1134"/>
        <w:rPr>
          <w:rFonts w:ascii="Calibri" w:eastAsia="Calibri" w:hAnsi="Calibri" w:cs="Calibri"/>
          <w:color w:val="000000"/>
        </w:rPr>
      </w:pPr>
    </w:p>
    <w:p w14:paraId="5A4F57B8" w14:textId="77777777" w:rsidR="00566CD1" w:rsidRPr="00DF63A7" w:rsidRDefault="00F83198" w:rsidP="00DF63A7">
      <w:pPr>
        <w:numPr>
          <w:ilvl w:val="0"/>
          <w:numId w:val="3"/>
        </w:numPr>
        <w:pBdr>
          <w:top w:val="nil"/>
          <w:left w:val="nil"/>
          <w:bottom w:val="nil"/>
          <w:right w:val="nil"/>
          <w:between w:val="nil"/>
        </w:pBdr>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Tipo, modalidad, fuente de financiamiento (suficiencia presupuestal emitida por la tesorería municipal) y contratos con proveedor en pdf de las contrataciones de papelería insumos de limpieza, roscas de reyes, cobijas, juguetes día de reyes día del niño, combustible (fortamun) residuos solidos (fortamun) </w:t>
      </w:r>
    </w:p>
    <w:p w14:paraId="30E51672" w14:textId="77777777" w:rsidR="00566CD1" w:rsidRPr="00DF63A7" w:rsidRDefault="00566CD1" w:rsidP="00DF63A7">
      <w:pPr>
        <w:pBdr>
          <w:top w:val="nil"/>
          <w:left w:val="nil"/>
          <w:bottom w:val="nil"/>
          <w:right w:val="nil"/>
          <w:between w:val="nil"/>
        </w:pBdr>
        <w:ind w:right="-1134"/>
        <w:rPr>
          <w:rFonts w:ascii="Calibri" w:eastAsia="Calibri" w:hAnsi="Calibri" w:cs="Calibri"/>
          <w:color w:val="000000"/>
        </w:rPr>
      </w:pPr>
    </w:p>
    <w:p w14:paraId="5F9ADCC4" w14:textId="77777777" w:rsidR="00566CD1" w:rsidRPr="00DF63A7" w:rsidRDefault="00F83198" w:rsidP="00DF63A7">
      <w:pPr>
        <w:numPr>
          <w:ilvl w:val="0"/>
          <w:numId w:val="2"/>
        </w:numPr>
        <w:pBdr>
          <w:top w:val="nil"/>
          <w:left w:val="nil"/>
          <w:bottom w:val="nil"/>
          <w:right w:val="nil"/>
          <w:between w:val="nil"/>
        </w:pBdr>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Se solicita la entrega de contratos en pdf de todas las compras realizadas en el año fiscal 2025 en sus diferentes modalidades adjudicación directa invitación restringida y licitación publica asi como compras directas realizadas por el área de Recursos Materiales y Dirección de administración del año 2025 y no tendrían que hacer una revisión exhaustiva ya que se debe contar con una relación de dichos archivos ya que son los que se envían cada informe trimestral al OSFEM </w:t>
      </w:r>
    </w:p>
    <w:p w14:paraId="531444BC" w14:textId="77777777" w:rsidR="00566CD1" w:rsidRPr="00DF63A7" w:rsidRDefault="00566CD1" w:rsidP="00DF63A7">
      <w:pPr>
        <w:pBdr>
          <w:top w:val="nil"/>
          <w:left w:val="nil"/>
          <w:bottom w:val="nil"/>
          <w:right w:val="nil"/>
          <w:between w:val="nil"/>
        </w:pBdr>
        <w:ind w:left="708" w:right="-1134"/>
        <w:jc w:val="both"/>
        <w:rPr>
          <w:rFonts w:ascii="Palatino Linotype" w:eastAsia="Palatino Linotype" w:hAnsi="Palatino Linotype" w:cs="Palatino Linotype"/>
          <w:i/>
          <w:iCs/>
          <w:color w:val="000000"/>
        </w:rPr>
      </w:pPr>
    </w:p>
    <w:p w14:paraId="4B9DD1F6" w14:textId="77777777" w:rsidR="00566CD1" w:rsidRPr="00DF63A7" w:rsidRDefault="00F83198" w:rsidP="00DF63A7">
      <w:pPr>
        <w:numPr>
          <w:ilvl w:val="0"/>
          <w:numId w:val="2"/>
        </w:numPr>
        <w:pBdr>
          <w:top w:val="nil"/>
          <w:left w:val="nil"/>
          <w:bottom w:val="nil"/>
          <w:right w:val="nil"/>
          <w:between w:val="nil"/>
        </w:pBdr>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como dictamen emitido para la compra y/o arrendamiento de las unidades involucradas (Seguridad Publica, Servicios Metropolitanos, Protección Civil) unidades entregadas el día 6 de enero de 2025 en la cual la contratación no pudo ser mediante licitación publica por lo que solicitó el dictamen de la excepción de la misma. </w:t>
      </w:r>
    </w:p>
    <w:p w14:paraId="008CB944"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rPr>
      </w:pPr>
    </w:p>
    <w:p w14:paraId="31AC1296"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rPr>
      </w:pPr>
    </w:p>
    <w:p w14:paraId="3151D6C4"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 xml:space="preserve">Se señaló como modalidad de entrega de la información: a través de </w:t>
      </w:r>
      <w:r w:rsidRPr="00DF63A7">
        <w:rPr>
          <w:rFonts w:ascii="Palatino Linotype" w:eastAsia="Palatino Linotype" w:hAnsi="Palatino Linotype" w:cs="Palatino Linotype"/>
          <w:b/>
          <w:bCs/>
          <w:color w:val="000000"/>
        </w:rPr>
        <w:t>SAIMEX.</w:t>
      </w:r>
    </w:p>
    <w:p w14:paraId="2BA8ED1E" w14:textId="77777777" w:rsidR="00566CD1" w:rsidRPr="00DF63A7" w:rsidRDefault="00566CD1"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color w:val="000000"/>
        </w:rPr>
      </w:pPr>
    </w:p>
    <w:p w14:paraId="0A9D53CF"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 xml:space="preserve">El </w:t>
      </w:r>
      <w:r w:rsidRPr="00DF63A7">
        <w:rPr>
          <w:rFonts w:ascii="Palatino Linotype" w:eastAsia="Palatino Linotype" w:hAnsi="Palatino Linotype" w:cs="Palatino Linotype"/>
          <w:b/>
          <w:bCs/>
          <w:color w:val="000000"/>
        </w:rPr>
        <w:t>veintiocho de enero de dos mil veinticinco</w:t>
      </w:r>
      <w:r w:rsidRPr="00DF63A7">
        <w:rPr>
          <w:rFonts w:ascii="Palatino Linotype" w:eastAsia="Palatino Linotype" w:hAnsi="Palatino Linotype" w:cs="Palatino Linotype"/>
          <w:color w:val="000000"/>
        </w:rPr>
        <w:t xml:space="preserve">,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emitió respuesta, en los siguientes términos:</w:t>
      </w:r>
    </w:p>
    <w:p w14:paraId="50A4D4FF" w14:textId="77777777" w:rsidR="00566CD1" w:rsidRPr="00DF63A7" w:rsidRDefault="00F83198" w:rsidP="00DF63A7">
      <w:pPr>
        <w:tabs>
          <w:tab w:val="left" w:pos="851"/>
          <w:tab w:val="left" w:pos="1418"/>
        </w:tabs>
        <w:ind w:left="567" w:right="-1134"/>
        <w:jc w:val="both"/>
        <w:rPr>
          <w:rFonts w:ascii="Verdana" w:eastAsia="Verdana" w:hAnsi="Verdana" w:cs="Verdana"/>
        </w:rPr>
      </w:pPr>
      <w:r w:rsidRPr="00DF63A7">
        <w:rPr>
          <w:rFonts w:ascii="Palatino Linotype" w:eastAsia="Palatino Linotype" w:hAnsi="Palatino Linotype" w:cs="Palatino Linotype"/>
          <w:i/>
          <w:iCs/>
          <w:color w:val="000000"/>
        </w:rPr>
        <w:t xml:space="preserve">“…Con fundamento en lo establecido en los artículos 4, 12, 59 y 164 de la Ley de Transparencia y Acceso a la Información Pública del Estado de México y Municipios, se adjunta la respuesta proporcionada por autoridad competente. Se le hace de su conocimiento que en caso de no estar </w:t>
      </w:r>
      <w:r w:rsidRPr="00DF63A7">
        <w:rPr>
          <w:rFonts w:ascii="Palatino Linotype" w:eastAsia="Palatino Linotype" w:hAnsi="Palatino Linotype" w:cs="Palatino Linotype"/>
          <w:i/>
          <w:iCs/>
          <w:color w:val="000000"/>
        </w:rPr>
        <w:lastRenderedPageBreak/>
        <w:t>conforme con la respuesta proporcionada, tiene derecho a impugnarla a través del recurso de revisión de conformidad con lo dispuesto en el artículo 177 de la Ley de Transparencia y Acceso a la Información Pública del Estado de México y Municipios, dentro del plazo de 15 días hábiles contados a partir del día siguiente de la presente notificación…” (Sic)</w:t>
      </w:r>
    </w:p>
    <w:p w14:paraId="5E8C23F2" w14:textId="77777777" w:rsidR="00566CD1" w:rsidRPr="00DF63A7" w:rsidRDefault="00566CD1" w:rsidP="00DF63A7">
      <w:pPr>
        <w:pBdr>
          <w:top w:val="nil"/>
          <w:left w:val="nil"/>
          <w:bottom w:val="nil"/>
          <w:right w:val="nil"/>
          <w:between w:val="nil"/>
        </w:pBdr>
        <w:tabs>
          <w:tab w:val="left" w:pos="851"/>
          <w:tab w:val="left" w:pos="1418"/>
        </w:tabs>
        <w:ind w:right="-1134"/>
        <w:jc w:val="both"/>
        <w:rPr>
          <w:rFonts w:ascii="Palatino Linotype" w:eastAsia="Palatino Linotype" w:hAnsi="Palatino Linotype" w:cs="Palatino Linotype"/>
          <w:i/>
          <w:iCs/>
          <w:color w:val="000000"/>
        </w:rPr>
      </w:pPr>
    </w:p>
    <w:p w14:paraId="414BF340" w14:textId="77777777" w:rsidR="00566CD1" w:rsidRPr="00DF63A7" w:rsidRDefault="00F83198" w:rsidP="00DF63A7">
      <w:pPr>
        <w:pBdr>
          <w:top w:val="nil"/>
          <w:left w:val="nil"/>
          <w:bottom w:val="nil"/>
          <w:right w:val="nil"/>
          <w:between w:val="nil"/>
        </w:pBdr>
        <w:tabs>
          <w:tab w:val="left" w:pos="851"/>
          <w:tab w:val="left" w:pos="1418"/>
        </w:tabs>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 xml:space="preserve">Se </w:t>
      </w:r>
      <w:r w:rsidRPr="00DF63A7">
        <w:rPr>
          <w:rFonts w:ascii="Palatino Linotype" w:eastAsia="Palatino Linotype" w:hAnsi="Palatino Linotype" w:cs="Palatino Linotype"/>
        </w:rPr>
        <w:t xml:space="preserve">adjuntó el archivo electrónico denominado </w:t>
      </w:r>
      <w:hyperlink r:id="rId9">
        <w:r w:rsidRPr="00DF63A7">
          <w:rPr>
            <w:rFonts w:ascii="Palatino Linotype" w:eastAsia="Palatino Linotype" w:hAnsi="Palatino Linotype" w:cs="Palatino Linotype"/>
            <w:b/>
            <w:bCs/>
          </w:rPr>
          <w:t>Respuesta Sol 00014-2026.pdf</w:t>
        </w:r>
      </w:hyperlink>
      <w:r w:rsidRPr="00DF63A7">
        <w:rPr>
          <w:rFonts w:ascii="Palatino Linotype" w:eastAsia="Palatino Linotype" w:hAnsi="Palatino Linotype" w:cs="Palatino Linotype"/>
          <w:b/>
          <w:bCs/>
        </w:rPr>
        <w:t xml:space="preserve">, </w:t>
      </w:r>
      <w:r w:rsidRPr="00DF63A7">
        <w:rPr>
          <w:rFonts w:ascii="Palatino Linotype" w:eastAsia="Palatino Linotype" w:hAnsi="Palatino Linotype" w:cs="Palatino Linotype"/>
        </w:rPr>
        <w:t>el cual contiene el oficio STGAJ/UT/040/2026 de fecha veintiocho de enero de dos mil veintiséis, suscrito por el Suplente Titular de la Unidad de Transparencia, a través del cual informa que esa Unidad se encuentra material y jurídicamente impedida para atender la solicitud, toda vez que no reúne los requisitos mínimos de claridad, precisión y especificidad, exigidos por la normatividad en materia de transparencia y acceso a la información pública, lo que imposibilita realizar una búsqueda razonable, focalizada y eficiente de la información, por lo que se desestima la solicitud en los términos en que fue presentada, sin  que ello implique una negativa definitiva al derecho de acceso a la información, dejando a salvo los derechos del particular a fin de presentar una nueva solicitud de información.</w:t>
      </w:r>
    </w:p>
    <w:p w14:paraId="19BFAD27" w14:textId="77777777" w:rsidR="00566CD1" w:rsidRPr="00DF63A7" w:rsidRDefault="00566CD1" w:rsidP="00DF63A7">
      <w:pPr>
        <w:pBdr>
          <w:top w:val="nil"/>
          <w:left w:val="nil"/>
          <w:bottom w:val="nil"/>
          <w:right w:val="nil"/>
          <w:between w:val="nil"/>
        </w:pBdr>
        <w:tabs>
          <w:tab w:val="left" w:pos="851"/>
          <w:tab w:val="left" w:pos="1418"/>
        </w:tabs>
        <w:ind w:left="567" w:right="-1134"/>
        <w:jc w:val="both"/>
        <w:rPr>
          <w:rFonts w:ascii="Palatino Linotype" w:eastAsia="Palatino Linotype" w:hAnsi="Palatino Linotype" w:cs="Palatino Linotype"/>
        </w:rPr>
      </w:pPr>
    </w:p>
    <w:p w14:paraId="69626EE8"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bookmarkStart w:id="2" w:name="_heading=h.30j0zll" w:colFirst="0" w:colLast="0"/>
      <w:bookmarkEnd w:id="2"/>
      <w:r w:rsidRPr="00DF63A7">
        <w:rPr>
          <w:rFonts w:ascii="Palatino Linotype" w:eastAsia="Palatino Linotype" w:hAnsi="Palatino Linotype" w:cs="Palatino Linotype"/>
          <w:color w:val="000000"/>
        </w:rPr>
        <w:t xml:space="preserve">El </w:t>
      </w:r>
      <w:r w:rsidRPr="00DF63A7">
        <w:rPr>
          <w:rFonts w:ascii="Palatino Linotype" w:eastAsia="Palatino Linotype" w:hAnsi="Palatino Linotype" w:cs="Palatino Linotype"/>
          <w:b/>
          <w:bCs/>
          <w:color w:val="000000"/>
        </w:rPr>
        <w:t>cinc de febrero de dos mil veintiséis</w:t>
      </w:r>
      <w:r w:rsidRPr="00DF63A7">
        <w:rPr>
          <w:rFonts w:ascii="Palatino Linotype" w:eastAsia="Palatino Linotype" w:hAnsi="Palatino Linotype" w:cs="Palatino Linotype"/>
          <w:color w:val="000000"/>
        </w:rPr>
        <w:t>, se interpuso el recurso de revisión, en contra de la respuesta, señalando como:</w:t>
      </w:r>
    </w:p>
    <w:p w14:paraId="0045ADE6" w14:textId="77777777" w:rsidR="00566CD1" w:rsidRPr="00DF63A7" w:rsidRDefault="00566CD1" w:rsidP="00DF63A7">
      <w:pPr>
        <w:pBdr>
          <w:top w:val="nil"/>
          <w:left w:val="nil"/>
          <w:bottom w:val="nil"/>
          <w:right w:val="nil"/>
          <w:between w:val="nil"/>
        </w:pBdr>
        <w:tabs>
          <w:tab w:val="left" w:pos="426"/>
          <w:tab w:val="left" w:pos="567"/>
        </w:tabs>
        <w:spacing w:line="360" w:lineRule="auto"/>
        <w:ind w:left="644" w:right="-1134"/>
        <w:jc w:val="both"/>
        <w:rPr>
          <w:rFonts w:ascii="Palatino Linotype" w:eastAsia="Palatino Linotype" w:hAnsi="Palatino Linotype" w:cs="Palatino Linotype"/>
        </w:rPr>
      </w:pPr>
      <w:bookmarkStart w:id="3" w:name="_heading=h.m5xo7y2qdhti" w:colFirst="0" w:colLast="0"/>
      <w:bookmarkEnd w:id="3"/>
    </w:p>
    <w:p w14:paraId="0C2D0E73" w14:textId="77777777" w:rsidR="00566CD1" w:rsidRPr="00DF63A7" w:rsidRDefault="00F83198" w:rsidP="00DF63A7">
      <w:pPr>
        <w:numPr>
          <w:ilvl w:val="0"/>
          <w:numId w:val="12"/>
        </w:numPr>
        <w:pBdr>
          <w:top w:val="nil"/>
          <w:left w:val="nil"/>
          <w:bottom w:val="nil"/>
          <w:right w:val="nil"/>
          <w:between w:val="nil"/>
        </w:pBdr>
        <w:tabs>
          <w:tab w:val="left" w:pos="426"/>
          <w:tab w:val="left" w:pos="567"/>
        </w:tabs>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Acto Impugnado:</w:t>
      </w:r>
    </w:p>
    <w:p w14:paraId="3790069B"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“ENTREGA DE INFORMACION.” (Sic)</w:t>
      </w:r>
    </w:p>
    <w:p w14:paraId="2B5A2C56" w14:textId="77777777" w:rsidR="00566CD1" w:rsidRPr="00DF63A7" w:rsidRDefault="00566CD1" w:rsidP="00DF63A7">
      <w:pPr>
        <w:pBdr>
          <w:top w:val="nil"/>
          <w:left w:val="nil"/>
          <w:bottom w:val="nil"/>
          <w:right w:val="nil"/>
          <w:between w:val="nil"/>
        </w:pBdr>
        <w:ind w:left="567" w:right="-1134"/>
        <w:jc w:val="both"/>
        <w:rPr>
          <w:rFonts w:ascii="Palatino Linotype" w:eastAsia="Palatino Linotype" w:hAnsi="Palatino Linotype" w:cs="Palatino Linotype"/>
          <w:i/>
          <w:iCs/>
        </w:rPr>
      </w:pPr>
    </w:p>
    <w:p w14:paraId="3D63A719" w14:textId="77777777" w:rsidR="00566CD1" w:rsidRPr="00DF63A7" w:rsidRDefault="00F83198" w:rsidP="00DF63A7">
      <w:pPr>
        <w:numPr>
          <w:ilvl w:val="0"/>
          <w:numId w:val="10"/>
        </w:numPr>
        <w:pBdr>
          <w:top w:val="nil"/>
          <w:left w:val="nil"/>
          <w:bottom w:val="nil"/>
          <w:right w:val="nil"/>
          <w:between w:val="nil"/>
        </w:pBdr>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Razones o Motivos de Inconformidad:</w:t>
      </w:r>
    </w:p>
    <w:p w14:paraId="330E4B57"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“La unidad manifiesta no comprender la solcitud de informacion ya que solicitan que la solcitud sea de manera clara y especifica la cual en el requerimiento se solcita a la unidad las contrataciones de bienes y servicios del ejercicio fiscal 2025 la cual por normativiadad se enviz un listado de estas al OSFEM de manera trimestral en sus tres modalidades al negarce a presentar la solicutud da efecto que no cuentan con los procedimientos relaizados y justificados.”. (Sic)</w:t>
      </w:r>
    </w:p>
    <w:p w14:paraId="466D199A" w14:textId="77777777" w:rsidR="00566CD1" w:rsidRPr="00DF63A7" w:rsidRDefault="00566CD1"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rPr>
      </w:pPr>
    </w:p>
    <w:p w14:paraId="627C1058"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sidRPr="00DF63A7">
        <w:rPr>
          <w:rFonts w:ascii="Palatino Linotype" w:eastAsia="Palatino Linotype" w:hAnsi="Palatino Linotype" w:cs="Palatino Linotype"/>
          <w:b/>
          <w:bCs/>
        </w:rPr>
        <w:t>Comisionada María del Rosario Mejía Ayala,</w:t>
      </w:r>
      <w:r w:rsidRPr="00DF63A7">
        <w:rPr>
          <w:rFonts w:ascii="Palatino Linotype" w:eastAsia="Palatino Linotype" w:hAnsi="Palatino Linotype" w:cs="Palatino Linotype"/>
        </w:rPr>
        <w:t xml:space="preserve"> para su análisis.</w:t>
      </w:r>
    </w:p>
    <w:p w14:paraId="4C8BF348" w14:textId="77777777" w:rsidR="00566CD1" w:rsidRPr="00DF63A7" w:rsidRDefault="00566CD1"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rPr>
      </w:pPr>
    </w:p>
    <w:p w14:paraId="3000FFE7"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DF63A7">
        <w:rPr>
          <w:rFonts w:ascii="Palatino Linotype" w:eastAsia="Palatino Linotype" w:hAnsi="Palatino Linotype" w:cs="Palatino Linotype"/>
          <w:b/>
          <w:bCs/>
          <w:color w:val="000000"/>
        </w:rPr>
        <w:t>acuerdo de admisión</w:t>
      </w:r>
      <w:r w:rsidRPr="00DF63A7">
        <w:rPr>
          <w:rFonts w:ascii="Palatino Linotype" w:eastAsia="Palatino Linotype" w:hAnsi="Palatino Linotype" w:cs="Palatino Linotype"/>
          <w:color w:val="000000"/>
        </w:rPr>
        <w:t xml:space="preserve"> del </w:t>
      </w:r>
      <w:r w:rsidRPr="00DF63A7">
        <w:rPr>
          <w:rFonts w:ascii="Palatino Linotype" w:eastAsia="Palatino Linotype" w:hAnsi="Palatino Linotype" w:cs="Palatino Linotype"/>
          <w:b/>
          <w:bCs/>
          <w:color w:val="000000"/>
        </w:rPr>
        <w:t>cinco de seis de febrero de dos mil veintiséis</w:t>
      </w:r>
      <w:r w:rsidRPr="00DF63A7">
        <w:rPr>
          <w:rFonts w:ascii="Palatino Linotype" w:eastAsia="Palatino Linotype" w:hAnsi="Palatino Linotype" w:cs="Palatino Linotype"/>
          <w:color w:val="000000"/>
        </w:rPr>
        <w:t xml:space="preserve">, puso a disposición de las partes el expediente electrónico vía Sistema de Acceso a la Información Mexiquense </w:t>
      </w:r>
      <w:r w:rsidRPr="00DF63A7">
        <w:rPr>
          <w:rFonts w:ascii="Palatino Linotype" w:eastAsia="Palatino Linotype" w:hAnsi="Palatino Linotype" w:cs="Palatino Linotype"/>
          <w:b/>
          <w:bCs/>
          <w:color w:val="000000"/>
        </w:rPr>
        <w:t xml:space="preserve">SAIMEX, </w:t>
      </w:r>
      <w:r w:rsidRPr="00DF63A7">
        <w:rPr>
          <w:rFonts w:ascii="Palatino Linotype" w:eastAsia="Palatino Linotype" w:hAnsi="Palatino Linotype" w:cs="Palatino Linotype"/>
          <w:color w:val="000000"/>
        </w:rPr>
        <w:t xml:space="preserve">a efecto de que en un plazo máximo de siete días </w:t>
      </w:r>
      <w:r w:rsidRPr="00DF63A7">
        <w:rPr>
          <w:rFonts w:ascii="Palatino Linotype" w:eastAsia="Palatino Linotype" w:hAnsi="Palatino Linotype" w:cs="Palatino Linotype"/>
        </w:rPr>
        <w:t>manifestara</w:t>
      </w:r>
      <w:r w:rsidRPr="00DF63A7">
        <w:rPr>
          <w:rFonts w:ascii="Palatino Linotype" w:eastAsia="Palatino Linotype" w:hAnsi="Palatino Linotype" w:cs="Palatino Linotype"/>
          <w:color w:val="000000"/>
        </w:rPr>
        <w:t xml:space="preserve"> lo que a su derecho conviniera, </w:t>
      </w:r>
      <w:r w:rsidRPr="00DF63A7">
        <w:rPr>
          <w:rFonts w:ascii="Palatino Linotype" w:eastAsia="Palatino Linotype" w:hAnsi="Palatino Linotype" w:cs="Palatino Linotype"/>
        </w:rPr>
        <w:t>ofreciera</w:t>
      </w:r>
      <w:r w:rsidRPr="00DF63A7">
        <w:rPr>
          <w:rFonts w:ascii="Palatino Linotype" w:eastAsia="Palatino Linotype" w:hAnsi="Palatino Linotype" w:cs="Palatino Linotype"/>
          <w:color w:val="000000"/>
        </w:rPr>
        <w:t xml:space="preserve"> pruebas y alegatos según corresponda, de esta forma para que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presentará el Informe Justificado procedente.</w:t>
      </w:r>
    </w:p>
    <w:p w14:paraId="3166063A" w14:textId="77777777" w:rsidR="00566CD1" w:rsidRPr="00DF63A7" w:rsidRDefault="00566CD1"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color w:val="000000"/>
        </w:rPr>
      </w:pPr>
    </w:p>
    <w:p w14:paraId="3209B996"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b/>
          <w:bCs/>
        </w:rPr>
      </w:pPr>
      <w:r w:rsidRPr="00DF63A7">
        <w:rPr>
          <w:rFonts w:ascii="Palatino Linotype" w:eastAsia="Palatino Linotype" w:hAnsi="Palatino Linotype" w:cs="Palatino Linotype"/>
          <w:color w:val="000000"/>
        </w:rPr>
        <w:t xml:space="preserve">El </w:t>
      </w:r>
      <w:r w:rsidRPr="00DF63A7">
        <w:rPr>
          <w:rFonts w:ascii="Palatino Linotype" w:eastAsia="Palatino Linotype" w:hAnsi="Palatino Linotype" w:cs="Palatino Linotype"/>
          <w:b/>
          <w:bCs/>
          <w:color w:val="000000"/>
        </w:rPr>
        <w:t>quince de agosto de dos mil veinticinco</w:t>
      </w:r>
      <w:r w:rsidRPr="00DF63A7">
        <w:rPr>
          <w:rFonts w:ascii="Palatino Linotype" w:eastAsia="Palatino Linotype" w:hAnsi="Palatino Linotype" w:cs="Palatino Linotype"/>
          <w:color w:val="000000"/>
        </w:rPr>
        <w:t xml:space="preserve">,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rindió el </w:t>
      </w:r>
      <w:r w:rsidRPr="00DF63A7">
        <w:rPr>
          <w:rFonts w:ascii="Palatino Linotype" w:eastAsia="Palatino Linotype" w:hAnsi="Palatino Linotype" w:cs="Palatino Linotype"/>
          <w:b/>
          <w:bCs/>
          <w:color w:val="000000"/>
        </w:rPr>
        <w:t>informe justificado</w:t>
      </w:r>
      <w:r w:rsidRPr="00DF63A7">
        <w:rPr>
          <w:rFonts w:ascii="Palatino Linotype" w:eastAsia="Palatino Linotype" w:hAnsi="Palatino Linotype" w:cs="Palatino Linotype"/>
          <w:color w:val="000000"/>
        </w:rPr>
        <w:t xml:space="preserve"> correspondiente, por medio de los archivos electrónicos denominados </w:t>
      </w:r>
      <w:r w:rsidRPr="00DF63A7">
        <w:rPr>
          <w:rFonts w:ascii="Palatino Linotype" w:eastAsia="Palatino Linotype" w:hAnsi="Palatino Linotype" w:cs="Palatino Linotype"/>
          <w:b/>
          <w:bCs/>
          <w:color w:val="000000"/>
        </w:rPr>
        <w:t>“M</w:t>
      </w:r>
      <w:hyperlink r:id="rId10">
        <w:r w:rsidRPr="00DF63A7">
          <w:rPr>
            <w:rFonts w:ascii="Palatino Linotype" w:eastAsia="Palatino Linotype" w:hAnsi="Palatino Linotype" w:cs="Palatino Linotype"/>
            <w:b/>
            <w:bCs/>
            <w:color w:val="000000"/>
          </w:rPr>
          <w:t>anifestaciones 00014-2026.pdf</w:t>
        </w:r>
      </w:hyperlink>
      <w:r w:rsidRPr="00DF63A7">
        <w:rPr>
          <w:rFonts w:ascii="Palatino Linotype" w:eastAsia="Palatino Linotype" w:hAnsi="Palatino Linotype" w:cs="Palatino Linotype"/>
          <w:b/>
          <w:bCs/>
          <w:color w:val="000000"/>
        </w:rPr>
        <w:t>” y “Ma</w:t>
      </w:r>
      <w:hyperlink r:id="rId11">
        <w:r w:rsidRPr="00DF63A7">
          <w:rPr>
            <w:rFonts w:ascii="Palatino Linotype" w:eastAsia="Palatino Linotype" w:hAnsi="Palatino Linotype" w:cs="Palatino Linotype"/>
            <w:b/>
            <w:bCs/>
            <w:color w:val="000000"/>
          </w:rPr>
          <w:t>nifestaciones de la Respuesta 00014-2026.pdf</w:t>
        </w:r>
      </w:hyperlink>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 xml:space="preserve">mediante los cuales, </w:t>
      </w:r>
      <w:r w:rsidRPr="00DF63A7">
        <w:rPr>
          <w:rFonts w:ascii="Palatino Linotype" w:eastAsia="Palatino Linotype" w:hAnsi="Palatino Linotype" w:cs="Palatino Linotype"/>
          <w:b/>
          <w:bCs/>
          <w:color w:val="000000"/>
        </w:rPr>
        <w:t xml:space="preserve">ratifica la respuesta, </w:t>
      </w:r>
      <w:r w:rsidRPr="00DF63A7">
        <w:rPr>
          <w:rFonts w:ascii="Palatino Linotype" w:eastAsia="Palatino Linotype" w:hAnsi="Palatino Linotype" w:cs="Palatino Linotype"/>
          <w:color w:val="000000"/>
        </w:rPr>
        <w:t xml:space="preserve">mismo que se puso a la vista del particular en fecha </w:t>
      </w:r>
      <w:r w:rsidRPr="00DF63A7">
        <w:rPr>
          <w:rFonts w:ascii="Palatino Linotype" w:eastAsia="Palatino Linotype" w:hAnsi="Palatino Linotype" w:cs="Palatino Linotype"/>
          <w:b/>
          <w:bCs/>
          <w:color w:val="000000"/>
        </w:rPr>
        <w:t>veinticuatro de abril de dos mil veintiséis</w:t>
      </w:r>
      <w:r w:rsidRPr="00DF63A7">
        <w:rPr>
          <w:rFonts w:ascii="Palatino Linotype" w:eastAsia="Palatino Linotype" w:hAnsi="Palatino Linotype" w:cs="Palatino Linotype"/>
          <w:color w:val="000000"/>
        </w:rPr>
        <w:t>.</w:t>
      </w:r>
    </w:p>
    <w:p w14:paraId="3A217327" w14:textId="77777777" w:rsidR="00566CD1" w:rsidRPr="00DF63A7" w:rsidRDefault="00566CD1" w:rsidP="00DF63A7">
      <w:pPr>
        <w:ind w:right="-1134"/>
        <w:rPr>
          <w:rFonts w:ascii="Palatino Linotype" w:eastAsia="Palatino Linotype" w:hAnsi="Palatino Linotype" w:cs="Palatino Linotype"/>
          <w:b/>
          <w:bCs/>
          <w:i/>
          <w:iCs/>
          <w:color w:val="000000"/>
        </w:rPr>
      </w:pPr>
    </w:p>
    <w:p w14:paraId="304B79D5"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b/>
          <w:bCs/>
        </w:rPr>
      </w:pPr>
      <w:r w:rsidRPr="00DF63A7">
        <w:rPr>
          <w:rFonts w:ascii="Palatino Linotype" w:eastAsia="Palatino Linotype" w:hAnsi="Palatino Linotype" w:cs="Palatino Linotype"/>
          <w:color w:val="000000"/>
        </w:rPr>
        <w:t xml:space="preserve">Por su parte, el </w:t>
      </w:r>
      <w:r w:rsidRPr="00DF63A7">
        <w:rPr>
          <w:rFonts w:ascii="Palatino Linotype" w:eastAsia="Palatino Linotype" w:hAnsi="Palatino Linotype" w:cs="Palatino Linotype"/>
          <w:b/>
          <w:bCs/>
          <w:color w:val="000000"/>
        </w:rPr>
        <w:t>RECURRENTE</w:t>
      </w:r>
      <w:r w:rsidRPr="00DF63A7">
        <w:rPr>
          <w:rFonts w:ascii="Palatino Linotype" w:eastAsia="Palatino Linotype" w:hAnsi="Palatino Linotype" w:cs="Palatino Linotype"/>
          <w:color w:val="000000"/>
        </w:rPr>
        <w:t xml:space="preserve"> no presentó pruebas o alegatos que a su derecho </w:t>
      </w:r>
      <w:r w:rsidRPr="00DF63A7">
        <w:rPr>
          <w:rFonts w:ascii="Palatino Linotype" w:eastAsia="Palatino Linotype" w:hAnsi="Palatino Linotype" w:cs="Palatino Linotype"/>
        </w:rPr>
        <w:t>conviniera</w:t>
      </w:r>
      <w:r w:rsidRPr="00DF63A7">
        <w:rPr>
          <w:rFonts w:ascii="Palatino Linotype" w:eastAsia="Palatino Linotype" w:hAnsi="Palatino Linotype" w:cs="Palatino Linotype"/>
          <w:color w:val="000000"/>
        </w:rPr>
        <w:t>.</w:t>
      </w:r>
    </w:p>
    <w:p w14:paraId="5A8DB1F9" w14:textId="77777777" w:rsidR="00566CD1" w:rsidRPr="00DF63A7" w:rsidRDefault="00566CD1" w:rsidP="00DF63A7">
      <w:pPr>
        <w:ind w:right="-1134"/>
        <w:rPr>
          <w:rFonts w:ascii="Palatino Linotype" w:eastAsia="Palatino Linotype" w:hAnsi="Palatino Linotype" w:cs="Palatino Linotype"/>
        </w:rPr>
      </w:pPr>
    </w:p>
    <w:p w14:paraId="08F1963F"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b/>
          <w:bCs/>
        </w:rPr>
      </w:pPr>
      <w:r w:rsidRPr="00DF63A7">
        <w:rPr>
          <w:rFonts w:ascii="Palatino Linotype" w:eastAsia="Palatino Linotype" w:hAnsi="Palatino Linotype" w:cs="Palatino Linotype"/>
          <w:color w:val="000000"/>
        </w:rPr>
        <w:t xml:space="preserve">El </w:t>
      </w:r>
      <w:r w:rsidRPr="00DF63A7">
        <w:rPr>
          <w:rFonts w:ascii="Palatino Linotype" w:eastAsia="Palatino Linotype" w:hAnsi="Palatino Linotype" w:cs="Palatino Linotype"/>
          <w:b/>
          <w:bCs/>
          <w:color w:val="000000"/>
        </w:rPr>
        <w:t>veintiuno de abril de dos mil veintiséis</w:t>
      </w:r>
      <w:r w:rsidRPr="00DF63A7">
        <w:rPr>
          <w:rFonts w:ascii="Palatino Linotype" w:eastAsia="Palatino Linotype" w:hAnsi="Palatino Linotype" w:cs="Palatino Linotype"/>
          <w:color w:val="000000"/>
        </w:rPr>
        <w:t>, se notificó el acuerdo mediante el cual se amplió el plazo para emitir resolución por un término de 15 días adicionales.</w:t>
      </w:r>
    </w:p>
    <w:p w14:paraId="05CB2865"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lastRenderedPageBreak/>
        <w:t xml:space="preserve">La Comisionada Ponente decretó el cierre de instrucción mediante acuerdo del </w:t>
      </w:r>
      <w:r w:rsidRPr="00DF63A7">
        <w:rPr>
          <w:rFonts w:ascii="Palatino Linotype" w:eastAsia="Palatino Linotype" w:hAnsi="Palatino Linotype" w:cs="Palatino Linotype"/>
          <w:b/>
          <w:bCs/>
          <w:color w:val="000000"/>
        </w:rPr>
        <w:t>treinta de abril de dos mil veintiséis</w:t>
      </w:r>
      <w:r w:rsidRPr="00DF63A7">
        <w:rPr>
          <w:rFonts w:ascii="Palatino Linotype" w:eastAsia="Palatino Linotype" w:hAnsi="Palatino Linotype" w:cs="Palatino Linotype"/>
          <w:color w:val="000000"/>
        </w:rPr>
        <w:t xml:space="preserve">; por lo que se ordenó turnar el expediente a resolución, misma que ahora se pronuncia; y </w:t>
      </w:r>
    </w:p>
    <w:p w14:paraId="5DD953D3" w14:textId="77777777" w:rsidR="00566CD1" w:rsidRPr="00DF63A7" w:rsidRDefault="00566CD1" w:rsidP="00DF63A7">
      <w:pPr>
        <w:spacing w:line="360" w:lineRule="auto"/>
        <w:ind w:right="-1134"/>
        <w:rPr>
          <w:rFonts w:ascii="Palatino Linotype" w:eastAsia="Palatino Linotype" w:hAnsi="Palatino Linotype" w:cs="Palatino Linotype"/>
          <w:b/>
          <w:bCs/>
        </w:rPr>
      </w:pPr>
    </w:p>
    <w:p w14:paraId="7571BB23" w14:textId="77777777" w:rsidR="00566CD1" w:rsidRPr="00DF63A7" w:rsidRDefault="00F83198" w:rsidP="00DF63A7">
      <w:pPr>
        <w:pBdr>
          <w:top w:val="nil"/>
          <w:left w:val="nil"/>
          <w:bottom w:val="nil"/>
          <w:right w:val="nil"/>
          <w:between w:val="nil"/>
        </w:pBdr>
        <w:spacing w:line="360" w:lineRule="auto"/>
        <w:ind w:right="-1134"/>
        <w:jc w:val="center"/>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C O N S I D E R A N D O</w:t>
      </w:r>
    </w:p>
    <w:p w14:paraId="272526BA" w14:textId="77777777" w:rsidR="00566CD1" w:rsidRPr="00DF63A7" w:rsidRDefault="00566CD1" w:rsidP="00DF63A7">
      <w:pPr>
        <w:pBdr>
          <w:top w:val="nil"/>
          <w:left w:val="nil"/>
          <w:bottom w:val="nil"/>
          <w:right w:val="nil"/>
          <w:between w:val="nil"/>
        </w:pBdr>
        <w:spacing w:line="360" w:lineRule="auto"/>
        <w:ind w:right="-1134"/>
        <w:jc w:val="center"/>
        <w:rPr>
          <w:rFonts w:ascii="Palatino Linotype" w:eastAsia="Palatino Linotype" w:hAnsi="Palatino Linotype" w:cs="Palatino Linotype"/>
          <w:b/>
          <w:bCs/>
        </w:rPr>
      </w:pPr>
    </w:p>
    <w:p w14:paraId="574B6E88" w14:textId="77777777" w:rsidR="00566CD1" w:rsidRPr="00DF63A7" w:rsidRDefault="00F83198" w:rsidP="00DF63A7">
      <w:pPr>
        <w:pStyle w:val="Ttulo2"/>
        <w:spacing w:before="0" w:line="360" w:lineRule="auto"/>
        <w:ind w:right="-1134"/>
        <w:rPr>
          <w:rFonts w:ascii="Palatino Linotype" w:eastAsia="Palatino Linotype" w:hAnsi="Palatino Linotype" w:cs="Palatino Linotype"/>
          <w:b/>
          <w:bCs/>
          <w:color w:val="000000"/>
          <w:sz w:val="24"/>
          <w:szCs w:val="24"/>
        </w:rPr>
      </w:pPr>
      <w:bookmarkStart w:id="4" w:name="_heading=h.btsa1tjiz21l" w:colFirst="0" w:colLast="0"/>
      <w:bookmarkEnd w:id="4"/>
      <w:r w:rsidRPr="00DF63A7">
        <w:rPr>
          <w:rFonts w:ascii="Palatino Linotype" w:eastAsia="Palatino Linotype" w:hAnsi="Palatino Linotype" w:cs="Palatino Linotype"/>
          <w:b/>
          <w:bCs/>
          <w:color w:val="000000"/>
          <w:sz w:val="24"/>
          <w:szCs w:val="24"/>
        </w:rPr>
        <w:t>PRIMERO. De la competencia</w:t>
      </w:r>
    </w:p>
    <w:p w14:paraId="03DC43C2"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DF63A7">
        <w:rPr>
          <w:rFonts w:ascii="Palatino Linotype" w:eastAsia="Palatino Linotype" w:hAnsi="Palatino Linotype" w:cs="Palatino Linotype"/>
          <w:b/>
          <w:bCs/>
          <w:color w:val="000000"/>
          <w:highlight w:val="white"/>
        </w:rPr>
        <w:t>Constitución Política de los Estados Unidos Mexicanos</w:t>
      </w:r>
      <w:r w:rsidRPr="00DF63A7">
        <w:rPr>
          <w:rFonts w:ascii="Palatino Linotype" w:eastAsia="Palatino Linotype" w:hAnsi="Palatino Linotype" w:cs="Palatino Linotype"/>
          <w:color w:val="000000"/>
          <w:highlight w:val="white"/>
        </w:rPr>
        <w:t>; 5, párrafos trigésimo segundo, trigésimo tercero y trigésimo cuarto fracciones IV y V de la </w:t>
      </w:r>
      <w:r w:rsidRPr="00DF63A7">
        <w:rPr>
          <w:rFonts w:ascii="Palatino Linotype" w:eastAsia="Palatino Linotype" w:hAnsi="Palatino Linotype" w:cs="Palatino Linotype"/>
          <w:b/>
          <w:bCs/>
          <w:color w:val="000000"/>
          <w:highlight w:val="white"/>
        </w:rPr>
        <w:t>Constitución Política del Estado Libre y Soberano de México</w:t>
      </w:r>
      <w:r w:rsidRPr="00DF63A7">
        <w:rPr>
          <w:rFonts w:ascii="Palatino Linotype" w:eastAsia="Palatino Linotype" w:hAnsi="Palatino Linotype" w:cs="Palatino Linotype"/>
          <w:color w:val="000000"/>
          <w:highlight w:val="white"/>
        </w:rPr>
        <w:t>; artículos 1, 2 fracción II, 13, 29, 36 fracciones I y II, 176, 178, 179, 181 párrafo tercero y 185 de la </w:t>
      </w:r>
      <w:r w:rsidRPr="00DF63A7">
        <w:rPr>
          <w:rFonts w:ascii="Palatino Linotype" w:eastAsia="Palatino Linotype" w:hAnsi="Palatino Linotype" w:cs="Palatino Linotype"/>
          <w:b/>
          <w:bCs/>
          <w:color w:val="000000"/>
          <w:highlight w:val="white"/>
        </w:rPr>
        <w:t>Ley de Transparencia y Acceso a la Información Pública del Estado de México y Municipios</w:t>
      </w:r>
      <w:r w:rsidRPr="00DF63A7">
        <w:rPr>
          <w:rFonts w:ascii="Palatino Linotype" w:eastAsia="Palatino Linotype" w:hAnsi="Palatino Linotype" w:cs="Palatino Linotype"/>
          <w:color w:val="000000"/>
          <w:highlight w:val="white"/>
        </w:rPr>
        <w:t>; y 7, 9 fracciones I y XXIII, y 11 del </w:t>
      </w:r>
      <w:r w:rsidRPr="00DF63A7">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p>
    <w:p w14:paraId="34200F9E" w14:textId="77777777" w:rsidR="00566CD1" w:rsidRPr="00DF63A7" w:rsidRDefault="00566CD1" w:rsidP="00DF63A7">
      <w:pPr>
        <w:pBdr>
          <w:top w:val="nil"/>
          <w:left w:val="nil"/>
          <w:bottom w:val="nil"/>
          <w:right w:val="nil"/>
          <w:between w:val="nil"/>
        </w:pBdr>
        <w:tabs>
          <w:tab w:val="left" w:pos="426"/>
        </w:tabs>
        <w:spacing w:line="360" w:lineRule="auto"/>
        <w:ind w:right="-1134"/>
        <w:jc w:val="both"/>
        <w:rPr>
          <w:rFonts w:ascii="Palatino Linotype" w:eastAsia="Palatino Linotype" w:hAnsi="Palatino Linotype" w:cs="Palatino Linotype"/>
          <w:b/>
          <w:bCs/>
          <w:color w:val="000000"/>
        </w:rPr>
      </w:pPr>
      <w:bookmarkStart w:id="5" w:name="_heading=h.rgnir2b3gwx4" w:colFirst="0" w:colLast="0"/>
      <w:bookmarkEnd w:id="5"/>
    </w:p>
    <w:p w14:paraId="4D03E555" w14:textId="77777777" w:rsidR="00566CD1" w:rsidRPr="00DF63A7" w:rsidRDefault="00F83198" w:rsidP="00DF63A7">
      <w:pPr>
        <w:pBdr>
          <w:top w:val="nil"/>
          <w:left w:val="nil"/>
          <w:bottom w:val="nil"/>
          <w:right w:val="nil"/>
          <w:between w:val="nil"/>
        </w:pBdr>
        <w:tabs>
          <w:tab w:val="left" w:pos="426"/>
        </w:tabs>
        <w:spacing w:line="360" w:lineRule="auto"/>
        <w:ind w:right="-1134"/>
        <w:jc w:val="both"/>
        <w:rPr>
          <w:rFonts w:ascii="Palatino Linotype" w:eastAsia="Palatino Linotype" w:hAnsi="Palatino Linotype" w:cs="Palatino Linotype"/>
          <w:b/>
          <w:bCs/>
          <w:color w:val="000000"/>
        </w:rPr>
      </w:pPr>
      <w:bookmarkStart w:id="6" w:name="_heading=h.nsi3dv3g87iz" w:colFirst="0" w:colLast="0"/>
      <w:bookmarkEnd w:id="6"/>
      <w:r w:rsidRPr="00DF63A7">
        <w:rPr>
          <w:rFonts w:ascii="Palatino Linotype" w:eastAsia="Palatino Linotype" w:hAnsi="Palatino Linotype" w:cs="Palatino Linotype"/>
          <w:b/>
          <w:bCs/>
          <w:color w:val="000000"/>
        </w:rPr>
        <w:t>SEGUNDO. De la oportunidad y procedencia.</w:t>
      </w:r>
    </w:p>
    <w:p w14:paraId="2981CBEA"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bookmarkStart w:id="7" w:name="_heading=h.lngcki8yq7ws" w:colFirst="0" w:colLast="0"/>
      <w:bookmarkEnd w:id="7"/>
      <w:r w:rsidRPr="00DF63A7">
        <w:rPr>
          <w:rFonts w:ascii="Palatino Linotype" w:eastAsia="Palatino Linotype" w:hAnsi="Palatino Linotype" w:cs="Palatino Linotype"/>
          <w:color w:val="000000"/>
        </w:rPr>
        <w:t xml:space="preserve">El medio de impugnación fue presentado a través del </w:t>
      </w:r>
      <w:r w:rsidRPr="00DF63A7">
        <w:rPr>
          <w:rFonts w:ascii="Palatino Linotype" w:eastAsia="Palatino Linotype" w:hAnsi="Palatino Linotype" w:cs="Palatino Linotype"/>
          <w:b/>
          <w:bCs/>
          <w:color w:val="000000"/>
        </w:rPr>
        <w:t xml:space="preserve">SAIMEX </w:t>
      </w:r>
      <w:r w:rsidRPr="00DF63A7">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entregó respuesta </w:t>
      </w:r>
      <w:r w:rsidRPr="00DF63A7">
        <w:rPr>
          <w:rFonts w:ascii="Palatino Linotype" w:eastAsia="Palatino Linotype" w:hAnsi="Palatino Linotype" w:cs="Palatino Linotype"/>
          <w:b/>
          <w:bCs/>
          <w:color w:val="000000"/>
        </w:rPr>
        <w:t>el veintisiete de enero de dos mil veintiséis</w:t>
      </w:r>
      <w:r w:rsidRPr="00DF63A7">
        <w:rPr>
          <w:rFonts w:ascii="Palatino Linotype" w:eastAsia="Palatino Linotype" w:hAnsi="Palatino Linotype" w:cs="Palatino Linotype"/>
          <w:color w:val="000000"/>
        </w:rPr>
        <w:t xml:space="preserve">, de tal forma que el plazo para interponer el recurso de revisión </w:t>
      </w:r>
      <w:r w:rsidRPr="00DF63A7">
        <w:rPr>
          <w:rFonts w:ascii="Palatino Linotype" w:eastAsia="Palatino Linotype" w:hAnsi="Palatino Linotype" w:cs="Palatino Linotype"/>
          <w:color w:val="000000"/>
        </w:rPr>
        <w:lastRenderedPageBreak/>
        <w:t xml:space="preserve">transcurrió del </w:t>
      </w:r>
      <w:r w:rsidRPr="00DF63A7">
        <w:rPr>
          <w:rFonts w:ascii="Palatino Linotype" w:eastAsia="Palatino Linotype" w:hAnsi="Palatino Linotype" w:cs="Palatino Linotype"/>
          <w:b/>
          <w:bCs/>
          <w:color w:val="000000"/>
        </w:rPr>
        <w:t>veintiocho de enero al dieciocho de febrero de dos mil veintiséis</w:t>
      </w:r>
      <w:r w:rsidRPr="00DF63A7">
        <w:rPr>
          <w:rFonts w:ascii="Palatino Linotype" w:eastAsia="Palatino Linotype" w:hAnsi="Palatino Linotype" w:cs="Palatino Linotype"/>
          <w:color w:val="000000"/>
        </w:rPr>
        <w:t xml:space="preserve">, en consecuencia, si la parte </w:t>
      </w:r>
      <w:r w:rsidRPr="00DF63A7">
        <w:rPr>
          <w:rFonts w:ascii="Palatino Linotype" w:eastAsia="Palatino Linotype" w:hAnsi="Palatino Linotype" w:cs="Palatino Linotype"/>
          <w:b/>
          <w:bCs/>
          <w:color w:val="000000"/>
        </w:rPr>
        <w:t xml:space="preserve">RECURRENTE </w:t>
      </w:r>
      <w:r w:rsidRPr="00DF63A7">
        <w:rPr>
          <w:rFonts w:ascii="Palatino Linotype" w:eastAsia="Palatino Linotype" w:hAnsi="Palatino Linotype" w:cs="Palatino Linotype"/>
          <w:color w:val="000000"/>
        </w:rPr>
        <w:t xml:space="preserve">presentó su inconformidad el </w:t>
      </w:r>
      <w:r w:rsidRPr="00DF63A7">
        <w:rPr>
          <w:rFonts w:ascii="Palatino Linotype" w:eastAsia="Palatino Linotype" w:hAnsi="Palatino Linotype" w:cs="Palatino Linotype"/>
          <w:b/>
          <w:bCs/>
          <w:color w:val="000000"/>
        </w:rPr>
        <w:t>cinco de febrero de dos mil veintiséis</w:t>
      </w:r>
      <w:r w:rsidRPr="00DF63A7">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14:paraId="7378A845"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76DC5E37"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F176D9F"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color w:val="000000"/>
        </w:rPr>
      </w:pPr>
    </w:p>
    <w:p w14:paraId="40D56087" w14:textId="77777777" w:rsidR="00566CD1" w:rsidRPr="00DF63A7" w:rsidRDefault="00F83198" w:rsidP="00DF63A7">
      <w:pPr>
        <w:pStyle w:val="Ttulo1"/>
        <w:spacing w:before="0" w:line="360" w:lineRule="auto"/>
        <w:ind w:right="-1134"/>
        <w:rPr>
          <w:rFonts w:ascii="Palatino Linotype" w:eastAsia="Palatino Linotype" w:hAnsi="Palatino Linotype" w:cs="Palatino Linotype"/>
          <w:b/>
          <w:bCs/>
          <w:color w:val="000000"/>
          <w:sz w:val="24"/>
          <w:szCs w:val="24"/>
        </w:rPr>
      </w:pPr>
      <w:bookmarkStart w:id="8" w:name="_heading=h.newmghrq6js6" w:colFirst="0" w:colLast="0"/>
      <w:bookmarkEnd w:id="8"/>
      <w:r w:rsidRPr="00DF63A7">
        <w:rPr>
          <w:rFonts w:ascii="Palatino Linotype" w:eastAsia="Palatino Linotype" w:hAnsi="Palatino Linotype" w:cs="Palatino Linotype"/>
          <w:b/>
          <w:bCs/>
          <w:color w:val="000000"/>
          <w:sz w:val="24"/>
          <w:szCs w:val="24"/>
        </w:rPr>
        <w:t xml:space="preserve">TERCERO. Del planteamiento de la </w:t>
      </w:r>
      <w:r w:rsidRPr="00DF63A7">
        <w:rPr>
          <w:rFonts w:ascii="Palatino Linotype" w:eastAsia="Palatino Linotype" w:hAnsi="Palatino Linotype" w:cs="Palatino Linotype"/>
          <w:b/>
          <w:bCs/>
          <w:i/>
          <w:iCs/>
          <w:color w:val="000000"/>
          <w:sz w:val="24"/>
          <w:szCs w:val="24"/>
        </w:rPr>
        <w:t>Litis</w:t>
      </w:r>
      <w:r w:rsidRPr="00DF63A7">
        <w:rPr>
          <w:rFonts w:ascii="Palatino Linotype" w:eastAsia="Palatino Linotype" w:hAnsi="Palatino Linotype" w:cs="Palatino Linotype"/>
          <w:b/>
          <w:bCs/>
          <w:color w:val="000000"/>
          <w:sz w:val="24"/>
          <w:szCs w:val="24"/>
        </w:rPr>
        <w:t>.</w:t>
      </w:r>
    </w:p>
    <w:p w14:paraId="54E4E6F2"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b/>
          <w:bCs/>
        </w:rPr>
      </w:pPr>
      <w:r w:rsidRPr="00DF63A7">
        <w:rPr>
          <w:rFonts w:ascii="Palatino Linotype" w:eastAsia="Palatino Linotype" w:hAnsi="Palatino Linotype" w:cs="Palatino Linotype"/>
          <w:color w:val="000000"/>
        </w:rPr>
        <w:t xml:space="preserve">El </w:t>
      </w:r>
      <w:r w:rsidRPr="00DF63A7">
        <w:rPr>
          <w:rFonts w:ascii="Palatino Linotype" w:eastAsia="Palatino Linotype" w:hAnsi="Palatino Linotype" w:cs="Palatino Linotype"/>
          <w:b/>
          <w:bCs/>
          <w:color w:val="000000"/>
        </w:rPr>
        <w:t>RECURRENTE</w:t>
      </w:r>
      <w:r w:rsidRPr="00DF63A7">
        <w:rPr>
          <w:rFonts w:ascii="Palatino Linotype" w:eastAsia="Palatino Linotype" w:hAnsi="Palatino Linotype" w:cs="Palatino Linotype"/>
          <w:color w:val="000000"/>
        </w:rPr>
        <w:t xml:space="preserve"> solicitó lo siguiente:</w:t>
      </w:r>
      <w:r w:rsidRPr="00DF63A7">
        <w:rPr>
          <w:rFonts w:ascii="Palatino Linotype" w:eastAsia="Palatino Linotype" w:hAnsi="Palatino Linotype" w:cs="Palatino Linotype"/>
          <w:i/>
          <w:iCs/>
          <w:color w:val="000000"/>
        </w:rPr>
        <w:t xml:space="preserve"> “Listado de contrataciones mediante contrato pedido adjudicación directa invitación restringida y licitación publica de las contracciones de compra de vehículos feria almoloya de Juárez 2025 así como eventos compra de tinacos papelería y todas las contrataciones así como anexar PDF de los contratos realizados por la dirección de administracion y recusos materiales del ejercicio fiscal 2025…”</w:t>
      </w:r>
    </w:p>
    <w:p w14:paraId="6C7CABD3" w14:textId="77777777" w:rsidR="00566CD1" w:rsidRPr="00DF63A7" w:rsidRDefault="00F83198"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w:t>
      </w:r>
    </w:p>
    <w:p w14:paraId="05D8BCA9" w14:textId="77777777" w:rsidR="00566CD1" w:rsidRPr="00DF63A7" w:rsidRDefault="00F83198" w:rsidP="00DF63A7">
      <w:pPr>
        <w:pBdr>
          <w:top w:val="nil"/>
          <w:left w:val="nil"/>
          <w:bottom w:val="nil"/>
          <w:right w:val="nil"/>
          <w:between w:val="nil"/>
        </w:pBdr>
        <w:spacing w:line="360" w:lineRule="auto"/>
        <w:ind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Contrataciones emitidas por la Dirección de administración y Tesorería municipal así como calendario y orden del día de las actas emitidas por el comité de adquisiciones y servicios, de acuerdo al punto 2 en donde estipula que se mezclan diversos conceptos, programas y eventos ( vehículos, feria, eventos, tinacos, papelería, etc) sin precisar si corresponden a un mismo ejercicio, proyecto, dependencia o fuente de financiamiento</w:t>
      </w:r>
    </w:p>
    <w:p w14:paraId="66CA4E5F" w14:textId="77777777" w:rsidR="00566CD1" w:rsidRPr="00DF63A7" w:rsidRDefault="00566CD1" w:rsidP="00DF63A7">
      <w:pPr>
        <w:pBdr>
          <w:top w:val="nil"/>
          <w:left w:val="nil"/>
          <w:bottom w:val="nil"/>
          <w:right w:val="nil"/>
          <w:between w:val="nil"/>
        </w:pBdr>
        <w:ind w:right="-1134"/>
      </w:pPr>
    </w:p>
    <w:p w14:paraId="7A2D8E71" w14:textId="77777777" w:rsidR="00566CD1" w:rsidRPr="00DF63A7" w:rsidRDefault="00F83198"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lastRenderedPageBreak/>
        <w:t>Se solicitan la información de estas contrataciones que son llevadas por el comité de adquisiciones y servicios quien es presidido por la dirección de administración. Se solicita lo siguiente:</w:t>
      </w:r>
    </w:p>
    <w:p w14:paraId="40BE6F86"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rPr>
      </w:pPr>
    </w:p>
    <w:p w14:paraId="64C945DD" w14:textId="77777777" w:rsidR="00566CD1" w:rsidRPr="00DF63A7" w:rsidRDefault="00F83198" w:rsidP="00DF63A7">
      <w:pPr>
        <w:numPr>
          <w:ilvl w:val="0"/>
          <w:numId w:val="4"/>
        </w:numPr>
        <w:pBdr>
          <w:top w:val="nil"/>
          <w:left w:val="nil"/>
          <w:bottom w:val="nil"/>
          <w:right w:val="nil"/>
          <w:between w:val="nil"/>
        </w:pBdr>
        <w:spacing w:line="360" w:lineRule="auto"/>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Tipo, modalidad, fuente de financiamiento (suficiencia presupuestal emitida por la tesorería municipal) y contratos con proveedores en pdf de las contrataciones para la gestión de la feria Almoloya de Juárez marzo 2025 (contratación de audio e iluminación , carpas, grupos musicales etc) </w:t>
      </w:r>
    </w:p>
    <w:p w14:paraId="188A157D" w14:textId="77777777" w:rsidR="00566CD1" w:rsidRPr="00DF63A7" w:rsidRDefault="00566CD1" w:rsidP="00DF63A7">
      <w:pPr>
        <w:pBdr>
          <w:top w:val="nil"/>
          <w:left w:val="nil"/>
          <w:bottom w:val="nil"/>
          <w:right w:val="nil"/>
          <w:between w:val="nil"/>
        </w:pBdr>
        <w:spacing w:line="360" w:lineRule="auto"/>
        <w:ind w:right="-1134"/>
        <w:rPr>
          <w:rFonts w:ascii="Palatino Linotype" w:eastAsia="Palatino Linotype" w:hAnsi="Palatino Linotype" w:cs="Palatino Linotype"/>
          <w:i/>
          <w:iCs/>
          <w:color w:val="000000"/>
        </w:rPr>
      </w:pPr>
    </w:p>
    <w:p w14:paraId="04672CF6" w14:textId="77777777" w:rsidR="00566CD1" w:rsidRPr="00DF63A7" w:rsidRDefault="00F83198" w:rsidP="00DF63A7">
      <w:pPr>
        <w:numPr>
          <w:ilvl w:val="0"/>
          <w:numId w:val="3"/>
        </w:numPr>
        <w:pBdr>
          <w:top w:val="nil"/>
          <w:left w:val="nil"/>
          <w:bottom w:val="nil"/>
          <w:right w:val="nil"/>
          <w:between w:val="nil"/>
        </w:pBdr>
        <w:spacing w:line="360" w:lineRule="auto"/>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Tipo, modalidad, fuente de financiamiento (suficiencia presupuestal emitida por la tesorería municipal) y contratos con proveedor en pdf de las contrataciones de papelería insumos de limpieza, roscas de reyes, cobijas, juguetes día de reyes día del niño, combustible (fortamun) residuos solidos (fortamun) </w:t>
      </w:r>
    </w:p>
    <w:p w14:paraId="053496F6" w14:textId="77777777" w:rsidR="00566CD1" w:rsidRPr="00DF63A7" w:rsidRDefault="00566CD1" w:rsidP="00DF63A7">
      <w:pPr>
        <w:pBdr>
          <w:top w:val="nil"/>
          <w:left w:val="nil"/>
          <w:bottom w:val="nil"/>
          <w:right w:val="nil"/>
          <w:between w:val="nil"/>
        </w:pBdr>
        <w:spacing w:line="360" w:lineRule="auto"/>
        <w:ind w:right="-1134"/>
        <w:rPr>
          <w:rFonts w:ascii="Palatino Linotype" w:eastAsia="Palatino Linotype" w:hAnsi="Palatino Linotype" w:cs="Palatino Linotype"/>
          <w:i/>
          <w:iCs/>
          <w:color w:val="000000"/>
        </w:rPr>
      </w:pPr>
    </w:p>
    <w:p w14:paraId="4D901AAE" w14:textId="77777777" w:rsidR="00566CD1" w:rsidRPr="00DF63A7" w:rsidRDefault="00F83198" w:rsidP="00DF63A7">
      <w:pPr>
        <w:numPr>
          <w:ilvl w:val="0"/>
          <w:numId w:val="2"/>
        </w:numPr>
        <w:pBdr>
          <w:top w:val="nil"/>
          <w:left w:val="nil"/>
          <w:bottom w:val="nil"/>
          <w:right w:val="nil"/>
          <w:between w:val="nil"/>
        </w:pBdr>
        <w:spacing w:line="360" w:lineRule="auto"/>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Se solicita la entrega de contratos en pdf de todas las compras realizadas en el año fiscal 2025 en sus diferentes modalidades adjudicación directa invitación restringida y licitación publica asi como compras directas realizadas por el área de Recursos Materiales y Dirección de administración del año 2025 y no tendrían que hacer una revisión exhaustiva ya que se debe contar con una relación de dichos archivos ya que son los que se envían cada informe trimestral al OSFEM </w:t>
      </w:r>
    </w:p>
    <w:p w14:paraId="2C5C71B5" w14:textId="77777777" w:rsidR="00566CD1" w:rsidRPr="00DF63A7" w:rsidRDefault="00566CD1" w:rsidP="00DF63A7">
      <w:pPr>
        <w:pBdr>
          <w:top w:val="nil"/>
          <w:left w:val="nil"/>
          <w:bottom w:val="nil"/>
          <w:right w:val="nil"/>
          <w:between w:val="nil"/>
        </w:pBdr>
        <w:spacing w:line="360" w:lineRule="auto"/>
        <w:ind w:left="708" w:right="-1134"/>
        <w:jc w:val="both"/>
        <w:rPr>
          <w:rFonts w:ascii="Palatino Linotype" w:eastAsia="Palatino Linotype" w:hAnsi="Palatino Linotype" w:cs="Palatino Linotype"/>
          <w:i/>
          <w:iCs/>
          <w:color w:val="000000"/>
        </w:rPr>
      </w:pPr>
    </w:p>
    <w:p w14:paraId="71830731" w14:textId="77777777" w:rsidR="00566CD1" w:rsidRPr="00DF63A7" w:rsidRDefault="00F83198" w:rsidP="00DF63A7">
      <w:pPr>
        <w:numPr>
          <w:ilvl w:val="0"/>
          <w:numId w:val="2"/>
        </w:numPr>
        <w:pBdr>
          <w:top w:val="nil"/>
          <w:left w:val="nil"/>
          <w:bottom w:val="nil"/>
          <w:right w:val="nil"/>
          <w:between w:val="nil"/>
        </w:pBdr>
        <w:spacing w:line="360" w:lineRule="auto"/>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como dictamen emitido para la compra y/o arrendamiento de las unidades involucradas (Seguridad Publica, Servicios Metropolitanos, Protección Civil) unidades entregadas el día 6 de enero de 2025 en la cual la contratación no pudo ser mediante licitación publica por lo que solicitó el dictamen de la excepción de la misma. </w:t>
      </w:r>
    </w:p>
    <w:p w14:paraId="072E417F" w14:textId="77777777" w:rsidR="00566CD1" w:rsidRPr="00DF63A7" w:rsidRDefault="00F83198" w:rsidP="00DF63A7">
      <w:pPr>
        <w:numPr>
          <w:ilvl w:val="0"/>
          <w:numId w:val="5"/>
        </w:numPr>
        <w:pBdr>
          <w:top w:val="nil"/>
          <w:left w:val="nil"/>
          <w:bottom w:val="nil"/>
          <w:right w:val="nil"/>
          <w:between w:val="nil"/>
        </w:pBdr>
        <w:spacing w:line="360" w:lineRule="auto"/>
        <w:ind w:left="708"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lastRenderedPageBreak/>
        <w:t>Tipo, modalidad, fuente de financiamiento (suficiencia presupuestal emitida por la tesorería municipal) y contrato en pdf de la compra y/o arrendamiento de unidades tipo patrulla, ambulancias, camión de bomberos, camiones de basura, contenedores, gruas pelicano así como dictamen emitido para la compra y/o arrendamiento de las unidades involucradas (Seguridad Pública, Servicios Metropolitanos, Protección Civil) unidades entregadas el día 6 de enero de 2025 en la cual la contratación no pudo ser mediante licitación pública por lo que solicito el dictamen de la excepción de la misma. (Sic)</w:t>
      </w:r>
    </w:p>
    <w:p w14:paraId="14935DEF" w14:textId="77777777" w:rsidR="00566CD1" w:rsidRPr="00DF63A7" w:rsidRDefault="00566CD1" w:rsidP="00DF63A7">
      <w:pPr>
        <w:pBdr>
          <w:top w:val="nil"/>
          <w:left w:val="nil"/>
          <w:bottom w:val="nil"/>
          <w:right w:val="nil"/>
          <w:between w:val="nil"/>
        </w:pBdr>
        <w:spacing w:line="360" w:lineRule="auto"/>
        <w:ind w:left="778" w:right="-1134"/>
        <w:jc w:val="both"/>
        <w:rPr>
          <w:rFonts w:ascii="Palatino Linotype" w:eastAsia="Palatino Linotype" w:hAnsi="Palatino Linotype" w:cs="Palatino Linotype"/>
          <w:b/>
          <w:bCs/>
          <w:color w:val="000000"/>
        </w:rPr>
      </w:pPr>
    </w:p>
    <w:p w14:paraId="74876786" w14:textId="77777777" w:rsidR="00566CD1"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 xml:space="preserve">En respuesta,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por medio del Titular de la Unidad de Transparencia informó</w:t>
      </w:r>
      <w:r w:rsidRPr="00DF63A7">
        <w:rPr>
          <w:rFonts w:ascii="Palatino Linotype" w:eastAsia="Palatino Linotype" w:hAnsi="Palatino Linotype" w:cs="Palatino Linotype"/>
        </w:rPr>
        <w:t xml:space="preserve"> que se encuentran material y jurídicamente impedidos para atender la solicitud, toda vez que la solicitud  no reúne los requisitos mínimos de claridad, precisión y especificidad, exigidos por la normatividad en materia de transparencia y acceso a la información pública, lo que imposibilita realizar una búsqueda razonable, focalizada y eficiente de la información, por lo que se desestima la solicitud en los términos en que fue presentada.</w:t>
      </w:r>
    </w:p>
    <w:p w14:paraId="69B34543" w14:textId="77777777" w:rsidR="00DF63A7" w:rsidRPr="00DF63A7" w:rsidRDefault="00DF63A7"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rPr>
      </w:pPr>
    </w:p>
    <w:p w14:paraId="099B6762"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b/>
          <w:bCs/>
        </w:rPr>
      </w:pPr>
      <w:r w:rsidRPr="00DF63A7">
        <w:rPr>
          <w:rFonts w:ascii="Palatino Linotype" w:eastAsia="Palatino Linotype" w:hAnsi="Palatino Linotype" w:cs="Palatino Linotype"/>
          <w:color w:val="000000"/>
        </w:rPr>
        <w:t xml:space="preserve">Posteriormente, el </w:t>
      </w:r>
      <w:r w:rsidRPr="00DF63A7">
        <w:rPr>
          <w:rFonts w:ascii="Palatino Linotype" w:eastAsia="Palatino Linotype" w:hAnsi="Palatino Linotype" w:cs="Palatino Linotype"/>
          <w:b/>
          <w:bCs/>
          <w:color w:val="000000"/>
        </w:rPr>
        <w:t xml:space="preserve">RECURRENTE </w:t>
      </w:r>
      <w:r w:rsidRPr="00DF63A7">
        <w:rPr>
          <w:rFonts w:ascii="Palatino Linotype" w:eastAsia="Palatino Linotype" w:hAnsi="Palatino Linotype" w:cs="Palatino Linotype"/>
          <w:color w:val="000000"/>
        </w:rPr>
        <w:t>interpuso el</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 xml:space="preserve">recurso de revisión número </w:t>
      </w:r>
      <w:r w:rsidRPr="00DF63A7">
        <w:rPr>
          <w:rFonts w:ascii="Palatino Linotype" w:eastAsia="Palatino Linotype" w:hAnsi="Palatino Linotype" w:cs="Palatino Linotype"/>
          <w:b/>
          <w:bCs/>
          <w:color w:val="000000"/>
        </w:rPr>
        <w:t>1478/INFOEM/IP/RR/2026</w:t>
      </w:r>
      <w:r w:rsidRPr="00DF63A7">
        <w:rPr>
          <w:rFonts w:ascii="Palatino Linotype" w:eastAsia="Palatino Linotype" w:hAnsi="Palatino Linotype" w:cs="Palatino Linotype"/>
          <w:color w:val="000000"/>
        </w:rPr>
        <w:t>, donde manifestó como motivos de inconformidad,</w:t>
      </w:r>
      <w:r w:rsidRPr="00DF63A7">
        <w:rPr>
          <w:rFonts w:ascii="Palatino Linotype" w:eastAsia="Palatino Linotype" w:hAnsi="Palatino Linotype" w:cs="Palatino Linotype"/>
          <w:b/>
          <w:bCs/>
          <w:color w:val="000000"/>
        </w:rPr>
        <w:t xml:space="preserve"> la negativa a la información solicitada, en los siguientes términos: </w:t>
      </w:r>
      <w:r w:rsidRPr="00DF63A7">
        <w:rPr>
          <w:rFonts w:ascii="Palatino Linotype" w:eastAsia="Palatino Linotype" w:hAnsi="Palatino Linotype" w:cs="Palatino Linotype"/>
          <w:i/>
          <w:iCs/>
          <w:color w:val="000000"/>
        </w:rPr>
        <w:t xml:space="preserve">“La unidad manifiesta no comprender la solcitud de informacion ya que solicitan que la solcitud sea de manera clara y especifica la cual en el requerimiento se solcita a la unidad las contrataciones de bienes y servicios del ejercicio fiscal 2025 la cual por normativiadad se enviz un listado de estas al OSFEM de manera trimestral en sus tres </w:t>
      </w:r>
      <w:r w:rsidRPr="00DF63A7">
        <w:rPr>
          <w:rFonts w:ascii="Palatino Linotype" w:eastAsia="Palatino Linotype" w:hAnsi="Palatino Linotype" w:cs="Palatino Linotype"/>
          <w:i/>
          <w:iCs/>
          <w:color w:val="000000"/>
        </w:rPr>
        <w:lastRenderedPageBreak/>
        <w:t>modalidades al negarce a presentar la solicutud da efecto que no cuentan con los procedimientos relaizados y justificado.” (Sic)</w:t>
      </w:r>
    </w:p>
    <w:p w14:paraId="29D9DD11"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26028D13"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En dichas condiciones, la </w:t>
      </w:r>
      <w:r w:rsidRPr="00DF63A7">
        <w:rPr>
          <w:rFonts w:ascii="Palatino Linotype" w:eastAsia="Palatino Linotype" w:hAnsi="Palatino Linotype" w:cs="Palatino Linotype"/>
          <w:i/>
          <w:iCs/>
          <w:color w:val="000000"/>
        </w:rPr>
        <w:t>Litis</w:t>
      </w:r>
      <w:r w:rsidRPr="00DF63A7">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DF63A7">
        <w:rPr>
          <w:rFonts w:ascii="Palatino Linotype" w:eastAsia="Palatino Linotype" w:hAnsi="Palatino Linotype" w:cs="Palatino Linotype"/>
          <w:b/>
          <w:bCs/>
          <w:color w:val="000000"/>
        </w:rPr>
        <w:t xml:space="preserve">fracción I </w:t>
      </w:r>
      <w:r w:rsidRPr="00DF63A7">
        <w:rPr>
          <w:rFonts w:ascii="Palatino Linotype" w:eastAsia="Palatino Linotype" w:hAnsi="Palatino Linotype" w:cs="Palatino Linotype"/>
          <w:color w:val="000000"/>
        </w:rPr>
        <w:t>de la Ley</w:t>
      </w:r>
      <w:r w:rsidRPr="00DF63A7">
        <w:rPr>
          <w:rFonts w:ascii="Palatino Linotype" w:eastAsia="Palatino Linotype" w:hAnsi="Palatino Linotype" w:cs="Palatino Linotype"/>
          <w:b/>
          <w:bCs/>
          <w:color w:val="000000"/>
        </w:rPr>
        <w:t xml:space="preserve"> de Transparencia y Acceso a la Información Pública del Estado de </w:t>
      </w:r>
      <w:r w:rsidRPr="00DF63A7">
        <w:rPr>
          <w:rFonts w:ascii="Palatino Linotype" w:eastAsia="Palatino Linotype" w:hAnsi="Palatino Linotype" w:cs="Palatino Linotype"/>
          <w:color w:val="000000"/>
        </w:rPr>
        <w:t>México</w:t>
      </w:r>
      <w:r w:rsidRPr="00DF63A7">
        <w:rPr>
          <w:rFonts w:ascii="Palatino Linotype" w:eastAsia="Palatino Linotype" w:hAnsi="Palatino Linotype" w:cs="Palatino Linotype"/>
          <w:b/>
          <w:bCs/>
          <w:color w:val="000000"/>
        </w:rPr>
        <w:t xml:space="preserve"> y Municipios</w:t>
      </w:r>
      <w:r w:rsidRPr="00DF63A7">
        <w:rPr>
          <w:rFonts w:ascii="Palatino Linotype" w:eastAsia="Palatino Linotype" w:hAnsi="Palatino Linotype" w:cs="Palatino Linotype"/>
          <w:color w:val="000000"/>
        </w:rPr>
        <w:t xml:space="preserve">; fracción que determina la hipótesis jurídica relativa a </w:t>
      </w:r>
      <w:r w:rsidRPr="00DF63A7">
        <w:rPr>
          <w:rFonts w:ascii="Palatino Linotype" w:eastAsia="Palatino Linotype" w:hAnsi="Palatino Linotype" w:cs="Palatino Linotype"/>
          <w:b/>
          <w:bCs/>
          <w:color w:val="000000"/>
        </w:rPr>
        <w:t xml:space="preserve">la negativa a la información solicitada </w:t>
      </w:r>
      <w:r w:rsidRPr="00DF63A7">
        <w:rPr>
          <w:rFonts w:ascii="Palatino Linotype" w:eastAsia="Palatino Linotype" w:hAnsi="Palatino Linotype" w:cs="Palatino Linotype"/>
          <w:color w:val="000000"/>
        </w:rPr>
        <w:t xml:space="preserve">por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contexto del cual se dolió </w:t>
      </w:r>
      <w:r w:rsidRPr="00DF63A7">
        <w:rPr>
          <w:rFonts w:ascii="Palatino Linotype" w:eastAsia="Palatino Linotype" w:hAnsi="Palatino Linotype" w:cs="Palatino Linotype"/>
          <w:b/>
          <w:bCs/>
          <w:color w:val="000000"/>
        </w:rPr>
        <w:t xml:space="preserve">EL RECURRENTE </w:t>
      </w:r>
      <w:r w:rsidRPr="00DF63A7">
        <w:rPr>
          <w:rFonts w:ascii="Palatino Linotype" w:eastAsia="Palatino Linotype" w:hAnsi="Palatino Linotype" w:cs="Palatino Linotype"/>
          <w:color w:val="000000"/>
        </w:rPr>
        <w:t>al momento de interponer su inconformidad.</w:t>
      </w:r>
    </w:p>
    <w:p w14:paraId="4AEAD8B6"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2E888A8C" w14:textId="77777777" w:rsidR="00566CD1"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De modo tal que el recurso de revisión se abocara en determinar si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con su respuesta ciertamente actualiza la causal de procedencia</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2C9B041D" w14:textId="77777777" w:rsidR="00DF63A7" w:rsidRDefault="00DF63A7" w:rsidP="00DF63A7">
      <w:pPr>
        <w:pStyle w:val="Prrafodelista"/>
        <w:rPr>
          <w:rFonts w:ascii="Palatino Linotype" w:eastAsia="Palatino Linotype" w:hAnsi="Palatino Linotype" w:cs="Palatino Linotype"/>
          <w:color w:val="000000"/>
        </w:rPr>
      </w:pPr>
    </w:p>
    <w:p w14:paraId="1D750058" w14:textId="77777777" w:rsidR="00DF63A7" w:rsidRPr="00DF63A7" w:rsidRDefault="00DF63A7"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4737DAD3" w14:textId="77777777" w:rsidR="00566CD1" w:rsidRPr="00DF63A7" w:rsidRDefault="00F83198" w:rsidP="00DF63A7">
      <w:pPr>
        <w:keepNext/>
        <w:keepLines/>
        <w:spacing w:line="360" w:lineRule="auto"/>
        <w:ind w:right="-1134"/>
        <w:rPr>
          <w:rFonts w:ascii="Palatino Linotype" w:eastAsia="Palatino Linotype" w:hAnsi="Palatino Linotype" w:cs="Palatino Linotype"/>
          <w:b/>
          <w:bCs/>
        </w:rPr>
      </w:pPr>
      <w:r w:rsidRPr="00DF63A7">
        <w:rPr>
          <w:rFonts w:ascii="Palatino Linotype" w:eastAsia="Palatino Linotype" w:hAnsi="Palatino Linotype" w:cs="Palatino Linotype"/>
          <w:b/>
          <w:bCs/>
        </w:rPr>
        <w:t>CUARTO. Del estudio y resolución del asunto</w:t>
      </w:r>
    </w:p>
    <w:p w14:paraId="44D2B2CF" w14:textId="77777777" w:rsidR="00566CD1" w:rsidRPr="00DF63A7" w:rsidRDefault="00F83198" w:rsidP="00DF63A7">
      <w:pPr>
        <w:keepNext/>
        <w:keepLines/>
        <w:numPr>
          <w:ilvl w:val="0"/>
          <w:numId w:val="9"/>
        </w:numPr>
        <w:spacing w:after="240" w:line="360" w:lineRule="auto"/>
        <w:ind w:left="786" w:right="-1134"/>
        <w:rPr>
          <w:rFonts w:ascii="Palatino Linotype" w:eastAsia="Palatino Linotype" w:hAnsi="Palatino Linotype" w:cs="Palatino Linotype"/>
          <w:b/>
          <w:bCs/>
        </w:rPr>
      </w:pPr>
      <w:bookmarkStart w:id="9" w:name="_heading=h.1t3h5sf" w:colFirst="0" w:colLast="0"/>
      <w:bookmarkEnd w:id="9"/>
      <w:r w:rsidRPr="00DF63A7">
        <w:rPr>
          <w:rFonts w:ascii="Palatino Linotype" w:eastAsia="Palatino Linotype" w:hAnsi="Palatino Linotype" w:cs="Palatino Linotype"/>
          <w:b/>
          <w:bCs/>
        </w:rPr>
        <w:t>Del derecho de acceso a la información.</w:t>
      </w:r>
    </w:p>
    <w:p w14:paraId="62228717"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sidRPr="00DF63A7">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14:paraId="61A559AA"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1F6DC692" w14:textId="77777777" w:rsidR="00566CD1" w:rsidRPr="00DF63A7" w:rsidRDefault="00F83198" w:rsidP="00DF63A7">
      <w:pPr>
        <w:numPr>
          <w:ilvl w:val="0"/>
          <w:numId w:val="11"/>
        </w:numPr>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Definiendo el Derecho de Acceso a la Información Pública como: </w:t>
      </w:r>
      <w:r w:rsidRPr="00DF63A7">
        <w:rPr>
          <w:rFonts w:ascii="Palatino Linotype" w:eastAsia="Palatino Linotype" w:hAnsi="Palatino Linotype" w:cs="Palatino Linotype"/>
          <w:i/>
          <w:iCs/>
        </w:rPr>
        <w:t>La igualdad de oportunidades para recibir, buscar e impartir información</w:t>
      </w:r>
      <w:r w:rsidRPr="00DF63A7">
        <w:rPr>
          <w:rFonts w:ascii="Palatino Linotype" w:eastAsia="Palatino Linotype" w:hAnsi="Palatino Linotype" w:cs="Palatino Linotype"/>
          <w:i/>
          <w:iCs/>
          <w:vertAlign w:val="superscript"/>
        </w:rPr>
        <w:footnoteReference w:id="1"/>
      </w:r>
      <w:r w:rsidRPr="00DF63A7">
        <w:rPr>
          <w:rFonts w:ascii="Palatino Linotype" w:eastAsia="Palatino Linotype" w:hAnsi="Palatino Linotype" w:cs="Palatino Linotype"/>
          <w:i/>
          <w:iCs/>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F63A7">
        <w:rPr>
          <w:rFonts w:ascii="Palatino Linotype" w:eastAsia="Palatino Linotype" w:hAnsi="Palatino Linotype" w:cs="Palatino Linotype"/>
          <w:i/>
          <w:iCs/>
          <w:vertAlign w:val="superscript"/>
        </w:rPr>
        <w:footnoteReference w:id="2"/>
      </w:r>
      <w:r w:rsidRPr="00DF63A7">
        <w:rPr>
          <w:rFonts w:ascii="Palatino Linotype" w:eastAsia="Palatino Linotype" w:hAnsi="Palatino Linotype" w:cs="Palatino Linotype"/>
        </w:rPr>
        <w:t>que se constituye como una herramienta fundamental para ejercer</w:t>
      </w:r>
      <w:r w:rsidRPr="00DF63A7">
        <w:rPr>
          <w:rFonts w:ascii="Palatino Linotype" w:eastAsia="Palatino Linotype" w:hAnsi="Palatino Linotype" w:cs="Palatino Linotype"/>
          <w:i/>
          <w:iCs/>
        </w:rPr>
        <w:t xml:space="preserve"> el control democrático de las gestiones estatales, de forma tal que puedan cuestionar, indagar y considerar si se está dando un adecuado cumplimiento a las funciones públicas,</w:t>
      </w:r>
      <w:r w:rsidRPr="00DF63A7">
        <w:rPr>
          <w:rFonts w:ascii="Palatino Linotype" w:eastAsia="Palatino Linotype" w:hAnsi="Palatino Linotype" w:cs="Palatino Linotype"/>
          <w:i/>
          <w:iCs/>
          <w:vertAlign w:val="superscript"/>
        </w:rPr>
        <w:footnoteReference w:id="3"/>
      </w:r>
      <w:r w:rsidRPr="00DF63A7">
        <w:rPr>
          <w:rFonts w:ascii="Palatino Linotype" w:eastAsia="Palatino Linotype" w:hAnsi="Palatino Linotype" w:cs="Palatino Linotype"/>
        </w:rPr>
        <w:t>fomentando</w:t>
      </w:r>
      <w:r w:rsidRPr="00DF63A7">
        <w:rPr>
          <w:rFonts w:ascii="Palatino Linotype" w:eastAsia="Palatino Linotype" w:hAnsi="Palatino Linotype" w:cs="Palatino Linotype"/>
          <w:i/>
          <w:iCs/>
        </w:rPr>
        <w:t xml:space="preserve"> la transparencia de las actividades estatales y </w:t>
      </w:r>
      <w:r w:rsidRPr="00DF63A7">
        <w:rPr>
          <w:rFonts w:ascii="Palatino Linotype" w:eastAsia="Palatino Linotype" w:hAnsi="Palatino Linotype" w:cs="Palatino Linotype"/>
        </w:rPr>
        <w:t>promoviendo</w:t>
      </w:r>
      <w:r w:rsidRPr="00DF63A7">
        <w:rPr>
          <w:rFonts w:ascii="Palatino Linotype" w:eastAsia="Palatino Linotype" w:hAnsi="Palatino Linotype" w:cs="Palatino Linotype"/>
          <w:i/>
          <w:iCs/>
        </w:rPr>
        <w:t xml:space="preserve"> la responsabilidad de los funcionarios sobre su gestión pública,</w:t>
      </w:r>
      <w:r w:rsidRPr="00DF63A7">
        <w:rPr>
          <w:rFonts w:ascii="Palatino Linotype" w:eastAsia="Palatino Linotype" w:hAnsi="Palatino Linotype" w:cs="Palatino Linotype"/>
          <w:i/>
          <w:iCs/>
          <w:vertAlign w:val="superscript"/>
        </w:rPr>
        <w:footnoteReference w:id="4"/>
      </w:r>
      <w:r w:rsidRPr="00DF63A7">
        <w:rPr>
          <w:rFonts w:ascii="Palatino Linotype" w:eastAsia="Palatino Linotype" w:hAnsi="Palatino Linotype" w:cs="Palatino Linotype"/>
        </w:rPr>
        <w:t>que permite</w:t>
      </w:r>
      <w:r w:rsidRPr="00DF63A7">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p>
    <w:p w14:paraId="51679386"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0D935645" w14:textId="77777777" w:rsidR="00566CD1" w:rsidRPr="00DF63A7" w:rsidRDefault="00F83198" w:rsidP="00DF63A7">
      <w:pPr>
        <w:numPr>
          <w:ilvl w:val="0"/>
          <w:numId w:val="11"/>
        </w:numPr>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68615FB1" w14:textId="77777777" w:rsidR="00566CD1" w:rsidRPr="00DF63A7" w:rsidRDefault="00566CD1" w:rsidP="00DF63A7">
      <w:pPr>
        <w:ind w:right="-1134"/>
        <w:jc w:val="both"/>
        <w:rPr>
          <w:rFonts w:ascii="Palatino Linotype" w:eastAsia="Palatino Linotype" w:hAnsi="Palatino Linotype" w:cs="Palatino Linotype"/>
        </w:rPr>
      </w:pPr>
    </w:p>
    <w:p w14:paraId="7AA10634" w14:textId="77777777" w:rsidR="00566CD1" w:rsidRPr="00DF63A7" w:rsidRDefault="00F83198" w:rsidP="00DF63A7">
      <w:pPr>
        <w:tabs>
          <w:tab w:val="left" w:pos="7655"/>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r w:rsidRPr="00DF63A7">
        <w:rPr>
          <w:rFonts w:ascii="Palatino Linotype" w:eastAsia="Palatino Linotype" w:hAnsi="Palatino Linotype" w:cs="Palatino Linotype"/>
          <w:b/>
          <w:bCs/>
          <w:i/>
          <w:iCs/>
        </w:rPr>
        <w:t>Artículo 1.-</w:t>
      </w:r>
      <w:r w:rsidRPr="00DF63A7">
        <w:rPr>
          <w:rFonts w:ascii="Palatino Linotype" w:eastAsia="Palatino Linotype" w:hAnsi="Palatino Linotype" w:cs="Palatino Linotype"/>
          <w:i/>
          <w:iCs/>
        </w:rPr>
        <w:t xml:space="preserve"> </w:t>
      </w:r>
    </w:p>
    <w:p w14:paraId="0E77F13B" w14:textId="77777777" w:rsidR="00566CD1" w:rsidRPr="00DF63A7" w:rsidRDefault="00F83198" w:rsidP="00DF63A7">
      <w:pPr>
        <w:tabs>
          <w:tab w:val="left" w:pos="7655"/>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2A6E0D1F" w14:textId="77777777" w:rsidR="00566CD1" w:rsidRPr="00DF63A7" w:rsidRDefault="00F83198" w:rsidP="00DF63A7">
      <w:pPr>
        <w:tabs>
          <w:tab w:val="left" w:pos="7655"/>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lastRenderedPageBreak/>
        <w:t>Todas las</w:t>
      </w:r>
      <w:r w:rsidRPr="00DF63A7">
        <w:rPr>
          <w:rFonts w:ascii="Palatino Linotype" w:eastAsia="Palatino Linotype" w:hAnsi="Palatino Linotype" w:cs="Palatino Linotype"/>
        </w:rPr>
        <w:t xml:space="preserve"> </w:t>
      </w:r>
      <w:r w:rsidRPr="00DF63A7">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AFA29F0" w14:textId="77777777" w:rsidR="00566CD1" w:rsidRPr="00DF63A7" w:rsidRDefault="00F83198" w:rsidP="00DF63A7">
      <w:pPr>
        <w:tabs>
          <w:tab w:val="left" w:pos="7655"/>
        </w:tabs>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i/>
          <w:iCs/>
        </w:rPr>
        <w:t>(…)</w:t>
      </w:r>
      <w:r w:rsidRPr="00DF63A7">
        <w:rPr>
          <w:rFonts w:ascii="Palatino Linotype" w:eastAsia="Palatino Linotype" w:hAnsi="Palatino Linotype" w:cs="Palatino Linotype"/>
        </w:rPr>
        <w:t>”.</w:t>
      </w:r>
    </w:p>
    <w:p w14:paraId="4A27C78F" w14:textId="77777777" w:rsidR="00566CD1" w:rsidRPr="00DF63A7" w:rsidRDefault="00566CD1" w:rsidP="00DF63A7">
      <w:pPr>
        <w:ind w:right="-1134"/>
        <w:jc w:val="both"/>
        <w:rPr>
          <w:rFonts w:ascii="Palatino Linotype" w:eastAsia="Palatino Linotype" w:hAnsi="Palatino Linotype" w:cs="Palatino Linotype"/>
          <w:b/>
          <w:bCs/>
        </w:rPr>
      </w:pPr>
    </w:p>
    <w:p w14:paraId="731F9DF3" w14:textId="77777777" w:rsidR="00566CD1" w:rsidRPr="00DF63A7" w:rsidRDefault="00F83198" w:rsidP="00DF63A7">
      <w:pPr>
        <w:numPr>
          <w:ilvl w:val="0"/>
          <w:numId w:val="11"/>
        </w:numPr>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1EFB6DCA"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2EAF9143" w14:textId="77777777" w:rsidR="00566CD1" w:rsidRPr="00DF63A7" w:rsidRDefault="00F83198" w:rsidP="00DF63A7">
      <w:pPr>
        <w:numPr>
          <w:ilvl w:val="0"/>
          <w:numId w:val="11"/>
        </w:numPr>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06477A1" w14:textId="77777777" w:rsidR="00566CD1" w:rsidRPr="00DF63A7" w:rsidRDefault="00F83198" w:rsidP="00DF63A7">
      <w:pPr>
        <w:spacing w:after="240"/>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Constitución Política de los Estados Unidos Mexicanos</w:t>
      </w:r>
    </w:p>
    <w:p w14:paraId="494E2F7C" w14:textId="77777777" w:rsidR="00566CD1" w:rsidRPr="00DF63A7" w:rsidRDefault="00F83198" w:rsidP="00DF63A7">
      <w:pPr>
        <w:spacing w:before="240" w:after="240"/>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“Artículo 6.</w:t>
      </w:r>
    </w:p>
    <w:p w14:paraId="57807346"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75D32C5A"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Para efectos de lo dispuesto en el presente artículo se observará lo siguiente:</w:t>
      </w:r>
    </w:p>
    <w:p w14:paraId="4159766D" w14:textId="77777777" w:rsidR="00566CD1" w:rsidRPr="00DF63A7" w:rsidRDefault="00F83198" w:rsidP="00DF63A7">
      <w:pPr>
        <w:spacing w:before="240" w:after="240"/>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A</w:t>
      </w:r>
      <w:r w:rsidRPr="00DF63A7">
        <w:rPr>
          <w:rFonts w:ascii="Palatino Linotype" w:eastAsia="Palatino Linotype" w:hAnsi="Palatino Linotype" w:cs="Palatino Linotype"/>
          <w:i/>
          <w:iCs/>
        </w:rPr>
        <w:t xml:space="preserve">. </w:t>
      </w:r>
      <w:r w:rsidRPr="00DF63A7">
        <w:rPr>
          <w:rFonts w:ascii="Palatino Linotype" w:eastAsia="Palatino Linotype" w:hAnsi="Palatino Linotype" w:cs="Palatino Linotype"/>
          <w:b/>
          <w:bCs/>
          <w:i/>
          <w:iCs/>
        </w:rPr>
        <w:t>Para el ejercicio del derecho de acceso a la información</w:t>
      </w:r>
      <w:r w:rsidRPr="00DF63A7">
        <w:rPr>
          <w:rFonts w:ascii="Palatino Linotype" w:eastAsia="Palatino Linotype" w:hAnsi="Palatino Linotype" w:cs="Palatino Linotype"/>
          <w:i/>
          <w:iCs/>
        </w:rPr>
        <w:t xml:space="preserve">, la Federación y </w:t>
      </w:r>
      <w:r w:rsidRPr="00DF63A7">
        <w:rPr>
          <w:rFonts w:ascii="Palatino Linotype" w:eastAsia="Palatino Linotype" w:hAnsi="Palatino Linotype" w:cs="Palatino Linotype"/>
          <w:b/>
          <w:bCs/>
          <w:i/>
          <w:iCs/>
        </w:rPr>
        <w:t>las entidades federativas, en el ámbito de sus respectivas competencias, se regirán por los siguientes principios y bases:</w:t>
      </w:r>
    </w:p>
    <w:p w14:paraId="202105A5"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I. Toda la información en posesión de cualquier</w:t>
      </w:r>
      <w:r w:rsidRPr="00DF63A7">
        <w:rPr>
          <w:rFonts w:ascii="Palatino Linotype" w:eastAsia="Palatino Linotype" w:hAnsi="Palatino Linotype" w:cs="Palatino Linotype"/>
          <w:i/>
          <w:iCs/>
        </w:rPr>
        <w:t xml:space="preserve"> </w:t>
      </w:r>
      <w:r w:rsidRPr="00DF63A7">
        <w:rPr>
          <w:rFonts w:ascii="Palatino Linotype" w:eastAsia="Palatino Linotype" w:hAnsi="Palatino Linotype" w:cs="Palatino Linotype"/>
          <w:b/>
          <w:bCs/>
          <w:i/>
          <w:iCs/>
        </w:rPr>
        <w:t>autoridad</w:t>
      </w:r>
      <w:r w:rsidRPr="00DF63A7">
        <w:rPr>
          <w:rFonts w:ascii="Palatino Linotype" w:eastAsia="Palatino Linotype" w:hAnsi="Palatino Linotype" w:cs="Palatino Linotype"/>
          <w:i/>
          <w:iCs/>
        </w:rPr>
        <w:t xml:space="preserve">, entidad, órgano y organismo de los Poderes Ejecutivo, Legislativo y Judicial, órganos autónomos, partidos políticos, </w:t>
      </w:r>
      <w:r w:rsidRPr="00DF63A7">
        <w:rPr>
          <w:rFonts w:ascii="Palatino Linotype" w:eastAsia="Palatino Linotype" w:hAnsi="Palatino Linotype" w:cs="Palatino Linotype"/>
          <w:i/>
          <w:iCs/>
        </w:rPr>
        <w:lastRenderedPageBreak/>
        <w:t xml:space="preserve">fideicomisos y fondos públicos, así como de cualquier persona física, moral o sindicato que reciba y ejerza recursos públicos o realice actos de autoridad en el ámbito federal, estatal y </w:t>
      </w:r>
      <w:r w:rsidRPr="00DF63A7">
        <w:rPr>
          <w:rFonts w:ascii="Palatino Linotype" w:eastAsia="Palatino Linotype" w:hAnsi="Palatino Linotype" w:cs="Palatino Linotype"/>
          <w:b/>
          <w:bCs/>
          <w:i/>
          <w:iCs/>
        </w:rPr>
        <w:t>municipal</w:t>
      </w:r>
      <w:r w:rsidRPr="00DF63A7">
        <w:rPr>
          <w:rFonts w:ascii="Palatino Linotype" w:eastAsia="Palatino Linotype" w:hAnsi="Palatino Linotype" w:cs="Palatino Linotype"/>
          <w:i/>
          <w:iCs/>
        </w:rPr>
        <w:t xml:space="preserve">, </w:t>
      </w:r>
      <w:r w:rsidRPr="00DF63A7">
        <w:rPr>
          <w:rFonts w:ascii="Palatino Linotype" w:eastAsia="Palatino Linotype" w:hAnsi="Palatino Linotype" w:cs="Palatino Linotype"/>
          <w:b/>
          <w:bCs/>
          <w:i/>
          <w:iCs/>
        </w:rPr>
        <w:t>es pública</w:t>
      </w:r>
      <w:r w:rsidRPr="00DF63A7">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DF63A7">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DF63A7">
        <w:rPr>
          <w:rFonts w:ascii="Palatino Linotype" w:eastAsia="Palatino Linotype" w:hAnsi="Palatino Linotype" w:cs="Palatino Linotype"/>
          <w:i/>
          <w:iCs/>
        </w:rPr>
        <w:t>, la ley determinará los supuestos específicos bajo los cuales procederá la declaración de inexistencia de la información.”</w:t>
      </w:r>
    </w:p>
    <w:p w14:paraId="2DE260D0" w14:textId="77777777" w:rsidR="00566CD1" w:rsidRPr="00DF63A7" w:rsidRDefault="00566CD1" w:rsidP="00DF63A7">
      <w:pPr>
        <w:tabs>
          <w:tab w:val="left" w:pos="567"/>
        </w:tabs>
        <w:spacing w:before="240"/>
        <w:ind w:left="567" w:right="-1134"/>
        <w:jc w:val="both"/>
        <w:rPr>
          <w:rFonts w:ascii="Palatino Linotype" w:eastAsia="Palatino Linotype" w:hAnsi="Palatino Linotype" w:cs="Palatino Linotype"/>
          <w:b/>
          <w:bCs/>
          <w:i/>
          <w:iCs/>
        </w:rPr>
      </w:pPr>
    </w:p>
    <w:p w14:paraId="60A8C52E" w14:textId="77777777" w:rsidR="00566CD1" w:rsidRPr="00DF63A7" w:rsidRDefault="00F83198" w:rsidP="00DF63A7">
      <w:pPr>
        <w:spacing w:after="240"/>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Constitución Política del Estado Libre y Soberano de México</w:t>
      </w:r>
    </w:p>
    <w:p w14:paraId="45A169B3"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“Artículo 5</w:t>
      </w:r>
      <w:r w:rsidRPr="00DF63A7">
        <w:rPr>
          <w:rFonts w:ascii="Palatino Linotype" w:eastAsia="Palatino Linotype" w:hAnsi="Palatino Linotype" w:cs="Palatino Linotype"/>
          <w:i/>
          <w:iCs/>
        </w:rPr>
        <w:t xml:space="preserve">.- </w:t>
      </w:r>
    </w:p>
    <w:p w14:paraId="5C60D8C2"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0A68776D"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DF63A7">
        <w:rPr>
          <w:rFonts w:ascii="Palatino Linotype" w:eastAsia="Palatino Linotype" w:hAnsi="Palatino Linotype" w:cs="Palatino Linotype"/>
          <w:i/>
          <w:iCs/>
        </w:rPr>
        <w:t>.</w:t>
      </w:r>
    </w:p>
    <w:p w14:paraId="64BA481E"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96D9797"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Este derecho se regirá por los principios y bases siguientes</w:t>
      </w:r>
      <w:r w:rsidRPr="00DF63A7">
        <w:rPr>
          <w:rFonts w:ascii="Palatino Linotype" w:eastAsia="Palatino Linotype" w:hAnsi="Palatino Linotype" w:cs="Palatino Linotype"/>
          <w:i/>
          <w:iCs/>
        </w:rPr>
        <w:t>:</w:t>
      </w:r>
    </w:p>
    <w:p w14:paraId="5C5D5CE3" w14:textId="77777777" w:rsidR="00566CD1" w:rsidRPr="00DF63A7" w:rsidRDefault="00F83198" w:rsidP="00DF63A7">
      <w:pPr>
        <w:spacing w:before="240" w:after="240"/>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I. Toda la información en posesión de cualquier autoridad, entidad, órgano y organismos de los</w:t>
      </w:r>
      <w:r w:rsidRPr="00DF63A7">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DF63A7">
        <w:rPr>
          <w:rFonts w:ascii="Palatino Linotype" w:eastAsia="Palatino Linotype" w:hAnsi="Palatino Linotype" w:cs="Palatino Linotype"/>
          <w:b/>
          <w:bCs/>
          <w:i/>
          <w:iCs/>
        </w:rPr>
        <w:t>municipales</w:t>
      </w:r>
      <w:r w:rsidRPr="00DF63A7">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F63A7">
        <w:rPr>
          <w:rFonts w:ascii="Palatino Linotype" w:eastAsia="Palatino Linotype" w:hAnsi="Palatino Linotype" w:cs="Palatino Linotype"/>
          <w:b/>
          <w:bCs/>
          <w:i/>
          <w:iCs/>
        </w:rPr>
        <w:t>es pública</w:t>
      </w:r>
      <w:r w:rsidRPr="00DF63A7">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DF63A7">
        <w:rPr>
          <w:rFonts w:ascii="Palatino Linotype" w:eastAsia="Palatino Linotype" w:hAnsi="Palatino Linotype" w:cs="Palatino Linotype"/>
          <w:b/>
          <w:bCs/>
          <w:i/>
          <w:iCs/>
        </w:rPr>
        <w:t>En la interpretación de este derecho deberá prevalecer el principio de máxima publicidad</w:t>
      </w:r>
      <w:r w:rsidRPr="00DF63A7">
        <w:rPr>
          <w:rFonts w:ascii="Palatino Linotype" w:eastAsia="Palatino Linotype" w:hAnsi="Palatino Linotype" w:cs="Palatino Linotype"/>
          <w:i/>
          <w:iCs/>
        </w:rPr>
        <w:t xml:space="preserve">. </w:t>
      </w:r>
      <w:r w:rsidRPr="00DF63A7">
        <w:rPr>
          <w:rFonts w:ascii="Palatino Linotype" w:eastAsia="Palatino Linotype" w:hAnsi="Palatino Linotype" w:cs="Palatino Linotype"/>
          <w:b/>
          <w:bCs/>
          <w:i/>
          <w:iCs/>
        </w:rPr>
        <w:t xml:space="preserve">Los sujetos obligados deberán documentar todo acto que derive del ejercicio de sus </w:t>
      </w:r>
      <w:r w:rsidRPr="00DF63A7">
        <w:rPr>
          <w:rFonts w:ascii="Palatino Linotype" w:eastAsia="Palatino Linotype" w:hAnsi="Palatino Linotype" w:cs="Palatino Linotype"/>
          <w:b/>
          <w:bCs/>
          <w:i/>
          <w:iCs/>
        </w:rPr>
        <w:lastRenderedPageBreak/>
        <w:t>facultades, competencias o funciones</w:t>
      </w:r>
      <w:r w:rsidRPr="00DF63A7">
        <w:rPr>
          <w:rFonts w:ascii="Palatino Linotype" w:eastAsia="Palatino Linotype" w:hAnsi="Palatino Linotype" w:cs="Palatino Linotype"/>
          <w:i/>
          <w:iCs/>
        </w:rPr>
        <w:t>, la ley determinará los supuestos específicos bajo los cuales procederá la declaración de inexistencia de la información.”</w:t>
      </w:r>
    </w:p>
    <w:p w14:paraId="04C152ED" w14:textId="77777777" w:rsidR="00566CD1" w:rsidRPr="00DF63A7" w:rsidRDefault="00566CD1" w:rsidP="00DF63A7">
      <w:pPr>
        <w:tabs>
          <w:tab w:val="left" w:pos="567"/>
        </w:tabs>
        <w:spacing w:before="240" w:after="240"/>
        <w:ind w:right="-1134"/>
        <w:jc w:val="both"/>
        <w:rPr>
          <w:rFonts w:ascii="Palatino Linotype" w:eastAsia="Palatino Linotype" w:hAnsi="Palatino Linotype" w:cs="Palatino Linotype"/>
          <w:b/>
          <w:bCs/>
          <w:i/>
          <w:iCs/>
        </w:rPr>
      </w:pPr>
    </w:p>
    <w:p w14:paraId="0796F524" w14:textId="77777777" w:rsidR="00566CD1" w:rsidRPr="00DF63A7" w:rsidRDefault="00F83198" w:rsidP="00DF63A7">
      <w:pPr>
        <w:numPr>
          <w:ilvl w:val="0"/>
          <w:numId w:val="11"/>
        </w:numPr>
        <w:spacing w:before="240"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DF63A7">
        <w:rPr>
          <w:rFonts w:ascii="Palatino Linotype" w:eastAsia="Palatino Linotype" w:hAnsi="Palatino Linotype" w:cs="Palatino Linotype"/>
          <w:i/>
          <w:iCs/>
        </w:rPr>
        <w:t>por los principios de simplicidad, rapidez gratuidad del procedimiento, auxilio y orientación a los particulares</w:t>
      </w:r>
      <w:r w:rsidRPr="00DF63A7">
        <w:rPr>
          <w:rFonts w:ascii="Palatino Linotype" w:eastAsia="Palatino Linotype" w:hAnsi="Palatino Linotype" w:cs="Palatino Linotype"/>
        </w:rPr>
        <w:t>, contemplando el derecho de las personas con discapacidad y hablantes de lengua indígena.</w:t>
      </w:r>
    </w:p>
    <w:p w14:paraId="45470B8B"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5192A671" w14:textId="77777777" w:rsidR="00566CD1" w:rsidRPr="00DF63A7" w:rsidRDefault="00F83198" w:rsidP="00DF63A7">
      <w:pPr>
        <w:numPr>
          <w:ilvl w:val="0"/>
          <w:numId w:val="11"/>
        </w:numPr>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El Derecho de Acceso a la Información se garantiza y respeta oportunamente, y según lo que dispone la Ley, las </w:t>
      </w:r>
      <w:r w:rsidRPr="00DF63A7">
        <w:rPr>
          <w:rFonts w:ascii="Palatino Linotype" w:eastAsia="Palatino Linotype" w:hAnsi="Palatino Linotype" w:cs="Palatino Linotype"/>
          <w:i/>
          <w:iCs/>
        </w:rPr>
        <w:t>solicitudes de acceso a la información</w:t>
      </w:r>
      <w:r w:rsidRPr="00DF63A7">
        <w:rPr>
          <w:rFonts w:ascii="Palatino Linotype" w:eastAsia="Palatino Linotype" w:hAnsi="Palatino Linotype" w:cs="Palatino Linotype"/>
        </w:rPr>
        <w:t>.</w:t>
      </w:r>
    </w:p>
    <w:p w14:paraId="020819D1"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0BD31576" w14:textId="77777777" w:rsidR="00566CD1" w:rsidRPr="00DF63A7" w:rsidRDefault="00F83198" w:rsidP="00DF63A7">
      <w:pPr>
        <w:numPr>
          <w:ilvl w:val="0"/>
          <w:numId w:val="11"/>
        </w:numPr>
        <w:spacing w:line="360" w:lineRule="auto"/>
        <w:ind w:left="0" w:right="-1134" w:firstLine="0"/>
        <w:jc w:val="both"/>
        <w:rPr>
          <w:rFonts w:ascii="Palatino Linotype" w:eastAsia="Palatino Linotype" w:hAnsi="Palatino Linotype" w:cs="Palatino Linotype"/>
        </w:rPr>
      </w:pPr>
      <w:bookmarkStart w:id="10" w:name="_heading=h.4d34og8" w:colFirst="0" w:colLast="0"/>
      <w:bookmarkEnd w:id="10"/>
      <w:r w:rsidRPr="00DF63A7">
        <w:rPr>
          <w:rFonts w:ascii="Palatino Linotype" w:eastAsia="Palatino Linotype" w:hAnsi="Palatino Linotype" w:cs="Palatino Linotype"/>
        </w:rPr>
        <w:t xml:space="preserve">Así entonces, se procede analizar, en primer lugar, si el </w:t>
      </w:r>
      <w:r w:rsidRPr="00DF63A7">
        <w:rPr>
          <w:rFonts w:ascii="Palatino Linotype" w:eastAsia="Palatino Linotype" w:hAnsi="Palatino Linotype" w:cs="Palatino Linotype"/>
          <w:b/>
          <w:bCs/>
        </w:rPr>
        <w:t>SUJETO OBLIGADO</w:t>
      </w:r>
      <w:r w:rsidRPr="00DF63A7">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3BEAFBA1"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40C41CF4" w14:textId="77777777" w:rsidR="00566CD1" w:rsidRPr="00DF63A7" w:rsidRDefault="00F83198" w:rsidP="00DF63A7">
      <w:pPr>
        <w:keepNext/>
        <w:keepLines/>
        <w:spacing w:after="240" w:line="360" w:lineRule="auto"/>
        <w:ind w:right="-1134"/>
        <w:rPr>
          <w:rFonts w:ascii="Palatino Linotype" w:eastAsia="Palatino Linotype" w:hAnsi="Palatino Linotype" w:cs="Palatino Linotype"/>
          <w:b/>
          <w:bCs/>
        </w:rPr>
      </w:pPr>
      <w:bookmarkStart w:id="11" w:name="_heading=h.2s8eyo1" w:colFirst="0" w:colLast="0"/>
      <w:bookmarkEnd w:id="11"/>
      <w:r w:rsidRPr="00DF63A7">
        <w:rPr>
          <w:rFonts w:ascii="Palatino Linotype" w:eastAsia="Palatino Linotype" w:hAnsi="Palatino Linotype" w:cs="Palatino Linotype"/>
          <w:b/>
          <w:bCs/>
        </w:rPr>
        <w:t>II. De la información solicitada y la respuesta del SUJETO OBLIGADO</w:t>
      </w:r>
    </w:p>
    <w:p w14:paraId="3E97A684"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Precisado lo anterior, se procede al análisis del requerimiento planteado por la persona solicitante y la respuesta proporcionada por el </w:t>
      </w:r>
      <w:r w:rsidRPr="00DF63A7">
        <w:rPr>
          <w:rFonts w:ascii="Palatino Linotype" w:eastAsia="Palatino Linotype" w:hAnsi="Palatino Linotype" w:cs="Palatino Linotype"/>
          <w:b/>
          <w:bCs/>
        </w:rPr>
        <w:t>SUJETO OBLIGADO</w:t>
      </w:r>
      <w:r w:rsidRPr="00DF63A7">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14:paraId="4094070D"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lastRenderedPageBreak/>
        <w:t>Ahora bien, recapitulando las constancias que integran el expediente electrónico en que se actúa, se tiene que el particular solicitó</w:t>
      </w:r>
      <w:r w:rsidRPr="00DF63A7">
        <w:rPr>
          <w:rFonts w:ascii="Palatino Linotype" w:eastAsia="Palatino Linotype" w:hAnsi="Palatino Linotype" w:cs="Palatino Linotype"/>
          <w:b/>
          <w:bCs/>
          <w:color w:val="000000"/>
        </w:rPr>
        <w:t xml:space="preserve"> del uno de enero al 31 de diciembre de dos mil veinticinco las contrataciones mediante contrato, pedido, adjudicación directa, invitación restringida y licitación pública relacionados con </w:t>
      </w:r>
    </w:p>
    <w:p w14:paraId="09DF4F66" w14:textId="77777777" w:rsidR="00566CD1" w:rsidRPr="00DF63A7" w:rsidRDefault="00F83198" w:rsidP="00DF63A7">
      <w:pPr>
        <w:numPr>
          <w:ilvl w:val="0"/>
          <w:numId w:val="5"/>
        </w:numPr>
        <w:pBdr>
          <w:top w:val="nil"/>
          <w:left w:val="nil"/>
          <w:bottom w:val="nil"/>
          <w:right w:val="nil"/>
          <w:between w:val="nil"/>
        </w:pBdr>
        <w:tabs>
          <w:tab w:val="left" w:pos="426"/>
          <w:tab w:val="left" w:pos="567"/>
        </w:tabs>
        <w:spacing w:line="360" w:lineRule="auto"/>
        <w:ind w:left="708"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Compra de vehículos</w:t>
      </w:r>
    </w:p>
    <w:p w14:paraId="56F5AF14" w14:textId="77777777" w:rsidR="00566CD1" w:rsidRPr="00DF63A7" w:rsidRDefault="00F83198" w:rsidP="00DF63A7">
      <w:pPr>
        <w:numPr>
          <w:ilvl w:val="0"/>
          <w:numId w:val="5"/>
        </w:numPr>
        <w:pBdr>
          <w:top w:val="nil"/>
          <w:left w:val="nil"/>
          <w:bottom w:val="nil"/>
          <w:right w:val="nil"/>
          <w:between w:val="nil"/>
        </w:pBdr>
        <w:tabs>
          <w:tab w:val="left" w:pos="426"/>
          <w:tab w:val="left" w:pos="567"/>
        </w:tabs>
        <w:spacing w:line="360" w:lineRule="auto"/>
        <w:ind w:left="708"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 xml:space="preserve">Feria de Almoloya de Juárez </w:t>
      </w:r>
    </w:p>
    <w:p w14:paraId="2A4A86DB" w14:textId="77777777" w:rsidR="00566CD1" w:rsidRPr="00DF63A7" w:rsidRDefault="00F83198" w:rsidP="00DF63A7">
      <w:pPr>
        <w:numPr>
          <w:ilvl w:val="0"/>
          <w:numId w:val="5"/>
        </w:numPr>
        <w:pBdr>
          <w:top w:val="nil"/>
          <w:left w:val="nil"/>
          <w:bottom w:val="nil"/>
          <w:right w:val="nil"/>
          <w:between w:val="nil"/>
        </w:pBdr>
        <w:tabs>
          <w:tab w:val="left" w:pos="426"/>
          <w:tab w:val="left" w:pos="567"/>
        </w:tabs>
        <w:spacing w:line="360" w:lineRule="auto"/>
        <w:ind w:left="708"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Compra de Tinacos</w:t>
      </w:r>
    </w:p>
    <w:p w14:paraId="08244B51" w14:textId="77777777" w:rsidR="00566CD1" w:rsidRPr="00DF63A7" w:rsidRDefault="00F83198" w:rsidP="00DF63A7">
      <w:pPr>
        <w:numPr>
          <w:ilvl w:val="0"/>
          <w:numId w:val="5"/>
        </w:numPr>
        <w:pBdr>
          <w:top w:val="nil"/>
          <w:left w:val="nil"/>
          <w:bottom w:val="nil"/>
          <w:right w:val="nil"/>
          <w:between w:val="nil"/>
        </w:pBdr>
        <w:tabs>
          <w:tab w:val="left" w:pos="426"/>
          <w:tab w:val="left" w:pos="567"/>
        </w:tabs>
        <w:spacing w:line="360" w:lineRule="auto"/>
        <w:ind w:left="708"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 xml:space="preserve">Compra de Papelería; así como </w:t>
      </w:r>
    </w:p>
    <w:p w14:paraId="736A0809" w14:textId="77777777" w:rsidR="00566CD1" w:rsidRPr="00DF63A7" w:rsidRDefault="00F83198" w:rsidP="00DF63A7">
      <w:pPr>
        <w:numPr>
          <w:ilvl w:val="0"/>
          <w:numId w:val="5"/>
        </w:numPr>
        <w:pBdr>
          <w:top w:val="nil"/>
          <w:left w:val="nil"/>
          <w:bottom w:val="nil"/>
          <w:right w:val="nil"/>
          <w:between w:val="nil"/>
        </w:pBdr>
        <w:tabs>
          <w:tab w:val="left" w:pos="426"/>
          <w:tab w:val="left" w:pos="567"/>
        </w:tabs>
        <w:spacing w:line="360" w:lineRule="auto"/>
        <w:ind w:left="708"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Todos los contratos realizados por la Dirección de Administración y Recursos Materiales</w:t>
      </w:r>
    </w:p>
    <w:p w14:paraId="45C34884"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rPr>
      </w:pPr>
    </w:p>
    <w:p w14:paraId="6FC1C48B"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Al respecto el </w:t>
      </w:r>
      <w:r w:rsidRPr="00DF63A7">
        <w:rPr>
          <w:rFonts w:ascii="Palatino Linotype" w:eastAsia="Palatino Linotype" w:hAnsi="Palatino Linotype" w:cs="Palatino Linotype"/>
          <w:b/>
          <w:bCs/>
        </w:rPr>
        <w:t xml:space="preserve">SUJETO OBLIGADO </w:t>
      </w:r>
      <w:r w:rsidRPr="00DF63A7">
        <w:rPr>
          <w:rFonts w:ascii="Palatino Linotype" w:eastAsia="Palatino Linotype" w:hAnsi="Palatino Linotype" w:cs="Palatino Linotype"/>
        </w:rPr>
        <w:t>informó, por medio del Titular de la Unidad de Transparencia que se encuentran material y jurídicamente impedidos para atender la solicitud, toda vez que la solicitud  no reúne los requisitos mínimos de claridad, precisión y especificidad, exigidos por la normatividad en materia de transparencia y acceso a la información pública, lo que imposibilita realizar una búsqueda razonable, focalizada y eficiente de la información, por lo que se desestima la solicitud en los términos en que fue presentada.</w:t>
      </w:r>
    </w:p>
    <w:p w14:paraId="779E0B78"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color w:val="000000"/>
        </w:rPr>
      </w:pPr>
    </w:p>
    <w:p w14:paraId="052AE7EB"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En consecuencia, el </w:t>
      </w:r>
      <w:r w:rsidRPr="00DF63A7">
        <w:rPr>
          <w:rFonts w:ascii="Palatino Linotype" w:eastAsia="Palatino Linotype" w:hAnsi="Palatino Linotype" w:cs="Palatino Linotype"/>
          <w:b/>
          <w:bCs/>
        </w:rPr>
        <w:t xml:space="preserve">RECURRENTE, </w:t>
      </w:r>
      <w:r w:rsidRPr="00DF63A7">
        <w:rPr>
          <w:rFonts w:ascii="Palatino Linotype" w:eastAsia="Palatino Linotype" w:hAnsi="Palatino Linotype" w:cs="Palatino Linotype"/>
        </w:rPr>
        <w:t xml:space="preserve">se inconformó </w:t>
      </w:r>
      <w:r w:rsidRPr="00DF63A7">
        <w:rPr>
          <w:rFonts w:ascii="Palatino Linotype" w:eastAsia="Palatino Linotype" w:hAnsi="Palatino Linotype" w:cs="Palatino Linotype"/>
          <w:b/>
          <w:bCs/>
        </w:rPr>
        <w:t xml:space="preserve">por la negativa a la información solicitada, </w:t>
      </w:r>
      <w:r w:rsidRPr="00DF63A7">
        <w:rPr>
          <w:rFonts w:ascii="Palatino Linotype" w:eastAsia="Palatino Linotype" w:hAnsi="Palatino Linotype" w:cs="Palatino Linotype"/>
        </w:rPr>
        <w:t xml:space="preserve">por el </w:t>
      </w:r>
      <w:r w:rsidRPr="00DF63A7">
        <w:rPr>
          <w:rFonts w:ascii="Palatino Linotype" w:eastAsia="Palatino Linotype" w:hAnsi="Palatino Linotype" w:cs="Palatino Linotype"/>
          <w:b/>
          <w:bCs/>
        </w:rPr>
        <w:t xml:space="preserve">SUJETO OBLIGADO. </w:t>
      </w:r>
    </w:p>
    <w:p w14:paraId="5A0FD672"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2CA2B679"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Al respecto, resulta necesario traer al estudio los señalado en los artículos 29 y 31 del Bando Municipal de Almoloya de Juárez, que a la letra señala:</w:t>
      </w:r>
    </w:p>
    <w:p w14:paraId="793EF860"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b/>
          <w:bCs/>
          <w:i/>
          <w:iCs/>
        </w:rPr>
        <w:lastRenderedPageBreak/>
        <w:t xml:space="preserve">Artículo </w:t>
      </w:r>
      <w:r w:rsidRPr="00DF63A7">
        <w:rPr>
          <w:rFonts w:ascii="Palatino Linotype" w:eastAsia="Palatino Linotype" w:hAnsi="Palatino Linotype" w:cs="Palatino Linotype"/>
          <w:b/>
          <w:bCs/>
          <w:i/>
          <w:iCs/>
          <w:highlight w:val="white"/>
        </w:rPr>
        <w:t>29.-</w:t>
      </w:r>
      <w:r w:rsidRPr="00DF63A7">
        <w:rPr>
          <w:rFonts w:ascii="Palatino Linotype" w:eastAsia="Palatino Linotype" w:hAnsi="Palatino Linotype" w:cs="Palatino Linotype"/>
          <w:i/>
          <w:iCs/>
          <w:highlight w:val="white"/>
        </w:rPr>
        <w:t xml:space="preserve"> El Ayuntamiento tomará sus decisiones por deliberación y mayoría de votos, y sus integrantes son: </w:t>
      </w:r>
    </w:p>
    <w:p w14:paraId="7FCB7275"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I.- Un Presidente Municipal; </w:t>
      </w:r>
    </w:p>
    <w:p w14:paraId="3AF2EED0" w14:textId="77777777" w:rsidR="00566CD1" w:rsidRPr="00DF63A7" w:rsidRDefault="00F83198" w:rsidP="00DF63A7">
      <w:pPr>
        <w:ind w:left="567" w:right="-1134"/>
        <w:jc w:val="both"/>
        <w:rPr>
          <w:rFonts w:ascii="Palatino Linotype" w:eastAsia="Palatino Linotype" w:hAnsi="Palatino Linotype" w:cs="Palatino Linotype"/>
          <w:b/>
          <w:bCs/>
          <w:i/>
          <w:iCs/>
          <w:highlight w:val="white"/>
          <w:u w:val="single"/>
        </w:rPr>
      </w:pPr>
      <w:r w:rsidRPr="00DF63A7">
        <w:rPr>
          <w:rFonts w:ascii="Palatino Linotype" w:eastAsia="Palatino Linotype" w:hAnsi="Palatino Linotype" w:cs="Palatino Linotype"/>
          <w:b/>
          <w:bCs/>
          <w:i/>
          <w:iCs/>
          <w:highlight w:val="white"/>
          <w:u w:val="single"/>
        </w:rPr>
        <w:t xml:space="preserve">II.- Un Síndico Municipal; </w:t>
      </w:r>
    </w:p>
    <w:p w14:paraId="14C0623B" w14:textId="77777777" w:rsidR="00566CD1" w:rsidRPr="00DF63A7" w:rsidRDefault="00F83198" w:rsidP="00DF63A7">
      <w:pPr>
        <w:ind w:left="567" w:right="-1134"/>
        <w:jc w:val="both"/>
        <w:rPr>
          <w:rFonts w:ascii="Palatino Linotype" w:eastAsia="Palatino Linotype" w:hAnsi="Palatino Linotype" w:cs="Palatino Linotype"/>
          <w:b/>
          <w:bCs/>
          <w:i/>
          <w:iCs/>
          <w:highlight w:val="white"/>
        </w:rPr>
      </w:pPr>
      <w:r w:rsidRPr="00DF63A7">
        <w:rPr>
          <w:rFonts w:ascii="Palatino Linotype" w:eastAsia="Palatino Linotype" w:hAnsi="Palatino Linotype" w:cs="Palatino Linotype"/>
          <w:b/>
          <w:bCs/>
          <w:i/>
          <w:iCs/>
          <w:highlight w:val="white"/>
        </w:rPr>
        <w:t>III.- Nueve Regidores</w:t>
      </w:r>
    </w:p>
    <w:p w14:paraId="33851B8B" w14:textId="77777777" w:rsidR="00566CD1" w:rsidRPr="00DF63A7" w:rsidRDefault="00566CD1" w:rsidP="00DF63A7">
      <w:pPr>
        <w:ind w:left="567" w:right="-1134"/>
        <w:jc w:val="both"/>
        <w:rPr>
          <w:rFonts w:ascii="Palatino Linotype" w:eastAsia="Palatino Linotype" w:hAnsi="Palatino Linotype" w:cs="Palatino Linotype"/>
          <w:i/>
          <w:iCs/>
          <w:highlight w:val="white"/>
        </w:rPr>
      </w:pPr>
    </w:p>
    <w:p w14:paraId="147E807C"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b/>
          <w:bCs/>
          <w:i/>
          <w:iCs/>
          <w:highlight w:val="white"/>
        </w:rPr>
        <w:t>Artículo 31.-</w:t>
      </w:r>
      <w:r w:rsidRPr="00DF63A7">
        <w:rPr>
          <w:rFonts w:ascii="Palatino Linotype" w:eastAsia="Palatino Linotype" w:hAnsi="Palatino Linotype" w:cs="Palatino Linotype"/>
          <w:i/>
          <w:iCs/>
          <w:highlight w:val="white"/>
        </w:rPr>
        <w:t xml:space="preserve"> Para el ejercicio de sus atribuciones, tanto el Ayuntamiento como el presidente municipal se auxiliarán de las siguientes instituciones:</w:t>
      </w:r>
    </w:p>
    <w:p w14:paraId="5413D87B" w14:textId="77777777" w:rsidR="00566CD1" w:rsidRPr="00DF63A7" w:rsidRDefault="00566CD1" w:rsidP="00DF63A7">
      <w:pPr>
        <w:ind w:left="567" w:right="-1134"/>
        <w:jc w:val="both"/>
        <w:rPr>
          <w:rFonts w:ascii="Palatino Linotype" w:eastAsia="Palatino Linotype" w:hAnsi="Palatino Linotype" w:cs="Palatino Linotype"/>
          <w:i/>
          <w:iCs/>
          <w:highlight w:val="white"/>
        </w:rPr>
      </w:pPr>
    </w:p>
    <w:p w14:paraId="1864D2CF" w14:textId="77777777" w:rsidR="00566CD1" w:rsidRPr="00DF63A7" w:rsidRDefault="00F83198" w:rsidP="00DF63A7">
      <w:pPr>
        <w:ind w:left="567" w:right="-1134"/>
        <w:jc w:val="both"/>
        <w:rPr>
          <w:rFonts w:ascii="Palatino Linotype" w:eastAsia="Palatino Linotype" w:hAnsi="Palatino Linotype" w:cs="Palatino Linotype"/>
          <w:b/>
          <w:bCs/>
          <w:i/>
          <w:iCs/>
          <w:highlight w:val="white"/>
        </w:rPr>
      </w:pPr>
      <w:r w:rsidRPr="00DF63A7">
        <w:rPr>
          <w:rFonts w:ascii="Palatino Linotype" w:eastAsia="Palatino Linotype" w:hAnsi="Palatino Linotype" w:cs="Palatino Linotype"/>
          <w:b/>
          <w:bCs/>
          <w:i/>
          <w:iCs/>
          <w:highlight w:val="white"/>
        </w:rPr>
        <w:t xml:space="preserve">a) Organismos Descentralizados: </w:t>
      </w:r>
    </w:p>
    <w:p w14:paraId="6EF806CB"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Instituto Municipal de Cultura Física y Deporte de Almoloya de Juárez </w:t>
      </w:r>
    </w:p>
    <w:p w14:paraId="3C299168"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Sistema Municipal para el Desarrollo Integral de la Familia de Almoloya de Juárez </w:t>
      </w:r>
    </w:p>
    <w:p w14:paraId="21BC1FC5"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Organismo Público Descentralizado para la prestación de servicios de Agua Potable, Drenaje y Tratamiento de Aguas Residuales de Almoloya de Juárez</w:t>
      </w:r>
    </w:p>
    <w:p w14:paraId="491B8C00" w14:textId="77777777" w:rsidR="00566CD1" w:rsidRPr="00DF63A7" w:rsidRDefault="00F83198" w:rsidP="00DF63A7">
      <w:pPr>
        <w:ind w:left="567" w:right="-1134"/>
        <w:jc w:val="both"/>
        <w:rPr>
          <w:rFonts w:ascii="Palatino Linotype" w:eastAsia="Palatino Linotype" w:hAnsi="Palatino Linotype" w:cs="Palatino Linotype"/>
          <w:b/>
          <w:bCs/>
          <w:i/>
          <w:iCs/>
          <w:highlight w:val="white"/>
        </w:rPr>
      </w:pPr>
      <w:r w:rsidRPr="00DF63A7">
        <w:rPr>
          <w:rFonts w:ascii="Palatino Linotype" w:eastAsia="Palatino Linotype" w:hAnsi="Palatino Linotype" w:cs="Palatino Linotype"/>
          <w:b/>
          <w:bCs/>
          <w:i/>
          <w:iCs/>
          <w:highlight w:val="white"/>
        </w:rPr>
        <w:t xml:space="preserve">b) Organismos Desconcentrados: </w:t>
      </w:r>
    </w:p>
    <w:p w14:paraId="40D6C81F"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Instituto Municipal de Planeación de Almoloya de Juárez </w:t>
      </w:r>
    </w:p>
    <w:p w14:paraId="0AC82B3A"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Instituto Municipal de la Juventud de Almoloya de Juárez </w:t>
      </w:r>
    </w:p>
    <w:p w14:paraId="3C2EFB01"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Instituto Municipal de la Mujer de Almoloya de Juárez</w:t>
      </w:r>
    </w:p>
    <w:p w14:paraId="71603246" w14:textId="77777777" w:rsidR="00566CD1" w:rsidRPr="00DF63A7" w:rsidRDefault="00F83198" w:rsidP="00DF63A7">
      <w:pPr>
        <w:ind w:left="567" w:right="-1134"/>
        <w:jc w:val="both"/>
        <w:rPr>
          <w:rFonts w:ascii="Palatino Linotype" w:eastAsia="Palatino Linotype" w:hAnsi="Palatino Linotype" w:cs="Palatino Linotype"/>
          <w:b/>
          <w:bCs/>
          <w:i/>
          <w:iCs/>
          <w:highlight w:val="white"/>
        </w:rPr>
      </w:pPr>
      <w:r w:rsidRPr="00DF63A7">
        <w:rPr>
          <w:rFonts w:ascii="Palatino Linotype" w:eastAsia="Palatino Linotype" w:hAnsi="Palatino Linotype" w:cs="Palatino Linotype"/>
          <w:b/>
          <w:bCs/>
          <w:i/>
          <w:iCs/>
          <w:highlight w:val="white"/>
        </w:rPr>
        <w:t xml:space="preserve">c) Organismo Autónomo: </w:t>
      </w:r>
    </w:p>
    <w:p w14:paraId="12758A43"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Defensoría Municipal de los Derechos Humanos de Almoloya de Juárez </w:t>
      </w:r>
    </w:p>
    <w:p w14:paraId="4245F64B" w14:textId="77777777" w:rsidR="00566CD1" w:rsidRPr="00DF63A7" w:rsidRDefault="00F83198" w:rsidP="00DF63A7">
      <w:pPr>
        <w:ind w:left="567" w:right="-1134"/>
        <w:jc w:val="both"/>
        <w:rPr>
          <w:rFonts w:ascii="Palatino Linotype" w:eastAsia="Palatino Linotype" w:hAnsi="Palatino Linotype" w:cs="Palatino Linotype"/>
          <w:b/>
          <w:bCs/>
          <w:i/>
          <w:iCs/>
          <w:highlight w:val="white"/>
        </w:rPr>
      </w:pPr>
      <w:r w:rsidRPr="00DF63A7">
        <w:rPr>
          <w:rFonts w:ascii="Palatino Linotype" w:eastAsia="Palatino Linotype" w:hAnsi="Palatino Linotype" w:cs="Palatino Linotype"/>
          <w:b/>
          <w:bCs/>
          <w:i/>
          <w:iCs/>
          <w:highlight w:val="white"/>
        </w:rPr>
        <w:t xml:space="preserve">d) Unidades Administrativas: </w:t>
      </w:r>
    </w:p>
    <w:p w14:paraId="11067FCE" w14:textId="77777777" w:rsidR="00566CD1" w:rsidRPr="00DF63A7" w:rsidRDefault="00F83198" w:rsidP="00DF63A7">
      <w:pPr>
        <w:ind w:left="567" w:right="-1134"/>
        <w:jc w:val="both"/>
        <w:rPr>
          <w:rFonts w:ascii="Palatino Linotype" w:eastAsia="Palatino Linotype" w:hAnsi="Palatino Linotype" w:cs="Palatino Linotype"/>
          <w:b/>
          <w:bCs/>
          <w:i/>
          <w:iCs/>
          <w:highlight w:val="white"/>
        </w:rPr>
      </w:pPr>
      <w:r w:rsidRPr="00DF63A7">
        <w:rPr>
          <w:rFonts w:ascii="Palatino Linotype" w:eastAsia="Palatino Linotype" w:hAnsi="Palatino Linotype" w:cs="Palatino Linotype"/>
          <w:b/>
          <w:bCs/>
          <w:i/>
          <w:iCs/>
          <w:highlight w:val="white"/>
        </w:rPr>
        <w:t xml:space="preserve">● Secretaría del Ayuntamiento; </w:t>
      </w:r>
    </w:p>
    <w:p w14:paraId="4161AC2C"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Órgano Interno de Control Municipal; </w:t>
      </w:r>
    </w:p>
    <w:p w14:paraId="5B16DF83" w14:textId="77777777" w:rsidR="00566CD1" w:rsidRPr="00DF63A7" w:rsidRDefault="00F83198" w:rsidP="00DF63A7">
      <w:pPr>
        <w:ind w:left="567" w:right="-1134"/>
        <w:jc w:val="both"/>
        <w:rPr>
          <w:rFonts w:ascii="Palatino Linotype" w:eastAsia="Palatino Linotype" w:hAnsi="Palatino Linotype" w:cs="Palatino Linotype"/>
          <w:b/>
          <w:bCs/>
          <w:i/>
          <w:iCs/>
          <w:highlight w:val="white"/>
          <w:u w:val="single"/>
        </w:rPr>
      </w:pPr>
      <w:r w:rsidRPr="00DF63A7">
        <w:rPr>
          <w:rFonts w:ascii="Palatino Linotype" w:eastAsia="Palatino Linotype" w:hAnsi="Palatino Linotype" w:cs="Palatino Linotype"/>
          <w:b/>
          <w:bCs/>
          <w:i/>
          <w:iCs/>
          <w:highlight w:val="white"/>
          <w:u w:val="single"/>
        </w:rPr>
        <w:t>● Tesorería Municipal</w:t>
      </w:r>
    </w:p>
    <w:p w14:paraId="17898207"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Consejería Jurídica </w:t>
      </w:r>
    </w:p>
    <w:p w14:paraId="114E0D6E" w14:textId="77777777" w:rsidR="00566CD1" w:rsidRPr="00DF63A7" w:rsidRDefault="00F83198" w:rsidP="00DF63A7">
      <w:pPr>
        <w:ind w:left="567" w:right="-1134"/>
        <w:jc w:val="both"/>
        <w:rPr>
          <w:rFonts w:ascii="Palatino Linotype" w:eastAsia="Palatino Linotype" w:hAnsi="Palatino Linotype" w:cs="Palatino Linotype"/>
          <w:b/>
          <w:bCs/>
          <w:i/>
          <w:iCs/>
          <w:highlight w:val="white"/>
        </w:rPr>
      </w:pPr>
      <w:r w:rsidRPr="00DF63A7">
        <w:rPr>
          <w:rFonts w:ascii="Palatino Linotype" w:eastAsia="Palatino Linotype" w:hAnsi="Palatino Linotype" w:cs="Palatino Linotype"/>
          <w:b/>
          <w:bCs/>
          <w:i/>
          <w:iCs/>
          <w:highlight w:val="white"/>
        </w:rPr>
        <w:t xml:space="preserve">● </w:t>
      </w:r>
      <w:r w:rsidRPr="00DF63A7">
        <w:rPr>
          <w:rFonts w:ascii="Palatino Linotype" w:eastAsia="Palatino Linotype" w:hAnsi="Palatino Linotype" w:cs="Palatino Linotype"/>
          <w:b/>
          <w:bCs/>
          <w:i/>
          <w:iCs/>
          <w:highlight w:val="white"/>
          <w:u w:val="single"/>
        </w:rPr>
        <w:t>Dirección de Obras Públicas</w:t>
      </w:r>
      <w:r w:rsidRPr="00DF63A7">
        <w:rPr>
          <w:rFonts w:ascii="Palatino Linotype" w:eastAsia="Palatino Linotype" w:hAnsi="Palatino Linotype" w:cs="Palatino Linotype"/>
          <w:b/>
          <w:bCs/>
          <w:i/>
          <w:iCs/>
          <w:highlight w:val="white"/>
        </w:rPr>
        <w:t xml:space="preserve"> </w:t>
      </w:r>
    </w:p>
    <w:p w14:paraId="7A65E1FD"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 Dirección de Desarrollo Urbano </w:t>
      </w:r>
    </w:p>
    <w:p w14:paraId="319BAD7C"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rPr>
        <w:t>● D</w:t>
      </w:r>
      <w:r w:rsidRPr="00DF63A7">
        <w:rPr>
          <w:rFonts w:ascii="Palatino Linotype" w:eastAsia="Palatino Linotype" w:hAnsi="Palatino Linotype" w:cs="Palatino Linotype"/>
          <w:i/>
          <w:iCs/>
          <w:highlight w:val="white"/>
        </w:rPr>
        <w:t xml:space="preserve">irección del Campo, Bienestar y Pueblos Originarios. </w:t>
      </w:r>
    </w:p>
    <w:p w14:paraId="3C5B2A37"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Dirección de Desarrollo Económico </w:t>
      </w:r>
    </w:p>
    <w:p w14:paraId="106F545A" w14:textId="77777777" w:rsidR="00566CD1" w:rsidRPr="00DF63A7" w:rsidRDefault="00F83198" w:rsidP="00DF63A7">
      <w:pPr>
        <w:ind w:left="567" w:right="-1134"/>
        <w:jc w:val="both"/>
        <w:rPr>
          <w:rFonts w:ascii="Palatino Linotype" w:eastAsia="Palatino Linotype" w:hAnsi="Palatino Linotype" w:cs="Palatino Linotype"/>
          <w:b/>
          <w:bCs/>
          <w:i/>
          <w:iCs/>
          <w:highlight w:val="white"/>
          <w:u w:val="single"/>
        </w:rPr>
      </w:pPr>
      <w:r w:rsidRPr="00DF63A7">
        <w:rPr>
          <w:rFonts w:ascii="Palatino Linotype" w:eastAsia="Palatino Linotype" w:hAnsi="Palatino Linotype" w:cs="Palatino Linotype"/>
          <w:b/>
          <w:bCs/>
          <w:i/>
          <w:iCs/>
          <w:highlight w:val="white"/>
          <w:u w:val="single"/>
        </w:rPr>
        <w:t xml:space="preserve">● Dirección de Administración </w:t>
      </w:r>
    </w:p>
    <w:p w14:paraId="1A03C868" w14:textId="77777777" w:rsidR="00566CD1" w:rsidRPr="00DF63A7" w:rsidRDefault="00F83198" w:rsidP="00DF63A7">
      <w:pPr>
        <w:ind w:left="567" w:right="-1134"/>
        <w:jc w:val="both"/>
        <w:rPr>
          <w:rFonts w:ascii="Palatino Linotype" w:eastAsia="Palatino Linotype" w:hAnsi="Palatino Linotype" w:cs="Palatino Linotype"/>
          <w:i/>
          <w:iCs/>
          <w:highlight w:val="white"/>
        </w:rPr>
      </w:pPr>
      <w:r w:rsidRPr="00DF63A7">
        <w:rPr>
          <w:rFonts w:ascii="Palatino Linotype" w:eastAsia="Palatino Linotype" w:hAnsi="Palatino Linotype" w:cs="Palatino Linotype"/>
          <w:i/>
          <w:iCs/>
          <w:highlight w:val="white"/>
        </w:rPr>
        <w:t xml:space="preserve">● Dirección de Medio Ambiente </w:t>
      </w:r>
    </w:p>
    <w:p w14:paraId="1E2BEABE"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highlight w:val="white"/>
        </w:rPr>
        <w:t>● Dirección de Seguridad Pública M</w:t>
      </w:r>
      <w:r w:rsidRPr="00DF63A7">
        <w:rPr>
          <w:rFonts w:ascii="Palatino Linotype" w:eastAsia="Palatino Linotype" w:hAnsi="Palatino Linotype" w:cs="Palatino Linotype"/>
          <w:i/>
          <w:iCs/>
        </w:rPr>
        <w:t xml:space="preserve">unicipal. </w:t>
      </w:r>
    </w:p>
    <w:p w14:paraId="15D92DE7"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 Dirección de Gobernación </w:t>
      </w:r>
    </w:p>
    <w:p w14:paraId="47C2B735"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Dirección de Conservación y Servicios Metropolitanos</w:t>
      </w:r>
    </w:p>
    <w:p w14:paraId="13FB4040"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 ● Coordinación Municipal de Protección Civil </w:t>
      </w:r>
    </w:p>
    <w:p w14:paraId="28DCA27B"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lastRenderedPageBreak/>
        <w:t xml:space="preserve">● Cronista Municipal </w:t>
      </w:r>
    </w:p>
    <w:p w14:paraId="33520A3F"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 Oficialías del Registro Civil </w:t>
      </w:r>
    </w:p>
    <w:p w14:paraId="6D5FEA40"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 Juzgado Cívico </w:t>
      </w:r>
    </w:p>
    <w:p w14:paraId="13AA9183"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●Secretaria del Consejo Municipal de Seguridad Pública. </w:t>
      </w:r>
    </w:p>
    <w:p w14:paraId="119D1699"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 Secretaría Particular. </w:t>
      </w:r>
    </w:p>
    <w:p w14:paraId="5278B469"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Secretaría Técnica</w:t>
      </w:r>
    </w:p>
    <w:p w14:paraId="7BAE0F43" w14:textId="77777777" w:rsidR="00566CD1" w:rsidRPr="00DF63A7" w:rsidRDefault="00566CD1" w:rsidP="00DF63A7">
      <w:pPr>
        <w:spacing w:line="360" w:lineRule="auto"/>
        <w:ind w:right="-1134"/>
        <w:jc w:val="both"/>
      </w:pPr>
    </w:p>
    <w:p w14:paraId="5F8C657D"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De lo anterior, se advierte que la información requerida por el particular podría obrar en la Sindicatura Municipal, Tesorería, Dirección de Obras Públicas y la Dirección de Administración, Unidades Administrativas que de acuerdo a sus funciones y atribuciones, pudieran generar, poseer y administrar la información.</w:t>
      </w:r>
    </w:p>
    <w:p w14:paraId="281E58D5"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2F42B6DA"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Al respecto el Manual General de Organización de la Administración Municipal de Almoloya de Juárez, establece las funciones y obligaciones con las que cuenta la Tesorería, Dirección de Obras Públicas y la Dirección de Administración, estableciendo lo siguiente:</w:t>
      </w:r>
    </w:p>
    <w:p w14:paraId="2D6D8A02"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color w:val="000000"/>
        </w:rPr>
      </w:pPr>
    </w:p>
    <w:p w14:paraId="5E544D22" w14:textId="77777777" w:rsidR="00566CD1" w:rsidRPr="00DF63A7" w:rsidRDefault="00F83198" w:rsidP="00DF63A7">
      <w:pPr>
        <w:pBdr>
          <w:top w:val="nil"/>
          <w:left w:val="nil"/>
          <w:bottom w:val="nil"/>
          <w:right w:val="nil"/>
          <w:between w:val="nil"/>
        </w:pBdr>
        <w:ind w:left="567" w:right="-1134"/>
        <w:jc w:val="center"/>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color w:val="000000"/>
        </w:rPr>
        <w:t>TESORERÍA MUNICIPAL</w:t>
      </w:r>
    </w:p>
    <w:p w14:paraId="63200C75" w14:textId="77777777" w:rsidR="00566CD1" w:rsidRPr="00DF63A7" w:rsidRDefault="00566CD1"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p>
    <w:p w14:paraId="5F8ACF0D"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color w:val="000000"/>
        </w:rPr>
        <w:t xml:space="preserve">FUNCIONES: </w:t>
      </w:r>
    </w:p>
    <w:p w14:paraId="6B360ACC"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color w:val="000000"/>
        </w:rPr>
        <w:t>∙</w:t>
      </w:r>
      <w:r w:rsidRPr="00DF63A7">
        <w:rPr>
          <w:rFonts w:ascii="Palatino Linotype" w:eastAsia="Palatino Linotype" w:hAnsi="Palatino Linotype" w:cs="Palatino Linotype"/>
          <w:i/>
          <w:iCs/>
          <w:color w:val="000000"/>
        </w:rPr>
        <w:t xml:space="preserve"> Integrar en coordinación con la Subdirección de Ingresos y la Subdirección de Egresos, así como en coordinación con las dependencias de la Administración Pública Municipal los informes mensuales y la cuenta Pública Municipal que se remite al Órgano Superior de Fiscalización del Estado de México, </w:t>
      </w:r>
    </w:p>
    <w:p w14:paraId="13493597"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color w:val="000000"/>
        </w:rPr>
        <w:t>∙</w:t>
      </w:r>
      <w:r w:rsidRPr="00DF63A7">
        <w:rPr>
          <w:rFonts w:ascii="Palatino Linotype" w:eastAsia="Palatino Linotype" w:hAnsi="Palatino Linotype" w:cs="Palatino Linotype"/>
          <w:i/>
          <w:iCs/>
          <w:color w:val="000000"/>
        </w:rPr>
        <w:t xml:space="preserve"> Integrar y revisar en coordinación con las dependencias de la Administración Pública Municipal, el presupuesto de ingresos y egresos del ejercicio inmediato posterior, presentándolo al Cabildo para su aprobación dentro de los plazos señalados en las normas aplicables, y sugerir las modificaciones en caso necesario; </w:t>
      </w:r>
    </w:p>
    <w:p w14:paraId="7A999088"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color w:val="000000"/>
        </w:rPr>
        <w:t>∙</w:t>
      </w:r>
      <w:r w:rsidRPr="00DF63A7">
        <w:rPr>
          <w:rFonts w:ascii="Palatino Linotype" w:eastAsia="Palatino Linotype" w:hAnsi="Palatino Linotype" w:cs="Palatino Linotype"/>
          <w:i/>
          <w:iCs/>
          <w:color w:val="000000"/>
        </w:rPr>
        <w:t xml:space="preserve"> Revisar que las áreas de ingresos cumplan con los servicios relacionados con la recaudación, concentración, administración y custodia de fondos y valores, así como la realización de los depósitos bancarios a las instituciones bancarias correspondientes;</w:t>
      </w:r>
    </w:p>
    <w:p w14:paraId="704AB7D3"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color w:val="000000"/>
        </w:rPr>
        <w:lastRenderedPageBreak/>
        <w:t>∙</w:t>
      </w:r>
      <w:r w:rsidRPr="00DF63A7">
        <w:rPr>
          <w:rFonts w:ascii="Palatino Linotype" w:eastAsia="Palatino Linotype" w:hAnsi="Palatino Linotype" w:cs="Palatino Linotype"/>
          <w:i/>
          <w:iCs/>
          <w:color w:val="000000"/>
        </w:rPr>
        <w:t xml:space="preserve"> Autorizar la distribución de las formas numeradas y valoradas que se utilicen para la recaudación de los ingresos públicos y para el pago de las obligaciones a cargo de la Hacienda Pública Municipal; </w:t>
      </w:r>
    </w:p>
    <w:p w14:paraId="7D7B14C2"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color w:val="000000"/>
        </w:rPr>
        <w:t>∙</w:t>
      </w:r>
      <w:r w:rsidRPr="00DF63A7">
        <w:rPr>
          <w:rFonts w:ascii="Palatino Linotype" w:eastAsia="Palatino Linotype" w:hAnsi="Palatino Linotype" w:cs="Palatino Linotype"/>
          <w:i/>
          <w:iCs/>
          <w:color w:val="000000"/>
        </w:rPr>
        <w:t xml:space="preserve"> Liberar los recursos financieros de conformidad en los montos establecidos en el presupuesto de egresos, estipulando los requisitos mediante reglas de carácter general que deberán cumplir las dependencias de la Administración Pública Municipal; </w:t>
      </w:r>
    </w:p>
    <w:p w14:paraId="75D84119"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w:t>
      </w:r>
    </w:p>
    <w:p w14:paraId="04464835"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Revisar los movimientos contables, financieros, administrativos de los ingresos y egresos de la administración pública municipal; </w:t>
      </w:r>
    </w:p>
    <w:p w14:paraId="174CD0EE"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78F7EC5C"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Autorizar y verificar la reasignación de los recursos presupuestarios, mediante el dictamen correspondiente y verificar su integración en los informes mensuales; y </w:t>
      </w:r>
    </w:p>
    <w:p w14:paraId="5A338493"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rPr>
        <w:t>∙</w:t>
      </w:r>
      <w:r w:rsidRPr="00DF63A7">
        <w:rPr>
          <w:rFonts w:ascii="Palatino Linotype" w:eastAsia="Palatino Linotype" w:hAnsi="Palatino Linotype" w:cs="Palatino Linotype"/>
          <w:i/>
          <w:iCs/>
        </w:rPr>
        <w:t xml:space="preserve"> Desarrollar las demás funciones inherentes al ámbito de su competencia.</w:t>
      </w:r>
    </w:p>
    <w:p w14:paraId="0571DEB0" w14:textId="77777777" w:rsidR="00566CD1" w:rsidRPr="00DF63A7" w:rsidRDefault="00566CD1"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p>
    <w:p w14:paraId="7C78ACE6" w14:textId="77777777" w:rsidR="00566CD1" w:rsidRPr="00DF63A7" w:rsidRDefault="00F83198" w:rsidP="00DF63A7">
      <w:pPr>
        <w:pBdr>
          <w:top w:val="nil"/>
          <w:left w:val="nil"/>
          <w:bottom w:val="nil"/>
          <w:right w:val="nil"/>
          <w:between w:val="nil"/>
        </w:pBdr>
        <w:ind w:left="567" w:right="-1134"/>
        <w:jc w:val="center"/>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rPr>
        <w:t>DIRECCIÓN DE OBRAS PÚBLICAS</w:t>
      </w:r>
    </w:p>
    <w:p w14:paraId="3C8DDEC7"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color w:val="000000"/>
        </w:rPr>
        <w:t>FUNCIONES</w:t>
      </w:r>
    </w:p>
    <w:p w14:paraId="29A84F70"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Autorizar los estudios y proyectos, así como la construcción, conservación, mantenimiento, operación y administración de la infraestructura que se realice en el Municipio; </w:t>
      </w:r>
    </w:p>
    <w:p w14:paraId="38FC38AE"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Vigilar que se cumplan y lleven a cabo los programas de construcción y mantenimiento de obras públicas; </w:t>
      </w:r>
    </w:p>
    <w:p w14:paraId="3F173F81"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Vigilar que las obras públicas cumplan con los requisitos de seguridad y observen las normas de construcción y términos establecidos; </w:t>
      </w:r>
    </w:p>
    <w:p w14:paraId="79EC1EF6"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Ejercer el gasto autorizado para la obra pública conforme al presupuesto de egresos, los planes, programas, especificaciones técnicas, controles y procedimientos administrativos aprobados; </w:t>
      </w:r>
    </w:p>
    <w:p w14:paraId="726CC12B"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Integrar y conservar el catálogo de los estudios y proyectos de obra pública que se han realizado en el municipio; </w:t>
      </w:r>
    </w:p>
    <w:p w14:paraId="513B8DEC"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Inventariar junto con la Dirección de Administración, la maquinaria y equipo de construcción a su cargo; </w:t>
      </w:r>
    </w:p>
    <w:p w14:paraId="74C087F3"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Vigilar la correcta integración de libros y/o expedientes de la obra realizada en el Municipio, conforme a lo establecido en las disposiciones legales aplicables; </w:t>
      </w:r>
    </w:p>
    <w:p w14:paraId="192C60BA"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Promover la construcción de infraestructura innovadora dentro del municipio; </w:t>
      </w:r>
    </w:p>
    <w:p w14:paraId="56878554"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Proponer al Presidente Municipal, el Programa General de Obras Públicas, para la construcción y mejoramiento de las mismas, de acuerdo a lo establecido en el Plan de Desarrollo Municipal y con las prioridades del municipio; </w:t>
      </w:r>
    </w:p>
    <w:p w14:paraId="2812C57A"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lastRenderedPageBreak/>
        <w:t>∙</w:t>
      </w:r>
      <w:r w:rsidRPr="00DF63A7">
        <w:rPr>
          <w:rFonts w:ascii="Palatino Linotype" w:eastAsia="Palatino Linotype" w:hAnsi="Palatino Linotype" w:cs="Palatino Linotype"/>
          <w:i/>
          <w:iCs/>
        </w:rPr>
        <w:t xml:space="preserve"> Instruir la apertura de convocatorias de concursos para la realización de las obras públicas municipales; </w:t>
      </w:r>
    </w:p>
    <w:p w14:paraId="732EAA9D"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rPr>
        <w:t>∙</w:t>
      </w:r>
      <w:r w:rsidRPr="00DF63A7">
        <w:rPr>
          <w:rFonts w:ascii="Palatino Linotype" w:eastAsia="Palatino Linotype" w:hAnsi="Palatino Linotype" w:cs="Palatino Linotype"/>
          <w:i/>
          <w:iCs/>
        </w:rPr>
        <w:t xml:space="preserve"> Impulsar el mantenimiento a las vialidades del municipio;</w:t>
      </w:r>
    </w:p>
    <w:p w14:paraId="60544C4F" w14:textId="77777777" w:rsidR="00566CD1" w:rsidRPr="00DF63A7" w:rsidRDefault="00F83198" w:rsidP="00DF63A7">
      <w:pPr>
        <w:ind w:left="567" w:right="-1134"/>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Establecer los lineamientos para la realización de estudios y proyectos de construcción de obras públicas; </w:t>
      </w:r>
    </w:p>
    <w:p w14:paraId="1D005588" w14:textId="77777777" w:rsidR="00566CD1" w:rsidRPr="00DF63A7" w:rsidRDefault="00F83198" w:rsidP="00DF63A7">
      <w:pPr>
        <w:ind w:left="567" w:right="-1134"/>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Validar la calidad de las obras y verificar presupuestos y estimaciones que presenten los contratistas; </w:t>
      </w:r>
    </w:p>
    <w:p w14:paraId="30DE0C49" w14:textId="77777777" w:rsidR="00566CD1" w:rsidRPr="00DF63A7" w:rsidRDefault="00F83198" w:rsidP="00DF63A7">
      <w:pPr>
        <w:ind w:left="567" w:right="-1134"/>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Autorizar precios extraordinarios, volúmenes extraordinarios y adicionales, así como el cambio de metas de las obras previamente contratadas, cuando la ejecución de la obra así lo requiera; </w:t>
      </w:r>
    </w:p>
    <w:p w14:paraId="518A2A1B" w14:textId="77777777" w:rsidR="00566CD1" w:rsidRPr="00DF63A7" w:rsidRDefault="00F83198" w:rsidP="00DF63A7">
      <w:pPr>
        <w:ind w:left="567" w:right="-1134"/>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Autorizar la documentación que, en materia de obra pública, deba presentarse ante el Órgano Superior de Fiscalización del Estado de México; y </w:t>
      </w:r>
    </w:p>
    <w:p w14:paraId="3C7E22A1" w14:textId="77777777" w:rsidR="00566CD1" w:rsidRPr="00DF63A7" w:rsidRDefault="00F83198" w:rsidP="00DF63A7">
      <w:pPr>
        <w:ind w:left="567" w:right="-1134"/>
        <w:rPr>
          <w:rFonts w:ascii="Palatino Linotype" w:eastAsia="Palatino Linotype" w:hAnsi="Palatino Linotype" w:cs="Palatino Linotype"/>
          <w:i/>
          <w:iCs/>
          <w:color w:val="000000"/>
        </w:rPr>
      </w:pPr>
      <w:r w:rsidRPr="00DF63A7">
        <w:rPr>
          <w:rFonts w:ascii="Symbol" w:eastAsia="Symbol" w:hAnsi="Symbol" w:cs="Symbol"/>
          <w:i/>
          <w:iCs/>
        </w:rPr>
        <w:t>∙</w:t>
      </w:r>
      <w:r w:rsidRPr="00DF63A7">
        <w:rPr>
          <w:rFonts w:ascii="Palatino Linotype" w:eastAsia="Palatino Linotype" w:hAnsi="Palatino Linotype" w:cs="Palatino Linotype"/>
          <w:i/>
          <w:iCs/>
        </w:rPr>
        <w:t xml:space="preserve"> Las demás que señalan las leyes, reglamentos y disposiciones jurídicas aplicables, o las que le señale el Presidente Municipal.</w:t>
      </w:r>
    </w:p>
    <w:p w14:paraId="4E0345A4" w14:textId="77777777" w:rsidR="00566CD1" w:rsidRPr="00DF63A7" w:rsidRDefault="00566CD1"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p>
    <w:p w14:paraId="6E938588" w14:textId="77777777" w:rsidR="00566CD1" w:rsidRPr="00DF63A7" w:rsidRDefault="00F83198" w:rsidP="00DF63A7">
      <w:pPr>
        <w:pBdr>
          <w:top w:val="nil"/>
          <w:left w:val="nil"/>
          <w:bottom w:val="nil"/>
          <w:right w:val="nil"/>
          <w:between w:val="nil"/>
        </w:pBdr>
        <w:ind w:left="567" w:right="-1134"/>
        <w:jc w:val="center"/>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rPr>
        <w:t>DIRECCIÓN DE ADMINISTRACIÓN</w:t>
      </w:r>
    </w:p>
    <w:p w14:paraId="2C76B442" w14:textId="77777777" w:rsidR="00566CD1" w:rsidRPr="00DF63A7" w:rsidRDefault="00566CD1"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p>
    <w:p w14:paraId="60EE1992"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FUNCIONES:</w:t>
      </w:r>
    </w:p>
    <w:p w14:paraId="2957EED3"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Promover y vigilar el cumplimiento de los lineamientos sobre los procesos de reclutamiento y selección de personal, así como en la selección, adquisición y mantenimiento de equipo y recursos materiales; </w:t>
      </w:r>
    </w:p>
    <w:p w14:paraId="2D71E700"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Supervisar el control e inventario de bienes muebles municipales; </w:t>
      </w:r>
    </w:p>
    <w:p w14:paraId="05B7B662"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73DC76BC"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Vigilar el cumplimiento de la normatividad en el proceso adquisitivo de bienes y servicios municipales; </w:t>
      </w:r>
    </w:p>
    <w:p w14:paraId="6BC3FFC8"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593894AA"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Supervisar que se proporcionen los servicios generales que requieran las distintas áreas que conforman la Administración Pública Municipal; </w:t>
      </w:r>
    </w:p>
    <w:p w14:paraId="6AAC2515"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Diseñar políticas para el mantenimiento de los recursos materiales de las diferentes áreas de la Administración Pública Municipal; </w:t>
      </w:r>
    </w:p>
    <w:p w14:paraId="691782F9"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46087D52"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Symbol" w:eastAsia="Symbol" w:hAnsi="Symbol" w:cs="Symbol"/>
          <w:i/>
          <w:iCs/>
        </w:rPr>
        <w:t>∙</w:t>
      </w:r>
      <w:r w:rsidRPr="00DF63A7">
        <w:rPr>
          <w:rFonts w:ascii="Palatino Linotype" w:eastAsia="Palatino Linotype" w:hAnsi="Palatino Linotype" w:cs="Palatino Linotype"/>
          <w:i/>
          <w:iCs/>
        </w:rPr>
        <w:t xml:space="preserve"> Eficientar los recursos materiales del Municipio; </w:t>
      </w:r>
    </w:p>
    <w:p w14:paraId="4EBC9E16"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35099007"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Symbol" w:eastAsia="Symbol" w:hAnsi="Symbol" w:cs="Symbol"/>
          <w:i/>
          <w:iCs/>
        </w:rPr>
        <w:t>∙</w:t>
      </w:r>
      <w:r w:rsidRPr="00DF63A7">
        <w:rPr>
          <w:rFonts w:ascii="Palatino Linotype" w:eastAsia="Palatino Linotype" w:hAnsi="Palatino Linotype" w:cs="Palatino Linotype"/>
          <w:i/>
          <w:iCs/>
        </w:rPr>
        <w:t xml:space="preserve"> Las demás que señalan las leyes, reglamentos y disposiciones jurídicas aplicables, o las que señale el Presidente Municipal.</w:t>
      </w:r>
    </w:p>
    <w:p w14:paraId="22E1C1FE"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rPr>
        <w:lastRenderedPageBreak/>
        <w:t>Por su parte dentro de la Ley Orgánica Municipal relativo a las atribuciones de los Síndicos en sus artículos 52 y 53 refiere lo siguiente:</w:t>
      </w:r>
    </w:p>
    <w:p w14:paraId="49DBEA1D" w14:textId="77777777" w:rsidR="00566CD1" w:rsidRPr="00DF63A7" w:rsidRDefault="00F83198" w:rsidP="00DF63A7">
      <w:pP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b/>
          <w:bCs/>
          <w:i/>
          <w:iCs/>
          <w:color w:val="000000"/>
        </w:rPr>
        <w:t>Artículo 52.- Los síndicos municipales</w:t>
      </w:r>
      <w:r w:rsidRPr="00DF63A7">
        <w:rPr>
          <w:rFonts w:ascii="Palatino Linotype" w:eastAsia="Palatino Linotype" w:hAnsi="Palatino Linotype" w:cs="Palatino Linotype"/>
          <w:i/>
          <w:iCs/>
          <w:color w:val="000000"/>
        </w:rPr>
        <w:t xml:space="preserve"> tendrán a su cargo la procuración y defensa </w:t>
      </w:r>
      <w:r w:rsidRPr="00DF63A7">
        <w:rPr>
          <w:rFonts w:ascii="Palatino Linotype" w:eastAsia="Palatino Linotype" w:hAnsi="Palatino Linotype" w:cs="Palatino Linotype"/>
          <w:b/>
          <w:bCs/>
          <w:i/>
          <w:iCs/>
          <w:color w:val="000000"/>
        </w:rPr>
        <w:t>de los derechos e intereses del municipio, en especial los de carácter patrimonial y la función de contraloría interna, la que, en su caso, ejercerán conjuntamente con el órgano de control y evaluación que al efecto establezcan los ayuntamientos</w:t>
      </w:r>
      <w:r w:rsidRPr="00DF63A7">
        <w:rPr>
          <w:rFonts w:ascii="Palatino Linotype" w:eastAsia="Palatino Linotype" w:hAnsi="Palatino Linotype" w:cs="Palatino Linotype"/>
          <w:i/>
          <w:iCs/>
          <w:color w:val="000000"/>
        </w:rPr>
        <w:t xml:space="preserve">. </w:t>
      </w:r>
    </w:p>
    <w:p w14:paraId="14B14742"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color w:val="000000"/>
        </w:rPr>
        <w:t xml:space="preserve">Artículo 53.- </w:t>
      </w:r>
      <w:r w:rsidRPr="00DF63A7">
        <w:rPr>
          <w:rFonts w:ascii="Palatino Linotype" w:eastAsia="Palatino Linotype" w:hAnsi="Palatino Linotype" w:cs="Palatino Linotype"/>
          <w:i/>
          <w:iCs/>
          <w:color w:val="000000"/>
        </w:rPr>
        <w:t>Los síndicos tendrán las siguientes atribuciones:</w:t>
      </w:r>
    </w:p>
    <w:p w14:paraId="700777F4"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6991C8B2"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III.Cuidar que la aplicación de los gastos se haga llenando todos los requisitos legales y conforme al presupuesto respectivo;</w:t>
      </w:r>
    </w:p>
    <w:p w14:paraId="18CD34A6"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136991EF"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VII. Intervenir en la formulación del inventario general de los bienes muebles e inmuebles propiedad del municipio, haciendo que se inscriban en el libro especial, con expresión de sus valores y de todas las características de identificación, así como el uso y destino de los mismos;</w:t>
      </w:r>
    </w:p>
    <w:p w14:paraId="54103831"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p>
    <w:p w14:paraId="0D489CC0" w14:textId="77777777" w:rsidR="00566CD1" w:rsidRPr="00DF63A7" w:rsidRDefault="00566CD1" w:rsidP="00DF63A7">
      <w:pPr>
        <w:pBdr>
          <w:top w:val="nil"/>
          <w:left w:val="nil"/>
          <w:bottom w:val="nil"/>
          <w:right w:val="nil"/>
          <w:between w:val="nil"/>
        </w:pBdr>
        <w:spacing w:line="360" w:lineRule="auto"/>
        <w:ind w:left="1134" w:right="-1134"/>
        <w:jc w:val="both"/>
        <w:rPr>
          <w:rFonts w:ascii="Palatino Linotype" w:eastAsia="Palatino Linotype" w:hAnsi="Palatino Linotype" w:cs="Palatino Linotype"/>
          <w:i/>
          <w:iCs/>
        </w:rPr>
      </w:pPr>
    </w:p>
    <w:p w14:paraId="35B22946"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Por lo antes descrito y tomando en consideración que el informe remitido por el </w:t>
      </w:r>
      <w:r w:rsidRPr="00DF63A7">
        <w:rPr>
          <w:rFonts w:ascii="Palatino Linotype" w:eastAsia="Palatino Linotype" w:hAnsi="Palatino Linotype" w:cs="Palatino Linotype"/>
          <w:b/>
          <w:bCs/>
          <w:color w:val="000000"/>
        </w:rPr>
        <w:t xml:space="preserve">SUJETO OBLIGADO, </w:t>
      </w:r>
      <w:r w:rsidRPr="00DF63A7">
        <w:rPr>
          <w:rFonts w:ascii="Palatino Linotype" w:eastAsia="Palatino Linotype" w:hAnsi="Palatino Linotype" w:cs="Palatino Linotype"/>
          <w:color w:val="000000"/>
        </w:rPr>
        <w:t xml:space="preserve">fue suscrito por Tesorería ; sin que se manifestaran otras áreas que pudieran contar con lo requerido, se evidencia que este no dio cumplimento a la </w:t>
      </w:r>
      <w:r w:rsidRPr="00DF63A7">
        <w:rPr>
          <w:rFonts w:ascii="Palatino Linotype" w:eastAsia="Palatino Linotype" w:hAnsi="Palatino Linotype" w:cs="Palatino Linotype"/>
          <w:i/>
          <w:iCs/>
          <w:color w:val="000000"/>
        </w:rPr>
        <w:t>búsqueda exhaustiva</w:t>
      </w:r>
      <w:r w:rsidRPr="00DF63A7">
        <w:rPr>
          <w:rFonts w:ascii="Palatino Linotype" w:eastAsia="Palatino Linotype" w:hAnsi="Palatino Linotype" w:cs="Palatino Linotype"/>
          <w:color w:val="000000"/>
        </w:rPr>
        <w:t xml:space="preserve"> exigida por la Ley de la Materia, toda vez que si bien es cierto esta área se encarga de la gestión, recaudación, administración de los recursos financieros, la contabilidad y ejecución del gasto público; también lo es que existen otras Unidades Administrativas, que pudieran contar con la información requerida por el particular, como lo son enunciativamente la Tesorería, Dirección de Obras Públicas, Dirección de Administración y la Sindicatura Municipal,</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sin embargo del expediente electrónico en que se actúa, no se desprende que se haya turnado la solicitud de información a éstos.</w:t>
      </w:r>
    </w:p>
    <w:p w14:paraId="0EE62CC3"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2F4FEF83"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Al respecto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28A430AF"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color w:val="000000"/>
        </w:rPr>
      </w:pPr>
    </w:p>
    <w:p w14:paraId="3DEC76FA"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DF63A7">
        <w:rPr>
          <w:color w:val="000000"/>
          <w:vertAlign w:val="superscript"/>
        </w:rPr>
        <w:footnoteReference w:id="5"/>
      </w:r>
      <w:r w:rsidRPr="00DF63A7">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DF63A7">
        <w:rPr>
          <w:color w:val="000000"/>
          <w:vertAlign w:val="superscript"/>
        </w:rPr>
        <w:footnoteReference w:id="6"/>
      </w:r>
      <w:r w:rsidRPr="00DF63A7">
        <w:rPr>
          <w:rFonts w:ascii="Palatino Linotype" w:eastAsia="Palatino Linotype" w:hAnsi="Palatino Linotype" w:cs="Palatino Linotype"/>
          <w:color w:val="000000"/>
        </w:rPr>
        <w:t>.</w:t>
      </w:r>
    </w:p>
    <w:p w14:paraId="339D20A6"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color w:val="000000"/>
        </w:rPr>
      </w:pPr>
    </w:p>
    <w:p w14:paraId="2DFA5340"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77589B02" w14:textId="77777777" w:rsidR="00566CD1" w:rsidRPr="00DF63A7" w:rsidRDefault="00F83198" w:rsidP="00DF63A7">
      <w:pPr>
        <w:numPr>
          <w:ilvl w:val="1"/>
          <w:numId w:val="6"/>
        </w:numPr>
        <w:pBdr>
          <w:top w:val="nil"/>
          <w:left w:val="nil"/>
          <w:bottom w:val="nil"/>
          <w:right w:val="nil"/>
          <w:between w:val="nil"/>
        </w:pBdr>
        <w:ind w:left="709" w:right="-1134" w:hanging="142"/>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Recibir, tramitar y dar respuesta a las solicitudes de acceso a la información;</w:t>
      </w:r>
    </w:p>
    <w:p w14:paraId="1D3F96FC" w14:textId="77777777" w:rsidR="00566CD1" w:rsidRPr="00DF63A7" w:rsidRDefault="00F83198" w:rsidP="00DF63A7">
      <w:pPr>
        <w:numPr>
          <w:ilvl w:val="1"/>
          <w:numId w:val="6"/>
        </w:numPr>
        <w:pBdr>
          <w:top w:val="nil"/>
          <w:left w:val="nil"/>
          <w:bottom w:val="nil"/>
          <w:right w:val="nil"/>
          <w:between w:val="nil"/>
        </w:pBdr>
        <w:ind w:left="709" w:right="-1134" w:hanging="142"/>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2B9013BF" w14:textId="77777777" w:rsidR="00566CD1" w:rsidRPr="00DF63A7" w:rsidRDefault="00F83198" w:rsidP="00DF63A7">
      <w:pPr>
        <w:numPr>
          <w:ilvl w:val="1"/>
          <w:numId w:val="6"/>
        </w:numPr>
        <w:pBdr>
          <w:top w:val="nil"/>
          <w:left w:val="nil"/>
          <w:bottom w:val="nil"/>
          <w:right w:val="nil"/>
          <w:between w:val="nil"/>
        </w:pBdr>
        <w:ind w:left="709" w:right="-1134" w:hanging="142"/>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 xml:space="preserve">Entregar, en su caso, a los particulares la información solicitada; y </w:t>
      </w:r>
    </w:p>
    <w:p w14:paraId="515243D4" w14:textId="77777777" w:rsidR="00566CD1" w:rsidRPr="00DF63A7" w:rsidRDefault="00F83198" w:rsidP="00DF63A7">
      <w:pPr>
        <w:numPr>
          <w:ilvl w:val="1"/>
          <w:numId w:val="6"/>
        </w:numPr>
        <w:pBdr>
          <w:top w:val="nil"/>
          <w:left w:val="nil"/>
          <w:bottom w:val="nil"/>
          <w:right w:val="nil"/>
          <w:between w:val="nil"/>
        </w:pBdr>
        <w:spacing w:after="240"/>
        <w:ind w:left="709" w:right="-1134" w:hanging="142"/>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Efectuar las notificaciones a los solicitantes.</w:t>
      </w:r>
    </w:p>
    <w:p w14:paraId="5C00F3C1" w14:textId="77777777" w:rsidR="00566CD1" w:rsidRPr="00DF63A7" w:rsidRDefault="00566CD1" w:rsidP="00DF63A7">
      <w:pPr>
        <w:spacing w:before="240" w:after="240"/>
        <w:ind w:right="-1134"/>
        <w:jc w:val="both"/>
        <w:rPr>
          <w:rFonts w:ascii="Palatino Linotype" w:eastAsia="Palatino Linotype" w:hAnsi="Palatino Linotype" w:cs="Palatino Linotype"/>
          <w:color w:val="000000"/>
        </w:rPr>
      </w:pPr>
    </w:p>
    <w:p w14:paraId="2B9427DA"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DF63A7">
        <w:rPr>
          <w:rFonts w:ascii="Palatino Linotype" w:eastAsia="Palatino Linotype" w:hAnsi="Palatino Linotype" w:cs="Palatino Linotype"/>
          <w:b/>
          <w:bCs/>
          <w:color w:val="000000"/>
        </w:rPr>
        <w:t xml:space="preserve">SUJETO OBLIGADO </w:t>
      </w:r>
      <w:r w:rsidRPr="00DF63A7">
        <w:rPr>
          <w:rFonts w:ascii="Palatino Linotype" w:eastAsia="Palatino Linotype" w:hAnsi="Palatino Linotype" w:cs="Palatino Linotype"/>
          <w:color w:val="000000"/>
        </w:rPr>
        <w:t>a propuesta del responsable de la Unidad de Transparencia</w:t>
      </w:r>
      <w:r w:rsidRPr="00DF63A7">
        <w:rPr>
          <w:color w:val="000000"/>
          <w:vertAlign w:val="superscript"/>
        </w:rPr>
        <w:footnoteReference w:id="7"/>
      </w:r>
      <w:r w:rsidRPr="00DF63A7">
        <w:rPr>
          <w:rFonts w:ascii="Palatino Linotype" w:eastAsia="Palatino Linotype" w:hAnsi="Palatino Linotype" w:cs="Palatino Linotype"/>
          <w:color w:val="000000"/>
        </w:rPr>
        <w:t xml:space="preserve"> y tendrán, entre sus atribuciones, las siguientes</w:t>
      </w:r>
      <w:r w:rsidRPr="00DF63A7">
        <w:rPr>
          <w:color w:val="000000"/>
          <w:vertAlign w:val="superscript"/>
        </w:rPr>
        <w:footnoteReference w:id="8"/>
      </w:r>
      <w:r w:rsidRPr="00DF63A7">
        <w:rPr>
          <w:rFonts w:ascii="Palatino Linotype" w:eastAsia="Palatino Linotype" w:hAnsi="Palatino Linotype" w:cs="Palatino Linotype"/>
          <w:color w:val="000000"/>
        </w:rPr>
        <w:t>:</w:t>
      </w:r>
    </w:p>
    <w:p w14:paraId="6DC9AFE2" w14:textId="77777777" w:rsidR="00566CD1" w:rsidRPr="00DF63A7" w:rsidRDefault="00F83198" w:rsidP="00DF63A7">
      <w:pPr>
        <w:numPr>
          <w:ilvl w:val="1"/>
          <w:numId w:val="7"/>
        </w:numPr>
        <w:pBdr>
          <w:top w:val="nil"/>
          <w:left w:val="nil"/>
          <w:bottom w:val="nil"/>
          <w:right w:val="nil"/>
          <w:between w:val="nil"/>
        </w:pBdr>
        <w:spacing w:before="240"/>
        <w:ind w:left="709" w:right="-1134" w:hanging="142"/>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Localizar la información que le solicite la Unidad de Transparencia; y</w:t>
      </w:r>
    </w:p>
    <w:p w14:paraId="6D6D5B33" w14:textId="77777777" w:rsidR="00566CD1" w:rsidRPr="00DF63A7" w:rsidRDefault="00F83198" w:rsidP="00DF63A7">
      <w:pPr>
        <w:numPr>
          <w:ilvl w:val="1"/>
          <w:numId w:val="7"/>
        </w:numPr>
        <w:pBdr>
          <w:top w:val="nil"/>
          <w:left w:val="nil"/>
          <w:bottom w:val="nil"/>
          <w:right w:val="nil"/>
          <w:between w:val="nil"/>
        </w:pBdr>
        <w:spacing w:after="240"/>
        <w:ind w:left="709" w:right="-1134" w:hanging="142"/>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Proporcionar la información que obre en los archivos y que le sea solicitada por la Unidad de Transparencia.</w:t>
      </w:r>
    </w:p>
    <w:p w14:paraId="17509529" w14:textId="77777777" w:rsidR="00566CD1" w:rsidRPr="00DF63A7" w:rsidRDefault="00566CD1" w:rsidP="00DF63A7">
      <w:pPr>
        <w:tabs>
          <w:tab w:val="left" w:pos="426"/>
          <w:tab w:val="left" w:pos="567"/>
        </w:tabs>
        <w:ind w:right="-1134"/>
        <w:jc w:val="both"/>
        <w:rPr>
          <w:rFonts w:ascii="Palatino Linotype" w:eastAsia="Palatino Linotype" w:hAnsi="Palatino Linotype" w:cs="Palatino Linotype"/>
          <w:color w:val="000000"/>
        </w:rPr>
      </w:pPr>
    </w:p>
    <w:p w14:paraId="09771373"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 xml:space="preserve">De tal manera que cada una de las áreas administrativas del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3831D62E" w14:textId="77777777" w:rsidR="00566CD1" w:rsidRPr="00DF63A7" w:rsidRDefault="00566CD1" w:rsidP="00DF63A7">
      <w:pPr>
        <w:ind w:right="-1134"/>
        <w:rPr>
          <w:rFonts w:ascii="Palatino Linotype" w:eastAsia="Palatino Linotype" w:hAnsi="Palatino Linotype" w:cs="Palatino Linotype"/>
          <w:color w:val="000000"/>
        </w:rPr>
      </w:pPr>
    </w:p>
    <w:p w14:paraId="6AF26D6A"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715C5904"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b/>
          <w:bCs/>
          <w:i/>
          <w:iCs/>
          <w:color w:val="000000"/>
        </w:rPr>
        <w:t>“Artículo 53</w:t>
      </w:r>
      <w:r w:rsidRPr="00DF63A7">
        <w:rPr>
          <w:rFonts w:ascii="Palatino Linotype" w:eastAsia="Palatino Linotype" w:hAnsi="Palatino Linotype" w:cs="Palatino Linotype"/>
          <w:i/>
          <w:iCs/>
          <w:color w:val="000000"/>
        </w:rPr>
        <w:t xml:space="preserve">. Las Unidades de Transparencia tendrán las siguientes funciones: </w:t>
      </w:r>
    </w:p>
    <w:p w14:paraId="7ECFE2AA" w14:textId="77777777" w:rsidR="00566CD1" w:rsidRPr="00DF63A7" w:rsidRDefault="00566CD1"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p>
    <w:p w14:paraId="08378979"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lastRenderedPageBreak/>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55A1A838"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color w:val="000000"/>
        </w:rPr>
        <w:t xml:space="preserve">II. Recibir, tramitar y dar respuesta a las solicitudes de acceso a la información; </w:t>
      </w:r>
    </w:p>
    <w:p w14:paraId="35BF4E33"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0727DCE9"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14:paraId="1F529D14"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V. Entregar, en su caso, a los particulares la información solicitada; </w:t>
      </w:r>
    </w:p>
    <w:p w14:paraId="3F60D837"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VI. Efectuar las notificaciones a los solicitantes; </w:t>
      </w:r>
    </w:p>
    <w:p w14:paraId="0153888E"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7CAA6981"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309E635D"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4756C292"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X. Presentar ante el Comité, el proyecto de clasificación de información; </w:t>
      </w:r>
    </w:p>
    <w:p w14:paraId="6673486F"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XI. Promover e implementar políticas de transparencia proactiva procurando su accesibilidad; </w:t>
      </w:r>
    </w:p>
    <w:p w14:paraId="6FAEABA7"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XII. Fomentar la transparencia y accesibilidad al interior del sujeto obligado; </w:t>
      </w:r>
    </w:p>
    <w:p w14:paraId="1AFC2400"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55FDD111" w14:textId="77777777" w:rsidR="00566CD1" w:rsidRPr="00DF63A7" w:rsidRDefault="00F83198" w:rsidP="00DF63A7">
      <w:pPr>
        <w:pBdr>
          <w:top w:val="nil"/>
          <w:left w:val="nil"/>
          <w:bottom w:val="nil"/>
          <w:right w:val="nil"/>
          <w:between w:val="nil"/>
        </w:pBdr>
        <w:tabs>
          <w:tab w:val="left" w:pos="426"/>
        </w:tabs>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054A5471" w14:textId="77777777" w:rsidR="00566CD1" w:rsidRPr="00DF63A7" w:rsidRDefault="00F83198" w:rsidP="00DF63A7">
      <w:pPr>
        <w:pBdr>
          <w:top w:val="nil"/>
          <w:left w:val="nil"/>
          <w:bottom w:val="nil"/>
          <w:right w:val="nil"/>
          <w:between w:val="nil"/>
        </w:pBdr>
        <w:tabs>
          <w:tab w:val="left" w:pos="426"/>
        </w:tabs>
        <w:spacing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0F962FAC" w14:textId="77777777" w:rsidR="00566CD1" w:rsidRPr="00DF63A7" w:rsidRDefault="00566CD1" w:rsidP="00DF63A7">
      <w:pPr>
        <w:tabs>
          <w:tab w:val="left" w:pos="426"/>
        </w:tabs>
        <w:spacing w:before="240" w:after="240"/>
        <w:ind w:right="-1134"/>
        <w:jc w:val="both"/>
        <w:rPr>
          <w:rFonts w:ascii="Palatino Linotype" w:eastAsia="Palatino Linotype" w:hAnsi="Palatino Linotype" w:cs="Palatino Linotype"/>
          <w:i/>
          <w:iCs/>
        </w:rPr>
      </w:pPr>
    </w:p>
    <w:p w14:paraId="0FAF8AF1"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rPr>
      </w:pPr>
      <w:r w:rsidRPr="00DF63A7">
        <w:rPr>
          <w:rFonts w:ascii="Palatino Linotype" w:eastAsia="Palatino Linotype" w:hAnsi="Palatino Linotype" w:cs="Palatino Linotype"/>
          <w:color w:val="000000"/>
        </w:rPr>
        <w:lastRenderedPageBreak/>
        <w:t>De lo expuesto y con relación a lo solicitado, se tiene que, la Unidad de Transparencia es la encargada de recibir, tramitar y dar respuesta a las solicitudes de acceso a la información.</w:t>
      </w:r>
    </w:p>
    <w:p w14:paraId="5C71EE88" w14:textId="77777777" w:rsidR="00566CD1" w:rsidRPr="00DF63A7" w:rsidRDefault="00566CD1"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rPr>
      </w:pPr>
    </w:p>
    <w:p w14:paraId="19D8ACFA"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b/>
          <w:bCs/>
        </w:rPr>
      </w:pPr>
      <w:bookmarkStart w:id="12" w:name="_heading=h.iqcos1dk4hfk" w:colFirst="0" w:colLast="0"/>
      <w:bookmarkEnd w:id="12"/>
      <w:r w:rsidRPr="00DF63A7">
        <w:rPr>
          <w:rFonts w:ascii="Palatino Linotype" w:eastAsia="Palatino Linotype" w:hAnsi="Palatino Linotype" w:cs="Palatino Linotype"/>
          <w:color w:val="000000"/>
        </w:rPr>
        <w:t xml:space="preserve">En este sentido, se advierte que, 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w:t>
      </w:r>
      <w:r w:rsidRPr="00DF63A7">
        <w:rPr>
          <w:rFonts w:ascii="Palatino Linotype" w:eastAsia="Palatino Linotype" w:hAnsi="Palatino Linotype" w:cs="Palatino Linotype"/>
          <w:b/>
          <w:bCs/>
          <w:color w:val="000000"/>
        </w:rPr>
        <w:t>NO</w:t>
      </w:r>
      <w:r w:rsidRPr="00DF63A7">
        <w:rPr>
          <w:rFonts w:ascii="Palatino Linotype" w:eastAsia="Palatino Linotype" w:hAnsi="Palatino Linotype" w:cs="Palatino Linotype"/>
          <w:color w:val="000000"/>
        </w:rPr>
        <w:t xml:space="preserve"> cumplió con el procedimiento de búsqueda exhaustiva y razonable, pues no gestionó la solicitud de información en las unidades en donde </w:t>
      </w:r>
      <w:r w:rsidRPr="00DF63A7">
        <w:rPr>
          <w:rFonts w:ascii="Palatino Linotype" w:eastAsia="Palatino Linotype" w:hAnsi="Palatino Linotype" w:cs="Palatino Linotype"/>
          <w:color w:val="000000"/>
          <w:u w:val="single"/>
        </w:rPr>
        <w:t>pudiera</w:t>
      </w:r>
      <w:r w:rsidRPr="00DF63A7">
        <w:rPr>
          <w:rFonts w:ascii="Palatino Linotype" w:eastAsia="Palatino Linotype" w:hAnsi="Palatino Linotype" w:cs="Palatino Linotype"/>
          <w:color w:val="000000"/>
        </w:rPr>
        <w:t xml:space="preserve"> obrar la citada información, siendo estas: </w:t>
      </w:r>
      <w:r w:rsidRPr="00DF63A7">
        <w:rPr>
          <w:rFonts w:ascii="Palatino Linotype" w:eastAsia="Palatino Linotype" w:hAnsi="Palatino Linotype" w:cs="Palatino Linotype"/>
          <w:b/>
          <w:bCs/>
          <w:color w:val="000000"/>
        </w:rPr>
        <w:t xml:space="preserve">la Tesorería, Dirección de Obras Públicas, </w:t>
      </w:r>
      <w:r w:rsidRPr="00DF63A7">
        <w:rPr>
          <w:rFonts w:ascii="Palatino Linotype" w:eastAsia="Palatino Linotype" w:hAnsi="Palatino Linotype" w:cs="Palatino Linotype"/>
          <w:b/>
          <w:bCs/>
        </w:rPr>
        <w:t>Dirección de Administración</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 xml:space="preserve">así como, </w:t>
      </w:r>
      <w:r w:rsidRPr="00DF63A7">
        <w:rPr>
          <w:rFonts w:ascii="Palatino Linotype" w:eastAsia="Palatino Linotype" w:hAnsi="Palatino Linotype" w:cs="Palatino Linotype"/>
          <w:b/>
          <w:bCs/>
          <w:color w:val="000000"/>
        </w:rPr>
        <w:t xml:space="preserve">la Sindicatura Municipal, </w:t>
      </w:r>
      <w:r w:rsidRPr="00DF63A7">
        <w:rPr>
          <w:rFonts w:ascii="Palatino Linotype" w:eastAsia="Palatino Linotype" w:hAnsi="Palatino Linotype" w:cs="Palatino Linotype"/>
          <w:color w:val="000000"/>
        </w:rPr>
        <w:t xml:space="preserve">sin embargo, solo se limitó a informar que se encontraba material y jurídicamente impedida para atender la </w:t>
      </w:r>
      <w:r w:rsidRPr="00DF63A7">
        <w:rPr>
          <w:rFonts w:ascii="Palatino Linotype" w:eastAsia="Palatino Linotype" w:hAnsi="Palatino Linotype" w:cs="Palatino Linotype"/>
        </w:rPr>
        <w:t>solicitud</w:t>
      </w:r>
      <w:r w:rsidRPr="00DF63A7">
        <w:rPr>
          <w:rFonts w:ascii="Palatino Linotype" w:eastAsia="Palatino Linotype" w:hAnsi="Palatino Linotype" w:cs="Palatino Linotype"/>
          <w:color w:val="000000"/>
        </w:rPr>
        <w:t>, toda vez que consideraba que la solicitud de información o reúne los requisitos mínimos de claridad, precisión y especificidad, situación de la que se duele el solicitante, dando origen al expediente en que se actúa.</w:t>
      </w:r>
    </w:p>
    <w:p w14:paraId="2870B6EF" w14:textId="77777777" w:rsidR="00566CD1" w:rsidRPr="00DF63A7" w:rsidRDefault="00566CD1" w:rsidP="00DF63A7">
      <w:pPr>
        <w:pBdr>
          <w:top w:val="nil"/>
          <w:left w:val="nil"/>
          <w:bottom w:val="nil"/>
          <w:right w:val="nil"/>
          <w:between w:val="nil"/>
        </w:pBdr>
        <w:tabs>
          <w:tab w:val="left" w:pos="426"/>
          <w:tab w:val="left" w:pos="567"/>
        </w:tabs>
        <w:spacing w:line="360" w:lineRule="auto"/>
        <w:ind w:right="-1134"/>
        <w:jc w:val="both"/>
        <w:rPr>
          <w:rFonts w:ascii="Palatino Linotype" w:eastAsia="Palatino Linotype" w:hAnsi="Palatino Linotype" w:cs="Palatino Linotype"/>
          <w:b/>
          <w:bCs/>
        </w:rPr>
      </w:pPr>
    </w:p>
    <w:p w14:paraId="0726A693" w14:textId="77777777" w:rsidR="00566CD1" w:rsidRPr="00DF63A7" w:rsidRDefault="00F83198" w:rsidP="00DF63A7">
      <w:pPr>
        <w:numPr>
          <w:ilvl w:val="0"/>
          <w:numId w:val="11"/>
        </w:numPr>
        <w:pBdr>
          <w:top w:val="nil"/>
          <w:left w:val="nil"/>
          <w:bottom w:val="nil"/>
          <w:right w:val="nil"/>
          <w:between w:val="nil"/>
        </w:pBdr>
        <w:tabs>
          <w:tab w:val="left" w:pos="426"/>
          <w:tab w:val="left" w:pos="567"/>
        </w:tabs>
        <w:spacing w:line="360" w:lineRule="auto"/>
        <w:ind w:left="0" w:right="-1134" w:firstLine="0"/>
        <w:jc w:val="both"/>
        <w:rPr>
          <w:rFonts w:ascii="Palatino Linotype" w:eastAsia="Palatino Linotype" w:hAnsi="Palatino Linotype" w:cs="Palatino Linotype"/>
          <w:b/>
          <w:bCs/>
        </w:rPr>
      </w:pPr>
      <w:r w:rsidRPr="00DF63A7">
        <w:rPr>
          <w:rFonts w:ascii="Palatino Linotype" w:eastAsia="Palatino Linotype" w:hAnsi="Palatino Linotype" w:cs="Palatino Linotype"/>
          <w:color w:val="242424"/>
          <w:highlight w:val="white"/>
        </w:rPr>
        <w:t xml:space="preserve">Es así que, </w:t>
      </w:r>
      <w:r w:rsidRPr="00DF63A7">
        <w:rPr>
          <w:rFonts w:ascii="Palatino Linotype" w:eastAsia="Palatino Linotype" w:hAnsi="Palatino Linotype" w:cs="Palatino Linotype"/>
          <w:b/>
          <w:bCs/>
          <w:color w:val="000000"/>
        </w:rPr>
        <w:t>EL SUJETO OBLIGADO</w:t>
      </w:r>
      <w:r w:rsidRPr="00DF63A7">
        <w:rPr>
          <w:rFonts w:ascii="Palatino Linotype" w:eastAsia="Palatino Linotype" w:hAnsi="Palatino Linotype" w:cs="Palatino Linotype"/>
          <w:color w:val="000000"/>
        </w:rPr>
        <w:t xml:space="preserve"> debe contar con la información pública solicitada, en ejercicio de sus funciones de derecho público, motivo por el cual se actualiza el supuesto jurídico, previsto en el artículo 12 de la Ley de Transparencia y Acceso a la Información Pública del Estado de México y Municipios.</w:t>
      </w:r>
    </w:p>
    <w:p w14:paraId="70D10E45"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Artículo 12.</w:t>
      </w:r>
      <w:r w:rsidRPr="00DF63A7">
        <w:rPr>
          <w:rFonts w:ascii="Palatino Linotype" w:eastAsia="Palatino Linotype" w:hAnsi="Palatino Linotype" w:cs="Palatino Linotype"/>
          <w:i/>
          <w:iCs/>
          <w:color w:val="000000"/>
        </w:rPr>
        <w:t> Quienes generen, recopilen, administren, manejen, procesen, archiven o conserven información pública serán responsables de la misma en los términos de las disposiciones jurídicas aplicables.</w:t>
      </w:r>
    </w:p>
    <w:p w14:paraId="1F1D681A" w14:textId="77777777" w:rsidR="00566CD1" w:rsidRPr="00DF63A7" w:rsidRDefault="00566CD1"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p>
    <w:p w14:paraId="462F6AD0" w14:textId="77777777" w:rsidR="00566CD1" w:rsidRPr="00DF63A7" w:rsidRDefault="00F83198" w:rsidP="00DF63A7">
      <w:pPr>
        <w:pBdr>
          <w:top w:val="nil"/>
          <w:left w:val="nil"/>
          <w:bottom w:val="nil"/>
          <w:right w:val="nil"/>
          <w:between w:val="nil"/>
        </w:pBdr>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4217E56" w14:textId="77777777" w:rsidR="00566CD1" w:rsidRPr="00DF63A7" w:rsidRDefault="00566CD1" w:rsidP="00DF63A7">
      <w:pPr>
        <w:pBdr>
          <w:top w:val="nil"/>
          <w:left w:val="nil"/>
          <w:bottom w:val="nil"/>
          <w:right w:val="nil"/>
          <w:between w:val="nil"/>
        </w:pBdr>
        <w:ind w:left="851" w:right="-1134"/>
        <w:jc w:val="both"/>
        <w:rPr>
          <w:rFonts w:ascii="Palatino Linotype" w:eastAsia="Palatino Linotype" w:hAnsi="Palatino Linotype" w:cs="Palatino Linotype"/>
          <w:i/>
          <w:iCs/>
        </w:rPr>
      </w:pPr>
    </w:p>
    <w:p w14:paraId="33F87BBD" w14:textId="77777777" w:rsidR="00566CD1" w:rsidRPr="00DF63A7" w:rsidRDefault="00566CD1" w:rsidP="00DF63A7">
      <w:pPr>
        <w:pBdr>
          <w:top w:val="nil"/>
          <w:left w:val="nil"/>
          <w:bottom w:val="nil"/>
          <w:right w:val="nil"/>
          <w:between w:val="nil"/>
        </w:pBdr>
        <w:ind w:left="851" w:right="-1134"/>
        <w:jc w:val="both"/>
        <w:rPr>
          <w:rFonts w:ascii="Palatino Linotype" w:eastAsia="Palatino Linotype" w:hAnsi="Palatino Linotype" w:cs="Palatino Linotype"/>
          <w:i/>
          <w:iCs/>
        </w:rPr>
      </w:pPr>
    </w:p>
    <w:p w14:paraId="5EAFDAF9" w14:textId="77777777" w:rsidR="00566CD1" w:rsidRPr="00DF63A7" w:rsidRDefault="00F83198" w:rsidP="00DF63A7">
      <w:pPr>
        <w:numPr>
          <w:ilvl w:val="0"/>
          <w:numId w:val="11"/>
        </w:numPr>
        <w:pBdr>
          <w:top w:val="nil"/>
          <w:left w:val="nil"/>
          <w:bottom w:val="nil"/>
          <w:right w:val="nil"/>
          <w:between w:val="nil"/>
        </w:pBdr>
        <w:tabs>
          <w:tab w:val="left" w:pos="0"/>
        </w:tabs>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No obstante, como ya fue señalado en párrafos anteriores, el Sujeto Obligado tiene el deber de documentar todos los actos que deriven del ejercicio de sus funciones y al mismo tiempo hacer pública la información que se les requiera y que obre en sus archivos.</w:t>
      </w:r>
    </w:p>
    <w:p w14:paraId="1B707014" w14:textId="77777777" w:rsidR="00566CD1" w:rsidRPr="00DF63A7" w:rsidRDefault="00566CD1" w:rsidP="00DF63A7">
      <w:pPr>
        <w:pBdr>
          <w:top w:val="nil"/>
          <w:left w:val="nil"/>
          <w:bottom w:val="nil"/>
          <w:right w:val="nil"/>
          <w:between w:val="nil"/>
        </w:pBdr>
        <w:tabs>
          <w:tab w:val="left" w:pos="0"/>
        </w:tabs>
        <w:spacing w:line="360" w:lineRule="auto"/>
        <w:ind w:right="-1134"/>
        <w:jc w:val="both"/>
        <w:rPr>
          <w:rFonts w:ascii="Palatino Linotype" w:eastAsia="Palatino Linotype" w:hAnsi="Palatino Linotype" w:cs="Palatino Linotype"/>
          <w:color w:val="000000"/>
        </w:rPr>
      </w:pPr>
    </w:p>
    <w:p w14:paraId="43887F24" w14:textId="77777777" w:rsidR="00566CD1" w:rsidRPr="00DF63A7" w:rsidRDefault="00F83198" w:rsidP="00DF63A7">
      <w:pPr>
        <w:numPr>
          <w:ilvl w:val="0"/>
          <w:numId w:val="11"/>
        </w:numPr>
        <w:pBdr>
          <w:top w:val="nil"/>
          <w:left w:val="nil"/>
          <w:bottom w:val="nil"/>
          <w:right w:val="nil"/>
          <w:between w:val="nil"/>
        </w:pBdr>
        <w:tabs>
          <w:tab w:val="left" w:pos="0"/>
        </w:tabs>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668253AE" w14:textId="77777777" w:rsidR="00566CD1" w:rsidRPr="00DF63A7" w:rsidRDefault="00566CD1" w:rsidP="00DF63A7">
      <w:pPr>
        <w:pBdr>
          <w:top w:val="nil"/>
          <w:left w:val="nil"/>
          <w:bottom w:val="nil"/>
          <w:right w:val="nil"/>
          <w:between w:val="nil"/>
        </w:pBdr>
        <w:tabs>
          <w:tab w:val="left" w:pos="0"/>
        </w:tabs>
        <w:spacing w:line="360" w:lineRule="auto"/>
        <w:ind w:right="-1134"/>
        <w:jc w:val="both"/>
        <w:rPr>
          <w:rFonts w:ascii="Palatino Linotype" w:eastAsia="Palatino Linotype" w:hAnsi="Palatino Linotype" w:cs="Palatino Linotype"/>
        </w:rPr>
      </w:pPr>
    </w:p>
    <w:p w14:paraId="30D11E9E" w14:textId="77777777" w:rsidR="00566CD1" w:rsidRPr="00DF63A7" w:rsidRDefault="00F83198" w:rsidP="00DF63A7">
      <w:pPr>
        <w:numPr>
          <w:ilvl w:val="0"/>
          <w:numId w:val="1"/>
        </w:numPr>
        <w:pBdr>
          <w:top w:val="nil"/>
          <w:left w:val="nil"/>
          <w:bottom w:val="nil"/>
          <w:right w:val="nil"/>
          <w:between w:val="nil"/>
        </w:pBdr>
        <w:tabs>
          <w:tab w:val="left" w:pos="0"/>
        </w:tabs>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b/>
          <w:bCs/>
          <w:color w:val="000000"/>
        </w:rPr>
        <w:t>Documento que aprueba el pago de contratos (Facturas)</w:t>
      </w:r>
    </w:p>
    <w:p w14:paraId="61905628"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Establecido lo anterior, conviene traer a contexto que dentro de la solicitud de información, el particular requirió el documento con el que se compruebe el pago de los contratos, por lo que de manera enunciativa, </w:t>
      </w:r>
      <w:r w:rsidRPr="00DF63A7">
        <w:rPr>
          <w:rFonts w:ascii="Palatino Linotype" w:eastAsia="Palatino Linotype" w:hAnsi="Palatino Linotype" w:cs="Palatino Linotype"/>
        </w:rPr>
        <w:t>más</w:t>
      </w:r>
      <w:r w:rsidRPr="00DF63A7">
        <w:rPr>
          <w:rFonts w:ascii="Palatino Linotype" w:eastAsia="Palatino Linotype" w:hAnsi="Palatino Linotype" w:cs="Palatino Linotype"/>
          <w:color w:val="000000"/>
        </w:rPr>
        <w:t xml:space="preserve"> no limitativa, el documento que podría colmar el requerimiento, podrían ser las facturas. </w:t>
      </w:r>
    </w:p>
    <w:p w14:paraId="794636A9"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color w:val="000000"/>
        </w:rPr>
      </w:pPr>
    </w:p>
    <w:p w14:paraId="15ABF472"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Ahora bien, las erogaciones que realizan los Sujetos Obligados, deben estar soportados en documentos que amparen dicha erogación que de manera enunciativa más no limitativa,  podrían ser las facturas o pólizas. Primeramente conocer a </w:t>
      </w:r>
      <w:r w:rsidRPr="00DF63A7">
        <w:rPr>
          <w:rFonts w:ascii="Palatino Linotype" w:eastAsia="Palatino Linotype" w:hAnsi="Palatino Linotype" w:cs="Palatino Linotype"/>
        </w:rPr>
        <w:t>qué</w:t>
      </w:r>
      <w:r w:rsidRPr="00DF63A7">
        <w:rPr>
          <w:rFonts w:ascii="Palatino Linotype" w:eastAsia="Palatino Linotype" w:hAnsi="Palatino Linotype" w:cs="Palatino Linotype"/>
          <w:color w:val="000000"/>
        </w:rPr>
        <w:t xml:space="preserve"> nos referimos por “</w:t>
      </w:r>
      <w:r w:rsidRPr="00DF63A7">
        <w:rPr>
          <w:rFonts w:ascii="Palatino Linotype" w:eastAsia="Palatino Linotype" w:hAnsi="Palatino Linotype" w:cs="Palatino Linotype"/>
          <w:i/>
          <w:iCs/>
          <w:color w:val="000000"/>
        </w:rPr>
        <w:t>factura</w:t>
      </w:r>
      <w:r w:rsidRPr="00DF63A7">
        <w:rPr>
          <w:rFonts w:ascii="Palatino Linotype" w:eastAsia="Palatino Linotype" w:hAnsi="Palatino Linotype" w:cs="Palatino Linotype"/>
          <w:color w:val="000000"/>
        </w:rPr>
        <w:t>”; al respecto, nos referiremos a éste concepto aunque sea sucintamente de acuerdo a lo que dispone el Glosario de Términos Hacendarios que emite el Instituto Hacendario del Estado de México, mismo que expresa lo siguiente:</w:t>
      </w:r>
    </w:p>
    <w:p w14:paraId="00CD876B" w14:textId="77777777" w:rsidR="00566CD1" w:rsidRPr="00DF63A7" w:rsidRDefault="00F83198" w:rsidP="00DF63A7">
      <w:pPr>
        <w:pBdr>
          <w:top w:val="nil"/>
          <w:left w:val="nil"/>
          <w:bottom w:val="nil"/>
          <w:right w:val="nil"/>
          <w:between w:val="nil"/>
        </w:pBdr>
        <w:spacing w:before="240" w:after="240" w:line="360" w:lineRule="auto"/>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FACTURA:</w:t>
      </w:r>
    </w:p>
    <w:p w14:paraId="67D0CAB7" w14:textId="77777777" w:rsidR="00566CD1" w:rsidRPr="00DF63A7" w:rsidRDefault="00F83198" w:rsidP="00DF63A7">
      <w:pPr>
        <w:pBdr>
          <w:top w:val="nil"/>
          <w:left w:val="nil"/>
          <w:bottom w:val="nil"/>
          <w:right w:val="nil"/>
          <w:between w:val="nil"/>
        </w:pBdr>
        <w:spacing w:before="240" w:after="240" w:line="360" w:lineRule="auto"/>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Es el documento fiscal que emite la persona física o moral para comprobar la venta o adquisición de un bien y/o servicio.”</w:t>
      </w:r>
    </w:p>
    <w:p w14:paraId="4FFDCD2F"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 xml:space="preserve">Una vez precisado lo anterior, se procede a analizar si las facturas solicitadas son de acceso público; por lo que es de señalarse que </w:t>
      </w:r>
      <w:r w:rsidRPr="00DF63A7">
        <w:rPr>
          <w:rFonts w:ascii="Palatino Linotype" w:eastAsia="Palatino Linotype" w:hAnsi="Palatino Linotype" w:cs="Palatino Linotype"/>
          <w:b/>
          <w:bCs/>
          <w:color w:val="000000"/>
        </w:rPr>
        <w:t xml:space="preserve">las facturas </w:t>
      </w:r>
      <w:r w:rsidRPr="00DF63A7">
        <w:rPr>
          <w:rFonts w:ascii="Palatino Linotype" w:eastAsia="Palatino Linotype" w:hAnsi="Palatino Linotype" w:cs="Palatino Linotype"/>
          <w:color w:val="000000"/>
        </w:rPr>
        <w:t xml:space="preserve">o comprobantes que amparan las erogaciones que se realizan con erario público tienen naturaleza análoga, pues </w:t>
      </w:r>
      <w:r w:rsidRPr="00DF63A7">
        <w:rPr>
          <w:rFonts w:ascii="Palatino Linotype" w:eastAsia="Palatino Linotype" w:hAnsi="Palatino Linotype" w:cs="Palatino Linotype"/>
          <w:b/>
          <w:bCs/>
          <w:color w:val="000000"/>
        </w:rPr>
        <w:t>constituyen los medios idóneos de evidencia del gasto realizado con recursos públicos</w:t>
      </w:r>
      <w:r w:rsidRPr="00DF63A7">
        <w:rPr>
          <w:rFonts w:ascii="Palatino Linotype" w:eastAsia="Palatino Linotype" w:hAnsi="Palatino Linotype" w:cs="Palatino Linotype"/>
          <w:color w:val="000000"/>
        </w:rPr>
        <w:t>.</w:t>
      </w:r>
    </w:p>
    <w:p w14:paraId="56B56F4C" w14:textId="77777777" w:rsidR="00566CD1" w:rsidRPr="00DF63A7" w:rsidRDefault="00566CD1" w:rsidP="00DF63A7">
      <w:pPr>
        <w:pBdr>
          <w:top w:val="nil"/>
          <w:left w:val="nil"/>
          <w:bottom w:val="nil"/>
          <w:right w:val="nil"/>
          <w:between w:val="nil"/>
        </w:pBdr>
        <w:tabs>
          <w:tab w:val="left" w:pos="426"/>
        </w:tabs>
        <w:spacing w:after="240" w:line="360" w:lineRule="auto"/>
        <w:ind w:right="-1134"/>
        <w:jc w:val="both"/>
        <w:rPr>
          <w:rFonts w:ascii="Palatino Linotype" w:eastAsia="Palatino Linotype" w:hAnsi="Palatino Linotype" w:cs="Palatino Linotype"/>
          <w:color w:val="000000"/>
        </w:rPr>
      </w:pPr>
    </w:p>
    <w:p w14:paraId="097B8DAE"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Al respecto, conviene precisar que en el cumplimiento de los principios que rigen la función pública, la Constitución Política del Estado Libre y Soberano de México en su artículo 129 señala que los recursos económicos del Estado, de los Municipios, así como de los Organismos Autónomos, se administrarán con eficiencia, eficacia y honradez, para cumplir con los objetivos y programas a los que estén destinados. Asimismo, señala que todos los pagos se harán mediante orden escrita en la que se expresará la partida del presupuesto a cargo de la cual se realizan.</w:t>
      </w:r>
    </w:p>
    <w:p w14:paraId="63F7023B" w14:textId="77777777" w:rsidR="00566CD1" w:rsidRPr="00DF63A7" w:rsidRDefault="00566CD1" w:rsidP="00DF63A7">
      <w:pPr>
        <w:pBdr>
          <w:top w:val="nil"/>
          <w:left w:val="nil"/>
          <w:bottom w:val="nil"/>
          <w:right w:val="nil"/>
          <w:between w:val="nil"/>
        </w:pBdr>
        <w:tabs>
          <w:tab w:val="left" w:pos="426"/>
        </w:tabs>
        <w:spacing w:after="240" w:line="360" w:lineRule="auto"/>
        <w:ind w:right="-1134"/>
        <w:jc w:val="both"/>
        <w:rPr>
          <w:rFonts w:ascii="Palatino Linotype" w:eastAsia="Palatino Linotype" w:hAnsi="Palatino Linotype" w:cs="Palatino Linotype"/>
          <w:color w:val="000000"/>
        </w:rPr>
      </w:pPr>
    </w:p>
    <w:p w14:paraId="161D9037"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Como se ha dicho anteriormente, es atribución de la Coordinación de Administración, Finanzas y Comercialización, llevar los registros contables, financieros y administrativos de los ingresos, egresos e inventarios. En ese sentido, los artículos 342, 343, 344 y 345 del Código Financiero del Estado de México y Municipios disponen el sistema y las políticas que deben seguirse para llevar el registro contable y presupuestal de las operaciones financieras, en los siguientes términos:</w:t>
      </w:r>
    </w:p>
    <w:p w14:paraId="07324E59" w14:textId="77777777" w:rsidR="00566CD1" w:rsidRPr="00DF63A7" w:rsidRDefault="00F83198" w:rsidP="00DF63A7">
      <w:pPr>
        <w:pBdr>
          <w:top w:val="nil"/>
          <w:left w:val="nil"/>
          <w:bottom w:val="nil"/>
          <w:right w:val="nil"/>
          <w:between w:val="nil"/>
        </w:pBdr>
        <w:tabs>
          <w:tab w:val="left" w:pos="426"/>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Artículo 342.-</w:t>
      </w:r>
      <w:r w:rsidRPr="00DF63A7">
        <w:rPr>
          <w:rFonts w:ascii="Palatino Linotype" w:eastAsia="Palatino Linotype" w:hAnsi="Palatino Linotype" w:cs="Palatino Linotype"/>
          <w:i/>
          <w:iCs/>
          <w:color w:val="000000"/>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2FF460EF" w14:textId="77777777" w:rsidR="00566CD1" w:rsidRPr="00DF63A7" w:rsidRDefault="00F83198" w:rsidP="00DF63A7">
      <w:pPr>
        <w:pBdr>
          <w:top w:val="nil"/>
          <w:left w:val="nil"/>
          <w:bottom w:val="nil"/>
          <w:right w:val="nil"/>
          <w:between w:val="nil"/>
        </w:pBdr>
        <w:tabs>
          <w:tab w:val="left" w:pos="426"/>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lastRenderedPageBreak/>
        <w:t>(…)”</w:t>
      </w:r>
    </w:p>
    <w:p w14:paraId="4D3777EE"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b/>
          <w:bCs/>
          <w:i/>
          <w:iCs/>
          <w:color w:val="000000"/>
        </w:rPr>
        <w:t>“Artículo 343.-</w:t>
      </w:r>
      <w:r w:rsidRPr="00DF63A7">
        <w:rPr>
          <w:rFonts w:ascii="Palatino Linotype" w:eastAsia="Palatino Linotype" w:hAnsi="Palatino Linotype" w:cs="Palatino Linotype"/>
          <w:i/>
          <w:iCs/>
          <w:color w:val="000000"/>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6400CDC2"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El sistema de contabilidad sobre base acumulativa total se sustentará en los postulados básicos y el marco conceptual de la contabilidad gubernamental.”</w:t>
      </w:r>
    </w:p>
    <w:p w14:paraId="0DE285B0"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Artículo 344.-</w:t>
      </w:r>
      <w:r w:rsidRPr="00DF63A7">
        <w:rPr>
          <w:rFonts w:ascii="Palatino Linotype" w:eastAsia="Palatino Linotype" w:hAnsi="Palatino Linotype" w:cs="Palatino Linotype"/>
          <w:i/>
          <w:iCs/>
          <w:color w:val="000000"/>
        </w:rPr>
        <w:t xml:space="preserve"> Las Dependencias, Entidades Públicas y unidades administrativas registrarán contablemente el efecto patrimonial y presupuestal de las operaciones financieras que realicen, en el momento en que ocurran, con base en el sistema y políticas de registro establecidas, en el caso de los Municipios se hará por la Tesorería. </w:t>
      </w:r>
    </w:p>
    <w:p w14:paraId="462F6E3B"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Derogado. </w:t>
      </w:r>
    </w:p>
    <w:p w14:paraId="24A4973D"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 a partir del ejercicio presupuestal siguiente al que corresponda, en el caso de los municipios se hará por la Tesorería. </w:t>
      </w:r>
    </w:p>
    <w:p w14:paraId="594AD5C7"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w:t>
      </w:r>
    </w:p>
    <w:p w14:paraId="26F80C3C"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Artículo 345.-</w:t>
      </w:r>
      <w:r w:rsidRPr="00DF63A7">
        <w:rPr>
          <w:rFonts w:ascii="Palatino Linotype" w:eastAsia="Palatino Linotype" w:hAnsi="Palatino Linotype" w:cs="Palatino Linotype"/>
          <w:i/>
          <w:iCs/>
          <w:color w:val="000000"/>
        </w:rPr>
        <w:t xml:space="preserve"> Las Dependencias, Entidades Públicas y unidades administrativas deberán conservar la documentación contable del año en curso y la de ejercicios anteriores cuyas cuentas públicas hayan sido revisadas y fiscalizadas por la Legislatura, la remitirán en un plazo que no excederá de seis meses al Archivo Contable Gubernamental. Tratándose de los comprobantes fiscales digitales, estos deberán estar agregados en forma electrónica en cada póliza de registro contable. </w:t>
      </w:r>
    </w:p>
    <w:p w14:paraId="14FA2494" w14:textId="77777777" w:rsidR="00566CD1" w:rsidRPr="00DF63A7" w:rsidRDefault="00F83198" w:rsidP="00DF63A7">
      <w:pPr>
        <w:pBdr>
          <w:top w:val="nil"/>
          <w:left w:val="nil"/>
          <w:bottom w:val="nil"/>
          <w:right w:val="nil"/>
          <w:between w:val="nil"/>
        </w:pBdr>
        <w:tabs>
          <w:tab w:val="left" w:pos="567"/>
        </w:tabs>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El plazo señalado en el párrafo anterior, empezará a contar a partir de la publicación en el Periódico Oficial, del decreto correspondiente. “</w:t>
      </w:r>
    </w:p>
    <w:p w14:paraId="5B59FFE1" w14:textId="77777777" w:rsidR="00566CD1" w:rsidRPr="00DF63A7" w:rsidRDefault="00566CD1" w:rsidP="00DF63A7">
      <w:pPr>
        <w:pBdr>
          <w:top w:val="nil"/>
          <w:left w:val="nil"/>
          <w:bottom w:val="nil"/>
          <w:right w:val="nil"/>
          <w:between w:val="nil"/>
        </w:pBdr>
        <w:tabs>
          <w:tab w:val="left" w:pos="426"/>
        </w:tabs>
        <w:spacing w:before="240" w:after="240" w:line="360" w:lineRule="auto"/>
        <w:ind w:right="-1134"/>
        <w:jc w:val="both"/>
        <w:rPr>
          <w:rFonts w:ascii="Palatino Linotype" w:eastAsia="Palatino Linotype" w:hAnsi="Palatino Linotype" w:cs="Palatino Linotype"/>
          <w:color w:val="000000"/>
        </w:rPr>
      </w:pPr>
    </w:p>
    <w:p w14:paraId="26BA4AD5"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53D59D07" w14:textId="77777777" w:rsidR="00566CD1" w:rsidRPr="00DF63A7" w:rsidRDefault="00566CD1" w:rsidP="00DF63A7">
      <w:pPr>
        <w:pBdr>
          <w:top w:val="nil"/>
          <w:left w:val="nil"/>
          <w:bottom w:val="nil"/>
          <w:right w:val="nil"/>
          <w:between w:val="nil"/>
        </w:pBdr>
        <w:tabs>
          <w:tab w:val="left" w:pos="426"/>
        </w:tabs>
        <w:spacing w:after="240" w:line="360" w:lineRule="auto"/>
        <w:ind w:right="-1134"/>
        <w:jc w:val="both"/>
        <w:rPr>
          <w:rFonts w:ascii="Palatino Linotype" w:eastAsia="Palatino Linotype" w:hAnsi="Palatino Linotype" w:cs="Palatino Linotype"/>
          <w:color w:val="000000"/>
        </w:rPr>
      </w:pPr>
    </w:p>
    <w:p w14:paraId="44F5F29B"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Al respecto, si bien es cierto que el Código Financiero del Estado de México y Municipios establece la obligación de los Municipios para llevar los registros contables y presupuestales; también lo es que, dicho ordenamiento jurídico no establece </w:t>
      </w:r>
      <w:r w:rsidRPr="00DF63A7">
        <w:rPr>
          <w:rFonts w:ascii="Palatino Linotype" w:eastAsia="Palatino Linotype" w:hAnsi="Palatino Linotype" w:cs="Palatino Linotype"/>
        </w:rPr>
        <w:t>qué</w:t>
      </w:r>
      <w:r w:rsidRPr="00DF63A7">
        <w:rPr>
          <w:rFonts w:ascii="Palatino Linotype" w:eastAsia="Palatino Linotype" w:hAnsi="Palatino Linotype" w:cs="Palatino Linotype"/>
          <w:color w:val="000000"/>
        </w:rPr>
        <w:t xml:space="preserv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2A68EEB7" w14:textId="77777777" w:rsidR="00566CD1" w:rsidRPr="00DF63A7" w:rsidRDefault="00F83198" w:rsidP="00DF63A7">
      <w:pPr>
        <w:pBdr>
          <w:top w:val="nil"/>
          <w:left w:val="nil"/>
          <w:bottom w:val="nil"/>
          <w:right w:val="nil"/>
          <w:between w:val="nil"/>
        </w:pBdr>
        <w:tabs>
          <w:tab w:val="left" w:pos="709"/>
          <w:tab w:val="left" w:pos="8222"/>
        </w:tabs>
        <w:spacing w:after="240" w:line="276" w:lineRule="auto"/>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REGISTRO CONTABLE:</w:t>
      </w:r>
    </w:p>
    <w:p w14:paraId="169AA41F" w14:textId="77777777" w:rsidR="00566CD1" w:rsidRPr="00DF63A7" w:rsidRDefault="00F83198" w:rsidP="00DF63A7">
      <w:pPr>
        <w:pBdr>
          <w:top w:val="nil"/>
          <w:left w:val="nil"/>
          <w:bottom w:val="nil"/>
          <w:right w:val="nil"/>
          <w:between w:val="nil"/>
        </w:pBdr>
        <w:tabs>
          <w:tab w:val="left" w:pos="709"/>
          <w:tab w:val="left" w:pos="8222"/>
        </w:tabs>
        <w:spacing w:before="240" w:after="240" w:line="276" w:lineRule="auto"/>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 xml:space="preserve">Asiento que se realiza en los libros de contabilidad de las actividades relacionadas con el ingreso y egresos de un ente económico.” </w:t>
      </w:r>
    </w:p>
    <w:p w14:paraId="4596F13C" w14:textId="77777777" w:rsidR="00566CD1" w:rsidRPr="00DF63A7" w:rsidRDefault="00F83198" w:rsidP="00DF63A7">
      <w:pPr>
        <w:pBdr>
          <w:top w:val="nil"/>
          <w:left w:val="nil"/>
          <w:bottom w:val="nil"/>
          <w:right w:val="nil"/>
          <w:between w:val="nil"/>
        </w:pBdr>
        <w:tabs>
          <w:tab w:val="left" w:pos="709"/>
          <w:tab w:val="left" w:pos="8222"/>
        </w:tabs>
        <w:spacing w:before="240" w:after="240" w:line="276" w:lineRule="auto"/>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REGISTRO PRESUPUESTARIO:</w:t>
      </w:r>
    </w:p>
    <w:p w14:paraId="4AB15892" w14:textId="77777777" w:rsidR="00566CD1" w:rsidRPr="00DF63A7" w:rsidRDefault="00F83198" w:rsidP="00DF63A7">
      <w:pPr>
        <w:pBdr>
          <w:top w:val="nil"/>
          <w:left w:val="nil"/>
          <w:bottom w:val="nil"/>
          <w:right w:val="nil"/>
          <w:between w:val="nil"/>
        </w:pBdr>
        <w:tabs>
          <w:tab w:val="left" w:pos="709"/>
          <w:tab w:val="left" w:pos="8222"/>
        </w:tabs>
        <w:spacing w:before="240" w:after="240" w:line="276" w:lineRule="auto"/>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Asiento contable de las erogaciones realizadas por las dependencias y entidades con relación a la asignación, modificación y ejercicio de los recursos presupuestarios que se les hayan autorizado.”</w:t>
      </w:r>
    </w:p>
    <w:p w14:paraId="109FC7B6" w14:textId="77777777" w:rsidR="00566CD1" w:rsidRPr="00DF63A7" w:rsidRDefault="00566CD1" w:rsidP="00DF63A7">
      <w:pPr>
        <w:pBdr>
          <w:top w:val="nil"/>
          <w:left w:val="nil"/>
          <w:bottom w:val="nil"/>
          <w:right w:val="nil"/>
          <w:between w:val="nil"/>
        </w:pBdr>
        <w:tabs>
          <w:tab w:val="left" w:pos="426"/>
        </w:tabs>
        <w:spacing w:before="240" w:after="240" w:line="360" w:lineRule="auto"/>
        <w:ind w:right="-1134"/>
        <w:jc w:val="both"/>
        <w:rPr>
          <w:rFonts w:ascii="Palatino Linotype" w:eastAsia="Palatino Linotype" w:hAnsi="Palatino Linotype" w:cs="Palatino Linotype"/>
          <w:color w:val="000000"/>
        </w:rPr>
      </w:pPr>
    </w:p>
    <w:p w14:paraId="5CBD4F75"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659E1A23" w14:textId="77777777" w:rsidR="00566CD1" w:rsidRPr="00DF63A7" w:rsidRDefault="00566CD1" w:rsidP="00DF63A7">
      <w:pPr>
        <w:pBdr>
          <w:top w:val="nil"/>
          <w:left w:val="nil"/>
          <w:bottom w:val="nil"/>
          <w:right w:val="nil"/>
          <w:between w:val="nil"/>
        </w:pBdr>
        <w:tabs>
          <w:tab w:val="left" w:pos="426"/>
        </w:tabs>
        <w:spacing w:after="240" w:line="360" w:lineRule="auto"/>
        <w:ind w:right="-1134"/>
        <w:jc w:val="both"/>
        <w:rPr>
          <w:rFonts w:ascii="Palatino Linotype" w:eastAsia="Palatino Linotype" w:hAnsi="Palatino Linotype" w:cs="Palatino Linotype"/>
          <w:color w:val="000000"/>
        </w:rPr>
      </w:pPr>
    </w:p>
    <w:p w14:paraId="7D5D9A5C"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Correlativo a lo anterior, es preciso referir una definición de póliza contable, la cual, primeramente, no está definida en el Código Financiero del Estado de México y Municipios; no obstante, los ya mencionados Glosarios la definen como:</w:t>
      </w:r>
    </w:p>
    <w:p w14:paraId="0AF7BFF9" w14:textId="77777777" w:rsidR="00566CD1" w:rsidRPr="00DF63A7" w:rsidRDefault="00F83198" w:rsidP="00DF63A7">
      <w:pPr>
        <w:pBdr>
          <w:top w:val="nil"/>
          <w:left w:val="nil"/>
          <w:bottom w:val="nil"/>
          <w:right w:val="nil"/>
          <w:between w:val="nil"/>
        </w:pBdr>
        <w:spacing w:before="240" w:after="240"/>
        <w:ind w:left="567"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i/>
          <w:iCs/>
          <w:color w:val="000000"/>
        </w:rPr>
        <w:t>“</w:t>
      </w:r>
      <w:r w:rsidRPr="00DF63A7">
        <w:rPr>
          <w:rFonts w:ascii="Palatino Linotype" w:eastAsia="Palatino Linotype" w:hAnsi="Palatino Linotype" w:cs="Palatino Linotype"/>
          <w:b/>
          <w:bCs/>
          <w:i/>
          <w:iCs/>
          <w:color w:val="000000"/>
        </w:rPr>
        <w:t>PÓLIZA CONTABLE:</w:t>
      </w:r>
    </w:p>
    <w:p w14:paraId="5D8C735F" w14:textId="77777777" w:rsidR="00566CD1" w:rsidRDefault="00F83198" w:rsidP="00DF63A7">
      <w:pPr>
        <w:pBdr>
          <w:top w:val="nil"/>
          <w:left w:val="nil"/>
          <w:bottom w:val="nil"/>
          <w:right w:val="nil"/>
          <w:between w:val="nil"/>
        </w:pBdr>
        <w:spacing w:before="240" w:after="240"/>
        <w:ind w:left="567"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i/>
          <w:iCs/>
          <w:color w:val="000000"/>
        </w:rPr>
        <w:t>Documento en el cual se asientan en forma individual todas y cada una de las operaciones desarrolladas por una institución, así como la información necesaria para la identificación de dichas operaciones.”</w:t>
      </w:r>
    </w:p>
    <w:p w14:paraId="7032DB06"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Luego entonces, se advierte que la póliza contable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14:paraId="6A097B60" w14:textId="77777777" w:rsidR="00566CD1" w:rsidRPr="00DF63A7" w:rsidRDefault="00566CD1" w:rsidP="00DF63A7">
      <w:pPr>
        <w:pBdr>
          <w:top w:val="nil"/>
          <w:left w:val="nil"/>
          <w:bottom w:val="nil"/>
          <w:right w:val="nil"/>
          <w:between w:val="nil"/>
        </w:pBdr>
        <w:tabs>
          <w:tab w:val="left" w:pos="426"/>
        </w:tabs>
        <w:spacing w:after="240" w:line="360" w:lineRule="auto"/>
        <w:ind w:right="-1134"/>
        <w:jc w:val="both"/>
        <w:rPr>
          <w:rFonts w:ascii="Palatino Linotype" w:eastAsia="Palatino Linotype" w:hAnsi="Palatino Linotype" w:cs="Palatino Linotype"/>
          <w:color w:val="000000"/>
        </w:rPr>
      </w:pPr>
    </w:p>
    <w:p w14:paraId="08CEF802" w14:textId="77777777" w:rsidR="00566CD1" w:rsidRPr="00DF63A7" w:rsidRDefault="00F83198" w:rsidP="00DF63A7">
      <w:pPr>
        <w:numPr>
          <w:ilvl w:val="0"/>
          <w:numId w:val="11"/>
        </w:numPr>
        <w:pBdr>
          <w:top w:val="nil"/>
          <w:left w:val="nil"/>
          <w:bottom w:val="nil"/>
          <w:right w:val="nil"/>
          <w:between w:val="nil"/>
        </w:pBdr>
        <w:tabs>
          <w:tab w:val="left" w:pos="426"/>
        </w:tabs>
        <w:spacing w:before="240"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Al respecto, existen diversos tipos de pólizas contables de acuerdo a las operaciones realizadas, dentro de las cuales, encontramos las llamadas pólizas de egresos e ingresos, en </w:t>
      </w:r>
      <w:r w:rsidRPr="00DF63A7">
        <w:rPr>
          <w:rFonts w:ascii="Palatino Linotype" w:eastAsia="Palatino Linotype" w:hAnsi="Palatino Linotype" w:cs="Palatino Linotype"/>
          <w:color w:val="000000"/>
        </w:rPr>
        <w:lastRenderedPageBreak/>
        <w:t>las cuales se anotan diariamente las operaciones que representan egresos e ingresos, es decir, salidas y entradas de dinero para, la cual además, debe encontrarse acompañada de las documentales que sirven de soporte de dicho movimiento.</w:t>
      </w:r>
    </w:p>
    <w:p w14:paraId="070D07F2"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color w:val="000000"/>
        </w:rPr>
      </w:pPr>
    </w:p>
    <w:p w14:paraId="19F690A1" w14:textId="77777777" w:rsidR="00566CD1" w:rsidRPr="00DF63A7" w:rsidRDefault="00F83198" w:rsidP="00DF63A7">
      <w:pPr>
        <w:numPr>
          <w:ilvl w:val="0"/>
          <w:numId w:val="11"/>
        </w:numPr>
        <w:pBdr>
          <w:top w:val="nil"/>
          <w:left w:val="nil"/>
          <w:bottom w:val="nil"/>
          <w:right w:val="nil"/>
          <w:between w:val="nil"/>
        </w:pBdr>
        <w:tabs>
          <w:tab w:val="left" w:pos="426"/>
        </w:tabs>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Asimismo, se refuerza que al tener que documentar cada egreso e ingreso que se realiza de manera diaria, queda claro que el Sujeto Obligado debe generar, administrar y poseer la información que solicitó el particular. Por ello, </w:t>
      </w:r>
      <w:r w:rsidRPr="00DF63A7">
        <w:rPr>
          <w:rFonts w:ascii="Palatino Linotype" w:eastAsia="Palatino Linotype" w:hAnsi="Palatino Linotype" w:cs="Palatino Linotype"/>
        </w:rPr>
        <w:t>de manera</w:t>
      </w:r>
      <w:r w:rsidRPr="00DF63A7">
        <w:rPr>
          <w:rFonts w:ascii="Palatino Linotype" w:eastAsia="Palatino Linotype" w:hAnsi="Palatino Linotype" w:cs="Palatino Linotype"/>
          <w:color w:val="000000"/>
        </w:rPr>
        <w:t xml:space="preserve"> enunciativa más no limitativa, la información solicitada puede colmarse con la entrega de la póliza de egresos e ingresos. </w:t>
      </w:r>
    </w:p>
    <w:p w14:paraId="23172F6E" w14:textId="77777777" w:rsidR="00566CD1" w:rsidRPr="00DF63A7" w:rsidRDefault="00566CD1" w:rsidP="00DF63A7">
      <w:pPr>
        <w:pBdr>
          <w:top w:val="nil"/>
          <w:left w:val="nil"/>
          <w:bottom w:val="nil"/>
          <w:right w:val="nil"/>
          <w:between w:val="nil"/>
        </w:pBdr>
        <w:tabs>
          <w:tab w:val="left" w:pos="426"/>
        </w:tabs>
        <w:spacing w:after="240" w:line="360" w:lineRule="auto"/>
        <w:ind w:right="-1134"/>
        <w:jc w:val="both"/>
        <w:rPr>
          <w:rFonts w:ascii="Palatino Linotype" w:eastAsia="Palatino Linotype" w:hAnsi="Palatino Linotype" w:cs="Palatino Linotype"/>
          <w:color w:val="000000"/>
        </w:rPr>
      </w:pPr>
    </w:p>
    <w:p w14:paraId="4B83589D"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Ahora bien, derivado de la información solicitada, también es necesario traer a contexto lo dispuesto en la Ley de la Contratación Pública del Estado de México y Municipios, la cual tiene por objeto regular los actos relativos a la planeación, programación, presupuestación, ejecución y control de </w:t>
      </w:r>
      <w:r w:rsidRPr="00DF63A7">
        <w:rPr>
          <w:rFonts w:ascii="Palatino Linotype" w:eastAsia="Palatino Linotype" w:hAnsi="Palatino Linotype" w:cs="Palatino Linotype"/>
          <w:b/>
          <w:bCs/>
          <w:color w:val="000000"/>
        </w:rPr>
        <w:t>la adquisición</w:t>
      </w:r>
      <w:r w:rsidRPr="00DF63A7">
        <w:rPr>
          <w:rFonts w:ascii="Palatino Linotype" w:eastAsia="Palatino Linotype" w:hAnsi="Palatino Linotype" w:cs="Palatino Linotype"/>
          <w:color w:val="000000"/>
        </w:rPr>
        <w:t xml:space="preserve">, enajenación y arrendamiento de bienes, </w:t>
      </w:r>
      <w:r w:rsidRPr="00DF63A7">
        <w:rPr>
          <w:rFonts w:ascii="Palatino Linotype" w:eastAsia="Palatino Linotype" w:hAnsi="Palatino Linotype" w:cs="Palatino Linotype"/>
          <w:b/>
          <w:bCs/>
          <w:color w:val="000000"/>
        </w:rPr>
        <w:t>y la contratación de servicios de cualquier naturaleza</w:t>
      </w:r>
      <w:r w:rsidRPr="00DF63A7">
        <w:rPr>
          <w:rFonts w:ascii="Palatino Linotype" w:eastAsia="Palatino Linotype" w:hAnsi="Palatino Linotype" w:cs="Palatino Linotype"/>
          <w:color w:val="000000"/>
        </w:rPr>
        <w:t xml:space="preserve">, que realicen los Ayuntamientos del Estado; los cuales se </w:t>
      </w:r>
      <w:r w:rsidRPr="00DF63A7">
        <w:rPr>
          <w:rFonts w:ascii="Palatino Linotype" w:eastAsia="Palatino Linotype" w:hAnsi="Palatino Linotype" w:cs="Palatino Linotype"/>
        </w:rPr>
        <w:t>adjudicará</w:t>
      </w:r>
      <w:r w:rsidRPr="00DF63A7">
        <w:rPr>
          <w:rFonts w:ascii="Palatino Linotype" w:eastAsia="Palatino Linotype" w:hAnsi="Palatino Linotype" w:cs="Palatino Linotype"/>
          <w:color w:val="000000"/>
        </w:rPr>
        <w:t xml:space="preserve"> a través de licitaciones públicas, invitación restringida o adjudicación directa, mediante convocatoria pública, tal y como lo establecen los artículos 4, 26 y 27 de dicha Ley, los cuales son del tenor siguiente:</w:t>
      </w:r>
    </w:p>
    <w:p w14:paraId="08EB6E15"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w:t>
      </w:r>
      <w:r w:rsidRPr="00DF63A7">
        <w:rPr>
          <w:rFonts w:ascii="Palatino Linotype" w:eastAsia="Palatino Linotype" w:hAnsi="Palatino Linotype" w:cs="Palatino Linotype"/>
          <w:b/>
          <w:bCs/>
          <w:i/>
          <w:iCs/>
        </w:rPr>
        <w:t>Artículo 4.-</w:t>
      </w:r>
      <w:r w:rsidRPr="00DF63A7">
        <w:rPr>
          <w:rFonts w:ascii="Palatino Linotype" w:eastAsia="Palatino Linotype" w:hAnsi="Palatino Linotype" w:cs="Palatino Linotype"/>
          <w:i/>
          <w:iCs/>
        </w:rPr>
        <w:t xml:space="preserve"> Para los efectos de esta Ley, en las adquisiciones, enajenaciones, arrendamientos y servicios, quedan comprendidos: </w:t>
      </w:r>
    </w:p>
    <w:p w14:paraId="4AEAD673" w14:textId="77777777" w:rsidR="00566CD1" w:rsidRPr="00DF63A7" w:rsidRDefault="00F83198" w:rsidP="00DF63A7">
      <w:pP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 xml:space="preserve">I. La adquisición de bienes muebles. </w:t>
      </w:r>
    </w:p>
    <w:p w14:paraId="2E31C3CF"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II. La adquisición de bienes inmuebles, a través de compraventa. </w:t>
      </w:r>
    </w:p>
    <w:p w14:paraId="4631A15C"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III. La enajenación de bienes muebles e inmuebles. </w:t>
      </w:r>
    </w:p>
    <w:p w14:paraId="790812FF"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IV. El arrendamiento de bienes muebles e inmuebles. </w:t>
      </w:r>
    </w:p>
    <w:p w14:paraId="45CDB2E7" w14:textId="77777777" w:rsidR="00566CD1" w:rsidRPr="00DF63A7" w:rsidRDefault="00F83198" w:rsidP="00DF63A7">
      <w:pP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 xml:space="preserve">V. La contratación de los servicios, relacionados con bienes muebles que se encuentran incorporados o adheridos a bienes inmuebles, cuya instalación o mantenimiento no implique modificación al bien inmueble. </w:t>
      </w:r>
    </w:p>
    <w:p w14:paraId="7F5521E7"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lastRenderedPageBreak/>
        <w:t xml:space="preserve">VI. La contratación de los servicios de reconstrucción y mantenimiento de bienes muebles. </w:t>
      </w:r>
    </w:p>
    <w:p w14:paraId="0002A0E5"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VII. La contratación de los servicios de maquila, seguros y transportación, así como de los de limpieza y vigilancia de bienes inmuebles</w:t>
      </w:r>
    </w:p>
    <w:p w14:paraId="7FE31BF9"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VIII. La prestación de servicios profesionales, la contratación de consultorías, asesorías y estudios e investigaciones, excepto la contratación de servicios personales de personas físicas bajo el régimen de honorarios. </w:t>
      </w:r>
    </w:p>
    <w:p w14:paraId="46B514CC"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En general, otros actos que impliquen la contratación de servicios de cualquier naturaleza.</w:t>
      </w:r>
    </w:p>
    <w:p w14:paraId="2BEBA8C2"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Artículo 26.- Las adquisiciones, arrendamientos y servicios se adjudicarán a través de licitaciones públicas, mediante convocatoria pública.</w:t>
      </w:r>
    </w:p>
    <w:p w14:paraId="0AB5DB5E" w14:textId="77777777" w:rsidR="00566CD1" w:rsidRPr="00DF63A7" w:rsidRDefault="00566CD1" w:rsidP="00DF63A7">
      <w:pPr>
        <w:ind w:left="567" w:right="-1134"/>
        <w:jc w:val="both"/>
        <w:rPr>
          <w:rFonts w:ascii="Palatino Linotype" w:eastAsia="Palatino Linotype" w:hAnsi="Palatino Linotype" w:cs="Palatino Linotype"/>
          <w:b/>
          <w:bCs/>
          <w:i/>
          <w:iCs/>
        </w:rPr>
      </w:pPr>
    </w:p>
    <w:p w14:paraId="7DAD6429"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 xml:space="preserve">Artículo 27.- </w:t>
      </w:r>
      <w:r w:rsidRPr="00DF63A7">
        <w:rPr>
          <w:rFonts w:ascii="Palatino Linotype" w:eastAsia="Palatino Linotype" w:hAnsi="Palatino Linotype" w:cs="Palatino Linotype"/>
          <w:i/>
          <w:iCs/>
        </w:rPr>
        <w:t xml:space="preserve">La Secretaría, las entidades, los tribunales administrativos y los ayuntamientos podrán adjudicar adquisiciones, arrendamientos y servicios, mediante las excepciones al procedimiento de licitación que a continuación se señalan: </w:t>
      </w:r>
    </w:p>
    <w:p w14:paraId="7FE86FE1" w14:textId="77777777" w:rsidR="00566CD1" w:rsidRPr="00DF63A7" w:rsidRDefault="00F83198" w:rsidP="00DF63A7">
      <w:pP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 xml:space="preserve">I. Invitación restringida. </w:t>
      </w:r>
    </w:p>
    <w:p w14:paraId="1318F5AA" w14:textId="77777777" w:rsidR="00566CD1" w:rsidRPr="00DF63A7" w:rsidRDefault="00F83198" w:rsidP="00DF63A7">
      <w:pP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II. Adjudicación directa.”</w:t>
      </w:r>
    </w:p>
    <w:p w14:paraId="3F953607" w14:textId="77777777" w:rsidR="00566CD1" w:rsidRPr="00DF63A7" w:rsidRDefault="00F83198" w:rsidP="00DF63A7">
      <w:pPr>
        <w:ind w:left="567" w:right="-1134"/>
        <w:jc w:val="right"/>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(Énfasis añadido) </w:t>
      </w:r>
    </w:p>
    <w:p w14:paraId="5A467804"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5C772A9C"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Así, en lo que respecta sobre la licitación pública, el artículo 29 de la Ley de la Contratación Pública en mención, indica que en este procedimiento deberán establecerse los mismos requisitos y condiciones para todos los licitantes. Todo licitante que satisfaga los requisitos de la convocatoria y de las bases de la licitación tendrá derecho a presentar su propuesta. </w:t>
      </w:r>
    </w:p>
    <w:p w14:paraId="62AA97DC"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4590B00F"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Asimismo, el artículo 33, del mismo ordenamiento legal, puntualmente señala el contenido que deberá tener la convocatoria para la celebración de las licitaciones públicas y por su parte, el consecutivo 34 señala que las bases de la licitación pública tendrán un costo de recuperación y contendrán los requisitos que se establezcan en el reglamento de dicha Ley. </w:t>
      </w:r>
    </w:p>
    <w:p w14:paraId="5ABF00D2" w14:textId="77777777" w:rsidR="00566CD1" w:rsidRPr="00DF63A7" w:rsidRDefault="00566CD1" w:rsidP="00DF63A7">
      <w:pPr>
        <w:pBdr>
          <w:top w:val="nil"/>
          <w:left w:val="nil"/>
          <w:bottom w:val="nil"/>
          <w:right w:val="nil"/>
          <w:between w:val="nil"/>
        </w:pBdr>
        <w:ind w:right="-1134"/>
        <w:rPr>
          <w:rFonts w:ascii="Palatino Linotype" w:eastAsia="Palatino Linotype" w:hAnsi="Palatino Linotype" w:cs="Palatino Linotype"/>
          <w:color w:val="000000"/>
        </w:rPr>
      </w:pPr>
    </w:p>
    <w:p w14:paraId="6C8F5C2B"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Por lo que, en las licitaciones se debe seguir el procedimiento marcado en el artículo 35 del precitado ordenamiento, que literalmente establece:</w:t>
      </w:r>
    </w:p>
    <w:p w14:paraId="52CFBC54"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“Artículo 35</w:t>
      </w:r>
      <w:r w:rsidRPr="00DF63A7">
        <w:rPr>
          <w:rFonts w:ascii="Palatino Linotype" w:eastAsia="Palatino Linotype" w:hAnsi="Palatino Linotype" w:cs="Palatino Linotype"/>
          <w:i/>
          <w:iCs/>
        </w:rPr>
        <w:t>.- En los procedimientos de licitación pública se observará lo siguiente:</w:t>
      </w:r>
    </w:p>
    <w:p w14:paraId="0678D323"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14:paraId="6448996A"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14:paraId="50325E15"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 xml:space="preserve">III. Las bases de licitación se pondrán a la venta a partir de la fecha de publicación de la convocatoria y hasta el día hábil anterior a la fecha de celebración </w:t>
      </w:r>
      <w:r w:rsidRPr="00DF63A7">
        <w:rPr>
          <w:rFonts w:ascii="Palatino Linotype" w:eastAsia="Palatino Linotype" w:hAnsi="Palatino Linotype" w:cs="Palatino Linotype"/>
          <w:b/>
          <w:bCs/>
          <w:i/>
          <w:iCs/>
        </w:rPr>
        <w:t>de la junta de aclaraciones</w:t>
      </w:r>
      <w:r w:rsidRPr="00DF63A7">
        <w:rPr>
          <w:rFonts w:ascii="Palatino Linotype" w:eastAsia="Palatino Linotype" w:hAnsi="Palatino Linotype" w:cs="Palatino Linotype"/>
          <w:i/>
          <w:iCs/>
        </w:rPr>
        <w:t xml:space="preserve"> o, en su defecto, del acto de presentación y apertura de propuestas.</w:t>
      </w:r>
    </w:p>
    <w:p w14:paraId="37503F05"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IV. Las convocantes podrán modificar los plazos y términos establecidos en la convocatoria o en las bases de licitación, hasta cinco días hábiles anteriores a la fecha de la celebración del acto de presentación y apertura de propuestas.</w:t>
      </w:r>
    </w:p>
    <w:p w14:paraId="1C8E722B"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14:paraId="1FBE9CD0"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14:paraId="6E928C16"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VII. Se emitirá el fallo dentro de los 15 días hábiles siguientes a la publicación de la convocatoria.</w:t>
      </w:r>
    </w:p>
    <w:p w14:paraId="07150E7F"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VIII. Los licitantes se podrán registrar hasta el día y la hora fijados para el acto de presentación y apertura de propuestas.</w:t>
      </w:r>
      <w:r w:rsidRPr="00DF63A7">
        <w:rPr>
          <w:rFonts w:ascii="Palatino Linotype" w:eastAsia="Palatino Linotype" w:hAnsi="Palatino Linotype" w:cs="Palatino Linotype"/>
          <w:b/>
          <w:bCs/>
          <w:i/>
          <w:iCs/>
        </w:rPr>
        <w:t>”</w:t>
      </w:r>
    </w:p>
    <w:p w14:paraId="4DD9E432" w14:textId="77777777" w:rsidR="00566CD1" w:rsidRPr="00DF63A7" w:rsidRDefault="00F83198" w:rsidP="00DF63A7">
      <w:pPr>
        <w:tabs>
          <w:tab w:val="left" w:pos="8647"/>
        </w:tabs>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(Énfasis añadido)</w:t>
      </w:r>
    </w:p>
    <w:p w14:paraId="3B1425A3" w14:textId="77777777" w:rsidR="00566CD1" w:rsidRPr="00DF63A7" w:rsidRDefault="00566CD1" w:rsidP="00DF63A7">
      <w:pPr>
        <w:spacing w:line="360" w:lineRule="auto"/>
        <w:ind w:left="567" w:right="-1134"/>
        <w:jc w:val="both"/>
        <w:rPr>
          <w:rFonts w:ascii="Palatino Linotype" w:eastAsia="Palatino Linotype" w:hAnsi="Palatino Linotype" w:cs="Palatino Linotype"/>
          <w:i/>
          <w:iCs/>
        </w:rPr>
      </w:pPr>
    </w:p>
    <w:p w14:paraId="0EF49F08"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5985ADF4"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786F3E62"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Además, respecto al dictamen y el fallo de la adjudicación, es de señalar que la Ley en mención indica lo siguiente:</w:t>
      </w:r>
    </w:p>
    <w:p w14:paraId="5EB92026" w14:textId="77777777" w:rsidR="00566CD1" w:rsidRPr="00DF63A7" w:rsidRDefault="00566CD1" w:rsidP="00DF63A7">
      <w:pPr>
        <w:ind w:right="-1134"/>
        <w:jc w:val="both"/>
        <w:rPr>
          <w:rFonts w:ascii="Palatino Linotype" w:eastAsia="Palatino Linotype" w:hAnsi="Palatino Linotype" w:cs="Palatino Linotype"/>
        </w:rPr>
      </w:pPr>
    </w:p>
    <w:p w14:paraId="7F133707"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“Artículo 37.-</w:t>
      </w:r>
      <w:r w:rsidRPr="00DF63A7">
        <w:rPr>
          <w:rFonts w:ascii="Palatino Linotype" w:eastAsia="Palatino Linotype" w:hAnsi="Palatino Linotype" w:cs="Palatino Linotype"/>
          <w:i/>
          <w:iCs/>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14:paraId="1F3316F5" w14:textId="77777777" w:rsidR="00566CD1" w:rsidRPr="00DF63A7" w:rsidRDefault="00566CD1" w:rsidP="00DF63A7">
      <w:pPr>
        <w:ind w:left="567" w:right="-1134"/>
        <w:jc w:val="both"/>
        <w:rPr>
          <w:rFonts w:ascii="Palatino Linotype" w:eastAsia="Palatino Linotype" w:hAnsi="Palatino Linotype" w:cs="Palatino Linotype"/>
          <w:b/>
          <w:bCs/>
          <w:i/>
          <w:iCs/>
        </w:rPr>
      </w:pPr>
    </w:p>
    <w:p w14:paraId="060481F6"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Artículo 38.-</w:t>
      </w:r>
      <w:r w:rsidRPr="00DF63A7">
        <w:rPr>
          <w:rFonts w:ascii="Palatino Linotype" w:eastAsia="Palatino Linotype" w:hAnsi="Palatino Linotype" w:cs="Palatino Linotype"/>
          <w:i/>
          <w:iCs/>
        </w:rPr>
        <w:t xml:space="preserve">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14:paraId="75FA5C62"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El fallo de adjudicación surtirá efectos desde la emisión, siendo responsabilidad de los licitantes enterarse de su contenido, por lo que a partir de ese momento, las obligaciones derivadas de éste serán exigibles sin perjuicio de la formalización del contrato respectivo, en los términos señalados en el fallo.</w:t>
      </w:r>
      <w:r w:rsidRPr="00DF63A7">
        <w:rPr>
          <w:rFonts w:ascii="Palatino Linotype" w:eastAsia="Palatino Linotype" w:hAnsi="Palatino Linotype" w:cs="Palatino Linotype"/>
          <w:b/>
          <w:bCs/>
          <w:i/>
          <w:iCs/>
        </w:rPr>
        <w:t>”</w:t>
      </w:r>
      <w:r w:rsidRPr="00DF63A7">
        <w:rPr>
          <w:rFonts w:ascii="Palatino Linotype" w:eastAsia="Palatino Linotype" w:hAnsi="Palatino Linotype" w:cs="Palatino Linotype"/>
          <w:i/>
          <w:iCs/>
        </w:rPr>
        <w:t xml:space="preserve"> </w:t>
      </w:r>
    </w:p>
    <w:p w14:paraId="20B70747" w14:textId="77777777" w:rsidR="00566CD1" w:rsidRPr="00DF63A7" w:rsidRDefault="00566CD1" w:rsidP="00DF63A7">
      <w:pPr>
        <w:spacing w:line="360" w:lineRule="auto"/>
        <w:ind w:left="567" w:right="-1134"/>
        <w:jc w:val="both"/>
        <w:rPr>
          <w:rFonts w:ascii="Palatino Linotype" w:eastAsia="Palatino Linotype" w:hAnsi="Palatino Linotype" w:cs="Palatino Linotype"/>
          <w:i/>
          <w:iCs/>
        </w:rPr>
      </w:pPr>
    </w:p>
    <w:p w14:paraId="289EE305"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14:paraId="72780171"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00DC48F6"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Además, es oportuno señalar que, las disposiciones respecto a las bases, dictámenes, fallos y fianzas, se realizan con similitud al procedimiento de licitación pública, tal como lo señalan los artículos 46 y 90 de la misma Ley, que literalmente establecen:</w:t>
      </w:r>
    </w:p>
    <w:p w14:paraId="1DE7B10E"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5C801597"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“Artículo 46.-</w:t>
      </w:r>
      <w:r w:rsidRPr="00DF63A7">
        <w:rPr>
          <w:rFonts w:ascii="Palatino Linotype" w:eastAsia="Palatino Linotype" w:hAnsi="Palatino Linotype" w:cs="Palatino Linotype"/>
          <w:i/>
          <w:iCs/>
        </w:rPr>
        <w:t xml:space="preserve"> El procedimiento de invitación restringida se desarrollará en los términos de la licitación pública, a excepción de la publicación de la convocatoria.” (Sic)</w:t>
      </w:r>
    </w:p>
    <w:p w14:paraId="38C92D57"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Por ello, el Reglamento de la Ley en comento, en su artículo 90, indica cuales son los supuestos que deberán observarse para llevar a cabo dicho procedimiento:</w:t>
      </w:r>
    </w:p>
    <w:p w14:paraId="18DD3EEB" w14:textId="77777777" w:rsidR="00566CD1" w:rsidRPr="00DF63A7" w:rsidRDefault="00566CD1" w:rsidP="00DF63A7">
      <w:pPr>
        <w:ind w:left="567" w:right="-1134"/>
        <w:jc w:val="both"/>
        <w:rPr>
          <w:rFonts w:ascii="Palatino Linotype" w:eastAsia="Palatino Linotype" w:hAnsi="Palatino Linotype" w:cs="Palatino Linotype"/>
          <w:b/>
          <w:bCs/>
          <w:i/>
          <w:iCs/>
        </w:rPr>
      </w:pPr>
    </w:p>
    <w:p w14:paraId="7AC38ED1"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b/>
          <w:bCs/>
          <w:i/>
          <w:iCs/>
        </w:rPr>
        <w:t>Artículo 90.-</w:t>
      </w:r>
      <w:r w:rsidRPr="00DF63A7">
        <w:rPr>
          <w:rFonts w:ascii="Palatino Linotype" w:eastAsia="Palatino Linotype" w:hAnsi="Palatino Linotype" w:cs="Palatino Linotype"/>
          <w:i/>
          <w:iCs/>
        </w:rPr>
        <w:t xml:space="preserve"> En el procedimiento de invitación restringida se deberá observar lo siguiente:</w:t>
      </w:r>
    </w:p>
    <w:p w14:paraId="3B4AD2C6" w14:textId="77777777" w:rsidR="00566CD1" w:rsidRPr="00DF63A7" w:rsidRDefault="00566CD1" w:rsidP="00DF63A7">
      <w:pPr>
        <w:ind w:left="567" w:right="-1134"/>
        <w:jc w:val="both"/>
        <w:rPr>
          <w:rFonts w:ascii="Palatino Linotype" w:eastAsia="Palatino Linotype" w:hAnsi="Palatino Linotype" w:cs="Palatino Linotype"/>
          <w:i/>
          <w:iCs/>
        </w:rPr>
      </w:pPr>
    </w:p>
    <w:p w14:paraId="4084D0AB"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I. Se invitará a un mínimo de tres personas seleccionadas de entre las que se encuentren inscritas en el catálogo de proveedores y de prestadores de servicios.</w:t>
      </w:r>
    </w:p>
    <w:p w14:paraId="424608B0"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Se podrá invitar a personas que no se encuentren inscritas, cuando en el giro correspondiente del catálogo de proveedores y prestadores de servicios no exista el registro mínimo de personas requeridas para tal modalidad;</w:t>
      </w:r>
    </w:p>
    <w:p w14:paraId="13C8163E"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II. Las bases de la invitación restringida indicarán los aspectos de la adquisición o contratación; y</w:t>
      </w:r>
    </w:p>
    <w:p w14:paraId="7E09F4E1" w14:textId="77777777" w:rsidR="00566CD1" w:rsidRPr="00DF63A7" w:rsidRDefault="00F83198" w:rsidP="00DF63A7">
      <w:pP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i/>
          <w:iCs/>
        </w:rPr>
        <w:t>III. Serán aplicables, en lo conducente, las disposiciones de la licitación pública.</w:t>
      </w:r>
      <w:r w:rsidRPr="00DF63A7">
        <w:rPr>
          <w:rFonts w:ascii="Palatino Linotype" w:eastAsia="Palatino Linotype" w:hAnsi="Palatino Linotype" w:cs="Palatino Linotype"/>
          <w:b/>
          <w:bCs/>
          <w:i/>
          <w:iCs/>
        </w:rPr>
        <w:t>”</w:t>
      </w:r>
    </w:p>
    <w:p w14:paraId="5F0449F5" w14:textId="77777777" w:rsidR="00566CD1" w:rsidRPr="00DF63A7" w:rsidRDefault="00566CD1" w:rsidP="00DF63A7">
      <w:pPr>
        <w:spacing w:line="360" w:lineRule="auto"/>
        <w:ind w:left="709" w:right="-1134"/>
        <w:jc w:val="both"/>
        <w:rPr>
          <w:rFonts w:ascii="Palatino Linotype" w:eastAsia="Palatino Linotype" w:hAnsi="Palatino Linotype" w:cs="Palatino Linotype"/>
          <w:i/>
          <w:iCs/>
        </w:rPr>
      </w:pPr>
    </w:p>
    <w:p w14:paraId="42961D56"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En conclusión, referente a este punto cuando los procedimientos de adquisición o prestación de servicios materia de la Ley en cita, se hubieran llevado a cabo mediante invitación restringida, por cada procedimiento se debe contar con las bases, dictámenes, fallos y en su caso, fianzas, de haber sido esta la garantía exhibida.</w:t>
      </w:r>
    </w:p>
    <w:p w14:paraId="13F04436"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0375888A"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Por último, y en cuanto hace a la adjudicación directa, el artículo 48 de la Ley de la Contratación Pública del Estado de México y Municipios y 91 del Reglamento de dicha Ley, indican en qué supuestos puede llevarse a cabo este procedimiento.</w:t>
      </w:r>
    </w:p>
    <w:p w14:paraId="5D7A2CF1"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En este sentido, el convocante debe solicitar a su comité el dictamen correspondiente del procedimiento de adjudicación directa, en el que se acredite previamente la descripción general de los bienes a adquirir; la justificación o conveniencia de llevar a cabo la adjudicación directa; y la certificación de suficiencia presupuestaria.</w:t>
      </w:r>
    </w:p>
    <w:p w14:paraId="4B399A6D" w14:textId="77777777" w:rsidR="00FE2915" w:rsidRPr="00DF63A7" w:rsidRDefault="00FE2915"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331AF09E"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En este sentido, debe decirse que lo relativo a las información solicitada,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XXIX, dispone lo siguiente:</w:t>
      </w:r>
    </w:p>
    <w:p w14:paraId="2B8DB9C9"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“Artículo 92. </w:t>
      </w:r>
      <w:r w:rsidRPr="00DF63A7">
        <w:rPr>
          <w:rFonts w:ascii="Palatino Linotype" w:eastAsia="Palatino Linotype" w:hAnsi="Palatino Linotype" w:cs="Palatino Linotype"/>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71D2C6F"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i/>
          <w:iCs/>
        </w:rPr>
        <w:t>(…)</w:t>
      </w:r>
    </w:p>
    <w:p w14:paraId="353E850D" w14:textId="77777777" w:rsidR="00566CD1" w:rsidRPr="00DF63A7" w:rsidRDefault="00566CD1" w:rsidP="00DF63A7">
      <w:pPr>
        <w:ind w:left="851" w:right="-1134"/>
        <w:jc w:val="both"/>
        <w:rPr>
          <w:rFonts w:ascii="Palatino Linotype" w:eastAsia="Palatino Linotype" w:hAnsi="Palatino Linotype" w:cs="Palatino Linotype"/>
          <w:b/>
          <w:bCs/>
          <w:i/>
          <w:iCs/>
        </w:rPr>
      </w:pPr>
    </w:p>
    <w:p w14:paraId="3A831EC3"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XXIX. </w:t>
      </w:r>
      <w:r w:rsidRPr="00DF63A7">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533FECEA"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a) </w:t>
      </w:r>
      <w:r w:rsidRPr="00DF63A7">
        <w:rPr>
          <w:rFonts w:ascii="Palatino Linotype" w:eastAsia="Palatino Linotype" w:hAnsi="Palatino Linotype" w:cs="Palatino Linotype"/>
          <w:i/>
          <w:iCs/>
        </w:rPr>
        <w:t>De licitaciones públicas o procedimientos de invitación restringida:</w:t>
      </w:r>
    </w:p>
    <w:p w14:paraId="5670B130"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1)</w:t>
      </w:r>
      <w:r w:rsidRPr="00DF63A7">
        <w:rPr>
          <w:rFonts w:ascii="Palatino Linotype" w:eastAsia="Palatino Linotype" w:hAnsi="Palatino Linotype" w:cs="Palatino Linotype"/>
          <w:i/>
          <w:iCs/>
        </w:rPr>
        <w:t> La convocatoria o invitación emitida, así como los fundamentos legales aplicados para llevarla a cabo;</w:t>
      </w:r>
    </w:p>
    <w:p w14:paraId="3C4A52A8"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2) </w:t>
      </w:r>
      <w:r w:rsidRPr="00DF63A7">
        <w:rPr>
          <w:rFonts w:ascii="Palatino Linotype" w:eastAsia="Palatino Linotype" w:hAnsi="Palatino Linotype" w:cs="Palatino Linotype"/>
          <w:i/>
          <w:iCs/>
        </w:rPr>
        <w:t>Los nombres de los participantes o invitados;</w:t>
      </w:r>
    </w:p>
    <w:p w14:paraId="0A51D72B"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lastRenderedPageBreak/>
        <w:t>3)</w:t>
      </w:r>
      <w:r w:rsidRPr="00DF63A7">
        <w:rPr>
          <w:rFonts w:ascii="Palatino Linotype" w:eastAsia="Palatino Linotype" w:hAnsi="Palatino Linotype" w:cs="Palatino Linotype"/>
          <w:i/>
          <w:iCs/>
        </w:rPr>
        <w:t> El nombre del ganador y las razones que lo justifican;</w:t>
      </w:r>
    </w:p>
    <w:p w14:paraId="00B841D3"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4) </w:t>
      </w:r>
      <w:r w:rsidRPr="00DF63A7">
        <w:rPr>
          <w:rFonts w:ascii="Palatino Linotype" w:eastAsia="Palatino Linotype" w:hAnsi="Palatino Linotype" w:cs="Palatino Linotype"/>
          <w:i/>
          <w:iCs/>
        </w:rPr>
        <w:t>El área solicitante y la responsable de su ejecución;</w:t>
      </w:r>
    </w:p>
    <w:p w14:paraId="37C1EDC8"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5) </w:t>
      </w:r>
      <w:r w:rsidRPr="00DF63A7">
        <w:rPr>
          <w:rFonts w:ascii="Palatino Linotype" w:eastAsia="Palatino Linotype" w:hAnsi="Palatino Linotype" w:cs="Palatino Linotype"/>
          <w:i/>
          <w:iCs/>
        </w:rPr>
        <w:t>Las convocatorias e invitaciones emitidas;</w:t>
      </w:r>
    </w:p>
    <w:p w14:paraId="25CBD8FE"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6) Los dictámenes y fallo de adjudicación;</w:t>
      </w:r>
    </w:p>
    <w:p w14:paraId="18504438" w14:textId="77777777" w:rsidR="00566CD1" w:rsidRPr="00DF63A7" w:rsidRDefault="00F83198" w:rsidP="00DF63A7">
      <w:pP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i/>
          <w:iCs/>
        </w:rPr>
        <w:t>7</w:t>
      </w:r>
      <w:r w:rsidRPr="00DF63A7">
        <w:rPr>
          <w:rFonts w:ascii="Palatino Linotype" w:eastAsia="Palatino Linotype" w:hAnsi="Palatino Linotype" w:cs="Palatino Linotype"/>
          <w:b/>
          <w:bCs/>
          <w:i/>
          <w:iCs/>
        </w:rPr>
        <w:t>) El contrato y, en su caso, sus anexos;</w:t>
      </w:r>
    </w:p>
    <w:p w14:paraId="5A55D7CF" w14:textId="77777777" w:rsidR="00566CD1" w:rsidRPr="00DF63A7" w:rsidRDefault="00F83198" w:rsidP="00DF63A7">
      <w:pPr>
        <w:ind w:left="567" w:right="-1134"/>
        <w:jc w:val="both"/>
        <w:rPr>
          <w:rFonts w:ascii="Palatino Linotype" w:eastAsia="Palatino Linotype" w:hAnsi="Palatino Linotype" w:cs="Palatino Linotype"/>
          <w:i/>
          <w:iCs/>
        </w:rPr>
      </w:pPr>
      <w:r w:rsidRPr="00DF63A7">
        <w:rPr>
          <w:rFonts w:ascii="Palatino Linotype" w:eastAsia="Palatino Linotype" w:hAnsi="Palatino Linotype" w:cs="Palatino Linotype"/>
          <w:i/>
          <w:iCs/>
        </w:rPr>
        <w:t>8) Los mecanismos de vigilancia y supervisión, incluyendo en su caso, los estudios de impacto urbano y ambiental, según corresponda;</w:t>
      </w:r>
    </w:p>
    <w:p w14:paraId="2A44F445"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9) </w:t>
      </w:r>
      <w:r w:rsidRPr="00DF63A7">
        <w:rPr>
          <w:rFonts w:ascii="Palatino Linotype" w:eastAsia="Palatino Linotype" w:hAnsi="Palatino Linotype" w:cs="Palatino Linotype"/>
          <w:i/>
          <w:iCs/>
        </w:rPr>
        <w:t>La partida presupuestal, de conformidad con el clasificador por objeto del gasto, en el caso de ser aplicable;</w:t>
      </w:r>
    </w:p>
    <w:p w14:paraId="325BCD44"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14:paraId="06DE6726"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11) </w:t>
      </w:r>
      <w:r w:rsidRPr="00DF63A7">
        <w:rPr>
          <w:rFonts w:ascii="Palatino Linotype" w:eastAsia="Palatino Linotype" w:hAnsi="Palatino Linotype" w:cs="Palatino Linotype"/>
          <w:i/>
          <w:iCs/>
        </w:rPr>
        <w:t>Los convenios modificatorios que, en su caso, sean firmados, precisando el objeto y la fecha de celebración;</w:t>
      </w:r>
    </w:p>
    <w:p w14:paraId="1D27CE2F" w14:textId="77777777" w:rsidR="00566CD1" w:rsidRPr="00DF63A7" w:rsidRDefault="00F83198" w:rsidP="00DF63A7">
      <w:pPr>
        <w:ind w:left="567" w:right="-1134"/>
        <w:jc w:val="both"/>
        <w:rPr>
          <w:rFonts w:ascii="Palatino Linotype" w:eastAsia="Palatino Linotype" w:hAnsi="Palatino Linotype" w:cs="Palatino Linotype"/>
          <w:b/>
          <w:bCs/>
        </w:rPr>
      </w:pPr>
      <w:r w:rsidRPr="00DF63A7">
        <w:rPr>
          <w:rFonts w:ascii="Palatino Linotype" w:eastAsia="Palatino Linotype" w:hAnsi="Palatino Linotype" w:cs="Palatino Linotype"/>
          <w:b/>
          <w:bCs/>
          <w:i/>
          <w:iCs/>
        </w:rPr>
        <w:t>12) Los informes de avance físico y financiero sobre las obras o servicios contratados;</w:t>
      </w:r>
    </w:p>
    <w:p w14:paraId="1B1DAF74"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13) </w:t>
      </w:r>
      <w:r w:rsidRPr="00DF63A7">
        <w:rPr>
          <w:rFonts w:ascii="Palatino Linotype" w:eastAsia="Palatino Linotype" w:hAnsi="Palatino Linotype" w:cs="Palatino Linotype"/>
          <w:i/>
          <w:iCs/>
        </w:rPr>
        <w:t>El convenio de terminación; y</w:t>
      </w:r>
    </w:p>
    <w:p w14:paraId="5CE0A877"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14) </w:t>
      </w:r>
      <w:r w:rsidRPr="00DF63A7">
        <w:rPr>
          <w:rFonts w:ascii="Palatino Linotype" w:eastAsia="Palatino Linotype" w:hAnsi="Palatino Linotype" w:cs="Palatino Linotype"/>
          <w:i/>
          <w:iCs/>
        </w:rPr>
        <w:t>El finiquito.</w:t>
      </w:r>
    </w:p>
    <w:p w14:paraId="31ABC755" w14:textId="77777777" w:rsidR="00566CD1" w:rsidRPr="00DF63A7" w:rsidRDefault="00F83198" w:rsidP="00DF63A7">
      <w:pPr>
        <w:ind w:left="567" w:right="-1134"/>
        <w:jc w:val="both"/>
        <w:rPr>
          <w:rFonts w:ascii="Palatino Linotype" w:eastAsia="Palatino Linotype" w:hAnsi="Palatino Linotype" w:cs="Palatino Linotype"/>
          <w:b/>
          <w:bCs/>
        </w:rPr>
      </w:pPr>
      <w:r w:rsidRPr="00DF63A7">
        <w:rPr>
          <w:rFonts w:ascii="Palatino Linotype" w:eastAsia="Palatino Linotype" w:hAnsi="Palatino Linotype" w:cs="Palatino Linotype"/>
          <w:b/>
          <w:bCs/>
          <w:i/>
          <w:iCs/>
        </w:rPr>
        <w:t>b) De las adjudicaciones directas:</w:t>
      </w:r>
    </w:p>
    <w:p w14:paraId="260AC326"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1) </w:t>
      </w:r>
      <w:r w:rsidRPr="00DF63A7">
        <w:rPr>
          <w:rFonts w:ascii="Palatino Linotype" w:eastAsia="Palatino Linotype" w:hAnsi="Palatino Linotype" w:cs="Palatino Linotype"/>
          <w:i/>
          <w:iCs/>
        </w:rPr>
        <w:t>La propuesta enviada por el participante;</w:t>
      </w:r>
    </w:p>
    <w:p w14:paraId="05ED5649"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2) </w:t>
      </w:r>
      <w:r w:rsidRPr="00DF63A7">
        <w:rPr>
          <w:rFonts w:ascii="Palatino Linotype" w:eastAsia="Palatino Linotype" w:hAnsi="Palatino Linotype" w:cs="Palatino Linotype"/>
          <w:i/>
          <w:iCs/>
        </w:rPr>
        <w:t>Los motivos y fundamentos legales aplicados para llevarla a cabo;</w:t>
      </w:r>
    </w:p>
    <w:p w14:paraId="7D13DAF3"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3) </w:t>
      </w:r>
      <w:r w:rsidRPr="00DF63A7">
        <w:rPr>
          <w:rFonts w:ascii="Palatino Linotype" w:eastAsia="Palatino Linotype" w:hAnsi="Palatino Linotype" w:cs="Palatino Linotype"/>
          <w:i/>
          <w:iCs/>
        </w:rPr>
        <w:t>La autorización del ejercicio de la opción;</w:t>
      </w:r>
    </w:p>
    <w:p w14:paraId="7DC39176"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i/>
          <w:iCs/>
        </w:rPr>
        <w:t>4) En su caso, las cotizaciones consideradas, especificando los nombres de los proveedores y sus montos;</w:t>
      </w:r>
    </w:p>
    <w:p w14:paraId="52B05F5E"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5) </w:t>
      </w:r>
      <w:r w:rsidRPr="00DF63A7">
        <w:rPr>
          <w:rFonts w:ascii="Palatino Linotype" w:eastAsia="Palatino Linotype" w:hAnsi="Palatino Linotype" w:cs="Palatino Linotype"/>
          <w:i/>
          <w:iCs/>
        </w:rPr>
        <w:t>El nombre de la persona física o jurídica colectiva adjudicada;</w:t>
      </w:r>
    </w:p>
    <w:p w14:paraId="53476A98"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6) </w:t>
      </w:r>
      <w:r w:rsidRPr="00DF63A7">
        <w:rPr>
          <w:rFonts w:ascii="Palatino Linotype" w:eastAsia="Palatino Linotype" w:hAnsi="Palatino Linotype" w:cs="Palatino Linotype"/>
          <w:i/>
          <w:iCs/>
        </w:rPr>
        <w:t>La unidad administrativa solicitante y la responsable de su ejecución;</w:t>
      </w:r>
    </w:p>
    <w:p w14:paraId="75D13410"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7)</w:t>
      </w:r>
      <w:r w:rsidRPr="00DF63A7">
        <w:rPr>
          <w:rFonts w:ascii="Palatino Linotype" w:eastAsia="Palatino Linotype" w:hAnsi="Palatino Linotype" w:cs="Palatino Linotype"/>
          <w:i/>
          <w:iCs/>
        </w:rPr>
        <w:t> El número, fecha, el monto del contrato y el plazo de entrega o de ejecución de los servicios u obra;</w:t>
      </w:r>
    </w:p>
    <w:p w14:paraId="75C74AC3"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8) </w:t>
      </w:r>
      <w:r w:rsidRPr="00DF63A7">
        <w:rPr>
          <w:rFonts w:ascii="Palatino Linotype" w:eastAsia="Palatino Linotype" w:hAnsi="Palatino Linotype" w:cs="Palatino Linotype"/>
          <w:i/>
          <w:iCs/>
        </w:rPr>
        <w:t>Los mecanismos de vigilancia y supervisión, incluyendo, en su caso, los estudios de impacto urbano y ambiental, según corresponda;</w:t>
      </w:r>
    </w:p>
    <w:p w14:paraId="798C0BE7"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i/>
          <w:iCs/>
        </w:rPr>
        <w:t>9) Los informes de avance sobre las obras o servicios contratados;</w:t>
      </w:r>
    </w:p>
    <w:p w14:paraId="0CB1A0DF" w14:textId="77777777" w:rsidR="00566CD1" w:rsidRPr="00DF63A7" w:rsidRDefault="00F83198" w:rsidP="00DF63A7">
      <w:pPr>
        <w:ind w:left="567"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i/>
          <w:iCs/>
        </w:rPr>
        <w:t>10) </w:t>
      </w:r>
      <w:r w:rsidRPr="00DF63A7">
        <w:rPr>
          <w:rFonts w:ascii="Palatino Linotype" w:eastAsia="Palatino Linotype" w:hAnsi="Palatino Linotype" w:cs="Palatino Linotype"/>
          <w:i/>
          <w:iCs/>
        </w:rPr>
        <w:t>El convenio de terminación; y</w:t>
      </w:r>
    </w:p>
    <w:p w14:paraId="1575398C" w14:textId="77777777" w:rsidR="00566CD1" w:rsidRPr="00DF63A7" w:rsidRDefault="00F83198" w:rsidP="00DF63A7">
      <w:pPr>
        <w:ind w:left="567" w:right="-1134"/>
        <w:jc w:val="both"/>
        <w:rPr>
          <w:rFonts w:ascii="Palatino Linotype" w:eastAsia="Palatino Linotype" w:hAnsi="Palatino Linotype" w:cs="Palatino Linotype"/>
          <w:b/>
          <w:bCs/>
          <w:i/>
          <w:iCs/>
        </w:rPr>
      </w:pPr>
      <w:r w:rsidRPr="00DF63A7">
        <w:rPr>
          <w:rFonts w:ascii="Palatino Linotype" w:eastAsia="Palatino Linotype" w:hAnsi="Palatino Linotype" w:cs="Palatino Linotype"/>
          <w:b/>
          <w:bCs/>
          <w:i/>
          <w:iCs/>
        </w:rPr>
        <w:t>11) </w:t>
      </w:r>
      <w:r w:rsidRPr="00DF63A7">
        <w:rPr>
          <w:rFonts w:ascii="Palatino Linotype" w:eastAsia="Palatino Linotype" w:hAnsi="Palatino Linotype" w:cs="Palatino Linotype"/>
          <w:i/>
          <w:iCs/>
        </w:rPr>
        <w:t>El finiquito.</w:t>
      </w:r>
      <w:r w:rsidRPr="00DF63A7">
        <w:rPr>
          <w:rFonts w:ascii="Palatino Linotype" w:eastAsia="Palatino Linotype" w:hAnsi="Palatino Linotype" w:cs="Palatino Linotype"/>
          <w:b/>
          <w:bCs/>
          <w:i/>
          <w:iCs/>
        </w:rPr>
        <w:t>”</w:t>
      </w:r>
    </w:p>
    <w:p w14:paraId="4D2D5B9E" w14:textId="77777777" w:rsidR="00566CD1" w:rsidRPr="00DF63A7" w:rsidRDefault="00566CD1" w:rsidP="00DF63A7">
      <w:pPr>
        <w:ind w:left="851" w:right="-1134"/>
        <w:jc w:val="both"/>
        <w:rPr>
          <w:rFonts w:ascii="Palatino Linotype" w:eastAsia="Palatino Linotype" w:hAnsi="Palatino Linotype" w:cs="Palatino Linotype"/>
        </w:rPr>
      </w:pPr>
    </w:p>
    <w:p w14:paraId="6020993C"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En consecuencia, se determina que existe fuente obligacional para celebrar contratos relacionados con la adquisición de bienes y servicios, a través de procedimientos de licitación, </w:t>
      </w:r>
      <w:r w:rsidRPr="00DF63A7">
        <w:rPr>
          <w:rFonts w:ascii="Palatino Linotype" w:eastAsia="Palatino Linotype" w:hAnsi="Palatino Linotype" w:cs="Palatino Linotype"/>
          <w:color w:val="000000"/>
        </w:rPr>
        <w:lastRenderedPageBreak/>
        <w:t>invitación restringida o adjudicación directa, en todos los casos, existe la obligación de hacer pública la información relacionada con las mismas, de acuerdo al artículo 92 de la Ley de Transparencia Local, ya que existe un interés colectivo de conocer el uso y destino de los recursos públicos.</w:t>
      </w:r>
    </w:p>
    <w:p w14:paraId="5DA36EA8"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bookmarkStart w:id="13" w:name="_heading=h.rzpdwucze8ik" w:colFirst="0" w:colLast="0"/>
      <w:bookmarkEnd w:id="13"/>
    </w:p>
    <w:p w14:paraId="61D91765"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Ahora bien, en el presente caso y como ya fue referido anteriormente, el Sujeto Obligado, se limitó a informar que se encontraba material y jurídicamente impedido para atender la solicitud, ello en virtud de que la solicitud no reúne los requisitos mínimos de claridad, precisión y especificidad exigidos por la ley, situación de la que se duele el inconforme; por lo tanto, no se puede dar por atendido el requerimiento del particular.</w:t>
      </w:r>
    </w:p>
    <w:p w14:paraId="60635AE7" w14:textId="77777777" w:rsidR="00566CD1" w:rsidRPr="00DF63A7" w:rsidRDefault="00566CD1" w:rsidP="00DF63A7">
      <w:pPr>
        <w:pBdr>
          <w:top w:val="nil"/>
          <w:left w:val="nil"/>
          <w:bottom w:val="nil"/>
          <w:right w:val="nil"/>
          <w:between w:val="nil"/>
        </w:pBdr>
        <w:ind w:left="708" w:right="-1134"/>
        <w:rPr>
          <w:rFonts w:ascii="Palatino Linotype" w:eastAsia="Palatino Linotype" w:hAnsi="Palatino Linotype" w:cs="Palatino Linotype"/>
          <w:color w:val="000000"/>
        </w:rPr>
      </w:pPr>
    </w:p>
    <w:p w14:paraId="5EA32842"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rPr>
        <w:t>En continuidad, es importante mencionar que el particular requirió información respecto la adquisición de vehículos y tinacos; por lo que en aras de allegarse de elementos para garantizar el derecho de acceso a la información, personal de este Organismo procedió a realizar una búsqueda en el portal de internet, localizando lo siguiente:</w:t>
      </w:r>
    </w:p>
    <w:p w14:paraId="344C4BBC" w14:textId="77777777" w:rsidR="00566CD1" w:rsidRPr="00DF63A7" w:rsidRDefault="00F83198"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noProof/>
          <w:color w:val="000000"/>
        </w:rPr>
        <w:lastRenderedPageBreak/>
        <w:drawing>
          <wp:inline distT="0" distB="0" distL="0" distR="0" wp14:anchorId="00FB94C0" wp14:editId="4E863CB3">
            <wp:extent cx="5059064" cy="3647617"/>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3860" t="3726" r="-1292"/>
                    <a:stretch>
                      <a:fillRect/>
                    </a:stretch>
                  </pic:blipFill>
                  <pic:spPr>
                    <a:xfrm>
                      <a:off x="0" y="0"/>
                      <a:ext cx="5059064" cy="3647617"/>
                    </a:xfrm>
                    <a:prstGeom prst="rect">
                      <a:avLst/>
                    </a:prstGeom>
                    <a:ln/>
                  </pic:spPr>
                </pic:pic>
              </a:graphicData>
            </a:graphic>
          </wp:inline>
        </w:drawing>
      </w:r>
      <w:r w:rsidRPr="00DF63A7">
        <w:rPr>
          <w:rFonts w:ascii="Palatino Linotype" w:eastAsia="Palatino Linotype" w:hAnsi="Palatino Linotype" w:cs="Palatino Linotype"/>
          <w:noProof/>
          <w:color w:val="000000"/>
        </w:rPr>
        <w:drawing>
          <wp:inline distT="0" distB="0" distL="0" distR="0" wp14:anchorId="0ED38CA7" wp14:editId="64C797A4">
            <wp:extent cx="5817314" cy="324259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t="9835" r="-10"/>
                    <a:stretch>
                      <a:fillRect/>
                    </a:stretch>
                  </pic:blipFill>
                  <pic:spPr>
                    <a:xfrm>
                      <a:off x="0" y="0"/>
                      <a:ext cx="5817314" cy="3242596"/>
                    </a:xfrm>
                    <a:prstGeom prst="rect">
                      <a:avLst/>
                    </a:prstGeom>
                    <a:ln/>
                  </pic:spPr>
                </pic:pic>
              </a:graphicData>
            </a:graphic>
          </wp:inline>
        </w:drawing>
      </w:r>
    </w:p>
    <w:p w14:paraId="6E024A61" w14:textId="77777777" w:rsidR="00566CD1"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Ahora bien, es importante mencionar que, la información precisada con anterioridad deviene del portal oficial del Sujeto Obligado, por lo que es de precisarse que arrojan indicios sobre los hechos a los que se refieren. Sirve de apoyo a lo anteriormente señalado, la Jurisprudencia emitida por la Sala Superior de la Suprema Corte de Justicia de la Nación, Tercera Época</w:t>
      </w:r>
      <w:r w:rsidRPr="00DF63A7">
        <w:rPr>
          <w:color w:val="000000"/>
          <w:vertAlign w:val="superscript"/>
        </w:rPr>
        <w:footnoteReference w:id="9"/>
      </w:r>
      <w:r w:rsidRPr="00DF63A7">
        <w:rPr>
          <w:rFonts w:ascii="Palatino Linotype" w:eastAsia="Palatino Linotype" w:hAnsi="Palatino Linotype" w:cs="Palatino Linotype"/>
          <w:color w:val="000000"/>
        </w:rPr>
        <w:t>, que se muestra a continuación:</w:t>
      </w:r>
    </w:p>
    <w:p w14:paraId="68EC5855" w14:textId="77777777" w:rsidR="00566CD1" w:rsidRPr="00DF63A7" w:rsidRDefault="00F83198" w:rsidP="00DF63A7">
      <w:pPr>
        <w:pBdr>
          <w:top w:val="nil"/>
          <w:left w:val="nil"/>
          <w:bottom w:val="nil"/>
          <w:right w:val="nil"/>
          <w:between w:val="nil"/>
        </w:pBdr>
        <w:ind w:left="851"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b/>
          <w:bCs/>
          <w:i/>
          <w:iCs/>
          <w:color w:val="000000"/>
        </w:rPr>
        <w:t xml:space="preserve">“NOTAS PERIODÍSTICAS. ELEMENTOS PARA DETERMINAR SU FUERZA INDICIARIA. </w:t>
      </w:r>
    </w:p>
    <w:p w14:paraId="4E05A0B3" w14:textId="77777777" w:rsidR="00566CD1" w:rsidRPr="00DF63A7" w:rsidRDefault="00F83198" w:rsidP="00DF63A7">
      <w:pPr>
        <w:pBdr>
          <w:top w:val="nil"/>
          <w:left w:val="nil"/>
          <w:bottom w:val="nil"/>
          <w:right w:val="nil"/>
          <w:between w:val="nil"/>
        </w:pBdr>
        <w:ind w:left="851" w:right="-1134"/>
        <w:jc w:val="both"/>
        <w:rPr>
          <w:rFonts w:ascii="Palatino Linotype" w:eastAsia="Palatino Linotype" w:hAnsi="Palatino Linotype" w:cs="Palatino Linotype"/>
          <w:b/>
          <w:bCs/>
          <w:i/>
          <w:iCs/>
          <w:color w:val="000000"/>
        </w:rPr>
      </w:pPr>
      <w:r w:rsidRPr="00DF63A7">
        <w:rPr>
          <w:rFonts w:ascii="Palatino Linotype" w:eastAsia="Palatino Linotype" w:hAnsi="Palatino Linotype" w:cs="Palatino Linotype"/>
          <w:i/>
          <w:iCs/>
          <w:color w:val="000000"/>
        </w:rPr>
        <w:t xml:space="preserve">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r w:rsidRPr="00DF63A7">
        <w:rPr>
          <w:rFonts w:ascii="Palatino Linotype" w:eastAsia="Palatino Linotype" w:hAnsi="Palatino Linotype" w:cs="Palatino Linotype"/>
          <w:b/>
          <w:bCs/>
          <w:i/>
          <w:iCs/>
          <w:color w:val="000000"/>
        </w:rPr>
        <w:t>(Sic)</w:t>
      </w:r>
    </w:p>
    <w:p w14:paraId="48F2DB7A"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67E6CAF0" w14:textId="77777777" w:rsidR="00FE2915" w:rsidRPr="00DF63A7" w:rsidRDefault="00F83198"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Es así, que, de los datos publicados en la página electrónica oficial del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es necesario traer a contexto la Tesis Aislada aplicable por analogía en nuestra materia, con número de registro 168124 de la Novena Época del Segundo Tribunal Colegiado </w:t>
      </w:r>
      <w:r w:rsidRPr="00DF63A7">
        <w:rPr>
          <w:rFonts w:ascii="Palatino Linotype" w:eastAsia="Palatino Linotype" w:hAnsi="Palatino Linotype" w:cs="Palatino Linotype"/>
          <w:color w:val="000000"/>
        </w:rPr>
        <w:lastRenderedPageBreak/>
        <w:t xml:space="preserve">del Vigésimo Circuito, publicadas en la página 2470 del Tomo XXIX de enero de 2009 del Semanario Judicial de la Federación y su Gaceta, que es del tenor literal siguiente: </w:t>
      </w:r>
    </w:p>
    <w:p w14:paraId="6B31C59E" w14:textId="77777777" w:rsidR="00FE2915" w:rsidRPr="00DF63A7" w:rsidRDefault="00FE2915"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688BBBF5" w14:textId="77777777" w:rsidR="00FE2915" w:rsidRPr="00DF63A7" w:rsidRDefault="00FE2915" w:rsidP="00DF63A7">
      <w:pPr>
        <w:pStyle w:val="Prrafodelista"/>
        <w:widowControl w:val="0"/>
        <w:pBdr>
          <w:top w:val="nil"/>
          <w:left w:val="nil"/>
          <w:bottom w:val="nil"/>
          <w:right w:val="nil"/>
          <w:between w:val="nil"/>
        </w:pBdr>
        <w:shd w:val="clear" w:color="auto" w:fill="FFFFFF"/>
        <w:spacing w:line="360" w:lineRule="auto"/>
        <w:ind w:left="644" w:right="-1134"/>
        <w:jc w:val="both"/>
        <w:rPr>
          <w:rFonts w:ascii="Palatino Linotype" w:eastAsia="Palatino Linotype" w:hAnsi="Palatino Linotype" w:cs="Palatino Linotype"/>
          <w:i/>
          <w:iCs/>
          <w:color w:val="000000"/>
        </w:rPr>
      </w:pPr>
      <w:r w:rsidRPr="00DF63A7">
        <w:rPr>
          <w:rFonts w:ascii="Palatino Linotype" w:eastAsia="Palatino Linotype" w:hAnsi="Palatino Linotype" w:cs="Palatino Linotype"/>
          <w:b/>
          <w:bCs/>
          <w:i/>
          <w:iCs/>
          <w:color w:val="000000"/>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Pr="00DF63A7">
        <w:rPr>
          <w:rFonts w:ascii="Palatino Linotype" w:eastAsia="Palatino Linotype" w:hAnsi="Palatino Linotype" w:cs="Palatino Linotype"/>
          <w:i/>
          <w:iCs/>
          <w:color w:val="000000"/>
        </w:rPr>
        <w:t xml:space="preserve"> Los datos que aparecen en las páginas electrónicas oficiales que los órganos de gobierno utilizan para poner a disposición del público, entre otros servicios, la descripción de sus plazas, el directorio de sus empleados o el estado que guardan sus expedientes, constituyen Tesis: XX.2o. J/24 Semanario Judicial de la Federación y su Gaceta Novena Época 168124 75 de 163 Tribunales Colegiados de Circuito Tomo XXIX, Enero de 2009 Pag. 2470 Jurisprudencia(Común) un hecho notorio que puede invocarse por los tribunales, en términos del artículo 88 del Código Federal de Procedimientos Civiles, de aplicación supletoria a la Ley de Amparo; porque la información generada o comunicada por esa vía forma parte del sistema mundial de diseminación y obtención de datos denominada "internet", del cual puede obtenerse, por ejemplo, el nombre de un servidor público, el organigrama de una institución, así como el sentido de sus resoluciones; de ahí que sea válido que los órganos jurisdiccionales invoquen de oficio lo publicado en ese medio para resolver un asunto en particular.</w:t>
      </w:r>
    </w:p>
    <w:p w14:paraId="53B6A5FB" w14:textId="77777777" w:rsidR="00FE2915" w:rsidRPr="00DF63A7" w:rsidRDefault="00FE2915" w:rsidP="00DF63A7">
      <w:pPr>
        <w:pStyle w:val="Prrafodelista"/>
        <w:widowControl w:val="0"/>
        <w:pBdr>
          <w:top w:val="nil"/>
          <w:left w:val="nil"/>
          <w:bottom w:val="nil"/>
          <w:right w:val="nil"/>
          <w:between w:val="nil"/>
        </w:pBdr>
        <w:shd w:val="clear" w:color="auto" w:fill="FFFFFF"/>
        <w:spacing w:line="360" w:lineRule="auto"/>
        <w:ind w:left="644" w:right="-1134"/>
        <w:jc w:val="both"/>
        <w:rPr>
          <w:rFonts w:ascii="Palatino Linotype" w:eastAsia="Palatino Linotype" w:hAnsi="Palatino Linotype" w:cs="Palatino Linotype"/>
          <w:i/>
          <w:iCs/>
          <w:color w:val="000000"/>
        </w:rPr>
      </w:pPr>
    </w:p>
    <w:p w14:paraId="18C97069" w14:textId="1C0436ED" w:rsidR="00FE2915" w:rsidRPr="00DF63A7" w:rsidRDefault="00FE2915" w:rsidP="00DF63A7">
      <w:pPr>
        <w:numPr>
          <w:ilvl w:val="0"/>
          <w:numId w:val="11"/>
        </w:numPr>
        <w:pBdr>
          <w:top w:val="nil"/>
          <w:left w:val="nil"/>
          <w:bottom w:val="nil"/>
          <w:right w:val="nil"/>
          <w:between w:val="nil"/>
        </w:pBdr>
        <w:spacing w:line="360" w:lineRule="auto"/>
        <w:ind w:left="0" w:right="-1134" w:firstLine="0"/>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En ese sentido, la información solicitada no implica, por sí misma, la revelación de</w:t>
      </w:r>
    </w:p>
    <w:p w14:paraId="02EA1D14" w14:textId="7777777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lastRenderedPageBreak/>
        <w:t>estrategias operativas, despliegues tácticos, ubicaciones específicas, rutas de patrullaje ni</w:t>
      </w:r>
    </w:p>
    <w:p w14:paraId="782DBBDC" w14:textId="467C53C9"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características técnicas sensibles de las unidades, sino únicamente la difusión de datos objetivos y cuantificables. Bajo esta lógica, su divulgación no representa un riesgo real, demostrable e identificable para la seguridad pública, ni en su vertiente social ni gubernamental, en tanto que no permite inferir la forma en que las unidades son distribuidas, asignadas o utilizadas en el desarrollo de las funciones operativas de la corporación.</w:t>
      </w:r>
    </w:p>
    <w:p w14:paraId="72E478DA" w14:textId="7777777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p>
    <w:p w14:paraId="42240696" w14:textId="3A5BCB02"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77.  Por el contrario, al tratarse de información vinculada con la adquisición de bienes y el ejercicio de recursos públicos, su publicidad se encuentra directamente relacionada con los principios de transparencia, rendición de cuentas y control del gasto público, los cuales constituyen ejes rectores del derecho de acceso a la información.</w:t>
      </w:r>
    </w:p>
    <w:p w14:paraId="7B1D8DA4" w14:textId="7777777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p>
    <w:p w14:paraId="563892EF" w14:textId="2B9A5616"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78. Sin embargo existe la necesidad  de clasificar como información reservada aquella relativa a las características técnicas de las patrullas adscritas al Ayuntamiento de Almoloya de Juárez, particularmente en lo que respecta a su equipamiento, tecnología, sistemas de comunicación, mecanismos de geolocalización, armamento y demás especificaciones que permitan conocer sus capacidades operativas. En ese sentido, se advierte que la información solicitada no se limita a datos de carácter administrativo o de control vehicular, sino que incide directamente en el funcionamiento operativo de la  Seguridad Pública Municipal, al revelar elementos estratégicos vinculados con la prevención y combate a la delincuencia.</w:t>
      </w:r>
    </w:p>
    <w:p w14:paraId="286E0B04" w14:textId="7777777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p>
    <w:p w14:paraId="6AF6DC54" w14:textId="002E1C61"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79. Al respecto, el artículo 81 de la Ley de Seguridad del Estado de México establece que será considerada como reservada aquella información cuya divulgación implique la revelación de </w:t>
      </w:r>
      <w:r w:rsidRPr="00DF63A7">
        <w:rPr>
          <w:rFonts w:ascii="Palatino Linotype" w:eastAsia="Palatino Linotype" w:hAnsi="Palatino Linotype" w:cs="Palatino Linotype"/>
          <w:color w:val="000000"/>
        </w:rPr>
        <w:lastRenderedPageBreak/>
        <w:t>normas, procedimientos, métodos, especificaciones técnicas, sistemas, tecnología o equipos útiles para la generación de inteligencia en materia de seguridad pública, así como aquella cuya difusión pueda ser utilizada para potenciar amenazas a la seguridad pública o a las instituciones del Estado. En correlación, el artículo 140, fracción I, de la Ley de Transparencia y Acceso a la Información Pública del Estado de México y Municipios prevé que podrá restringirse el acceso a la información cuando su difusión comprometa la seguridad pública y cuente con un propósito genuino y un efecto demostrable, lo que se robustece con lo dispuesto en los Lineamientos Generales en materia de clasificación, los cuales reconocen como reservada aquella información que permita conocer la capacidad de reacción, estrategias, tecnología o sistemas de comunicación de las instituciones de seguridad.</w:t>
      </w:r>
    </w:p>
    <w:p w14:paraId="1389F280" w14:textId="7777777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p>
    <w:p w14:paraId="1B6F820C" w14:textId="6F3D7583"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80. Bajo ese contexto, la divulgación de las características técnicas de las patrullas del</w:t>
      </w:r>
    </w:p>
    <w:p w14:paraId="1A008B27" w14:textId="6CD0709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Ayuntamiento de Almoloya de Juárez  permitiría conocer el tipo de tecnología empleada en labores de vigilancia, las capacidades de respuesta de las unidades, los sistemas de coordinación y comunicación policial, así como las posibles fortalezas o vulnerabilidades del equipamiento.</w:t>
      </w:r>
    </w:p>
    <w:p w14:paraId="1E8A1450" w14:textId="7777777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p>
    <w:p w14:paraId="2D556AB4" w14:textId="735C0BC2"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81. En consecuencia, dicha información podría ser utilizada por terceros para evadir la acción de la autoridad, neutralizar sus mecanismos de operación o incluso planear conductas ilícitas con base en el conocimiento de dichas capacidades, lo cual comprometería directamente la seguridad pública y el mantenimiento del orden social.</w:t>
      </w:r>
    </w:p>
    <w:p w14:paraId="746443EE" w14:textId="77777777"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p>
    <w:p w14:paraId="48CBCEE4" w14:textId="784782FA" w:rsidR="00FE2915" w:rsidRPr="00DF63A7" w:rsidRDefault="00FE2915" w:rsidP="00DF63A7">
      <w:pPr>
        <w:widowControl w:val="0"/>
        <w:pBdr>
          <w:top w:val="nil"/>
          <w:left w:val="nil"/>
          <w:bottom w:val="nil"/>
          <w:right w:val="nil"/>
          <w:between w:val="nil"/>
        </w:pBdr>
        <w:shd w:val="clear" w:color="auto" w:fill="FFFFFF"/>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 xml:space="preserve">82. En conclusión, se determina que las características técnicas de las patrullas deben </w:t>
      </w:r>
      <w:r w:rsidRPr="00DF63A7">
        <w:rPr>
          <w:rFonts w:ascii="Palatino Linotype" w:eastAsia="Palatino Linotype" w:hAnsi="Palatino Linotype" w:cs="Palatino Linotype"/>
          <w:color w:val="000000"/>
        </w:rPr>
        <w:lastRenderedPageBreak/>
        <w:t>clasificarse como información reservada, al actualizarse la hipótesis prevista en el artículo 140, fracción I, de la Ley de Transparencia local, en relación con el artículo 81 de la Ley de Seguridad del Estado de México, toda vez que su divulgación compromete la seguridad pública, revela capacidades operativas estratégicas y puede ser utilizada para vulnerar las acciones de prevención y combate a la delincuencia. En consecuencia, el Sujeto Obligado deberá emitir, a través de su Comité de Transparencia, el acuerdo de clasificación correspondiente, debidamente fundado, motivado y sustentado en la aplicación de la prueba de daño.</w:t>
      </w:r>
    </w:p>
    <w:p w14:paraId="3913C37A" w14:textId="77777777" w:rsidR="00566CD1" w:rsidRPr="00DF63A7" w:rsidRDefault="00566CD1"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p>
    <w:p w14:paraId="463EEEE5" w14:textId="4BC8DD93" w:rsidR="00566CD1" w:rsidRPr="00DF63A7" w:rsidRDefault="00FE2915" w:rsidP="00DF63A7">
      <w:pPr>
        <w:pBdr>
          <w:top w:val="nil"/>
          <w:left w:val="nil"/>
          <w:bottom w:val="nil"/>
          <w:right w:val="nil"/>
          <w:between w:val="nil"/>
        </w:pBdr>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83. Por lo anteriormente expuesto, este Órgano Garante considera fundadas las razones o motivos de inconformidad que plantea el</w:t>
      </w:r>
      <w:r w:rsidRPr="00DF63A7">
        <w:rPr>
          <w:rFonts w:ascii="Palatino Linotype" w:eastAsia="Palatino Linotype" w:hAnsi="Palatino Linotype" w:cs="Palatino Linotype"/>
          <w:b/>
          <w:bCs/>
          <w:color w:val="000000"/>
        </w:rPr>
        <w:t xml:space="preserve"> RECURRENTE</w:t>
      </w:r>
      <w:r w:rsidRPr="00DF63A7">
        <w:rPr>
          <w:rFonts w:ascii="Palatino Linotype" w:eastAsia="Palatino Linotype" w:hAnsi="Palatino Linotype" w:cs="Palatino Linotype"/>
          <w:color w:val="000000"/>
        </w:rPr>
        <w:t xml:space="preserve">, determinando </w:t>
      </w:r>
      <w:r w:rsidRPr="00DF63A7">
        <w:rPr>
          <w:rFonts w:ascii="Palatino Linotype" w:eastAsia="Palatino Linotype" w:hAnsi="Palatino Linotype" w:cs="Palatino Linotype"/>
          <w:b/>
          <w:bCs/>
          <w:color w:val="000000"/>
        </w:rPr>
        <w:t xml:space="preserve">REVOCAR </w:t>
      </w:r>
      <w:r w:rsidRPr="00DF63A7">
        <w:rPr>
          <w:rFonts w:ascii="Palatino Linotype" w:eastAsia="Palatino Linotype" w:hAnsi="Palatino Linotype" w:cs="Palatino Linotype"/>
          <w:color w:val="000000"/>
        </w:rPr>
        <w:t xml:space="preserve">la respuesta del </w:t>
      </w:r>
      <w:r w:rsidRPr="00DF63A7">
        <w:rPr>
          <w:rFonts w:ascii="Palatino Linotype" w:eastAsia="Palatino Linotype" w:hAnsi="Palatino Linotype" w:cs="Palatino Linotype"/>
          <w:b/>
          <w:bCs/>
          <w:color w:val="000000"/>
        </w:rPr>
        <w:t>SUJETO OBLIGADO</w:t>
      </w:r>
      <w:r w:rsidRPr="00DF63A7">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DF63A7">
        <w:rPr>
          <w:rFonts w:ascii="Palatino Linotype" w:eastAsia="Palatino Linotype" w:hAnsi="Palatino Linotype" w:cs="Palatino Linotype"/>
          <w:b/>
          <w:bCs/>
          <w:color w:val="000000"/>
        </w:rPr>
        <w:t>ÓRGANO GARANTE</w:t>
      </w:r>
      <w:r w:rsidRPr="00DF63A7">
        <w:rPr>
          <w:rFonts w:ascii="Palatino Linotype" w:eastAsia="Palatino Linotype" w:hAnsi="Palatino Linotype" w:cs="Palatino Linotype"/>
          <w:color w:val="000000"/>
        </w:rPr>
        <w:t xml:space="preserve"> emite los siguientes.</w:t>
      </w:r>
    </w:p>
    <w:p w14:paraId="775F9D48" w14:textId="77777777" w:rsidR="00566CD1" w:rsidRPr="00DF63A7" w:rsidRDefault="00566CD1" w:rsidP="00DF63A7">
      <w:pPr>
        <w:pBdr>
          <w:top w:val="nil"/>
          <w:left w:val="nil"/>
          <w:bottom w:val="nil"/>
          <w:right w:val="nil"/>
          <w:between w:val="nil"/>
        </w:pBdr>
        <w:tabs>
          <w:tab w:val="left" w:pos="0"/>
        </w:tabs>
        <w:spacing w:line="360" w:lineRule="auto"/>
        <w:ind w:right="-1134"/>
        <w:jc w:val="both"/>
        <w:rPr>
          <w:rFonts w:ascii="Palatino Linotype" w:eastAsia="Palatino Linotype" w:hAnsi="Palatino Linotype" w:cs="Palatino Linotype"/>
          <w:color w:val="000000"/>
        </w:rPr>
      </w:pPr>
    </w:p>
    <w:p w14:paraId="2A21C80C" w14:textId="77777777" w:rsidR="00566CD1" w:rsidRPr="00DF63A7" w:rsidRDefault="00F83198" w:rsidP="00DF63A7">
      <w:pPr>
        <w:pBdr>
          <w:top w:val="nil"/>
          <w:left w:val="nil"/>
          <w:bottom w:val="nil"/>
          <w:right w:val="nil"/>
          <w:between w:val="nil"/>
        </w:pBdr>
        <w:tabs>
          <w:tab w:val="left" w:pos="426"/>
        </w:tabs>
        <w:spacing w:line="360" w:lineRule="auto"/>
        <w:ind w:right="-1134"/>
        <w:jc w:val="both"/>
        <w:rPr>
          <w:rFonts w:ascii="Palatino Linotype" w:eastAsia="Palatino Linotype" w:hAnsi="Palatino Linotype" w:cs="Palatino Linotype"/>
          <w:b/>
          <w:bCs/>
          <w:color w:val="000000"/>
        </w:rPr>
      </w:pPr>
      <w:bookmarkStart w:id="14" w:name="_heading=h.lnxbz9" w:colFirst="0" w:colLast="0"/>
      <w:bookmarkEnd w:id="14"/>
      <w:r w:rsidRPr="00DF63A7">
        <w:rPr>
          <w:rFonts w:ascii="Palatino Linotype" w:eastAsia="Palatino Linotype" w:hAnsi="Palatino Linotype" w:cs="Palatino Linotype"/>
          <w:b/>
          <w:bCs/>
          <w:color w:val="000000"/>
        </w:rPr>
        <w:t>QUINTO. De la versión pública.</w:t>
      </w:r>
    </w:p>
    <w:p w14:paraId="6D04359F" w14:textId="3BDEC34B" w:rsidR="00566CD1" w:rsidRPr="00DF63A7" w:rsidRDefault="00FE2915" w:rsidP="00DF63A7">
      <w:pPr>
        <w:pBdr>
          <w:top w:val="nil"/>
          <w:left w:val="nil"/>
          <w:bottom w:val="nil"/>
          <w:right w:val="nil"/>
          <w:between w:val="nil"/>
        </w:pBdr>
        <w:tabs>
          <w:tab w:val="left" w:pos="426"/>
        </w:tabs>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84. Debe destacarse que, debido a la naturaleza de la información solicitada</w:t>
      </w:r>
      <w:r w:rsidRPr="00DF63A7">
        <w:rPr>
          <w:rFonts w:ascii="Palatino Linotype" w:eastAsia="Palatino Linotype" w:hAnsi="Palatino Linotype" w:cs="Palatino Linotype"/>
          <w:b/>
          <w:bCs/>
          <w:color w:val="000000"/>
        </w:rPr>
        <w:t xml:space="preserve"> </w:t>
      </w:r>
      <w:r w:rsidRPr="00DF63A7">
        <w:rPr>
          <w:rFonts w:ascii="Palatino Linotype" w:eastAsia="Palatino Linotype" w:hAnsi="Palatino Linotype" w:cs="Palatino Linotype"/>
          <w:color w:val="000000"/>
        </w:rPr>
        <w:t xml:space="preserve">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w:t>
      </w:r>
      <w:r w:rsidRPr="00DF63A7">
        <w:rPr>
          <w:rFonts w:ascii="Palatino Linotype" w:eastAsia="Palatino Linotype" w:hAnsi="Palatino Linotype" w:cs="Palatino Linotype"/>
          <w:color w:val="000000"/>
        </w:rPr>
        <w:lastRenderedPageBreak/>
        <w:t>servidores públicos y en su caso generar la versión pública de los documentos por las consideraciones que se estimen pertinentes.</w:t>
      </w:r>
    </w:p>
    <w:p w14:paraId="5589F69E" w14:textId="77777777" w:rsidR="00566CD1" w:rsidRPr="00DF63A7" w:rsidRDefault="00566CD1" w:rsidP="00DF63A7">
      <w:pPr>
        <w:pBdr>
          <w:top w:val="nil"/>
          <w:left w:val="nil"/>
          <w:bottom w:val="nil"/>
          <w:right w:val="nil"/>
          <w:between w:val="nil"/>
        </w:pBdr>
        <w:tabs>
          <w:tab w:val="left" w:pos="426"/>
        </w:tabs>
        <w:spacing w:line="360" w:lineRule="auto"/>
        <w:ind w:right="-1134"/>
        <w:jc w:val="both"/>
        <w:rPr>
          <w:rFonts w:ascii="Palatino Linotype" w:eastAsia="Palatino Linotype" w:hAnsi="Palatino Linotype" w:cs="Palatino Linotype"/>
          <w:color w:val="000000"/>
        </w:rPr>
      </w:pPr>
    </w:p>
    <w:p w14:paraId="28C6EDEE" w14:textId="3D62A46D" w:rsidR="00566CD1" w:rsidRPr="00DF63A7" w:rsidRDefault="00FE2915" w:rsidP="00DF63A7">
      <w:pPr>
        <w:pBdr>
          <w:top w:val="nil"/>
          <w:left w:val="nil"/>
          <w:bottom w:val="nil"/>
          <w:right w:val="nil"/>
          <w:between w:val="nil"/>
        </w:pBdr>
        <w:tabs>
          <w:tab w:val="left" w:pos="426"/>
        </w:tabs>
        <w:spacing w:line="360" w:lineRule="auto"/>
        <w:ind w:right="-1134"/>
        <w:jc w:val="both"/>
        <w:rPr>
          <w:rFonts w:ascii="Palatino Linotype" w:eastAsia="Palatino Linotype" w:hAnsi="Palatino Linotype" w:cs="Palatino Linotype"/>
          <w:color w:val="000000"/>
        </w:rPr>
      </w:pPr>
      <w:r w:rsidRPr="00DF63A7">
        <w:rPr>
          <w:rFonts w:ascii="Palatino Linotype" w:eastAsia="Palatino Linotype" w:hAnsi="Palatino Linotype" w:cs="Palatino Linotype"/>
          <w:color w:val="000000"/>
        </w:rPr>
        <w:t>85. La clasificación total o parcial de la información requerida, mediante solicitud de acceso a la información pública, constituye una restricción al derecho humano de acceso a la información, por lo que es menester reiterar los mismos:</w:t>
      </w:r>
    </w:p>
    <w:p w14:paraId="72A297D4" w14:textId="77777777" w:rsidR="00566CD1" w:rsidRPr="00DF63A7" w:rsidRDefault="00566CD1" w:rsidP="00DF63A7">
      <w:pPr>
        <w:pBdr>
          <w:top w:val="nil"/>
          <w:left w:val="nil"/>
          <w:bottom w:val="nil"/>
          <w:right w:val="nil"/>
          <w:between w:val="nil"/>
        </w:pBdr>
        <w:tabs>
          <w:tab w:val="left" w:pos="426"/>
        </w:tabs>
        <w:spacing w:line="360" w:lineRule="auto"/>
        <w:ind w:right="-1134"/>
        <w:jc w:val="both"/>
        <w:rPr>
          <w:rFonts w:ascii="Palatino Linotype" w:eastAsia="Palatino Linotype" w:hAnsi="Palatino Linotype" w:cs="Palatino Linotype"/>
          <w:color w:val="000000"/>
        </w:rPr>
      </w:pPr>
    </w:p>
    <w:tbl>
      <w:tblPr>
        <w:tblStyle w:val="a"/>
        <w:tblW w:w="984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925"/>
        <w:gridCol w:w="6915"/>
      </w:tblGrid>
      <w:tr w:rsidR="00566CD1" w:rsidRPr="00DF63A7" w14:paraId="003CE0BC" w14:textId="77777777" w:rsidTr="00566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5" w:type="dxa"/>
          </w:tcPr>
          <w:p w14:paraId="62A78E15" w14:textId="77777777" w:rsidR="00566CD1" w:rsidRPr="00DF63A7" w:rsidRDefault="00F83198" w:rsidP="00DF63A7">
            <w:pPr>
              <w:spacing w:line="276" w:lineRule="auto"/>
              <w:rPr>
                <w:rFonts w:ascii="Palatino Linotype" w:eastAsia="Palatino Linotype" w:hAnsi="Palatino Linotype" w:cs="Palatino Linotype"/>
              </w:rPr>
            </w:pPr>
            <w:r w:rsidRPr="00DF63A7">
              <w:rPr>
                <w:rFonts w:ascii="Palatino Linotype" w:eastAsia="Palatino Linotype" w:hAnsi="Palatino Linotype" w:cs="Palatino Linotype"/>
                <w:b w:val="0"/>
                <w:bCs w:val="0"/>
              </w:rPr>
              <w:t>a) Requisitos previos.</w:t>
            </w:r>
          </w:p>
        </w:tc>
        <w:tc>
          <w:tcPr>
            <w:tcW w:w="6915" w:type="dxa"/>
          </w:tcPr>
          <w:p w14:paraId="5102B563" w14:textId="77777777" w:rsidR="00566CD1" w:rsidRPr="00DF63A7" w:rsidRDefault="00F83198" w:rsidP="00DF63A7">
            <w:pPr>
              <w:spacing w:line="276"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Los artículos 100 y 122 de la Ley Estatal y de la Ley General, respectivamente, señalan que si los </w:t>
            </w:r>
            <w:r w:rsidRPr="00DF63A7">
              <w:rPr>
                <w:rFonts w:ascii="Palatino Linotype" w:eastAsia="Palatino Linotype" w:hAnsi="Palatino Linotype" w:cs="Palatino Linotype"/>
                <w:b w:val="0"/>
                <w:bCs w:val="0"/>
              </w:rPr>
              <w:t>Sujetos Obligados</w:t>
            </w:r>
            <w:r w:rsidRPr="00DF63A7">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14:paraId="6FF5772C" w14:textId="77777777" w:rsidR="00566CD1" w:rsidRPr="00DF63A7" w:rsidRDefault="00F83198" w:rsidP="00DF63A7">
            <w:pPr>
              <w:spacing w:line="276"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Al hacerlo tienen que precisar de qué información se trata, señalando el supuesto de clasificación (confidencialidad o reserva).</w:t>
            </w:r>
          </w:p>
          <w:p w14:paraId="36E9B584" w14:textId="77777777" w:rsidR="00566CD1" w:rsidRPr="00DF63A7" w:rsidRDefault="00F83198" w:rsidP="00DF63A7">
            <w:pPr>
              <w:spacing w:line="276"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Además, se debe señalar el procedimiento, de los tres que establecen los artículos 132 y 106 de la Ley Estatal y General, respectivamente.</w:t>
            </w:r>
          </w:p>
          <w:p w14:paraId="3EE55D66" w14:textId="77777777" w:rsidR="00566CD1" w:rsidRPr="00DF63A7" w:rsidRDefault="00F83198" w:rsidP="00DF63A7">
            <w:pPr>
              <w:spacing w:line="276"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DF63A7">
              <w:rPr>
                <w:rFonts w:ascii="Palatino Linotype" w:eastAsia="Palatino Linotype" w:hAnsi="Palatino Linotype" w:cs="Palatino Linotype"/>
                <w:b w:val="0"/>
                <w:bCs w:val="0"/>
                <w:u w:val="single"/>
              </w:rPr>
              <w:t xml:space="preserve">no se puede hacer un acuerdo para clasificar de manera general todos los documentos de un expediente o área,  </w:t>
            </w:r>
            <w:r w:rsidRPr="00DF63A7">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566CD1" w:rsidRPr="00DF63A7" w14:paraId="5EEEFDF4" w14:textId="77777777" w:rsidTr="00566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5" w:type="dxa"/>
          </w:tcPr>
          <w:p w14:paraId="3A863522" w14:textId="77777777" w:rsidR="00566CD1" w:rsidRPr="00DF63A7" w:rsidRDefault="00F83198" w:rsidP="00DF63A7">
            <w:pPr>
              <w:spacing w:line="276" w:lineRule="auto"/>
              <w:rPr>
                <w:rFonts w:ascii="Palatino Linotype" w:eastAsia="Palatino Linotype" w:hAnsi="Palatino Linotype" w:cs="Palatino Linotype"/>
              </w:rPr>
            </w:pPr>
            <w:r w:rsidRPr="00DF63A7">
              <w:rPr>
                <w:rFonts w:ascii="Palatino Linotype" w:eastAsia="Palatino Linotype" w:hAnsi="Palatino Linotype" w:cs="Palatino Linotype"/>
                <w:b w:val="0"/>
                <w:bCs w:val="0"/>
              </w:rPr>
              <w:lastRenderedPageBreak/>
              <w:t>b) Supuestos de clasificación.</w:t>
            </w:r>
          </w:p>
        </w:tc>
        <w:tc>
          <w:tcPr>
            <w:tcW w:w="6915" w:type="dxa"/>
          </w:tcPr>
          <w:p w14:paraId="49B132F8"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2DFD1F40"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2A494D8"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El </w:t>
            </w:r>
            <w:r w:rsidRPr="00DF63A7">
              <w:rPr>
                <w:rFonts w:ascii="Palatino Linotype" w:eastAsia="Palatino Linotype" w:hAnsi="Palatino Linotype" w:cs="Palatino Linotype"/>
                <w:b/>
                <w:bCs/>
              </w:rPr>
              <w:t>SUJETO OBLIGADO</w:t>
            </w:r>
            <w:r w:rsidRPr="00DF63A7">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66CD1" w:rsidRPr="00DF63A7" w14:paraId="07614E16" w14:textId="77777777" w:rsidTr="00566CD1">
        <w:tc>
          <w:tcPr>
            <w:cnfStyle w:val="001000000000" w:firstRow="0" w:lastRow="0" w:firstColumn="1" w:lastColumn="0" w:oddVBand="0" w:evenVBand="0" w:oddHBand="0" w:evenHBand="0" w:firstRowFirstColumn="0" w:firstRowLastColumn="0" w:lastRowFirstColumn="0" w:lastRowLastColumn="0"/>
            <w:tcW w:w="2925" w:type="dxa"/>
          </w:tcPr>
          <w:p w14:paraId="11917187" w14:textId="77777777" w:rsidR="00566CD1" w:rsidRPr="00DF63A7" w:rsidRDefault="00F83198" w:rsidP="00DF63A7">
            <w:pPr>
              <w:spacing w:line="276" w:lineRule="auto"/>
              <w:rPr>
                <w:rFonts w:ascii="Palatino Linotype" w:eastAsia="Palatino Linotype" w:hAnsi="Palatino Linotype" w:cs="Palatino Linotype"/>
              </w:rPr>
            </w:pPr>
            <w:r w:rsidRPr="00DF63A7">
              <w:rPr>
                <w:rFonts w:ascii="Palatino Linotype" w:eastAsia="Palatino Linotype" w:hAnsi="Palatino Linotype" w:cs="Palatino Linotype"/>
                <w:b w:val="0"/>
                <w:bCs w:val="0"/>
              </w:rPr>
              <w:t>c) Formalidades para emitir el acuerdo de clasificación.</w:t>
            </w:r>
          </w:p>
        </w:tc>
        <w:tc>
          <w:tcPr>
            <w:tcW w:w="6915" w:type="dxa"/>
          </w:tcPr>
          <w:p w14:paraId="13BD1380" w14:textId="77777777" w:rsidR="00566CD1" w:rsidRPr="00DF63A7" w:rsidRDefault="00F83198" w:rsidP="00DF63A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57A1C59A" w14:textId="77777777" w:rsidR="00566CD1" w:rsidRPr="00DF63A7" w:rsidRDefault="00F83198" w:rsidP="00DF63A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Es necesario que </w:t>
            </w:r>
            <w:r w:rsidRPr="00DF63A7">
              <w:rPr>
                <w:rFonts w:ascii="Palatino Linotype" w:eastAsia="Palatino Linotype" w:hAnsi="Palatino Linotype" w:cs="Palatino Linotype"/>
                <w:b/>
                <w:bCs/>
                <w:u w:val="single"/>
              </w:rPr>
              <w:t>el acto reúna con los requisitos elementales</w:t>
            </w:r>
            <w:r w:rsidRPr="00DF63A7">
              <w:rPr>
                <w:rFonts w:ascii="Palatino Linotype" w:eastAsia="Palatino Linotype" w:hAnsi="Palatino Linotype" w:cs="Palatino Linotype"/>
              </w:rPr>
              <w:t>, entre ellos, que la autoridad que va a emitir el acto de autoridad sea la legalmente facultada para ello.</w:t>
            </w:r>
          </w:p>
          <w:p w14:paraId="7426964F" w14:textId="77777777" w:rsidR="00566CD1" w:rsidRPr="00DF63A7" w:rsidRDefault="00F83198" w:rsidP="00DF63A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w:t>
            </w:r>
            <w:r w:rsidRPr="00DF63A7">
              <w:rPr>
                <w:rFonts w:ascii="Palatino Linotype" w:eastAsia="Palatino Linotype" w:hAnsi="Palatino Linotype" w:cs="Palatino Linotype"/>
              </w:rPr>
              <w:lastRenderedPageBreak/>
              <w:t>de las decisiones adoptadas previamente por los titulares de áreas y que son sujetas a control, en primera instancia, por el Comité de Transparencia.</w:t>
            </w:r>
          </w:p>
        </w:tc>
      </w:tr>
      <w:tr w:rsidR="00566CD1" w:rsidRPr="00DF63A7" w14:paraId="062D621A" w14:textId="77777777" w:rsidTr="00566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5" w:type="dxa"/>
          </w:tcPr>
          <w:p w14:paraId="3AFD5F5C" w14:textId="77777777" w:rsidR="00566CD1" w:rsidRPr="00DF63A7" w:rsidRDefault="00566CD1" w:rsidP="00DF63A7">
            <w:pPr>
              <w:spacing w:line="276" w:lineRule="auto"/>
              <w:rPr>
                <w:rFonts w:ascii="Palatino Linotype" w:eastAsia="Palatino Linotype" w:hAnsi="Palatino Linotype" w:cs="Palatino Linotype"/>
              </w:rPr>
            </w:pPr>
          </w:p>
          <w:p w14:paraId="25401D32" w14:textId="77777777" w:rsidR="00566CD1" w:rsidRPr="00DF63A7" w:rsidRDefault="00F83198" w:rsidP="00DF63A7">
            <w:pPr>
              <w:spacing w:line="276" w:lineRule="auto"/>
              <w:jc w:val="both"/>
              <w:rPr>
                <w:rFonts w:ascii="Palatino Linotype" w:eastAsia="Palatino Linotype" w:hAnsi="Palatino Linotype" w:cs="Palatino Linotype"/>
              </w:rPr>
            </w:pPr>
            <w:r w:rsidRPr="00DF63A7">
              <w:rPr>
                <w:rFonts w:ascii="Palatino Linotype" w:eastAsia="Palatino Linotype" w:hAnsi="Palatino Linotype" w:cs="Palatino Linotype"/>
                <w:b w:val="0"/>
                <w:bCs w:val="0"/>
              </w:rPr>
              <w:t xml:space="preserve">d) Requisitos de fondo del acuerdo de clasificación. </w:t>
            </w:r>
          </w:p>
        </w:tc>
        <w:tc>
          <w:tcPr>
            <w:tcW w:w="6915" w:type="dxa"/>
          </w:tcPr>
          <w:p w14:paraId="27ACD9A9"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F63A7">
              <w:rPr>
                <w:rFonts w:ascii="Palatino Linotype" w:eastAsia="Palatino Linotype" w:hAnsi="Palatino Linotype" w:cs="Palatino Linotype"/>
                <w:b/>
                <w:bCs/>
              </w:rPr>
              <w:t>Sujetos Obligados</w:t>
            </w:r>
            <w:r w:rsidRPr="00DF63A7">
              <w:rPr>
                <w:rFonts w:ascii="Palatino Linotype" w:eastAsia="Palatino Linotype" w:hAnsi="Palatino Linotype" w:cs="Palatino Linotype"/>
              </w:rPr>
              <w:t xml:space="preserve">, por lo que deberán fundar y motivar debidamente la clasificación. </w:t>
            </w:r>
          </w:p>
          <w:p w14:paraId="2D2701B6"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De lo anterior, se desprende que para una correcta </w:t>
            </w:r>
            <w:r w:rsidRPr="00DF63A7">
              <w:rPr>
                <w:rFonts w:ascii="Palatino Linotype" w:eastAsia="Palatino Linotype" w:hAnsi="Palatino Linotype" w:cs="Palatino Linotype"/>
                <w:b/>
                <w:bCs/>
              </w:rPr>
              <w:t>clasificación total o parcial</w:t>
            </w:r>
            <w:r w:rsidRPr="00DF63A7">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C796A60"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68F2B4BF"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14:paraId="420CF55A" w14:textId="77777777" w:rsidR="00566CD1" w:rsidRPr="00DF63A7" w:rsidRDefault="00F83198" w:rsidP="00DF63A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lastRenderedPageBreak/>
              <w:t xml:space="preserve">Ahora bien, </w:t>
            </w:r>
            <w:r w:rsidRPr="00DF63A7">
              <w:rPr>
                <w:rFonts w:ascii="Palatino Linotype" w:eastAsia="Palatino Linotype" w:hAnsi="Palatino Linotype" w:cs="Palatino Linotype"/>
                <w:b/>
                <w:bCs/>
                <w:u w:val="single"/>
              </w:rPr>
              <w:t>para cada caso además de fundar y motivar</w:t>
            </w:r>
            <w:r w:rsidRPr="00DF63A7">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66CD1" w:rsidRPr="00DF63A7" w14:paraId="0DFABA68" w14:textId="77777777" w:rsidTr="00566CD1">
        <w:tc>
          <w:tcPr>
            <w:cnfStyle w:val="001000000000" w:firstRow="0" w:lastRow="0" w:firstColumn="1" w:lastColumn="0" w:oddVBand="0" w:evenVBand="0" w:oddHBand="0" w:evenHBand="0" w:firstRowFirstColumn="0" w:firstRowLastColumn="0" w:lastRowFirstColumn="0" w:lastRowLastColumn="0"/>
            <w:tcW w:w="2925" w:type="dxa"/>
          </w:tcPr>
          <w:p w14:paraId="16194236" w14:textId="77777777" w:rsidR="00566CD1" w:rsidRPr="00DF63A7" w:rsidRDefault="00F83198" w:rsidP="00DF63A7">
            <w:pPr>
              <w:spacing w:line="276" w:lineRule="auto"/>
              <w:jc w:val="both"/>
              <w:rPr>
                <w:rFonts w:ascii="Palatino Linotype" w:eastAsia="Palatino Linotype" w:hAnsi="Palatino Linotype" w:cs="Palatino Linotype"/>
              </w:rPr>
            </w:pPr>
            <w:r w:rsidRPr="00DF63A7">
              <w:rPr>
                <w:rFonts w:ascii="Palatino Linotype" w:eastAsia="Palatino Linotype" w:hAnsi="Palatino Linotype" w:cs="Palatino Linotype"/>
                <w:b w:val="0"/>
                <w:bCs w:val="0"/>
              </w:rPr>
              <w:lastRenderedPageBreak/>
              <w:t xml:space="preserve">e) Condiciones especiales de la clasificación de la información como confidencial. </w:t>
            </w:r>
          </w:p>
          <w:p w14:paraId="620DBF06" w14:textId="77777777" w:rsidR="00566CD1" w:rsidRPr="00DF63A7" w:rsidRDefault="00566CD1" w:rsidP="00DF63A7">
            <w:pPr>
              <w:spacing w:line="276" w:lineRule="auto"/>
              <w:rPr>
                <w:rFonts w:ascii="Palatino Linotype" w:eastAsia="Palatino Linotype" w:hAnsi="Palatino Linotype" w:cs="Palatino Linotype"/>
              </w:rPr>
            </w:pPr>
          </w:p>
        </w:tc>
        <w:tc>
          <w:tcPr>
            <w:tcW w:w="6915" w:type="dxa"/>
          </w:tcPr>
          <w:p w14:paraId="446625DE" w14:textId="77777777" w:rsidR="00566CD1" w:rsidRPr="00DF63A7" w:rsidRDefault="00F83198" w:rsidP="00DF63A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14:paraId="1DC78394" w14:textId="77777777" w:rsidR="00566CD1" w:rsidRPr="00DF63A7" w:rsidRDefault="00F83198" w:rsidP="00DF63A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0A0F74A6" w14:textId="77777777" w:rsidR="00566CD1" w:rsidRPr="00DF63A7" w:rsidRDefault="00F83198" w:rsidP="00DF63A7">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DF63A7">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6CDE0CD" w14:textId="77777777" w:rsidR="00566CD1" w:rsidRPr="00DF63A7" w:rsidRDefault="00566CD1" w:rsidP="00DF63A7">
      <w:pPr>
        <w:tabs>
          <w:tab w:val="left" w:pos="284"/>
        </w:tabs>
        <w:spacing w:before="240" w:line="360" w:lineRule="auto"/>
        <w:ind w:right="-1134"/>
        <w:jc w:val="both"/>
        <w:rPr>
          <w:rFonts w:ascii="Palatino Linotype" w:eastAsia="Palatino Linotype" w:hAnsi="Palatino Linotype" w:cs="Palatino Linotype"/>
        </w:rPr>
      </w:pPr>
    </w:p>
    <w:p w14:paraId="0335FB15" w14:textId="2C5732BA" w:rsidR="00566CD1" w:rsidRDefault="00FE2915" w:rsidP="00DF63A7">
      <w:pPr>
        <w:spacing w:line="360" w:lineRule="auto"/>
        <w:ind w:right="-1134"/>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86. Por lo anteriormente expuesto y fundado, este </w:t>
      </w:r>
      <w:r w:rsidRPr="00DF63A7">
        <w:rPr>
          <w:rFonts w:ascii="Palatino Linotype" w:eastAsia="Palatino Linotype" w:hAnsi="Palatino Linotype" w:cs="Palatino Linotype"/>
          <w:b/>
          <w:bCs/>
        </w:rPr>
        <w:t>ÓRGANO GARANTE</w:t>
      </w:r>
      <w:r w:rsidRPr="00DF63A7">
        <w:rPr>
          <w:rFonts w:ascii="Palatino Linotype" w:eastAsia="Palatino Linotype" w:hAnsi="Palatino Linotype" w:cs="Palatino Linotype"/>
        </w:rPr>
        <w:t xml:space="preserve"> emite los siguientes:</w:t>
      </w:r>
      <w:r w:rsidR="00DF63A7">
        <w:rPr>
          <w:rFonts w:ascii="Palatino Linotype" w:eastAsia="Palatino Linotype" w:hAnsi="Palatino Linotype" w:cs="Palatino Linotype"/>
        </w:rPr>
        <w:t xml:space="preserve"> -----------------------------------------------------------------------------------------------------------</w:t>
      </w:r>
    </w:p>
    <w:p w14:paraId="2841DA1F" w14:textId="77777777" w:rsidR="00DF63A7" w:rsidRDefault="00DF63A7" w:rsidP="00DF63A7">
      <w:pPr>
        <w:spacing w:line="360" w:lineRule="auto"/>
        <w:ind w:right="-1134"/>
        <w:jc w:val="both"/>
        <w:rPr>
          <w:rFonts w:ascii="Palatino Linotype" w:eastAsia="Palatino Linotype" w:hAnsi="Palatino Linotype" w:cs="Palatino Linotype"/>
        </w:rPr>
      </w:pPr>
    </w:p>
    <w:p w14:paraId="015994DB" w14:textId="77777777" w:rsidR="00DF63A7" w:rsidRPr="00DF63A7" w:rsidRDefault="00DF63A7" w:rsidP="00DF63A7">
      <w:pPr>
        <w:spacing w:line="360" w:lineRule="auto"/>
        <w:ind w:right="-1134"/>
        <w:jc w:val="both"/>
        <w:rPr>
          <w:rFonts w:ascii="Palatino Linotype" w:eastAsia="Palatino Linotype" w:hAnsi="Palatino Linotype" w:cs="Palatino Linotype"/>
        </w:rPr>
      </w:pPr>
    </w:p>
    <w:p w14:paraId="48EE099A" w14:textId="77777777" w:rsidR="00566CD1" w:rsidRPr="00DF63A7" w:rsidRDefault="00F83198" w:rsidP="00DF63A7">
      <w:pPr>
        <w:keepNext/>
        <w:keepLines/>
        <w:spacing w:line="360" w:lineRule="auto"/>
        <w:ind w:right="-1134"/>
        <w:jc w:val="center"/>
        <w:rPr>
          <w:rFonts w:ascii="Palatino Linotype" w:eastAsia="Palatino Linotype" w:hAnsi="Palatino Linotype" w:cs="Palatino Linotype"/>
          <w:b/>
          <w:bCs/>
        </w:rPr>
      </w:pPr>
      <w:bookmarkStart w:id="15" w:name="_heading=h.35nkun2" w:colFirst="0" w:colLast="0"/>
      <w:bookmarkEnd w:id="15"/>
      <w:r w:rsidRPr="00DF63A7">
        <w:rPr>
          <w:rFonts w:ascii="Palatino Linotype" w:eastAsia="Palatino Linotype" w:hAnsi="Palatino Linotype" w:cs="Palatino Linotype"/>
          <w:b/>
          <w:bCs/>
        </w:rPr>
        <w:lastRenderedPageBreak/>
        <w:t xml:space="preserve">R E S O L U T I V O S </w:t>
      </w:r>
    </w:p>
    <w:p w14:paraId="6EF342E5" w14:textId="77777777" w:rsidR="00566CD1" w:rsidRPr="00DF63A7" w:rsidRDefault="00566CD1" w:rsidP="00DF63A7">
      <w:pPr>
        <w:spacing w:line="360" w:lineRule="auto"/>
        <w:ind w:right="-1134"/>
        <w:rPr>
          <w:rFonts w:ascii="Palatino Linotype" w:eastAsia="Palatino Linotype" w:hAnsi="Palatino Linotype" w:cs="Palatino Linotype"/>
        </w:rPr>
      </w:pPr>
    </w:p>
    <w:p w14:paraId="055A35E5" w14:textId="77777777" w:rsidR="00566CD1" w:rsidRPr="00DF63A7" w:rsidRDefault="00F83198" w:rsidP="00DF63A7">
      <w:pPr>
        <w:spacing w:line="360" w:lineRule="auto"/>
        <w:ind w:right="-1134"/>
        <w:jc w:val="both"/>
        <w:rPr>
          <w:rFonts w:ascii="Palatino Linotype" w:eastAsia="Palatino Linotype" w:hAnsi="Palatino Linotype" w:cs="Palatino Linotype"/>
        </w:rPr>
      </w:pPr>
      <w:bookmarkStart w:id="16" w:name="_heading=h.1ksv4uv" w:colFirst="0" w:colLast="0"/>
      <w:bookmarkEnd w:id="16"/>
      <w:r w:rsidRPr="00DF63A7">
        <w:rPr>
          <w:rFonts w:ascii="Palatino Linotype" w:eastAsia="Palatino Linotype" w:hAnsi="Palatino Linotype" w:cs="Palatino Linotype"/>
          <w:b/>
          <w:bCs/>
        </w:rPr>
        <w:t>PRIMERO</w:t>
      </w:r>
      <w:r w:rsidRPr="00DF63A7">
        <w:rPr>
          <w:rFonts w:ascii="Palatino Linotype" w:eastAsia="Palatino Linotype" w:hAnsi="Palatino Linotype" w:cs="Palatino Linotype"/>
        </w:rPr>
        <w:t xml:space="preserve">. Resultan fundadas las razones o motivos de inconformidad hechos valer en el recurso de revisión </w:t>
      </w:r>
      <w:r w:rsidRPr="00DF63A7">
        <w:rPr>
          <w:rFonts w:ascii="Palatino Linotype" w:eastAsia="Palatino Linotype" w:hAnsi="Palatino Linotype" w:cs="Palatino Linotype"/>
          <w:b/>
          <w:bCs/>
        </w:rPr>
        <w:t>1478/INFOEM/IP/RR/2026</w:t>
      </w:r>
      <w:r w:rsidRPr="00DF63A7">
        <w:rPr>
          <w:rFonts w:ascii="Palatino Linotype" w:eastAsia="Palatino Linotype" w:hAnsi="Palatino Linotype" w:cs="Palatino Linotype"/>
        </w:rPr>
        <w:t xml:space="preserve"> en términos de los Considerandos </w:t>
      </w:r>
      <w:r w:rsidRPr="00DF63A7">
        <w:rPr>
          <w:rFonts w:ascii="Palatino Linotype" w:eastAsia="Palatino Linotype" w:hAnsi="Palatino Linotype" w:cs="Palatino Linotype"/>
          <w:b/>
          <w:bCs/>
        </w:rPr>
        <w:t>CUARTO</w:t>
      </w:r>
      <w:r w:rsidRPr="00DF63A7">
        <w:rPr>
          <w:rFonts w:ascii="Palatino Linotype" w:eastAsia="Palatino Linotype" w:hAnsi="Palatino Linotype" w:cs="Palatino Linotype"/>
        </w:rPr>
        <w:t xml:space="preserve"> de la presente resolución.</w:t>
      </w:r>
    </w:p>
    <w:p w14:paraId="70D2387A" w14:textId="77777777" w:rsidR="00566CD1" w:rsidRPr="00DF63A7" w:rsidRDefault="00566CD1" w:rsidP="00DF63A7">
      <w:pPr>
        <w:spacing w:line="360" w:lineRule="auto"/>
        <w:ind w:right="-1134"/>
        <w:jc w:val="both"/>
        <w:rPr>
          <w:rFonts w:ascii="Palatino Linotype" w:eastAsia="Palatino Linotype" w:hAnsi="Palatino Linotype" w:cs="Palatino Linotype"/>
          <w:b/>
          <w:bCs/>
        </w:rPr>
      </w:pPr>
    </w:p>
    <w:p w14:paraId="4BCD998E" w14:textId="77777777" w:rsidR="00566CD1" w:rsidRPr="00DF63A7" w:rsidRDefault="00F83198" w:rsidP="00DF63A7">
      <w:pPr>
        <w:spacing w:line="360" w:lineRule="auto"/>
        <w:ind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rPr>
        <w:t xml:space="preserve">SEGUNDO. </w:t>
      </w:r>
      <w:r w:rsidRPr="00DF63A7">
        <w:rPr>
          <w:rFonts w:ascii="Palatino Linotype" w:eastAsia="Palatino Linotype" w:hAnsi="Palatino Linotype" w:cs="Palatino Linotype"/>
        </w:rPr>
        <w:t xml:space="preserve">Se </w:t>
      </w:r>
      <w:r w:rsidRPr="00DF63A7">
        <w:rPr>
          <w:rFonts w:ascii="Palatino Linotype" w:eastAsia="Palatino Linotype" w:hAnsi="Palatino Linotype" w:cs="Palatino Linotype"/>
          <w:b/>
          <w:bCs/>
        </w:rPr>
        <w:t xml:space="preserve">REVOCA </w:t>
      </w:r>
      <w:r w:rsidRPr="00DF63A7">
        <w:rPr>
          <w:rFonts w:ascii="Palatino Linotype" w:eastAsia="Palatino Linotype" w:hAnsi="Palatino Linotype" w:cs="Palatino Linotype"/>
        </w:rPr>
        <w:t xml:space="preserve">la respuesta del </w:t>
      </w:r>
      <w:r w:rsidRPr="00DF63A7">
        <w:rPr>
          <w:rFonts w:ascii="Palatino Linotype" w:eastAsia="Palatino Linotype" w:hAnsi="Palatino Linotype" w:cs="Palatino Linotype"/>
          <w:b/>
        </w:rPr>
        <w:t>Ayuntamiento</w:t>
      </w:r>
      <w:r w:rsidRPr="00DF63A7">
        <w:rPr>
          <w:rFonts w:ascii="Palatino Linotype" w:eastAsia="Palatino Linotype" w:hAnsi="Palatino Linotype" w:cs="Palatino Linotype"/>
          <w:b/>
          <w:bCs/>
        </w:rPr>
        <w:t xml:space="preserve"> de Almoloya de Juárez</w:t>
      </w:r>
      <w:r w:rsidRPr="00DF63A7">
        <w:rPr>
          <w:rFonts w:ascii="Palatino Linotype" w:eastAsia="Palatino Linotype" w:hAnsi="Palatino Linotype" w:cs="Palatino Linotype"/>
        </w:rPr>
        <w:t>, a la solicitud de información</w:t>
      </w:r>
      <w:r w:rsidRPr="00DF63A7">
        <w:rPr>
          <w:rFonts w:ascii="Palatino Linotype" w:eastAsia="Palatino Linotype" w:hAnsi="Palatino Linotype" w:cs="Palatino Linotype"/>
          <w:b/>
          <w:bCs/>
        </w:rPr>
        <w:t xml:space="preserve"> 00014/ALMOJU/IP/2026 </w:t>
      </w:r>
      <w:r w:rsidRPr="00DF63A7">
        <w:rPr>
          <w:rFonts w:ascii="Palatino Linotype" w:eastAsia="Palatino Linotype" w:hAnsi="Palatino Linotype" w:cs="Palatino Linotype"/>
        </w:rPr>
        <w:t>y</w:t>
      </w:r>
      <w:r w:rsidRPr="00DF63A7">
        <w:rPr>
          <w:rFonts w:ascii="Palatino Linotype" w:eastAsia="Palatino Linotype" w:hAnsi="Palatino Linotype" w:cs="Palatino Linotype"/>
          <w:b/>
          <w:bCs/>
        </w:rPr>
        <w:t xml:space="preserve"> </w:t>
      </w:r>
      <w:r w:rsidRPr="00DF63A7">
        <w:rPr>
          <w:rFonts w:ascii="Palatino Linotype" w:eastAsia="Palatino Linotype" w:hAnsi="Palatino Linotype" w:cs="Palatino Linotype"/>
        </w:rPr>
        <w:t xml:space="preserve">se </w:t>
      </w:r>
      <w:r w:rsidRPr="00DF63A7">
        <w:rPr>
          <w:rFonts w:ascii="Palatino Linotype" w:eastAsia="Palatino Linotype" w:hAnsi="Palatino Linotype" w:cs="Palatino Linotype"/>
          <w:b/>
          <w:bCs/>
        </w:rPr>
        <w:t>ORDENA</w:t>
      </w:r>
      <w:r w:rsidRPr="00DF63A7">
        <w:rPr>
          <w:rFonts w:ascii="Palatino Linotype" w:eastAsia="Palatino Linotype" w:hAnsi="Palatino Linotype" w:cs="Palatino Linotype"/>
        </w:rPr>
        <w:t xml:space="preserve"> entregar vía Sistema de Acceso a la Información Mexiquense </w:t>
      </w:r>
      <w:r w:rsidRPr="00DF63A7">
        <w:rPr>
          <w:rFonts w:ascii="Palatino Linotype" w:eastAsia="Palatino Linotype" w:hAnsi="Palatino Linotype" w:cs="Palatino Linotype"/>
          <w:b/>
          <w:bCs/>
        </w:rPr>
        <w:t>(SAIMEX)</w:t>
      </w:r>
      <w:r w:rsidRPr="00DF63A7">
        <w:rPr>
          <w:rFonts w:ascii="Palatino Linotype" w:eastAsia="Palatino Linotype" w:hAnsi="Palatino Linotype" w:cs="Palatino Linotype"/>
        </w:rPr>
        <w:t xml:space="preserve">, previa búsqueda exhaustiva y razonable, de ser procedente en versión pública, </w:t>
      </w:r>
      <w:r w:rsidRPr="00DF63A7">
        <w:rPr>
          <w:rFonts w:ascii="Palatino Linotype" w:eastAsia="Palatino Linotype" w:hAnsi="Palatino Linotype" w:cs="Palatino Linotype"/>
          <w:b/>
          <w:bCs/>
        </w:rPr>
        <w:t xml:space="preserve">del uno de enero al treinta y uno de diciembre de dos mil veinticinco, </w:t>
      </w:r>
      <w:r w:rsidRPr="00DF63A7">
        <w:rPr>
          <w:rFonts w:ascii="Palatino Linotype" w:eastAsia="Palatino Linotype" w:hAnsi="Palatino Linotype" w:cs="Palatino Linotype"/>
        </w:rPr>
        <w:t xml:space="preserve">el o los documentos donde conste lo siguiente: </w:t>
      </w:r>
    </w:p>
    <w:p w14:paraId="2988B288"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7C35CBFE" w14:textId="77777777" w:rsidR="00566CD1" w:rsidRPr="00DF63A7" w:rsidRDefault="00F83198" w:rsidP="00DF63A7">
      <w:pPr>
        <w:numPr>
          <w:ilvl w:val="0"/>
          <w:numId w:val="8"/>
        </w:numPr>
        <w:pBdr>
          <w:top w:val="nil"/>
          <w:left w:val="nil"/>
          <w:bottom w:val="nil"/>
          <w:right w:val="nil"/>
          <w:between w:val="nil"/>
        </w:pBdr>
        <w:spacing w:line="360" w:lineRule="auto"/>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 xml:space="preserve">Contratos de adjudicación directa, invitación restringida y/o licitación pública de: </w:t>
      </w:r>
    </w:p>
    <w:p w14:paraId="36DFBF24" w14:textId="77777777" w:rsidR="00566CD1" w:rsidRPr="00DF63A7" w:rsidRDefault="00F83198" w:rsidP="00DF63A7">
      <w:pPr>
        <w:numPr>
          <w:ilvl w:val="1"/>
          <w:numId w:val="8"/>
        </w:numPr>
        <w:pBdr>
          <w:top w:val="nil"/>
          <w:left w:val="nil"/>
          <w:bottom w:val="nil"/>
          <w:right w:val="nil"/>
          <w:between w:val="nil"/>
        </w:pBdr>
        <w:spacing w:line="360" w:lineRule="auto"/>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 xml:space="preserve">Compra de vehículos </w:t>
      </w:r>
    </w:p>
    <w:p w14:paraId="40B4A943" w14:textId="77777777" w:rsidR="00566CD1" w:rsidRPr="00DF63A7" w:rsidRDefault="00F83198" w:rsidP="00DF63A7">
      <w:pPr>
        <w:numPr>
          <w:ilvl w:val="1"/>
          <w:numId w:val="8"/>
        </w:numPr>
        <w:pBdr>
          <w:top w:val="nil"/>
          <w:left w:val="nil"/>
          <w:bottom w:val="nil"/>
          <w:right w:val="nil"/>
          <w:between w:val="nil"/>
        </w:pBdr>
        <w:spacing w:line="360" w:lineRule="auto"/>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Con motivo de la feria de Almoloya de Juárez 2025</w:t>
      </w:r>
    </w:p>
    <w:p w14:paraId="6DCE395E" w14:textId="77777777" w:rsidR="00566CD1" w:rsidRPr="00DF63A7" w:rsidRDefault="00F83198" w:rsidP="00DF63A7">
      <w:pPr>
        <w:numPr>
          <w:ilvl w:val="1"/>
          <w:numId w:val="8"/>
        </w:numPr>
        <w:pBdr>
          <w:top w:val="nil"/>
          <w:left w:val="nil"/>
          <w:bottom w:val="nil"/>
          <w:right w:val="nil"/>
          <w:between w:val="nil"/>
        </w:pBdr>
        <w:spacing w:line="360" w:lineRule="auto"/>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Diversos Eventos</w:t>
      </w:r>
    </w:p>
    <w:p w14:paraId="1B7BB6AC" w14:textId="77777777" w:rsidR="00566CD1" w:rsidRPr="00DF63A7" w:rsidRDefault="00F83198" w:rsidP="00DF63A7">
      <w:pPr>
        <w:numPr>
          <w:ilvl w:val="1"/>
          <w:numId w:val="8"/>
        </w:numPr>
        <w:pBdr>
          <w:top w:val="nil"/>
          <w:left w:val="nil"/>
          <w:bottom w:val="nil"/>
          <w:right w:val="nil"/>
          <w:between w:val="nil"/>
        </w:pBdr>
        <w:spacing w:line="360" w:lineRule="auto"/>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 xml:space="preserve">Compra de tinacos y papelería; </w:t>
      </w:r>
    </w:p>
    <w:p w14:paraId="741BB122" w14:textId="77777777" w:rsidR="00566CD1" w:rsidRPr="00DF63A7" w:rsidRDefault="00F83198" w:rsidP="00DF63A7">
      <w:pPr>
        <w:numPr>
          <w:ilvl w:val="0"/>
          <w:numId w:val="8"/>
        </w:numPr>
        <w:pBdr>
          <w:top w:val="nil"/>
          <w:left w:val="nil"/>
          <w:bottom w:val="nil"/>
          <w:right w:val="nil"/>
          <w:between w:val="nil"/>
        </w:pBdr>
        <w:spacing w:line="360" w:lineRule="auto"/>
        <w:ind w:right="-1134"/>
        <w:jc w:val="both"/>
        <w:rPr>
          <w:rFonts w:ascii="Palatino Linotype" w:eastAsia="Palatino Linotype" w:hAnsi="Palatino Linotype" w:cs="Palatino Linotype"/>
          <w:b/>
          <w:bCs/>
          <w:color w:val="000000"/>
        </w:rPr>
      </w:pPr>
      <w:r w:rsidRPr="00DF63A7">
        <w:rPr>
          <w:rFonts w:ascii="Palatino Linotype" w:eastAsia="Palatino Linotype" w:hAnsi="Palatino Linotype" w:cs="Palatino Linotype"/>
          <w:b/>
          <w:bCs/>
          <w:color w:val="000000"/>
        </w:rPr>
        <w:t>Contratos realizados por la Dirección de Administración y Dirección de Recursos Materiales</w:t>
      </w:r>
    </w:p>
    <w:p w14:paraId="65675E95" w14:textId="77777777" w:rsidR="00566CD1" w:rsidRPr="00DF63A7" w:rsidRDefault="00566CD1" w:rsidP="00DF63A7">
      <w:pPr>
        <w:pBdr>
          <w:top w:val="nil"/>
          <w:left w:val="nil"/>
          <w:bottom w:val="nil"/>
          <w:right w:val="nil"/>
          <w:between w:val="nil"/>
        </w:pBdr>
        <w:spacing w:line="360" w:lineRule="auto"/>
        <w:ind w:left="1287" w:right="-1134"/>
        <w:jc w:val="both"/>
        <w:rPr>
          <w:rFonts w:ascii="Palatino Linotype" w:eastAsia="Palatino Linotype" w:hAnsi="Palatino Linotype" w:cs="Palatino Linotype"/>
          <w:b/>
          <w:bCs/>
          <w:color w:val="000000"/>
        </w:rPr>
      </w:pPr>
    </w:p>
    <w:p w14:paraId="49A4766F" w14:textId="77777777" w:rsidR="00566CD1" w:rsidRPr="00DF63A7" w:rsidRDefault="00F83198" w:rsidP="00DF63A7">
      <w:pPr>
        <w:spacing w:line="360" w:lineRule="auto"/>
        <w:ind w:right="-1134"/>
        <w:jc w:val="both"/>
        <w:rPr>
          <w:rFonts w:ascii="Palatino Linotype" w:eastAsia="Palatino Linotype" w:hAnsi="Palatino Linotype" w:cs="Palatino Linotype"/>
        </w:rPr>
      </w:pPr>
      <w:r w:rsidRPr="00DF63A7">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w:t>
      </w:r>
      <w:r w:rsidRPr="00DF63A7">
        <w:rPr>
          <w:rFonts w:ascii="Palatino Linotype" w:eastAsia="Palatino Linotype" w:hAnsi="Palatino Linotype" w:cs="Palatino Linotype"/>
        </w:rPr>
        <w:lastRenderedPageBreak/>
        <w:t xml:space="preserve">Acceso a la Información Pública del Estado de México y Municipios, en el que funde y motive las razones sobre los datos que se supriman o eliminen dentro del soporte documental respectivo objeto de las versiones públicas que se formulen y se pongan a disposición </w:t>
      </w:r>
      <w:r w:rsidRPr="00DF63A7">
        <w:rPr>
          <w:rFonts w:ascii="Palatino Linotype" w:eastAsia="Palatino Linotype" w:hAnsi="Palatino Linotype" w:cs="Palatino Linotype"/>
          <w:b/>
          <w:bCs/>
        </w:rPr>
        <w:t>del RECURRENTE</w:t>
      </w:r>
      <w:r w:rsidRPr="00DF63A7">
        <w:rPr>
          <w:rFonts w:ascii="Palatino Linotype" w:eastAsia="Palatino Linotype" w:hAnsi="Palatino Linotype" w:cs="Palatino Linotype"/>
        </w:rPr>
        <w:t>.</w:t>
      </w:r>
    </w:p>
    <w:p w14:paraId="45606747" w14:textId="77777777" w:rsidR="00566CD1" w:rsidRPr="00DF63A7" w:rsidRDefault="00566CD1" w:rsidP="00DF63A7">
      <w:pPr>
        <w:spacing w:line="360" w:lineRule="auto"/>
        <w:ind w:right="-1134"/>
        <w:jc w:val="both"/>
        <w:rPr>
          <w:rFonts w:ascii="Palatino Linotype" w:eastAsia="Palatino Linotype" w:hAnsi="Palatino Linotype" w:cs="Palatino Linotype"/>
        </w:rPr>
      </w:pPr>
    </w:p>
    <w:p w14:paraId="1E66D84D" w14:textId="77777777" w:rsidR="00566CD1" w:rsidRPr="00DF63A7" w:rsidRDefault="00F83198" w:rsidP="00DF63A7">
      <w:pPr>
        <w:spacing w:line="360" w:lineRule="auto"/>
        <w:ind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rPr>
        <w:t xml:space="preserve">TERCERO. </w:t>
      </w:r>
      <w:r w:rsidRPr="00DF63A7">
        <w:rPr>
          <w:rFonts w:ascii="Palatino Linotype" w:eastAsia="Palatino Linotype" w:hAnsi="Palatino Linotype" w:cs="Palatino Linotype"/>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F63A7">
        <w:rPr>
          <w:rFonts w:ascii="Palatino Linotype" w:eastAsia="Palatino Linotype" w:hAnsi="Palatino Linotype" w:cs="Palatino Linotype"/>
          <w:b/>
          <w:bCs/>
        </w:rPr>
        <w:t xml:space="preserve">dé cumplimiento a lo ordenado dentro del plazo de diez días hábiles, </w:t>
      </w:r>
      <w:r w:rsidRPr="00DF63A7">
        <w:rPr>
          <w:rFonts w:ascii="Palatino Linotype" w:eastAsia="Palatino Linotype" w:hAnsi="Palatino Linotype" w:cs="Palatino Linotyp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6A84BCB7" w14:textId="77777777" w:rsidR="00566CD1" w:rsidRPr="00DF63A7" w:rsidRDefault="00566CD1" w:rsidP="00DF63A7">
      <w:pPr>
        <w:tabs>
          <w:tab w:val="left" w:pos="284"/>
          <w:tab w:val="left" w:pos="8080"/>
        </w:tabs>
        <w:spacing w:line="360" w:lineRule="auto"/>
        <w:ind w:right="-1134"/>
        <w:jc w:val="both"/>
        <w:rPr>
          <w:rFonts w:ascii="Palatino Linotype" w:eastAsia="Palatino Linotype" w:hAnsi="Palatino Linotype" w:cs="Palatino Linotype"/>
          <w:b/>
          <w:bCs/>
        </w:rPr>
      </w:pPr>
    </w:p>
    <w:p w14:paraId="0148A1E9" w14:textId="77777777" w:rsidR="00566CD1" w:rsidRPr="00DF63A7" w:rsidRDefault="00F83198" w:rsidP="00DF63A7">
      <w:pPr>
        <w:spacing w:line="360" w:lineRule="auto"/>
        <w:ind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rPr>
        <w:t xml:space="preserve">CUARTO. </w:t>
      </w:r>
      <w:r w:rsidRPr="00DF63A7">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F63A7">
        <w:rPr>
          <w:rFonts w:ascii="Palatino Linotype" w:eastAsia="Palatino Linotype" w:hAnsi="Palatino Linotype" w:cs="Palatino Linotype"/>
          <w:b/>
          <w:bCs/>
        </w:rPr>
        <w:t>SUJETO OBLIGADO</w:t>
      </w:r>
      <w:r w:rsidRPr="00DF63A7">
        <w:rPr>
          <w:rFonts w:ascii="Palatino Linotype" w:eastAsia="Palatino Linotype" w:hAnsi="Palatino Linotype" w:cs="Palatino Linotype"/>
        </w:rPr>
        <w:t xml:space="preserve"> de manera fundada y motivada, podrá solicitar una ampliación de plazo para el cumplimiento de la presente resolución.</w:t>
      </w:r>
    </w:p>
    <w:p w14:paraId="5A780A8F" w14:textId="77777777" w:rsidR="00566CD1" w:rsidRPr="00DF63A7" w:rsidRDefault="00566CD1" w:rsidP="00DF63A7">
      <w:pPr>
        <w:shd w:val="clear" w:color="auto" w:fill="FFFFFF"/>
        <w:tabs>
          <w:tab w:val="left" w:pos="284"/>
        </w:tabs>
        <w:spacing w:line="360" w:lineRule="auto"/>
        <w:ind w:right="-1134"/>
        <w:jc w:val="both"/>
        <w:rPr>
          <w:rFonts w:ascii="Palatino Linotype" w:eastAsia="Palatino Linotype" w:hAnsi="Palatino Linotype" w:cs="Palatino Linotype"/>
          <w:b/>
          <w:bCs/>
        </w:rPr>
      </w:pPr>
    </w:p>
    <w:p w14:paraId="4A3A0284" w14:textId="77777777" w:rsidR="00566CD1" w:rsidRPr="00DF63A7" w:rsidRDefault="00F83198" w:rsidP="00DF63A7">
      <w:pPr>
        <w:shd w:val="clear" w:color="auto" w:fill="FFFFFF"/>
        <w:tabs>
          <w:tab w:val="left" w:pos="284"/>
        </w:tabs>
        <w:spacing w:line="360" w:lineRule="auto"/>
        <w:ind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rPr>
        <w:t xml:space="preserve">QUINTO. Notifíquese </w:t>
      </w:r>
      <w:r w:rsidRPr="00DF63A7">
        <w:rPr>
          <w:rFonts w:ascii="Palatino Linotype" w:eastAsia="Palatino Linotype" w:hAnsi="Palatino Linotype" w:cs="Palatino Linotype"/>
        </w:rPr>
        <w:t xml:space="preserve">al </w:t>
      </w:r>
      <w:r w:rsidRPr="00DF63A7">
        <w:rPr>
          <w:rFonts w:ascii="Palatino Linotype" w:eastAsia="Palatino Linotype" w:hAnsi="Palatino Linotype" w:cs="Palatino Linotype"/>
          <w:b/>
          <w:bCs/>
        </w:rPr>
        <w:t xml:space="preserve">RECURRENTE </w:t>
      </w:r>
      <w:r w:rsidRPr="00DF63A7">
        <w:rPr>
          <w:rFonts w:ascii="Palatino Linotype" w:eastAsia="Palatino Linotype" w:hAnsi="Palatino Linotype" w:cs="Palatino Linotype"/>
        </w:rPr>
        <w:t>la presente resolución a través del Sistema de Acceso a la Información Mexiquense (SAIMEX).</w:t>
      </w:r>
    </w:p>
    <w:p w14:paraId="2E7F5CD8" w14:textId="77777777" w:rsidR="00566CD1" w:rsidRPr="00DF63A7" w:rsidRDefault="00566CD1" w:rsidP="00DF63A7">
      <w:pPr>
        <w:shd w:val="clear" w:color="auto" w:fill="FFFFFF"/>
        <w:tabs>
          <w:tab w:val="left" w:pos="284"/>
        </w:tabs>
        <w:spacing w:line="360" w:lineRule="auto"/>
        <w:ind w:right="-1134"/>
        <w:jc w:val="both"/>
        <w:rPr>
          <w:rFonts w:ascii="Palatino Linotype" w:eastAsia="Palatino Linotype" w:hAnsi="Palatino Linotype" w:cs="Palatino Linotype"/>
        </w:rPr>
      </w:pPr>
    </w:p>
    <w:p w14:paraId="67198A9B" w14:textId="77777777" w:rsidR="00566CD1" w:rsidRPr="00DF63A7" w:rsidRDefault="00F83198" w:rsidP="00DF63A7">
      <w:pPr>
        <w:shd w:val="clear" w:color="auto" w:fill="FFFFFF"/>
        <w:tabs>
          <w:tab w:val="left" w:pos="284"/>
        </w:tabs>
        <w:spacing w:line="360" w:lineRule="auto"/>
        <w:ind w:right="-1134"/>
        <w:jc w:val="both"/>
        <w:rPr>
          <w:rFonts w:ascii="Palatino Linotype" w:eastAsia="Palatino Linotype" w:hAnsi="Palatino Linotype" w:cs="Palatino Linotype"/>
        </w:rPr>
      </w:pPr>
      <w:r w:rsidRPr="00DF63A7">
        <w:rPr>
          <w:rFonts w:ascii="Palatino Linotype" w:eastAsia="Palatino Linotype" w:hAnsi="Palatino Linotype" w:cs="Palatino Linotype"/>
          <w:b/>
          <w:bCs/>
        </w:rPr>
        <w:lastRenderedPageBreak/>
        <w:t xml:space="preserve">SEXTO. </w:t>
      </w:r>
      <w:r w:rsidRPr="00DF63A7">
        <w:rPr>
          <w:rFonts w:ascii="Palatino Linotype" w:eastAsia="Palatino Linotype" w:hAnsi="Palatino Linotype" w:cs="Palatino Linotype"/>
        </w:rPr>
        <w:t xml:space="preserve"> Se hace del conocimiento del</w:t>
      </w:r>
      <w:r w:rsidRPr="00DF63A7">
        <w:rPr>
          <w:rFonts w:ascii="Palatino Linotype" w:eastAsia="Palatino Linotype" w:hAnsi="Palatino Linotype" w:cs="Palatino Linotype"/>
          <w:b/>
          <w:bCs/>
        </w:rPr>
        <w:t xml:space="preserve"> RECURRENTE </w:t>
      </w:r>
      <w:r w:rsidRPr="00DF63A7">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59E748BB" w14:textId="77777777" w:rsidR="00566CD1" w:rsidRPr="00DF63A7" w:rsidRDefault="00566CD1" w:rsidP="00DF63A7">
      <w:pPr>
        <w:shd w:val="clear" w:color="auto" w:fill="FFFFFF"/>
        <w:tabs>
          <w:tab w:val="left" w:pos="284"/>
        </w:tabs>
        <w:spacing w:line="360" w:lineRule="auto"/>
        <w:ind w:right="-1134"/>
        <w:jc w:val="both"/>
        <w:rPr>
          <w:rFonts w:ascii="Palatino Linotype" w:eastAsia="Palatino Linotype" w:hAnsi="Palatino Linotype" w:cs="Palatino Linotype"/>
        </w:rPr>
      </w:pPr>
    </w:p>
    <w:p w14:paraId="64FB166E" w14:textId="51E4437B" w:rsidR="00E045FD" w:rsidRPr="00DF63A7" w:rsidRDefault="00E045FD" w:rsidP="00DF63A7">
      <w:pPr>
        <w:spacing w:before="240" w:after="240" w:line="360" w:lineRule="auto"/>
        <w:ind w:right="-1134" w:firstLine="1"/>
        <w:jc w:val="both"/>
        <w:rPr>
          <w:rFonts w:ascii="Palatino Linotype" w:hAnsi="Palatino Linotype"/>
        </w:rPr>
      </w:pPr>
      <w:bookmarkStart w:id="17" w:name="_Hlk99014733"/>
      <w:r w:rsidRPr="00DF63A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4A0C4A" w:rsidRPr="00DF63A7">
        <w:rPr>
          <w:rFonts w:ascii="Palatino Linotype" w:hAnsi="Palatino Linotype" w:cs="Palatino Linotype"/>
        </w:rPr>
        <w:t xml:space="preserve">EMITIENDO VOTO PARTICULAR </w:t>
      </w:r>
      <w:r w:rsidRPr="00DF63A7">
        <w:rPr>
          <w:rFonts w:ascii="Palatino Linotype" w:hAnsi="Palatino Linotype" w:cs="Palatino Linotype"/>
        </w:rPr>
        <w:t xml:space="preserve">Y GUADALUPE RAMÍREZ PEÑA; EN LA DÉCIMA OCTAVA SESIÓN ORDINARIA, CELEBRADA EL VEINTE (20) DE MAYO DE DOS MIL VEINTISÉIS, ANTE EL SECRETARIO TÉCNICO DEL PLENO </w:t>
      </w:r>
      <w:r w:rsidRPr="00DF63A7">
        <w:rPr>
          <w:rFonts w:ascii="Palatino Linotype" w:hAnsi="Palatino Linotype" w:cs="Palatino Linotype"/>
          <w:color w:val="000000" w:themeColor="text1"/>
        </w:rPr>
        <w:t>ALEXIS TAPIA RAMÍREZ.</w:t>
      </w:r>
    </w:p>
    <w:bookmarkEnd w:id="17"/>
    <w:p w14:paraId="73CCDD86" w14:textId="77777777" w:rsidR="00566CD1" w:rsidRPr="00DF63A7" w:rsidRDefault="00566CD1" w:rsidP="00DF63A7">
      <w:pPr>
        <w:spacing w:line="360" w:lineRule="auto"/>
        <w:ind w:right="-1134"/>
        <w:rPr>
          <w:rFonts w:ascii="Palatino Linotype" w:eastAsia="Palatino Linotype" w:hAnsi="Palatino Linotype" w:cs="Palatino Linotype"/>
        </w:rPr>
      </w:pPr>
    </w:p>
    <w:p w14:paraId="155B6022" w14:textId="77777777" w:rsidR="00566CD1" w:rsidRPr="00DF63A7" w:rsidRDefault="00566CD1" w:rsidP="00DF63A7">
      <w:pPr>
        <w:spacing w:line="360" w:lineRule="auto"/>
        <w:ind w:right="-1134"/>
        <w:rPr>
          <w:rFonts w:ascii="Palatino Linotype" w:eastAsia="Palatino Linotype" w:hAnsi="Palatino Linotype" w:cs="Palatino Linotype"/>
        </w:rPr>
      </w:pPr>
    </w:p>
    <w:p w14:paraId="6D83B4F7" w14:textId="77777777" w:rsidR="00566CD1" w:rsidRPr="00DF63A7" w:rsidRDefault="00566CD1" w:rsidP="00DF63A7">
      <w:pPr>
        <w:spacing w:line="360" w:lineRule="auto"/>
        <w:ind w:right="-1134"/>
        <w:rPr>
          <w:rFonts w:ascii="Palatino Linotype" w:eastAsia="Palatino Linotype" w:hAnsi="Palatino Linotype" w:cs="Palatino Linotype"/>
        </w:rPr>
      </w:pPr>
    </w:p>
    <w:p w14:paraId="70C265E8" w14:textId="77777777" w:rsidR="00566CD1" w:rsidRPr="00DF63A7" w:rsidRDefault="00566CD1" w:rsidP="00DF63A7">
      <w:pPr>
        <w:spacing w:line="360" w:lineRule="auto"/>
        <w:ind w:right="-1134"/>
        <w:rPr>
          <w:rFonts w:ascii="Palatino Linotype" w:eastAsia="Palatino Linotype" w:hAnsi="Palatino Linotype" w:cs="Palatino Linotype"/>
        </w:rPr>
      </w:pPr>
    </w:p>
    <w:p w14:paraId="6CCC70FC" w14:textId="77777777" w:rsidR="00566CD1" w:rsidRPr="00DF63A7" w:rsidRDefault="00566CD1" w:rsidP="00DF63A7">
      <w:pPr>
        <w:spacing w:line="360" w:lineRule="auto"/>
        <w:ind w:right="-1134"/>
        <w:rPr>
          <w:rFonts w:ascii="Palatino Linotype" w:eastAsia="Palatino Linotype" w:hAnsi="Palatino Linotype" w:cs="Palatino Linotype"/>
        </w:rPr>
      </w:pPr>
    </w:p>
    <w:p w14:paraId="7A176F8D" w14:textId="77777777" w:rsidR="00566CD1" w:rsidRPr="00DF63A7" w:rsidRDefault="00566CD1" w:rsidP="00DF63A7">
      <w:pPr>
        <w:spacing w:line="360" w:lineRule="auto"/>
        <w:ind w:right="-1134"/>
        <w:rPr>
          <w:rFonts w:ascii="Palatino Linotype" w:eastAsia="Palatino Linotype" w:hAnsi="Palatino Linotype" w:cs="Palatino Linotype"/>
        </w:rPr>
      </w:pPr>
    </w:p>
    <w:p w14:paraId="701F65BD" w14:textId="77777777" w:rsidR="00566CD1" w:rsidRPr="00DF63A7" w:rsidRDefault="00566CD1" w:rsidP="00DF63A7">
      <w:pPr>
        <w:spacing w:line="360" w:lineRule="auto"/>
        <w:ind w:right="-1134"/>
        <w:rPr>
          <w:rFonts w:ascii="Palatino Linotype" w:eastAsia="Palatino Linotype" w:hAnsi="Palatino Linotype" w:cs="Palatino Linotype"/>
        </w:rPr>
      </w:pPr>
    </w:p>
    <w:p w14:paraId="7F8EE4B0" w14:textId="77777777" w:rsidR="00566CD1" w:rsidRPr="00DF63A7" w:rsidRDefault="00566CD1" w:rsidP="00DF63A7">
      <w:pPr>
        <w:spacing w:line="360" w:lineRule="auto"/>
        <w:ind w:right="-1134"/>
        <w:rPr>
          <w:rFonts w:ascii="Palatino Linotype" w:eastAsia="Palatino Linotype" w:hAnsi="Palatino Linotype" w:cs="Palatino Linotype"/>
        </w:rPr>
      </w:pPr>
    </w:p>
    <w:p w14:paraId="27E83CD5" w14:textId="77777777" w:rsidR="00566CD1" w:rsidRPr="00DF63A7" w:rsidRDefault="00566CD1" w:rsidP="00DF63A7">
      <w:pPr>
        <w:spacing w:line="360" w:lineRule="auto"/>
        <w:ind w:right="-1134"/>
        <w:rPr>
          <w:rFonts w:ascii="Palatino Linotype" w:eastAsia="Palatino Linotype" w:hAnsi="Palatino Linotype" w:cs="Palatino Linotype"/>
        </w:rPr>
      </w:pPr>
    </w:p>
    <w:p w14:paraId="13728BD3" w14:textId="77777777" w:rsidR="00566CD1" w:rsidRPr="00DF63A7" w:rsidRDefault="00566CD1" w:rsidP="00DF63A7">
      <w:pPr>
        <w:spacing w:line="360" w:lineRule="auto"/>
        <w:ind w:right="-1134"/>
        <w:rPr>
          <w:rFonts w:ascii="Palatino Linotype" w:eastAsia="Palatino Linotype" w:hAnsi="Palatino Linotype" w:cs="Palatino Linotype"/>
        </w:rPr>
      </w:pPr>
    </w:p>
    <w:p w14:paraId="2C6AEC54" w14:textId="77777777" w:rsidR="00566CD1" w:rsidRPr="00DF63A7" w:rsidRDefault="00566CD1" w:rsidP="00DF63A7">
      <w:pPr>
        <w:spacing w:line="360" w:lineRule="auto"/>
        <w:ind w:right="-1134"/>
        <w:rPr>
          <w:rFonts w:ascii="Palatino Linotype" w:eastAsia="Palatino Linotype" w:hAnsi="Palatino Linotype" w:cs="Palatino Linotype"/>
        </w:rPr>
      </w:pPr>
    </w:p>
    <w:p w14:paraId="1CF921B8" w14:textId="77777777" w:rsidR="00566CD1" w:rsidRPr="00DF63A7" w:rsidRDefault="00566CD1" w:rsidP="00DF63A7">
      <w:pPr>
        <w:spacing w:line="360" w:lineRule="auto"/>
        <w:ind w:right="-1134"/>
        <w:rPr>
          <w:rFonts w:ascii="Palatino Linotype" w:eastAsia="Palatino Linotype" w:hAnsi="Palatino Linotype" w:cs="Palatino Linotype"/>
        </w:rPr>
      </w:pPr>
    </w:p>
    <w:p w14:paraId="1C8F4319" w14:textId="77777777" w:rsidR="00566CD1" w:rsidRPr="00DF63A7" w:rsidRDefault="00566CD1" w:rsidP="00DF63A7">
      <w:pPr>
        <w:spacing w:line="360" w:lineRule="auto"/>
        <w:ind w:right="-1134"/>
        <w:rPr>
          <w:rFonts w:ascii="Palatino Linotype" w:eastAsia="Palatino Linotype" w:hAnsi="Palatino Linotype" w:cs="Palatino Linotype"/>
        </w:rPr>
      </w:pPr>
    </w:p>
    <w:p w14:paraId="3F0DD2D9" w14:textId="77777777" w:rsidR="00566CD1" w:rsidRPr="00DF63A7" w:rsidRDefault="00566CD1" w:rsidP="00DF63A7">
      <w:pPr>
        <w:spacing w:line="360" w:lineRule="auto"/>
        <w:ind w:right="-1134"/>
        <w:rPr>
          <w:rFonts w:ascii="Palatino Linotype" w:eastAsia="Palatino Linotype" w:hAnsi="Palatino Linotype" w:cs="Palatino Linotype"/>
        </w:rPr>
      </w:pPr>
    </w:p>
    <w:p w14:paraId="105EB496" w14:textId="77777777" w:rsidR="00566CD1" w:rsidRPr="00DF63A7" w:rsidRDefault="00566CD1" w:rsidP="00DF63A7">
      <w:pPr>
        <w:spacing w:line="360" w:lineRule="auto"/>
        <w:ind w:right="-1134"/>
        <w:rPr>
          <w:rFonts w:ascii="Palatino Linotype" w:eastAsia="Palatino Linotype" w:hAnsi="Palatino Linotype" w:cs="Palatino Linotype"/>
        </w:rPr>
      </w:pPr>
    </w:p>
    <w:p w14:paraId="1C42AB99" w14:textId="77777777" w:rsidR="00566CD1" w:rsidRPr="00DF63A7" w:rsidRDefault="00566CD1" w:rsidP="00DF63A7">
      <w:pPr>
        <w:spacing w:line="360" w:lineRule="auto"/>
        <w:ind w:right="-1134"/>
        <w:rPr>
          <w:rFonts w:ascii="Palatino Linotype" w:eastAsia="Palatino Linotype" w:hAnsi="Palatino Linotype" w:cs="Palatino Linotype"/>
        </w:rPr>
      </w:pPr>
    </w:p>
    <w:p w14:paraId="44BDBC89" w14:textId="77777777" w:rsidR="00566CD1" w:rsidRPr="00DF63A7" w:rsidRDefault="00566CD1" w:rsidP="00DF63A7">
      <w:pPr>
        <w:spacing w:line="360" w:lineRule="auto"/>
        <w:ind w:right="-1134"/>
        <w:rPr>
          <w:rFonts w:ascii="Palatino Linotype" w:eastAsia="Palatino Linotype" w:hAnsi="Palatino Linotype" w:cs="Palatino Linotype"/>
        </w:rPr>
      </w:pPr>
    </w:p>
    <w:p w14:paraId="3DF6B733" w14:textId="77777777" w:rsidR="00566CD1" w:rsidRPr="00DF63A7" w:rsidRDefault="00566CD1" w:rsidP="00DF63A7">
      <w:pPr>
        <w:spacing w:line="360" w:lineRule="auto"/>
        <w:ind w:right="-1134"/>
        <w:rPr>
          <w:rFonts w:ascii="Palatino Linotype" w:eastAsia="Palatino Linotype" w:hAnsi="Palatino Linotype" w:cs="Palatino Linotype"/>
        </w:rPr>
      </w:pPr>
    </w:p>
    <w:p w14:paraId="3CDEFACA" w14:textId="77777777" w:rsidR="00566CD1" w:rsidRPr="00DF63A7" w:rsidRDefault="00566CD1" w:rsidP="00DF63A7">
      <w:pPr>
        <w:spacing w:line="360" w:lineRule="auto"/>
        <w:ind w:right="-1134"/>
        <w:rPr>
          <w:rFonts w:ascii="Palatino Linotype" w:eastAsia="Palatino Linotype" w:hAnsi="Palatino Linotype" w:cs="Palatino Linotype"/>
        </w:rPr>
      </w:pPr>
    </w:p>
    <w:p w14:paraId="5147FA5D" w14:textId="77777777" w:rsidR="00566CD1" w:rsidRPr="00DF63A7" w:rsidRDefault="00566CD1" w:rsidP="00DF63A7">
      <w:pPr>
        <w:spacing w:line="360" w:lineRule="auto"/>
        <w:ind w:right="-1134"/>
        <w:rPr>
          <w:rFonts w:ascii="Palatino Linotype" w:eastAsia="Palatino Linotype" w:hAnsi="Palatino Linotype" w:cs="Palatino Linotype"/>
        </w:rPr>
      </w:pPr>
    </w:p>
    <w:p w14:paraId="515C999A" w14:textId="77777777" w:rsidR="00566CD1" w:rsidRPr="00DF63A7" w:rsidRDefault="00566CD1" w:rsidP="00DF63A7">
      <w:pPr>
        <w:spacing w:line="360" w:lineRule="auto"/>
        <w:ind w:right="-1134"/>
        <w:rPr>
          <w:rFonts w:ascii="Palatino Linotype" w:eastAsia="Palatino Linotype" w:hAnsi="Palatino Linotype" w:cs="Palatino Linotype"/>
        </w:rPr>
      </w:pPr>
    </w:p>
    <w:p w14:paraId="687D7E49" w14:textId="77777777" w:rsidR="00566CD1" w:rsidRPr="00DF63A7" w:rsidRDefault="00566CD1" w:rsidP="00DF63A7">
      <w:pPr>
        <w:spacing w:line="360" w:lineRule="auto"/>
        <w:ind w:right="-1134"/>
        <w:rPr>
          <w:rFonts w:ascii="Palatino Linotype" w:eastAsia="Palatino Linotype" w:hAnsi="Palatino Linotype" w:cs="Palatino Linotype"/>
        </w:rPr>
      </w:pPr>
    </w:p>
    <w:p w14:paraId="3162B274" w14:textId="77777777" w:rsidR="00566CD1" w:rsidRPr="00DF63A7" w:rsidRDefault="00566CD1" w:rsidP="00DF63A7">
      <w:pPr>
        <w:spacing w:line="360" w:lineRule="auto"/>
        <w:ind w:right="-1134"/>
        <w:rPr>
          <w:rFonts w:ascii="Palatino Linotype" w:eastAsia="Palatino Linotype" w:hAnsi="Palatino Linotype" w:cs="Palatino Linotype"/>
        </w:rPr>
      </w:pPr>
    </w:p>
    <w:p w14:paraId="3264D040" w14:textId="77777777" w:rsidR="00566CD1" w:rsidRPr="00DF63A7" w:rsidRDefault="00566CD1" w:rsidP="00DF63A7">
      <w:pPr>
        <w:spacing w:line="360" w:lineRule="auto"/>
        <w:ind w:right="-1134"/>
        <w:rPr>
          <w:rFonts w:ascii="Palatino Linotype" w:eastAsia="Palatino Linotype" w:hAnsi="Palatino Linotype" w:cs="Palatino Linotype"/>
        </w:rPr>
      </w:pPr>
    </w:p>
    <w:p w14:paraId="6096055C" w14:textId="77777777" w:rsidR="00566CD1" w:rsidRPr="00DF63A7" w:rsidRDefault="00566CD1" w:rsidP="00DF63A7">
      <w:pPr>
        <w:spacing w:line="360" w:lineRule="auto"/>
        <w:ind w:right="-1134"/>
        <w:rPr>
          <w:rFonts w:ascii="Palatino Linotype" w:eastAsia="Palatino Linotype" w:hAnsi="Palatino Linotype" w:cs="Palatino Linotype"/>
        </w:rPr>
      </w:pPr>
    </w:p>
    <w:p w14:paraId="765879A7" w14:textId="77777777" w:rsidR="00566CD1" w:rsidRPr="00DF63A7" w:rsidRDefault="00566CD1" w:rsidP="00DF63A7">
      <w:pPr>
        <w:spacing w:line="360" w:lineRule="auto"/>
        <w:ind w:right="-1134"/>
        <w:rPr>
          <w:rFonts w:ascii="Palatino Linotype" w:eastAsia="Palatino Linotype" w:hAnsi="Palatino Linotype" w:cs="Palatino Linotype"/>
        </w:rPr>
      </w:pPr>
    </w:p>
    <w:p w14:paraId="3B3FF6B3" w14:textId="77777777" w:rsidR="00566CD1" w:rsidRPr="00DF63A7" w:rsidRDefault="00566CD1" w:rsidP="00DF63A7">
      <w:pPr>
        <w:spacing w:line="360" w:lineRule="auto"/>
        <w:ind w:right="-1134"/>
        <w:rPr>
          <w:rFonts w:ascii="Palatino Linotype" w:eastAsia="Palatino Linotype" w:hAnsi="Palatino Linotype" w:cs="Palatino Linotype"/>
        </w:rPr>
      </w:pPr>
    </w:p>
    <w:sectPr w:rsidR="00566CD1" w:rsidRPr="00DF63A7">
      <w:headerReference w:type="default" r:id="rId14"/>
      <w:footerReference w:type="default" r:id="rId15"/>
      <w:headerReference w:type="first" r:id="rId16"/>
      <w:footerReference w:type="first" r:id="rId17"/>
      <w:pgSz w:w="12240" w:h="15840"/>
      <w:pgMar w:top="2410" w:right="1892"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31092" w14:textId="77777777" w:rsidR="009C1F09" w:rsidRDefault="009C1F09">
      <w:r>
        <w:separator/>
      </w:r>
    </w:p>
  </w:endnote>
  <w:endnote w:type="continuationSeparator" w:id="0">
    <w:p w14:paraId="23BCF2CD" w14:textId="77777777" w:rsidR="009C1F09" w:rsidRDefault="009C1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E81FDB89-0EF6-49ED-8362-DD1728FFB8A7}"/>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EE704B4D-3EC8-4D88-8FD8-F993B89630C0}"/>
    <w:embedBold r:id="rId3" w:fontKey="{D523F61D-5662-48D6-91AE-2C7B6B7BB899}"/>
    <w:embedItalic r:id="rId4" w:fontKey="{AF9606CA-5A85-4427-A998-3B2506B26101}"/>
    <w:embedBoldItalic r:id="rId5" w:fontKey="{38390B2C-8BBB-4B0D-B083-1B2F9651B00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57F02B39-155B-4939-AB64-87AF1A7962B3}"/>
  </w:font>
  <w:font w:name="Georgia">
    <w:panose1 w:val="02040502050405020303"/>
    <w:charset w:val="00"/>
    <w:family w:val="roman"/>
    <w:pitch w:val="variable"/>
    <w:sig w:usb0="00000287" w:usb1="00000000" w:usb2="00000000" w:usb3="00000000" w:csb0="0000009F" w:csb1="00000000"/>
    <w:embedItalic r:id="rId7" w:fontKey="{9828E270-F080-4D76-B08E-10E4B3F02136}"/>
  </w:font>
  <w:font w:name="Verdana">
    <w:panose1 w:val="020B0604030504040204"/>
    <w:charset w:val="00"/>
    <w:family w:val="swiss"/>
    <w:pitch w:val="variable"/>
    <w:sig w:usb0="A00006FF" w:usb1="4000205B" w:usb2="00000010" w:usb3="00000000" w:csb0="0000019F" w:csb1="00000000"/>
    <w:embedRegular r:id="rId8" w:fontKey="{7C88FB4C-499E-4425-AD1C-1D465B77A59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9" w:fontKey="{05C52605-0DD0-4F0D-93EA-80333C3181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5007" w14:textId="77777777" w:rsidR="00566CD1" w:rsidRDefault="00F8319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F63A7">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F63A7">
      <w:rPr>
        <w:rFonts w:ascii="Palatino Linotype" w:eastAsia="Palatino Linotype" w:hAnsi="Palatino Linotype" w:cs="Palatino Linotype"/>
        <w:b/>
        <w:bCs/>
        <w:noProof/>
        <w:color w:val="000000"/>
        <w:sz w:val="22"/>
        <w:szCs w:val="22"/>
      </w:rPr>
      <w:t>51</w:t>
    </w:r>
    <w:r>
      <w:rPr>
        <w:rFonts w:ascii="Palatino Linotype" w:eastAsia="Palatino Linotype" w:hAnsi="Palatino Linotype" w:cs="Palatino Linotype"/>
        <w:b/>
        <w:bCs/>
        <w:color w:val="000000"/>
        <w:sz w:val="22"/>
        <w:szCs w:val="22"/>
      </w:rPr>
      <w:fldChar w:fldCharType="end"/>
    </w:r>
  </w:p>
  <w:p w14:paraId="0344EED1" w14:textId="77777777" w:rsidR="00566CD1" w:rsidRDefault="00566CD1">
    <w:pPr>
      <w:pBdr>
        <w:top w:val="nil"/>
        <w:left w:val="nil"/>
        <w:bottom w:val="nil"/>
        <w:right w:val="nil"/>
        <w:between w:val="nil"/>
      </w:pBdr>
      <w:tabs>
        <w:tab w:val="center" w:pos="4252"/>
        <w:tab w:val="right" w:pos="8504"/>
      </w:tabs>
      <w:rPr>
        <w:color w:val="000000"/>
      </w:rPr>
    </w:pPr>
  </w:p>
  <w:p w14:paraId="068A8C57" w14:textId="77777777" w:rsidR="00566CD1" w:rsidRDefault="00566CD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4028F" w14:textId="77777777" w:rsidR="00566CD1" w:rsidRDefault="00F8319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F63A7">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F63A7">
      <w:rPr>
        <w:rFonts w:ascii="Palatino Linotype" w:eastAsia="Palatino Linotype" w:hAnsi="Palatino Linotype" w:cs="Palatino Linotype"/>
        <w:b/>
        <w:bCs/>
        <w:noProof/>
        <w:color w:val="000000"/>
        <w:sz w:val="22"/>
        <w:szCs w:val="22"/>
      </w:rPr>
      <w:t>51</w:t>
    </w:r>
    <w:r>
      <w:rPr>
        <w:rFonts w:ascii="Palatino Linotype" w:eastAsia="Palatino Linotype" w:hAnsi="Palatino Linotype" w:cs="Palatino Linotype"/>
        <w:b/>
        <w:bCs/>
        <w:color w:val="000000"/>
        <w:sz w:val="22"/>
        <w:szCs w:val="22"/>
      </w:rPr>
      <w:fldChar w:fldCharType="end"/>
    </w:r>
  </w:p>
  <w:p w14:paraId="3732F0B5" w14:textId="77777777" w:rsidR="00566CD1" w:rsidRDefault="00566CD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DC9FC" w14:textId="77777777" w:rsidR="009C1F09" w:rsidRDefault="009C1F09">
      <w:r>
        <w:separator/>
      </w:r>
    </w:p>
  </w:footnote>
  <w:footnote w:type="continuationSeparator" w:id="0">
    <w:p w14:paraId="1265F6C7" w14:textId="77777777" w:rsidR="009C1F09" w:rsidRDefault="009C1F09">
      <w:r>
        <w:continuationSeparator/>
      </w:r>
    </w:p>
  </w:footnote>
  <w:footnote w:id="1">
    <w:p w14:paraId="03B6A696"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11218A6F"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4EC871CE"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7AC2CF7D"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1E9EDE95"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4FCDAA75"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14:paraId="20112A6A"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4D94EB2A" w14:textId="77777777" w:rsidR="00566CD1" w:rsidRDefault="00F8319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14:paraId="650E8F1C" w14:textId="77777777" w:rsidR="00566CD1" w:rsidRDefault="00F83198">
      <w:pPr>
        <w:pBdr>
          <w:top w:val="nil"/>
          <w:left w:val="nil"/>
          <w:bottom w:val="nil"/>
          <w:right w:val="nil"/>
          <w:between w:val="nil"/>
        </w:pBdr>
        <w:rPr>
          <w:rFonts w:ascii="Calibri" w:eastAsia="Calibri" w:hAnsi="Calibri" w:cs="Calibri"/>
          <w:color w:val="000000"/>
          <w:sz w:val="18"/>
          <w:szCs w:val="18"/>
          <w:u w:val="single"/>
        </w:rPr>
      </w:pPr>
      <w:r>
        <w:rPr>
          <w:vertAlign w:val="superscript"/>
        </w:rPr>
        <w:footnoteRef/>
      </w:r>
      <w:r>
        <w:rPr>
          <w:rFonts w:ascii="Calibri" w:eastAsia="Calibri" w:hAnsi="Calibri" w:cs="Calibri"/>
          <w:color w:val="000000"/>
          <w:sz w:val="18"/>
          <w:szCs w:val="18"/>
        </w:rPr>
        <w:t xml:space="preserve"> Jurisprudencia con número de registro 1000830, emitida por la Sala Superior, Apéndice de 2011, localizable en VIII. Electoral Primera Parte – Vigentes, Materia Electoral, tesis 191, página 244, y consultable en la página electrónica </w:t>
      </w:r>
      <w:hyperlink r:id="rId1">
        <w:r>
          <w:rPr>
            <w:rFonts w:ascii="Calibri" w:eastAsia="Calibri" w:hAnsi="Calibri" w:cs="Calibri"/>
            <w:color w:val="0563C1"/>
            <w:sz w:val="18"/>
            <w:szCs w:val="18"/>
            <w:u w:val="single"/>
          </w:rPr>
          <w:t>https://sjf.scjn.gob.mx/sjfsist/Paginas/DetalleGeneralV2.aspx?ID=1000830&amp;Clase=DetalleTesisBL&amp;Semanario=0</w:t>
        </w:r>
      </w:hyperlink>
      <w:r>
        <w:rPr>
          <w:rFonts w:ascii="Calibri" w:eastAsia="Calibri" w:hAnsi="Calibri" w:cs="Calibri"/>
          <w:color w:val="000000"/>
          <w:sz w:val="18"/>
          <w:szCs w:val="18"/>
        </w:rPr>
        <w:t xml:space="preserve"> </w:t>
      </w:r>
      <w:r>
        <w:rPr>
          <w:rFonts w:ascii="Calibri" w:eastAsia="Calibri" w:hAnsi="Calibri" w:cs="Calibri"/>
          <w:color w:val="000000"/>
          <w:sz w:val="18"/>
          <w:szCs w:val="18"/>
          <w:u w:val="single"/>
        </w:rPr>
        <w:t>.</w:t>
      </w:r>
    </w:p>
    <w:p w14:paraId="7A9511BD" w14:textId="77777777" w:rsidR="00566CD1" w:rsidRDefault="00566CD1">
      <w:pPr>
        <w:pBdr>
          <w:top w:val="nil"/>
          <w:left w:val="nil"/>
          <w:bottom w:val="nil"/>
          <w:right w:val="nil"/>
          <w:between w:val="nil"/>
        </w:pBdr>
        <w:rPr>
          <w:rFonts w:ascii="Calibri" w:eastAsia="Calibri" w:hAnsi="Calibri" w:cs="Calibri"/>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90" w:type="dxa"/>
      <w:tblInd w:w="2977" w:type="dxa"/>
      <w:tblLayout w:type="fixed"/>
      <w:tblLook w:val="0400" w:firstRow="0" w:lastRow="0" w:firstColumn="0" w:lastColumn="0" w:noHBand="0" w:noVBand="1"/>
    </w:tblPr>
    <w:tblGrid>
      <w:gridCol w:w="2940"/>
      <w:gridCol w:w="4350"/>
    </w:tblGrid>
    <w:tr w:rsidR="00566CD1" w14:paraId="3AFD9ED2" w14:textId="77777777">
      <w:tc>
        <w:tcPr>
          <w:tcW w:w="2940" w:type="dxa"/>
          <w:vAlign w:val="center"/>
        </w:tcPr>
        <w:p w14:paraId="48EBDC69" w14:textId="6CBE5554" w:rsidR="00566CD1" w:rsidRDefault="00F83198">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50" w:type="dxa"/>
          <w:vAlign w:val="center"/>
        </w:tcPr>
        <w:p w14:paraId="1B738D3A" w14:textId="77777777" w:rsidR="00566CD1" w:rsidRDefault="00F83198">
          <w:pPr>
            <w:jc w:val="both"/>
            <w:rPr>
              <w:rFonts w:ascii="Palatino Linotype" w:eastAsia="Palatino Linotype" w:hAnsi="Palatino Linotype" w:cs="Palatino Linotype"/>
            </w:rPr>
          </w:pPr>
          <w:r>
            <w:rPr>
              <w:rFonts w:ascii="Palatino Linotype" w:eastAsia="Palatino Linotype" w:hAnsi="Palatino Linotype" w:cs="Palatino Linotype"/>
            </w:rPr>
            <w:t>01478/INFOEM/IP/RR/2026</w:t>
          </w:r>
        </w:p>
      </w:tc>
    </w:tr>
    <w:tr w:rsidR="00566CD1" w14:paraId="42AC02C8" w14:textId="77777777">
      <w:trPr>
        <w:trHeight w:val="228"/>
      </w:trPr>
      <w:tc>
        <w:tcPr>
          <w:tcW w:w="2940" w:type="dxa"/>
          <w:vAlign w:val="center"/>
        </w:tcPr>
        <w:p w14:paraId="2EC2B356" w14:textId="77777777" w:rsidR="00566CD1" w:rsidRDefault="00F83198">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50" w:type="dxa"/>
          <w:vAlign w:val="center"/>
        </w:tcPr>
        <w:p w14:paraId="7E66A3EF" w14:textId="77777777" w:rsidR="00566CD1" w:rsidRDefault="00F83198">
          <w:pPr>
            <w:rPr>
              <w:rFonts w:ascii="Palatino Linotype" w:eastAsia="Palatino Linotype" w:hAnsi="Palatino Linotype" w:cs="Palatino Linotype"/>
            </w:rPr>
          </w:pPr>
          <w:r>
            <w:rPr>
              <w:rFonts w:ascii="Palatino Linotype" w:eastAsia="Palatino Linotype" w:hAnsi="Palatino Linotype" w:cs="Palatino Linotype"/>
              <w:color w:val="000000"/>
            </w:rPr>
            <w:t>Ayuntamiento de Almoloya de Juárez</w:t>
          </w:r>
        </w:p>
      </w:tc>
    </w:tr>
    <w:tr w:rsidR="00566CD1" w14:paraId="02FC5770" w14:textId="77777777">
      <w:tc>
        <w:tcPr>
          <w:tcW w:w="2940" w:type="dxa"/>
          <w:vAlign w:val="center"/>
        </w:tcPr>
        <w:p w14:paraId="5BF38F57" w14:textId="77777777" w:rsidR="00566CD1" w:rsidRDefault="00F83198">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50" w:type="dxa"/>
          <w:vAlign w:val="center"/>
        </w:tcPr>
        <w:p w14:paraId="29CEF0E5" w14:textId="77777777" w:rsidR="00566CD1" w:rsidRDefault="00F83198">
          <w:pPr>
            <w:ind w:right="-53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14:paraId="25B319CA" w14:textId="5CDC57A6" w:rsidR="00566CD1" w:rsidRDefault="00DF63A7">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rPr>
      <w:drawing>
        <wp:anchor distT="0" distB="0" distL="0" distR="0" simplePos="0" relativeHeight="251658240" behindDoc="1" locked="0" layoutInCell="1" hidden="0" allowOverlap="1" wp14:anchorId="4518A651" wp14:editId="744C282C">
          <wp:simplePos x="0" y="0"/>
          <wp:positionH relativeFrom="column">
            <wp:posOffset>-1119169</wp:posOffset>
          </wp:positionH>
          <wp:positionV relativeFrom="paragraph">
            <wp:posOffset>-1131738</wp:posOffset>
          </wp:positionV>
          <wp:extent cx="7667625" cy="9470073"/>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67625" cy="9470073"/>
                  </a:xfrm>
                  <a:prstGeom prst="rect">
                    <a:avLst/>
                  </a:prstGeom>
                  <a:ln/>
                </pic:spPr>
              </pic:pic>
            </a:graphicData>
          </a:graphic>
        </wp:anchor>
      </w:drawing>
    </w:r>
    <w:r w:rsidR="00F83198">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305" w:type="dxa"/>
      <w:tblInd w:w="3119" w:type="dxa"/>
      <w:tblLayout w:type="fixed"/>
      <w:tblLook w:val="0400" w:firstRow="0" w:lastRow="0" w:firstColumn="0" w:lastColumn="0" w:noHBand="0" w:noVBand="1"/>
    </w:tblPr>
    <w:tblGrid>
      <w:gridCol w:w="2805"/>
      <w:gridCol w:w="4500"/>
    </w:tblGrid>
    <w:tr w:rsidR="00566CD1" w14:paraId="3393E86D" w14:textId="77777777">
      <w:tc>
        <w:tcPr>
          <w:tcW w:w="2805" w:type="dxa"/>
          <w:vAlign w:val="center"/>
        </w:tcPr>
        <w:p w14:paraId="1E0006C1" w14:textId="28B562B1" w:rsidR="00566CD1" w:rsidRDefault="00F83198">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00" w:type="dxa"/>
          <w:vAlign w:val="center"/>
        </w:tcPr>
        <w:p w14:paraId="020FCF64" w14:textId="77777777" w:rsidR="00566CD1" w:rsidRDefault="00F83198">
          <w:pPr>
            <w:rPr>
              <w:rFonts w:ascii="Palatino Linotype" w:eastAsia="Palatino Linotype" w:hAnsi="Palatino Linotype" w:cs="Palatino Linotype"/>
            </w:rPr>
          </w:pPr>
          <w:r>
            <w:rPr>
              <w:rFonts w:ascii="Palatino Linotype" w:eastAsia="Palatino Linotype" w:hAnsi="Palatino Linotype" w:cs="Palatino Linotype"/>
            </w:rPr>
            <w:t>01478/INFOEM/IP/RR/2026</w:t>
          </w:r>
        </w:p>
      </w:tc>
    </w:tr>
    <w:tr w:rsidR="00566CD1" w14:paraId="73D99120" w14:textId="77777777">
      <w:tc>
        <w:tcPr>
          <w:tcW w:w="2805" w:type="dxa"/>
          <w:vAlign w:val="center"/>
        </w:tcPr>
        <w:p w14:paraId="4C4860CF" w14:textId="77777777" w:rsidR="00566CD1" w:rsidRDefault="00F83198">
          <w:pPr>
            <w:ind w:left="35" w:hanging="3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500" w:type="dxa"/>
          <w:vAlign w:val="center"/>
        </w:tcPr>
        <w:p w14:paraId="0FB6D36C" w14:textId="668721B0" w:rsidR="00566CD1" w:rsidRDefault="00566CD1">
          <w:pPr>
            <w:rPr>
              <w:rFonts w:ascii="Palatino Linotype" w:eastAsia="Palatino Linotype" w:hAnsi="Palatino Linotype" w:cs="Palatino Linotype"/>
            </w:rPr>
          </w:pPr>
        </w:p>
      </w:tc>
    </w:tr>
    <w:tr w:rsidR="00566CD1" w14:paraId="5C8B002C" w14:textId="77777777">
      <w:trPr>
        <w:trHeight w:val="228"/>
      </w:trPr>
      <w:tc>
        <w:tcPr>
          <w:tcW w:w="2805" w:type="dxa"/>
          <w:vAlign w:val="center"/>
        </w:tcPr>
        <w:p w14:paraId="7CA16FFB" w14:textId="77777777" w:rsidR="00566CD1" w:rsidRDefault="00F83198">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00" w:type="dxa"/>
          <w:vAlign w:val="center"/>
        </w:tcPr>
        <w:p w14:paraId="5851FE06" w14:textId="77777777" w:rsidR="00566CD1" w:rsidRDefault="00F83198">
          <w:pPr>
            <w:ind w:left="35" w:hanging="35"/>
            <w:rPr>
              <w:rFonts w:ascii="Palatino Linotype" w:eastAsia="Palatino Linotype" w:hAnsi="Palatino Linotype" w:cs="Palatino Linotype"/>
            </w:rPr>
          </w:pPr>
          <w:r>
            <w:rPr>
              <w:rFonts w:ascii="Palatino Linotype" w:eastAsia="Palatino Linotype" w:hAnsi="Palatino Linotype" w:cs="Palatino Linotype"/>
              <w:color w:val="000000"/>
            </w:rPr>
            <w:t>Ayuntamiento de Almoloya de Juárez</w:t>
          </w:r>
        </w:p>
      </w:tc>
    </w:tr>
    <w:tr w:rsidR="00566CD1" w14:paraId="7276D1E1" w14:textId="77777777">
      <w:tc>
        <w:tcPr>
          <w:tcW w:w="2805" w:type="dxa"/>
          <w:vAlign w:val="center"/>
        </w:tcPr>
        <w:p w14:paraId="5B928993" w14:textId="77777777" w:rsidR="00566CD1" w:rsidRDefault="00F83198">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00" w:type="dxa"/>
          <w:vAlign w:val="center"/>
        </w:tcPr>
        <w:p w14:paraId="1FB4B455" w14:textId="77777777" w:rsidR="00566CD1" w:rsidRDefault="00F83198">
          <w:pPr>
            <w:ind w:right="-53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14:paraId="535E9CFF" w14:textId="5197EAA1" w:rsidR="00566CD1" w:rsidRDefault="00DF63A7">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14:anchorId="731D5E57" wp14:editId="609515C5">
          <wp:simplePos x="0" y="0"/>
          <wp:positionH relativeFrom="column">
            <wp:posOffset>-1051847</wp:posOffset>
          </wp:positionH>
          <wp:positionV relativeFrom="paragraph">
            <wp:posOffset>-1284929</wp:posOffset>
          </wp:positionV>
          <wp:extent cx="7813085" cy="101700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61836"/>
    <w:multiLevelType w:val="multilevel"/>
    <w:tmpl w:val="1A3CD92A"/>
    <w:lvl w:ilvl="0">
      <w:start w:val="1"/>
      <w:numFmt w:val="bullet"/>
      <w:lvlText w:val="•"/>
      <w:lvlJc w:val="left"/>
      <w:pPr>
        <w:ind w:left="0" w:firstLine="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B247C2F"/>
    <w:multiLevelType w:val="multilevel"/>
    <w:tmpl w:val="D3F29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FB40EA"/>
    <w:multiLevelType w:val="multilevel"/>
    <w:tmpl w:val="1278DAD8"/>
    <w:lvl w:ilvl="0">
      <w:start w:val="1"/>
      <w:numFmt w:val="bullet"/>
      <w:lvlText w:val="•"/>
      <w:lvlJc w:val="left"/>
      <w:pPr>
        <w:ind w:left="0" w:firstLine="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302D7D2E"/>
    <w:multiLevelType w:val="multilevel"/>
    <w:tmpl w:val="1E1C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5D434E"/>
    <w:multiLevelType w:val="multilevel"/>
    <w:tmpl w:val="7A34C19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3470B8"/>
    <w:multiLevelType w:val="multilevel"/>
    <w:tmpl w:val="3B6ABBE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47815B42"/>
    <w:multiLevelType w:val="multilevel"/>
    <w:tmpl w:val="6E6A5CC6"/>
    <w:lvl w:ilvl="0">
      <w:start w:val="1"/>
      <w:numFmt w:val="bullet"/>
      <w:lvlText w:val="•"/>
      <w:lvlJc w:val="left"/>
      <w:pPr>
        <w:ind w:left="0" w:firstLine="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4FD271CD"/>
    <w:multiLevelType w:val="multilevel"/>
    <w:tmpl w:val="362246FA"/>
    <w:lvl w:ilvl="0">
      <w:start w:val="1"/>
      <w:numFmt w:val="lowerLetter"/>
      <w:lvlText w:val="%1)"/>
      <w:lvlJc w:val="left"/>
      <w:pPr>
        <w:ind w:left="1287" w:hanging="360"/>
      </w:pPr>
    </w:lvl>
    <w:lvl w:ilvl="1">
      <w:start w:val="1"/>
      <w:numFmt w:val="decimal"/>
      <w:lvlText w:val="%2."/>
      <w:lvlJc w:val="left"/>
      <w:pPr>
        <w:ind w:left="2007" w:hanging="360"/>
      </w:pPr>
      <w:rPr>
        <w:rFonts w:ascii="Palatino Linotype" w:eastAsia="Palatino Linotype" w:hAnsi="Palatino Linotype" w:cs="Palatino Linotype"/>
        <w:b/>
        <w:bCs/>
        <w:i w:val="0"/>
        <w:iCs w:val="0"/>
        <w:sz w:val="24"/>
        <w:szCs w:val="24"/>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5D996EE0"/>
    <w:multiLevelType w:val="multilevel"/>
    <w:tmpl w:val="C8EC991C"/>
    <w:lvl w:ilvl="0">
      <w:start w:val="1"/>
      <w:numFmt w:val="bullet"/>
      <w:lvlText w:val="•"/>
      <w:lvlJc w:val="left"/>
      <w:pPr>
        <w:ind w:left="0" w:firstLine="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67E165F4"/>
    <w:multiLevelType w:val="multilevel"/>
    <w:tmpl w:val="B70A9C62"/>
    <w:lvl w:ilvl="0">
      <w:start w:val="1"/>
      <w:numFmt w:val="decimal"/>
      <w:lvlText w:val="%1."/>
      <w:lvlJc w:val="left"/>
      <w:pPr>
        <w:ind w:left="359" w:hanging="359"/>
      </w:pPr>
      <w:rPr>
        <w:rFonts w:ascii="Palatino Linotype" w:eastAsia="Arial" w:hAnsi="Palatino Linotype" w:cs="Arial" w:hint="default"/>
        <w:b/>
        <w:bCs/>
        <w:i w:val="0"/>
        <w:iCs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B46FC9"/>
    <w:multiLevelType w:val="multilevel"/>
    <w:tmpl w:val="7DE67C1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1" w15:restartNumberingAfterBreak="0">
    <w:nsid w:val="78D37F27"/>
    <w:multiLevelType w:val="multilevel"/>
    <w:tmpl w:val="BF4A04B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8"/>
  </w:num>
  <w:num w:numId="3">
    <w:abstractNumId w:val="6"/>
  </w:num>
  <w:num w:numId="4">
    <w:abstractNumId w:val="0"/>
  </w:num>
  <w:num w:numId="5">
    <w:abstractNumId w:val="2"/>
  </w:num>
  <w:num w:numId="6">
    <w:abstractNumId w:val="11"/>
  </w:num>
  <w:num w:numId="7">
    <w:abstractNumId w:val="4"/>
  </w:num>
  <w:num w:numId="8">
    <w:abstractNumId w:val="7"/>
  </w:num>
  <w:num w:numId="9">
    <w:abstractNumId w:val="5"/>
  </w:num>
  <w:num w:numId="10">
    <w:abstractNumId w:val="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CD1"/>
    <w:rsid w:val="004A0C4A"/>
    <w:rsid w:val="00517E8E"/>
    <w:rsid w:val="00566CD1"/>
    <w:rsid w:val="0073585C"/>
    <w:rsid w:val="009C1F09"/>
    <w:rsid w:val="00AB659A"/>
    <w:rsid w:val="00CE241E"/>
    <w:rsid w:val="00D12FF8"/>
    <w:rsid w:val="00DF63A7"/>
    <w:rsid w:val="00E045FD"/>
    <w:rsid w:val="00F83198"/>
    <w:rsid w:val="00FE2915"/>
    <w:rsid w:val="00FF5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E15A"/>
  <w15:docId w15:val="{72ACB07B-7CD0-42F9-9205-9F89533B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unhideWhenUsed/>
    <w:qFormat/>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rPr>
      <w:color w:val="000000"/>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FE2915"/>
    <w:pPr>
      <w:ind w:left="720"/>
      <w:contextualSpacing/>
    </w:pPr>
  </w:style>
  <w:style w:type="paragraph" w:styleId="Encabezado">
    <w:name w:val="header"/>
    <w:basedOn w:val="Normal"/>
    <w:link w:val="EncabezadoCar"/>
    <w:uiPriority w:val="99"/>
    <w:unhideWhenUsed/>
    <w:rsid w:val="00E045FD"/>
    <w:pPr>
      <w:tabs>
        <w:tab w:val="center" w:pos="4419"/>
        <w:tab w:val="right" w:pos="8838"/>
      </w:tabs>
    </w:pPr>
  </w:style>
  <w:style w:type="character" w:customStyle="1" w:styleId="EncabezadoCar">
    <w:name w:val="Encabezado Car"/>
    <w:basedOn w:val="Fuentedeprrafopredeter"/>
    <w:link w:val="Encabezado"/>
    <w:uiPriority w:val="99"/>
    <w:rsid w:val="00E045FD"/>
  </w:style>
  <w:style w:type="paragraph" w:styleId="Piedepgina">
    <w:name w:val="footer"/>
    <w:basedOn w:val="Normal"/>
    <w:link w:val="PiedepginaCar"/>
    <w:uiPriority w:val="99"/>
    <w:unhideWhenUsed/>
    <w:rsid w:val="00E045FD"/>
    <w:pPr>
      <w:tabs>
        <w:tab w:val="center" w:pos="4419"/>
        <w:tab w:val="right" w:pos="8838"/>
      </w:tabs>
    </w:pPr>
  </w:style>
  <w:style w:type="character" w:customStyle="1" w:styleId="PiedepginaCar">
    <w:name w:val="Pie de página Car"/>
    <w:basedOn w:val="Fuentedeprrafopredeter"/>
    <w:link w:val="Piedepgina"/>
    <w:uiPriority w:val="99"/>
    <w:rsid w:val="00E04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726964.pa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aimex.org.mx/saimex/solicitud/downloadAttach/2700345.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imex.org.mx/saimex/solicitud/downloadAttach/2669211.pag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ID=1000830&amp;Clase=DetalleTesisBL&amp;Semanario=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Z0y+F9s7/IwxsTDZthsN1ztIdQ==">CgMxLjAyCGguZ2pkZ3hzMgloLjMwajB6bGwyDmgubTV4bzd5MnFkaHRpMg5oLmJ0c2ExdGppejIxbDIOaC5yZ25pcjJiM2d3eDQyDmgubnNpM2R2M2c4N2l6Mg5oLmxuZ2NraTh5cTd3czIOaC5uZXdtZ2hycTZqczYyCWguMXQzaDVzZjIJaC40ZDM0b2c4MgloLjJzOGV5bzEyDmguaXFjb3MxZGs0aGZrMg5oLnJ6cGR3dWN6ZThpazIIaC5sbnhiejkyCWguMzVua3VuMjIJaC4xa3N2NHV2OAByITFCUTBiY0dPbElHQ3NZQ25OZHlXSWpIWDlvRHBtRnF1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51</Pages>
  <Words>12752</Words>
  <Characters>70136</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Infoem600</dc:creator>
  <cp:lastModifiedBy>Cuenta Microsoft</cp:lastModifiedBy>
  <cp:revision>8</cp:revision>
  <cp:lastPrinted>2026-05-21T23:13:00Z</cp:lastPrinted>
  <dcterms:created xsi:type="dcterms:W3CDTF">2026-05-18T20:39:00Z</dcterms:created>
  <dcterms:modified xsi:type="dcterms:W3CDTF">2026-05-22T20:54:00Z</dcterms:modified>
</cp:coreProperties>
</file>