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25EF" w:rsidRPr="00273733" w:rsidRDefault="002367BD">
      <w:pPr>
        <w:spacing w:line="360" w:lineRule="auto"/>
        <w:jc w:val="both"/>
        <w:rPr>
          <w:rFonts w:ascii="Palatino Linotype" w:eastAsia="Palatino Linotype" w:hAnsi="Palatino Linotype" w:cs="Palatino Linotype"/>
          <w:b/>
        </w:rPr>
      </w:pPr>
      <w:bookmarkStart w:id="0" w:name="_GoBack"/>
      <w:bookmarkEnd w:id="0"/>
      <w:r w:rsidRPr="00273733">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Estado</w:t>
      </w:r>
      <w:r w:rsidR="005D053D" w:rsidRPr="00273733">
        <w:rPr>
          <w:rFonts w:ascii="Palatino Linotype" w:eastAsia="Palatino Linotype" w:hAnsi="Palatino Linotype" w:cs="Palatino Linotype"/>
        </w:rPr>
        <w:t xml:space="preserve"> de México; </w:t>
      </w:r>
      <w:r w:rsidR="005D053D" w:rsidRPr="00273733">
        <w:rPr>
          <w:rFonts w:ascii="Palatino Linotype" w:eastAsia="Palatino Linotype" w:hAnsi="Palatino Linotype" w:cs="Palatino Linotype"/>
          <w:b/>
        </w:rPr>
        <w:t>de</w:t>
      </w:r>
      <w:r w:rsidR="00273733" w:rsidRPr="00273733">
        <w:rPr>
          <w:rFonts w:ascii="Palatino Linotype" w:eastAsia="Palatino Linotype" w:hAnsi="Palatino Linotype" w:cs="Palatino Linotype"/>
          <w:b/>
        </w:rPr>
        <w:t xml:space="preserve"> fecha </w:t>
      </w:r>
      <w:r w:rsidR="005D053D" w:rsidRPr="00273733">
        <w:rPr>
          <w:rFonts w:ascii="Palatino Linotype" w:eastAsia="Palatino Linotype" w:hAnsi="Palatino Linotype" w:cs="Palatino Linotype"/>
          <w:b/>
        </w:rPr>
        <w:t xml:space="preserve">cinco </w:t>
      </w:r>
      <w:r w:rsidR="00273733" w:rsidRPr="00273733">
        <w:rPr>
          <w:rFonts w:ascii="Palatino Linotype" w:eastAsia="Palatino Linotype" w:hAnsi="Palatino Linotype" w:cs="Palatino Linotype"/>
          <w:b/>
        </w:rPr>
        <w:t xml:space="preserve">(05) </w:t>
      </w:r>
      <w:r w:rsidR="005D053D" w:rsidRPr="00273733">
        <w:rPr>
          <w:rFonts w:ascii="Palatino Linotype" w:eastAsia="Palatino Linotype" w:hAnsi="Palatino Linotype" w:cs="Palatino Linotype"/>
          <w:b/>
        </w:rPr>
        <w:t>de marzo de dos mil veintiséis</w:t>
      </w:r>
      <w:r w:rsidRPr="00273733">
        <w:rPr>
          <w:rFonts w:ascii="Palatino Linotype" w:eastAsia="Palatino Linotype" w:hAnsi="Palatino Linotype" w:cs="Palatino Linotype"/>
          <w:b/>
        </w:rPr>
        <w:t>.</w:t>
      </w:r>
    </w:p>
    <w:p w:rsidR="003B25EF" w:rsidRPr="00273733" w:rsidRDefault="003B25EF">
      <w:pPr>
        <w:jc w:val="both"/>
        <w:rPr>
          <w:rFonts w:ascii="Palatino Linotype" w:eastAsia="Palatino Linotype" w:hAnsi="Palatino Linotype" w:cs="Palatino Linotype"/>
        </w:rPr>
      </w:pPr>
    </w:p>
    <w:p w:rsidR="003B25EF" w:rsidRPr="00273733" w:rsidRDefault="002367BD">
      <w:pPr>
        <w:spacing w:line="360" w:lineRule="auto"/>
        <w:jc w:val="both"/>
        <w:rPr>
          <w:rFonts w:ascii="Palatino Linotype" w:eastAsia="Palatino Linotype" w:hAnsi="Palatino Linotype" w:cs="Palatino Linotype"/>
        </w:rPr>
      </w:pPr>
      <w:r w:rsidRPr="00273733">
        <w:rPr>
          <w:rFonts w:ascii="Palatino Linotype" w:eastAsia="Palatino Linotype" w:hAnsi="Palatino Linotype" w:cs="Palatino Linotype"/>
          <w:b/>
          <w:bCs/>
        </w:rPr>
        <w:t>VISTO</w:t>
      </w:r>
      <w:r w:rsidRPr="00273733">
        <w:rPr>
          <w:rFonts w:ascii="Palatino Linotype" w:eastAsia="Palatino Linotype" w:hAnsi="Palatino Linotype" w:cs="Palatino Linotype"/>
        </w:rPr>
        <w:t xml:space="preserve"> el expediente electrónico formado con motivo del recurso de revisión </w:t>
      </w:r>
      <w:r w:rsidR="005D053D" w:rsidRPr="00273733">
        <w:rPr>
          <w:rFonts w:ascii="Palatino Linotype" w:eastAsia="Palatino Linotype" w:hAnsi="Palatino Linotype" w:cs="Palatino Linotype"/>
          <w:b/>
          <w:bCs/>
        </w:rPr>
        <w:t>07308</w:t>
      </w:r>
      <w:r w:rsidRPr="00273733">
        <w:rPr>
          <w:rFonts w:ascii="Palatino Linotype" w:eastAsia="Palatino Linotype" w:hAnsi="Palatino Linotype" w:cs="Palatino Linotype"/>
          <w:b/>
          <w:bCs/>
        </w:rPr>
        <w:t xml:space="preserve">/INFOEM/IP/RR/2025, </w:t>
      </w:r>
      <w:r w:rsidRPr="00273733">
        <w:rPr>
          <w:rFonts w:ascii="Palatino Linotype" w:eastAsia="Palatino Linotype" w:hAnsi="Palatino Linotype" w:cs="Palatino Linotype"/>
        </w:rPr>
        <w:t xml:space="preserve">promovido por </w:t>
      </w:r>
      <w:r w:rsidR="00273733">
        <w:rPr>
          <w:rFonts w:ascii="Palatino Linotype" w:eastAsia="Palatino Linotype" w:hAnsi="Palatino Linotype" w:cs="Palatino Linotype"/>
        </w:rPr>
        <w:t xml:space="preserve">un usuario que no registró nombre alguno, a quien en lo sucesivo denominaremos </w:t>
      </w:r>
      <w:r w:rsidRPr="00273733">
        <w:rPr>
          <w:rFonts w:ascii="Palatino Linotype" w:eastAsia="Palatino Linotype" w:hAnsi="Palatino Linotype" w:cs="Palatino Linotype"/>
          <w:b/>
          <w:bCs/>
        </w:rPr>
        <w:t>el</w:t>
      </w:r>
      <w:r w:rsidRPr="00273733">
        <w:rPr>
          <w:rFonts w:ascii="Palatino Linotype" w:eastAsia="Palatino Linotype" w:hAnsi="Palatino Linotype" w:cs="Palatino Linotype"/>
        </w:rPr>
        <w:t xml:space="preserve"> </w:t>
      </w:r>
      <w:r w:rsidRPr="00273733">
        <w:rPr>
          <w:rFonts w:ascii="Palatino Linotype" w:eastAsia="Palatino Linotype" w:hAnsi="Palatino Linotype" w:cs="Palatino Linotype"/>
          <w:b/>
          <w:bCs/>
        </w:rPr>
        <w:t>RECURRENTE,</w:t>
      </w:r>
      <w:r w:rsidR="00B93242" w:rsidRPr="00273733">
        <w:rPr>
          <w:rFonts w:ascii="Palatino Linotype" w:eastAsia="Palatino Linotype" w:hAnsi="Palatino Linotype" w:cs="Palatino Linotype"/>
        </w:rPr>
        <w:t xml:space="preserve"> en contra de la respuesta de</w:t>
      </w:r>
      <w:r w:rsidR="005D053D" w:rsidRPr="00273733">
        <w:rPr>
          <w:rFonts w:ascii="Palatino Linotype" w:eastAsia="Palatino Linotype" w:hAnsi="Palatino Linotype" w:cs="Palatino Linotype"/>
        </w:rPr>
        <w:t xml:space="preserve"> </w:t>
      </w:r>
      <w:r w:rsidR="00B93242" w:rsidRPr="00273733">
        <w:rPr>
          <w:rFonts w:ascii="Palatino Linotype" w:eastAsia="Palatino Linotype" w:hAnsi="Palatino Linotype" w:cs="Palatino Linotype"/>
        </w:rPr>
        <w:t>l</w:t>
      </w:r>
      <w:r w:rsidR="005D053D" w:rsidRPr="00273733">
        <w:rPr>
          <w:rFonts w:ascii="Palatino Linotype" w:eastAsia="Palatino Linotype" w:hAnsi="Palatino Linotype" w:cs="Palatino Linotype"/>
        </w:rPr>
        <w:t>a</w:t>
      </w:r>
      <w:r w:rsidR="00B93242" w:rsidRPr="00273733">
        <w:rPr>
          <w:rFonts w:ascii="Palatino Linotype" w:eastAsia="Palatino Linotype" w:hAnsi="Palatino Linotype" w:cs="Palatino Linotype"/>
        </w:rPr>
        <w:t xml:space="preserve"> </w:t>
      </w:r>
      <w:r w:rsidR="005D053D" w:rsidRPr="00273733">
        <w:rPr>
          <w:rFonts w:ascii="Palatino Linotype" w:eastAsia="Palatino Linotype" w:hAnsi="Palatino Linotype" w:cs="Palatino Linotype"/>
          <w:b/>
        </w:rPr>
        <w:t>Comisión de Derechos Humanos</w:t>
      </w:r>
      <w:r w:rsidRPr="00273733">
        <w:rPr>
          <w:rFonts w:ascii="Palatino Linotype" w:eastAsia="Palatino Linotype" w:hAnsi="Palatino Linotype" w:cs="Palatino Linotype"/>
          <w:b/>
          <w:bCs/>
        </w:rPr>
        <w:t xml:space="preserve">, </w:t>
      </w:r>
      <w:r w:rsidRPr="00273733">
        <w:rPr>
          <w:rFonts w:ascii="Palatino Linotype" w:eastAsia="Palatino Linotype" w:hAnsi="Palatino Linotype" w:cs="Palatino Linotype"/>
        </w:rPr>
        <w:t>en adelante el</w:t>
      </w:r>
      <w:r w:rsidRPr="00273733">
        <w:rPr>
          <w:rFonts w:ascii="Palatino Linotype" w:eastAsia="Palatino Linotype" w:hAnsi="Palatino Linotype" w:cs="Palatino Linotype"/>
          <w:b/>
          <w:bCs/>
        </w:rPr>
        <w:t xml:space="preserve"> SUJETO OBLIGADO</w:t>
      </w:r>
      <w:r w:rsidRPr="00273733">
        <w:rPr>
          <w:rFonts w:ascii="Palatino Linotype" w:eastAsia="Palatino Linotype" w:hAnsi="Palatino Linotype" w:cs="Palatino Linotype"/>
        </w:rPr>
        <w:t>, por lo que se procede a dictar la presente resolución, con base en los siguientes:</w:t>
      </w:r>
    </w:p>
    <w:p w:rsidR="003B25EF" w:rsidRPr="00273733" w:rsidRDefault="003B25EF">
      <w:pPr>
        <w:jc w:val="both"/>
        <w:rPr>
          <w:rFonts w:ascii="Palatino Linotype" w:eastAsia="Palatino Linotype" w:hAnsi="Palatino Linotype" w:cs="Palatino Linotype"/>
        </w:rPr>
      </w:pPr>
    </w:p>
    <w:p w:rsidR="003B25EF" w:rsidRPr="00273733" w:rsidRDefault="002367BD">
      <w:pPr>
        <w:keepNext/>
        <w:keepLines/>
        <w:spacing w:line="360" w:lineRule="auto"/>
        <w:jc w:val="center"/>
        <w:rPr>
          <w:rFonts w:ascii="Palatino Linotype" w:eastAsia="Palatino Linotype" w:hAnsi="Palatino Linotype" w:cs="Palatino Linotype"/>
          <w:b/>
          <w:bCs/>
        </w:rPr>
      </w:pPr>
      <w:r w:rsidRPr="00273733">
        <w:rPr>
          <w:rFonts w:ascii="Palatino Linotype" w:eastAsia="Palatino Linotype" w:hAnsi="Palatino Linotype" w:cs="Palatino Linotype"/>
          <w:b/>
          <w:bCs/>
        </w:rPr>
        <w:t>A N T E C E D E N T E S</w:t>
      </w:r>
    </w:p>
    <w:p w:rsidR="003B25EF" w:rsidRPr="00273733" w:rsidRDefault="003B25EF">
      <w:pPr>
        <w:rPr>
          <w:rFonts w:ascii="Palatino Linotype" w:eastAsia="Palatino Linotype" w:hAnsi="Palatino Linotype" w:cs="Palatino Linotype"/>
        </w:rPr>
      </w:pPr>
    </w:p>
    <w:p w:rsidR="003B25EF" w:rsidRPr="00273733" w:rsidRDefault="002367BD">
      <w:pPr>
        <w:numPr>
          <w:ilvl w:val="0"/>
          <w:numId w:val="2"/>
        </w:numPr>
        <w:spacing w:line="360" w:lineRule="auto"/>
        <w:ind w:left="0" w:firstLine="0"/>
        <w:jc w:val="both"/>
        <w:rPr>
          <w:rFonts w:ascii="Palatino Linotype" w:eastAsia="Palatino Linotype" w:hAnsi="Palatino Linotype" w:cs="Palatino Linotype"/>
        </w:rPr>
      </w:pPr>
      <w:r w:rsidRPr="00273733">
        <w:rPr>
          <w:rFonts w:ascii="Palatino Linotype" w:eastAsia="Palatino Linotype" w:hAnsi="Palatino Linotype" w:cs="Palatino Linotype"/>
        </w:rPr>
        <w:t xml:space="preserve">El </w:t>
      </w:r>
      <w:r w:rsidR="00E3589A" w:rsidRPr="00273733">
        <w:rPr>
          <w:rFonts w:ascii="Palatino Linotype" w:eastAsia="Palatino Linotype" w:hAnsi="Palatino Linotype" w:cs="Palatino Linotype"/>
        </w:rPr>
        <w:t>catorce de mayo</w:t>
      </w:r>
      <w:r w:rsidRPr="00273733">
        <w:rPr>
          <w:rFonts w:ascii="Palatino Linotype" w:eastAsia="Palatino Linotype" w:hAnsi="Palatino Linotype" w:cs="Palatino Linotype"/>
        </w:rPr>
        <w:t xml:space="preserve"> de dos mil veinticinco, la</w:t>
      </w:r>
      <w:r w:rsidRPr="00273733">
        <w:rPr>
          <w:rFonts w:ascii="Palatino Linotype" w:eastAsia="Palatino Linotype" w:hAnsi="Palatino Linotype" w:cs="Palatino Linotype"/>
          <w:b/>
          <w:bCs/>
        </w:rPr>
        <w:t xml:space="preserve"> RECURRENTE </w:t>
      </w:r>
      <w:r w:rsidRPr="00273733">
        <w:rPr>
          <w:rFonts w:ascii="Palatino Linotype" w:eastAsia="Palatino Linotype" w:hAnsi="Palatino Linotype" w:cs="Palatino Linotype"/>
        </w:rPr>
        <w:t xml:space="preserve">presentó ante el </w:t>
      </w:r>
      <w:r w:rsidRPr="00273733">
        <w:rPr>
          <w:rFonts w:ascii="Palatino Linotype" w:eastAsia="Palatino Linotype" w:hAnsi="Palatino Linotype" w:cs="Palatino Linotype"/>
          <w:b/>
          <w:bCs/>
        </w:rPr>
        <w:t>SUJETO OBLIGADO,</w:t>
      </w:r>
      <w:r w:rsidRPr="00273733">
        <w:rPr>
          <w:rFonts w:ascii="Palatino Linotype" w:eastAsia="Palatino Linotype" w:hAnsi="Palatino Linotype" w:cs="Palatino Linotype"/>
        </w:rPr>
        <w:t xml:space="preserve"> a través del el Sistema de Acceso a la Información Mexiquense </w:t>
      </w:r>
      <w:r w:rsidRPr="00273733">
        <w:rPr>
          <w:rFonts w:ascii="Palatino Linotype" w:eastAsia="Palatino Linotype" w:hAnsi="Palatino Linotype" w:cs="Palatino Linotype"/>
          <w:b/>
          <w:bCs/>
        </w:rPr>
        <w:t>(SAIMEX),</w:t>
      </w:r>
      <w:r w:rsidRPr="00273733">
        <w:rPr>
          <w:rFonts w:ascii="Palatino Linotype" w:eastAsia="Palatino Linotype" w:hAnsi="Palatino Linotype" w:cs="Palatino Linotype"/>
        </w:rPr>
        <w:t xml:space="preserve"> la solicitud de información pública </w:t>
      </w:r>
      <w:r w:rsidR="00E3589A" w:rsidRPr="00273733">
        <w:rPr>
          <w:rFonts w:ascii="Palatino Linotype" w:eastAsia="Palatino Linotype" w:hAnsi="Palatino Linotype" w:cs="Palatino Linotype"/>
          <w:b/>
          <w:bCs/>
        </w:rPr>
        <w:t>00113</w:t>
      </w:r>
      <w:r w:rsidRPr="00273733">
        <w:rPr>
          <w:rFonts w:ascii="Palatino Linotype" w:eastAsia="Palatino Linotype" w:hAnsi="Palatino Linotype" w:cs="Palatino Linotype"/>
          <w:b/>
          <w:bCs/>
        </w:rPr>
        <w:t>/</w:t>
      </w:r>
      <w:r w:rsidR="00E3589A" w:rsidRPr="00273733">
        <w:rPr>
          <w:rFonts w:ascii="Palatino Linotype" w:eastAsia="Palatino Linotype" w:hAnsi="Palatino Linotype" w:cs="Palatino Linotype"/>
          <w:b/>
          <w:bCs/>
        </w:rPr>
        <w:t>CODHEM</w:t>
      </w:r>
      <w:r w:rsidRPr="00273733">
        <w:rPr>
          <w:rFonts w:ascii="Palatino Linotype" w:eastAsia="Palatino Linotype" w:hAnsi="Palatino Linotype" w:cs="Palatino Linotype"/>
          <w:b/>
          <w:bCs/>
        </w:rPr>
        <w:t>/IP/2025</w:t>
      </w:r>
      <w:r w:rsidRPr="00273733">
        <w:rPr>
          <w:rFonts w:ascii="Palatino Linotype" w:eastAsia="Palatino Linotype" w:hAnsi="Palatino Linotype" w:cs="Palatino Linotype"/>
        </w:rPr>
        <w:t>, en la que solicitó:</w:t>
      </w:r>
    </w:p>
    <w:p w:rsidR="003B25EF" w:rsidRPr="00273733" w:rsidRDefault="003B25EF">
      <w:pPr>
        <w:jc w:val="both"/>
        <w:rPr>
          <w:rFonts w:ascii="Palatino Linotype" w:eastAsia="Palatino Linotype" w:hAnsi="Palatino Linotype" w:cs="Palatino Linotype"/>
          <w:i/>
          <w:iCs/>
        </w:rPr>
      </w:pPr>
    </w:p>
    <w:p w:rsidR="003B25EF" w:rsidRPr="00273733" w:rsidRDefault="002367BD" w:rsidP="00B93242">
      <w:pPr>
        <w:ind w:left="567" w:right="567"/>
        <w:jc w:val="both"/>
        <w:rPr>
          <w:rFonts w:ascii="Palatino Linotype" w:eastAsia="Palatino Linotype" w:hAnsi="Palatino Linotype" w:cs="Palatino Linotype"/>
          <w:i/>
          <w:iCs/>
          <w:color w:val="000000"/>
        </w:rPr>
      </w:pPr>
      <w:r w:rsidRPr="00273733">
        <w:rPr>
          <w:rFonts w:ascii="Palatino Linotype" w:eastAsia="Palatino Linotype" w:hAnsi="Palatino Linotype" w:cs="Palatino Linotype"/>
          <w:i/>
          <w:iCs/>
          <w:color w:val="000000"/>
        </w:rPr>
        <w:t>“</w:t>
      </w:r>
      <w:r w:rsidR="00E3589A" w:rsidRPr="00273733">
        <w:rPr>
          <w:rFonts w:ascii="Palatino Linotype" w:hAnsi="Palatino Linotype"/>
          <w:i/>
          <w:color w:val="000000"/>
        </w:rPr>
        <w:t xml:space="preserve">A quien corresponda, con fundamento en la Ley de Transparencia y Acceso a la Información Pública del Estado de México y Municipios así como con lo establecido en la Ley General de Archivos y la Ley de Archivos y Administración de Documentos del Estado de México y Municipios, se solicitan los inventarios documentales al cierre del ejercicio 2024 y los instrumentos de control archivísticos vigentes y en su versión final del sujeto obligado, así mismo, se solicita el Programa Anual de Desarrollo Archivístico 2023, 2024 y 2025 de conformidad con la normatividad vigente aplicable. Por otra parte, se solicitan los recibos de nómina en su versión pública del Área Coordinadora de Archivos de los años 2023, 2024 y 2025 y las acciones relevantes por destacar por él actual titular de la unidad administrativa en cuestión. Así mismo, se solicita informa por parte del titular del órgano interno de control si han realizado inspecciones o auditorias en materia archivística en el periodo comprendido del año 2021 al mes de abril del 2025, en caso contrario, se solicita informar si han existido infracciones cometidas por los titulares del área coordinadora de archivos del organismo de conformidad con la normatividad vigente aplicable. Por ultimo, se solicita informar el </w:t>
      </w:r>
      <w:r w:rsidR="00E3589A" w:rsidRPr="00273733">
        <w:rPr>
          <w:rFonts w:ascii="Palatino Linotype" w:hAnsi="Palatino Linotype"/>
          <w:i/>
          <w:color w:val="000000"/>
        </w:rPr>
        <w:lastRenderedPageBreak/>
        <w:t>presupuesto asignado al área coordinadora de archivos para el ejercicio fiscal 2024 y la utilización del mismo a través de los oficios de requisición de materiales, suministros, equipamiento y/o mantenimiento del área.</w:t>
      </w:r>
      <w:r w:rsidRPr="00273733">
        <w:rPr>
          <w:rFonts w:ascii="Palatino Linotype" w:eastAsia="Palatino Linotype" w:hAnsi="Palatino Linotype" w:cs="Palatino Linotype"/>
          <w:i/>
          <w:iCs/>
          <w:color w:val="000000"/>
        </w:rPr>
        <w:t xml:space="preserve">” (Sic) </w:t>
      </w:r>
    </w:p>
    <w:p w:rsidR="003B25EF" w:rsidRPr="00273733" w:rsidRDefault="003B25EF" w:rsidP="00B93242">
      <w:pPr>
        <w:pBdr>
          <w:top w:val="nil"/>
          <w:left w:val="nil"/>
          <w:bottom w:val="nil"/>
          <w:right w:val="nil"/>
          <w:between w:val="nil"/>
        </w:pBdr>
        <w:jc w:val="both"/>
        <w:rPr>
          <w:rFonts w:ascii="Palatino Linotype" w:eastAsia="Palatino Linotype" w:hAnsi="Palatino Linotype" w:cs="Palatino Linotype"/>
          <w:color w:val="000000"/>
        </w:rPr>
      </w:pPr>
    </w:p>
    <w:p w:rsidR="003B25EF" w:rsidRPr="00273733" w:rsidRDefault="002367BD">
      <w:pPr>
        <w:numPr>
          <w:ilvl w:val="0"/>
          <w:numId w:val="2"/>
        </w:numPr>
        <w:spacing w:line="360" w:lineRule="auto"/>
        <w:ind w:left="0" w:firstLine="0"/>
        <w:jc w:val="both"/>
        <w:rPr>
          <w:rFonts w:ascii="Palatino Linotype" w:eastAsia="Palatino Linotype" w:hAnsi="Palatino Linotype" w:cs="Palatino Linotype"/>
        </w:rPr>
      </w:pPr>
      <w:r w:rsidRPr="00273733">
        <w:rPr>
          <w:rFonts w:ascii="Palatino Linotype" w:eastAsia="Palatino Linotype" w:hAnsi="Palatino Linotype" w:cs="Palatino Linotype"/>
        </w:rPr>
        <w:t xml:space="preserve">Se hace constar que se señaló como modalidad de entrega de la información a través del </w:t>
      </w:r>
      <w:r w:rsidRPr="00273733">
        <w:rPr>
          <w:rFonts w:ascii="Palatino Linotype" w:eastAsia="Palatino Linotype" w:hAnsi="Palatino Linotype" w:cs="Palatino Linotype"/>
          <w:b/>
          <w:bCs/>
        </w:rPr>
        <w:t>SAIMEX.</w:t>
      </w:r>
    </w:p>
    <w:p w:rsidR="003B25EF" w:rsidRPr="00273733" w:rsidRDefault="003B25EF">
      <w:pPr>
        <w:jc w:val="both"/>
        <w:rPr>
          <w:rFonts w:ascii="Palatino Linotype" w:eastAsia="Palatino Linotype" w:hAnsi="Palatino Linotype" w:cs="Palatino Linotype"/>
          <w:b/>
          <w:bCs/>
        </w:rPr>
      </w:pPr>
    </w:p>
    <w:p w:rsidR="003B25EF" w:rsidRPr="00273733" w:rsidRDefault="00B93242">
      <w:pPr>
        <w:numPr>
          <w:ilvl w:val="0"/>
          <w:numId w:val="2"/>
        </w:numPr>
        <w:spacing w:line="360" w:lineRule="auto"/>
        <w:ind w:left="0" w:firstLine="0"/>
        <w:jc w:val="both"/>
        <w:rPr>
          <w:rFonts w:ascii="Palatino Linotype" w:eastAsia="Palatino Linotype" w:hAnsi="Palatino Linotype" w:cs="Palatino Linotype"/>
        </w:rPr>
      </w:pPr>
      <w:r w:rsidRPr="00273733">
        <w:rPr>
          <w:rFonts w:ascii="Palatino Linotype" w:eastAsia="Palatino Linotype" w:hAnsi="Palatino Linotype" w:cs="Palatino Linotype"/>
        </w:rPr>
        <w:t xml:space="preserve">El </w:t>
      </w:r>
      <w:r w:rsidR="00E3589A" w:rsidRPr="00273733">
        <w:rPr>
          <w:rFonts w:ascii="Palatino Linotype" w:eastAsia="Palatino Linotype" w:hAnsi="Palatino Linotype" w:cs="Palatino Linotype"/>
        </w:rPr>
        <w:t>cuatro de junio</w:t>
      </w:r>
      <w:r w:rsidR="002367BD" w:rsidRPr="00273733">
        <w:rPr>
          <w:rFonts w:ascii="Palatino Linotype" w:eastAsia="Palatino Linotype" w:hAnsi="Palatino Linotype" w:cs="Palatino Linotype"/>
        </w:rPr>
        <w:t xml:space="preserve"> de dos mil veinticinco, el </w:t>
      </w:r>
      <w:r w:rsidR="002367BD" w:rsidRPr="00273733">
        <w:rPr>
          <w:rFonts w:ascii="Palatino Linotype" w:eastAsia="Palatino Linotype" w:hAnsi="Palatino Linotype" w:cs="Palatino Linotype"/>
          <w:b/>
          <w:bCs/>
        </w:rPr>
        <w:t>SUJETO OBLIGADO</w:t>
      </w:r>
      <w:r w:rsidR="002367BD" w:rsidRPr="00273733">
        <w:rPr>
          <w:rFonts w:ascii="Palatino Linotype" w:eastAsia="Palatino Linotype" w:hAnsi="Palatino Linotype" w:cs="Palatino Linotype"/>
          <w:b/>
          <w:bCs/>
          <w:i/>
          <w:iCs/>
        </w:rPr>
        <w:t xml:space="preserve"> </w:t>
      </w:r>
      <w:r w:rsidR="002367BD" w:rsidRPr="00273733">
        <w:rPr>
          <w:rFonts w:ascii="Palatino Linotype" w:eastAsia="Palatino Linotype" w:hAnsi="Palatino Linotype" w:cs="Palatino Linotype"/>
        </w:rPr>
        <w:t>dio respuesta a la solicitud de información, en los siguientes términos:</w:t>
      </w:r>
    </w:p>
    <w:p w:rsidR="003B25EF" w:rsidRPr="00273733" w:rsidRDefault="002367BD" w:rsidP="00B93242">
      <w:pPr>
        <w:ind w:left="567" w:right="567"/>
        <w:jc w:val="both"/>
        <w:rPr>
          <w:rFonts w:ascii="Palatino Linotype" w:eastAsia="Palatino Linotype" w:hAnsi="Palatino Linotype" w:cs="Palatino Linotype"/>
          <w:i/>
          <w:iCs/>
        </w:rPr>
      </w:pPr>
      <w:r w:rsidRPr="00273733">
        <w:rPr>
          <w:rFonts w:ascii="Palatino Linotype" w:eastAsia="Palatino Linotype" w:hAnsi="Palatino Linotype" w:cs="Palatino Linotype"/>
          <w:i/>
          <w:iCs/>
          <w:color w:val="000000"/>
        </w:rPr>
        <w:t>“</w:t>
      </w:r>
      <w:r w:rsidR="00E3589A" w:rsidRPr="00273733">
        <w:rPr>
          <w:rFonts w:ascii="Palatino Linotype" w:hAnsi="Palatino Linotype"/>
          <w:i/>
          <w:color w:val="000000"/>
        </w:rPr>
        <w:t>En respuesta a la solicitud 00113/CODHEM/IP/2025, nos permitimos hacer de su conocimiento que con fundamento en los artículos 53, Fracciones: II, V y VI, 163 de la Ley de Transparencia y Acceso a la Información Pública del Estado de México y Municipios, se envía respuesta a su solicitud, misma que encontrará en archivos anexos. En atención a “…los instrumentos de control archivísticos vigentes y en su versión final del sujeto obligado…” y en cumplimiento con el principio de máxima publicidad establecido en el artículo 8 de la Ley de Transparencia y Acceso a la Información Pública del Estado de México, se informa que dicha información se encuentra disponible para consulta pública. Para efectos de acceso directo, se proporciona la siguiente liga electrónica que dirige al repositorio oficial correspondiente: https://infoem2.ipomex.org.mx/ipomex/#/info-fraccion/80/85/12 Esta acción reafirma el compromiso institucional con la transparencia, la rendición de cuentas y el acceso pleno a la información pública. Con relación al “…Programa Anual de Desarrollo Archivístico correspondiente a los ejercicios 2023, 2024 y 2025, y conforme a la normatividad vigente aplicable…”, se informa que dicha información se encuentra debidamente publicada y disponible para consulta pública. En apego al principio de máxima publicidad, se proporciona la siguiente liga electrónica que dirige al portal institucional donde podrá acceder a los documentos solicitados: https://transparencia.codhem.org.mx/#Archivo Atte. L.A.E. Erika Yolanda Funes Velázquez Titular de la Unidad de Transparencia. Comisión de Derechos Humanos del Estado de México.</w:t>
      </w:r>
      <w:r w:rsidRPr="00273733">
        <w:rPr>
          <w:rFonts w:ascii="Palatino Linotype" w:eastAsia="Palatino Linotype" w:hAnsi="Palatino Linotype" w:cs="Palatino Linotype"/>
          <w:i/>
          <w:iCs/>
          <w:color w:val="000000"/>
        </w:rPr>
        <w:t xml:space="preserve">” (Sic) </w:t>
      </w:r>
    </w:p>
    <w:p w:rsidR="003B25EF" w:rsidRPr="00273733" w:rsidRDefault="003B25EF">
      <w:pPr>
        <w:ind w:right="710"/>
        <w:jc w:val="both"/>
        <w:rPr>
          <w:rFonts w:ascii="Palatino Linotype" w:eastAsia="Palatino Linotype" w:hAnsi="Palatino Linotype" w:cs="Palatino Linotype"/>
          <w:i/>
          <w:iCs/>
          <w:color w:val="000000"/>
        </w:rPr>
      </w:pPr>
    </w:p>
    <w:p w:rsidR="003B25EF" w:rsidRPr="00273733" w:rsidRDefault="002367BD">
      <w:pPr>
        <w:ind w:right="567"/>
        <w:jc w:val="both"/>
        <w:rPr>
          <w:rFonts w:ascii="Palatino Linotype" w:eastAsia="Palatino Linotype" w:hAnsi="Palatino Linotype" w:cs="Palatino Linotype"/>
          <w:b/>
        </w:rPr>
      </w:pPr>
      <w:r w:rsidRPr="00273733">
        <w:rPr>
          <w:rFonts w:ascii="Palatino Linotype" w:eastAsia="Palatino Linotype" w:hAnsi="Palatino Linotype" w:cs="Palatino Linotype"/>
          <w:b/>
        </w:rPr>
        <w:t>Archivos electrónicos adjuntos:</w:t>
      </w:r>
    </w:p>
    <w:p w:rsidR="001234D8" w:rsidRPr="00273733" w:rsidRDefault="00637BE5" w:rsidP="001234D8">
      <w:pPr>
        <w:ind w:left="567" w:right="567"/>
        <w:jc w:val="both"/>
        <w:rPr>
          <w:rFonts w:ascii="Palatino Linotype" w:hAnsi="Palatino Linotype"/>
        </w:rPr>
      </w:pPr>
      <w:hyperlink r:id="rId8" w:tgtFrame="_blank" w:history="1">
        <w:r w:rsidR="00E3589A" w:rsidRPr="00273733">
          <w:rPr>
            <w:rStyle w:val="Hipervnculo"/>
            <w:rFonts w:ascii="Palatino Linotype" w:hAnsi="Palatino Linotype" w:cs="Arial"/>
            <w:b/>
            <w:bCs/>
            <w:color w:val="auto"/>
            <w:u w:val="none"/>
          </w:rPr>
          <w:t>comprobante pago area archivo TESTADO.pdf</w:t>
        </w:r>
      </w:hyperlink>
      <w:r w:rsidR="00E3589A" w:rsidRPr="00273733">
        <w:rPr>
          <w:rFonts w:ascii="Palatino Linotype" w:hAnsi="Palatino Linotype"/>
        </w:rPr>
        <w:t>:</w:t>
      </w:r>
      <w:r w:rsidR="001234D8" w:rsidRPr="00273733">
        <w:rPr>
          <w:rFonts w:ascii="Palatino Linotype" w:hAnsi="Palatino Linotype"/>
        </w:rPr>
        <w:t xml:space="preserve"> Documento consistente en la copia digitalizada de </w:t>
      </w:r>
      <w:r w:rsidR="001234D8" w:rsidRPr="00273733">
        <w:rPr>
          <w:rFonts w:ascii="Palatino Linotype" w:hAnsi="Palatino Linotype" w:cs="Arial"/>
          <w:bCs/>
        </w:rPr>
        <w:t>231 comprobantes de percepciones y deducciones correspondientes a 2023, 2024 y 2025 del personal adscrito al Área Coordinadora de Archivos, en versión pública.</w:t>
      </w:r>
    </w:p>
    <w:p w:rsidR="00E3589A" w:rsidRPr="00273733" w:rsidRDefault="00637BE5" w:rsidP="001234D8">
      <w:pPr>
        <w:ind w:left="567" w:right="567"/>
        <w:jc w:val="both"/>
        <w:rPr>
          <w:rFonts w:ascii="Palatino Linotype" w:hAnsi="Palatino Linotype" w:cs="Arial"/>
          <w:bCs/>
        </w:rPr>
      </w:pPr>
      <w:hyperlink r:id="rId9" w:tgtFrame="_blank" w:history="1">
        <w:r w:rsidR="00E3589A" w:rsidRPr="00273733">
          <w:rPr>
            <w:rStyle w:val="Hipervnculo"/>
            <w:rFonts w:ascii="Palatino Linotype" w:hAnsi="Palatino Linotype" w:cs="Arial"/>
            <w:b/>
            <w:bCs/>
            <w:color w:val="auto"/>
            <w:u w:val="none"/>
          </w:rPr>
          <w:t>Respuesta subdirección de Planeación 113.pdf</w:t>
        </w:r>
      </w:hyperlink>
      <w:r w:rsidR="00E3589A" w:rsidRPr="00273733">
        <w:rPr>
          <w:rFonts w:ascii="Palatino Linotype" w:hAnsi="Palatino Linotype" w:cs="Arial"/>
          <w:b/>
          <w:bCs/>
        </w:rPr>
        <w:t>:</w:t>
      </w:r>
      <w:r w:rsidR="00BD6A3F" w:rsidRPr="00273733">
        <w:rPr>
          <w:rFonts w:ascii="Palatino Linotype" w:hAnsi="Palatino Linotype" w:cs="Arial"/>
          <w:b/>
          <w:bCs/>
        </w:rPr>
        <w:t xml:space="preserve"> </w:t>
      </w:r>
      <w:r w:rsidR="00BD6A3F" w:rsidRPr="00273733">
        <w:rPr>
          <w:rFonts w:ascii="Palatino Linotype" w:hAnsi="Palatino Linotype" w:cs="Arial"/>
          <w:bCs/>
        </w:rPr>
        <w:t xml:space="preserve">Oficio suscrito por la Subdirectora de Planeación y Estadística, mediante el cual, </w:t>
      </w:r>
      <w:r w:rsidR="00D825B4" w:rsidRPr="00273733">
        <w:rPr>
          <w:rFonts w:ascii="Palatino Linotype" w:hAnsi="Palatino Linotype" w:cs="Arial"/>
          <w:bCs/>
        </w:rPr>
        <w:t xml:space="preserve">informó que en el marco del ejercicio fiscal 2024, el, Área Coordinadora de Archivos perteneciente a la Secretaría General, actuó como Unidad </w:t>
      </w:r>
      <w:r w:rsidR="000A2C28" w:rsidRPr="00273733">
        <w:rPr>
          <w:rFonts w:ascii="Palatino Linotype" w:hAnsi="Palatino Linotype" w:cs="Arial"/>
          <w:bCs/>
        </w:rPr>
        <w:t>Ejecutora de tres metas presupuestarias, conforme al siguiente desglose: meta, descripción y presupuesto 2024.</w:t>
      </w:r>
    </w:p>
    <w:p w:rsidR="001F7F8E" w:rsidRPr="00273733" w:rsidRDefault="001F7F8E" w:rsidP="00E3589A">
      <w:pPr>
        <w:ind w:left="567" w:right="567"/>
        <w:rPr>
          <w:rFonts w:ascii="Palatino Linotype" w:hAnsi="Palatino Linotype" w:cs="Arial"/>
          <w:b/>
          <w:bCs/>
        </w:rPr>
      </w:pPr>
    </w:p>
    <w:p w:rsidR="00E3589A" w:rsidRPr="00273733" w:rsidRDefault="00637BE5" w:rsidP="00E3589A">
      <w:pPr>
        <w:ind w:left="567" w:right="567"/>
        <w:rPr>
          <w:rFonts w:ascii="Palatino Linotype" w:hAnsi="Palatino Linotype" w:cs="Arial"/>
          <w:b/>
          <w:bCs/>
        </w:rPr>
      </w:pPr>
      <w:hyperlink r:id="rId10" w:tgtFrame="_blank" w:history="1">
        <w:r w:rsidR="00E3589A" w:rsidRPr="00273733">
          <w:rPr>
            <w:rStyle w:val="Hipervnculo"/>
            <w:rFonts w:ascii="Palatino Linotype" w:hAnsi="Palatino Linotype" w:cs="Arial"/>
            <w:b/>
            <w:bCs/>
            <w:color w:val="auto"/>
            <w:u w:val="none"/>
          </w:rPr>
          <w:t>RESOLUCIÓN SOL.113.pdf</w:t>
        </w:r>
      </w:hyperlink>
      <w:r w:rsidR="00E3589A" w:rsidRPr="00273733">
        <w:rPr>
          <w:rFonts w:ascii="Palatino Linotype" w:hAnsi="Palatino Linotype" w:cs="Arial"/>
          <w:b/>
          <w:bCs/>
        </w:rPr>
        <w:t>:</w:t>
      </w:r>
      <w:r w:rsidR="001234D8" w:rsidRPr="00273733">
        <w:rPr>
          <w:rFonts w:ascii="Palatino Linotype" w:hAnsi="Palatino Linotype" w:cs="Arial"/>
          <w:b/>
          <w:bCs/>
        </w:rPr>
        <w:t xml:space="preserve"> </w:t>
      </w:r>
      <w:r w:rsidR="001234D8" w:rsidRPr="00273733">
        <w:rPr>
          <w:rFonts w:ascii="Palatino Linotype" w:hAnsi="Palatino Linotype" w:cs="Arial"/>
          <w:bCs/>
        </w:rPr>
        <w:t>Resolución emitida por los integrantes del Comité de Transparencia en la Décima Segunda Sesión Extraordinaria 2025, donde se aprobó la versión pública de los recibos de nómina requeridos.</w:t>
      </w:r>
    </w:p>
    <w:p w:rsidR="0073707D" w:rsidRPr="00273733" w:rsidRDefault="0073707D" w:rsidP="00E3589A">
      <w:pPr>
        <w:ind w:left="567" w:right="567"/>
        <w:rPr>
          <w:rFonts w:ascii="Palatino Linotype" w:hAnsi="Palatino Linotype" w:cs="Arial"/>
          <w:b/>
          <w:bCs/>
        </w:rPr>
      </w:pPr>
    </w:p>
    <w:p w:rsidR="00E3589A" w:rsidRPr="00273733" w:rsidRDefault="00637BE5" w:rsidP="000A2C28">
      <w:pPr>
        <w:ind w:left="567" w:right="567"/>
        <w:jc w:val="both"/>
        <w:rPr>
          <w:rFonts w:ascii="Palatino Linotype" w:hAnsi="Palatino Linotype" w:cs="Arial"/>
          <w:bCs/>
        </w:rPr>
      </w:pPr>
      <w:hyperlink r:id="rId11" w:tgtFrame="_blank" w:history="1">
        <w:r w:rsidR="00E3589A" w:rsidRPr="00273733">
          <w:rPr>
            <w:rStyle w:val="Hipervnculo"/>
            <w:rFonts w:ascii="Palatino Linotype" w:hAnsi="Palatino Linotype" w:cs="Arial"/>
            <w:b/>
            <w:bCs/>
            <w:color w:val="auto"/>
            <w:u w:val="none"/>
          </w:rPr>
          <w:t>Respuesta 113 ÓRGANO INTERNO DE CONTROL.pdf</w:t>
        </w:r>
      </w:hyperlink>
      <w:r w:rsidR="00E3589A" w:rsidRPr="00273733">
        <w:rPr>
          <w:rFonts w:ascii="Palatino Linotype" w:hAnsi="Palatino Linotype" w:cs="Arial"/>
          <w:b/>
          <w:bCs/>
        </w:rPr>
        <w:t>:</w:t>
      </w:r>
      <w:r w:rsidR="000A2C28" w:rsidRPr="00273733">
        <w:rPr>
          <w:rFonts w:ascii="Palatino Linotype" w:hAnsi="Palatino Linotype" w:cs="Arial"/>
          <w:b/>
          <w:bCs/>
        </w:rPr>
        <w:t xml:space="preserve"> </w:t>
      </w:r>
      <w:r w:rsidR="000A2C28" w:rsidRPr="00273733">
        <w:rPr>
          <w:rFonts w:ascii="Palatino Linotype" w:hAnsi="Palatino Linotype" w:cs="Arial"/>
          <w:bCs/>
        </w:rPr>
        <w:t>Oficio suscrito por el Titular de Órgano Interno de Control, mediante el cual, refirió que la Subdirección de Control y Evaluación y la Unidad Investigadora del Órgano Interno de Control, señalaron que del periodo referido se han realizado dos inspecciones, una en fecha 3 de marzo de 2022 y la otra el 10 de julio de 2024, referentes al cumplimiento de metas (digitalización del archivo general de la Comisión de Derechos Humanos del Estado de México y actualización del sistema de visualización en línea) y a los programas de capacitación en gestión documental y administración de archivos, respectivamente. Asimismo, no han existido infracciones cometidas por los titulares del área coordinadora de archivos del organismo de conformidad con la normatividad vigente aplicable.</w:t>
      </w:r>
    </w:p>
    <w:p w:rsidR="000A2C28" w:rsidRPr="00273733" w:rsidRDefault="000A2C28" w:rsidP="00E3589A">
      <w:pPr>
        <w:ind w:left="567" w:right="567"/>
        <w:rPr>
          <w:rFonts w:ascii="Palatino Linotype" w:hAnsi="Palatino Linotype" w:cs="Arial"/>
          <w:b/>
          <w:bCs/>
        </w:rPr>
      </w:pPr>
    </w:p>
    <w:p w:rsidR="00E3589A" w:rsidRPr="00273733" w:rsidRDefault="00637BE5" w:rsidP="0026022B">
      <w:pPr>
        <w:ind w:left="567" w:right="567"/>
        <w:jc w:val="both"/>
        <w:rPr>
          <w:rFonts w:ascii="Palatino Linotype" w:hAnsi="Palatino Linotype" w:cs="Arial"/>
          <w:b/>
          <w:bCs/>
        </w:rPr>
      </w:pPr>
      <w:hyperlink r:id="rId12" w:tgtFrame="_blank" w:history="1">
        <w:r w:rsidR="00E3589A" w:rsidRPr="00273733">
          <w:rPr>
            <w:rStyle w:val="Hipervnculo"/>
            <w:rFonts w:ascii="Palatino Linotype" w:hAnsi="Palatino Linotype" w:cs="Arial"/>
            <w:b/>
            <w:bCs/>
            <w:color w:val="auto"/>
            <w:u w:val="none"/>
          </w:rPr>
          <w:t>OFICIO DE RESPUESTA SOL. 00113-2025 (1).pdf</w:t>
        </w:r>
      </w:hyperlink>
      <w:r w:rsidR="00E3589A" w:rsidRPr="00273733">
        <w:rPr>
          <w:rFonts w:ascii="Palatino Linotype" w:hAnsi="Palatino Linotype" w:cs="Arial"/>
          <w:b/>
          <w:bCs/>
        </w:rPr>
        <w:t>:</w:t>
      </w:r>
      <w:r w:rsidR="0026022B" w:rsidRPr="00273733">
        <w:rPr>
          <w:rFonts w:ascii="Palatino Linotype" w:hAnsi="Palatino Linotype" w:cs="Arial"/>
          <w:b/>
          <w:bCs/>
        </w:rPr>
        <w:t xml:space="preserve"> </w:t>
      </w:r>
      <w:r w:rsidR="0026022B" w:rsidRPr="00273733">
        <w:rPr>
          <w:rFonts w:ascii="Palatino Linotype" w:hAnsi="Palatino Linotype" w:cs="Arial"/>
          <w:bCs/>
        </w:rPr>
        <w:t>Oficio suscrito por</w:t>
      </w:r>
      <w:r w:rsidR="000A2C28" w:rsidRPr="00273733">
        <w:rPr>
          <w:rFonts w:ascii="Palatino Linotype" w:hAnsi="Palatino Linotype" w:cs="Arial"/>
          <w:bCs/>
        </w:rPr>
        <w:t xml:space="preserve"> la Titular de la Unidad de Transparencia, </w:t>
      </w:r>
      <w:r w:rsidR="0026022B" w:rsidRPr="00273733">
        <w:rPr>
          <w:rFonts w:ascii="Palatino Linotype" w:hAnsi="Palatino Linotype" w:cs="Arial"/>
          <w:bCs/>
        </w:rPr>
        <w:t>por medio del cual, remitir la respuesta del Área Coordinadora de Archivos, Órgano Interno de Control, Subdirección de Planeación y de la Dirección de Recursos Humanos, así como, la resolución que fue emitida por los integrantes del Comité de Transparencia en la Décima Segunda Sesión Extraordinaria 2025, donde se aprueba la versión pública de los recibos de nómina que señaló adjuntar en versión pública.</w:t>
      </w:r>
    </w:p>
    <w:p w:rsidR="000A2C28" w:rsidRPr="00273733" w:rsidRDefault="000A2C28" w:rsidP="0026022B">
      <w:pPr>
        <w:ind w:left="567" w:right="567"/>
        <w:jc w:val="both"/>
        <w:rPr>
          <w:rFonts w:ascii="Palatino Linotype" w:hAnsi="Palatino Linotype" w:cs="Arial"/>
          <w:b/>
          <w:bCs/>
        </w:rPr>
      </w:pPr>
    </w:p>
    <w:p w:rsidR="00E3589A" w:rsidRPr="00273733" w:rsidRDefault="00637BE5" w:rsidP="0026022B">
      <w:pPr>
        <w:ind w:left="567" w:right="567"/>
        <w:jc w:val="both"/>
        <w:rPr>
          <w:rFonts w:ascii="Palatino Linotype" w:hAnsi="Palatino Linotype" w:cs="Arial"/>
          <w:bCs/>
        </w:rPr>
      </w:pPr>
      <w:hyperlink r:id="rId13" w:tgtFrame="_blank" w:history="1">
        <w:r w:rsidR="00E3589A" w:rsidRPr="00273733">
          <w:rPr>
            <w:rStyle w:val="Hipervnculo"/>
            <w:rFonts w:ascii="Palatino Linotype" w:hAnsi="Palatino Linotype" w:cs="Arial"/>
            <w:b/>
            <w:bCs/>
            <w:color w:val="auto"/>
            <w:u w:val="none"/>
          </w:rPr>
          <w:t>OFICIO DE RESPUESTA ÁREA COORDINADORA DE ARCHIVOS 113.pdf</w:t>
        </w:r>
      </w:hyperlink>
      <w:r w:rsidR="00E3589A" w:rsidRPr="00273733">
        <w:rPr>
          <w:rFonts w:ascii="Palatino Linotype" w:hAnsi="Palatino Linotype" w:cs="Arial"/>
          <w:b/>
          <w:bCs/>
        </w:rPr>
        <w:t>:</w:t>
      </w:r>
      <w:r w:rsidR="0026022B" w:rsidRPr="00273733">
        <w:rPr>
          <w:rFonts w:ascii="Palatino Linotype" w:hAnsi="Palatino Linotype" w:cs="Arial"/>
          <w:b/>
          <w:bCs/>
        </w:rPr>
        <w:t xml:space="preserve"> </w:t>
      </w:r>
      <w:r w:rsidR="0026022B" w:rsidRPr="00273733">
        <w:rPr>
          <w:rFonts w:ascii="Palatino Linotype" w:hAnsi="Palatino Linotype" w:cs="Arial"/>
          <w:bCs/>
        </w:rPr>
        <w:t xml:space="preserve">Oficio suscrito por el Titular del Área Coordinadora de Archivos, mediante el cual, </w:t>
      </w:r>
      <w:r w:rsidR="008D77A8" w:rsidRPr="00273733">
        <w:rPr>
          <w:rFonts w:ascii="Palatino Linotype" w:hAnsi="Palatino Linotype" w:cs="Arial"/>
          <w:bCs/>
        </w:rPr>
        <w:t xml:space="preserve">relativo a “los inventarios documentales al cierre del ejercicio 2024”, informó adjuntar los inventarios documentales, agrupados o integrados en un total de 195 transferencias documentales remitidas al archivos de concentración correspondientes al ejercicio 2024, mismas que comprenden los inventarios </w:t>
      </w:r>
      <w:r w:rsidR="008D77A8" w:rsidRPr="00273733">
        <w:rPr>
          <w:rFonts w:ascii="Palatino Linotype" w:hAnsi="Palatino Linotype" w:cs="Arial"/>
          <w:bCs/>
        </w:rPr>
        <w:lastRenderedPageBreak/>
        <w:t>generados por las visitadurías como por las distintas Unidade</w:t>
      </w:r>
      <w:r w:rsidR="00AB5D5F" w:rsidRPr="00273733">
        <w:rPr>
          <w:rFonts w:ascii="Palatino Linotype" w:hAnsi="Palatino Linotype" w:cs="Arial"/>
          <w:bCs/>
        </w:rPr>
        <w:t>s Administrativas. R</w:t>
      </w:r>
      <w:r w:rsidR="008D77A8" w:rsidRPr="00273733">
        <w:rPr>
          <w:rFonts w:ascii="Palatino Linotype" w:hAnsi="Palatino Linotype" w:cs="Arial"/>
          <w:bCs/>
        </w:rPr>
        <w:t>eferente a “los instrumentos de control archivísticos vigentes y en su versión final del sujeto obligado”, proporcionó un enlace electrónico (en formato cerrado), en donde señaló podría consultarse la información. Respecto al “Programa Anual de Desarrollo Archivístico correspondiente a los ejercicios 2023, 2024 y 2025, y conforme a la normatividad vigente aplicable”, proporcionó un enlace electrónico (en formato cerrado), en donde señaló podría consultarse la información. Finalmente, respecto a las “acciones relevantes por destacar del actual titular de la unidad administrativa…”, refirió que, dichas acciones se encuentran reflejadas en las metas establecidas dentro de la Planeación Institucional 2024, así como en el Programa Anual de Desarrollo Archivístico (PADA) 2024</w:t>
      </w:r>
      <w:r w:rsidR="00AB5D5F" w:rsidRPr="00273733">
        <w:rPr>
          <w:rFonts w:ascii="Palatino Linotype" w:hAnsi="Palatino Linotype" w:cs="Arial"/>
          <w:bCs/>
        </w:rPr>
        <w:t xml:space="preserve">, mismas que no solo evidencian el compromiso del Titular con el cumplimiento de los objetivos estratégicos de la Comisión, sino que representa iniciativas de alto impacto orientadas al fortalecimiento sustantivo de las funciones archivísticas </w:t>
      </w:r>
    </w:p>
    <w:p w:rsidR="0026022B" w:rsidRPr="00273733" w:rsidRDefault="0026022B" w:rsidP="00AB5D5F">
      <w:pPr>
        <w:ind w:right="567"/>
        <w:jc w:val="both"/>
        <w:rPr>
          <w:rFonts w:ascii="Palatino Linotype" w:hAnsi="Palatino Linotype" w:cs="Arial"/>
          <w:b/>
          <w:bCs/>
        </w:rPr>
      </w:pPr>
    </w:p>
    <w:p w:rsidR="00E3589A" w:rsidRPr="00273733" w:rsidRDefault="00637BE5" w:rsidP="0026022B">
      <w:pPr>
        <w:ind w:left="567" w:right="567"/>
        <w:jc w:val="both"/>
        <w:rPr>
          <w:rFonts w:ascii="Palatino Linotype" w:hAnsi="Palatino Linotype" w:cs="Arial"/>
          <w:b/>
          <w:bCs/>
        </w:rPr>
      </w:pPr>
      <w:hyperlink r:id="rId14" w:tgtFrame="_blank" w:history="1">
        <w:r w:rsidR="00E3589A" w:rsidRPr="00273733">
          <w:rPr>
            <w:rStyle w:val="Hipervnculo"/>
            <w:rFonts w:ascii="Palatino Linotype" w:hAnsi="Palatino Linotype" w:cs="Arial"/>
            <w:b/>
            <w:bCs/>
            <w:color w:val="auto"/>
            <w:u w:val="none"/>
          </w:rPr>
          <w:t>SOL INFO 113 RH.pdf</w:t>
        </w:r>
      </w:hyperlink>
      <w:r w:rsidR="00E3589A" w:rsidRPr="00273733">
        <w:rPr>
          <w:rFonts w:ascii="Palatino Linotype" w:hAnsi="Palatino Linotype" w:cs="Arial"/>
          <w:b/>
          <w:bCs/>
        </w:rPr>
        <w:t>:</w:t>
      </w:r>
      <w:r w:rsidR="0026022B" w:rsidRPr="00273733">
        <w:rPr>
          <w:rFonts w:ascii="Palatino Linotype" w:hAnsi="Palatino Linotype" w:cs="Arial"/>
          <w:b/>
          <w:bCs/>
        </w:rPr>
        <w:t xml:space="preserve"> </w:t>
      </w:r>
      <w:r w:rsidR="0026022B" w:rsidRPr="00273733">
        <w:rPr>
          <w:rFonts w:ascii="Palatino Linotype" w:hAnsi="Palatino Linotype" w:cs="Arial"/>
          <w:bCs/>
        </w:rPr>
        <w:t xml:space="preserve">Oficio suscrito por el Director de Recursos Humanos, mediante el cual, </w:t>
      </w:r>
      <w:r w:rsidR="001234D8" w:rsidRPr="00273733">
        <w:rPr>
          <w:rFonts w:ascii="Palatino Linotype" w:hAnsi="Palatino Linotype" w:cs="Arial"/>
          <w:bCs/>
        </w:rPr>
        <w:t>refirió proporcionar 231 comprobantes de percepciones y deducciones correspondientes a 2023, 2024 y 2025 del personal adscrito al Área Coordinadora de Archivos, en versión pública.</w:t>
      </w:r>
    </w:p>
    <w:p w:rsidR="0026022B" w:rsidRPr="00273733" w:rsidRDefault="0026022B" w:rsidP="0026022B">
      <w:pPr>
        <w:ind w:left="567" w:right="567"/>
        <w:jc w:val="both"/>
        <w:rPr>
          <w:rFonts w:ascii="Palatino Linotype" w:hAnsi="Palatino Linotype" w:cs="Arial"/>
          <w:b/>
          <w:bCs/>
        </w:rPr>
      </w:pPr>
    </w:p>
    <w:p w:rsidR="00AB5D5F" w:rsidRPr="00273733" w:rsidRDefault="00637BE5" w:rsidP="00AB5D5F">
      <w:pPr>
        <w:ind w:left="567" w:right="567"/>
        <w:jc w:val="both"/>
        <w:rPr>
          <w:rFonts w:ascii="Palatino Linotype" w:hAnsi="Palatino Linotype"/>
        </w:rPr>
      </w:pPr>
      <w:hyperlink r:id="rId15" w:tgtFrame="_blank" w:history="1">
        <w:r w:rsidR="00E3589A" w:rsidRPr="00273733">
          <w:rPr>
            <w:rStyle w:val="Hipervnculo"/>
            <w:rFonts w:ascii="Palatino Linotype" w:hAnsi="Palatino Linotype" w:cs="Arial"/>
            <w:b/>
            <w:bCs/>
            <w:color w:val="auto"/>
            <w:u w:val="none"/>
          </w:rPr>
          <w:t>RESPUESTA ÁREA C DE ARCH..rar</w:t>
        </w:r>
      </w:hyperlink>
      <w:r w:rsidR="00E3589A" w:rsidRPr="00273733">
        <w:rPr>
          <w:rFonts w:ascii="Palatino Linotype" w:hAnsi="Palatino Linotype"/>
        </w:rPr>
        <w:t>:</w:t>
      </w:r>
      <w:r w:rsidR="00AB5D5F" w:rsidRPr="00273733">
        <w:rPr>
          <w:rFonts w:ascii="Palatino Linotype" w:hAnsi="Palatino Linotype"/>
        </w:rPr>
        <w:t xml:space="preserve"> Carpeta electrónica integrada por los </w:t>
      </w:r>
      <w:r w:rsidR="00AB5D5F" w:rsidRPr="00273733">
        <w:rPr>
          <w:rFonts w:ascii="Palatino Linotype" w:hAnsi="Palatino Linotype" w:cs="Arial"/>
          <w:bCs/>
        </w:rPr>
        <w:t>inventarios documentales, agrupados en un total de 195 transferencias documentales remitidas al archivos de concentración correspondientes al ejercicio 2024, mismas que comprenden los inventarios generados por las visitadurías como por las distintas Unidades Administrativas</w:t>
      </w:r>
    </w:p>
    <w:p w:rsidR="00B93242" w:rsidRPr="00273733" w:rsidRDefault="00B93242">
      <w:pPr>
        <w:ind w:right="-592"/>
        <w:jc w:val="both"/>
        <w:rPr>
          <w:rFonts w:ascii="Palatino Linotype" w:eastAsia="Palatino Linotype" w:hAnsi="Palatino Linotype" w:cs="Palatino Linotype"/>
          <w:b/>
          <w:bCs/>
        </w:rPr>
      </w:pPr>
    </w:p>
    <w:p w:rsidR="003B25EF" w:rsidRPr="00273733" w:rsidRDefault="002367BD">
      <w:pPr>
        <w:numPr>
          <w:ilvl w:val="0"/>
          <w:numId w:val="2"/>
        </w:numPr>
        <w:spacing w:line="360" w:lineRule="auto"/>
        <w:ind w:left="0" w:right="1" w:firstLine="0"/>
        <w:jc w:val="both"/>
        <w:rPr>
          <w:rFonts w:ascii="Palatino Linotype" w:eastAsia="Palatino Linotype" w:hAnsi="Palatino Linotype" w:cs="Palatino Linotype"/>
        </w:rPr>
      </w:pPr>
      <w:r w:rsidRPr="00273733">
        <w:rPr>
          <w:rFonts w:ascii="Palatino Linotype" w:eastAsia="Palatino Linotype" w:hAnsi="Palatino Linotype" w:cs="Palatino Linotype"/>
        </w:rPr>
        <w:t xml:space="preserve">El </w:t>
      </w:r>
      <w:r w:rsidR="00E3589A" w:rsidRPr="00273733">
        <w:rPr>
          <w:rFonts w:ascii="Palatino Linotype" w:eastAsia="Palatino Linotype" w:hAnsi="Palatino Linotype" w:cs="Palatino Linotype"/>
        </w:rPr>
        <w:t>diecisiete de junio</w:t>
      </w:r>
      <w:r w:rsidRPr="00273733">
        <w:rPr>
          <w:rFonts w:ascii="Palatino Linotype" w:eastAsia="Palatino Linotype" w:hAnsi="Palatino Linotype" w:cs="Palatino Linotype"/>
        </w:rPr>
        <w:t xml:space="preserve"> de dos mil veinticinco,</w:t>
      </w:r>
      <w:r w:rsidRPr="00273733">
        <w:rPr>
          <w:rFonts w:ascii="Palatino Linotype" w:eastAsia="Palatino Linotype" w:hAnsi="Palatino Linotype" w:cs="Palatino Linotype"/>
          <w:b/>
          <w:bCs/>
        </w:rPr>
        <w:t xml:space="preserve"> </w:t>
      </w:r>
      <w:r w:rsidRPr="00273733">
        <w:rPr>
          <w:rFonts w:ascii="Palatino Linotype" w:eastAsia="Palatino Linotype" w:hAnsi="Palatino Linotype" w:cs="Palatino Linotype"/>
        </w:rPr>
        <w:t xml:space="preserve">el </w:t>
      </w:r>
      <w:r w:rsidRPr="00273733">
        <w:rPr>
          <w:rFonts w:ascii="Palatino Linotype" w:eastAsia="Palatino Linotype" w:hAnsi="Palatino Linotype" w:cs="Palatino Linotype"/>
          <w:b/>
          <w:bCs/>
        </w:rPr>
        <w:t>RECURRENTE</w:t>
      </w:r>
      <w:r w:rsidRPr="00273733">
        <w:rPr>
          <w:rFonts w:ascii="Palatino Linotype" w:eastAsia="Palatino Linotype" w:hAnsi="Palatino Linotype" w:cs="Palatino Linotype"/>
        </w:rPr>
        <w:t xml:space="preserve"> interpuso el recurso de revisión en contra de la respuesta, señalando como:</w:t>
      </w:r>
    </w:p>
    <w:p w:rsidR="003B25EF" w:rsidRPr="00273733" w:rsidRDefault="003B25EF">
      <w:pPr>
        <w:ind w:right="1"/>
        <w:jc w:val="both"/>
        <w:rPr>
          <w:rFonts w:ascii="Palatino Linotype" w:eastAsia="Palatino Linotype" w:hAnsi="Palatino Linotype" w:cs="Palatino Linotype"/>
        </w:rPr>
      </w:pPr>
    </w:p>
    <w:p w:rsidR="003B25EF" w:rsidRPr="00273733" w:rsidRDefault="00273733" w:rsidP="00273733">
      <w:pPr>
        <w:pStyle w:val="Prrafodelista"/>
        <w:numPr>
          <w:ilvl w:val="0"/>
          <w:numId w:val="20"/>
        </w:numPr>
        <w:ind w:left="709" w:right="567"/>
        <w:jc w:val="both"/>
        <w:rPr>
          <w:rFonts w:ascii="Palatino Linotype" w:eastAsia="Palatino Linotype" w:hAnsi="Palatino Linotype" w:cs="Palatino Linotype"/>
          <w:i/>
          <w:iCs/>
          <w:sz w:val="24"/>
        </w:rPr>
      </w:pPr>
      <w:r w:rsidRPr="00273733">
        <w:rPr>
          <w:rFonts w:ascii="Palatino Linotype" w:eastAsia="Palatino Linotype" w:hAnsi="Palatino Linotype" w:cs="Palatino Linotype"/>
          <w:b/>
          <w:bCs/>
          <w:sz w:val="24"/>
        </w:rPr>
        <w:t>ACTO IMPUGNADO</w:t>
      </w:r>
      <w:r w:rsidR="002367BD" w:rsidRPr="00273733">
        <w:rPr>
          <w:rFonts w:ascii="Palatino Linotype" w:eastAsia="Palatino Linotype" w:hAnsi="Palatino Linotype" w:cs="Palatino Linotype"/>
          <w:b/>
          <w:bCs/>
          <w:i/>
          <w:iCs/>
          <w:sz w:val="24"/>
        </w:rPr>
        <w:t>:</w:t>
      </w:r>
      <w:r w:rsidR="002367BD" w:rsidRPr="00273733">
        <w:rPr>
          <w:rFonts w:ascii="Palatino Linotype" w:eastAsia="Palatino Linotype" w:hAnsi="Palatino Linotype" w:cs="Palatino Linotype"/>
          <w:i/>
          <w:iCs/>
          <w:color w:val="000000"/>
          <w:sz w:val="24"/>
        </w:rPr>
        <w:t xml:space="preserve"> “</w:t>
      </w:r>
      <w:r w:rsidR="00E3589A" w:rsidRPr="00273733">
        <w:rPr>
          <w:rFonts w:ascii="Palatino Linotype" w:hAnsi="Palatino Linotype"/>
          <w:i/>
          <w:color w:val="000000"/>
          <w:sz w:val="24"/>
        </w:rPr>
        <w:t xml:space="preserve">A QUIEN CORRESPONDA UNA VEZ RECIBIDA LA INFORMACIÓN CORRESPONDIENTE A LA SOLICITUD 00113/CODHEM/IP/2025, ME RESULTA INCOMPRENSIBLE COMO UNA INSTITUCIÓN QUE VELA POR LOS DERECHOS HUMANOS DE LA CIUDADANIA, POR EL DESCONOCIMIENTO DE LA NORMATIVA VIGENTE </w:t>
      </w:r>
      <w:r w:rsidR="00E3589A" w:rsidRPr="00273733">
        <w:rPr>
          <w:rFonts w:ascii="Palatino Linotype" w:hAnsi="Palatino Linotype"/>
          <w:i/>
          <w:color w:val="000000"/>
          <w:sz w:val="24"/>
        </w:rPr>
        <w:lastRenderedPageBreak/>
        <w:t>SEA PARTIDARIA DE NEGLIGENCIA Y FALTA DE PROFESIONALISMO EN SUS ÁREAS ADMINISTRATIVAS.</w:t>
      </w:r>
      <w:r w:rsidR="002367BD" w:rsidRPr="00273733">
        <w:rPr>
          <w:rFonts w:ascii="Palatino Linotype" w:eastAsia="Palatino Linotype" w:hAnsi="Palatino Linotype" w:cs="Palatino Linotype"/>
          <w:i/>
          <w:iCs/>
          <w:color w:val="000000"/>
          <w:sz w:val="24"/>
        </w:rPr>
        <w:t>” (Sic)</w:t>
      </w:r>
    </w:p>
    <w:p w:rsidR="003B25EF" w:rsidRPr="00273733" w:rsidRDefault="003B25EF">
      <w:pPr>
        <w:ind w:left="567" w:right="567"/>
        <w:jc w:val="both"/>
        <w:rPr>
          <w:rFonts w:ascii="Palatino Linotype" w:eastAsia="Palatino Linotype" w:hAnsi="Palatino Linotype" w:cs="Palatino Linotype"/>
        </w:rPr>
      </w:pPr>
    </w:p>
    <w:p w:rsidR="003B25EF" w:rsidRPr="00273733" w:rsidRDefault="00273733" w:rsidP="00404839">
      <w:pPr>
        <w:pStyle w:val="Prrafodelista"/>
        <w:numPr>
          <w:ilvl w:val="0"/>
          <w:numId w:val="20"/>
        </w:numPr>
        <w:ind w:left="709" w:right="567"/>
        <w:rPr>
          <w:rFonts w:ascii="Palatino Linotype" w:eastAsia="Palatino Linotype" w:hAnsi="Palatino Linotype" w:cs="Palatino Linotype"/>
          <w:b/>
          <w:i/>
          <w:iCs/>
          <w:color w:val="000000"/>
          <w:sz w:val="24"/>
        </w:rPr>
      </w:pPr>
      <w:r w:rsidRPr="00273733">
        <w:rPr>
          <w:rFonts w:ascii="Palatino Linotype" w:eastAsia="Palatino Linotype" w:hAnsi="Palatino Linotype" w:cs="Palatino Linotype"/>
          <w:b/>
          <w:bCs/>
          <w:sz w:val="24"/>
        </w:rPr>
        <w:t xml:space="preserve">RAZONES O MOTIVOS DE INCONFORMIDAD: </w:t>
      </w:r>
      <w:r w:rsidR="002367BD" w:rsidRPr="00273733">
        <w:rPr>
          <w:rFonts w:ascii="Palatino Linotype" w:eastAsia="Palatino Linotype" w:hAnsi="Palatino Linotype" w:cs="Palatino Linotype"/>
          <w:i/>
          <w:iCs/>
          <w:color w:val="000000"/>
          <w:sz w:val="24"/>
        </w:rPr>
        <w:t>“</w:t>
      </w:r>
      <w:r w:rsidR="00E3589A" w:rsidRPr="00273733">
        <w:rPr>
          <w:rFonts w:ascii="Palatino Linotype" w:hAnsi="Palatino Linotype"/>
          <w:i/>
          <w:color w:val="000000"/>
          <w:sz w:val="24"/>
        </w:rPr>
        <w:t xml:space="preserve">https://infoem2.opomez.org.mx/#/info-fracci%C3%B3n/80/85/12 </w:t>
      </w:r>
      <w:r w:rsidR="00E3589A" w:rsidRPr="00273733">
        <w:rPr>
          <w:rFonts w:ascii="Palatino Linotype" w:hAnsi="Palatino Linotype"/>
          <w:b/>
          <w:i/>
          <w:color w:val="000000"/>
          <w:sz w:val="24"/>
        </w:rPr>
        <w:t>La liga electrónica no permite el acceso para visualizar los instrumentos de control archivístico vigentes y en su versión final.</w:t>
      </w:r>
      <w:r w:rsidR="00E3589A" w:rsidRPr="00273733">
        <w:rPr>
          <w:rFonts w:ascii="Palatino Linotype" w:hAnsi="Palatino Linotype"/>
          <w:i/>
          <w:color w:val="000000"/>
          <w:sz w:val="24"/>
        </w:rPr>
        <w:t xml:space="preserve"> Conforme a las inspecciones realizadas, resulta pertinente considerar el cumplimiento normativo en materia archivística a través de lo establecido en la Ley General de Archivos y la Ley de Archivos y Administración de Documentos del Estado de México y sus Municipios. Lo mas agraviante resulta en el presupuesto asignado para "Fortalecer el Sistema Institucional de Archivo y el Grupo Interdisciplinario de la CODHEM para la administración de los archivos y gestión documental". Debido a que en el </w:t>
      </w:r>
      <w:r w:rsidR="00AB5D5F" w:rsidRPr="00273733">
        <w:rPr>
          <w:rFonts w:ascii="Palatino Linotype" w:hAnsi="Palatino Linotype"/>
          <w:i/>
          <w:color w:val="000000"/>
          <w:sz w:val="24"/>
        </w:rPr>
        <w:t>artículo</w:t>
      </w:r>
      <w:r w:rsidR="00E3589A" w:rsidRPr="00273733">
        <w:rPr>
          <w:rFonts w:ascii="Palatino Linotype" w:hAnsi="Palatino Linotype"/>
          <w:i/>
          <w:color w:val="000000"/>
          <w:sz w:val="24"/>
        </w:rPr>
        <w:t xml:space="preserve"> 20 se menciona que "El Sistema Institucional es el conjunto de registros, procesos, procedimientos, criterios, estructuras, herramientas y funciones que desarrolla cada sujeto obligado y sustenta la actividad archivística, de acuerdo con los procesos de gestión documental". </w:t>
      </w:r>
      <w:r w:rsidR="00E3589A" w:rsidRPr="00273733">
        <w:rPr>
          <w:rFonts w:ascii="Palatino Linotype" w:hAnsi="Palatino Linotype"/>
          <w:b/>
          <w:i/>
          <w:color w:val="000000"/>
          <w:sz w:val="24"/>
        </w:rPr>
        <w:t>¿Qué elementos comprobatorios existen para transparentar los $6,655,947.42 del presupuesto asignado? ¿licitaciones, contratos pedidos, personal?</w:t>
      </w:r>
      <w:r w:rsidR="002367BD" w:rsidRPr="00273733">
        <w:rPr>
          <w:rFonts w:ascii="Palatino Linotype" w:eastAsia="Palatino Linotype" w:hAnsi="Palatino Linotype" w:cs="Palatino Linotype"/>
          <w:b/>
          <w:i/>
          <w:iCs/>
          <w:color w:val="000000"/>
          <w:sz w:val="24"/>
        </w:rPr>
        <w:t>” (Sic)</w:t>
      </w:r>
    </w:p>
    <w:p w:rsidR="003B25EF" w:rsidRPr="00273733" w:rsidRDefault="003B25EF" w:rsidP="00273733">
      <w:pPr>
        <w:ind w:right="568"/>
        <w:jc w:val="both"/>
        <w:rPr>
          <w:rFonts w:ascii="Palatino Linotype" w:eastAsia="Palatino Linotype" w:hAnsi="Palatino Linotype" w:cs="Palatino Linotype"/>
          <w:b/>
          <w:bCs/>
        </w:rPr>
      </w:pPr>
    </w:p>
    <w:p w:rsidR="003B25EF" w:rsidRPr="00273733" w:rsidRDefault="002367BD">
      <w:pPr>
        <w:numPr>
          <w:ilvl w:val="0"/>
          <w:numId w:val="2"/>
        </w:numPr>
        <w:spacing w:line="360" w:lineRule="auto"/>
        <w:ind w:left="0" w:right="1" w:firstLine="0"/>
        <w:jc w:val="both"/>
        <w:rPr>
          <w:rFonts w:ascii="Palatino Linotype" w:eastAsia="Palatino Linotype" w:hAnsi="Palatino Linotype" w:cs="Palatino Linotype"/>
        </w:rPr>
      </w:pPr>
      <w:r w:rsidRPr="00273733">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w:t>
      </w:r>
      <w:r w:rsidRPr="00273733">
        <w:rPr>
          <w:rFonts w:ascii="Palatino Linotype" w:eastAsia="Palatino Linotype" w:hAnsi="Palatino Linotype" w:cs="Palatino Linotype"/>
          <w:b/>
          <w:bCs/>
        </w:rPr>
        <w:t xml:space="preserve">Ley de Transparencia y Acceso a la Información Pública del Estado de México y Municipios </w:t>
      </w:r>
      <w:r w:rsidRPr="00273733">
        <w:rPr>
          <w:rFonts w:ascii="Palatino Linotype" w:eastAsia="Palatino Linotype" w:hAnsi="Palatino Linotype" w:cs="Palatino Linotype"/>
        </w:rPr>
        <w:t xml:space="preserve">se turna a la </w:t>
      </w:r>
      <w:r w:rsidRPr="00273733">
        <w:rPr>
          <w:rFonts w:ascii="Palatino Linotype" w:eastAsia="Palatino Linotype" w:hAnsi="Palatino Linotype" w:cs="Palatino Linotype"/>
          <w:b/>
          <w:bCs/>
        </w:rPr>
        <w:t xml:space="preserve">Comisionada María del Rosario Mejía Ayala, </w:t>
      </w:r>
      <w:r w:rsidRPr="00273733">
        <w:rPr>
          <w:rFonts w:ascii="Palatino Linotype" w:eastAsia="Palatino Linotype" w:hAnsi="Palatino Linotype" w:cs="Palatino Linotype"/>
        </w:rPr>
        <w:t xml:space="preserve">para su análisis. </w:t>
      </w:r>
    </w:p>
    <w:p w:rsidR="003B25EF" w:rsidRPr="00273733" w:rsidRDefault="003B25EF">
      <w:pPr>
        <w:ind w:right="-592"/>
        <w:jc w:val="both"/>
        <w:rPr>
          <w:rFonts w:ascii="Palatino Linotype" w:eastAsia="Palatino Linotype" w:hAnsi="Palatino Linotype" w:cs="Palatino Linotype"/>
        </w:rPr>
      </w:pPr>
    </w:p>
    <w:p w:rsidR="003B25EF" w:rsidRPr="00273733" w:rsidRDefault="002367BD" w:rsidP="001234D8">
      <w:pPr>
        <w:numPr>
          <w:ilvl w:val="0"/>
          <w:numId w:val="2"/>
        </w:numPr>
        <w:spacing w:line="360" w:lineRule="auto"/>
        <w:ind w:left="0" w:right="1" w:firstLine="0"/>
        <w:jc w:val="both"/>
        <w:rPr>
          <w:rFonts w:ascii="Palatino Linotype" w:eastAsia="Palatino Linotype" w:hAnsi="Palatino Linotype" w:cs="Palatino Linotype"/>
          <w:color w:val="000000"/>
        </w:rPr>
      </w:pPr>
      <w:r w:rsidRPr="00273733">
        <w:rPr>
          <w:rFonts w:ascii="Palatino Linotype" w:eastAsia="Palatino Linotype" w:hAnsi="Palatino Linotype" w:cs="Palatino Linotype"/>
        </w:rPr>
        <w:t xml:space="preserve">La </w:t>
      </w:r>
      <w:r w:rsidR="00273733">
        <w:rPr>
          <w:rFonts w:ascii="Palatino Linotype" w:eastAsia="Palatino Linotype" w:hAnsi="Palatino Linotype" w:cs="Palatino Linotype"/>
        </w:rPr>
        <w:t>Comisionada p</w:t>
      </w:r>
      <w:r w:rsidRPr="00273733">
        <w:rPr>
          <w:rFonts w:ascii="Palatino Linotype" w:eastAsia="Palatino Linotype" w:hAnsi="Palatino Linotype" w:cs="Palatino Linotype"/>
        </w:rPr>
        <w:t>onente con fundamento en lo dispuesto por el artículo 185 fracción II de la ley de la materia, a trav</w:t>
      </w:r>
      <w:r w:rsidR="00B93242" w:rsidRPr="00273733">
        <w:rPr>
          <w:rFonts w:ascii="Palatino Linotype" w:eastAsia="Palatino Linotype" w:hAnsi="Palatino Linotype" w:cs="Palatino Linotype"/>
        </w:rPr>
        <w:t xml:space="preserve">és del acuerdo de admisión del </w:t>
      </w:r>
      <w:r w:rsidR="00E3589A" w:rsidRPr="00273733">
        <w:rPr>
          <w:rFonts w:ascii="Palatino Linotype" w:eastAsia="Palatino Linotype" w:hAnsi="Palatino Linotype" w:cs="Palatino Linotype"/>
        </w:rPr>
        <w:t>veinte de junio</w:t>
      </w:r>
      <w:r w:rsidRPr="00273733">
        <w:rPr>
          <w:rFonts w:ascii="Palatino Linotype" w:eastAsia="Palatino Linotype" w:hAnsi="Palatino Linotype" w:cs="Palatino Linotype"/>
        </w:rPr>
        <w:t xml:space="preserve"> de dos mil veinticinco, puso a disposición de las partes el expediente electrónico vía </w:t>
      </w:r>
      <w:r w:rsidRPr="00273733">
        <w:rPr>
          <w:rFonts w:ascii="Palatino Linotype" w:eastAsia="Palatino Linotype" w:hAnsi="Palatino Linotype" w:cs="Palatino Linotype"/>
          <w:b/>
          <w:bCs/>
        </w:rPr>
        <w:t xml:space="preserve">SAIMEX </w:t>
      </w:r>
      <w:r w:rsidRPr="00273733">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sidRPr="00273733">
        <w:rPr>
          <w:rFonts w:ascii="Palatino Linotype" w:eastAsia="Palatino Linotype" w:hAnsi="Palatino Linotype" w:cs="Palatino Linotype"/>
          <w:b/>
          <w:bCs/>
        </w:rPr>
        <w:t>SUJETO OBLIGADO</w:t>
      </w:r>
      <w:r w:rsidRPr="00273733">
        <w:rPr>
          <w:rFonts w:ascii="Palatino Linotype" w:eastAsia="Palatino Linotype" w:hAnsi="Palatino Linotype" w:cs="Palatino Linotype"/>
        </w:rPr>
        <w:t xml:space="preserve"> presentará el informe justificado procedente. </w:t>
      </w:r>
    </w:p>
    <w:p w:rsidR="00AB5D5F" w:rsidRPr="00273733" w:rsidRDefault="00AB5D5F" w:rsidP="00AB5D5F">
      <w:pPr>
        <w:spacing w:line="360" w:lineRule="auto"/>
        <w:ind w:right="1"/>
        <w:jc w:val="both"/>
        <w:rPr>
          <w:rFonts w:ascii="Palatino Linotype" w:eastAsia="Palatino Linotype" w:hAnsi="Palatino Linotype" w:cs="Palatino Linotype"/>
          <w:color w:val="000000"/>
        </w:rPr>
      </w:pPr>
    </w:p>
    <w:p w:rsidR="00B93242" w:rsidRPr="00273733" w:rsidRDefault="002367BD">
      <w:pPr>
        <w:numPr>
          <w:ilvl w:val="0"/>
          <w:numId w:val="2"/>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color w:val="000000"/>
        </w:rPr>
      </w:pPr>
      <w:r w:rsidRPr="00273733">
        <w:rPr>
          <w:rFonts w:ascii="Palatino Linotype" w:eastAsia="Palatino Linotype" w:hAnsi="Palatino Linotype" w:cs="Palatino Linotype"/>
        </w:rPr>
        <w:lastRenderedPageBreak/>
        <w:t xml:space="preserve">El </w:t>
      </w:r>
      <w:r w:rsidR="00E3589A" w:rsidRPr="00273733">
        <w:rPr>
          <w:rFonts w:ascii="Palatino Linotype" w:eastAsia="Palatino Linotype" w:hAnsi="Palatino Linotype" w:cs="Palatino Linotype"/>
        </w:rPr>
        <w:t>treinta</w:t>
      </w:r>
      <w:r w:rsidR="00B93242" w:rsidRPr="00273733">
        <w:rPr>
          <w:rFonts w:ascii="Palatino Linotype" w:eastAsia="Palatino Linotype" w:hAnsi="Palatino Linotype" w:cs="Palatino Linotype"/>
        </w:rPr>
        <w:t xml:space="preserve"> de junio de dos mil veinticinco, el </w:t>
      </w:r>
      <w:r w:rsidRPr="00273733">
        <w:rPr>
          <w:rFonts w:ascii="Palatino Linotype" w:eastAsia="Palatino Linotype" w:hAnsi="Palatino Linotype" w:cs="Palatino Linotype"/>
          <w:b/>
          <w:bCs/>
        </w:rPr>
        <w:t>SUJETO OBLIGADO</w:t>
      </w:r>
      <w:r w:rsidRPr="00273733">
        <w:rPr>
          <w:rFonts w:ascii="Palatino Linotype" w:eastAsia="Palatino Linotype" w:hAnsi="Palatino Linotype" w:cs="Palatino Linotype"/>
        </w:rPr>
        <w:t xml:space="preserve"> </w:t>
      </w:r>
      <w:r w:rsidR="00B93242" w:rsidRPr="00273733">
        <w:rPr>
          <w:rFonts w:ascii="Palatino Linotype" w:eastAsia="Palatino Linotype" w:hAnsi="Palatino Linotype" w:cs="Palatino Linotype"/>
        </w:rPr>
        <w:t>rindió</w:t>
      </w:r>
      <w:r w:rsidRPr="00273733">
        <w:rPr>
          <w:rFonts w:ascii="Palatino Linotype" w:eastAsia="Palatino Linotype" w:hAnsi="Palatino Linotype" w:cs="Palatino Linotype"/>
        </w:rPr>
        <w:t xml:space="preserve"> el inform</w:t>
      </w:r>
      <w:r w:rsidR="00B93242" w:rsidRPr="00273733">
        <w:rPr>
          <w:rFonts w:ascii="Palatino Linotype" w:eastAsia="Palatino Linotype" w:hAnsi="Palatino Linotype" w:cs="Palatino Linotype"/>
        </w:rPr>
        <w:t xml:space="preserve">e justificado correspondiente, </w:t>
      </w:r>
      <w:r w:rsidR="00E3589A" w:rsidRPr="00273733">
        <w:rPr>
          <w:rFonts w:ascii="Palatino Linotype" w:eastAsia="Palatino Linotype" w:hAnsi="Palatino Linotype" w:cs="Palatino Linotype"/>
        </w:rPr>
        <w:t>mediante los siguientes archivos electrónicos:</w:t>
      </w:r>
    </w:p>
    <w:p w:rsidR="00C51BE4" w:rsidRPr="00273733" w:rsidRDefault="00E3589A" w:rsidP="00AB5D5F">
      <w:pPr>
        <w:pBdr>
          <w:top w:val="nil"/>
          <w:left w:val="nil"/>
          <w:bottom w:val="nil"/>
          <w:right w:val="nil"/>
          <w:between w:val="nil"/>
        </w:pBdr>
        <w:ind w:left="567" w:right="567"/>
        <w:jc w:val="both"/>
        <w:rPr>
          <w:rFonts w:ascii="Palatino Linotype" w:eastAsia="Palatino Linotype" w:hAnsi="Palatino Linotype" w:cs="Palatino Linotype"/>
          <w:b/>
          <w:color w:val="000000"/>
        </w:rPr>
      </w:pPr>
      <w:r w:rsidRPr="00273733">
        <w:rPr>
          <w:rFonts w:ascii="Palatino Linotype" w:eastAsia="Palatino Linotype" w:hAnsi="Palatino Linotype" w:cs="Palatino Linotype"/>
          <w:b/>
          <w:color w:val="000000"/>
        </w:rPr>
        <w:t>Informe Justificado 07308-2025.pdf:</w:t>
      </w:r>
      <w:r w:rsidR="00C51BE4" w:rsidRPr="00273733">
        <w:rPr>
          <w:rFonts w:ascii="Palatino Linotype" w:eastAsia="Palatino Linotype" w:hAnsi="Palatino Linotype" w:cs="Palatino Linotype"/>
          <w:b/>
          <w:color w:val="000000"/>
        </w:rPr>
        <w:t xml:space="preserve"> </w:t>
      </w:r>
      <w:r w:rsidR="00C51BE4" w:rsidRPr="00273733">
        <w:rPr>
          <w:rFonts w:ascii="Palatino Linotype" w:eastAsia="Palatino Linotype" w:hAnsi="Palatino Linotype" w:cs="Palatino Linotype"/>
          <w:color w:val="000000"/>
        </w:rPr>
        <w:t>Oficio suscrito por la Titular de la Unidad de Transparencia, mediante el cual, informó lo siguiente:</w:t>
      </w:r>
    </w:p>
    <w:p w:rsidR="00C51BE4" w:rsidRPr="00273733" w:rsidRDefault="00C51BE4" w:rsidP="00AB5D5F">
      <w:pPr>
        <w:pBdr>
          <w:top w:val="nil"/>
          <w:left w:val="nil"/>
          <w:bottom w:val="nil"/>
          <w:right w:val="nil"/>
          <w:between w:val="nil"/>
        </w:pBdr>
        <w:spacing w:line="360" w:lineRule="auto"/>
        <w:ind w:left="567" w:right="567"/>
        <w:jc w:val="both"/>
        <w:rPr>
          <w:rFonts w:ascii="Palatino Linotype" w:eastAsia="Palatino Linotype" w:hAnsi="Palatino Linotype" w:cs="Palatino Linotype"/>
          <w:b/>
          <w:color w:val="000000"/>
        </w:rPr>
      </w:pPr>
    </w:p>
    <w:p w:rsidR="00C51BE4" w:rsidRPr="00273733" w:rsidRDefault="00C51BE4" w:rsidP="00AB5D5F">
      <w:pPr>
        <w:pBdr>
          <w:top w:val="nil"/>
          <w:left w:val="nil"/>
          <w:bottom w:val="nil"/>
          <w:right w:val="nil"/>
          <w:between w:val="nil"/>
        </w:pBdr>
        <w:ind w:left="567" w:right="567"/>
        <w:jc w:val="both"/>
        <w:rPr>
          <w:rFonts w:ascii="Palatino Linotype" w:hAnsi="Palatino Linotype"/>
          <w:i/>
        </w:rPr>
      </w:pPr>
      <w:r w:rsidRPr="00273733">
        <w:rPr>
          <w:rFonts w:ascii="Palatino Linotype" w:eastAsia="Palatino Linotype" w:hAnsi="Palatino Linotype" w:cs="Palatino Linotype"/>
          <w:b/>
          <w:i/>
          <w:color w:val="000000"/>
        </w:rPr>
        <w:t xml:space="preserve">“… </w:t>
      </w:r>
      <w:r w:rsidRPr="00273733">
        <w:rPr>
          <w:rFonts w:ascii="Palatino Linotype" w:hAnsi="Palatino Linotype"/>
          <w:i/>
        </w:rPr>
        <w:t xml:space="preserve">es importante mencionar que la liga a la que hace referencia el recurrente en sus motivos de inconformidad, no es la misma que se le proporcionó en la respuesta inicial, siendo la que a continuación se transcribe: </w:t>
      </w:r>
      <w:r w:rsidRPr="00273733">
        <w:rPr>
          <w:rFonts w:ascii="Palatino Linotype" w:hAnsi="Palatino Linotype"/>
          <w:i/>
          <w:color w:val="0462C1"/>
        </w:rPr>
        <w:t>https://infoem2.ipomex.org.mx/ipomex/#/info-fraccion/80/85/12</w:t>
      </w:r>
      <w:r w:rsidRPr="00273733">
        <w:rPr>
          <w:rFonts w:ascii="Palatino Linotype" w:hAnsi="Palatino Linotype"/>
          <w:i/>
        </w:rPr>
        <w:t xml:space="preserve">, muy diferente a la que se señala en el recurso: </w:t>
      </w:r>
      <w:r w:rsidRPr="00273733">
        <w:rPr>
          <w:rFonts w:ascii="Palatino Linotype" w:hAnsi="Palatino Linotype"/>
          <w:i/>
          <w:color w:val="0462C1"/>
        </w:rPr>
        <w:t>https://infoem2.opomez.org.mx/#/info-fracci%C3%B3n/80/85/12</w:t>
      </w:r>
      <w:r w:rsidRPr="00273733">
        <w:rPr>
          <w:rFonts w:ascii="Palatino Linotype" w:hAnsi="Palatino Linotype"/>
          <w:i/>
        </w:rPr>
        <w:t>, lo cual se puede corroborar accediendo a la liga.</w:t>
      </w:r>
    </w:p>
    <w:p w:rsidR="00C51BE4" w:rsidRPr="00273733" w:rsidRDefault="00C51BE4" w:rsidP="00AB5D5F">
      <w:pPr>
        <w:pBdr>
          <w:top w:val="nil"/>
          <w:left w:val="nil"/>
          <w:bottom w:val="nil"/>
          <w:right w:val="nil"/>
          <w:between w:val="nil"/>
        </w:pBdr>
        <w:ind w:left="567" w:right="567"/>
        <w:jc w:val="both"/>
        <w:rPr>
          <w:rFonts w:ascii="Palatino Linotype" w:eastAsia="Palatino Linotype" w:hAnsi="Palatino Linotype" w:cs="Palatino Linotype"/>
          <w:b/>
          <w:i/>
          <w:color w:val="000000"/>
        </w:rPr>
      </w:pPr>
      <w:r w:rsidRPr="00273733">
        <w:rPr>
          <w:rFonts w:ascii="Palatino Linotype" w:eastAsia="Palatino Linotype" w:hAnsi="Palatino Linotype" w:cs="Palatino Linotype"/>
          <w:b/>
          <w:i/>
          <w:color w:val="000000"/>
        </w:rPr>
        <w:t>…</w:t>
      </w:r>
    </w:p>
    <w:p w:rsidR="00C51BE4" w:rsidRPr="00273733" w:rsidRDefault="00C51BE4" w:rsidP="00AB5D5F">
      <w:pPr>
        <w:pBdr>
          <w:top w:val="nil"/>
          <w:left w:val="nil"/>
          <w:bottom w:val="nil"/>
          <w:right w:val="nil"/>
          <w:between w:val="nil"/>
        </w:pBdr>
        <w:ind w:left="567" w:right="567"/>
        <w:jc w:val="both"/>
        <w:rPr>
          <w:rFonts w:ascii="Palatino Linotype" w:hAnsi="Palatino Linotype"/>
          <w:i/>
        </w:rPr>
      </w:pPr>
      <w:r w:rsidRPr="00273733">
        <w:rPr>
          <w:rFonts w:ascii="Palatino Linotype" w:hAnsi="Palatino Linotype"/>
          <w:i/>
        </w:rPr>
        <w:t xml:space="preserve">Como lo señalan en su respuesta los servidores públicos de la Dirección de Recursos Financieros, y la Subdirección de Planeación y Estadística, no se cuenta con un presupuesto desagregado por unidad administrativa que permita proporcionar la información como lo solicita el particular, por lo que se </w:t>
      </w:r>
      <w:r w:rsidRPr="00273733">
        <w:rPr>
          <w:rFonts w:ascii="Palatino Linotype" w:hAnsi="Palatino Linotype"/>
          <w:b/>
          <w:bCs/>
          <w:i/>
        </w:rPr>
        <w:t xml:space="preserve">ratifica la respuesta </w:t>
      </w:r>
      <w:r w:rsidRPr="00273733">
        <w:rPr>
          <w:rFonts w:ascii="Palatino Linotype" w:hAnsi="Palatino Linotype"/>
          <w:i/>
        </w:rPr>
        <w:t>otorgada por este sujeto obligado.</w:t>
      </w:r>
    </w:p>
    <w:p w:rsidR="00C51BE4" w:rsidRPr="00273733" w:rsidRDefault="00C51BE4" w:rsidP="00AB5D5F">
      <w:pPr>
        <w:pBdr>
          <w:top w:val="nil"/>
          <w:left w:val="nil"/>
          <w:bottom w:val="nil"/>
          <w:right w:val="nil"/>
          <w:between w:val="nil"/>
        </w:pBdr>
        <w:ind w:left="567" w:right="567"/>
        <w:jc w:val="both"/>
        <w:rPr>
          <w:rFonts w:ascii="Palatino Linotype" w:eastAsia="Palatino Linotype" w:hAnsi="Palatino Linotype" w:cs="Palatino Linotype"/>
          <w:i/>
          <w:color w:val="000000"/>
        </w:rPr>
      </w:pPr>
      <w:r w:rsidRPr="00273733">
        <w:rPr>
          <w:rFonts w:ascii="Palatino Linotype" w:hAnsi="Palatino Linotype"/>
          <w:i/>
        </w:rPr>
        <w:t>…</w:t>
      </w:r>
      <w:r w:rsidRPr="00273733">
        <w:rPr>
          <w:rFonts w:ascii="Palatino Linotype" w:eastAsia="Palatino Linotype" w:hAnsi="Palatino Linotype" w:cs="Palatino Linotype"/>
          <w:i/>
          <w:color w:val="000000"/>
        </w:rPr>
        <w:t>” (Sic)</w:t>
      </w:r>
    </w:p>
    <w:p w:rsidR="006F44AF" w:rsidRPr="00273733" w:rsidRDefault="006F44AF" w:rsidP="00AB5D5F">
      <w:pPr>
        <w:pBdr>
          <w:top w:val="nil"/>
          <w:left w:val="nil"/>
          <w:bottom w:val="nil"/>
          <w:right w:val="nil"/>
          <w:between w:val="nil"/>
        </w:pBdr>
        <w:ind w:right="567"/>
        <w:jc w:val="both"/>
        <w:rPr>
          <w:rFonts w:ascii="Palatino Linotype" w:eastAsia="Palatino Linotype" w:hAnsi="Palatino Linotype" w:cs="Palatino Linotype"/>
          <w:b/>
          <w:color w:val="000000"/>
        </w:rPr>
      </w:pPr>
    </w:p>
    <w:p w:rsidR="006F44AF" w:rsidRPr="00273733" w:rsidRDefault="00E3589A" w:rsidP="00AB5D5F">
      <w:pPr>
        <w:pBdr>
          <w:top w:val="nil"/>
          <w:left w:val="nil"/>
          <w:bottom w:val="nil"/>
          <w:right w:val="nil"/>
          <w:between w:val="nil"/>
        </w:pBdr>
        <w:ind w:left="567" w:right="567"/>
        <w:jc w:val="both"/>
        <w:rPr>
          <w:rFonts w:ascii="Palatino Linotype" w:eastAsia="Palatino Linotype" w:hAnsi="Palatino Linotype" w:cs="Palatino Linotype"/>
          <w:i/>
          <w:color w:val="000000"/>
        </w:rPr>
      </w:pPr>
      <w:r w:rsidRPr="00273733">
        <w:rPr>
          <w:rFonts w:ascii="Palatino Linotype" w:eastAsia="Palatino Linotype" w:hAnsi="Palatino Linotype" w:cs="Palatino Linotype"/>
          <w:b/>
          <w:color w:val="000000"/>
        </w:rPr>
        <w:t>Exp. Cer 00113-CODHEM-IP-2025.pdf:</w:t>
      </w:r>
      <w:r w:rsidR="006F44AF" w:rsidRPr="00273733">
        <w:rPr>
          <w:rFonts w:ascii="Palatino Linotype" w:eastAsia="Palatino Linotype" w:hAnsi="Palatino Linotype" w:cs="Palatino Linotype"/>
          <w:b/>
          <w:color w:val="000000"/>
        </w:rPr>
        <w:t xml:space="preserve"> </w:t>
      </w:r>
      <w:r w:rsidR="008568DE" w:rsidRPr="00273733">
        <w:rPr>
          <w:rFonts w:ascii="Palatino Linotype" w:eastAsia="Palatino Linotype" w:hAnsi="Palatino Linotype" w:cs="Palatino Linotype"/>
          <w:color w:val="000000"/>
        </w:rPr>
        <w:t>Archivo electrónico de 58 páginas, consistente en la copia digitalizada de las documentales remitidas mediante respuesta y el archivo electrónico formado en el Sistema de Acceso a la Información Mexiquense SAIMEX.</w:t>
      </w:r>
    </w:p>
    <w:p w:rsidR="00B93242" w:rsidRPr="00273733" w:rsidRDefault="00B93242" w:rsidP="00AC2040">
      <w:pPr>
        <w:rPr>
          <w:rFonts w:ascii="Palatino Linotype" w:eastAsia="Palatino Linotype" w:hAnsi="Palatino Linotype" w:cs="Palatino Linotype"/>
        </w:rPr>
      </w:pPr>
    </w:p>
    <w:p w:rsidR="00B93242" w:rsidRPr="00273733" w:rsidRDefault="00B93242" w:rsidP="00B93242">
      <w:pPr>
        <w:numPr>
          <w:ilvl w:val="0"/>
          <w:numId w:val="2"/>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color w:val="000000"/>
        </w:rPr>
      </w:pPr>
      <w:r w:rsidRPr="00273733">
        <w:rPr>
          <w:rFonts w:ascii="Palatino Linotype" w:eastAsia="Palatino Linotype" w:hAnsi="Palatino Linotype" w:cs="Palatino Linotype"/>
        </w:rPr>
        <w:t>P</w:t>
      </w:r>
      <w:r w:rsidR="002367BD" w:rsidRPr="00273733">
        <w:rPr>
          <w:rFonts w:ascii="Palatino Linotype" w:eastAsia="Palatino Linotype" w:hAnsi="Palatino Linotype" w:cs="Palatino Linotype"/>
        </w:rPr>
        <w:t>or su parte,</w:t>
      </w:r>
      <w:r w:rsidR="002367BD" w:rsidRPr="00273733">
        <w:rPr>
          <w:rFonts w:ascii="Palatino Linotype" w:eastAsia="Palatino Linotype" w:hAnsi="Palatino Linotype" w:cs="Palatino Linotype"/>
          <w:color w:val="000000"/>
        </w:rPr>
        <w:t xml:space="preserve"> la parte </w:t>
      </w:r>
      <w:r w:rsidR="002367BD" w:rsidRPr="00273733">
        <w:rPr>
          <w:rFonts w:ascii="Palatino Linotype" w:eastAsia="Palatino Linotype" w:hAnsi="Palatino Linotype" w:cs="Palatino Linotype"/>
          <w:b/>
          <w:bCs/>
          <w:color w:val="000000"/>
        </w:rPr>
        <w:t>RECURRENTE</w:t>
      </w:r>
      <w:r w:rsidR="002367BD" w:rsidRPr="00273733">
        <w:rPr>
          <w:rFonts w:ascii="Palatino Linotype" w:eastAsia="Palatino Linotype" w:hAnsi="Palatino Linotype" w:cs="Palatino Linotype"/>
          <w:color w:val="000000"/>
        </w:rPr>
        <w:t xml:space="preserve"> dejó de realizar manifestaciones que a su derecho conviniera y asistiera.</w:t>
      </w:r>
    </w:p>
    <w:p w:rsidR="000E694D" w:rsidRPr="00273733" w:rsidRDefault="000E694D" w:rsidP="00AC2040">
      <w:pPr>
        <w:rPr>
          <w:rFonts w:ascii="Palatino Linotype" w:eastAsia="Palatino Linotype" w:hAnsi="Palatino Linotype" w:cs="Palatino Linotype"/>
          <w:b/>
          <w:bCs/>
        </w:rPr>
      </w:pPr>
    </w:p>
    <w:p w:rsidR="00B93242" w:rsidRPr="00273733" w:rsidRDefault="00B93242" w:rsidP="00B93242">
      <w:pPr>
        <w:numPr>
          <w:ilvl w:val="0"/>
          <w:numId w:val="2"/>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color w:val="000000"/>
        </w:rPr>
      </w:pPr>
      <w:r w:rsidRPr="00273733">
        <w:rPr>
          <w:rFonts w:ascii="Palatino Linotype" w:eastAsia="Palatino Linotype" w:hAnsi="Palatino Linotype" w:cs="Palatino Linotype"/>
          <w:bCs/>
        </w:rPr>
        <w:t xml:space="preserve">El </w:t>
      </w:r>
      <w:r w:rsidR="00E3589A" w:rsidRPr="00273733">
        <w:rPr>
          <w:rFonts w:ascii="Palatino Linotype" w:eastAsia="Palatino Linotype" w:hAnsi="Palatino Linotype" w:cs="Palatino Linotype"/>
          <w:bCs/>
        </w:rPr>
        <w:t>veintisiete de enero de dos mil veintiséis</w:t>
      </w:r>
      <w:r w:rsidRPr="00273733">
        <w:rPr>
          <w:rFonts w:ascii="Palatino Linotype" w:eastAsia="Palatino Linotype" w:hAnsi="Palatino Linotype" w:cs="Palatino Linotype"/>
          <w:bCs/>
        </w:rPr>
        <w:t>, se notificó el</w:t>
      </w:r>
      <w:r w:rsidRPr="00273733">
        <w:rPr>
          <w:rFonts w:ascii="Palatino Linotype" w:eastAsia="Palatino Linotype" w:hAnsi="Palatino Linotype" w:cs="Palatino Linotype"/>
          <w:color w:val="000000"/>
        </w:rPr>
        <w:t xml:space="preserve"> </w:t>
      </w:r>
      <w:r w:rsidRPr="00273733">
        <w:rPr>
          <w:rFonts w:ascii="Palatino Linotype" w:eastAsia="Palatino Linotype" w:hAnsi="Palatino Linotype" w:cs="Palatino Linotype"/>
          <w:bCs/>
        </w:rPr>
        <w:t>acuerdo mediante el cual se aprobó la ampliación de plazo para emitir resolución.</w:t>
      </w:r>
    </w:p>
    <w:p w:rsidR="00B93242" w:rsidRPr="00273733" w:rsidRDefault="00B93242" w:rsidP="00AC2040">
      <w:pPr>
        <w:rPr>
          <w:rFonts w:ascii="Palatino Linotype" w:eastAsia="Palatino Linotype" w:hAnsi="Palatino Linotype" w:cs="Palatino Linotype"/>
        </w:rPr>
      </w:pPr>
    </w:p>
    <w:p w:rsidR="003B25EF" w:rsidRPr="00273733" w:rsidRDefault="00273733">
      <w:pPr>
        <w:numPr>
          <w:ilvl w:val="0"/>
          <w:numId w:val="2"/>
        </w:numPr>
        <w:spacing w:line="360" w:lineRule="auto"/>
        <w:ind w:left="0" w:right="1" w:firstLine="0"/>
        <w:jc w:val="both"/>
        <w:rPr>
          <w:rFonts w:ascii="Palatino Linotype" w:eastAsia="Palatino Linotype" w:hAnsi="Palatino Linotype" w:cs="Palatino Linotype"/>
          <w:b/>
          <w:bCs/>
        </w:rPr>
      </w:pPr>
      <w:r>
        <w:rPr>
          <w:rFonts w:ascii="Palatino Linotype" w:eastAsia="Palatino Linotype" w:hAnsi="Palatino Linotype" w:cs="Palatino Linotype"/>
        </w:rPr>
        <w:t>La Comisionada p</w:t>
      </w:r>
      <w:r w:rsidR="002367BD" w:rsidRPr="00273733">
        <w:rPr>
          <w:rFonts w:ascii="Palatino Linotype" w:eastAsia="Palatino Linotype" w:hAnsi="Palatino Linotype" w:cs="Palatino Linotype"/>
        </w:rPr>
        <w:t xml:space="preserve">onente decretó el cierre de instrucción mediante el acuerdo del </w:t>
      </w:r>
      <w:r w:rsidR="00B93242" w:rsidRPr="00273733">
        <w:rPr>
          <w:rFonts w:ascii="Palatino Linotype" w:eastAsia="Palatino Linotype" w:hAnsi="Palatino Linotype" w:cs="Palatino Linotype"/>
        </w:rPr>
        <w:t>cuatro de febrero</w:t>
      </w:r>
      <w:r w:rsidR="002367BD" w:rsidRPr="00273733">
        <w:rPr>
          <w:rFonts w:ascii="Palatino Linotype" w:eastAsia="Palatino Linotype" w:hAnsi="Palatino Linotype" w:cs="Palatino Linotype"/>
        </w:rPr>
        <w:t xml:space="preserve"> de dos mil veintiséis.</w:t>
      </w:r>
      <w:r>
        <w:rPr>
          <w:rFonts w:ascii="Palatino Linotype" w:eastAsia="Palatino Linotype" w:hAnsi="Palatino Linotype" w:cs="Palatino Linotype"/>
        </w:rPr>
        <w:t xml:space="preserve"> ----------------------------------------------------------------------------------</w:t>
      </w:r>
    </w:p>
    <w:p w:rsidR="003B25EF" w:rsidRPr="00273733" w:rsidRDefault="003B25EF">
      <w:pPr>
        <w:rPr>
          <w:rFonts w:ascii="Palatino Linotype" w:eastAsia="Palatino Linotype" w:hAnsi="Palatino Linotype" w:cs="Palatino Linotype"/>
          <w:b/>
          <w:bCs/>
        </w:rPr>
      </w:pPr>
    </w:p>
    <w:p w:rsidR="003B25EF" w:rsidRPr="00273733" w:rsidRDefault="002367BD">
      <w:pPr>
        <w:keepNext/>
        <w:keepLines/>
        <w:spacing w:line="360" w:lineRule="auto"/>
        <w:ind w:right="-592"/>
        <w:jc w:val="center"/>
        <w:rPr>
          <w:rFonts w:ascii="Palatino Linotype" w:eastAsia="Palatino Linotype" w:hAnsi="Palatino Linotype" w:cs="Palatino Linotype"/>
          <w:b/>
          <w:bCs/>
        </w:rPr>
      </w:pPr>
      <w:r w:rsidRPr="00273733">
        <w:rPr>
          <w:rFonts w:ascii="Palatino Linotype" w:eastAsia="Palatino Linotype" w:hAnsi="Palatino Linotype" w:cs="Palatino Linotype"/>
          <w:b/>
          <w:bCs/>
        </w:rPr>
        <w:lastRenderedPageBreak/>
        <w:t xml:space="preserve">C O N S I D E R A N D O </w:t>
      </w:r>
    </w:p>
    <w:p w:rsidR="003B25EF" w:rsidRPr="00273733" w:rsidRDefault="003B25EF">
      <w:pPr>
        <w:keepNext/>
        <w:keepLines/>
        <w:ind w:right="-592"/>
        <w:rPr>
          <w:rFonts w:ascii="Palatino Linotype" w:eastAsia="Palatino Linotype" w:hAnsi="Palatino Linotype" w:cs="Palatino Linotype"/>
        </w:rPr>
      </w:pPr>
    </w:p>
    <w:p w:rsidR="003B25EF" w:rsidRPr="00273733" w:rsidRDefault="002367BD">
      <w:pPr>
        <w:keepNext/>
        <w:keepLines/>
        <w:spacing w:line="360" w:lineRule="auto"/>
        <w:ind w:right="-592"/>
        <w:rPr>
          <w:rFonts w:ascii="Palatino Linotype" w:eastAsia="Palatino Linotype" w:hAnsi="Palatino Linotype" w:cs="Palatino Linotype"/>
          <w:b/>
          <w:bCs/>
        </w:rPr>
      </w:pPr>
      <w:r w:rsidRPr="00273733">
        <w:rPr>
          <w:rFonts w:ascii="Palatino Linotype" w:eastAsia="Palatino Linotype" w:hAnsi="Palatino Linotype" w:cs="Palatino Linotype"/>
          <w:b/>
          <w:bCs/>
        </w:rPr>
        <w:t>PRIMERO. De la competencia.</w:t>
      </w:r>
    </w:p>
    <w:p w:rsidR="003B25EF" w:rsidRPr="00273733" w:rsidRDefault="002367BD">
      <w:pPr>
        <w:numPr>
          <w:ilvl w:val="0"/>
          <w:numId w:val="2"/>
        </w:numPr>
        <w:spacing w:line="360" w:lineRule="auto"/>
        <w:ind w:left="0" w:right="1" w:firstLine="0"/>
        <w:jc w:val="both"/>
        <w:rPr>
          <w:rFonts w:ascii="Palatino Linotype" w:eastAsia="Palatino Linotype" w:hAnsi="Palatino Linotype" w:cs="Palatino Linotype"/>
          <w:b/>
          <w:bCs/>
        </w:rPr>
      </w:pPr>
      <w:bookmarkStart w:id="1" w:name="_heading=h.3znysh7" w:colFirst="0" w:colLast="0"/>
      <w:bookmarkEnd w:id="1"/>
      <w:r w:rsidRPr="00273733">
        <w:rPr>
          <w:rFonts w:ascii="Palatino Linotype" w:eastAsia="Palatino Linotype" w:hAnsi="Palatino Linotype" w:cs="Palatino Linotype"/>
        </w:rPr>
        <w:t>Este Instituto de Transparencia, Acceso a la Información Pública y Protección de Datos Personales del Estado de México y Municipios, es competente para conocer y resolver del presente recurso de conformidad con el artículo: 6, apartado A, de la Constitución Política de los Estados Unidos Mexicanos; 5, párrafos trigésimo, trigésimo primero y trigésimo segundo, fracciones I, II, III, IV y V de la Constitución Política del Estado Libre y Soberano de México; 1, 3 fracción I, 82, 97, 98, 119, 123, 124, 127, 128 y 133 Ley de Protección de Datos Personales en Posesión de Sujetos Obligados del Estado de México y Municipios; y 10, 7, 9 fracciones I y XXIV, y 11 del Reglamento Interior del Instituto de Transparencia, Acceso a la Información Pública y Protección de Datos Personales del Estado de México y Municipios.</w:t>
      </w:r>
    </w:p>
    <w:p w:rsidR="003B25EF" w:rsidRPr="00273733" w:rsidRDefault="003B25EF">
      <w:pPr>
        <w:spacing w:line="360" w:lineRule="auto"/>
        <w:ind w:left="644" w:right="1"/>
        <w:jc w:val="both"/>
        <w:rPr>
          <w:rFonts w:ascii="Palatino Linotype" w:eastAsia="Palatino Linotype" w:hAnsi="Palatino Linotype" w:cs="Palatino Linotype"/>
        </w:rPr>
      </w:pPr>
      <w:bookmarkStart w:id="2" w:name="_heading=h.2v230knidey2" w:colFirst="0" w:colLast="0"/>
      <w:bookmarkEnd w:id="2"/>
    </w:p>
    <w:p w:rsidR="003B25EF" w:rsidRPr="00273733" w:rsidRDefault="002367BD">
      <w:pPr>
        <w:keepNext/>
        <w:keepLines/>
        <w:spacing w:line="360" w:lineRule="auto"/>
        <w:ind w:right="1"/>
        <w:rPr>
          <w:rFonts w:ascii="Palatino Linotype" w:eastAsia="Palatino Linotype" w:hAnsi="Palatino Linotype" w:cs="Palatino Linotype"/>
          <w:b/>
          <w:bCs/>
        </w:rPr>
      </w:pPr>
      <w:r w:rsidRPr="00273733">
        <w:rPr>
          <w:rFonts w:ascii="Palatino Linotype" w:eastAsia="Palatino Linotype" w:hAnsi="Palatino Linotype" w:cs="Palatino Linotype"/>
          <w:b/>
          <w:bCs/>
        </w:rPr>
        <w:t>SEGUNDO. De la oportunidad y procedencia.</w:t>
      </w:r>
    </w:p>
    <w:p w:rsidR="003B25EF" w:rsidRPr="00273733" w:rsidRDefault="002367BD">
      <w:pPr>
        <w:numPr>
          <w:ilvl w:val="0"/>
          <w:numId w:val="2"/>
        </w:numPr>
        <w:spacing w:line="360" w:lineRule="auto"/>
        <w:ind w:left="0" w:right="1" w:firstLine="0"/>
        <w:jc w:val="both"/>
        <w:rPr>
          <w:rFonts w:ascii="Palatino Linotype" w:eastAsia="Palatino Linotype" w:hAnsi="Palatino Linotype" w:cs="Palatino Linotype"/>
          <w:b/>
          <w:bCs/>
        </w:rPr>
      </w:pPr>
      <w:bookmarkStart w:id="3" w:name="_heading=h.3dy6vkm" w:colFirst="0" w:colLast="0"/>
      <w:bookmarkEnd w:id="3"/>
      <w:r w:rsidRPr="00273733">
        <w:rPr>
          <w:rFonts w:ascii="Palatino Linotype" w:eastAsia="Palatino Linotype" w:hAnsi="Palatino Linotype" w:cs="Palatino Linotype"/>
        </w:rPr>
        <w:t xml:space="preserve">El medio de impugnación fue presentado a través del </w:t>
      </w:r>
      <w:r w:rsidRPr="00273733">
        <w:rPr>
          <w:rFonts w:ascii="Palatino Linotype" w:eastAsia="Palatino Linotype" w:hAnsi="Palatino Linotype" w:cs="Palatino Linotype"/>
          <w:b/>
          <w:bCs/>
        </w:rPr>
        <w:t>SAIMEX,</w:t>
      </w:r>
      <w:r w:rsidRPr="00273733">
        <w:rPr>
          <w:rFonts w:ascii="Palatino Linotype" w:eastAsia="Palatino Linotype" w:hAnsi="Palatino Linotype" w:cs="Palatino Linotype"/>
        </w:rPr>
        <w:t xml:space="preserve"> en el formato previamente aprobado para tal efecto y dentro del plazo legal de quince días hábiles otorgados; siendo así que el </w:t>
      </w:r>
      <w:r w:rsidRPr="00273733">
        <w:rPr>
          <w:rFonts w:ascii="Palatino Linotype" w:eastAsia="Palatino Linotype" w:hAnsi="Palatino Linotype" w:cs="Palatino Linotype"/>
          <w:b/>
          <w:bCs/>
        </w:rPr>
        <w:t>SUJETO OBLIGADO</w:t>
      </w:r>
      <w:r w:rsidRPr="00273733">
        <w:rPr>
          <w:rFonts w:ascii="Palatino Linotype" w:eastAsia="Palatino Linotype" w:hAnsi="Palatino Linotype" w:cs="Palatino Linotype"/>
        </w:rPr>
        <w:t xml:space="preserve"> entregó respuesta el </w:t>
      </w:r>
      <w:r w:rsidR="000E694D" w:rsidRPr="00273733">
        <w:rPr>
          <w:rFonts w:ascii="Palatino Linotype" w:eastAsia="Palatino Linotype" w:hAnsi="Palatino Linotype" w:cs="Palatino Linotype"/>
        </w:rPr>
        <w:t>cuatro de junio</w:t>
      </w:r>
      <w:r w:rsidRPr="00273733">
        <w:rPr>
          <w:rFonts w:ascii="Palatino Linotype" w:eastAsia="Palatino Linotype" w:hAnsi="Palatino Linotype" w:cs="Palatino Linotype"/>
        </w:rPr>
        <w:t xml:space="preserve"> de dos mil veinticinco, de tal forma que el plazo para interponer el recurso de revisión transcurrió del </w:t>
      </w:r>
      <w:r w:rsidR="000E694D" w:rsidRPr="00273733">
        <w:rPr>
          <w:rFonts w:ascii="Palatino Linotype" w:eastAsia="Palatino Linotype" w:hAnsi="Palatino Linotype" w:cs="Palatino Linotype"/>
        </w:rPr>
        <w:t>cinco al veinticinco de junio</w:t>
      </w:r>
      <w:r w:rsidRPr="00273733">
        <w:rPr>
          <w:rFonts w:ascii="Palatino Linotype" w:eastAsia="Palatino Linotype" w:hAnsi="Palatino Linotype" w:cs="Palatino Linotype"/>
        </w:rPr>
        <w:t xml:space="preserve"> de dos mil veinticinco; en consecuencia, presentó su inconformidad el </w:t>
      </w:r>
      <w:r w:rsidR="000E694D" w:rsidRPr="00273733">
        <w:rPr>
          <w:rFonts w:ascii="Palatino Linotype" w:eastAsia="Palatino Linotype" w:hAnsi="Palatino Linotype" w:cs="Palatino Linotype"/>
        </w:rPr>
        <w:t>diecisiete de junio</w:t>
      </w:r>
      <w:r w:rsidRPr="00273733">
        <w:rPr>
          <w:rFonts w:ascii="Palatino Linotype" w:eastAsia="Palatino Linotype" w:hAnsi="Palatino Linotype" w:cs="Palatino Linotype"/>
        </w:rPr>
        <w:t xml:space="preserve"> de dos mil veinticinco, por lo que se encuentra dentro de los márgenes temporales previstos en el artículo 178 de la </w:t>
      </w:r>
      <w:r w:rsidRPr="00273733">
        <w:rPr>
          <w:rFonts w:ascii="Palatino Linotype" w:eastAsia="Palatino Linotype" w:hAnsi="Palatino Linotype" w:cs="Palatino Linotype"/>
          <w:b/>
          <w:bCs/>
        </w:rPr>
        <w:t xml:space="preserve">Ley de Transparencia y Acceso a la Información Pública del Estado de México y Municipios </w:t>
      </w:r>
      <w:r w:rsidRPr="00273733">
        <w:rPr>
          <w:rFonts w:ascii="Palatino Linotype" w:eastAsia="Palatino Linotype" w:hAnsi="Palatino Linotype" w:cs="Palatino Linotype"/>
        </w:rPr>
        <w:t>vigente.</w:t>
      </w:r>
    </w:p>
    <w:p w:rsidR="003B25EF" w:rsidRPr="00273733" w:rsidRDefault="003B25EF">
      <w:pPr>
        <w:ind w:right="1"/>
        <w:jc w:val="both"/>
        <w:rPr>
          <w:rFonts w:ascii="Palatino Linotype" w:eastAsia="Palatino Linotype" w:hAnsi="Palatino Linotype" w:cs="Palatino Linotype"/>
          <w:b/>
          <w:bCs/>
        </w:rPr>
      </w:pPr>
    </w:p>
    <w:p w:rsidR="003B25EF" w:rsidRPr="00273733" w:rsidRDefault="002367BD">
      <w:pPr>
        <w:numPr>
          <w:ilvl w:val="0"/>
          <w:numId w:val="2"/>
        </w:numPr>
        <w:spacing w:line="360" w:lineRule="auto"/>
        <w:ind w:left="0" w:right="1" w:firstLine="0"/>
        <w:jc w:val="both"/>
        <w:rPr>
          <w:rFonts w:ascii="Palatino Linotype" w:eastAsia="Palatino Linotype" w:hAnsi="Palatino Linotype" w:cs="Palatino Linotype"/>
          <w:b/>
          <w:bCs/>
        </w:rPr>
      </w:pPr>
      <w:r w:rsidRPr="00273733">
        <w:rPr>
          <w:rFonts w:ascii="Palatino Linotype" w:eastAsia="Palatino Linotype" w:hAnsi="Palatino Linotype" w:cs="Palatino Linotype"/>
        </w:rPr>
        <w:t xml:space="preserve">Por otro lado, el escrito contiene las formalidades previstas por el artículo 180 último párrafo de la Ley de la materia actual, por lo que es procedente que este Instituto de </w:t>
      </w:r>
      <w:r w:rsidRPr="00273733">
        <w:rPr>
          <w:rFonts w:ascii="Palatino Linotype" w:eastAsia="Palatino Linotype" w:hAnsi="Palatino Linotype" w:cs="Palatino Linotype"/>
        </w:rPr>
        <w:lastRenderedPageBreak/>
        <w:t>Transparencia, Acceso a la Información Pública y Protección de Datos Personales del Estado de México y Municipios, conozca y resuelva el presente recurso.</w:t>
      </w:r>
    </w:p>
    <w:p w:rsidR="003B25EF" w:rsidRPr="00273733" w:rsidRDefault="002367BD">
      <w:pPr>
        <w:pStyle w:val="Ttulo1"/>
        <w:spacing w:line="360" w:lineRule="auto"/>
        <w:rPr>
          <w:rFonts w:ascii="Palatino Linotype" w:eastAsia="Palatino Linotype" w:hAnsi="Palatino Linotype" w:cs="Palatino Linotype"/>
          <w:b w:val="0"/>
          <w:bCs w:val="0"/>
          <w:sz w:val="24"/>
          <w:szCs w:val="24"/>
        </w:rPr>
      </w:pPr>
      <w:r w:rsidRPr="00273733">
        <w:rPr>
          <w:rFonts w:ascii="Palatino Linotype" w:eastAsia="Palatino Linotype" w:hAnsi="Palatino Linotype" w:cs="Palatino Linotype"/>
          <w:sz w:val="24"/>
          <w:szCs w:val="24"/>
        </w:rPr>
        <w:t xml:space="preserve">TERCERO. </w:t>
      </w:r>
      <w:r w:rsidR="00AB5D5F" w:rsidRPr="00273733">
        <w:rPr>
          <w:rFonts w:ascii="Palatino Linotype" w:eastAsia="Palatino Linotype" w:hAnsi="Palatino Linotype" w:cs="Palatino Linotype"/>
          <w:sz w:val="24"/>
          <w:szCs w:val="24"/>
        </w:rPr>
        <w:t>De las causales de sobreseimiento.</w:t>
      </w:r>
    </w:p>
    <w:p w:rsidR="00AB5D5F" w:rsidRPr="00273733" w:rsidRDefault="00AB5D5F" w:rsidP="00AB5D5F">
      <w:pPr>
        <w:numPr>
          <w:ilvl w:val="0"/>
          <w:numId w:val="2"/>
        </w:numPr>
        <w:spacing w:line="360" w:lineRule="auto"/>
        <w:ind w:left="0" w:right="1" w:firstLine="0"/>
        <w:jc w:val="both"/>
        <w:rPr>
          <w:rFonts w:ascii="Palatino Linotype" w:eastAsia="Palatino Linotype" w:hAnsi="Palatino Linotype" w:cs="Palatino Linotype"/>
          <w:b/>
          <w:bCs/>
          <w:i/>
          <w:iCs/>
        </w:rPr>
      </w:pPr>
      <w:bookmarkStart w:id="4" w:name="_heading=h.2pqa4mglkgv2" w:colFirst="0" w:colLast="0"/>
      <w:bookmarkEnd w:id="4"/>
      <w:r w:rsidRPr="00273733">
        <w:rPr>
          <w:rFonts w:ascii="Palatino Linotype" w:eastAsia="Palatino Linotype" w:hAnsi="Palatino Linotype" w:cs="Palatino Linotype"/>
        </w:rPr>
        <w:t xml:space="preserve">El recurso de revisión tiene como finalidad reparar cualquier posible afectación al derecho de acceso a la información pública en términos del Título Octavo de la Ley de Transparencia, Acceso a la Información Pública del Estado de México y Municipios, y determinar la confirmación; revocación o modificación; desechamiento o </w:t>
      </w:r>
      <w:r w:rsidRPr="00273733">
        <w:rPr>
          <w:rFonts w:ascii="Palatino Linotype" w:eastAsia="Palatino Linotype" w:hAnsi="Palatino Linotype" w:cs="Palatino Linotype"/>
          <w:b/>
          <w:bCs/>
          <w:u w:val="single"/>
        </w:rPr>
        <w:t>sobreseimiento</w:t>
      </w:r>
      <w:r w:rsidRPr="00273733">
        <w:rPr>
          <w:rFonts w:ascii="Palatino Linotype" w:eastAsia="Palatino Linotype" w:hAnsi="Palatino Linotype" w:cs="Palatino Linotype"/>
        </w:rPr>
        <w:t xml:space="preserve">; y en su caso ordenar la entrega de la información con respecto a la respuesta emitida por el </w:t>
      </w:r>
      <w:r w:rsidRPr="00273733">
        <w:rPr>
          <w:rFonts w:ascii="Palatino Linotype" w:eastAsia="Palatino Linotype" w:hAnsi="Palatino Linotype" w:cs="Palatino Linotype"/>
          <w:b/>
          <w:bCs/>
        </w:rPr>
        <w:t>SUJETO</w:t>
      </w:r>
      <w:r w:rsidRPr="00273733">
        <w:rPr>
          <w:rFonts w:ascii="Palatino Linotype" w:eastAsia="Palatino Linotype" w:hAnsi="Palatino Linotype" w:cs="Palatino Linotype"/>
        </w:rPr>
        <w:t xml:space="preserve"> </w:t>
      </w:r>
      <w:r w:rsidRPr="00273733">
        <w:rPr>
          <w:rFonts w:ascii="Palatino Linotype" w:eastAsia="Palatino Linotype" w:hAnsi="Palatino Linotype" w:cs="Palatino Linotype"/>
          <w:b/>
          <w:bCs/>
        </w:rPr>
        <w:t>OBLIGADO</w:t>
      </w:r>
      <w:r w:rsidRPr="00273733">
        <w:rPr>
          <w:rFonts w:ascii="Palatino Linotype" w:eastAsia="Palatino Linotype" w:hAnsi="Palatino Linotype" w:cs="Palatino Linotype"/>
        </w:rPr>
        <w:t>.</w:t>
      </w:r>
      <w:bookmarkStart w:id="5" w:name="_heading=h.sg69pjfuscz6" w:colFirst="0" w:colLast="0"/>
      <w:bookmarkEnd w:id="5"/>
    </w:p>
    <w:p w:rsidR="00273733" w:rsidRPr="00273733" w:rsidRDefault="00273733" w:rsidP="00273733">
      <w:pPr>
        <w:spacing w:line="360" w:lineRule="auto"/>
        <w:ind w:right="1"/>
        <w:jc w:val="both"/>
        <w:rPr>
          <w:rFonts w:ascii="Palatino Linotype" w:eastAsia="Palatino Linotype" w:hAnsi="Palatino Linotype" w:cs="Palatino Linotype"/>
          <w:b/>
          <w:bCs/>
          <w:i/>
          <w:iCs/>
        </w:rPr>
      </w:pPr>
    </w:p>
    <w:p w:rsidR="00AB5D5F" w:rsidRPr="00273733" w:rsidRDefault="00AB5D5F" w:rsidP="00AB5D5F">
      <w:pPr>
        <w:numPr>
          <w:ilvl w:val="0"/>
          <w:numId w:val="2"/>
        </w:numPr>
        <w:spacing w:line="360" w:lineRule="auto"/>
        <w:ind w:left="0" w:right="1" w:firstLine="0"/>
        <w:jc w:val="both"/>
        <w:rPr>
          <w:rFonts w:ascii="Palatino Linotype" w:eastAsia="Palatino Linotype" w:hAnsi="Palatino Linotype" w:cs="Palatino Linotype"/>
          <w:b/>
          <w:bCs/>
          <w:i/>
          <w:iCs/>
        </w:rPr>
      </w:pPr>
      <w:r w:rsidRPr="00273733">
        <w:rPr>
          <w:rFonts w:ascii="Palatino Linotype" w:eastAsia="Palatino Linotype" w:hAnsi="Palatino Linotype" w:cs="Palatino Linotype"/>
        </w:rPr>
        <w:t xml:space="preserve">De acuerdo al precepto legal contenido en la fracción III del artículo 192 de la </w:t>
      </w:r>
      <w:r w:rsidRPr="00273733">
        <w:rPr>
          <w:rFonts w:ascii="Palatino Linotype" w:eastAsia="Palatino Linotype" w:hAnsi="Palatino Linotype" w:cs="Palatino Linotype"/>
          <w:b/>
          <w:bCs/>
        </w:rPr>
        <w:t>Ley de Transparencia y Acceso a la Información Pública del Estado de México y Municipios</w:t>
      </w:r>
      <w:r w:rsidRPr="00273733">
        <w:rPr>
          <w:rFonts w:ascii="Palatino Linotype" w:eastAsia="Palatino Linotype" w:hAnsi="Palatino Linotype" w:cs="Palatino Linotype"/>
        </w:rPr>
        <w:t>, el recurso será sobreseído, en todo o en parte, cuando una vez admitido, el sujeto obligado responsable del acto lo modifique o revoque de tal manera que el recurso de revisión quede sin materia; de ahí que la actualización de alguno de éste trae como consecuencia que el medio de impugnación se concluya sin que se analice el objeto de estudio planteado, es decir se sobresea.</w:t>
      </w:r>
      <w:bookmarkStart w:id="6" w:name="_heading=h.1s8w4nri8zt8" w:colFirst="0" w:colLast="0"/>
      <w:bookmarkEnd w:id="6"/>
    </w:p>
    <w:p w:rsidR="00AB5D5F" w:rsidRPr="00273733" w:rsidRDefault="00AB5D5F" w:rsidP="00AB5D5F">
      <w:pPr>
        <w:spacing w:line="360" w:lineRule="auto"/>
        <w:ind w:right="1"/>
        <w:jc w:val="both"/>
        <w:rPr>
          <w:rFonts w:ascii="Palatino Linotype" w:eastAsia="Palatino Linotype" w:hAnsi="Palatino Linotype" w:cs="Palatino Linotype"/>
          <w:b/>
          <w:bCs/>
          <w:i/>
          <w:iCs/>
        </w:rPr>
      </w:pPr>
    </w:p>
    <w:p w:rsidR="00AB5D5F" w:rsidRPr="00273733" w:rsidRDefault="00AB5D5F" w:rsidP="00AB5D5F">
      <w:pPr>
        <w:numPr>
          <w:ilvl w:val="0"/>
          <w:numId w:val="2"/>
        </w:numPr>
        <w:spacing w:line="360" w:lineRule="auto"/>
        <w:ind w:left="0" w:right="1" w:firstLine="0"/>
        <w:jc w:val="both"/>
        <w:rPr>
          <w:rFonts w:ascii="Palatino Linotype" w:eastAsia="Palatino Linotype" w:hAnsi="Palatino Linotype" w:cs="Palatino Linotype"/>
          <w:b/>
          <w:bCs/>
          <w:i/>
          <w:iCs/>
        </w:rPr>
      </w:pPr>
      <w:r w:rsidRPr="00273733">
        <w:rPr>
          <w:rFonts w:ascii="Palatino Linotype" w:eastAsia="Palatino Linotype" w:hAnsi="Palatino Linotype" w:cs="Palatino Linotype"/>
        </w:rPr>
        <w:t xml:space="preserve">Para los efectos de esta resolución, es oportuno precisar los alcances jurídicos de la fracción III de la disposición legal transcrita. Así, procede el sobreseimiento del recurso de revisión cuando el </w:t>
      </w:r>
      <w:r w:rsidRPr="00273733">
        <w:rPr>
          <w:rFonts w:ascii="Palatino Linotype" w:eastAsia="Palatino Linotype" w:hAnsi="Palatino Linotype" w:cs="Palatino Linotype"/>
          <w:b/>
          <w:bCs/>
        </w:rPr>
        <w:t>SUJETO OBLIGADO</w:t>
      </w:r>
      <w:r w:rsidRPr="00273733">
        <w:rPr>
          <w:rFonts w:ascii="Palatino Linotype" w:eastAsia="Palatino Linotype" w:hAnsi="Palatino Linotype" w:cs="Palatino Linotype"/>
        </w:rPr>
        <w:t>:</w:t>
      </w:r>
    </w:p>
    <w:p w:rsidR="00AB5D5F" w:rsidRPr="00273733" w:rsidRDefault="00AB5D5F" w:rsidP="00AB5D5F">
      <w:pPr>
        <w:numPr>
          <w:ilvl w:val="0"/>
          <w:numId w:val="15"/>
        </w:numPr>
        <w:ind w:left="567" w:right="565" w:firstLine="0"/>
        <w:jc w:val="both"/>
        <w:rPr>
          <w:rFonts w:ascii="Palatino Linotype" w:eastAsia="Palatino Linotype" w:hAnsi="Palatino Linotype" w:cs="Palatino Linotype"/>
        </w:rPr>
      </w:pPr>
      <w:bookmarkStart w:id="7" w:name="_heading=h.fupgdu5fe99i" w:colFirst="0" w:colLast="0"/>
      <w:bookmarkEnd w:id="7"/>
      <w:r w:rsidRPr="00273733">
        <w:rPr>
          <w:rFonts w:ascii="Palatino Linotype" w:eastAsia="Palatino Linotype" w:hAnsi="Palatino Linotype" w:cs="Palatino Linotype"/>
          <w:b/>
          <w:bCs/>
        </w:rPr>
        <w:t>Modifique el acto impugnado:</w:t>
      </w:r>
      <w:r w:rsidRPr="00273733">
        <w:rPr>
          <w:rFonts w:ascii="Palatino Linotype" w:eastAsia="Palatino Linotype" w:hAnsi="Palatino Linotype" w:cs="Palatino Linotype"/>
        </w:rPr>
        <w:t xml:space="preserve"> Se actualiza cuando el </w:t>
      </w:r>
      <w:r w:rsidRPr="00273733">
        <w:rPr>
          <w:rFonts w:ascii="Palatino Linotype" w:eastAsia="Palatino Linotype" w:hAnsi="Palatino Linotype" w:cs="Palatino Linotype"/>
          <w:b/>
          <w:bCs/>
        </w:rPr>
        <w:t>SUJETO OBLIGADO</w:t>
      </w:r>
      <w:r w:rsidRPr="00273733">
        <w:rPr>
          <w:rFonts w:ascii="Palatino Linotype" w:eastAsia="Palatino Linotype" w:hAnsi="Palatino Linotype" w:cs="Palatino Linotype"/>
        </w:rPr>
        <w:t xml:space="preserve"> después de haber otorgado una respuesta y hasta antes de dictada la resolución del recurso de revisión, emite una diversa en la que subsane las deficiencias que hubiera tenido.</w:t>
      </w:r>
    </w:p>
    <w:p w:rsidR="00AB5D5F" w:rsidRPr="00273733" w:rsidRDefault="00AB5D5F" w:rsidP="00AB5D5F">
      <w:pPr>
        <w:ind w:left="567" w:right="565"/>
        <w:jc w:val="both"/>
        <w:rPr>
          <w:rFonts w:ascii="Palatino Linotype" w:eastAsia="Palatino Linotype" w:hAnsi="Palatino Linotype" w:cs="Palatino Linotype"/>
        </w:rPr>
      </w:pPr>
    </w:p>
    <w:p w:rsidR="00AB5D5F" w:rsidRPr="00273733" w:rsidRDefault="00AB5D5F" w:rsidP="00AB5D5F">
      <w:pPr>
        <w:numPr>
          <w:ilvl w:val="0"/>
          <w:numId w:val="15"/>
        </w:numPr>
        <w:ind w:left="567" w:right="565" w:firstLine="0"/>
        <w:jc w:val="both"/>
        <w:rPr>
          <w:rFonts w:ascii="Palatino Linotype" w:eastAsia="Palatino Linotype" w:hAnsi="Palatino Linotype" w:cs="Palatino Linotype"/>
        </w:rPr>
      </w:pPr>
      <w:r w:rsidRPr="00273733">
        <w:rPr>
          <w:rFonts w:ascii="Palatino Linotype" w:eastAsia="Palatino Linotype" w:hAnsi="Palatino Linotype" w:cs="Palatino Linotype"/>
          <w:b/>
          <w:bCs/>
        </w:rPr>
        <w:t>Revoque el acto impugnado:</w:t>
      </w:r>
      <w:r w:rsidRPr="00273733">
        <w:rPr>
          <w:rFonts w:ascii="Palatino Linotype" w:eastAsia="Palatino Linotype" w:hAnsi="Palatino Linotype" w:cs="Palatino Linotype"/>
        </w:rPr>
        <w:t xml:space="preserve"> En este supuesto, el </w:t>
      </w:r>
      <w:r w:rsidRPr="00273733">
        <w:rPr>
          <w:rFonts w:ascii="Palatino Linotype" w:eastAsia="Palatino Linotype" w:hAnsi="Palatino Linotype" w:cs="Palatino Linotype"/>
          <w:b/>
          <w:bCs/>
        </w:rPr>
        <w:t>SUJETO OBLIGADO</w:t>
      </w:r>
      <w:r w:rsidRPr="00273733">
        <w:rPr>
          <w:rFonts w:ascii="Palatino Linotype" w:eastAsia="Palatino Linotype" w:hAnsi="Palatino Linotype" w:cs="Palatino Linotype"/>
        </w:rPr>
        <w:t xml:space="preserve"> deja sin efectos la primera respuesta y en su lugar emite otra que satisfaga lo solicitado por el Particular en un primer momento.</w:t>
      </w:r>
    </w:p>
    <w:p w:rsidR="00AB5D5F" w:rsidRPr="00273733" w:rsidRDefault="00AB5D5F" w:rsidP="00AB5D5F">
      <w:pPr>
        <w:pBdr>
          <w:top w:val="nil"/>
          <w:left w:val="nil"/>
          <w:bottom w:val="nil"/>
          <w:right w:val="nil"/>
          <w:between w:val="nil"/>
        </w:pBdr>
        <w:spacing w:line="360" w:lineRule="auto"/>
        <w:ind w:right="1"/>
        <w:jc w:val="both"/>
        <w:rPr>
          <w:rFonts w:ascii="Palatino Linotype" w:eastAsia="Palatino Linotype" w:hAnsi="Palatino Linotype" w:cs="Palatino Linotype"/>
        </w:rPr>
      </w:pPr>
      <w:bookmarkStart w:id="8" w:name="_heading=h.omj532vijpit" w:colFirst="0" w:colLast="0"/>
      <w:bookmarkEnd w:id="8"/>
    </w:p>
    <w:p w:rsidR="00AB5D5F" w:rsidRPr="00273733" w:rsidRDefault="00AB5D5F" w:rsidP="00AB5D5F">
      <w:pPr>
        <w:pStyle w:val="Prrafodelista"/>
        <w:numPr>
          <w:ilvl w:val="0"/>
          <w:numId w:val="2"/>
        </w:numPr>
        <w:spacing w:line="360" w:lineRule="auto"/>
        <w:ind w:left="0" w:right="1" w:firstLine="0"/>
        <w:jc w:val="both"/>
        <w:rPr>
          <w:rFonts w:ascii="Palatino Linotype" w:hAnsi="Palatino Linotype"/>
          <w:sz w:val="24"/>
        </w:rPr>
      </w:pPr>
      <w:r w:rsidRPr="00273733">
        <w:rPr>
          <w:rFonts w:ascii="Palatino Linotype" w:eastAsia="Palatino Linotype" w:hAnsi="Palatino Linotype" w:cs="Palatino Linotype"/>
          <w:sz w:val="24"/>
        </w:rPr>
        <w:t>Las consecuencias jurídicas de esta modificación o revocación es que el recurso de revisión interpuesto quede sin efectos o sin materia. Un acto impugnado queda sin efectos, cuando aun existiendo jurídicamente, no genera consecuencia legal alguna; queda sin materia, cuando ha sido satisfecha la pretensión del Particular, ya sea porque se hizo la entrega de la información solicitada o porque se completó la misma.</w:t>
      </w:r>
      <w:bookmarkStart w:id="9" w:name="_heading=h.njvx0k4cp9m5" w:colFirst="0" w:colLast="0"/>
      <w:bookmarkStart w:id="10" w:name="_heading=h.jvxafcoza8s" w:colFirst="0" w:colLast="0"/>
      <w:bookmarkEnd w:id="9"/>
      <w:bookmarkEnd w:id="10"/>
    </w:p>
    <w:p w:rsidR="00AB5D5F" w:rsidRPr="00273733" w:rsidRDefault="00AB5D5F" w:rsidP="00AB5D5F">
      <w:pPr>
        <w:pStyle w:val="Prrafodelista"/>
        <w:spacing w:line="360" w:lineRule="auto"/>
        <w:ind w:left="0" w:right="1"/>
        <w:jc w:val="both"/>
        <w:rPr>
          <w:rFonts w:ascii="Palatino Linotype" w:hAnsi="Palatino Linotype"/>
          <w:sz w:val="24"/>
        </w:rPr>
      </w:pPr>
    </w:p>
    <w:p w:rsidR="00AB5D5F" w:rsidRPr="00273733" w:rsidRDefault="00AB5D5F" w:rsidP="00AB5D5F">
      <w:pPr>
        <w:pStyle w:val="Prrafodelista"/>
        <w:numPr>
          <w:ilvl w:val="0"/>
          <w:numId w:val="2"/>
        </w:numPr>
        <w:spacing w:line="360" w:lineRule="auto"/>
        <w:ind w:left="0" w:right="1" w:firstLine="0"/>
        <w:jc w:val="both"/>
        <w:rPr>
          <w:rFonts w:ascii="Palatino Linotype" w:hAnsi="Palatino Linotype"/>
          <w:sz w:val="24"/>
        </w:rPr>
      </w:pPr>
      <w:r w:rsidRPr="00273733">
        <w:rPr>
          <w:rFonts w:ascii="Palatino Linotype" w:eastAsia="Palatino Linotype" w:hAnsi="Palatino Linotype" w:cs="Palatino Linotype"/>
          <w:sz w:val="24"/>
        </w:rPr>
        <w:t xml:space="preserve">En el presente caso, el </w:t>
      </w:r>
      <w:r w:rsidRPr="00273733">
        <w:rPr>
          <w:rFonts w:ascii="Palatino Linotype" w:eastAsia="Palatino Linotype" w:hAnsi="Palatino Linotype" w:cs="Palatino Linotype"/>
          <w:b/>
          <w:bCs/>
          <w:sz w:val="24"/>
        </w:rPr>
        <w:t>RECURRENTE</w:t>
      </w:r>
      <w:r w:rsidRPr="00273733">
        <w:rPr>
          <w:rFonts w:ascii="Palatino Linotype" w:eastAsia="Palatino Linotype" w:hAnsi="Palatino Linotype" w:cs="Palatino Linotype"/>
          <w:sz w:val="24"/>
        </w:rPr>
        <w:t xml:space="preserve"> solicitó:</w:t>
      </w:r>
      <w:r w:rsidRPr="00273733">
        <w:rPr>
          <w:rFonts w:ascii="Palatino Linotype" w:hAnsi="Palatino Linotype"/>
          <w:sz w:val="24"/>
        </w:rPr>
        <w:t xml:space="preserve"> </w:t>
      </w:r>
      <w:r w:rsidRPr="00273733">
        <w:rPr>
          <w:rFonts w:ascii="Palatino Linotype" w:eastAsia="Palatino Linotype" w:hAnsi="Palatino Linotype" w:cs="Palatino Linotype"/>
          <w:i/>
          <w:iCs/>
          <w:color w:val="000000"/>
          <w:sz w:val="24"/>
        </w:rPr>
        <w:t>“</w:t>
      </w:r>
      <w:r w:rsidRPr="00273733">
        <w:rPr>
          <w:rFonts w:ascii="Palatino Linotype" w:hAnsi="Palatino Linotype"/>
          <w:i/>
          <w:color w:val="000000"/>
          <w:sz w:val="24"/>
        </w:rPr>
        <w:t xml:space="preserve">A quien corresponda, con fundamento en la Ley de Transparencia y Acceso a la Información Pública del Estado de México y Municipios así como con lo establecido en la Ley General de Archivos y la Ley de Archivos y Administración de Documentos del Estado de México y Municipios, se solicitan </w:t>
      </w:r>
      <w:r w:rsidRPr="00273733">
        <w:rPr>
          <w:rFonts w:ascii="Palatino Linotype" w:hAnsi="Palatino Linotype"/>
          <w:b/>
          <w:i/>
          <w:color w:val="000000"/>
          <w:sz w:val="24"/>
        </w:rPr>
        <w:t xml:space="preserve">los inventarios documentales al cierre del ejercicio 2024 y los instrumentos de control archivísticos vigentes y en su versión final del sujeto obligado, así mismo, se solicita el Programa Anual de Desarrollo Archivístico 2023, 2024 y 2025 de conformidad con la normatividad vigente aplicable. Por otra parte, se solicitan los recibos de nómina en su versión pública del Área Coordinadora de Archivos de los años 2023, 2024 y 2025 y las acciones relevantes por destacar por él actual titular de la unidad administrativa en cuestión. Así mismo, se solicita informa por parte del titular del órgano interno de control si han realizado inspecciones o auditorias en materia archivística en el periodo comprendido del año 2021 al mes de abril del 2025, en caso contrario, se solicita informar si han existido infracciones cometidas por los titulares del área coordinadora de archivos del organismo de conformidad con la normatividad vigente aplicable. Por ultimo, se solicita informar el presupuesto asignado al área coordinadora de archivos para el ejercicio fiscal 2024 y la </w:t>
      </w:r>
      <w:r w:rsidRPr="00273733">
        <w:rPr>
          <w:rFonts w:ascii="Palatino Linotype" w:hAnsi="Palatino Linotype"/>
          <w:b/>
          <w:i/>
          <w:color w:val="000000"/>
          <w:sz w:val="24"/>
        </w:rPr>
        <w:lastRenderedPageBreak/>
        <w:t>utilización del mismo a través de los oficios de requisición de materiales, suministros, equipamiento y/o mantenimiento del área</w:t>
      </w:r>
      <w:r w:rsidRPr="00273733">
        <w:rPr>
          <w:rFonts w:ascii="Palatino Linotype" w:hAnsi="Palatino Linotype"/>
          <w:i/>
          <w:color w:val="000000"/>
          <w:sz w:val="24"/>
        </w:rPr>
        <w:t>.</w:t>
      </w:r>
      <w:r w:rsidRPr="00273733">
        <w:rPr>
          <w:rFonts w:ascii="Palatino Linotype" w:eastAsia="Palatino Linotype" w:hAnsi="Palatino Linotype" w:cs="Palatino Linotype"/>
          <w:i/>
          <w:iCs/>
          <w:color w:val="000000"/>
          <w:sz w:val="24"/>
        </w:rPr>
        <w:t>” (Sic)</w:t>
      </w:r>
    </w:p>
    <w:p w:rsidR="00AB5D5F" w:rsidRPr="00273733" w:rsidRDefault="00AB5D5F" w:rsidP="00AB5D5F">
      <w:pPr>
        <w:spacing w:line="360" w:lineRule="auto"/>
        <w:ind w:right="1"/>
        <w:jc w:val="both"/>
        <w:rPr>
          <w:rFonts w:ascii="Palatino Linotype" w:eastAsia="Palatino Linotype" w:hAnsi="Palatino Linotype" w:cs="Palatino Linotype"/>
          <w:b/>
          <w:bCs/>
          <w:i/>
          <w:iCs/>
        </w:rPr>
      </w:pPr>
    </w:p>
    <w:p w:rsidR="00AB5D5F" w:rsidRPr="00273733" w:rsidRDefault="00AB5D5F" w:rsidP="00AB5D5F">
      <w:pPr>
        <w:numPr>
          <w:ilvl w:val="0"/>
          <w:numId w:val="2"/>
        </w:numPr>
        <w:spacing w:line="360" w:lineRule="auto"/>
        <w:ind w:left="0" w:right="1" w:firstLine="0"/>
        <w:jc w:val="both"/>
        <w:rPr>
          <w:rFonts w:ascii="Palatino Linotype" w:eastAsia="Palatino Linotype" w:hAnsi="Palatino Linotype" w:cs="Palatino Linotype"/>
          <w:b/>
          <w:bCs/>
          <w:iCs/>
        </w:rPr>
      </w:pPr>
      <w:r w:rsidRPr="00273733">
        <w:rPr>
          <w:rFonts w:ascii="Palatino Linotype" w:eastAsia="Palatino Linotype" w:hAnsi="Palatino Linotype" w:cs="Palatino Linotype"/>
          <w:bCs/>
          <w:iCs/>
        </w:rPr>
        <w:t>El</w:t>
      </w:r>
      <w:r w:rsidRPr="00273733">
        <w:rPr>
          <w:rFonts w:ascii="Palatino Linotype" w:eastAsia="Palatino Linotype" w:hAnsi="Palatino Linotype" w:cs="Palatino Linotype"/>
          <w:b/>
          <w:bCs/>
          <w:iCs/>
        </w:rPr>
        <w:t xml:space="preserve"> SUJETO OBLIGADO </w:t>
      </w:r>
      <w:r w:rsidRPr="00273733">
        <w:rPr>
          <w:rFonts w:ascii="Palatino Linotype" w:eastAsia="Palatino Linotype" w:hAnsi="Palatino Linotype" w:cs="Palatino Linotype"/>
          <w:bCs/>
          <w:iCs/>
        </w:rPr>
        <w:t xml:space="preserve">emitió respuesta en términos del </w:t>
      </w:r>
      <w:r w:rsidRPr="00273733">
        <w:rPr>
          <w:rFonts w:ascii="Palatino Linotype" w:eastAsia="Palatino Linotype" w:hAnsi="Palatino Linotype" w:cs="Palatino Linotype"/>
          <w:b/>
          <w:bCs/>
          <w:iCs/>
        </w:rPr>
        <w:t>párrafo 3</w:t>
      </w:r>
      <w:r w:rsidRPr="00273733">
        <w:rPr>
          <w:rFonts w:ascii="Palatino Linotype" w:eastAsia="Palatino Linotype" w:hAnsi="Palatino Linotype" w:cs="Palatino Linotype"/>
          <w:bCs/>
          <w:iCs/>
        </w:rPr>
        <w:t xml:space="preserve"> de la presente resolución.</w:t>
      </w:r>
    </w:p>
    <w:p w:rsidR="00885082" w:rsidRPr="00273733" w:rsidRDefault="00885082" w:rsidP="00AB5D5F">
      <w:pPr>
        <w:rPr>
          <w:rFonts w:ascii="Palatino Linotype" w:eastAsia="Palatino Linotype" w:hAnsi="Palatino Linotype" w:cs="Palatino Linotype"/>
          <w:b/>
          <w:bCs/>
        </w:rPr>
      </w:pPr>
    </w:p>
    <w:p w:rsidR="00C12AAA" w:rsidRPr="00273733" w:rsidRDefault="00885082" w:rsidP="00C12AAA">
      <w:pPr>
        <w:numPr>
          <w:ilvl w:val="0"/>
          <w:numId w:val="2"/>
        </w:numPr>
        <w:spacing w:line="360" w:lineRule="auto"/>
        <w:ind w:left="0" w:right="1" w:firstLine="0"/>
        <w:jc w:val="both"/>
        <w:rPr>
          <w:rFonts w:ascii="Palatino Linotype" w:eastAsia="Palatino Linotype" w:hAnsi="Palatino Linotype" w:cs="Palatino Linotype"/>
          <w:bCs/>
        </w:rPr>
      </w:pPr>
      <w:r w:rsidRPr="00273733">
        <w:rPr>
          <w:rFonts w:ascii="Palatino Linotype" w:eastAsia="Palatino Linotype" w:hAnsi="Palatino Linotype" w:cs="Palatino Linotype"/>
          <w:bCs/>
        </w:rPr>
        <w:t xml:space="preserve">Inconforme con la respuesta, el Solicitante interpuso el recurso de revisión, mediante el cual, </w:t>
      </w:r>
      <w:r w:rsidRPr="00273733">
        <w:rPr>
          <w:rFonts w:ascii="Palatino Linotype" w:eastAsia="Palatino Linotype" w:hAnsi="Palatino Linotype" w:cs="Palatino Linotype"/>
          <w:b/>
          <w:bCs/>
        </w:rPr>
        <w:t xml:space="preserve">manifestó </w:t>
      </w:r>
      <w:r w:rsidR="00C12AAA" w:rsidRPr="00273733">
        <w:rPr>
          <w:rFonts w:ascii="Palatino Linotype" w:eastAsia="Palatino Linotype" w:hAnsi="Palatino Linotype" w:cs="Palatino Linotype"/>
          <w:b/>
          <w:bCs/>
        </w:rPr>
        <w:t>que</w:t>
      </w:r>
      <w:r w:rsidR="00C12AAA" w:rsidRPr="00273733">
        <w:rPr>
          <w:rFonts w:ascii="Palatino Linotype" w:eastAsia="Palatino Linotype" w:hAnsi="Palatino Linotype" w:cs="Palatino Linotype"/>
          <w:bCs/>
        </w:rPr>
        <w:t xml:space="preserve"> l</w:t>
      </w:r>
      <w:r w:rsidR="00C12AAA" w:rsidRPr="00273733">
        <w:rPr>
          <w:rFonts w:ascii="Palatino Linotype" w:hAnsi="Palatino Linotype"/>
          <w:b/>
          <w:color w:val="000000"/>
        </w:rPr>
        <w:t>a liga electrónica no permite el acceso para visualizar los instrumentos de control archivístico vigentes y en su versión final; por otro lado, realizó los siguientes cuestionamientos:</w:t>
      </w:r>
      <w:r w:rsidR="00C12AAA" w:rsidRPr="00273733">
        <w:rPr>
          <w:rFonts w:ascii="Palatino Linotype" w:eastAsia="Palatino Linotype" w:hAnsi="Palatino Linotype" w:cs="Palatino Linotype"/>
          <w:bCs/>
        </w:rPr>
        <w:t xml:space="preserve"> “</w:t>
      </w:r>
      <w:r w:rsidR="00C12AAA" w:rsidRPr="00273733">
        <w:rPr>
          <w:rFonts w:ascii="Palatino Linotype" w:hAnsi="Palatino Linotype"/>
          <w:b/>
          <w:i/>
          <w:color w:val="000000"/>
        </w:rPr>
        <w:t>¿Qué elementos comprobatorios existen para transparentar los $6,655,947.42 del presupuesto asignado? ¿licitaciones, contratos pedidos, personal?</w:t>
      </w:r>
      <w:r w:rsidR="00C12AAA" w:rsidRPr="00273733">
        <w:rPr>
          <w:rFonts w:ascii="Palatino Linotype" w:eastAsia="Palatino Linotype" w:hAnsi="Palatino Linotype" w:cs="Palatino Linotype"/>
          <w:b/>
          <w:i/>
          <w:iCs/>
          <w:color w:val="000000"/>
        </w:rPr>
        <w:t>” (Sic)</w:t>
      </w:r>
    </w:p>
    <w:p w:rsidR="00C12AAA" w:rsidRPr="00273733" w:rsidRDefault="00C12AAA" w:rsidP="00273733">
      <w:pPr>
        <w:spacing w:line="360" w:lineRule="auto"/>
        <w:ind w:right="1"/>
        <w:jc w:val="both"/>
        <w:rPr>
          <w:rFonts w:ascii="Palatino Linotype" w:eastAsia="Palatino Linotype" w:hAnsi="Palatino Linotype" w:cs="Palatino Linotype"/>
          <w:b/>
          <w:bCs/>
        </w:rPr>
      </w:pPr>
    </w:p>
    <w:p w:rsidR="00C12AAA" w:rsidRPr="00273733" w:rsidRDefault="00C12AAA" w:rsidP="00C12AAA">
      <w:pPr>
        <w:numPr>
          <w:ilvl w:val="0"/>
          <w:numId w:val="2"/>
        </w:numPr>
        <w:spacing w:line="360" w:lineRule="auto"/>
        <w:ind w:left="0" w:right="1" w:firstLine="0"/>
        <w:jc w:val="both"/>
        <w:rPr>
          <w:rFonts w:ascii="Palatino Linotype" w:eastAsia="Palatino Linotype" w:hAnsi="Palatino Linotype" w:cs="Palatino Linotype"/>
          <w:b/>
          <w:bCs/>
        </w:rPr>
      </w:pPr>
      <w:r w:rsidRPr="00273733">
        <w:rPr>
          <w:rFonts w:ascii="Palatino Linotype" w:eastAsia="Palatino Linotype" w:hAnsi="Palatino Linotype" w:cs="Palatino Linotype"/>
          <w:color w:val="000000"/>
        </w:rPr>
        <w:t xml:space="preserve">En </w:t>
      </w:r>
      <w:r w:rsidRPr="00273733">
        <w:rPr>
          <w:rFonts w:ascii="Palatino Linotype" w:eastAsia="MS Gothic" w:hAnsi="Palatino Linotype" w:cstheme="majorBidi"/>
        </w:rPr>
        <w:t xml:space="preserve">este caso, el </w:t>
      </w:r>
      <w:r w:rsidRPr="00273733">
        <w:rPr>
          <w:rFonts w:ascii="Palatino Linotype" w:eastAsia="MS Gothic" w:hAnsi="Palatino Linotype" w:cstheme="majorBidi"/>
          <w:b/>
          <w:bCs/>
        </w:rPr>
        <w:t>RECURRENTE</w:t>
      </w:r>
      <w:r w:rsidRPr="00273733">
        <w:rPr>
          <w:rFonts w:ascii="Palatino Linotype" w:eastAsia="MS Gothic" w:hAnsi="Palatino Linotype" w:cstheme="majorBidi"/>
          <w:b/>
        </w:rPr>
        <w:t xml:space="preserve"> </w:t>
      </w:r>
      <w:r w:rsidRPr="00273733">
        <w:rPr>
          <w:rFonts w:ascii="Palatino Linotype" w:eastAsia="MS Gothic" w:hAnsi="Palatino Linotype" w:cstheme="majorBidi"/>
        </w:rPr>
        <w:t xml:space="preserve">no se inconformó por la totalidad de la respuesta. Bajo ese tenor, se tiene que la parte de la respuesta que no fue impugnada debe declararse como consentida, toda vez que, </w:t>
      </w:r>
      <w:r w:rsidRPr="00273733">
        <w:rPr>
          <w:rFonts w:ascii="Palatino Linotype" w:eastAsia="Palatino Linotype" w:hAnsi="Palatino Linotype" w:cs="Palatino Linotype"/>
          <w:color w:val="000000"/>
        </w:rPr>
        <w:t xml:space="preserve">al no haber realizado manifestaciones de inconformidad al respecto, se infiere que la información proporcionada por el </w:t>
      </w:r>
      <w:r w:rsidRPr="00273733">
        <w:rPr>
          <w:rFonts w:ascii="Palatino Linotype" w:eastAsia="Palatino Linotype" w:hAnsi="Palatino Linotype" w:cs="Palatino Linotype"/>
          <w:b/>
          <w:color w:val="000000"/>
        </w:rPr>
        <w:t>SUJETO OBLIGADO</w:t>
      </w:r>
      <w:r w:rsidRPr="00273733">
        <w:rPr>
          <w:rFonts w:ascii="Palatino Linotype" w:eastAsia="Palatino Linotype" w:hAnsi="Palatino Linotype" w:cs="Palatino Linotype"/>
          <w:color w:val="000000"/>
        </w:rPr>
        <w:t xml:space="preserve"> satisface este punto de la solicitud presentada.</w:t>
      </w:r>
    </w:p>
    <w:p w:rsidR="00C12AAA" w:rsidRPr="00273733" w:rsidRDefault="00C12AAA" w:rsidP="00C12AAA">
      <w:pPr>
        <w:spacing w:line="360" w:lineRule="auto"/>
        <w:ind w:right="1"/>
        <w:jc w:val="both"/>
        <w:rPr>
          <w:rFonts w:ascii="Palatino Linotype" w:eastAsia="Palatino Linotype" w:hAnsi="Palatino Linotype" w:cs="Palatino Linotype"/>
          <w:b/>
          <w:bCs/>
        </w:rPr>
      </w:pPr>
    </w:p>
    <w:p w:rsidR="00C12AAA" w:rsidRPr="00273733" w:rsidRDefault="00C12AAA" w:rsidP="00C12AAA">
      <w:pPr>
        <w:numPr>
          <w:ilvl w:val="0"/>
          <w:numId w:val="2"/>
        </w:numPr>
        <w:spacing w:line="360" w:lineRule="auto"/>
        <w:ind w:left="0" w:right="1" w:firstLine="0"/>
        <w:jc w:val="both"/>
        <w:rPr>
          <w:rFonts w:ascii="Palatino Linotype" w:eastAsia="Palatino Linotype" w:hAnsi="Palatino Linotype" w:cs="Palatino Linotype"/>
          <w:b/>
          <w:bCs/>
        </w:rPr>
      </w:pPr>
      <w:r w:rsidRPr="00273733">
        <w:rPr>
          <w:rFonts w:ascii="Palatino Linotype" w:eastAsia="Calibri" w:hAnsi="Palatino Linotype" w:cs="Arial"/>
          <w:color w:val="000000" w:themeColor="text1"/>
          <w:lang w:val="es-ES"/>
        </w:rPr>
        <w:t xml:space="preserve">Lo </w:t>
      </w:r>
      <w:r w:rsidRPr="00273733">
        <w:rPr>
          <w:rFonts w:ascii="Palatino Linotype" w:eastAsia="Palatino Linotype" w:hAnsi="Palatino Linotype" w:cs="Palatino Linotype"/>
          <w:color w:val="000000"/>
        </w:rPr>
        <w:t xml:space="preserve">anterior es así, debido a que cuando un Recurrente impugna la respuesta del </w:t>
      </w:r>
      <w:r w:rsidRPr="00273733">
        <w:rPr>
          <w:rFonts w:ascii="Palatino Linotype" w:eastAsia="Palatino Linotype" w:hAnsi="Palatino Linotype" w:cs="Palatino Linotype"/>
          <w:b/>
          <w:color w:val="000000"/>
        </w:rPr>
        <w:t>SUJETO OBLIGADO</w:t>
      </w:r>
      <w:r w:rsidRPr="00273733">
        <w:rPr>
          <w:rFonts w:ascii="Palatino Linotype" w:eastAsia="Palatino Linotype" w:hAnsi="Palatino Linotype" w:cs="Palatino Linotype"/>
          <w:color w:val="000000"/>
        </w:rPr>
        <w:t>, y éste no expresa Razón o Motivo de Inconformidad en contra de todos los rubros solicitados, dichos rubros deben declararse atendidos, pues se entiende que el Recurrente está conforme con la información entregada al no contravenir la misma. Sirve de Apoyo a lo anterior, por analogía la Tesis Jurisprudencial Número 3ª./J.7/91, Publicada en el Semanario Judicial de la Federación y su Gaceta bajo el número de registro 174,177, que establece lo siguiente:</w:t>
      </w:r>
    </w:p>
    <w:p w:rsidR="00C12AAA" w:rsidRPr="00273733" w:rsidRDefault="00C12AAA" w:rsidP="00C12AAA">
      <w:pPr>
        <w:pStyle w:val="Prrafodelista"/>
        <w:tabs>
          <w:tab w:val="left" w:pos="426"/>
          <w:tab w:val="left" w:pos="567"/>
        </w:tabs>
        <w:spacing w:line="360" w:lineRule="auto"/>
        <w:ind w:left="0"/>
        <w:jc w:val="both"/>
        <w:rPr>
          <w:rFonts w:ascii="Palatino Linotype" w:eastAsia="Calibri" w:hAnsi="Palatino Linotype" w:cs="Arial"/>
          <w:color w:val="000000" w:themeColor="text1"/>
          <w:sz w:val="24"/>
          <w:lang w:val="es-ES"/>
        </w:rPr>
      </w:pPr>
    </w:p>
    <w:p w:rsidR="00C12AAA" w:rsidRPr="00273733" w:rsidRDefault="00C12AAA" w:rsidP="00C12AAA">
      <w:pPr>
        <w:pStyle w:val="Prrafodelista"/>
        <w:ind w:left="567" w:right="565"/>
        <w:jc w:val="both"/>
        <w:rPr>
          <w:rFonts w:ascii="Palatino Linotype" w:eastAsia="Palatino Linotype" w:hAnsi="Palatino Linotype" w:cs="Palatino Linotype"/>
          <w:i/>
          <w:color w:val="000000"/>
          <w:sz w:val="24"/>
        </w:rPr>
      </w:pPr>
      <w:r w:rsidRPr="00273733">
        <w:rPr>
          <w:rFonts w:ascii="Palatino Linotype" w:eastAsia="Palatino Linotype" w:hAnsi="Palatino Linotype" w:cs="Palatino Linotype"/>
          <w:b/>
          <w:i/>
          <w:color w:val="000000"/>
          <w:sz w:val="24"/>
        </w:rPr>
        <w:lastRenderedPageBreak/>
        <w:t xml:space="preserve">“REVISIÓN EN AMPARO. LOS RESOLUTIVOS NO COMBATIDOS DEBEN DECLARARSE FIRMES. </w:t>
      </w:r>
      <w:r w:rsidRPr="00273733">
        <w:rPr>
          <w:rFonts w:ascii="Palatino Linotype" w:eastAsia="Palatino Linotype" w:hAnsi="Palatino Linotype" w:cs="Palatino Linotype"/>
          <w:i/>
          <w:color w:val="000000"/>
          <w:sz w:val="24"/>
        </w:rPr>
        <w:t>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rsidR="00C12AAA" w:rsidRPr="00273733" w:rsidRDefault="00C12AAA" w:rsidP="00C12AAA">
      <w:pPr>
        <w:pStyle w:val="Prrafodelista"/>
        <w:tabs>
          <w:tab w:val="left" w:pos="426"/>
          <w:tab w:val="left" w:pos="567"/>
        </w:tabs>
        <w:spacing w:line="360" w:lineRule="auto"/>
        <w:ind w:left="0"/>
        <w:jc w:val="both"/>
        <w:rPr>
          <w:rFonts w:ascii="Palatino Linotype" w:eastAsia="Calibri" w:hAnsi="Palatino Linotype" w:cs="Arial"/>
          <w:color w:val="000000" w:themeColor="text1"/>
          <w:sz w:val="24"/>
          <w:lang w:val="es-ES"/>
        </w:rPr>
      </w:pPr>
    </w:p>
    <w:p w:rsidR="00C12AAA" w:rsidRPr="00273733" w:rsidRDefault="00C12AAA" w:rsidP="00273733">
      <w:pPr>
        <w:pStyle w:val="Prrafodelista"/>
        <w:numPr>
          <w:ilvl w:val="0"/>
          <w:numId w:val="2"/>
        </w:numPr>
        <w:spacing w:line="360" w:lineRule="auto"/>
        <w:ind w:left="0" w:firstLine="0"/>
        <w:jc w:val="both"/>
        <w:rPr>
          <w:rFonts w:ascii="Palatino Linotype" w:eastAsia="Calibri" w:hAnsi="Palatino Linotype" w:cs="Arial"/>
          <w:color w:val="000000" w:themeColor="text1"/>
          <w:sz w:val="24"/>
          <w:lang w:val="es-ES"/>
        </w:rPr>
      </w:pPr>
      <w:r w:rsidRPr="00273733">
        <w:rPr>
          <w:rFonts w:ascii="Palatino Linotype" w:eastAsia="Calibri" w:hAnsi="Palatino Linotype" w:cs="Arial"/>
          <w:color w:val="000000" w:themeColor="text1"/>
          <w:sz w:val="24"/>
          <w:lang w:val="es-ES"/>
        </w:rPr>
        <w:t xml:space="preserve">Consecuentemente, </w:t>
      </w:r>
      <w:r w:rsidRPr="00273733">
        <w:rPr>
          <w:rFonts w:ascii="Palatino Linotype" w:eastAsia="Palatino Linotype" w:hAnsi="Palatino Linotype" w:cs="Palatino Linotype"/>
          <w:color w:val="000000"/>
          <w:sz w:val="24"/>
        </w:rPr>
        <w:t>se reitera que la parte de la solicitud que no fue impugnada debe declararse consentida por el Recurrente, debido a que no se realizaron manifestaciones de inconformidad, por</w:t>
      </w:r>
      <w:r w:rsidRPr="00273733">
        <w:rPr>
          <w:rFonts w:ascii="Palatino Linotype" w:eastAsia="Palatino Linotype" w:hAnsi="Palatino Linotype" w:cs="Palatino Linotype"/>
          <w:bCs/>
          <w:color w:val="000000"/>
          <w:sz w:val="24"/>
        </w:rPr>
        <w:t xml:space="preserve"> lo que no pueden producirse efectos jurídicos tendentes a revocar, confirmar o modificar el acto reclamado ya que se infiere un consentimiento del Recurrente</w:t>
      </w:r>
      <w:r w:rsidRPr="00273733">
        <w:rPr>
          <w:rFonts w:ascii="Palatino Linotype" w:eastAsia="Palatino Linotype" w:hAnsi="Palatino Linotype" w:cs="Palatino Linotype"/>
          <w:b/>
          <w:color w:val="000000"/>
          <w:sz w:val="24"/>
        </w:rPr>
        <w:t xml:space="preserve"> </w:t>
      </w:r>
      <w:r w:rsidRPr="00273733">
        <w:rPr>
          <w:rFonts w:ascii="Palatino Linotype" w:eastAsia="Palatino Linotype" w:hAnsi="Palatino Linotype" w:cs="Palatino Linotype"/>
          <w:color w:val="000000"/>
          <w:sz w:val="24"/>
        </w:rPr>
        <w:t>ante la falta de impugnación eficaz.</w:t>
      </w:r>
    </w:p>
    <w:p w:rsidR="00273733" w:rsidRPr="00273733" w:rsidRDefault="00273733" w:rsidP="00273733">
      <w:pPr>
        <w:pStyle w:val="Prrafodelista"/>
        <w:spacing w:line="360" w:lineRule="auto"/>
        <w:ind w:left="0"/>
        <w:jc w:val="both"/>
        <w:rPr>
          <w:rFonts w:ascii="Palatino Linotype" w:eastAsia="Calibri" w:hAnsi="Palatino Linotype" w:cs="Arial"/>
          <w:color w:val="000000" w:themeColor="text1"/>
          <w:sz w:val="24"/>
          <w:lang w:val="es-ES"/>
        </w:rPr>
      </w:pPr>
    </w:p>
    <w:p w:rsidR="00C12AAA" w:rsidRPr="00273733" w:rsidRDefault="00C12AAA" w:rsidP="00C12AAA">
      <w:pPr>
        <w:pStyle w:val="Prrafodelista"/>
        <w:numPr>
          <w:ilvl w:val="0"/>
          <w:numId w:val="2"/>
        </w:numPr>
        <w:tabs>
          <w:tab w:val="left" w:pos="426"/>
          <w:tab w:val="left" w:pos="567"/>
        </w:tabs>
        <w:spacing w:line="360" w:lineRule="auto"/>
        <w:ind w:left="0" w:firstLine="0"/>
        <w:jc w:val="both"/>
        <w:rPr>
          <w:rFonts w:ascii="Palatino Linotype" w:eastAsia="Calibri" w:hAnsi="Palatino Linotype" w:cs="Arial"/>
          <w:color w:val="000000" w:themeColor="text1"/>
          <w:sz w:val="24"/>
          <w:lang w:val="es-ES"/>
        </w:rPr>
      </w:pPr>
      <w:r w:rsidRPr="00273733">
        <w:rPr>
          <w:rFonts w:ascii="Palatino Linotype" w:eastAsia="Calibri" w:hAnsi="Palatino Linotype" w:cs="Arial"/>
          <w:color w:val="000000" w:themeColor="text1"/>
          <w:sz w:val="24"/>
          <w:lang w:val="es-ES"/>
        </w:rPr>
        <w:t xml:space="preserve">Sirve </w:t>
      </w:r>
      <w:r w:rsidRPr="00273733">
        <w:rPr>
          <w:rFonts w:ascii="Palatino Linotype" w:eastAsia="Palatino Linotype" w:hAnsi="Palatino Linotype" w:cs="Palatino Linotype"/>
          <w:color w:val="000000"/>
          <w:sz w:val="24"/>
        </w:rPr>
        <w:t>de sustento a lo anterior por analogía la tesis jurisprudencial número VI.3o.C. J/60, publicada en el Semanario Judicial de la Federación y su Gaceta bajo el número de registro 176,608 que a la letra dice:</w:t>
      </w:r>
    </w:p>
    <w:p w:rsidR="00C12AAA" w:rsidRPr="00273733" w:rsidRDefault="00C12AAA" w:rsidP="00C12AAA">
      <w:pPr>
        <w:pStyle w:val="Prrafodelista"/>
        <w:ind w:left="567" w:right="539"/>
        <w:jc w:val="both"/>
        <w:rPr>
          <w:rFonts w:ascii="Palatino Linotype" w:eastAsia="Palatino Linotype" w:hAnsi="Palatino Linotype" w:cs="Palatino Linotype"/>
          <w:i/>
          <w:color w:val="000000"/>
          <w:sz w:val="24"/>
        </w:rPr>
      </w:pPr>
      <w:r w:rsidRPr="00273733">
        <w:rPr>
          <w:rFonts w:ascii="Palatino Linotype" w:eastAsia="Palatino Linotype" w:hAnsi="Palatino Linotype" w:cs="Palatino Linotype"/>
          <w:b/>
          <w:i/>
          <w:smallCaps/>
          <w:color w:val="000000"/>
          <w:sz w:val="24"/>
        </w:rPr>
        <w:t xml:space="preserve">ACTOS CONSENTIDOS. SON LOS QUE NO SE IMPUGNAN MEDIANTE EL RECURSO IDÓNEO. </w:t>
      </w:r>
      <w:r w:rsidRPr="00273733">
        <w:rPr>
          <w:rFonts w:ascii="Palatino Linotype" w:eastAsia="Palatino Linotype" w:hAnsi="Palatino Linotype" w:cs="Palatino Linotype"/>
          <w:i/>
          <w:color w:val="000000"/>
          <w:sz w:val="24"/>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rsidR="00C12AAA" w:rsidRPr="00273733" w:rsidRDefault="00C12AAA" w:rsidP="00C12AAA">
      <w:pPr>
        <w:pStyle w:val="Prrafodelista"/>
        <w:tabs>
          <w:tab w:val="left" w:pos="426"/>
          <w:tab w:val="left" w:pos="567"/>
        </w:tabs>
        <w:spacing w:line="360" w:lineRule="auto"/>
        <w:ind w:left="0"/>
        <w:jc w:val="both"/>
        <w:rPr>
          <w:rFonts w:ascii="Palatino Linotype" w:eastAsia="Calibri" w:hAnsi="Palatino Linotype" w:cs="Arial"/>
          <w:color w:val="000000" w:themeColor="text1"/>
          <w:sz w:val="24"/>
          <w:lang w:val="es-ES"/>
        </w:rPr>
      </w:pPr>
    </w:p>
    <w:p w:rsidR="00C12AAA" w:rsidRPr="00273733" w:rsidRDefault="00C12AAA" w:rsidP="00C12AAA">
      <w:pPr>
        <w:pStyle w:val="Prrafodelista"/>
        <w:numPr>
          <w:ilvl w:val="0"/>
          <w:numId w:val="2"/>
        </w:numPr>
        <w:tabs>
          <w:tab w:val="left" w:pos="426"/>
          <w:tab w:val="left" w:pos="567"/>
        </w:tabs>
        <w:spacing w:line="360" w:lineRule="auto"/>
        <w:ind w:left="0" w:firstLine="0"/>
        <w:jc w:val="both"/>
        <w:rPr>
          <w:rFonts w:ascii="Palatino Linotype" w:eastAsia="Calibri" w:hAnsi="Palatino Linotype" w:cs="Arial"/>
          <w:color w:val="000000" w:themeColor="text1"/>
          <w:sz w:val="24"/>
          <w:lang w:val="es-ES"/>
        </w:rPr>
      </w:pPr>
      <w:r w:rsidRPr="00273733">
        <w:rPr>
          <w:rFonts w:ascii="Palatino Linotype" w:eastAsia="Calibri" w:hAnsi="Palatino Linotype" w:cs="Arial"/>
          <w:color w:val="000000" w:themeColor="text1"/>
          <w:sz w:val="24"/>
          <w:lang w:val="es-ES"/>
        </w:rPr>
        <w:t xml:space="preserve">Para </w:t>
      </w:r>
      <w:r w:rsidRPr="00273733">
        <w:rPr>
          <w:rFonts w:ascii="Palatino Linotype" w:eastAsia="Palatino Linotype" w:hAnsi="Palatino Linotype" w:cs="Palatino Linotype"/>
          <w:sz w:val="24"/>
        </w:rPr>
        <w:t>mayor abundamiento, también resulta aplicable el criterio 01/20 emitido por el Instituto Nacional de Transparencia, Acceso a la Información Pública y Protección de Datos Personales, que a la letra estipula lo siguiente:</w:t>
      </w:r>
    </w:p>
    <w:p w:rsidR="00C12AAA" w:rsidRPr="00273733" w:rsidRDefault="00C12AAA" w:rsidP="00C12AAA">
      <w:pPr>
        <w:pStyle w:val="Prrafodelista"/>
        <w:tabs>
          <w:tab w:val="left" w:pos="426"/>
          <w:tab w:val="left" w:pos="567"/>
        </w:tabs>
        <w:spacing w:line="360" w:lineRule="auto"/>
        <w:ind w:left="0"/>
        <w:jc w:val="both"/>
        <w:rPr>
          <w:rFonts w:ascii="Palatino Linotype" w:eastAsia="Calibri" w:hAnsi="Palatino Linotype" w:cs="Arial"/>
          <w:color w:val="000000" w:themeColor="text1"/>
          <w:sz w:val="24"/>
          <w:lang w:val="es-ES"/>
        </w:rPr>
      </w:pPr>
    </w:p>
    <w:p w:rsidR="00C12AAA" w:rsidRPr="00273733" w:rsidRDefault="00C12AAA" w:rsidP="00C12AAA">
      <w:pPr>
        <w:pStyle w:val="Prrafodelista"/>
        <w:ind w:left="567" w:right="539"/>
        <w:jc w:val="both"/>
        <w:rPr>
          <w:rFonts w:ascii="Palatino Linotype" w:eastAsia="Palatino Linotype" w:hAnsi="Palatino Linotype" w:cs="Palatino Linotype"/>
          <w:i/>
          <w:sz w:val="24"/>
        </w:rPr>
      </w:pPr>
      <w:r w:rsidRPr="00273733">
        <w:rPr>
          <w:rFonts w:ascii="Palatino Linotype" w:eastAsia="Palatino Linotype" w:hAnsi="Palatino Linotype" w:cs="Palatino Linotype"/>
          <w:b/>
          <w:i/>
          <w:sz w:val="24"/>
        </w:rPr>
        <w:lastRenderedPageBreak/>
        <w:t>Actos consentidos tácitamente. Improcedencia de su análisis.</w:t>
      </w:r>
      <w:r w:rsidRPr="00273733">
        <w:rPr>
          <w:rFonts w:ascii="Palatino Linotype" w:eastAsia="Palatino Linotype" w:hAnsi="Palatino Linotype" w:cs="Palatino Linotype"/>
          <w:i/>
          <w:sz w:val="24"/>
        </w:rPr>
        <w:t xml:space="preserve"> Si en su recurso de revisión, la persona recurrente no expresó inconformidad alguna con ciertas partes de la respuesta otorgada, se entienden tácitamente consentidas, por ende, no deben formar parte del estudio de fondo de la resolución que emite el Instituto.</w:t>
      </w:r>
    </w:p>
    <w:p w:rsidR="00C12AAA" w:rsidRPr="00273733" w:rsidRDefault="00C12AAA" w:rsidP="00C12AAA">
      <w:pPr>
        <w:pStyle w:val="Prrafodelista"/>
        <w:tabs>
          <w:tab w:val="left" w:pos="426"/>
          <w:tab w:val="left" w:pos="567"/>
        </w:tabs>
        <w:spacing w:line="360" w:lineRule="auto"/>
        <w:ind w:left="0"/>
        <w:jc w:val="both"/>
        <w:rPr>
          <w:rFonts w:ascii="Palatino Linotype" w:eastAsia="Calibri" w:hAnsi="Palatino Linotype" w:cs="Arial"/>
          <w:color w:val="000000" w:themeColor="text1"/>
          <w:sz w:val="24"/>
          <w:lang w:val="es-ES"/>
        </w:rPr>
      </w:pPr>
    </w:p>
    <w:p w:rsidR="00C12AAA" w:rsidRPr="00273733" w:rsidRDefault="00C12AAA" w:rsidP="00C12AAA">
      <w:pPr>
        <w:pStyle w:val="Prrafodelista"/>
        <w:numPr>
          <w:ilvl w:val="0"/>
          <w:numId w:val="2"/>
        </w:numPr>
        <w:spacing w:line="360" w:lineRule="auto"/>
        <w:ind w:left="0" w:right="1" w:firstLine="0"/>
        <w:jc w:val="both"/>
        <w:rPr>
          <w:rFonts w:ascii="Palatino Linotype" w:eastAsia="Palatino Linotype" w:hAnsi="Palatino Linotype" w:cs="Palatino Linotype"/>
          <w:b/>
          <w:bCs/>
          <w:sz w:val="24"/>
        </w:rPr>
      </w:pPr>
      <w:r w:rsidRPr="00273733">
        <w:rPr>
          <w:rFonts w:ascii="Palatino Linotype" w:eastAsia="Calibri" w:hAnsi="Palatino Linotype" w:cs="Arial"/>
          <w:color w:val="000000" w:themeColor="text1"/>
          <w:sz w:val="24"/>
          <w:lang w:val="es-ES"/>
        </w:rPr>
        <w:t xml:space="preserve">De </w:t>
      </w:r>
      <w:r w:rsidRPr="00273733">
        <w:rPr>
          <w:rFonts w:ascii="Palatino Linotype" w:eastAsia="Palatino Linotype" w:hAnsi="Palatino Linotype" w:cs="Palatino Linotype"/>
          <w:sz w:val="24"/>
        </w:rPr>
        <w:t xml:space="preserve">lo anteriormente referido, y a efecto de garantizar el efectivo ejercicio del derecho de acceso a la información pública que asiste al </w:t>
      </w:r>
      <w:r w:rsidRPr="00273733">
        <w:rPr>
          <w:rFonts w:ascii="Palatino Linotype" w:eastAsia="Palatino Linotype" w:hAnsi="Palatino Linotype" w:cs="Palatino Linotype"/>
          <w:b/>
          <w:sz w:val="24"/>
        </w:rPr>
        <w:t>RECURRENTE</w:t>
      </w:r>
      <w:r w:rsidRPr="00273733">
        <w:rPr>
          <w:rFonts w:ascii="Palatino Linotype" w:eastAsia="Palatino Linotype" w:hAnsi="Palatino Linotype" w:cs="Palatino Linotype"/>
          <w:sz w:val="24"/>
        </w:rPr>
        <w:t xml:space="preserve">, resulta conveniente precisar que el presente análisis versará únicamente sobre, </w:t>
      </w:r>
      <w:r w:rsidRPr="00273733">
        <w:rPr>
          <w:rFonts w:ascii="Palatino Linotype" w:eastAsia="Palatino Linotype" w:hAnsi="Palatino Linotype" w:cs="Palatino Linotype"/>
          <w:b/>
          <w:sz w:val="24"/>
        </w:rPr>
        <w:t>el enlace electrónico relativo a</w:t>
      </w:r>
      <w:r w:rsidRPr="00273733">
        <w:rPr>
          <w:rFonts w:ascii="Palatino Linotype" w:eastAsia="Palatino Linotype" w:hAnsi="Palatino Linotype" w:cs="Palatino Linotype"/>
          <w:sz w:val="24"/>
        </w:rPr>
        <w:t xml:space="preserve"> </w:t>
      </w:r>
      <w:r w:rsidRPr="00273733">
        <w:rPr>
          <w:rFonts w:ascii="Palatino Linotype" w:hAnsi="Palatino Linotype"/>
          <w:b/>
          <w:color w:val="000000"/>
          <w:sz w:val="24"/>
        </w:rPr>
        <w:t>los instrumentos de control archivístico vigentes y en su versión final.</w:t>
      </w:r>
    </w:p>
    <w:p w:rsidR="00C12AAA" w:rsidRPr="00273733" w:rsidRDefault="00C12AAA" w:rsidP="00C12AAA">
      <w:pPr>
        <w:pStyle w:val="Prrafodelista"/>
        <w:spacing w:line="360" w:lineRule="auto"/>
        <w:ind w:left="0" w:right="1"/>
        <w:jc w:val="both"/>
        <w:rPr>
          <w:rFonts w:ascii="Palatino Linotype" w:eastAsia="Palatino Linotype" w:hAnsi="Palatino Linotype" w:cs="Palatino Linotype"/>
          <w:b/>
          <w:bCs/>
          <w:sz w:val="24"/>
        </w:rPr>
      </w:pPr>
    </w:p>
    <w:p w:rsidR="00C12AAA" w:rsidRPr="00273733" w:rsidRDefault="00C12AAA" w:rsidP="00C12AAA">
      <w:pPr>
        <w:pStyle w:val="Prrafodelista"/>
        <w:numPr>
          <w:ilvl w:val="0"/>
          <w:numId w:val="2"/>
        </w:numPr>
        <w:spacing w:line="360" w:lineRule="auto"/>
        <w:ind w:left="0" w:right="1" w:firstLine="0"/>
        <w:jc w:val="both"/>
        <w:rPr>
          <w:rFonts w:ascii="Palatino Linotype" w:eastAsia="Palatino Linotype" w:hAnsi="Palatino Linotype" w:cs="Palatino Linotype"/>
          <w:b/>
          <w:bCs/>
          <w:sz w:val="24"/>
        </w:rPr>
      </w:pPr>
      <w:r w:rsidRPr="00273733">
        <w:rPr>
          <w:rFonts w:ascii="Palatino Linotype" w:eastAsia="Palatino Linotype" w:hAnsi="Palatino Linotype" w:cs="Palatino Linotype"/>
          <w:bCs/>
          <w:sz w:val="24"/>
        </w:rPr>
        <w:t>Así, mediante un acto jurídico posterior como lo es el informe justificado, el</w:t>
      </w:r>
      <w:r w:rsidRPr="00273733">
        <w:rPr>
          <w:rFonts w:ascii="Palatino Linotype" w:eastAsia="Palatino Linotype" w:hAnsi="Palatino Linotype" w:cs="Palatino Linotype"/>
          <w:b/>
          <w:bCs/>
          <w:sz w:val="24"/>
        </w:rPr>
        <w:t xml:space="preserve"> SUJETO OBLIGADO </w:t>
      </w:r>
      <w:r w:rsidRPr="00273733">
        <w:rPr>
          <w:rFonts w:ascii="Palatino Linotype" w:eastAsia="Palatino Linotype" w:hAnsi="Palatino Linotype" w:cs="Palatino Linotype"/>
          <w:bCs/>
          <w:sz w:val="24"/>
        </w:rPr>
        <w:t xml:space="preserve">realizó la siguiente precisión: </w:t>
      </w:r>
      <w:r w:rsidRPr="00273733">
        <w:rPr>
          <w:rFonts w:ascii="Palatino Linotype" w:eastAsia="Palatino Linotype" w:hAnsi="Palatino Linotype" w:cs="Palatino Linotype"/>
          <w:b/>
          <w:i/>
          <w:color w:val="000000"/>
          <w:sz w:val="24"/>
        </w:rPr>
        <w:t xml:space="preserve">“… </w:t>
      </w:r>
      <w:r w:rsidRPr="00273733">
        <w:rPr>
          <w:rFonts w:ascii="Palatino Linotype" w:hAnsi="Palatino Linotype"/>
          <w:i/>
          <w:sz w:val="24"/>
        </w:rPr>
        <w:t xml:space="preserve">es importante mencionar que la liga a la que hace referencia el recurrente en sus motivos de inconformidad, no es la misma que se le proporcionó en la respuesta inicial, siendo la que a continuación se transcribe: </w:t>
      </w:r>
      <w:r w:rsidRPr="00273733">
        <w:rPr>
          <w:rFonts w:ascii="Palatino Linotype" w:hAnsi="Palatino Linotype"/>
          <w:i/>
          <w:color w:val="0462C1"/>
          <w:sz w:val="24"/>
        </w:rPr>
        <w:t>https://infoem2.ipomex.org.mx/ipomex/#/info-fraccion/80/85/12</w:t>
      </w:r>
      <w:r w:rsidRPr="00273733">
        <w:rPr>
          <w:rFonts w:ascii="Palatino Linotype" w:hAnsi="Palatino Linotype"/>
          <w:i/>
          <w:sz w:val="24"/>
        </w:rPr>
        <w:t xml:space="preserve">, muy diferente a la que se señala en el recurso: </w:t>
      </w:r>
      <w:r w:rsidRPr="00273733">
        <w:rPr>
          <w:rFonts w:ascii="Palatino Linotype" w:hAnsi="Palatino Linotype"/>
          <w:i/>
          <w:color w:val="0462C1"/>
          <w:sz w:val="24"/>
        </w:rPr>
        <w:t>https://infoem2.opomez.org.mx/#/info-fracci%C3%B3n/80/85/12</w:t>
      </w:r>
      <w:r w:rsidRPr="00273733">
        <w:rPr>
          <w:rFonts w:ascii="Palatino Linotype" w:hAnsi="Palatino Linotype"/>
          <w:i/>
          <w:sz w:val="24"/>
        </w:rPr>
        <w:t>, lo cual se puede corroborar accediendo a la liga</w:t>
      </w:r>
      <w:r w:rsidRPr="00273733">
        <w:rPr>
          <w:rFonts w:ascii="Palatino Linotype" w:eastAsia="Palatino Linotype" w:hAnsi="Palatino Linotype" w:cs="Palatino Linotype"/>
          <w:b/>
          <w:i/>
          <w:color w:val="000000"/>
          <w:sz w:val="24"/>
        </w:rPr>
        <w:t>…” (Sic)</w:t>
      </w:r>
    </w:p>
    <w:p w:rsidR="00C12AAA" w:rsidRPr="00273733" w:rsidRDefault="00C12AAA" w:rsidP="00C12AAA">
      <w:pPr>
        <w:spacing w:line="360" w:lineRule="auto"/>
        <w:ind w:right="1"/>
        <w:jc w:val="both"/>
        <w:rPr>
          <w:rFonts w:ascii="Palatino Linotype" w:eastAsia="Palatino Linotype" w:hAnsi="Palatino Linotype" w:cs="Palatino Linotype"/>
          <w:b/>
          <w:bCs/>
        </w:rPr>
      </w:pPr>
    </w:p>
    <w:p w:rsidR="00C12AAA" w:rsidRPr="00273733" w:rsidRDefault="00C12AAA" w:rsidP="004D0003">
      <w:pPr>
        <w:numPr>
          <w:ilvl w:val="0"/>
          <w:numId w:val="2"/>
        </w:numPr>
        <w:spacing w:line="360" w:lineRule="auto"/>
        <w:ind w:left="0" w:right="1" w:firstLine="0"/>
        <w:jc w:val="both"/>
        <w:rPr>
          <w:rFonts w:ascii="Palatino Linotype" w:eastAsia="Palatino Linotype" w:hAnsi="Palatino Linotype" w:cs="Palatino Linotype"/>
          <w:bCs/>
        </w:rPr>
      </w:pPr>
      <w:r w:rsidRPr="00273733">
        <w:rPr>
          <w:rFonts w:ascii="Palatino Linotype" w:eastAsia="Palatino Linotype" w:hAnsi="Palatino Linotype" w:cs="Palatino Linotype"/>
          <w:bCs/>
        </w:rPr>
        <w:t xml:space="preserve">En atención a lo anterior, este Organismo Garante accedió al enlace electrónico proporcionado por el </w:t>
      </w:r>
      <w:r w:rsidRPr="00273733">
        <w:rPr>
          <w:rFonts w:ascii="Palatino Linotype" w:eastAsia="Palatino Linotype" w:hAnsi="Palatino Linotype" w:cs="Palatino Linotype"/>
          <w:b/>
          <w:bCs/>
        </w:rPr>
        <w:t>SUJETO OBLIAGADO,</w:t>
      </w:r>
      <w:r w:rsidRPr="00273733">
        <w:rPr>
          <w:rFonts w:ascii="Palatino Linotype" w:eastAsia="Palatino Linotype" w:hAnsi="Palatino Linotype" w:cs="Palatino Linotype"/>
          <w:bCs/>
        </w:rPr>
        <w:t xml:space="preserve"> del cual se desprende los siguiente:</w:t>
      </w:r>
    </w:p>
    <w:p w:rsidR="00C12AAA" w:rsidRPr="00273733" w:rsidRDefault="00C12AAA" w:rsidP="00C12AAA">
      <w:pPr>
        <w:spacing w:line="360" w:lineRule="auto"/>
        <w:ind w:right="1"/>
        <w:jc w:val="both"/>
        <w:rPr>
          <w:rFonts w:ascii="Palatino Linotype" w:eastAsia="Palatino Linotype" w:hAnsi="Palatino Linotype" w:cs="Palatino Linotype"/>
          <w:bCs/>
        </w:rPr>
      </w:pPr>
    </w:p>
    <w:p w:rsidR="00C12AAA" w:rsidRDefault="00C12AAA" w:rsidP="00C12AAA">
      <w:pPr>
        <w:spacing w:line="360" w:lineRule="auto"/>
        <w:ind w:right="1"/>
        <w:jc w:val="both"/>
        <w:rPr>
          <w:rFonts w:ascii="Palatino Linotype" w:eastAsia="Palatino Linotype" w:hAnsi="Palatino Linotype" w:cs="Palatino Linotype"/>
          <w:bCs/>
        </w:rPr>
      </w:pPr>
      <w:r w:rsidRPr="00273733">
        <w:rPr>
          <w:rFonts w:ascii="Palatino Linotype" w:eastAsia="Palatino Linotype" w:hAnsi="Palatino Linotype" w:cs="Palatino Linotype"/>
          <w:bCs/>
          <w:noProof/>
        </w:rPr>
        <w:lastRenderedPageBreak/>
        <w:drawing>
          <wp:inline distT="0" distB="0" distL="0" distR="0" wp14:anchorId="028B911B" wp14:editId="2BA56E57">
            <wp:extent cx="5941060" cy="5488940"/>
            <wp:effectExtent l="0" t="0" r="254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1060" cy="5488940"/>
                    </a:xfrm>
                    <a:prstGeom prst="rect">
                      <a:avLst/>
                    </a:prstGeom>
                  </pic:spPr>
                </pic:pic>
              </a:graphicData>
            </a:graphic>
          </wp:inline>
        </w:drawing>
      </w:r>
    </w:p>
    <w:p w:rsidR="00273733" w:rsidRPr="00273733" w:rsidRDefault="00273733" w:rsidP="00C12AAA">
      <w:pPr>
        <w:spacing w:line="360" w:lineRule="auto"/>
        <w:ind w:right="1"/>
        <w:jc w:val="both"/>
        <w:rPr>
          <w:rFonts w:ascii="Palatino Linotype" w:eastAsia="Palatino Linotype" w:hAnsi="Palatino Linotype" w:cs="Palatino Linotype"/>
          <w:bCs/>
        </w:rPr>
      </w:pPr>
    </w:p>
    <w:p w:rsidR="00C12AAA" w:rsidRPr="00273733" w:rsidRDefault="00B2019C" w:rsidP="004D0003">
      <w:pPr>
        <w:numPr>
          <w:ilvl w:val="0"/>
          <w:numId w:val="2"/>
        </w:numPr>
        <w:spacing w:line="360" w:lineRule="auto"/>
        <w:ind w:left="0" w:right="1" w:firstLine="0"/>
        <w:jc w:val="both"/>
        <w:rPr>
          <w:rFonts w:ascii="Palatino Linotype" w:eastAsia="Palatino Linotype" w:hAnsi="Palatino Linotype" w:cs="Palatino Linotype"/>
          <w:b/>
          <w:bCs/>
        </w:rPr>
      </w:pPr>
      <w:r w:rsidRPr="00273733">
        <w:rPr>
          <w:rFonts w:ascii="Palatino Linotype" w:eastAsia="Palatino Linotype" w:hAnsi="Palatino Linotype" w:cs="Palatino Linotype"/>
          <w:bCs/>
        </w:rPr>
        <w:t xml:space="preserve">De lo expuesto, se advierte que es posible consultar los </w:t>
      </w:r>
      <w:r w:rsidRPr="00273733">
        <w:rPr>
          <w:rFonts w:ascii="Palatino Linotype" w:eastAsia="Palatino Linotype" w:hAnsi="Palatino Linotype" w:cs="Palatino Linotype"/>
          <w:b/>
          <w:bCs/>
        </w:rPr>
        <w:t xml:space="preserve">Instrumentos Archivísticos </w:t>
      </w:r>
      <w:r w:rsidRPr="00273733">
        <w:rPr>
          <w:rFonts w:ascii="Palatino Linotype" w:eastAsia="Palatino Linotype" w:hAnsi="Palatino Linotype" w:cs="Palatino Linotype"/>
          <w:bCs/>
        </w:rPr>
        <w:t>del</w:t>
      </w:r>
      <w:r w:rsidRPr="00273733">
        <w:rPr>
          <w:rFonts w:ascii="Palatino Linotype" w:eastAsia="Palatino Linotype" w:hAnsi="Palatino Linotype" w:cs="Palatino Linotype"/>
          <w:b/>
          <w:bCs/>
        </w:rPr>
        <w:t xml:space="preserve"> SUJETO OBLIGADO </w:t>
      </w:r>
      <w:r w:rsidRPr="00273733">
        <w:rPr>
          <w:rFonts w:ascii="Palatino Linotype" w:eastAsia="Palatino Linotype" w:hAnsi="Palatino Linotype" w:cs="Palatino Linotype"/>
          <w:bCs/>
        </w:rPr>
        <w:t>por medio del enlace electrónico proporcionado mediante informe justificado.</w:t>
      </w:r>
    </w:p>
    <w:p w:rsidR="00C12AAA" w:rsidRPr="00273733" w:rsidRDefault="00C12AAA" w:rsidP="00B2019C">
      <w:pPr>
        <w:spacing w:line="360" w:lineRule="auto"/>
        <w:ind w:right="1"/>
        <w:jc w:val="both"/>
        <w:rPr>
          <w:rFonts w:ascii="Palatino Linotype" w:eastAsia="Palatino Linotype" w:hAnsi="Palatino Linotype" w:cs="Palatino Linotype"/>
          <w:b/>
          <w:bCs/>
        </w:rPr>
      </w:pPr>
    </w:p>
    <w:p w:rsidR="00B2019C" w:rsidRPr="00273733" w:rsidRDefault="00B2019C" w:rsidP="00B2019C">
      <w:pPr>
        <w:numPr>
          <w:ilvl w:val="0"/>
          <w:numId w:val="2"/>
        </w:numPr>
        <w:spacing w:line="360" w:lineRule="auto"/>
        <w:ind w:left="0" w:right="1" w:firstLine="0"/>
        <w:jc w:val="both"/>
        <w:rPr>
          <w:rFonts w:ascii="Palatino Linotype" w:eastAsia="Palatino Linotype" w:hAnsi="Palatino Linotype" w:cs="Palatino Linotype"/>
          <w:b/>
          <w:bCs/>
        </w:rPr>
      </w:pPr>
      <w:r w:rsidRPr="00273733">
        <w:rPr>
          <w:rFonts w:ascii="Palatino Linotype" w:eastAsia="Palatino Linotype" w:hAnsi="Palatino Linotype" w:cs="Palatino Linotype"/>
        </w:rPr>
        <w:lastRenderedPageBreak/>
        <w:t xml:space="preserve">Precisado lo anterior, cabe </w:t>
      </w:r>
      <w:r w:rsidRPr="00273733">
        <w:rPr>
          <w:rFonts w:ascii="Palatino Linotype" w:eastAsia="Palatino Linotype" w:hAnsi="Palatino Linotype" w:cs="Palatino Linotype"/>
          <w:color w:val="000000"/>
        </w:rPr>
        <w:t>resaltar que, la Ley de Transparencia y Acceso a la Información Pública del Estado de México y Municipios, en su artículo 150, establece que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w:t>
      </w:r>
    </w:p>
    <w:p w:rsidR="00B2019C" w:rsidRPr="00273733" w:rsidRDefault="00B2019C" w:rsidP="00B2019C">
      <w:pPr>
        <w:pStyle w:val="Prrafodelista"/>
        <w:pBdr>
          <w:top w:val="nil"/>
          <w:left w:val="nil"/>
          <w:bottom w:val="nil"/>
          <w:right w:val="nil"/>
          <w:between w:val="nil"/>
        </w:pBdr>
        <w:spacing w:line="360" w:lineRule="auto"/>
        <w:ind w:left="0" w:right="1"/>
        <w:jc w:val="both"/>
        <w:rPr>
          <w:rFonts w:ascii="Palatino Linotype" w:eastAsia="Palatino Linotype" w:hAnsi="Palatino Linotype" w:cs="Palatino Linotype"/>
          <w:b/>
          <w:bCs/>
          <w:sz w:val="24"/>
        </w:rPr>
      </w:pPr>
    </w:p>
    <w:p w:rsidR="00B2019C" w:rsidRPr="00273733" w:rsidRDefault="00B2019C" w:rsidP="00B2019C">
      <w:pPr>
        <w:pStyle w:val="Prrafodelista"/>
        <w:numPr>
          <w:ilvl w:val="0"/>
          <w:numId w:val="2"/>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color w:val="000000"/>
          <w:sz w:val="24"/>
        </w:rPr>
      </w:pPr>
      <w:r w:rsidRPr="00273733">
        <w:rPr>
          <w:rFonts w:ascii="Palatino Linotype" w:eastAsia="Palatino Linotype" w:hAnsi="Palatino Linotype" w:cs="Palatino Linotype"/>
          <w:color w:val="000000"/>
          <w:sz w:val="24"/>
        </w:rPr>
        <w:t>En este sentido, para atender las solicitudes de información, los Sujetos Obligados contarán con un área denominada Unidad de Transparencia</w:t>
      </w:r>
      <w:r w:rsidRPr="00273733">
        <w:rPr>
          <w:rFonts w:ascii="Palatino Linotype" w:eastAsia="Palatino Linotype" w:hAnsi="Palatino Linotype"/>
          <w:sz w:val="24"/>
          <w:vertAlign w:val="superscript"/>
        </w:rPr>
        <w:footnoteReference w:id="1"/>
      </w:r>
      <w:r w:rsidRPr="00273733">
        <w:rPr>
          <w:rFonts w:ascii="Palatino Linotype" w:eastAsia="Palatino Linotype" w:hAnsi="Palatino Linotype" w:cs="Palatino Linotype"/>
          <w:color w:val="000000"/>
          <w:sz w:val="24"/>
        </w:rPr>
        <w:t>, la cual será presidida por un Titular, quien fungirá como enlace entre éstos y los solicitantes. Dicha Unidad será la encargada de tramitar internamente la solicitud de información y tendrá la responsabilidad de verificar en cada caso que la misma no sea confidencial o reservada. Asimismo, contará con las facultades internas necesarias para gestionar la atención a las solicitudes de información</w:t>
      </w:r>
      <w:r w:rsidRPr="00273733">
        <w:rPr>
          <w:rFonts w:ascii="Palatino Linotype" w:eastAsia="Palatino Linotype" w:hAnsi="Palatino Linotype" w:cs="Palatino Linotype"/>
          <w:b/>
          <w:bCs/>
          <w:color w:val="000000"/>
          <w:sz w:val="24"/>
        </w:rPr>
        <w:t xml:space="preserve"> </w:t>
      </w:r>
      <w:r w:rsidRPr="00273733">
        <w:rPr>
          <w:rFonts w:ascii="Palatino Linotype" w:eastAsia="Palatino Linotype" w:hAnsi="Palatino Linotype" w:cs="Palatino Linotype"/>
          <w:color w:val="000000"/>
          <w:sz w:val="24"/>
        </w:rPr>
        <w:t>en los términos de la Ley General y la Ley de Transparencia y Acceso a la Información Pública del Estado de México y Municipios</w:t>
      </w:r>
      <w:r w:rsidRPr="00273733">
        <w:rPr>
          <w:rFonts w:ascii="Palatino Linotype" w:eastAsia="Palatino Linotype" w:hAnsi="Palatino Linotype"/>
          <w:sz w:val="24"/>
          <w:vertAlign w:val="superscript"/>
        </w:rPr>
        <w:footnoteReference w:id="2"/>
      </w:r>
      <w:r w:rsidRPr="00273733">
        <w:rPr>
          <w:rFonts w:ascii="Palatino Linotype" w:eastAsia="Palatino Linotype" w:hAnsi="Palatino Linotype" w:cs="Palatino Linotype"/>
          <w:color w:val="000000"/>
          <w:sz w:val="24"/>
        </w:rPr>
        <w:t>.</w:t>
      </w:r>
    </w:p>
    <w:p w:rsidR="00B2019C" w:rsidRPr="00273733" w:rsidRDefault="00B2019C" w:rsidP="00B2019C">
      <w:pPr>
        <w:spacing w:line="360" w:lineRule="auto"/>
        <w:ind w:right="1"/>
        <w:jc w:val="both"/>
        <w:rPr>
          <w:rFonts w:ascii="Palatino Linotype" w:eastAsia="Palatino Linotype" w:hAnsi="Palatino Linotype" w:cs="Palatino Linotype"/>
        </w:rPr>
      </w:pPr>
    </w:p>
    <w:p w:rsidR="00B2019C" w:rsidRPr="00273733" w:rsidRDefault="00B2019C" w:rsidP="00B2019C">
      <w:pPr>
        <w:numPr>
          <w:ilvl w:val="0"/>
          <w:numId w:val="2"/>
        </w:numPr>
        <w:spacing w:line="360" w:lineRule="auto"/>
        <w:ind w:left="0" w:right="1" w:firstLine="0"/>
        <w:jc w:val="both"/>
        <w:rPr>
          <w:rFonts w:ascii="Palatino Linotype" w:eastAsia="Palatino Linotype" w:hAnsi="Palatino Linotype" w:cs="Palatino Linotype"/>
        </w:rPr>
      </w:pPr>
      <w:r w:rsidRPr="00273733">
        <w:rPr>
          <w:rFonts w:ascii="Palatino Linotype" w:eastAsia="Palatino Linotype" w:hAnsi="Palatino Linotype" w:cs="Palatino Linotype"/>
          <w:color w:val="000000"/>
        </w:rPr>
        <w:t>De conformidad con lo dispuesto en la Ley de Transparencia y Acceso a la Información Pública del Estado de México y Municipios, las Unidades de Transparencia tendrán, entre sus atribuciones, las siguientes:</w:t>
      </w:r>
    </w:p>
    <w:p w:rsidR="00B2019C" w:rsidRPr="00273733" w:rsidRDefault="00B2019C" w:rsidP="00B2019C">
      <w:pPr>
        <w:numPr>
          <w:ilvl w:val="1"/>
          <w:numId w:val="16"/>
        </w:numPr>
        <w:pBdr>
          <w:top w:val="nil"/>
          <w:left w:val="nil"/>
          <w:bottom w:val="nil"/>
          <w:right w:val="nil"/>
          <w:between w:val="nil"/>
        </w:pBdr>
        <w:spacing w:before="240"/>
        <w:ind w:left="709" w:right="616" w:hanging="142"/>
        <w:jc w:val="both"/>
        <w:rPr>
          <w:rFonts w:ascii="Palatino Linotype" w:eastAsia="Palatino Linotype" w:hAnsi="Palatino Linotype" w:cs="Palatino Linotype"/>
          <w:color w:val="000000"/>
        </w:rPr>
      </w:pPr>
      <w:r w:rsidRPr="00273733">
        <w:rPr>
          <w:rFonts w:ascii="Palatino Linotype" w:eastAsia="Palatino Linotype" w:hAnsi="Palatino Linotype" w:cs="Palatino Linotype"/>
          <w:color w:val="000000"/>
        </w:rPr>
        <w:t>Recibir, tramitar y dar respuesta a las solicitudes de acceso a la información;</w:t>
      </w:r>
    </w:p>
    <w:p w:rsidR="00B2019C" w:rsidRPr="00273733" w:rsidRDefault="00B2019C" w:rsidP="00B2019C">
      <w:pPr>
        <w:numPr>
          <w:ilvl w:val="1"/>
          <w:numId w:val="16"/>
        </w:numPr>
        <w:pBdr>
          <w:top w:val="nil"/>
          <w:left w:val="nil"/>
          <w:bottom w:val="nil"/>
          <w:right w:val="nil"/>
          <w:between w:val="nil"/>
        </w:pBdr>
        <w:ind w:left="709" w:right="616" w:hanging="142"/>
        <w:jc w:val="both"/>
        <w:rPr>
          <w:rFonts w:ascii="Palatino Linotype" w:eastAsia="Palatino Linotype" w:hAnsi="Palatino Linotype" w:cs="Palatino Linotype"/>
          <w:color w:val="000000"/>
        </w:rPr>
      </w:pPr>
      <w:r w:rsidRPr="00273733">
        <w:rPr>
          <w:rFonts w:ascii="Palatino Linotype" w:eastAsia="Palatino Linotype" w:hAnsi="Palatino Linotype" w:cs="Palatino Linotype"/>
          <w:color w:val="000000"/>
        </w:rPr>
        <w:t xml:space="preserve">Realizar, con efectividad, los trámites internos necesarios para la atención de las solicitudes de acceso a la información; </w:t>
      </w:r>
    </w:p>
    <w:p w:rsidR="00B2019C" w:rsidRPr="00273733" w:rsidRDefault="00B2019C" w:rsidP="00B2019C">
      <w:pPr>
        <w:numPr>
          <w:ilvl w:val="1"/>
          <w:numId w:val="16"/>
        </w:numPr>
        <w:pBdr>
          <w:top w:val="nil"/>
          <w:left w:val="nil"/>
          <w:bottom w:val="nil"/>
          <w:right w:val="nil"/>
          <w:between w:val="nil"/>
        </w:pBdr>
        <w:ind w:left="709" w:right="616" w:hanging="142"/>
        <w:jc w:val="both"/>
        <w:rPr>
          <w:rFonts w:ascii="Palatino Linotype" w:eastAsia="Palatino Linotype" w:hAnsi="Palatino Linotype" w:cs="Palatino Linotype"/>
          <w:color w:val="000000"/>
        </w:rPr>
      </w:pPr>
      <w:r w:rsidRPr="00273733">
        <w:rPr>
          <w:rFonts w:ascii="Palatino Linotype" w:eastAsia="Palatino Linotype" w:hAnsi="Palatino Linotype" w:cs="Palatino Linotype"/>
          <w:color w:val="000000"/>
        </w:rPr>
        <w:lastRenderedPageBreak/>
        <w:t xml:space="preserve">Entregar, en su caso, a los particulares la información solicitada; y </w:t>
      </w:r>
    </w:p>
    <w:p w:rsidR="00B2019C" w:rsidRPr="00273733" w:rsidRDefault="00B2019C" w:rsidP="00B2019C">
      <w:pPr>
        <w:numPr>
          <w:ilvl w:val="1"/>
          <w:numId w:val="16"/>
        </w:numPr>
        <w:pBdr>
          <w:top w:val="nil"/>
          <w:left w:val="nil"/>
          <w:bottom w:val="nil"/>
          <w:right w:val="nil"/>
          <w:between w:val="nil"/>
        </w:pBdr>
        <w:spacing w:after="240"/>
        <w:ind w:left="709" w:right="616" w:hanging="142"/>
        <w:jc w:val="both"/>
        <w:rPr>
          <w:rFonts w:ascii="Palatino Linotype" w:eastAsia="Palatino Linotype" w:hAnsi="Palatino Linotype" w:cs="Palatino Linotype"/>
          <w:color w:val="000000"/>
        </w:rPr>
      </w:pPr>
      <w:r w:rsidRPr="00273733">
        <w:rPr>
          <w:rFonts w:ascii="Palatino Linotype" w:eastAsia="Palatino Linotype" w:hAnsi="Palatino Linotype" w:cs="Palatino Linotype"/>
          <w:color w:val="000000"/>
        </w:rPr>
        <w:t>Efectuar las notificaciones a los solicitantes.</w:t>
      </w:r>
    </w:p>
    <w:p w:rsidR="00B2019C" w:rsidRPr="00273733" w:rsidRDefault="00B2019C" w:rsidP="00B2019C">
      <w:pPr>
        <w:spacing w:line="360" w:lineRule="auto"/>
        <w:ind w:right="1"/>
        <w:jc w:val="both"/>
        <w:rPr>
          <w:rFonts w:ascii="Palatino Linotype" w:eastAsia="Palatino Linotype" w:hAnsi="Palatino Linotype" w:cs="Palatino Linotype"/>
        </w:rPr>
      </w:pPr>
    </w:p>
    <w:p w:rsidR="00B2019C" w:rsidRPr="00273733" w:rsidRDefault="00B2019C" w:rsidP="00B2019C">
      <w:pPr>
        <w:numPr>
          <w:ilvl w:val="0"/>
          <w:numId w:val="2"/>
        </w:numPr>
        <w:spacing w:line="360" w:lineRule="auto"/>
        <w:ind w:left="0" w:right="1" w:firstLine="0"/>
        <w:jc w:val="both"/>
        <w:rPr>
          <w:rFonts w:ascii="Palatino Linotype" w:eastAsia="Palatino Linotype" w:hAnsi="Palatino Linotype" w:cs="Palatino Linotype"/>
        </w:rPr>
      </w:pPr>
      <w:r w:rsidRPr="00273733">
        <w:rPr>
          <w:rFonts w:ascii="Palatino Linotype" w:eastAsia="Palatino Linotype" w:hAnsi="Palatino Linotype" w:cs="Palatino Linotype"/>
          <w:color w:val="000000"/>
        </w:rPr>
        <w:t xml:space="preserve">Otros sujetos del proceso de atención a las solicitudes de información son los servidores públicos habilitados, quienes serán designados por el titular del </w:t>
      </w:r>
      <w:r w:rsidRPr="00273733">
        <w:rPr>
          <w:rFonts w:ascii="Palatino Linotype" w:eastAsia="Palatino Linotype" w:hAnsi="Palatino Linotype" w:cs="Palatino Linotype"/>
          <w:b/>
          <w:bCs/>
          <w:color w:val="000000"/>
        </w:rPr>
        <w:t xml:space="preserve">SUJETO OBLIGADO </w:t>
      </w:r>
      <w:r w:rsidRPr="00273733">
        <w:rPr>
          <w:rFonts w:ascii="Palatino Linotype" w:eastAsia="Palatino Linotype" w:hAnsi="Palatino Linotype" w:cs="Palatino Linotype"/>
          <w:color w:val="000000"/>
        </w:rPr>
        <w:t>a propuesta del responsable de la Unidad de Transparencia</w:t>
      </w:r>
      <w:r w:rsidRPr="00273733">
        <w:rPr>
          <w:rFonts w:ascii="Palatino Linotype" w:eastAsia="Palatino Linotype" w:hAnsi="Palatino Linotype" w:cs="Palatino Linotype"/>
          <w:color w:val="000000"/>
          <w:vertAlign w:val="superscript"/>
        </w:rPr>
        <w:footnoteReference w:id="3"/>
      </w:r>
      <w:r w:rsidRPr="00273733">
        <w:rPr>
          <w:rFonts w:ascii="Palatino Linotype" w:eastAsia="Palatino Linotype" w:hAnsi="Palatino Linotype" w:cs="Palatino Linotype"/>
          <w:color w:val="000000"/>
        </w:rPr>
        <w:t xml:space="preserve"> y tendrán, entre sus atribuciones, las siguientes</w:t>
      </w:r>
      <w:r w:rsidRPr="00273733">
        <w:rPr>
          <w:rFonts w:ascii="Palatino Linotype" w:eastAsia="Palatino Linotype" w:hAnsi="Palatino Linotype" w:cs="Palatino Linotype"/>
          <w:color w:val="000000"/>
          <w:vertAlign w:val="superscript"/>
        </w:rPr>
        <w:footnoteReference w:id="4"/>
      </w:r>
      <w:r w:rsidRPr="00273733">
        <w:rPr>
          <w:rFonts w:ascii="Palatino Linotype" w:eastAsia="Palatino Linotype" w:hAnsi="Palatino Linotype" w:cs="Palatino Linotype"/>
          <w:color w:val="000000"/>
        </w:rPr>
        <w:t>:</w:t>
      </w:r>
    </w:p>
    <w:p w:rsidR="00B2019C" w:rsidRPr="00273733" w:rsidRDefault="00B2019C" w:rsidP="00B2019C">
      <w:pPr>
        <w:numPr>
          <w:ilvl w:val="1"/>
          <w:numId w:val="17"/>
        </w:numPr>
        <w:pBdr>
          <w:top w:val="nil"/>
          <w:left w:val="nil"/>
          <w:bottom w:val="nil"/>
          <w:right w:val="nil"/>
          <w:between w:val="nil"/>
        </w:pBdr>
        <w:spacing w:before="240"/>
        <w:ind w:left="709" w:right="565" w:hanging="142"/>
        <w:jc w:val="both"/>
        <w:rPr>
          <w:rFonts w:ascii="Palatino Linotype" w:eastAsia="Palatino Linotype" w:hAnsi="Palatino Linotype" w:cs="Palatino Linotype"/>
          <w:color w:val="000000"/>
        </w:rPr>
      </w:pPr>
      <w:r w:rsidRPr="00273733">
        <w:rPr>
          <w:rFonts w:ascii="Palatino Linotype" w:eastAsia="Palatino Linotype" w:hAnsi="Palatino Linotype" w:cs="Palatino Linotype"/>
          <w:color w:val="000000"/>
        </w:rPr>
        <w:t>Localizar la información que le solicite la Unidad de Transparencia; y</w:t>
      </w:r>
    </w:p>
    <w:p w:rsidR="00B2019C" w:rsidRPr="00273733" w:rsidRDefault="00B2019C" w:rsidP="00B2019C">
      <w:pPr>
        <w:numPr>
          <w:ilvl w:val="1"/>
          <w:numId w:val="17"/>
        </w:numPr>
        <w:pBdr>
          <w:top w:val="nil"/>
          <w:left w:val="nil"/>
          <w:bottom w:val="nil"/>
          <w:right w:val="nil"/>
          <w:between w:val="nil"/>
        </w:pBdr>
        <w:spacing w:after="240"/>
        <w:ind w:left="709" w:right="565" w:hanging="142"/>
        <w:jc w:val="both"/>
        <w:rPr>
          <w:rFonts w:ascii="Palatino Linotype" w:eastAsia="Palatino Linotype" w:hAnsi="Palatino Linotype" w:cs="Palatino Linotype"/>
          <w:color w:val="000000"/>
        </w:rPr>
      </w:pPr>
      <w:r w:rsidRPr="00273733">
        <w:rPr>
          <w:rFonts w:ascii="Palatino Linotype" w:eastAsia="Palatino Linotype" w:hAnsi="Palatino Linotype" w:cs="Palatino Linotype"/>
          <w:color w:val="000000"/>
        </w:rPr>
        <w:t>Proporcionar la información que obre en los archivos y que le sea solicitada por la Unidad de Transparencia.</w:t>
      </w:r>
    </w:p>
    <w:p w:rsidR="00B2019C" w:rsidRPr="00273733" w:rsidRDefault="00B2019C" w:rsidP="00B2019C">
      <w:pPr>
        <w:spacing w:line="360" w:lineRule="auto"/>
        <w:ind w:right="1"/>
        <w:jc w:val="both"/>
        <w:rPr>
          <w:rFonts w:ascii="Palatino Linotype" w:eastAsia="Palatino Linotype" w:hAnsi="Palatino Linotype" w:cs="Palatino Linotype"/>
        </w:rPr>
      </w:pPr>
    </w:p>
    <w:p w:rsidR="00B2019C" w:rsidRPr="00273733" w:rsidRDefault="00B2019C" w:rsidP="00B2019C">
      <w:pPr>
        <w:numPr>
          <w:ilvl w:val="0"/>
          <w:numId w:val="2"/>
        </w:numPr>
        <w:spacing w:line="360" w:lineRule="auto"/>
        <w:ind w:left="0" w:right="1" w:firstLine="0"/>
        <w:jc w:val="both"/>
        <w:rPr>
          <w:rFonts w:ascii="Palatino Linotype" w:eastAsia="Palatino Linotype" w:hAnsi="Palatino Linotype" w:cs="Palatino Linotype"/>
        </w:rPr>
      </w:pPr>
      <w:r w:rsidRPr="00273733">
        <w:rPr>
          <w:rFonts w:ascii="Palatino Linotype" w:eastAsia="Palatino Linotype" w:hAnsi="Palatino Linotype" w:cs="Palatino Linotype"/>
          <w:color w:val="000000"/>
        </w:rPr>
        <w:t xml:space="preserve">De tal manera que cada una de las áreas administrativas del </w:t>
      </w:r>
      <w:r w:rsidRPr="00273733">
        <w:rPr>
          <w:rFonts w:ascii="Palatino Linotype" w:eastAsia="Palatino Linotype" w:hAnsi="Palatino Linotype" w:cs="Palatino Linotype"/>
          <w:b/>
          <w:bCs/>
          <w:color w:val="000000"/>
        </w:rPr>
        <w:t>SUJETO OBLIGADO</w:t>
      </w:r>
      <w:r w:rsidRPr="00273733">
        <w:rPr>
          <w:rFonts w:ascii="Palatino Linotype" w:eastAsia="Palatino Linotype" w:hAnsi="Palatino Linotype" w:cs="Palatino Linotype"/>
          <w:color w:val="000000"/>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rsidR="00B2019C" w:rsidRPr="00273733" w:rsidRDefault="00B2019C" w:rsidP="00B2019C">
      <w:pPr>
        <w:spacing w:line="360" w:lineRule="auto"/>
        <w:ind w:right="1"/>
        <w:jc w:val="both"/>
        <w:rPr>
          <w:rFonts w:ascii="Palatino Linotype" w:eastAsia="Palatino Linotype" w:hAnsi="Palatino Linotype" w:cs="Palatino Linotype"/>
        </w:rPr>
      </w:pPr>
    </w:p>
    <w:p w:rsidR="00B2019C" w:rsidRPr="00273733" w:rsidRDefault="00B2019C" w:rsidP="00B2019C">
      <w:pPr>
        <w:numPr>
          <w:ilvl w:val="0"/>
          <w:numId w:val="2"/>
        </w:numPr>
        <w:spacing w:line="360" w:lineRule="auto"/>
        <w:ind w:left="0" w:right="1" w:firstLine="0"/>
        <w:jc w:val="both"/>
        <w:rPr>
          <w:rFonts w:ascii="Palatino Linotype" w:eastAsia="Palatino Linotype" w:hAnsi="Palatino Linotype" w:cs="Palatino Linotype"/>
        </w:rPr>
      </w:pPr>
      <w:r w:rsidRPr="00273733">
        <w:rPr>
          <w:rFonts w:ascii="Palatino Linotype" w:eastAsia="Palatino Linotype" w:hAnsi="Palatino Linotype" w:cs="Palatino Linotype"/>
          <w:color w:val="000000"/>
        </w:rPr>
        <w:t>Aunado a lo anterior, la Ley de Transparencia y Acceso a la Información Pública del Estado de México y Municipios, en su artículo 53, establece las funciones correspondientes a esta Unidad; mismas que se inserta a continuación:</w:t>
      </w:r>
    </w:p>
    <w:p w:rsidR="00B2019C" w:rsidRPr="00273733" w:rsidRDefault="00B2019C" w:rsidP="00B2019C">
      <w:pPr>
        <w:pBdr>
          <w:top w:val="nil"/>
          <w:left w:val="nil"/>
          <w:bottom w:val="nil"/>
          <w:right w:val="nil"/>
          <w:between w:val="nil"/>
        </w:pBdr>
        <w:tabs>
          <w:tab w:val="left" w:pos="426"/>
        </w:tabs>
        <w:spacing w:before="240"/>
        <w:ind w:left="567" w:right="616"/>
        <w:jc w:val="both"/>
        <w:rPr>
          <w:rFonts w:ascii="Palatino Linotype" w:eastAsia="Palatino Linotype" w:hAnsi="Palatino Linotype" w:cs="Palatino Linotype"/>
          <w:i/>
          <w:iCs/>
          <w:color w:val="000000"/>
        </w:rPr>
      </w:pPr>
      <w:r w:rsidRPr="00273733">
        <w:rPr>
          <w:rFonts w:ascii="Palatino Linotype" w:eastAsia="Palatino Linotype" w:hAnsi="Palatino Linotype" w:cs="Palatino Linotype"/>
          <w:b/>
          <w:bCs/>
          <w:i/>
          <w:iCs/>
          <w:color w:val="000000"/>
        </w:rPr>
        <w:t>“Artículo 53</w:t>
      </w:r>
      <w:r w:rsidRPr="00273733">
        <w:rPr>
          <w:rFonts w:ascii="Palatino Linotype" w:eastAsia="Palatino Linotype" w:hAnsi="Palatino Linotype" w:cs="Palatino Linotype"/>
          <w:i/>
          <w:iCs/>
          <w:color w:val="000000"/>
        </w:rPr>
        <w:t xml:space="preserve">. Las Unidades de Transparencia tendrán las siguientes funciones: </w:t>
      </w:r>
    </w:p>
    <w:p w:rsidR="00B2019C" w:rsidRPr="00273733" w:rsidRDefault="00B2019C" w:rsidP="00B2019C">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p>
    <w:p w:rsidR="00B2019C" w:rsidRPr="00273733" w:rsidRDefault="00B2019C" w:rsidP="00B2019C">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273733">
        <w:rPr>
          <w:rFonts w:ascii="Palatino Linotype" w:eastAsia="Palatino Linotype" w:hAnsi="Palatino Linotype" w:cs="Palatino Linotype"/>
          <w:i/>
          <w:iCs/>
          <w:color w:val="000000"/>
        </w:rPr>
        <w:t xml:space="preserve">I. Recabar, difundir y actualizar la información relativa a las obligaciones de transparencia comunes y específicas a la que se refiere la Ley General, esta Ley, la que determine el Instituto </w:t>
      </w:r>
      <w:r w:rsidRPr="00273733">
        <w:rPr>
          <w:rFonts w:ascii="Palatino Linotype" w:eastAsia="Palatino Linotype" w:hAnsi="Palatino Linotype" w:cs="Palatino Linotype"/>
          <w:i/>
          <w:iCs/>
          <w:color w:val="000000"/>
        </w:rPr>
        <w:lastRenderedPageBreak/>
        <w:t xml:space="preserve">y las demás disposiciones de la materia, así como propiciar que las áreas la actualicen periódicamente conforme a la normatividad aplicable; </w:t>
      </w:r>
    </w:p>
    <w:p w:rsidR="00B2019C" w:rsidRPr="00273733" w:rsidRDefault="00B2019C" w:rsidP="00B2019C">
      <w:pPr>
        <w:pBdr>
          <w:top w:val="nil"/>
          <w:left w:val="nil"/>
          <w:bottom w:val="nil"/>
          <w:right w:val="nil"/>
          <w:between w:val="nil"/>
        </w:pBdr>
        <w:tabs>
          <w:tab w:val="left" w:pos="426"/>
        </w:tabs>
        <w:ind w:left="567" w:right="616"/>
        <w:jc w:val="both"/>
        <w:rPr>
          <w:rFonts w:ascii="Palatino Linotype" w:eastAsia="Palatino Linotype" w:hAnsi="Palatino Linotype" w:cs="Palatino Linotype"/>
          <w:b/>
          <w:bCs/>
          <w:i/>
          <w:iCs/>
          <w:color w:val="000000"/>
        </w:rPr>
      </w:pPr>
      <w:r w:rsidRPr="00273733">
        <w:rPr>
          <w:rFonts w:ascii="Palatino Linotype" w:eastAsia="Palatino Linotype" w:hAnsi="Palatino Linotype" w:cs="Palatino Linotype"/>
          <w:b/>
          <w:bCs/>
          <w:i/>
          <w:iCs/>
          <w:color w:val="000000"/>
        </w:rPr>
        <w:t xml:space="preserve">II. Recibir, tramitar y dar respuesta a las solicitudes de acceso a la información; </w:t>
      </w:r>
    </w:p>
    <w:p w:rsidR="00B2019C" w:rsidRPr="00273733" w:rsidRDefault="00B2019C" w:rsidP="00B2019C">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273733">
        <w:rPr>
          <w:rFonts w:ascii="Palatino Linotype" w:eastAsia="Palatino Linotype" w:hAnsi="Palatino Linotype" w:cs="Palatino Linotype"/>
          <w:i/>
          <w:iCs/>
          <w:color w:val="000000"/>
        </w:rPr>
        <w:t xml:space="preserve">III. Auxiliar a los particulares en la elaboración de solicitudes de acceso a la información y, en su caso, orientarlos sobre los sujetos obligados competentes conforme a la normatividad aplicable; </w:t>
      </w:r>
    </w:p>
    <w:p w:rsidR="00B2019C" w:rsidRPr="00273733" w:rsidRDefault="00B2019C" w:rsidP="00B2019C">
      <w:pPr>
        <w:pBdr>
          <w:top w:val="nil"/>
          <w:left w:val="nil"/>
          <w:bottom w:val="nil"/>
          <w:right w:val="nil"/>
          <w:between w:val="nil"/>
        </w:pBdr>
        <w:tabs>
          <w:tab w:val="left" w:pos="426"/>
        </w:tabs>
        <w:ind w:left="567" w:right="616"/>
        <w:jc w:val="both"/>
        <w:rPr>
          <w:rFonts w:ascii="Palatino Linotype" w:eastAsia="Palatino Linotype" w:hAnsi="Palatino Linotype" w:cs="Palatino Linotype"/>
          <w:b/>
          <w:bCs/>
          <w:i/>
          <w:iCs/>
          <w:color w:val="000000"/>
        </w:rPr>
      </w:pPr>
      <w:r w:rsidRPr="00273733">
        <w:rPr>
          <w:rFonts w:ascii="Palatino Linotype" w:eastAsia="Palatino Linotype" w:hAnsi="Palatino Linotype" w:cs="Palatino Linotype"/>
          <w:b/>
          <w:bCs/>
          <w:i/>
          <w:iCs/>
          <w:color w:val="000000"/>
        </w:rPr>
        <w:t xml:space="preserve">IV. Realizar, con efectividad, los trámites internos necesarios para la atención de las solicitudes de acceso a la información; </w:t>
      </w:r>
    </w:p>
    <w:p w:rsidR="00B2019C" w:rsidRPr="00273733" w:rsidRDefault="00B2019C" w:rsidP="00B2019C">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273733">
        <w:rPr>
          <w:rFonts w:ascii="Palatino Linotype" w:eastAsia="Palatino Linotype" w:hAnsi="Palatino Linotype" w:cs="Palatino Linotype"/>
          <w:i/>
          <w:iCs/>
          <w:color w:val="000000"/>
        </w:rPr>
        <w:t xml:space="preserve">V. Entregar, en su caso, a los particulares la información solicitada; </w:t>
      </w:r>
    </w:p>
    <w:p w:rsidR="00B2019C" w:rsidRPr="00273733" w:rsidRDefault="00B2019C" w:rsidP="00B2019C">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273733">
        <w:rPr>
          <w:rFonts w:ascii="Palatino Linotype" w:eastAsia="Palatino Linotype" w:hAnsi="Palatino Linotype" w:cs="Palatino Linotype"/>
          <w:i/>
          <w:iCs/>
          <w:color w:val="000000"/>
        </w:rPr>
        <w:t xml:space="preserve">VI. Efectuar las notificaciones a los solicitantes; </w:t>
      </w:r>
    </w:p>
    <w:p w:rsidR="00B2019C" w:rsidRPr="00273733" w:rsidRDefault="00B2019C" w:rsidP="00B2019C">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273733">
        <w:rPr>
          <w:rFonts w:ascii="Palatino Linotype" w:eastAsia="Palatino Linotype" w:hAnsi="Palatino Linotype" w:cs="Palatino Linotype"/>
          <w:i/>
          <w:iCs/>
          <w:color w:val="000000"/>
        </w:rPr>
        <w:t xml:space="preserve">VII. Proponer al Comité de Transparencia, los procedimientos internos que aseguren la mayor eficiencia en la gestión de las solicitudes de acceso a la información, conforme a la normatividad aplicable; </w:t>
      </w:r>
    </w:p>
    <w:p w:rsidR="00B2019C" w:rsidRPr="00273733" w:rsidRDefault="00B2019C" w:rsidP="00B2019C">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273733">
        <w:rPr>
          <w:rFonts w:ascii="Palatino Linotype" w:eastAsia="Palatino Linotype" w:hAnsi="Palatino Linotype" w:cs="Palatino Linotype"/>
          <w:i/>
          <w:iCs/>
          <w:color w:val="000000"/>
        </w:rPr>
        <w:t xml:space="preserve">VIII. Proponer a quien preside el Comité de Transparencia, personal habilitado que sea necesario para recibir y dar trámite a las solicitudes de acceso a la información; </w:t>
      </w:r>
    </w:p>
    <w:p w:rsidR="00B2019C" w:rsidRPr="00273733" w:rsidRDefault="00B2019C" w:rsidP="00B2019C">
      <w:pPr>
        <w:pBdr>
          <w:top w:val="nil"/>
          <w:left w:val="nil"/>
          <w:bottom w:val="nil"/>
          <w:right w:val="nil"/>
          <w:between w:val="nil"/>
        </w:pBdr>
        <w:tabs>
          <w:tab w:val="left" w:pos="426"/>
        </w:tabs>
        <w:ind w:left="567" w:right="616"/>
        <w:jc w:val="both"/>
        <w:rPr>
          <w:rFonts w:ascii="Palatino Linotype" w:eastAsia="Palatino Linotype" w:hAnsi="Palatino Linotype" w:cs="Palatino Linotype"/>
          <w:b/>
          <w:bCs/>
          <w:i/>
          <w:iCs/>
          <w:color w:val="000000"/>
        </w:rPr>
      </w:pPr>
      <w:r w:rsidRPr="00273733">
        <w:rPr>
          <w:rFonts w:ascii="Palatino Linotype" w:eastAsia="Palatino Linotype" w:hAnsi="Palatino Linotype" w:cs="Palatino Linotype"/>
          <w:b/>
          <w:bCs/>
          <w:i/>
          <w:iCs/>
          <w:color w:val="000000"/>
        </w:rPr>
        <w:t xml:space="preserve">IX. Llevar un registro de las solicitudes de acceso a la información, sus respuestas, resultados, costos de reproducción y envío, resolución a los recursos de revisión que se hayan emitido en contra de sus respuestas y del cumplimiento de las mismas; </w:t>
      </w:r>
    </w:p>
    <w:p w:rsidR="00B2019C" w:rsidRPr="00273733" w:rsidRDefault="00B2019C" w:rsidP="00B2019C">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273733">
        <w:rPr>
          <w:rFonts w:ascii="Palatino Linotype" w:eastAsia="Palatino Linotype" w:hAnsi="Palatino Linotype" w:cs="Palatino Linotype"/>
          <w:i/>
          <w:iCs/>
          <w:color w:val="000000"/>
        </w:rPr>
        <w:t xml:space="preserve">X. Presentar ante el Comité, el proyecto de clasificación de información; </w:t>
      </w:r>
    </w:p>
    <w:p w:rsidR="00B2019C" w:rsidRPr="00273733" w:rsidRDefault="00B2019C" w:rsidP="00B2019C">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273733">
        <w:rPr>
          <w:rFonts w:ascii="Palatino Linotype" w:eastAsia="Palatino Linotype" w:hAnsi="Palatino Linotype" w:cs="Palatino Linotype"/>
          <w:i/>
          <w:iCs/>
          <w:color w:val="000000"/>
        </w:rPr>
        <w:t xml:space="preserve">XI. Promover e implementar políticas de transparencia proactiva procurando su accesibilidad; </w:t>
      </w:r>
    </w:p>
    <w:p w:rsidR="00B2019C" w:rsidRPr="00273733" w:rsidRDefault="00B2019C" w:rsidP="00B2019C">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273733">
        <w:rPr>
          <w:rFonts w:ascii="Palatino Linotype" w:eastAsia="Palatino Linotype" w:hAnsi="Palatino Linotype" w:cs="Palatino Linotype"/>
          <w:i/>
          <w:iCs/>
          <w:color w:val="000000"/>
        </w:rPr>
        <w:t xml:space="preserve">XII. Fomentar la transparencia y accesibilidad al interior del sujeto obligado; </w:t>
      </w:r>
    </w:p>
    <w:p w:rsidR="00B2019C" w:rsidRPr="00273733" w:rsidRDefault="00B2019C" w:rsidP="00B2019C">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273733">
        <w:rPr>
          <w:rFonts w:ascii="Palatino Linotype" w:eastAsia="Palatino Linotype" w:hAnsi="Palatino Linotype" w:cs="Palatino Linotype"/>
          <w:i/>
          <w:iCs/>
          <w:color w:val="000000"/>
        </w:rPr>
        <w:t>XIII. Hacer del conocimiento de la instancia competente la probable responsabilidad por el incumplimiento de las obligaciones previstas en la presente Ley; y</w:t>
      </w:r>
    </w:p>
    <w:p w:rsidR="00B2019C" w:rsidRPr="00273733" w:rsidRDefault="00B2019C" w:rsidP="00B2019C">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273733">
        <w:rPr>
          <w:rFonts w:ascii="Palatino Linotype" w:eastAsia="Palatino Linotype" w:hAnsi="Palatino Linotype" w:cs="Palatino Linotype"/>
          <w:i/>
          <w:iCs/>
          <w:color w:val="000000"/>
        </w:rPr>
        <w:t>XIV. Las demás que resulten necesarias para facilitar el acceso a la información y aquellas que se desprenden de la presente Ley y demás disposiciones jurídicas aplicables. (…)</w:t>
      </w:r>
    </w:p>
    <w:p w:rsidR="00B2019C" w:rsidRPr="00273733" w:rsidRDefault="00B2019C" w:rsidP="00B2019C">
      <w:pPr>
        <w:pBdr>
          <w:top w:val="nil"/>
          <w:left w:val="nil"/>
          <w:bottom w:val="nil"/>
          <w:right w:val="nil"/>
          <w:between w:val="nil"/>
        </w:pBdr>
        <w:tabs>
          <w:tab w:val="left" w:pos="426"/>
        </w:tabs>
        <w:spacing w:after="240"/>
        <w:ind w:left="567" w:right="616"/>
        <w:jc w:val="both"/>
        <w:rPr>
          <w:rFonts w:ascii="Palatino Linotype" w:eastAsia="Palatino Linotype" w:hAnsi="Palatino Linotype" w:cs="Palatino Linotype"/>
          <w:i/>
          <w:iCs/>
          <w:color w:val="000000"/>
        </w:rPr>
      </w:pPr>
      <w:r w:rsidRPr="00273733">
        <w:rPr>
          <w:rFonts w:ascii="Palatino Linotype" w:eastAsia="Palatino Linotype" w:hAnsi="Palatino Linotype" w:cs="Palatino Linotype"/>
          <w:i/>
          <w:iCs/>
          <w:color w:val="000000"/>
        </w:rPr>
        <w:t xml:space="preserve">Los sujetos obligados deberán implementar a través de las unidades de transparencia, progresivamente y conforme a sus previsiones, las medidas pertinentes para asegurar que el entorno físico de las instalaciones cuente con los ajustes razonables, con el objeto de proporcionar adecuada accesibilidad que otorgue las facilidades necesarias, así como establecer procedimientos para brindar asesoría y atención a las personas con discapacidad, a fin de que puedan consultar los sistemas que integran la Plataforma Nacional de Transparencia, presentar solicitudes de acceso a la información y facilitar su gestión e interponer los recursos que las leyes establezcan.” </w:t>
      </w:r>
    </w:p>
    <w:p w:rsidR="00B2019C" w:rsidRPr="00273733" w:rsidRDefault="00B2019C" w:rsidP="00B2019C">
      <w:pPr>
        <w:spacing w:line="360" w:lineRule="auto"/>
        <w:ind w:right="1"/>
        <w:jc w:val="both"/>
        <w:rPr>
          <w:rFonts w:ascii="Palatino Linotype" w:eastAsia="Palatino Linotype" w:hAnsi="Palatino Linotype" w:cs="Palatino Linotype"/>
        </w:rPr>
      </w:pPr>
    </w:p>
    <w:p w:rsidR="00B2019C" w:rsidRPr="00273733" w:rsidRDefault="00B2019C" w:rsidP="00B2019C">
      <w:pPr>
        <w:numPr>
          <w:ilvl w:val="0"/>
          <w:numId w:val="2"/>
        </w:numPr>
        <w:spacing w:line="360" w:lineRule="auto"/>
        <w:ind w:left="0" w:right="1" w:firstLine="0"/>
        <w:jc w:val="both"/>
        <w:rPr>
          <w:rFonts w:ascii="Palatino Linotype" w:eastAsia="Palatino Linotype" w:hAnsi="Palatino Linotype" w:cs="Palatino Linotype"/>
        </w:rPr>
      </w:pPr>
      <w:r w:rsidRPr="00273733">
        <w:rPr>
          <w:rFonts w:ascii="Palatino Linotype" w:eastAsia="Palatino Linotype" w:hAnsi="Palatino Linotype" w:cs="Palatino Linotype"/>
          <w:color w:val="000000"/>
        </w:rPr>
        <w:lastRenderedPageBreak/>
        <w:t xml:space="preserve">De lo expuesto y con relación a lo solicitado, se tiene que, la Unidad de Transparencia es la encargada de </w:t>
      </w:r>
      <w:r w:rsidRPr="00273733">
        <w:rPr>
          <w:rFonts w:ascii="Palatino Linotype" w:eastAsia="Palatino Linotype" w:hAnsi="Palatino Linotype" w:cs="Palatino Linotype"/>
        </w:rPr>
        <w:t>recibir, tramitar y dar respuesta a las solicitudes de acceso a la información</w:t>
      </w:r>
      <w:r w:rsidRPr="00273733">
        <w:rPr>
          <w:rFonts w:ascii="Palatino Linotype" w:eastAsia="Palatino Linotype" w:hAnsi="Palatino Linotype" w:cs="Palatino Linotype"/>
          <w:color w:val="000000"/>
        </w:rPr>
        <w:t>.</w:t>
      </w:r>
    </w:p>
    <w:p w:rsidR="00B2019C" w:rsidRPr="00273733" w:rsidRDefault="00B2019C" w:rsidP="00B2019C">
      <w:pPr>
        <w:spacing w:line="360" w:lineRule="auto"/>
        <w:ind w:right="1"/>
        <w:jc w:val="both"/>
        <w:rPr>
          <w:rFonts w:ascii="Palatino Linotype" w:eastAsia="Palatino Linotype" w:hAnsi="Palatino Linotype" w:cs="Palatino Linotype"/>
        </w:rPr>
      </w:pPr>
    </w:p>
    <w:p w:rsidR="00B2019C" w:rsidRPr="00273733" w:rsidRDefault="00B2019C" w:rsidP="00B2019C">
      <w:pPr>
        <w:pStyle w:val="Prrafodelista"/>
        <w:numPr>
          <w:ilvl w:val="0"/>
          <w:numId w:val="2"/>
        </w:numPr>
        <w:spacing w:line="360" w:lineRule="auto"/>
        <w:ind w:left="0" w:right="1" w:firstLine="0"/>
        <w:jc w:val="both"/>
        <w:rPr>
          <w:rFonts w:ascii="Palatino Linotype" w:eastAsia="Palatino Linotype" w:hAnsi="Palatino Linotype" w:cs="Palatino Linotype"/>
          <w:sz w:val="24"/>
        </w:rPr>
      </w:pPr>
      <w:r w:rsidRPr="00273733">
        <w:rPr>
          <w:rFonts w:ascii="Palatino Linotype" w:eastAsia="Palatino Linotype" w:hAnsi="Palatino Linotype" w:cs="Palatino Linotype"/>
          <w:sz w:val="24"/>
        </w:rPr>
        <w:t xml:space="preserve">En este sentido, se reitera que existió un pronunciamiento por parte del </w:t>
      </w:r>
      <w:r w:rsidRPr="00273733">
        <w:rPr>
          <w:rFonts w:ascii="Palatino Linotype" w:eastAsia="Palatino Linotype" w:hAnsi="Palatino Linotype" w:cs="Palatino Linotype"/>
          <w:b/>
          <w:bCs/>
          <w:sz w:val="24"/>
        </w:rPr>
        <w:t>SUJETO OBLIGADO</w:t>
      </w:r>
      <w:r w:rsidRPr="00273733">
        <w:rPr>
          <w:rFonts w:ascii="Palatino Linotype" w:eastAsia="Palatino Linotype" w:hAnsi="Palatino Linotype" w:cs="Palatino Linotype"/>
          <w:sz w:val="24"/>
        </w:rPr>
        <w:t>, a través d</w:t>
      </w:r>
      <w:r w:rsidRPr="00273733">
        <w:rPr>
          <w:rFonts w:ascii="Palatino Linotype" w:hAnsi="Palatino Linotype"/>
          <w:sz w:val="24"/>
        </w:rPr>
        <w:t xml:space="preserve">e la </w:t>
      </w:r>
      <w:r w:rsidRPr="00273733">
        <w:rPr>
          <w:rFonts w:ascii="Palatino Linotype" w:hAnsi="Palatino Linotype" w:cs="Arial"/>
          <w:b/>
          <w:bCs/>
          <w:sz w:val="24"/>
        </w:rPr>
        <w:t>Titular del Área Coordinadora de Archivos.</w:t>
      </w:r>
    </w:p>
    <w:p w:rsidR="00B2019C" w:rsidRPr="00273733" w:rsidRDefault="00B2019C" w:rsidP="00B2019C">
      <w:pPr>
        <w:spacing w:line="360" w:lineRule="auto"/>
        <w:ind w:right="1"/>
        <w:jc w:val="both"/>
        <w:rPr>
          <w:rFonts w:ascii="Palatino Linotype" w:eastAsia="Palatino Linotype" w:hAnsi="Palatino Linotype" w:cs="Palatino Linotype"/>
          <w:b/>
          <w:bCs/>
        </w:rPr>
      </w:pPr>
    </w:p>
    <w:p w:rsidR="00B2019C" w:rsidRPr="00273733" w:rsidRDefault="00B2019C" w:rsidP="00B2019C">
      <w:pPr>
        <w:numPr>
          <w:ilvl w:val="0"/>
          <w:numId w:val="2"/>
        </w:numPr>
        <w:spacing w:line="360" w:lineRule="auto"/>
        <w:ind w:left="0" w:right="1" w:firstLine="0"/>
        <w:jc w:val="both"/>
        <w:rPr>
          <w:rFonts w:ascii="Palatino Linotype" w:eastAsia="Palatino Linotype" w:hAnsi="Palatino Linotype" w:cs="Palatino Linotype"/>
          <w:bCs/>
        </w:rPr>
      </w:pPr>
      <w:r w:rsidRPr="00273733">
        <w:rPr>
          <w:rFonts w:ascii="Palatino Linotype" w:eastAsia="Palatino Linotype" w:hAnsi="Palatino Linotype" w:cs="Palatino Linotype"/>
          <w:bCs/>
        </w:rPr>
        <w:t xml:space="preserve">En </w:t>
      </w:r>
      <w:r w:rsidRPr="00273733">
        <w:rPr>
          <w:rFonts w:ascii="Palatino Linotype" w:eastAsia="Palatino Linotype" w:hAnsi="Palatino Linotype" w:cs="Palatino Linotype"/>
        </w:rPr>
        <w:t>consecuencia,</w:t>
      </w:r>
      <w:r w:rsidRPr="00273733">
        <w:rPr>
          <w:rFonts w:ascii="Palatino Linotype" w:eastAsia="Palatino Linotype" w:hAnsi="Palatino Linotype" w:cs="Palatino Linotype"/>
          <w:b/>
          <w:bCs/>
        </w:rPr>
        <w:t xml:space="preserve"> </w:t>
      </w:r>
      <w:r w:rsidRPr="00273733">
        <w:rPr>
          <w:rFonts w:ascii="Palatino Linotype" w:eastAsia="Palatino Linotype" w:hAnsi="Palatino Linotype" w:cs="Palatino Linotype"/>
          <w:color w:val="000000"/>
        </w:rPr>
        <w:t xml:space="preserve">se presume que, </w:t>
      </w:r>
      <w:r w:rsidRPr="00273733">
        <w:rPr>
          <w:rFonts w:ascii="Palatino Linotype" w:eastAsia="Palatino Linotype" w:hAnsi="Palatino Linotype" w:cs="Palatino Linotype"/>
          <w:b/>
          <w:bCs/>
        </w:rPr>
        <w:t>al haber existido un pronunciamiento por parte del SUJETO OBLIGADO y modificar la respuesta a través del informe justificado,</w:t>
      </w:r>
      <w:r w:rsidRPr="00273733">
        <w:rPr>
          <w:rFonts w:ascii="Palatino Linotype" w:eastAsia="Palatino Linotype" w:hAnsi="Palatino Linotype" w:cs="Palatino Linotype"/>
        </w:rPr>
        <w:t xml:space="preserve"> </w:t>
      </w:r>
      <w:r w:rsidRPr="00273733">
        <w:rPr>
          <w:rFonts w:ascii="Palatino Linotype" w:eastAsia="Palatino Linotype" w:hAnsi="Palatino Linotype" w:cs="Palatino Linotype"/>
          <w:b/>
          <w:bCs/>
        </w:rPr>
        <w:t>asimismo,</w:t>
      </w:r>
      <w:r w:rsidRPr="00273733">
        <w:rPr>
          <w:rFonts w:ascii="Palatino Linotype" w:eastAsia="Palatino Linotype" w:hAnsi="Palatino Linotype" w:cs="Palatino Linotype"/>
        </w:rPr>
        <w:t xml:space="preserve"> </w:t>
      </w:r>
      <w:r w:rsidRPr="00273733">
        <w:rPr>
          <w:rFonts w:ascii="Palatino Linotype" w:eastAsia="Palatino Linotype" w:hAnsi="Palatino Linotype" w:cs="Palatino Linotype"/>
          <w:b/>
          <w:bCs/>
        </w:rPr>
        <w:t>atender el requerimiento del Particular,</w:t>
      </w:r>
      <w:r w:rsidRPr="00273733">
        <w:rPr>
          <w:rFonts w:ascii="Palatino Linotype" w:eastAsia="Palatino Linotype" w:hAnsi="Palatino Linotype" w:cs="Palatino Linotype"/>
        </w:rPr>
        <w:t xml:space="preserve"> este Instituto no está facultado para manifestarse sobre la veracidad, pues no existe precepto legal alguno en la Ley de la materia que lo faculte para que, vía recurso de revisión, pueda pronunciarse al respecto.</w:t>
      </w:r>
    </w:p>
    <w:p w:rsidR="00B2019C" w:rsidRPr="00273733" w:rsidRDefault="00B2019C" w:rsidP="00B2019C">
      <w:pPr>
        <w:ind w:right="1"/>
        <w:rPr>
          <w:rFonts w:ascii="Palatino Linotype" w:eastAsia="Palatino Linotype" w:hAnsi="Palatino Linotype" w:cs="Palatino Linotype"/>
          <w:color w:val="000000"/>
        </w:rPr>
      </w:pPr>
    </w:p>
    <w:p w:rsidR="00B2019C" w:rsidRPr="00273733" w:rsidRDefault="00B2019C" w:rsidP="00B2019C">
      <w:pPr>
        <w:pStyle w:val="Prrafodelista"/>
        <w:numPr>
          <w:ilvl w:val="0"/>
          <w:numId w:val="2"/>
        </w:numPr>
        <w:spacing w:line="360" w:lineRule="auto"/>
        <w:ind w:left="0" w:right="1" w:firstLine="0"/>
        <w:jc w:val="both"/>
        <w:rPr>
          <w:rFonts w:ascii="Palatino Linotype" w:eastAsia="Palatino Linotype" w:hAnsi="Palatino Linotype" w:cs="Palatino Linotype"/>
          <w:b/>
          <w:bCs/>
          <w:sz w:val="24"/>
        </w:rPr>
      </w:pPr>
      <w:r w:rsidRPr="00273733">
        <w:rPr>
          <w:rFonts w:ascii="Palatino Linotype" w:eastAsia="Palatino Linotype" w:hAnsi="Palatino Linotype" w:cs="Palatino Linotype"/>
          <w:color w:val="000000"/>
          <w:sz w:val="24"/>
        </w:rPr>
        <w:t xml:space="preserve">Así, </w:t>
      </w:r>
      <w:r w:rsidRPr="00273733">
        <w:rPr>
          <w:rFonts w:ascii="Palatino Linotype" w:eastAsia="Palatino Linotype" w:hAnsi="Palatino Linotype" w:cs="Palatino Linotype"/>
          <w:sz w:val="24"/>
        </w:rPr>
        <w:t xml:space="preserve">este Pleno advierte que el </w:t>
      </w:r>
      <w:r w:rsidRPr="00273733">
        <w:rPr>
          <w:rFonts w:ascii="Palatino Linotype" w:eastAsia="Palatino Linotype" w:hAnsi="Palatino Linotype" w:cs="Palatino Linotype"/>
          <w:b/>
          <w:bCs/>
          <w:sz w:val="24"/>
        </w:rPr>
        <w:t>SUJETO OBLIGADO</w:t>
      </w:r>
      <w:r w:rsidRPr="00273733">
        <w:rPr>
          <w:rFonts w:ascii="Palatino Linotype" w:eastAsia="Palatino Linotype" w:hAnsi="Palatino Linotype" w:cs="Palatino Linotype"/>
          <w:sz w:val="24"/>
        </w:rPr>
        <w:t xml:space="preserve"> </w:t>
      </w:r>
      <w:r w:rsidRPr="00273733">
        <w:rPr>
          <w:rFonts w:ascii="Palatino Linotype" w:eastAsia="Palatino Linotype" w:hAnsi="Palatino Linotype" w:cs="Palatino Linotype"/>
          <w:b/>
          <w:bCs/>
          <w:sz w:val="24"/>
        </w:rPr>
        <w:t xml:space="preserve">modificó </w:t>
      </w:r>
      <w:r w:rsidRPr="00273733">
        <w:rPr>
          <w:rFonts w:ascii="Palatino Linotype" w:eastAsia="Palatino Linotype" w:hAnsi="Palatino Linotype" w:cs="Palatino Linotype"/>
          <w:sz w:val="24"/>
        </w:rPr>
        <w:t>el acto que le dio origen al recurso de revisión, lo que trae como consecuencia que el mismo quede sin materia, actualizándose de este modo, la hipótesis jurídica contenida en la fracción III del artículo 192 de la Ley de Transparencia Local.</w:t>
      </w:r>
    </w:p>
    <w:p w:rsidR="00B2019C" w:rsidRPr="00273733" w:rsidRDefault="00B2019C" w:rsidP="00B2019C">
      <w:pPr>
        <w:pStyle w:val="Prrafodelista"/>
        <w:spacing w:line="360" w:lineRule="auto"/>
        <w:ind w:left="0" w:right="1"/>
        <w:jc w:val="both"/>
        <w:rPr>
          <w:rFonts w:ascii="Palatino Linotype" w:eastAsia="Palatino Linotype" w:hAnsi="Palatino Linotype" w:cs="Palatino Linotype"/>
          <w:b/>
          <w:bCs/>
          <w:sz w:val="24"/>
        </w:rPr>
      </w:pPr>
    </w:p>
    <w:p w:rsidR="00B2019C" w:rsidRPr="00273733" w:rsidRDefault="00B2019C" w:rsidP="00B2019C">
      <w:pPr>
        <w:numPr>
          <w:ilvl w:val="0"/>
          <w:numId w:val="2"/>
        </w:numPr>
        <w:spacing w:line="360" w:lineRule="auto"/>
        <w:ind w:left="0" w:right="1" w:firstLine="0"/>
        <w:jc w:val="both"/>
        <w:rPr>
          <w:rFonts w:ascii="Palatino Linotype" w:eastAsia="Palatino Linotype" w:hAnsi="Palatino Linotype" w:cs="Palatino Linotype"/>
          <w:b/>
          <w:bCs/>
        </w:rPr>
      </w:pPr>
      <w:r w:rsidRPr="00273733">
        <w:rPr>
          <w:rFonts w:ascii="Palatino Linotype" w:eastAsia="Palatino Linotype" w:hAnsi="Palatino Linotype" w:cs="Palatino Linotype"/>
        </w:rPr>
        <w:t xml:space="preserve">Por lo tanto, bajo los principios de certeza, eficacia y objetividad, establecidos en el artículo 9 de la Ley de Transparencia y Acceso a la Información Pública del Estado de México y Municipios, y derivado de que la información requerida corresponde con atribuciones de un Sujeto Obligado distinto al que le fue presentada la solicitud, como ya fue establecido, se dejan a salvo los derechos de la parte </w:t>
      </w:r>
      <w:r w:rsidRPr="00273733">
        <w:rPr>
          <w:rFonts w:ascii="Palatino Linotype" w:eastAsia="Palatino Linotype" w:hAnsi="Palatino Linotype" w:cs="Palatino Linotype"/>
          <w:b/>
          <w:bCs/>
        </w:rPr>
        <w:t>RECURRENTE</w:t>
      </w:r>
      <w:r w:rsidRPr="00273733">
        <w:rPr>
          <w:rFonts w:ascii="Palatino Linotype" w:eastAsia="Palatino Linotype" w:hAnsi="Palatino Linotype" w:cs="Palatino Linotype"/>
        </w:rPr>
        <w:t xml:space="preserve"> para que pueda realizar la solicitud de información ante el Sujeto Obligado correspondiente.</w:t>
      </w:r>
    </w:p>
    <w:p w:rsidR="00B2019C" w:rsidRPr="00273733" w:rsidRDefault="00B2019C" w:rsidP="00B2019C">
      <w:pPr>
        <w:spacing w:line="360" w:lineRule="auto"/>
        <w:ind w:right="1"/>
        <w:jc w:val="both"/>
        <w:rPr>
          <w:rFonts w:ascii="Palatino Linotype" w:eastAsia="Palatino Linotype" w:hAnsi="Palatino Linotype" w:cs="Palatino Linotype"/>
          <w:b/>
          <w:bCs/>
        </w:rPr>
      </w:pPr>
    </w:p>
    <w:p w:rsidR="00B2019C" w:rsidRPr="00273733" w:rsidRDefault="00B2019C" w:rsidP="00B2019C">
      <w:pPr>
        <w:numPr>
          <w:ilvl w:val="0"/>
          <w:numId w:val="2"/>
        </w:numPr>
        <w:spacing w:line="360" w:lineRule="auto"/>
        <w:ind w:left="0" w:right="1" w:firstLine="0"/>
        <w:jc w:val="both"/>
        <w:rPr>
          <w:rFonts w:ascii="Palatino Linotype" w:eastAsia="Palatino Linotype" w:hAnsi="Palatino Linotype" w:cs="Palatino Linotype"/>
          <w:b/>
          <w:bCs/>
        </w:rPr>
      </w:pPr>
      <w:r w:rsidRPr="00273733">
        <w:rPr>
          <w:rFonts w:ascii="Palatino Linotype" w:eastAsia="Palatino Linotype" w:hAnsi="Palatino Linotype" w:cs="Palatino Linotype"/>
          <w:color w:val="000000"/>
        </w:rPr>
        <w:lastRenderedPageBreak/>
        <w:t xml:space="preserve">Ahora bien, </w:t>
      </w:r>
      <w:r w:rsidRPr="00273733">
        <w:rPr>
          <w:rFonts w:ascii="Palatino Linotype" w:eastAsia="Palatino Linotype" w:hAnsi="Palatino Linotype" w:cs="Palatino Linotype"/>
        </w:rPr>
        <w:t>el sistema de medios de impugnación en esta materia se centra en el análisis de los agravios o motivos de inconformidad, los que deben tener relación directa con el acto de autoridad que lo motiva. En consecuencia, los motivos de la inconformidad deben versar sobre la respuesta de información proporcionada por los Sujetos Obligados o la negativa de entrega de esta, derivada de la solicitud de información pública.</w:t>
      </w:r>
    </w:p>
    <w:p w:rsidR="00B2019C" w:rsidRPr="00273733" w:rsidRDefault="00B2019C" w:rsidP="00B2019C">
      <w:pPr>
        <w:spacing w:line="360" w:lineRule="auto"/>
        <w:ind w:right="1"/>
        <w:jc w:val="both"/>
        <w:rPr>
          <w:rFonts w:ascii="Palatino Linotype" w:eastAsia="Palatino Linotype" w:hAnsi="Palatino Linotype" w:cs="Palatino Linotype"/>
          <w:b/>
          <w:bCs/>
        </w:rPr>
      </w:pPr>
    </w:p>
    <w:p w:rsidR="00B2019C" w:rsidRPr="00273733" w:rsidRDefault="00B2019C" w:rsidP="00B2019C">
      <w:pPr>
        <w:numPr>
          <w:ilvl w:val="0"/>
          <w:numId w:val="2"/>
        </w:numPr>
        <w:spacing w:line="360" w:lineRule="auto"/>
        <w:ind w:left="0" w:right="1" w:firstLine="0"/>
        <w:jc w:val="both"/>
        <w:rPr>
          <w:rFonts w:ascii="Palatino Linotype" w:eastAsia="Palatino Linotype" w:hAnsi="Palatino Linotype" w:cs="Palatino Linotype"/>
          <w:b/>
          <w:bCs/>
        </w:rPr>
      </w:pPr>
      <w:r w:rsidRPr="00273733">
        <w:rPr>
          <w:rFonts w:ascii="Palatino Linotype" w:eastAsia="Palatino Linotype" w:hAnsi="Palatino Linotype" w:cs="Palatino Linotype"/>
          <w:color w:val="000000"/>
        </w:rPr>
        <w:t xml:space="preserve">De </w:t>
      </w:r>
      <w:r w:rsidRPr="00273733">
        <w:rPr>
          <w:rFonts w:ascii="Palatino Linotype" w:eastAsia="Palatino Linotype" w:hAnsi="Palatino Linotype" w:cs="Palatino Linotype"/>
        </w:rPr>
        <w:t xml:space="preserve">este modo, cuando el </w:t>
      </w:r>
      <w:r w:rsidRPr="00273733">
        <w:rPr>
          <w:rFonts w:ascii="Palatino Linotype" w:eastAsia="Palatino Linotype" w:hAnsi="Palatino Linotype" w:cs="Palatino Linotype"/>
          <w:b/>
          <w:bCs/>
        </w:rPr>
        <w:t xml:space="preserve">SUJETO OBLIGADO, </w:t>
      </w:r>
      <w:r w:rsidRPr="00273733">
        <w:rPr>
          <w:rFonts w:ascii="Palatino Linotype" w:eastAsia="Palatino Linotype" w:hAnsi="Palatino Linotype" w:cs="Palatino Linotype"/>
        </w:rPr>
        <w:t xml:space="preserve">antes de que se dicte resolución definitiva, entrega la información solicitada o completa la información que en un primer momento fue incompleta o no correspondió con lo solicitado; el recurso de revisión que al efecto se haya interpuesto queda sin materia lo que imposibilita el estudio de fondo de la </w:t>
      </w:r>
      <w:r w:rsidRPr="00273733">
        <w:rPr>
          <w:rFonts w:ascii="Palatino Linotype" w:eastAsia="Palatino Linotype" w:hAnsi="Palatino Linotype" w:cs="Palatino Linotype"/>
          <w:i/>
          <w:iCs/>
        </w:rPr>
        <w:t>litis</w:t>
      </w:r>
      <w:r w:rsidRPr="00273733">
        <w:rPr>
          <w:rFonts w:ascii="Palatino Linotype" w:eastAsia="Palatino Linotype" w:hAnsi="Palatino Linotype" w:cs="Palatino Linotype"/>
        </w:rPr>
        <w:t xml:space="preserve"> planteada, debido a que la afectación en su esfera de derechos fue restituida por la propia autoridad que emitió el acto motivo de impugnación.</w:t>
      </w:r>
    </w:p>
    <w:p w:rsidR="00B2019C" w:rsidRPr="00273733" w:rsidRDefault="00B2019C" w:rsidP="00B2019C">
      <w:pPr>
        <w:spacing w:line="360" w:lineRule="auto"/>
        <w:ind w:right="1"/>
        <w:jc w:val="both"/>
        <w:rPr>
          <w:rFonts w:ascii="Palatino Linotype" w:eastAsia="Palatino Linotype" w:hAnsi="Palatino Linotype" w:cs="Palatino Linotype"/>
          <w:b/>
          <w:bCs/>
        </w:rPr>
      </w:pPr>
    </w:p>
    <w:p w:rsidR="00B2019C" w:rsidRPr="00273733" w:rsidRDefault="00B2019C" w:rsidP="00B2019C">
      <w:pPr>
        <w:numPr>
          <w:ilvl w:val="0"/>
          <w:numId w:val="2"/>
        </w:numPr>
        <w:spacing w:line="360" w:lineRule="auto"/>
        <w:ind w:left="0" w:right="1" w:firstLine="0"/>
        <w:jc w:val="both"/>
        <w:rPr>
          <w:rFonts w:ascii="Palatino Linotype" w:eastAsia="Palatino Linotype" w:hAnsi="Palatino Linotype" w:cs="Palatino Linotype"/>
          <w:b/>
          <w:bCs/>
        </w:rPr>
      </w:pPr>
      <w:r w:rsidRPr="00273733">
        <w:rPr>
          <w:rFonts w:ascii="Palatino Linotype" w:eastAsia="Palatino Linotype" w:hAnsi="Palatino Linotype" w:cs="Palatino Linotype"/>
          <w:color w:val="000000"/>
        </w:rPr>
        <w:t xml:space="preserve">Sirve </w:t>
      </w:r>
      <w:r w:rsidRPr="00273733">
        <w:rPr>
          <w:rFonts w:ascii="Palatino Linotype" w:eastAsia="Palatino Linotype" w:hAnsi="Palatino Linotype" w:cs="Palatino Linotype"/>
        </w:rPr>
        <w:t>de sustento a lo anterior la siguiente jurisprudencia por contradicción, cuyo rubro, texto y datos de identificación son los siguientes:</w:t>
      </w:r>
    </w:p>
    <w:p w:rsidR="00B2019C" w:rsidRPr="00273733" w:rsidRDefault="00B2019C" w:rsidP="00B2019C">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iCs/>
          <w:color w:val="000000"/>
        </w:rPr>
      </w:pPr>
      <w:r w:rsidRPr="00273733">
        <w:rPr>
          <w:rFonts w:ascii="Palatino Linotype" w:eastAsia="Palatino Linotype" w:hAnsi="Palatino Linotype" w:cs="Palatino Linotype"/>
          <w:b/>
          <w:bCs/>
          <w:i/>
          <w:iCs/>
          <w:color w:val="000000"/>
        </w:rPr>
        <w:t>CESACIÓN DE EFECTOS DEL ACTO RECLAMADO POR VIOLACIÓN AL ARTÍCULO 8o. DE LA CONSTITUCIÓN POLÍTICA DE LOS ESTADOS UNIDOS MEXICANOS. OPERA CUANDO LA AUTORIDAD RESPONSABLE AL RENDIR SU INFORME JUSTIFICADO EXHIBE LA CONTESTACIÓN A LA PETICIÓN FORMULADA, QUEDANDO EXPEDITOS LOS DERECHOS DEL QUEJOSO PARA AMPLIAR SU DEMANDA INICIAL, PROMOVER OTRO JUICIO DE AMPARO O EL MEDIO ORDINARIO DE DEFENSA QUE PROCEDA.</w:t>
      </w:r>
      <w:r w:rsidRPr="00273733">
        <w:rPr>
          <w:rFonts w:ascii="Palatino Linotype" w:eastAsia="Palatino Linotype" w:hAnsi="Palatino Linotype" w:cs="Palatino Linotype"/>
          <w:i/>
          <w:iCs/>
          <w:color w:val="000000"/>
        </w:rPr>
        <w:t xml:space="preserve"> De la interpretación de los artículos 73, fracción XVI y 80 de la Ley de Amparo, se concluye que la causa de improcedencia del juicio de garantías consistente en la cesación de efectos del acto reclamado, se actualiza cuando ante la insubsistencia del mismo, todos sus efectos desaparecen o se destruyen de forma inmediata, total e incondicionalmente, de manera que las cosas vuelvan al estado que tenían antes de la violación constitucional. Ahora bien, el hecho de que la autoridad responsable al rendir su informe justificado exhiba la respuesta expresa a la petición de la parte quejosa, producida durante la tramitación del juicio de amparo, significa, </w:t>
      </w:r>
      <w:r w:rsidRPr="00273733">
        <w:rPr>
          <w:rFonts w:ascii="Palatino Linotype" w:eastAsia="Palatino Linotype" w:hAnsi="Palatino Linotype" w:cs="Palatino Linotype"/>
          <w:i/>
          <w:iCs/>
          <w:color w:val="000000"/>
        </w:rPr>
        <w:lastRenderedPageBreak/>
        <w:t>por una parte, que los efectos de la falta de contestación desaparecieron, de manera que las cosas volvieron al estado que tenían antes de la violación al artículo 8o. de la Constitución Política de los Estados Unidos Mexicanos, y por otra, que respecto del contenido de dicha contestación, el quejoso puede ampliar su demanda inicial, promover otro juicio de amparo o el medio ordinario de defensa que proceda, toda vez que se trata de un nuevo acto.</w:t>
      </w:r>
    </w:p>
    <w:p w:rsidR="00B2019C" w:rsidRPr="00273733" w:rsidRDefault="00B2019C" w:rsidP="00B2019C">
      <w:pPr>
        <w:spacing w:line="360" w:lineRule="auto"/>
        <w:ind w:right="1"/>
        <w:jc w:val="both"/>
        <w:rPr>
          <w:rFonts w:ascii="Palatino Linotype" w:eastAsia="Palatino Linotype" w:hAnsi="Palatino Linotype" w:cs="Palatino Linotype"/>
          <w:b/>
          <w:bCs/>
        </w:rPr>
      </w:pPr>
    </w:p>
    <w:p w:rsidR="00B2019C" w:rsidRPr="00273733" w:rsidRDefault="00B2019C" w:rsidP="00B2019C">
      <w:pPr>
        <w:numPr>
          <w:ilvl w:val="0"/>
          <w:numId w:val="2"/>
        </w:numPr>
        <w:spacing w:line="360" w:lineRule="auto"/>
        <w:ind w:left="0" w:right="1" w:firstLine="0"/>
        <w:jc w:val="both"/>
        <w:rPr>
          <w:rFonts w:ascii="Palatino Linotype" w:eastAsia="Palatino Linotype" w:hAnsi="Palatino Linotype" w:cs="Palatino Linotype"/>
          <w:b/>
          <w:bCs/>
        </w:rPr>
      </w:pPr>
      <w:r w:rsidRPr="00273733">
        <w:rPr>
          <w:rFonts w:ascii="Palatino Linotype" w:eastAsia="Palatino Linotype" w:hAnsi="Palatino Linotype" w:cs="Palatino Linotype"/>
          <w:color w:val="000000"/>
        </w:rPr>
        <w:t xml:space="preserve">La </w:t>
      </w:r>
      <w:r w:rsidRPr="00273733">
        <w:rPr>
          <w:rFonts w:ascii="Palatino Linotype" w:eastAsia="Palatino Linotype" w:hAnsi="Palatino Linotype" w:cs="Palatino Linotype"/>
        </w:rPr>
        <w:t>anterior jurisprudencia resulta aplicable al presente asunto, en dos aspectos:</w:t>
      </w:r>
    </w:p>
    <w:p w:rsidR="00B2019C" w:rsidRPr="00273733" w:rsidRDefault="00B2019C" w:rsidP="00B2019C">
      <w:pPr>
        <w:numPr>
          <w:ilvl w:val="0"/>
          <w:numId w:val="18"/>
        </w:numPr>
        <w:ind w:left="567" w:right="616" w:firstLine="0"/>
        <w:jc w:val="both"/>
        <w:rPr>
          <w:rFonts w:ascii="Palatino Linotype" w:eastAsia="Palatino Linotype" w:hAnsi="Palatino Linotype" w:cs="Palatino Linotype"/>
        </w:rPr>
      </w:pPr>
      <w:r w:rsidRPr="00273733">
        <w:rPr>
          <w:rFonts w:ascii="Palatino Linotype" w:eastAsia="Palatino Linotype" w:hAnsi="Palatino Linotype" w:cs="Palatino Linotype"/>
          <w:b/>
          <w:bCs/>
        </w:rPr>
        <w:t>La cesación de los efectos perniciosos del acto de autoridad:</w:t>
      </w:r>
      <w:r w:rsidRPr="00273733">
        <w:rPr>
          <w:rFonts w:ascii="Palatino Linotype" w:eastAsia="Palatino Linotype" w:hAnsi="Palatino Linotype" w:cs="Palatino Linotype"/>
        </w:rPr>
        <w:t xml:space="preserve"> Al respecto, la Ley de Transparencia contempla la figura jurídica del sobreseimiento cuando el </w:t>
      </w:r>
      <w:r w:rsidRPr="00273733">
        <w:rPr>
          <w:rFonts w:ascii="Palatino Linotype" w:eastAsia="Palatino Linotype" w:hAnsi="Palatino Linotype" w:cs="Palatino Linotype"/>
          <w:b/>
          <w:bCs/>
        </w:rPr>
        <w:t>SUJETO OBLIGADO</w:t>
      </w:r>
      <w:r w:rsidRPr="00273733">
        <w:rPr>
          <w:rFonts w:ascii="Palatino Linotype" w:eastAsia="Palatino Linotype" w:hAnsi="Palatino Linotype" w:cs="Palatino Linotype"/>
        </w:rPr>
        <w:t xml:space="preserve"> de </w:t>
      </w:r>
      <w:r w:rsidRPr="00273733">
        <w:rPr>
          <w:rFonts w:ascii="Palatino Linotype" w:eastAsia="Palatino Linotype" w:hAnsi="Palatino Linotype" w:cs="Palatino Linotype"/>
          <w:i/>
          <w:iCs/>
        </w:rPr>
        <w:t>motu proprio</w:t>
      </w:r>
      <w:r w:rsidRPr="00273733">
        <w:rPr>
          <w:rFonts w:ascii="Palatino Linotype" w:eastAsia="Palatino Linotype" w:hAnsi="Palatino Linotype" w:cs="Palatino Linotype"/>
        </w:rPr>
        <w:t xml:space="preserve"> modifica o revoca de tal manera el acto motivo de la impugnación que lo deja sin materia; es decir, cesan los efectos de éste y el derecho de acceso a la información pública se encuentra satisfecho.</w:t>
      </w:r>
    </w:p>
    <w:p w:rsidR="00B2019C" w:rsidRPr="00273733" w:rsidRDefault="00B2019C" w:rsidP="00B2019C">
      <w:pPr>
        <w:ind w:left="567" w:right="616"/>
        <w:rPr>
          <w:rFonts w:ascii="Palatino Linotype" w:eastAsia="Palatino Linotype" w:hAnsi="Palatino Linotype" w:cs="Palatino Linotype"/>
        </w:rPr>
      </w:pPr>
    </w:p>
    <w:p w:rsidR="00B2019C" w:rsidRPr="00273733" w:rsidRDefault="00B2019C" w:rsidP="00B2019C">
      <w:pPr>
        <w:numPr>
          <w:ilvl w:val="0"/>
          <w:numId w:val="18"/>
        </w:numPr>
        <w:ind w:left="567" w:right="616" w:firstLine="0"/>
        <w:jc w:val="both"/>
        <w:rPr>
          <w:rFonts w:ascii="Palatino Linotype" w:eastAsia="Palatino Linotype" w:hAnsi="Palatino Linotype" w:cs="Palatino Linotype"/>
        </w:rPr>
      </w:pPr>
      <w:r w:rsidRPr="00273733">
        <w:rPr>
          <w:rFonts w:ascii="Palatino Linotype" w:eastAsia="Palatino Linotype" w:hAnsi="Palatino Linotype" w:cs="Palatino Linotype"/>
          <w:b/>
          <w:bCs/>
        </w:rPr>
        <w:t>El momento procesal para modificar el acto impugnado:</w:t>
      </w:r>
      <w:r w:rsidRPr="00273733">
        <w:rPr>
          <w:rFonts w:ascii="Palatino Linotype" w:eastAsia="Palatino Linotype" w:hAnsi="Palatino Linotype" w:cs="Palatino Linotype"/>
        </w:rPr>
        <w:t xml:space="preserve"> Para que se actualice el sobreseimiento de un recurso de revisión, el </w:t>
      </w:r>
      <w:r w:rsidRPr="00273733">
        <w:rPr>
          <w:rFonts w:ascii="Palatino Linotype" w:eastAsia="Palatino Linotype" w:hAnsi="Palatino Linotype" w:cs="Palatino Linotype"/>
          <w:b/>
          <w:bCs/>
        </w:rPr>
        <w:t>SUJETO OBLIGADO</w:t>
      </w:r>
      <w:r w:rsidRPr="00273733">
        <w:rPr>
          <w:rFonts w:ascii="Palatino Linotype" w:eastAsia="Palatino Linotype" w:hAnsi="Palatino Linotype" w:cs="Palatino Linotype"/>
        </w:rPr>
        <w:t xml:space="preserve"> puede entregar o completar la información al momento de rendir su informe de justificación o </w:t>
      </w:r>
      <w:r w:rsidRPr="00273733">
        <w:rPr>
          <w:rFonts w:ascii="Palatino Linotype" w:eastAsia="Palatino Linotype" w:hAnsi="Palatino Linotype" w:cs="Palatino Linotype"/>
          <w:b/>
          <w:bCs/>
          <w:u w:val="single"/>
        </w:rPr>
        <w:t>posteriormente</w:t>
      </w:r>
      <w:r w:rsidRPr="00273733">
        <w:rPr>
          <w:rFonts w:ascii="Palatino Linotype" w:eastAsia="Palatino Linotype" w:hAnsi="Palatino Linotype" w:cs="Palatino Linotype"/>
        </w:rPr>
        <w:t xml:space="preserve"> a éste, siempre y cuando el Pleno del Instituto no haya dictado resolución definitiva.</w:t>
      </w:r>
    </w:p>
    <w:p w:rsidR="00B2019C" w:rsidRPr="00273733" w:rsidRDefault="00B2019C" w:rsidP="00B2019C">
      <w:pPr>
        <w:spacing w:line="360" w:lineRule="auto"/>
        <w:ind w:right="1"/>
        <w:jc w:val="both"/>
        <w:rPr>
          <w:rFonts w:ascii="Palatino Linotype" w:eastAsia="Palatino Linotype" w:hAnsi="Palatino Linotype" w:cs="Palatino Linotype"/>
          <w:b/>
          <w:bCs/>
        </w:rPr>
      </w:pPr>
    </w:p>
    <w:p w:rsidR="00B2019C" w:rsidRPr="00273733" w:rsidRDefault="00B2019C" w:rsidP="00B2019C">
      <w:pPr>
        <w:numPr>
          <w:ilvl w:val="0"/>
          <w:numId w:val="2"/>
        </w:numPr>
        <w:spacing w:line="360" w:lineRule="auto"/>
        <w:ind w:left="0" w:right="1" w:firstLine="0"/>
        <w:jc w:val="both"/>
        <w:rPr>
          <w:rFonts w:ascii="Palatino Linotype" w:eastAsia="Palatino Linotype" w:hAnsi="Palatino Linotype" w:cs="Palatino Linotype"/>
          <w:b/>
          <w:bCs/>
        </w:rPr>
      </w:pPr>
      <w:r w:rsidRPr="00273733">
        <w:rPr>
          <w:rFonts w:ascii="Palatino Linotype" w:eastAsia="Palatino Linotype" w:hAnsi="Palatino Linotype" w:cs="Palatino Linotype"/>
          <w:color w:val="000000"/>
        </w:rPr>
        <w:t xml:space="preserve">Eduardo Pallares, </w:t>
      </w:r>
      <w:r w:rsidRPr="00273733">
        <w:rPr>
          <w:rFonts w:ascii="Palatino Linotype" w:eastAsia="Palatino Linotype" w:hAnsi="Palatino Linotype" w:cs="Palatino Linotype"/>
        </w:rPr>
        <w:t xml:space="preserve">en su artículo </w:t>
      </w:r>
      <w:r w:rsidRPr="00273733">
        <w:rPr>
          <w:rFonts w:ascii="Palatino Linotype" w:eastAsia="Palatino Linotype" w:hAnsi="Palatino Linotype" w:cs="Palatino Linotype"/>
          <w:i/>
          <w:iCs/>
        </w:rPr>
        <w:t>“La caducidad y el sobreseimiento en el amparo”</w:t>
      </w:r>
      <w:r w:rsidRPr="00273733">
        <w:rPr>
          <w:rFonts w:ascii="Palatino Linotype" w:eastAsia="Palatino Linotype" w:hAnsi="Palatino Linotype" w:cs="Palatino Linotype"/>
        </w:rPr>
        <w:t xml:space="preserve">, cita la definición de Aguilera Paz, aduciendo que se </w:t>
      </w:r>
      <w:r w:rsidRPr="00273733">
        <w:rPr>
          <w:rFonts w:ascii="Palatino Linotype" w:eastAsia="Palatino Linotype" w:hAnsi="Palatino Linotype" w:cs="Palatino Linotype"/>
          <w:i/>
          <w:iCs/>
        </w:rPr>
        <w:t>“...entiende por sobreseimiento en el tecnicismo forense, el hecho de cesar en el procedimiento o curso de la causa, por no existir méritos bastantes para entrar en un juicio o para entablar la contienda judicial que debe ser objeto del mismo...”</w:t>
      </w:r>
      <w:r w:rsidRPr="00273733">
        <w:rPr>
          <w:rFonts w:ascii="Palatino Linotype" w:eastAsia="Palatino Linotype" w:hAnsi="Palatino Linotype" w:cs="Palatino Linotype"/>
        </w:rPr>
        <w:t>. Asimismo, señala que existe el sobreseimiento provisional y el definitivo</w:t>
      </w:r>
      <w:r w:rsidRPr="00273733">
        <w:rPr>
          <w:rFonts w:ascii="Palatino Linotype" w:eastAsia="Palatino Linotype" w:hAnsi="Palatino Linotype" w:cs="Palatino Linotype"/>
          <w:i/>
          <w:iCs/>
        </w:rPr>
        <w:t>: “...el definitivo es una verdadera sentencia que pone fin al juicio, y que una vez dictada, produce cosa juzgada, mientras que el provisorio tiene por efectos suspender la prosecución de la causa...”</w:t>
      </w:r>
    </w:p>
    <w:p w:rsidR="00B2019C" w:rsidRPr="00273733" w:rsidRDefault="00B2019C" w:rsidP="00B2019C">
      <w:pPr>
        <w:spacing w:line="360" w:lineRule="auto"/>
        <w:ind w:right="1"/>
        <w:jc w:val="both"/>
        <w:rPr>
          <w:rFonts w:ascii="Palatino Linotype" w:eastAsia="Palatino Linotype" w:hAnsi="Palatino Linotype" w:cs="Palatino Linotype"/>
          <w:b/>
          <w:bCs/>
        </w:rPr>
      </w:pPr>
    </w:p>
    <w:p w:rsidR="00B2019C" w:rsidRPr="00273733" w:rsidRDefault="00B2019C" w:rsidP="00B2019C">
      <w:pPr>
        <w:numPr>
          <w:ilvl w:val="0"/>
          <w:numId w:val="2"/>
        </w:numPr>
        <w:spacing w:line="360" w:lineRule="auto"/>
        <w:ind w:left="0" w:right="1" w:firstLine="0"/>
        <w:jc w:val="both"/>
        <w:rPr>
          <w:rFonts w:ascii="Palatino Linotype" w:eastAsia="Palatino Linotype" w:hAnsi="Palatino Linotype" w:cs="Palatino Linotype"/>
          <w:b/>
          <w:bCs/>
        </w:rPr>
      </w:pPr>
      <w:r w:rsidRPr="00273733">
        <w:rPr>
          <w:rFonts w:ascii="Palatino Linotype" w:eastAsia="Palatino Linotype" w:hAnsi="Palatino Linotype" w:cs="Palatino Linotype"/>
          <w:color w:val="000000"/>
        </w:rPr>
        <w:t xml:space="preserve">Así, </w:t>
      </w:r>
      <w:r w:rsidRPr="00273733">
        <w:rPr>
          <w:rFonts w:ascii="Palatino Linotype" w:eastAsia="Palatino Linotype" w:hAnsi="Palatino Linotype" w:cs="Palatino Linotype"/>
        </w:rPr>
        <w:t xml:space="preserve">para la doctrina el sobreseimiento provoca que un procedimiento se suspenda o se resuelva en definitiva </w:t>
      </w:r>
      <w:r w:rsidRPr="00273733">
        <w:rPr>
          <w:rFonts w:ascii="Palatino Linotype" w:eastAsia="Palatino Linotype" w:hAnsi="Palatino Linotype" w:cs="Palatino Linotype"/>
          <w:b/>
          <w:bCs/>
          <w:u w:val="single"/>
        </w:rPr>
        <w:t xml:space="preserve">sin que se entre al estudio de los agravios o motivos de inconformidad. </w:t>
      </w:r>
      <w:r w:rsidRPr="00273733">
        <w:rPr>
          <w:rFonts w:ascii="Palatino Linotype" w:eastAsia="Palatino Linotype" w:hAnsi="Palatino Linotype" w:cs="Palatino Linotype"/>
        </w:rPr>
        <w:lastRenderedPageBreak/>
        <w:t>Este mismo criterio es compartido por el más alto tribunal del país en múltiples jurisprudencias, por lo que a continuación se agrega una de ellas que sirve como orientador en esta resolución:</w:t>
      </w:r>
    </w:p>
    <w:p w:rsidR="00B2019C" w:rsidRPr="00273733" w:rsidRDefault="00B2019C" w:rsidP="00B2019C">
      <w:pPr>
        <w:ind w:left="567" w:right="565"/>
        <w:jc w:val="both"/>
        <w:rPr>
          <w:rFonts w:ascii="Palatino Linotype" w:eastAsia="Palatino Linotype" w:hAnsi="Palatino Linotype" w:cs="Palatino Linotype"/>
          <w:i/>
          <w:iCs/>
        </w:rPr>
      </w:pPr>
      <w:r w:rsidRPr="00273733">
        <w:rPr>
          <w:rFonts w:ascii="Palatino Linotype" w:eastAsia="Palatino Linotype" w:hAnsi="Palatino Linotype" w:cs="Palatino Linotype"/>
          <w:b/>
          <w:bCs/>
          <w:i/>
          <w:iCs/>
        </w:rPr>
        <w:t>SOBRESEIMIENTO EN EL JUICIO DE AMPARO DIRECTO. IMPIDE EL ESTUDIO DE LAS VIOLACIONES PROCESALES PLANTEADAS EN LOS CONCEPTOS DE VIOLACIÓN. El sobreseimiento</w:t>
      </w:r>
      <w:r w:rsidRPr="00273733">
        <w:rPr>
          <w:rFonts w:ascii="Palatino Linotype" w:eastAsia="Palatino Linotype" w:hAnsi="Palatino Linotype" w:cs="Palatino Linotype"/>
          <w:i/>
          <w:iCs/>
        </w:rPr>
        <w:t xml:space="preserve"> en el juicio de amparo directo </w:t>
      </w:r>
      <w:r w:rsidRPr="00273733">
        <w:rPr>
          <w:rFonts w:ascii="Palatino Linotype" w:eastAsia="Palatino Linotype" w:hAnsi="Palatino Linotype" w:cs="Palatino Linotype"/>
          <w:b/>
          <w:bCs/>
          <w:i/>
          <w:iCs/>
        </w:rPr>
        <w:t>provoca la terminación de la controversia planteada</w:t>
      </w:r>
      <w:r w:rsidRPr="00273733">
        <w:rPr>
          <w:rFonts w:ascii="Palatino Linotype" w:eastAsia="Palatino Linotype" w:hAnsi="Palatino Linotype" w:cs="Palatino Linotype"/>
          <w:i/>
          <w:iCs/>
        </w:rPr>
        <w:t xml:space="preserve"> por el quejoso en la demanda de amparo</w:t>
      </w:r>
      <w:r w:rsidRPr="00273733">
        <w:rPr>
          <w:rFonts w:ascii="Palatino Linotype" w:eastAsia="Palatino Linotype" w:hAnsi="Palatino Linotype" w:cs="Palatino Linotype"/>
          <w:b/>
          <w:bCs/>
          <w:i/>
          <w:iCs/>
        </w:rPr>
        <w:t>, sin hacer un pronunciamiento de fondo sobre la legalidad o ilegalidad de la sentencia reclamada</w:t>
      </w:r>
      <w:r w:rsidRPr="00273733">
        <w:rPr>
          <w:rFonts w:ascii="Palatino Linotype" w:eastAsia="Palatino Linotype" w:hAnsi="Palatino Linotype" w:cs="Palatino Linotype"/>
          <w:i/>
          <w:iCs/>
        </w:rPr>
        <w:t xml:space="preserve">. </w:t>
      </w:r>
      <w:r w:rsidRPr="00273733">
        <w:rPr>
          <w:rFonts w:ascii="Palatino Linotype" w:eastAsia="Palatino Linotype" w:hAnsi="Palatino Linotype" w:cs="Palatino Linotype"/>
          <w:b/>
          <w:bCs/>
          <w:i/>
          <w:iCs/>
        </w:rPr>
        <w:t>Por consiguiente, si al sobreseerse en el juicio de amparo no se pueden estudiar los planteamientos que se hacen valer en contra del fallo reclamado, tampoco se deben analizar las violaciones procesales propuestas en los conceptos de violación, dado que, la principal consecuencia del sobreseimiento es poner fin al juicio de amparo sin resolver la controversia en sus méritos</w:t>
      </w:r>
      <w:r w:rsidRPr="00273733">
        <w:rPr>
          <w:rFonts w:ascii="Palatino Linotype" w:eastAsia="Palatino Linotype" w:hAnsi="Palatino Linotype" w:cs="Palatino Linotype"/>
          <w:i/>
          <w:iCs/>
        </w:rPr>
        <w:t>.</w:t>
      </w:r>
    </w:p>
    <w:p w:rsidR="00B2019C" w:rsidRPr="00273733" w:rsidRDefault="00B2019C" w:rsidP="00B2019C">
      <w:pPr>
        <w:spacing w:line="360" w:lineRule="auto"/>
        <w:ind w:right="1"/>
        <w:jc w:val="both"/>
        <w:rPr>
          <w:rFonts w:ascii="Palatino Linotype" w:eastAsia="Palatino Linotype" w:hAnsi="Palatino Linotype" w:cs="Palatino Linotype"/>
          <w:b/>
          <w:bCs/>
        </w:rPr>
      </w:pPr>
    </w:p>
    <w:p w:rsidR="002739FA" w:rsidRPr="00273733" w:rsidRDefault="00B2019C" w:rsidP="002739FA">
      <w:pPr>
        <w:numPr>
          <w:ilvl w:val="0"/>
          <w:numId w:val="2"/>
        </w:numPr>
        <w:spacing w:line="360" w:lineRule="auto"/>
        <w:ind w:left="0" w:right="1" w:firstLine="0"/>
        <w:jc w:val="both"/>
        <w:rPr>
          <w:rFonts w:ascii="Palatino Linotype" w:eastAsia="Palatino Linotype" w:hAnsi="Palatino Linotype" w:cs="Palatino Linotype"/>
          <w:b/>
          <w:bCs/>
        </w:rPr>
      </w:pPr>
      <w:r w:rsidRPr="00273733">
        <w:rPr>
          <w:rFonts w:ascii="Palatino Linotype" w:eastAsia="Palatino Linotype" w:hAnsi="Palatino Linotype" w:cs="Palatino Linotype"/>
          <w:color w:val="000000"/>
        </w:rPr>
        <w:t xml:space="preserve">Consecuentemente, </w:t>
      </w:r>
      <w:r w:rsidRPr="00273733">
        <w:rPr>
          <w:rFonts w:ascii="Palatino Linotype" w:eastAsia="Palatino Linotype" w:hAnsi="Palatino Linotype" w:cs="Palatino Linotype"/>
        </w:rPr>
        <w:t>por lo que hace a los motivos de inconformidad, los mismos devienen inatendibles por actualizarse la figura del sobreseimiento, misma que impide el estudio de los agravios planteados, máxime que se ha dado cumplimiento al derecho de acceso a la información.</w:t>
      </w:r>
    </w:p>
    <w:p w:rsidR="00B2019C" w:rsidRPr="00273733" w:rsidRDefault="00B2019C" w:rsidP="00B2019C">
      <w:pPr>
        <w:spacing w:line="360" w:lineRule="auto"/>
        <w:ind w:right="1"/>
        <w:jc w:val="both"/>
        <w:rPr>
          <w:rFonts w:ascii="Palatino Linotype" w:eastAsia="Palatino Linotype" w:hAnsi="Palatino Linotype" w:cs="Palatino Linotype"/>
          <w:b/>
          <w:bCs/>
        </w:rPr>
      </w:pPr>
    </w:p>
    <w:p w:rsidR="002739FA" w:rsidRPr="00273733" w:rsidRDefault="002739FA" w:rsidP="002739FA">
      <w:pPr>
        <w:pStyle w:val="Prrafodelista"/>
        <w:numPr>
          <w:ilvl w:val="0"/>
          <w:numId w:val="19"/>
        </w:numPr>
        <w:spacing w:line="360" w:lineRule="auto"/>
        <w:jc w:val="both"/>
        <w:rPr>
          <w:rFonts w:ascii="Palatino Linotype" w:eastAsiaTheme="minorEastAsia" w:hAnsi="Palatino Linotype"/>
          <w:b/>
          <w:bCs/>
          <w:i/>
          <w:iCs/>
          <w:sz w:val="24"/>
          <w:lang w:eastAsia="es-ES"/>
        </w:rPr>
      </w:pPr>
      <w:r w:rsidRPr="00273733">
        <w:rPr>
          <w:rFonts w:ascii="Palatino Linotype" w:eastAsiaTheme="minorEastAsia" w:hAnsi="Palatino Linotype"/>
          <w:b/>
          <w:bCs/>
          <w:i/>
          <w:iCs/>
          <w:sz w:val="24"/>
          <w:lang w:eastAsia="es-ES"/>
        </w:rPr>
        <w:t>De la Plus Petitio.</w:t>
      </w:r>
    </w:p>
    <w:p w:rsidR="002739FA" w:rsidRPr="00273733" w:rsidRDefault="002739FA" w:rsidP="002739FA">
      <w:pPr>
        <w:pStyle w:val="Prrafodelista"/>
        <w:numPr>
          <w:ilvl w:val="0"/>
          <w:numId w:val="2"/>
        </w:numPr>
        <w:spacing w:line="360" w:lineRule="auto"/>
        <w:ind w:left="0" w:firstLine="0"/>
        <w:jc w:val="both"/>
        <w:rPr>
          <w:rFonts w:ascii="Palatino Linotype" w:eastAsia="Palatino Linotype" w:hAnsi="Palatino Linotype" w:cs="Palatino Linotype"/>
          <w:b/>
          <w:i/>
          <w:iCs/>
          <w:color w:val="000000"/>
          <w:sz w:val="24"/>
        </w:rPr>
      </w:pPr>
      <w:r w:rsidRPr="00273733">
        <w:rPr>
          <w:rFonts w:ascii="Palatino Linotype" w:hAnsi="Palatino Linotype" w:cs="Arial"/>
          <w:sz w:val="24"/>
          <w:lang w:val="es-ES" w:eastAsia="es-ES"/>
        </w:rPr>
        <w:t xml:space="preserve">Ahora bien, </w:t>
      </w:r>
      <w:r w:rsidRPr="00273733">
        <w:rPr>
          <w:rFonts w:ascii="Palatino Linotype" w:eastAsiaTheme="minorEastAsia" w:hAnsi="Palatino Linotype"/>
          <w:sz w:val="24"/>
          <w:lang w:eastAsia="es-ES"/>
        </w:rPr>
        <w:t>resulta necesario reiterar las razones o motivos de inconformidad vertidos en el recurso de revisión, en los siguientes términos:</w:t>
      </w:r>
      <w:r w:rsidRPr="00273733">
        <w:rPr>
          <w:rFonts w:ascii="Palatino Linotype" w:hAnsi="Palatino Linotype" w:cs="Arial"/>
          <w:sz w:val="24"/>
          <w:lang w:val="es-ES" w:eastAsia="es-ES"/>
        </w:rPr>
        <w:t xml:space="preserve"> </w:t>
      </w:r>
      <w:r w:rsidRPr="00273733">
        <w:rPr>
          <w:rFonts w:ascii="Palatino Linotype" w:eastAsia="Palatino Linotype" w:hAnsi="Palatino Linotype" w:cs="Palatino Linotype"/>
          <w:b/>
          <w:i/>
          <w:iCs/>
          <w:color w:val="000000"/>
          <w:sz w:val="24"/>
        </w:rPr>
        <w:t>“</w:t>
      </w:r>
      <w:r w:rsidRPr="00273733">
        <w:rPr>
          <w:rFonts w:ascii="Palatino Linotype" w:hAnsi="Palatino Linotype"/>
          <w:b/>
          <w:i/>
          <w:color w:val="000000"/>
          <w:sz w:val="24"/>
        </w:rPr>
        <w:t xml:space="preserve"> ¿Qué elementos comprobatorios existen para transparentar los $6,655,947.42 del presupuesto asignado? ¿licitaciones, contratos pedidos, personal?</w:t>
      </w:r>
      <w:r w:rsidRPr="00273733">
        <w:rPr>
          <w:rFonts w:ascii="Palatino Linotype" w:eastAsia="Palatino Linotype" w:hAnsi="Palatino Linotype" w:cs="Palatino Linotype"/>
          <w:b/>
          <w:i/>
          <w:iCs/>
          <w:color w:val="000000"/>
          <w:sz w:val="24"/>
        </w:rPr>
        <w:t>” (Sic)</w:t>
      </w:r>
    </w:p>
    <w:p w:rsidR="002739FA" w:rsidRPr="00273733" w:rsidRDefault="002739FA" w:rsidP="002739FA">
      <w:pPr>
        <w:spacing w:line="360" w:lineRule="auto"/>
        <w:jc w:val="both"/>
        <w:rPr>
          <w:rFonts w:ascii="Palatino Linotype" w:hAnsi="Palatino Linotype" w:cs="Arial"/>
          <w:lang w:val="es-ES" w:eastAsia="es-ES"/>
        </w:rPr>
      </w:pPr>
    </w:p>
    <w:p w:rsidR="002739FA" w:rsidRPr="00273733" w:rsidRDefault="002739FA" w:rsidP="002739FA">
      <w:pPr>
        <w:pStyle w:val="Prrafodelista"/>
        <w:numPr>
          <w:ilvl w:val="0"/>
          <w:numId w:val="2"/>
        </w:numPr>
        <w:spacing w:line="360" w:lineRule="auto"/>
        <w:ind w:left="0" w:firstLine="0"/>
        <w:jc w:val="both"/>
        <w:rPr>
          <w:rFonts w:ascii="Palatino Linotype" w:hAnsi="Palatino Linotype" w:cs="Arial"/>
          <w:sz w:val="24"/>
          <w:lang w:val="es-ES" w:eastAsia="es-ES"/>
        </w:rPr>
      </w:pPr>
      <w:r w:rsidRPr="00273733">
        <w:rPr>
          <w:rFonts w:ascii="Palatino Linotype" w:hAnsi="Palatino Linotype"/>
          <w:color w:val="000000"/>
          <w:sz w:val="24"/>
        </w:rPr>
        <w:t xml:space="preserve">Conforme a lo anterior, </w:t>
      </w:r>
      <w:r w:rsidRPr="00273733">
        <w:rPr>
          <w:rFonts w:ascii="Palatino Linotype" w:eastAsiaTheme="minorEastAsia" w:hAnsi="Palatino Linotype" w:cs="Arial"/>
          <w:sz w:val="24"/>
          <w:lang w:eastAsia="es-ES"/>
        </w:rPr>
        <w:t xml:space="preserve">el sistema de medios de impugnación se centra en el análisis de los agravios o motivos de inconformidad, los que deben tener relación directa con el acto de autoridad que lo motiva. </w:t>
      </w:r>
    </w:p>
    <w:p w:rsidR="002739FA" w:rsidRPr="00273733" w:rsidRDefault="002739FA" w:rsidP="002739FA">
      <w:pPr>
        <w:jc w:val="both"/>
        <w:rPr>
          <w:rFonts w:ascii="Palatino Linotype" w:eastAsiaTheme="minorEastAsia" w:hAnsi="Palatino Linotype" w:cs="Arial"/>
          <w:lang w:eastAsia="es-ES"/>
        </w:rPr>
      </w:pPr>
    </w:p>
    <w:p w:rsidR="002739FA" w:rsidRPr="00273733" w:rsidRDefault="002739FA" w:rsidP="002739FA">
      <w:pPr>
        <w:pStyle w:val="Prrafodelista"/>
        <w:numPr>
          <w:ilvl w:val="0"/>
          <w:numId w:val="2"/>
        </w:numPr>
        <w:spacing w:line="360" w:lineRule="auto"/>
        <w:ind w:left="0" w:firstLine="0"/>
        <w:jc w:val="both"/>
        <w:rPr>
          <w:rFonts w:ascii="Palatino Linotype" w:hAnsi="Palatino Linotype" w:cs="Arial"/>
          <w:sz w:val="24"/>
          <w:lang w:val="es-ES" w:eastAsia="es-ES"/>
        </w:rPr>
      </w:pPr>
      <w:r w:rsidRPr="00273733">
        <w:rPr>
          <w:rFonts w:ascii="Palatino Linotype" w:eastAsiaTheme="minorEastAsia" w:hAnsi="Palatino Linotype" w:cs="Arial"/>
          <w:sz w:val="24"/>
          <w:lang w:eastAsia="es-ES"/>
        </w:rPr>
        <w:lastRenderedPageBreak/>
        <w:t xml:space="preserve">En materia de transparencia, los motivos de la inconformidad deben versar sobre la respuesta de información proporcionada por los sujetos obligados o la negativa de entrega de la misma, derivada de la solicitud de información pública. De este modo, en los motivos de inconformidad los recurrentes no pueden incluir situaciones novedosas o solicitudes de información nuevas de las que el </w:t>
      </w:r>
      <w:r w:rsidRPr="00273733">
        <w:rPr>
          <w:rFonts w:ascii="Palatino Linotype" w:eastAsiaTheme="minorEastAsia" w:hAnsi="Palatino Linotype" w:cs="Arial"/>
          <w:b/>
          <w:sz w:val="24"/>
          <w:lang w:eastAsia="es-ES"/>
        </w:rPr>
        <w:t>SUJETO OBLIGADO</w:t>
      </w:r>
      <w:r w:rsidRPr="00273733">
        <w:rPr>
          <w:rFonts w:ascii="Palatino Linotype" w:eastAsiaTheme="minorEastAsia" w:hAnsi="Palatino Linotype" w:cs="Arial"/>
          <w:sz w:val="24"/>
          <w:lang w:eastAsia="es-ES"/>
        </w:rPr>
        <w:t xml:space="preserve"> no tuvo la oportunidad de conocer y por consiguiente producir un posicionamiento.</w:t>
      </w:r>
    </w:p>
    <w:p w:rsidR="002739FA" w:rsidRPr="00273733" w:rsidRDefault="002739FA" w:rsidP="002739FA">
      <w:pPr>
        <w:spacing w:line="360" w:lineRule="auto"/>
        <w:jc w:val="both"/>
        <w:rPr>
          <w:rFonts w:ascii="Palatino Linotype" w:hAnsi="Palatino Linotype" w:cs="Arial"/>
          <w:lang w:val="es-ES" w:eastAsia="es-ES"/>
        </w:rPr>
      </w:pPr>
    </w:p>
    <w:p w:rsidR="002739FA" w:rsidRPr="00273733" w:rsidRDefault="002739FA" w:rsidP="002739FA">
      <w:pPr>
        <w:numPr>
          <w:ilvl w:val="0"/>
          <w:numId w:val="2"/>
        </w:numPr>
        <w:spacing w:line="360" w:lineRule="auto"/>
        <w:ind w:left="0" w:firstLine="0"/>
        <w:contextualSpacing/>
        <w:jc w:val="both"/>
        <w:rPr>
          <w:rFonts w:ascii="Palatino Linotype" w:hAnsi="Palatino Linotype"/>
          <w:color w:val="000000"/>
        </w:rPr>
      </w:pPr>
      <w:r w:rsidRPr="00273733">
        <w:rPr>
          <w:rFonts w:ascii="Palatino Linotype" w:hAnsi="Palatino Linotype"/>
          <w:color w:val="000000"/>
        </w:rPr>
        <w:t xml:space="preserve">Es </w:t>
      </w:r>
      <w:r w:rsidRPr="00273733">
        <w:rPr>
          <w:rFonts w:ascii="Palatino Linotype" w:eastAsiaTheme="minorEastAsia" w:hAnsi="Palatino Linotype" w:cs="Arial"/>
          <w:lang w:eastAsia="es-ES"/>
        </w:rPr>
        <w:t>por ello, que la Ley de la materia contempla que en los casos en que a través del recurso de revisión se pretenda ampliar los requerimientos de información, la inconformidad relativa a estas situaciones novedosas no debe ser tomada en cuenta como parte de la Litis y debe ser desechada, tal y como lo establece el artículo 191 fracción VII.</w:t>
      </w:r>
    </w:p>
    <w:p w:rsidR="002739FA" w:rsidRPr="00273733" w:rsidRDefault="002739FA" w:rsidP="002739FA">
      <w:pPr>
        <w:ind w:left="567" w:right="539"/>
        <w:contextualSpacing/>
        <w:jc w:val="both"/>
        <w:rPr>
          <w:rFonts w:ascii="Palatino Linotype" w:eastAsiaTheme="minorEastAsia" w:hAnsi="Palatino Linotype" w:cs="Arial"/>
          <w:i/>
          <w:lang w:eastAsia="es-ES"/>
        </w:rPr>
      </w:pPr>
      <w:r w:rsidRPr="00273733">
        <w:rPr>
          <w:rFonts w:ascii="Palatino Linotype" w:eastAsiaTheme="minorEastAsia" w:hAnsi="Palatino Linotype" w:cs="Arial"/>
          <w:b/>
          <w:bCs/>
          <w:i/>
          <w:lang w:eastAsia="es-ES"/>
        </w:rPr>
        <w:t>“Artículo 191.</w:t>
      </w:r>
      <w:r w:rsidRPr="00273733">
        <w:rPr>
          <w:rFonts w:ascii="Palatino Linotype" w:eastAsiaTheme="minorEastAsia" w:hAnsi="Palatino Linotype" w:cs="Arial"/>
          <w:i/>
          <w:lang w:eastAsia="es-ES"/>
        </w:rPr>
        <w:t xml:space="preserve"> El recurso será desechado por improcedente cuando:</w:t>
      </w:r>
    </w:p>
    <w:p w:rsidR="002739FA" w:rsidRPr="00273733" w:rsidRDefault="002739FA" w:rsidP="002739FA">
      <w:pPr>
        <w:ind w:left="567" w:right="539"/>
        <w:contextualSpacing/>
        <w:jc w:val="both"/>
        <w:rPr>
          <w:rFonts w:ascii="Palatino Linotype" w:eastAsiaTheme="minorEastAsia" w:hAnsi="Palatino Linotype" w:cs="Arial"/>
          <w:i/>
          <w:lang w:eastAsia="es-ES"/>
        </w:rPr>
      </w:pPr>
      <w:r w:rsidRPr="00273733">
        <w:rPr>
          <w:rFonts w:ascii="Palatino Linotype" w:eastAsiaTheme="minorEastAsia" w:hAnsi="Palatino Linotype" w:cs="Arial"/>
          <w:i/>
          <w:lang w:eastAsia="es-ES"/>
        </w:rPr>
        <w:t>(…)</w:t>
      </w:r>
    </w:p>
    <w:p w:rsidR="002739FA" w:rsidRPr="00273733" w:rsidRDefault="002739FA" w:rsidP="002739FA">
      <w:pPr>
        <w:ind w:left="567" w:right="539"/>
        <w:contextualSpacing/>
        <w:jc w:val="both"/>
        <w:rPr>
          <w:rFonts w:ascii="Palatino Linotype" w:eastAsiaTheme="minorEastAsia" w:hAnsi="Palatino Linotype" w:cs="Arial"/>
          <w:b/>
          <w:bCs/>
          <w:i/>
          <w:lang w:eastAsia="es-ES"/>
        </w:rPr>
      </w:pPr>
      <w:r w:rsidRPr="00273733">
        <w:rPr>
          <w:rFonts w:ascii="Palatino Linotype" w:eastAsiaTheme="minorEastAsia" w:hAnsi="Palatino Linotype" w:cs="Arial"/>
          <w:b/>
          <w:bCs/>
          <w:i/>
          <w:lang w:eastAsia="es-ES"/>
        </w:rPr>
        <w:t>VII. El recurrente amplíe su solicitud en el recurso de revisión, únicamente respecto de los nuevos contenidos.</w:t>
      </w:r>
    </w:p>
    <w:p w:rsidR="002739FA" w:rsidRPr="00273733" w:rsidRDefault="002739FA" w:rsidP="002739FA">
      <w:pPr>
        <w:ind w:left="567" w:right="539"/>
        <w:contextualSpacing/>
        <w:jc w:val="both"/>
        <w:rPr>
          <w:rFonts w:ascii="Palatino Linotype" w:eastAsiaTheme="minorEastAsia" w:hAnsi="Palatino Linotype" w:cs="Arial"/>
          <w:i/>
          <w:lang w:eastAsia="es-ES"/>
        </w:rPr>
      </w:pPr>
      <w:r w:rsidRPr="00273733">
        <w:rPr>
          <w:rFonts w:ascii="Palatino Linotype" w:eastAsiaTheme="minorEastAsia" w:hAnsi="Palatino Linotype" w:cs="Arial"/>
          <w:i/>
          <w:lang w:eastAsia="es-ES"/>
        </w:rPr>
        <w:t>(…)”</w:t>
      </w:r>
    </w:p>
    <w:p w:rsidR="002739FA" w:rsidRPr="00273733" w:rsidRDefault="002739FA" w:rsidP="002739FA">
      <w:pPr>
        <w:ind w:right="539"/>
        <w:contextualSpacing/>
        <w:jc w:val="both"/>
        <w:rPr>
          <w:rFonts w:ascii="Palatino Linotype" w:eastAsiaTheme="minorEastAsia" w:hAnsi="Palatino Linotype" w:cs="Arial"/>
          <w:i/>
          <w:lang w:eastAsia="es-ES"/>
        </w:rPr>
      </w:pPr>
    </w:p>
    <w:p w:rsidR="002739FA" w:rsidRPr="00273733" w:rsidRDefault="002739FA" w:rsidP="002739FA">
      <w:pPr>
        <w:numPr>
          <w:ilvl w:val="0"/>
          <w:numId w:val="2"/>
        </w:numPr>
        <w:spacing w:line="360" w:lineRule="auto"/>
        <w:ind w:left="0" w:right="49" w:firstLine="0"/>
        <w:contextualSpacing/>
        <w:jc w:val="both"/>
        <w:rPr>
          <w:rFonts w:ascii="Palatino Linotype" w:hAnsi="Palatino Linotype"/>
          <w:color w:val="000000"/>
        </w:rPr>
      </w:pPr>
      <w:r w:rsidRPr="00273733">
        <w:rPr>
          <w:rFonts w:ascii="Palatino Linotype" w:hAnsi="Palatino Linotype"/>
          <w:color w:val="000000"/>
        </w:rPr>
        <w:t xml:space="preserve">Por </w:t>
      </w:r>
      <w:r w:rsidRPr="00273733">
        <w:rPr>
          <w:rFonts w:ascii="Palatino Linotype" w:eastAsiaTheme="minorEastAsia" w:hAnsi="Palatino Linotype" w:cs="Arial"/>
          <w:lang w:eastAsia="es-ES"/>
        </w:rPr>
        <w:t xml:space="preserve">lo anterior, resulta improcedente el referido motivo de inconformidad, ya que </w:t>
      </w:r>
      <w:r w:rsidRPr="00273733">
        <w:rPr>
          <w:rFonts w:ascii="Palatino Linotype" w:hAnsi="Palatino Linotype" w:cs="Arial"/>
          <w:color w:val="000000"/>
        </w:rPr>
        <w:t xml:space="preserve">se aprecia que la parte </w:t>
      </w:r>
      <w:r w:rsidRPr="00273733">
        <w:rPr>
          <w:rFonts w:ascii="Palatino Linotype" w:hAnsi="Palatino Linotype" w:cs="Arial"/>
          <w:b/>
          <w:bCs/>
          <w:color w:val="000000"/>
        </w:rPr>
        <w:t>RECURRENTE</w:t>
      </w:r>
      <w:r w:rsidRPr="00273733">
        <w:rPr>
          <w:rFonts w:ascii="Palatino Linotype" w:hAnsi="Palatino Linotype" w:cs="Arial"/>
          <w:color w:val="000000"/>
        </w:rPr>
        <w:t xml:space="preserve"> se excede dentro de su inconformidad respecto a lo requerido originalmente en la solicitud de información, siendo el caso que pretende ampliar lo solicitado de origen, lo que hace que se surta lo que en la teoría jurídica se le denomina </w:t>
      </w:r>
      <w:r w:rsidRPr="00273733">
        <w:rPr>
          <w:rFonts w:ascii="Palatino Linotype" w:hAnsi="Palatino Linotype" w:cs="Arial"/>
          <w:b/>
          <w:bCs/>
          <w:i/>
          <w:iCs/>
          <w:color w:val="000000"/>
        </w:rPr>
        <w:t>plus petitio.</w:t>
      </w:r>
    </w:p>
    <w:p w:rsidR="002739FA" w:rsidRPr="00273733" w:rsidRDefault="002739FA" w:rsidP="002739FA">
      <w:pPr>
        <w:spacing w:line="360" w:lineRule="auto"/>
        <w:ind w:right="49"/>
        <w:contextualSpacing/>
        <w:jc w:val="both"/>
        <w:rPr>
          <w:rFonts w:ascii="Palatino Linotype" w:hAnsi="Palatino Linotype"/>
          <w:color w:val="000000"/>
        </w:rPr>
      </w:pPr>
    </w:p>
    <w:p w:rsidR="002739FA" w:rsidRPr="00273733" w:rsidRDefault="002739FA" w:rsidP="002739FA">
      <w:pPr>
        <w:numPr>
          <w:ilvl w:val="0"/>
          <w:numId w:val="2"/>
        </w:numPr>
        <w:spacing w:line="360" w:lineRule="auto"/>
        <w:ind w:left="0" w:right="49" w:firstLine="0"/>
        <w:contextualSpacing/>
        <w:jc w:val="both"/>
        <w:rPr>
          <w:rFonts w:ascii="Palatino Linotype" w:hAnsi="Palatino Linotype"/>
          <w:color w:val="000000"/>
        </w:rPr>
      </w:pPr>
      <w:r w:rsidRPr="00273733">
        <w:rPr>
          <w:rFonts w:ascii="Palatino Linotype" w:hAnsi="Palatino Linotype"/>
          <w:color w:val="000000"/>
        </w:rPr>
        <w:t xml:space="preserve">Sirve </w:t>
      </w:r>
      <w:r w:rsidRPr="00273733">
        <w:rPr>
          <w:rFonts w:ascii="Palatino Linotype" w:hAnsi="Palatino Linotype" w:cs="Arial"/>
          <w:color w:val="000000"/>
        </w:rPr>
        <w:t>de apoyo el criterio 01/17 emitido por el Instituto Nacional de Transparencia, Acceso a la Información y Protección de Datos Personales que establece lo siguiente:</w:t>
      </w:r>
    </w:p>
    <w:p w:rsidR="002739FA" w:rsidRPr="00273733" w:rsidRDefault="002739FA" w:rsidP="002739FA">
      <w:pPr>
        <w:spacing w:line="360" w:lineRule="auto"/>
        <w:ind w:right="49"/>
        <w:contextualSpacing/>
        <w:jc w:val="both"/>
        <w:rPr>
          <w:rFonts w:ascii="Palatino Linotype" w:hAnsi="Palatino Linotype"/>
          <w:color w:val="000000"/>
        </w:rPr>
      </w:pPr>
    </w:p>
    <w:p w:rsidR="002739FA" w:rsidRPr="00273733" w:rsidRDefault="002739FA" w:rsidP="002739FA">
      <w:pPr>
        <w:ind w:left="567" w:right="539"/>
        <w:contextualSpacing/>
        <w:jc w:val="both"/>
        <w:rPr>
          <w:rFonts w:ascii="Palatino Linotype" w:hAnsi="Palatino Linotype" w:cs="Arial"/>
          <w:i/>
          <w:color w:val="000000"/>
        </w:rPr>
      </w:pPr>
      <w:r w:rsidRPr="00273733">
        <w:rPr>
          <w:rFonts w:ascii="Palatino Linotype" w:hAnsi="Palatino Linotype" w:cs="Arial"/>
          <w:b/>
          <w:i/>
          <w:color w:val="000000"/>
        </w:rPr>
        <w:lastRenderedPageBreak/>
        <w:t>Es improcedente ampliar las solicitudes de acceso a información, a través de la interposición del recurso de revisión.</w:t>
      </w:r>
      <w:r w:rsidRPr="00273733">
        <w:rPr>
          <w:rFonts w:ascii="Palatino Linotype" w:hAnsi="Palatino Linotype" w:cs="Arial"/>
          <w:i/>
          <w:color w:val="000000"/>
        </w:rPr>
        <w:t xml:space="preserve"> En términos de los artículos 155, fracción VII de la Ley General de Transparencia y Acceso a la Información Pública, y 161, fracción VII de la Ley Federal de Transparencia y Acceso a la Información Pública, en aquellos casos en que los recurrentes, mediante su recurso de revisión, amplíen los alcances de la solicitud de información inicial, los nuevos contenidos no podrán constituir materia del procedimiento a sustanciarse por el Instituto Nacional de Transparencia, Acceso a la Información y Protección de Datos Personales; actualizándose la hipótesis de improcedencia respectiva.</w:t>
      </w:r>
    </w:p>
    <w:p w:rsidR="002739FA" w:rsidRPr="00273733" w:rsidRDefault="002739FA" w:rsidP="002739FA">
      <w:pPr>
        <w:ind w:left="567" w:right="539"/>
        <w:contextualSpacing/>
        <w:jc w:val="both"/>
        <w:rPr>
          <w:rFonts w:ascii="Palatino Linotype" w:hAnsi="Palatino Linotype" w:cs="Arial"/>
          <w:color w:val="000000"/>
        </w:rPr>
      </w:pPr>
    </w:p>
    <w:p w:rsidR="002739FA" w:rsidRPr="00273733" w:rsidRDefault="002739FA" w:rsidP="002739FA">
      <w:pPr>
        <w:ind w:left="567" w:right="539"/>
        <w:contextualSpacing/>
        <w:jc w:val="both"/>
        <w:rPr>
          <w:rFonts w:ascii="Palatino Linotype" w:hAnsi="Palatino Linotype" w:cs="Arial"/>
          <w:i/>
          <w:color w:val="000000"/>
        </w:rPr>
      </w:pPr>
      <w:r w:rsidRPr="00273733">
        <w:rPr>
          <w:rFonts w:ascii="Palatino Linotype" w:hAnsi="Palatino Linotype" w:cs="Arial"/>
          <w:i/>
          <w:color w:val="000000"/>
        </w:rPr>
        <w:t>Resoluciones:</w:t>
      </w:r>
    </w:p>
    <w:p w:rsidR="002739FA" w:rsidRPr="00273733" w:rsidRDefault="002739FA" w:rsidP="002739FA">
      <w:pPr>
        <w:ind w:left="567" w:right="616"/>
        <w:contextualSpacing/>
        <w:jc w:val="both"/>
        <w:rPr>
          <w:rFonts w:ascii="Palatino Linotype" w:hAnsi="Palatino Linotype" w:cs="Arial"/>
          <w:i/>
          <w:color w:val="000000"/>
        </w:rPr>
      </w:pPr>
      <w:r w:rsidRPr="00273733">
        <w:rPr>
          <w:rFonts w:ascii="Palatino Linotype" w:hAnsi="Palatino Linotype" w:cs="Arial"/>
          <w:i/>
          <w:color w:val="000000"/>
        </w:rPr>
        <w:t>RRA 0196/16. Secretaría de Agricultura, Ganadería, Desarrollo Rural, Pesca y Alimentación. 13 de julio de 2016. Por unanimidad. Comisionado Ponente Joel Salas Suárez.</w:t>
      </w:r>
    </w:p>
    <w:p w:rsidR="002739FA" w:rsidRPr="00273733" w:rsidRDefault="002739FA" w:rsidP="002739FA">
      <w:pPr>
        <w:ind w:left="567" w:right="616"/>
        <w:contextualSpacing/>
        <w:jc w:val="both"/>
        <w:rPr>
          <w:rFonts w:ascii="Palatino Linotype" w:hAnsi="Palatino Linotype" w:cs="Arial"/>
          <w:i/>
          <w:color w:val="000000"/>
        </w:rPr>
      </w:pPr>
      <w:r w:rsidRPr="00273733">
        <w:rPr>
          <w:rFonts w:ascii="Palatino Linotype" w:hAnsi="Palatino Linotype" w:cs="Arial"/>
          <w:i/>
          <w:color w:val="000000"/>
        </w:rPr>
        <w:t>RRA 0130/16. Comisión Nacional del Agua. 09 de agosto de 2016. Por unanimidad. Comisionado Ponente María Patricia Kurczyn Villalobos.</w:t>
      </w:r>
    </w:p>
    <w:p w:rsidR="002739FA" w:rsidRPr="00273733" w:rsidRDefault="002739FA" w:rsidP="002739FA">
      <w:pPr>
        <w:ind w:left="567" w:right="616"/>
        <w:contextualSpacing/>
        <w:jc w:val="both"/>
        <w:rPr>
          <w:rFonts w:ascii="Palatino Linotype" w:hAnsi="Palatino Linotype" w:cs="Arial"/>
          <w:i/>
          <w:color w:val="000000"/>
        </w:rPr>
      </w:pPr>
      <w:r w:rsidRPr="00273733">
        <w:rPr>
          <w:rFonts w:ascii="Palatino Linotype" w:hAnsi="Palatino Linotype" w:cs="Arial"/>
          <w:i/>
          <w:color w:val="000000"/>
        </w:rPr>
        <w:t>RRA 0342/16. Colegio de Bachilleres. 24 de agosto de 2016. Por unanimidad. Comisionada Ponente Ximena Puente de la Mora.</w:t>
      </w:r>
    </w:p>
    <w:p w:rsidR="002739FA" w:rsidRPr="00273733" w:rsidRDefault="002739FA" w:rsidP="002739FA">
      <w:pPr>
        <w:ind w:right="616"/>
        <w:contextualSpacing/>
        <w:jc w:val="both"/>
        <w:rPr>
          <w:rFonts w:ascii="Palatino Linotype" w:hAnsi="Palatino Linotype" w:cs="Arial"/>
          <w:i/>
          <w:color w:val="000000"/>
        </w:rPr>
      </w:pPr>
    </w:p>
    <w:p w:rsidR="002739FA" w:rsidRPr="00273733" w:rsidRDefault="002739FA" w:rsidP="002739FA">
      <w:pPr>
        <w:numPr>
          <w:ilvl w:val="0"/>
          <w:numId w:val="2"/>
        </w:numPr>
        <w:spacing w:line="360" w:lineRule="auto"/>
        <w:ind w:left="0" w:right="49" w:firstLine="0"/>
        <w:contextualSpacing/>
        <w:jc w:val="both"/>
        <w:rPr>
          <w:rFonts w:ascii="Palatino Linotype" w:hAnsi="Palatino Linotype"/>
          <w:color w:val="000000"/>
        </w:rPr>
      </w:pPr>
      <w:r w:rsidRPr="00273733">
        <w:rPr>
          <w:rFonts w:ascii="Palatino Linotype" w:hAnsi="Palatino Linotype"/>
          <w:color w:val="000000"/>
        </w:rPr>
        <w:t xml:space="preserve">Asimismo, </w:t>
      </w:r>
      <w:r w:rsidRPr="00273733">
        <w:rPr>
          <w:rFonts w:ascii="Palatino Linotype" w:hAnsi="Palatino Linotype" w:cs="Arial"/>
          <w:color w:val="000000"/>
        </w:rPr>
        <w:t>sirve de apoyo a lo anterior por analogía, la Jurisprudencia No. 29 visible a foja 19 del Apéndice al Semanario Judicial de la Federación 1917-1995, Torno VI, Materia Común, Primera Parte, Tesis de la Suprema Corte de Justicia, que contiene:</w:t>
      </w:r>
    </w:p>
    <w:p w:rsidR="002739FA" w:rsidRPr="00273733" w:rsidRDefault="002739FA" w:rsidP="002739FA">
      <w:pPr>
        <w:ind w:left="567" w:right="539"/>
        <w:contextualSpacing/>
        <w:jc w:val="both"/>
        <w:rPr>
          <w:rFonts w:ascii="Palatino Linotype" w:hAnsi="Palatino Linotype"/>
          <w:color w:val="000000"/>
        </w:rPr>
      </w:pPr>
      <w:r w:rsidRPr="00273733">
        <w:rPr>
          <w:rFonts w:ascii="Palatino Linotype" w:hAnsi="Palatino Linotype" w:cs="Arial"/>
          <w:b/>
          <w:i/>
          <w:color w:val="000000"/>
        </w:rPr>
        <w:t xml:space="preserve">AGRAVIOS EN LA REVISION. DEBEN ESTAR EN RELACION DIRECTA CON LOS FUNDAMENTOS Y CONSIDERACIONES DE LA SENTENCIA.- </w:t>
      </w:r>
      <w:r w:rsidRPr="00273733">
        <w:rPr>
          <w:rFonts w:ascii="Palatino Linotype" w:hAnsi="Palatino Linotype" w:cs="Arial"/>
          <w:i/>
          <w:color w:val="000000"/>
        </w:rPr>
        <w:t>Los agravios deben estar en relación directa e inmediata con los fundamentos contenidos en la sentencia que se recurre, y forzosamente deben contener, no sólo la cita de las disposiciones legales que se estimen infringidas y su concepto, sino también la concordancia entre aquellas, este y las consideraciones que fundamenten esa propia sentencia, pues de adoptar lo contrario, resultaría la introducción de nuevas cuestiones en la revisión, que no constituyen su materia, toda vez que esta se limita al estudio integral del fallo que se combate, con vista de los motivos de inconformidad que plantean los recurrentes.</w:t>
      </w:r>
    </w:p>
    <w:p w:rsidR="002739FA" w:rsidRPr="00273733" w:rsidRDefault="002739FA" w:rsidP="00B2019C">
      <w:pPr>
        <w:spacing w:line="360" w:lineRule="auto"/>
        <w:ind w:right="1"/>
        <w:jc w:val="both"/>
        <w:rPr>
          <w:rFonts w:ascii="Palatino Linotype" w:eastAsia="Palatino Linotype" w:hAnsi="Palatino Linotype" w:cs="Palatino Linotype"/>
          <w:b/>
          <w:bCs/>
        </w:rPr>
      </w:pPr>
    </w:p>
    <w:p w:rsidR="00B2019C" w:rsidRPr="00273733" w:rsidRDefault="00B2019C" w:rsidP="00B2019C">
      <w:pPr>
        <w:numPr>
          <w:ilvl w:val="0"/>
          <w:numId w:val="2"/>
        </w:numPr>
        <w:spacing w:line="360" w:lineRule="auto"/>
        <w:ind w:left="0" w:right="1" w:firstLine="0"/>
        <w:jc w:val="both"/>
        <w:rPr>
          <w:rFonts w:ascii="Palatino Linotype" w:eastAsia="Palatino Linotype" w:hAnsi="Palatino Linotype" w:cs="Palatino Linotype"/>
          <w:b/>
          <w:bCs/>
        </w:rPr>
      </w:pPr>
      <w:r w:rsidRPr="00273733">
        <w:rPr>
          <w:rFonts w:ascii="Palatino Linotype" w:eastAsia="Palatino Linotype" w:hAnsi="Palatino Linotype" w:cs="Palatino Linotype"/>
          <w:color w:val="000000"/>
        </w:rPr>
        <w:t xml:space="preserve">Bajo </w:t>
      </w:r>
      <w:r w:rsidRPr="00273733">
        <w:rPr>
          <w:rFonts w:ascii="Palatino Linotype" w:eastAsia="Palatino Linotype" w:hAnsi="Palatino Linotype" w:cs="Palatino Linotype"/>
        </w:rPr>
        <w:t xml:space="preserve">ese tenor y en términos del artículo 186 fracción I este Pleno determina el </w:t>
      </w:r>
      <w:r w:rsidRPr="00273733">
        <w:rPr>
          <w:rFonts w:ascii="Palatino Linotype" w:eastAsia="Palatino Linotype" w:hAnsi="Palatino Linotype" w:cs="Palatino Linotype"/>
          <w:b/>
          <w:bCs/>
        </w:rPr>
        <w:t xml:space="preserve">SOBRESEIMIENTO </w:t>
      </w:r>
      <w:r w:rsidRPr="00273733">
        <w:rPr>
          <w:rFonts w:ascii="Palatino Linotype" w:eastAsia="Palatino Linotype" w:hAnsi="Palatino Linotype" w:cs="Palatino Linotype"/>
        </w:rPr>
        <w:t xml:space="preserve">del presente recurso de revisión, toda vez que la afectación al derecho de </w:t>
      </w:r>
      <w:r w:rsidRPr="00273733">
        <w:rPr>
          <w:rFonts w:ascii="Palatino Linotype" w:eastAsia="Palatino Linotype" w:hAnsi="Palatino Linotype" w:cs="Palatino Linotype"/>
        </w:rPr>
        <w:lastRenderedPageBreak/>
        <w:t>acceso a la información pública establecido constitucionalmente a favor del Particular ha sido resarcida.</w:t>
      </w:r>
    </w:p>
    <w:p w:rsidR="00836197" w:rsidRPr="00273733" w:rsidRDefault="00836197" w:rsidP="00836197">
      <w:pPr>
        <w:spacing w:line="360" w:lineRule="auto"/>
        <w:ind w:right="1"/>
        <w:jc w:val="both"/>
        <w:rPr>
          <w:rFonts w:ascii="Palatino Linotype" w:eastAsia="Palatino Linotype" w:hAnsi="Palatino Linotype" w:cs="Palatino Linotype"/>
          <w:b/>
          <w:bCs/>
        </w:rPr>
      </w:pPr>
    </w:p>
    <w:p w:rsidR="003B25EF" w:rsidRPr="00273733" w:rsidRDefault="00697FC3" w:rsidP="00461509">
      <w:pPr>
        <w:numPr>
          <w:ilvl w:val="0"/>
          <w:numId w:val="2"/>
        </w:numPr>
        <w:pBdr>
          <w:top w:val="nil"/>
          <w:left w:val="nil"/>
          <w:bottom w:val="nil"/>
          <w:right w:val="nil"/>
          <w:between w:val="nil"/>
        </w:pBdr>
        <w:spacing w:before="120" w:line="360" w:lineRule="auto"/>
        <w:ind w:left="0" w:firstLine="0"/>
        <w:jc w:val="both"/>
        <w:rPr>
          <w:rFonts w:ascii="Palatino Linotype" w:eastAsia="Palatino Linotype" w:hAnsi="Palatino Linotype" w:cs="Palatino Linotype"/>
          <w:color w:val="000000"/>
        </w:rPr>
      </w:pPr>
      <w:r w:rsidRPr="00273733">
        <w:rPr>
          <w:rFonts w:ascii="Palatino Linotype" w:eastAsia="Palatino Linotype" w:hAnsi="Palatino Linotype" w:cs="Palatino Linotype"/>
          <w:color w:val="222222"/>
        </w:rPr>
        <w:t xml:space="preserve">Por lo anteriormente expuesto y fundado, este </w:t>
      </w:r>
      <w:r w:rsidRPr="00273733">
        <w:rPr>
          <w:rFonts w:ascii="Palatino Linotype" w:eastAsia="Palatino Linotype" w:hAnsi="Palatino Linotype" w:cs="Palatino Linotype"/>
          <w:b/>
          <w:bCs/>
          <w:color w:val="222222"/>
        </w:rPr>
        <w:t>ÓRGANO GARANTE</w:t>
      </w:r>
      <w:r w:rsidRPr="00273733">
        <w:rPr>
          <w:rFonts w:ascii="Palatino Linotype" w:eastAsia="Palatino Linotype" w:hAnsi="Palatino Linotype" w:cs="Palatino Linotype"/>
          <w:color w:val="222222"/>
        </w:rPr>
        <w:t xml:space="preserve"> emite los siguientes:</w:t>
      </w:r>
    </w:p>
    <w:p w:rsidR="00273733" w:rsidRDefault="00273733" w:rsidP="00697FC3">
      <w:pPr>
        <w:keepNext/>
        <w:keepLines/>
        <w:spacing w:line="360" w:lineRule="auto"/>
        <w:ind w:right="-592"/>
        <w:jc w:val="center"/>
        <w:rPr>
          <w:rFonts w:ascii="Palatino Linotype" w:eastAsia="Palatino Linotype" w:hAnsi="Palatino Linotype" w:cs="Palatino Linotype"/>
          <w:b/>
          <w:bCs/>
          <w:color w:val="000000"/>
        </w:rPr>
      </w:pPr>
      <w:bookmarkStart w:id="11" w:name="_heading=h.2iiaupqekx5t" w:colFirst="0" w:colLast="0"/>
      <w:bookmarkEnd w:id="11"/>
    </w:p>
    <w:p w:rsidR="003B25EF" w:rsidRPr="00273733" w:rsidRDefault="002367BD" w:rsidP="00697FC3">
      <w:pPr>
        <w:keepNext/>
        <w:keepLines/>
        <w:spacing w:line="360" w:lineRule="auto"/>
        <w:ind w:right="-592"/>
        <w:jc w:val="center"/>
        <w:rPr>
          <w:rFonts w:ascii="Palatino Linotype" w:eastAsia="Palatino Linotype" w:hAnsi="Palatino Linotype" w:cs="Palatino Linotype"/>
          <w:b/>
          <w:bCs/>
          <w:color w:val="000000"/>
        </w:rPr>
      </w:pPr>
      <w:r w:rsidRPr="00273733">
        <w:rPr>
          <w:rFonts w:ascii="Palatino Linotype" w:eastAsia="Palatino Linotype" w:hAnsi="Palatino Linotype" w:cs="Palatino Linotype"/>
          <w:b/>
          <w:bCs/>
          <w:color w:val="000000"/>
        </w:rPr>
        <w:t>R E S O L U T I V O S</w:t>
      </w:r>
      <w:bookmarkStart w:id="12" w:name="_heading=h.8tgq9am2xy6v" w:colFirst="0" w:colLast="0"/>
      <w:bookmarkEnd w:id="12"/>
    </w:p>
    <w:p w:rsidR="00697FC3" w:rsidRPr="00273733" w:rsidRDefault="00697FC3" w:rsidP="00697FC3">
      <w:pPr>
        <w:keepNext/>
        <w:keepLines/>
        <w:spacing w:line="360" w:lineRule="auto"/>
        <w:ind w:right="-592"/>
        <w:jc w:val="center"/>
        <w:rPr>
          <w:rFonts w:ascii="Palatino Linotype" w:eastAsia="Palatino Linotype" w:hAnsi="Palatino Linotype" w:cs="Palatino Linotype"/>
          <w:b/>
          <w:bCs/>
          <w:color w:val="000000"/>
        </w:rPr>
      </w:pPr>
    </w:p>
    <w:p w:rsidR="00B2019C" w:rsidRPr="00273733" w:rsidRDefault="005D053D" w:rsidP="00B2019C">
      <w:pPr>
        <w:spacing w:line="360" w:lineRule="auto"/>
        <w:jc w:val="both"/>
        <w:rPr>
          <w:rFonts w:ascii="Palatino Linotype" w:eastAsia="Palatino Linotype" w:hAnsi="Palatino Linotype" w:cs="Palatino Linotype"/>
          <w:b/>
          <w:bCs/>
        </w:rPr>
      </w:pPr>
      <w:r w:rsidRPr="00273733">
        <w:rPr>
          <w:rFonts w:ascii="Palatino Linotype" w:eastAsia="Palatino Linotype" w:hAnsi="Palatino Linotype" w:cs="Palatino Linotype"/>
          <w:b/>
        </w:rPr>
        <w:t>PRIMERO.</w:t>
      </w:r>
      <w:r w:rsidRPr="00273733">
        <w:rPr>
          <w:rFonts w:ascii="Palatino Linotype" w:eastAsia="Palatino Linotype" w:hAnsi="Palatino Linotype" w:cs="Palatino Linotype"/>
        </w:rPr>
        <w:t xml:space="preserve"> </w:t>
      </w:r>
      <w:r w:rsidR="00B2019C" w:rsidRPr="00273733">
        <w:rPr>
          <w:rFonts w:ascii="Palatino Linotype" w:eastAsia="Palatino Linotype" w:hAnsi="Palatino Linotype" w:cs="Palatino Linotype"/>
        </w:rPr>
        <w:t xml:space="preserve">Se </w:t>
      </w:r>
      <w:r w:rsidR="00B2019C" w:rsidRPr="00273733">
        <w:rPr>
          <w:rFonts w:ascii="Palatino Linotype" w:eastAsia="Palatino Linotype" w:hAnsi="Palatino Linotype" w:cs="Palatino Linotype"/>
          <w:b/>
          <w:bCs/>
        </w:rPr>
        <w:t>SOBRESEE</w:t>
      </w:r>
      <w:r w:rsidR="00B2019C" w:rsidRPr="00273733">
        <w:rPr>
          <w:rFonts w:ascii="Palatino Linotype" w:eastAsia="Palatino Linotype" w:hAnsi="Palatino Linotype" w:cs="Palatino Linotype"/>
        </w:rPr>
        <w:t xml:space="preserve"> el recurso de revisión número </w:t>
      </w:r>
      <w:r w:rsidR="00B2019C" w:rsidRPr="00273733">
        <w:rPr>
          <w:rFonts w:ascii="Palatino Linotype" w:eastAsia="Palatino Linotype" w:hAnsi="Palatino Linotype" w:cs="Palatino Linotype"/>
          <w:b/>
          <w:bCs/>
        </w:rPr>
        <w:t xml:space="preserve">07308/INFOEM/IP/RR/2025 </w:t>
      </w:r>
      <w:r w:rsidR="00B2019C" w:rsidRPr="00273733">
        <w:rPr>
          <w:rFonts w:ascii="Palatino Linotype" w:eastAsia="Palatino Linotype" w:hAnsi="Palatino Linotype" w:cs="Palatino Linotype"/>
        </w:rPr>
        <w:t>conforme al artículo 192 fracción III</w:t>
      </w:r>
      <w:r w:rsidRPr="00273733">
        <w:rPr>
          <w:rFonts w:ascii="Palatino Linotype" w:eastAsia="Palatino Linotype" w:hAnsi="Palatino Linotype" w:cs="Palatino Linotype"/>
        </w:rPr>
        <w:t>,</w:t>
      </w:r>
      <w:r w:rsidR="00B2019C" w:rsidRPr="00273733">
        <w:rPr>
          <w:rFonts w:ascii="Palatino Linotype" w:eastAsia="Palatino Linotype" w:hAnsi="Palatino Linotype" w:cs="Palatino Linotype"/>
        </w:rPr>
        <w:t xml:space="preserve"> de la Ley de Transparencia y Acceso a la Información Pública del Estado de México y Municipios, porque al </w:t>
      </w:r>
      <w:r w:rsidR="00B2019C" w:rsidRPr="00273733">
        <w:rPr>
          <w:rFonts w:ascii="Palatino Linotype" w:eastAsia="Palatino Linotype" w:hAnsi="Palatino Linotype" w:cs="Palatino Linotype"/>
          <w:b/>
          <w:bCs/>
        </w:rPr>
        <w:t>modificar la respuesta a través del informe justificado y atender lo solicitado</w:t>
      </w:r>
      <w:r w:rsidR="00B2019C" w:rsidRPr="00273733">
        <w:rPr>
          <w:rFonts w:ascii="Palatino Linotype" w:eastAsia="Palatino Linotype" w:hAnsi="Palatino Linotype" w:cs="Palatino Linotype"/>
        </w:rPr>
        <w:t xml:space="preserve">, el recurso de revisión quedó sin materia en términos del Considerando </w:t>
      </w:r>
      <w:r w:rsidR="00B2019C" w:rsidRPr="00273733">
        <w:rPr>
          <w:rFonts w:ascii="Palatino Linotype" w:eastAsia="Palatino Linotype" w:hAnsi="Palatino Linotype" w:cs="Palatino Linotype"/>
          <w:b/>
          <w:bCs/>
        </w:rPr>
        <w:t>TERCERO</w:t>
      </w:r>
      <w:r w:rsidR="00B2019C" w:rsidRPr="00273733">
        <w:rPr>
          <w:rFonts w:ascii="Palatino Linotype" w:eastAsia="Palatino Linotype" w:hAnsi="Palatino Linotype" w:cs="Palatino Linotype"/>
        </w:rPr>
        <w:t xml:space="preserve"> de la presente resolución.</w:t>
      </w:r>
    </w:p>
    <w:p w:rsidR="00B2019C" w:rsidRPr="00273733" w:rsidRDefault="00B2019C" w:rsidP="00B2019C">
      <w:pPr>
        <w:jc w:val="both"/>
        <w:rPr>
          <w:rFonts w:ascii="Palatino Linotype" w:eastAsia="Palatino Linotype" w:hAnsi="Palatino Linotype" w:cs="Palatino Linotype"/>
          <w:b/>
          <w:bCs/>
        </w:rPr>
      </w:pPr>
    </w:p>
    <w:p w:rsidR="00B2019C" w:rsidRPr="00273733" w:rsidRDefault="00B2019C" w:rsidP="00B2019C">
      <w:p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273733">
        <w:rPr>
          <w:rFonts w:ascii="Palatino Linotype" w:eastAsia="Palatino Linotype" w:hAnsi="Palatino Linotype" w:cs="Palatino Linotype"/>
          <w:b/>
          <w:bCs/>
          <w:color w:val="000000"/>
        </w:rPr>
        <w:t xml:space="preserve">SEGUNDO. </w:t>
      </w:r>
      <w:r w:rsidR="005D053D" w:rsidRPr="00273733">
        <w:rPr>
          <w:rFonts w:ascii="Palatino Linotype" w:eastAsia="Palatino Linotype" w:hAnsi="Palatino Linotype" w:cs="Palatino Linotype"/>
          <w:b/>
          <w:bCs/>
          <w:color w:val="000000"/>
        </w:rPr>
        <w:t>Notifíquese</w:t>
      </w:r>
      <w:r w:rsidRPr="00273733">
        <w:rPr>
          <w:rFonts w:ascii="Palatino Linotype" w:eastAsia="Palatino Linotype" w:hAnsi="Palatino Linotype" w:cs="Palatino Linotype"/>
          <w:b/>
          <w:bCs/>
          <w:color w:val="000000"/>
        </w:rPr>
        <w:t xml:space="preserve"> </w:t>
      </w:r>
      <w:r w:rsidRPr="00273733">
        <w:rPr>
          <w:rFonts w:ascii="Palatino Linotype" w:eastAsia="Palatino Linotype" w:hAnsi="Palatino Linotype" w:cs="Palatino Linotype"/>
          <w:color w:val="000000"/>
        </w:rPr>
        <w:t xml:space="preserve">a través del Sistema de Acceso a la Información Mexiquense </w:t>
      </w:r>
      <w:r w:rsidRPr="00273733">
        <w:rPr>
          <w:rFonts w:ascii="Palatino Linotype" w:eastAsia="Palatino Linotype" w:hAnsi="Palatino Linotype" w:cs="Palatino Linotype"/>
          <w:b/>
          <w:bCs/>
          <w:color w:val="000000"/>
        </w:rPr>
        <w:t xml:space="preserve">(SAIMEX) </w:t>
      </w:r>
      <w:r w:rsidRPr="00273733">
        <w:rPr>
          <w:rFonts w:ascii="Palatino Linotype" w:eastAsia="Palatino Linotype" w:hAnsi="Palatino Linotype" w:cs="Palatino Linotype"/>
          <w:color w:val="000000"/>
        </w:rPr>
        <w:t>la presente resolución al Titular de la Unidad de Transparencia del</w:t>
      </w:r>
      <w:r w:rsidRPr="00273733">
        <w:rPr>
          <w:rFonts w:ascii="Palatino Linotype" w:eastAsia="Palatino Linotype" w:hAnsi="Palatino Linotype" w:cs="Palatino Linotype"/>
          <w:b/>
          <w:bCs/>
          <w:color w:val="000000"/>
        </w:rPr>
        <w:t xml:space="preserve"> SUJETO OBLIGADO.</w:t>
      </w:r>
    </w:p>
    <w:p w:rsidR="00B2019C" w:rsidRPr="00273733" w:rsidRDefault="00B2019C" w:rsidP="00B2019C">
      <w:pPr>
        <w:pBdr>
          <w:top w:val="nil"/>
          <w:left w:val="nil"/>
          <w:bottom w:val="nil"/>
          <w:right w:val="nil"/>
          <w:between w:val="nil"/>
        </w:pBdr>
        <w:jc w:val="both"/>
        <w:rPr>
          <w:rFonts w:ascii="Palatino Linotype" w:eastAsia="Palatino Linotype" w:hAnsi="Palatino Linotype" w:cs="Palatino Linotype"/>
          <w:color w:val="000000"/>
        </w:rPr>
      </w:pPr>
    </w:p>
    <w:p w:rsidR="00B2019C" w:rsidRPr="00273733" w:rsidRDefault="00B2019C" w:rsidP="00B2019C">
      <w:pPr>
        <w:tabs>
          <w:tab w:val="left" w:pos="8080"/>
        </w:tabs>
        <w:spacing w:line="360" w:lineRule="auto"/>
        <w:ind w:right="49"/>
        <w:jc w:val="both"/>
        <w:rPr>
          <w:rFonts w:ascii="Palatino Linotype" w:eastAsia="Palatino Linotype" w:hAnsi="Palatino Linotype" w:cs="Palatino Linotype"/>
          <w:b/>
          <w:bCs/>
        </w:rPr>
      </w:pPr>
      <w:r w:rsidRPr="00273733">
        <w:rPr>
          <w:rFonts w:ascii="Palatino Linotype" w:eastAsia="Palatino Linotype" w:hAnsi="Palatino Linotype" w:cs="Palatino Linotype"/>
          <w:b/>
          <w:bCs/>
        </w:rPr>
        <w:t xml:space="preserve">TERCERO. Notifíquese </w:t>
      </w:r>
      <w:r w:rsidRPr="00273733">
        <w:rPr>
          <w:rFonts w:ascii="Palatino Linotype" w:eastAsia="Palatino Linotype" w:hAnsi="Palatino Linotype" w:cs="Palatino Linotype"/>
        </w:rPr>
        <w:t>a</w:t>
      </w:r>
      <w:r w:rsidRPr="00273733">
        <w:rPr>
          <w:rFonts w:ascii="Palatino Linotype" w:eastAsia="Palatino Linotype" w:hAnsi="Palatino Linotype" w:cs="Palatino Linotype"/>
          <w:b/>
          <w:bCs/>
        </w:rPr>
        <w:t xml:space="preserve"> </w:t>
      </w:r>
      <w:r w:rsidRPr="00273733">
        <w:rPr>
          <w:rFonts w:ascii="Palatino Linotype" w:eastAsia="Palatino Linotype" w:hAnsi="Palatino Linotype" w:cs="Palatino Linotype"/>
        </w:rPr>
        <w:t xml:space="preserve">la parte </w:t>
      </w:r>
      <w:r w:rsidRPr="00273733">
        <w:rPr>
          <w:rFonts w:ascii="Palatino Linotype" w:eastAsia="Palatino Linotype" w:hAnsi="Palatino Linotype" w:cs="Palatino Linotype"/>
          <w:b/>
          <w:bCs/>
        </w:rPr>
        <w:t>RECURRENTE</w:t>
      </w:r>
      <w:r w:rsidRPr="00273733">
        <w:rPr>
          <w:rFonts w:ascii="Palatino Linotype" w:eastAsia="Palatino Linotype" w:hAnsi="Palatino Linotype" w:cs="Palatino Linotype"/>
        </w:rPr>
        <w:t xml:space="preserve"> la presente resolución a través del Sistema de Acceso a la Información Mexiquense </w:t>
      </w:r>
      <w:r w:rsidRPr="00273733">
        <w:rPr>
          <w:rFonts w:ascii="Palatino Linotype" w:eastAsia="Palatino Linotype" w:hAnsi="Palatino Linotype" w:cs="Palatino Linotype"/>
          <w:b/>
          <w:bCs/>
        </w:rPr>
        <w:t>(SAIMEX).</w:t>
      </w:r>
    </w:p>
    <w:p w:rsidR="00B2019C" w:rsidRPr="00273733" w:rsidRDefault="00B2019C" w:rsidP="00B2019C">
      <w:pPr>
        <w:tabs>
          <w:tab w:val="left" w:pos="8080"/>
        </w:tabs>
        <w:ind w:right="49"/>
        <w:jc w:val="both"/>
        <w:rPr>
          <w:rFonts w:ascii="Palatino Linotype" w:eastAsia="Palatino Linotype" w:hAnsi="Palatino Linotype" w:cs="Palatino Linotype"/>
          <w:b/>
          <w:bCs/>
        </w:rPr>
      </w:pPr>
    </w:p>
    <w:p w:rsidR="00697FC3" w:rsidRPr="00273733" w:rsidRDefault="00B2019C" w:rsidP="00B2019C">
      <w:pPr>
        <w:spacing w:before="240" w:after="240" w:line="360" w:lineRule="auto"/>
        <w:ind w:right="1"/>
        <w:jc w:val="both"/>
        <w:rPr>
          <w:rFonts w:ascii="Palatino Linotype" w:eastAsia="Palatino Linotype" w:hAnsi="Palatino Linotype" w:cs="Palatino Linotype"/>
        </w:rPr>
      </w:pPr>
      <w:r w:rsidRPr="00273733">
        <w:rPr>
          <w:rFonts w:ascii="Palatino Linotype" w:eastAsia="Palatino Linotype" w:hAnsi="Palatino Linotype" w:cs="Palatino Linotype"/>
          <w:b/>
          <w:bCs/>
        </w:rPr>
        <w:t xml:space="preserve">CUARTO. </w:t>
      </w:r>
      <w:r w:rsidRPr="00273733">
        <w:rPr>
          <w:rFonts w:ascii="Palatino Linotype" w:eastAsia="Palatino Linotype" w:hAnsi="Palatino Linotype" w:cs="Palatino Linotype"/>
        </w:rPr>
        <w:t xml:space="preserve">Se hace del conocimiento de la parte </w:t>
      </w:r>
      <w:r w:rsidRPr="00273733">
        <w:rPr>
          <w:rFonts w:ascii="Palatino Linotype" w:eastAsia="Palatino Linotype" w:hAnsi="Palatino Linotype" w:cs="Palatino Linotype"/>
          <w:b/>
          <w:bCs/>
        </w:rPr>
        <w:t>RECURRENTE</w:t>
      </w:r>
      <w:r w:rsidRPr="00273733">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5D053D" w:rsidRPr="00273733" w:rsidRDefault="005D053D" w:rsidP="00B2019C">
      <w:pPr>
        <w:spacing w:before="240" w:after="240" w:line="360" w:lineRule="auto"/>
        <w:ind w:right="1"/>
        <w:jc w:val="both"/>
        <w:rPr>
          <w:rFonts w:ascii="Palatino Linotype" w:eastAsia="Palatino Linotype" w:hAnsi="Palatino Linotype" w:cs="Palatino Linotype"/>
          <w:b/>
          <w:bCs/>
          <w:color w:val="000000"/>
        </w:rPr>
      </w:pPr>
    </w:p>
    <w:p w:rsidR="005D053D" w:rsidRPr="00273733" w:rsidRDefault="005D053D" w:rsidP="005D053D">
      <w:pPr>
        <w:spacing w:before="240" w:after="240" w:line="360" w:lineRule="auto"/>
        <w:ind w:firstLine="1"/>
        <w:jc w:val="both"/>
        <w:rPr>
          <w:rFonts w:ascii="Palatino Linotype" w:hAnsi="Palatino Linotype"/>
        </w:rPr>
      </w:pPr>
      <w:bookmarkStart w:id="13" w:name="_heading=h.k06rde75t38" w:colFirst="0" w:colLast="0"/>
      <w:bookmarkStart w:id="14" w:name="_Hlk99014733"/>
      <w:bookmarkEnd w:id="13"/>
      <w:r w:rsidRPr="00273733">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(05) DE MARZO DE DOS MIL VEINTISÉIS, ANTE EL SECRETARIO TÉCNICO DEL PLENO </w:t>
      </w:r>
      <w:r w:rsidRPr="00273733">
        <w:rPr>
          <w:rFonts w:ascii="Palatino Linotype" w:hAnsi="Palatino Linotype" w:cs="Palatino Linotype"/>
          <w:color w:val="000000" w:themeColor="text1"/>
        </w:rPr>
        <w:t>ALEXIS TAPIA RAMÍREZ.</w:t>
      </w:r>
    </w:p>
    <w:bookmarkEnd w:id="14"/>
    <w:p w:rsidR="003B25EF" w:rsidRPr="00273733" w:rsidRDefault="003B25EF">
      <w:pPr>
        <w:spacing w:line="360" w:lineRule="auto"/>
        <w:ind w:right="-592"/>
        <w:jc w:val="both"/>
        <w:rPr>
          <w:rFonts w:ascii="Palatino Linotype" w:eastAsia="Palatino Linotype" w:hAnsi="Palatino Linotype" w:cs="Palatino Linotype"/>
        </w:rPr>
      </w:pPr>
    </w:p>
    <w:p w:rsidR="003B25EF" w:rsidRPr="00273733" w:rsidRDefault="003B25EF">
      <w:pPr>
        <w:spacing w:line="360" w:lineRule="auto"/>
        <w:ind w:right="-592"/>
        <w:jc w:val="both"/>
        <w:rPr>
          <w:rFonts w:ascii="Palatino Linotype" w:eastAsia="Palatino Linotype" w:hAnsi="Palatino Linotype" w:cs="Palatino Linotype"/>
        </w:rPr>
      </w:pPr>
    </w:p>
    <w:p w:rsidR="003B25EF" w:rsidRPr="00273733" w:rsidRDefault="003B25EF">
      <w:pPr>
        <w:spacing w:line="360" w:lineRule="auto"/>
        <w:ind w:right="-592"/>
        <w:jc w:val="both"/>
        <w:rPr>
          <w:rFonts w:ascii="Palatino Linotype" w:eastAsia="Palatino Linotype" w:hAnsi="Palatino Linotype" w:cs="Palatino Linotype"/>
        </w:rPr>
      </w:pPr>
    </w:p>
    <w:p w:rsidR="003B25EF" w:rsidRPr="00273733" w:rsidRDefault="003B25EF">
      <w:pPr>
        <w:spacing w:line="360" w:lineRule="auto"/>
        <w:ind w:right="-592"/>
        <w:jc w:val="both"/>
        <w:rPr>
          <w:rFonts w:ascii="Palatino Linotype" w:eastAsia="Palatino Linotype" w:hAnsi="Palatino Linotype" w:cs="Palatino Linotype"/>
        </w:rPr>
      </w:pPr>
    </w:p>
    <w:p w:rsidR="003B25EF" w:rsidRPr="00273733" w:rsidRDefault="003B25EF">
      <w:pPr>
        <w:spacing w:line="360" w:lineRule="auto"/>
        <w:ind w:right="-592"/>
        <w:jc w:val="both"/>
        <w:rPr>
          <w:rFonts w:ascii="Palatino Linotype" w:eastAsia="Palatino Linotype" w:hAnsi="Palatino Linotype" w:cs="Palatino Linotype"/>
        </w:rPr>
      </w:pPr>
    </w:p>
    <w:p w:rsidR="003B25EF" w:rsidRPr="00273733" w:rsidRDefault="003B25EF">
      <w:pPr>
        <w:spacing w:line="360" w:lineRule="auto"/>
        <w:ind w:right="-592"/>
        <w:jc w:val="both"/>
        <w:rPr>
          <w:rFonts w:ascii="Palatino Linotype" w:eastAsia="Palatino Linotype" w:hAnsi="Palatino Linotype" w:cs="Palatino Linotype"/>
        </w:rPr>
      </w:pPr>
    </w:p>
    <w:p w:rsidR="003B25EF" w:rsidRPr="00273733" w:rsidRDefault="003B25EF">
      <w:pPr>
        <w:spacing w:line="360" w:lineRule="auto"/>
        <w:ind w:right="-592"/>
        <w:jc w:val="both"/>
        <w:rPr>
          <w:rFonts w:ascii="Palatino Linotype" w:eastAsia="Palatino Linotype" w:hAnsi="Palatino Linotype" w:cs="Palatino Linotype"/>
        </w:rPr>
      </w:pPr>
    </w:p>
    <w:p w:rsidR="003B25EF" w:rsidRPr="00273733" w:rsidRDefault="003B25EF">
      <w:pPr>
        <w:spacing w:line="360" w:lineRule="auto"/>
        <w:ind w:right="-592"/>
        <w:jc w:val="both"/>
        <w:rPr>
          <w:rFonts w:ascii="Palatino Linotype" w:eastAsia="Palatino Linotype" w:hAnsi="Palatino Linotype" w:cs="Palatino Linotype"/>
        </w:rPr>
      </w:pPr>
    </w:p>
    <w:p w:rsidR="003B25EF" w:rsidRPr="00273733" w:rsidRDefault="003B25EF">
      <w:pPr>
        <w:spacing w:line="360" w:lineRule="auto"/>
        <w:ind w:right="-592"/>
        <w:jc w:val="both"/>
        <w:rPr>
          <w:rFonts w:ascii="Palatino Linotype" w:eastAsia="Palatino Linotype" w:hAnsi="Palatino Linotype" w:cs="Palatino Linotype"/>
        </w:rPr>
      </w:pPr>
    </w:p>
    <w:p w:rsidR="003B25EF" w:rsidRPr="00273733" w:rsidRDefault="003B25EF">
      <w:pPr>
        <w:spacing w:line="360" w:lineRule="auto"/>
        <w:ind w:right="-592"/>
        <w:rPr>
          <w:rFonts w:ascii="Palatino Linotype" w:eastAsia="Palatino Linotype" w:hAnsi="Palatino Linotype" w:cs="Palatino Linotype"/>
        </w:rPr>
      </w:pPr>
    </w:p>
    <w:p w:rsidR="003B25EF" w:rsidRPr="00273733" w:rsidRDefault="003B25EF">
      <w:pPr>
        <w:spacing w:line="360" w:lineRule="auto"/>
        <w:ind w:right="-592"/>
        <w:rPr>
          <w:rFonts w:ascii="Palatino Linotype" w:eastAsia="Palatino Linotype" w:hAnsi="Palatino Linotype" w:cs="Palatino Linotype"/>
        </w:rPr>
      </w:pPr>
    </w:p>
    <w:p w:rsidR="003B25EF" w:rsidRPr="00273733" w:rsidRDefault="003B25EF">
      <w:pPr>
        <w:spacing w:line="360" w:lineRule="auto"/>
        <w:ind w:right="-592"/>
        <w:rPr>
          <w:rFonts w:ascii="Palatino Linotype" w:eastAsia="Palatino Linotype" w:hAnsi="Palatino Linotype" w:cs="Palatino Linotype"/>
        </w:rPr>
      </w:pPr>
    </w:p>
    <w:p w:rsidR="003B25EF" w:rsidRPr="00273733" w:rsidRDefault="003B25EF">
      <w:pPr>
        <w:spacing w:line="360" w:lineRule="auto"/>
        <w:ind w:right="-592"/>
        <w:rPr>
          <w:rFonts w:ascii="Palatino Linotype" w:eastAsia="Palatino Linotype" w:hAnsi="Palatino Linotype" w:cs="Palatino Linotype"/>
        </w:rPr>
      </w:pPr>
    </w:p>
    <w:p w:rsidR="003B25EF" w:rsidRPr="00273733" w:rsidRDefault="003B25EF">
      <w:pPr>
        <w:spacing w:line="360" w:lineRule="auto"/>
        <w:ind w:right="-592"/>
        <w:rPr>
          <w:rFonts w:ascii="Palatino Linotype" w:eastAsia="Palatino Linotype" w:hAnsi="Palatino Linotype" w:cs="Palatino Linotype"/>
        </w:rPr>
      </w:pPr>
    </w:p>
    <w:p w:rsidR="003B25EF" w:rsidRPr="00273733" w:rsidRDefault="003B25EF">
      <w:pPr>
        <w:spacing w:line="360" w:lineRule="auto"/>
        <w:ind w:right="-592"/>
        <w:rPr>
          <w:rFonts w:ascii="Palatino Linotype" w:eastAsia="Palatino Linotype" w:hAnsi="Palatino Linotype" w:cs="Palatino Linotype"/>
        </w:rPr>
      </w:pPr>
    </w:p>
    <w:p w:rsidR="003B25EF" w:rsidRPr="00273733" w:rsidRDefault="003B25EF">
      <w:pPr>
        <w:ind w:right="-592"/>
        <w:rPr>
          <w:rFonts w:ascii="Palatino Linotype" w:eastAsia="Palatino Linotype" w:hAnsi="Palatino Linotype" w:cs="Palatino Linotype"/>
        </w:rPr>
      </w:pPr>
    </w:p>
    <w:p w:rsidR="003B25EF" w:rsidRPr="00273733" w:rsidRDefault="003B25EF">
      <w:pPr>
        <w:ind w:right="-592"/>
        <w:rPr>
          <w:rFonts w:ascii="Palatino Linotype" w:eastAsia="Palatino Linotype" w:hAnsi="Palatino Linotype" w:cs="Palatino Linotype"/>
        </w:rPr>
      </w:pPr>
    </w:p>
    <w:p w:rsidR="007B5800" w:rsidRPr="00273733" w:rsidRDefault="007B5800">
      <w:pPr>
        <w:ind w:right="-592"/>
        <w:rPr>
          <w:rFonts w:ascii="Palatino Linotype" w:eastAsia="Palatino Linotype" w:hAnsi="Palatino Linotype" w:cs="Palatino Linotype"/>
        </w:rPr>
      </w:pPr>
    </w:p>
    <w:p w:rsidR="007B5800" w:rsidRPr="00273733" w:rsidRDefault="007B5800">
      <w:pPr>
        <w:ind w:right="-592"/>
        <w:rPr>
          <w:rFonts w:ascii="Palatino Linotype" w:eastAsia="Palatino Linotype" w:hAnsi="Palatino Linotype" w:cs="Palatino Linotype"/>
        </w:rPr>
      </w:pPr>
    </w:p>
    <w:p w:rsidR="007B5800" w:rsidRPr="00273733" w:rsidRDefault="007B5800">
      <w:pPr>
        <w:ind w:right="-592"/>
        <w:rPr>
          <w:rFonts w:ascii="Palatino Linotype" w:eastAsia="Palatino Linotype" w:hAnsi="Palatino Linotype" w:cs="Palatino Linotype"/>
        </w:rPr>
      </w:pPr>
    </w:p>
    <w:p w:rsidR="007B5800" w:rsidRPr="00273733" w:rsidRDefault="007B5800">
      <w:pPr>
        <w:ind w:right="-592"/>
        <w:rPr>
          <w:rFonts w:ascii="Palatino Linotype" w:eastAsia="Palatino Linotype" w:hAnsi="Palatino Linotype" w:cs="Palatino Linotype"/>
        </w:rPr>
      </w:pPr>
    </w:p>
    <w:p w:rsidR="007B5800" w:rsidRPr="00273733" w:rsidRDefault="007B5800">
      <w:pPr>
        <w:ind w:right="-592"/>
        <w:rPr>
          <w:rFonts w:ascii="Palatino Linotype" w:eastAsia="Palatino Linotype" w:hAnsi="Palatino Linotype" w:cs="Palatino Linotype"/>
        </w:rPr>
      </w:pPr>
    </w:p>
    <w:p w:rsidR="007B5800" w:rsidRPr="00273733" w:rsidRDefault="007B5800">
      <w:pPr>
        <w:ind w:right="-592"/>
        <w:rPr>
          <w:rFonts w:ascii="Palatino Linotype" w:eastAsia="Palatino Linotype" w:hAnsi="Palatino Linotype" w:cs="Palatino Linotype"/>
        </w:rPr>
      </w:pPr>
    </w:p>
    <w:p w:rsidR="007B5800" w:rsidRPr="00273733" w:rsidRDefault="007B5800">
      <w:pPr>
        <w:ind w:right="-592"/>
        <w:rPr>
          <w:rFonts w:ascii="Palatino Linotype" w:eastAsia="Palatino Linotype" w:hAnsi="Palatino Linotype" w:cs="Palatino Linotype"/>
        </w:rPr>
      </w:pPr>
    </w:p>
    <w:p w:rsidR="007B5800" w:rsidRPr="00273733" w:rsidRDefault="007B5800">
      <w:pPr>
        <w:ind w:right="-592"/>
        <w:rPr>
          <w:rFonts w:ascii="Palatino Linotype" w:eastAsia="Palatino Linotype" w:hAnsi="Palatino Linotype" w:cs="Palatino Linotype"/>
        </w:rPr>
      </w:pPr>
    </w:p>
    <w:p w:rsidR="007B5800" w:rsidRPr="00273733" w:rsidRDefault="007B5800">
      <w:pPr>
        <w:ind w:right="-592"/>
        <w:rPr>
          <w:rFonts w:ascii="Palatino Linotype" w:eastAsia="Palatino Linotype" w:hAnsi="Palatino Linotype" w:cs="Palatino Linotype"/>
        </w:rPr>
      </w:pPr>
    </w:p>
    <w:p w:rsidR="007B5800" w:rsidRPr="00273733" w:rsidRDefault="007B5800">
      <w:pPr>
        <w:ind w:right="-592"/>
        <w:rPr>
          <w:rFonts w:ascii="Palatino Linotype" w:eastAsia="Palatino Linotype" w:hAnsi="Palatino Linotype" w:cs="Palatino Linotype"/>
        </w:rPr>
      </w:pPr>
    </w:p>
    <w:p w:rsidR="007B5800" w:rsidRPr="00273733" w:rsidRDefault="007B5800">
      <w:pPr>
        <w:ind w:right="-592"/>
        <w:rPr>
          <w:rFonts w:ascii="Palatino Linotype" w:eastAsia="Palatino Linotype" w:hAnsi="Palatino Linotype" w:cs="Palatino Linotype"/>
        </w:rPr>
      </w:pPr>
    </w:p>
    <w:p w:rsidR="007B5800" w:rsidRPr="00273733" w:rsidRDefault="007B5800">
      <w:pPr>
        <w:ind w:right="-592"/>
        <w:rPr>
          <w:rFonts w:ascii="Palatino Linotype" w:eastAsia="Palatino Linotype" w:hAnsi="Palatino Linotype" w:cs="Palatino Linotype"/>
        </w:rPr>
      </w:pPr>
    </w:p>
    <w:sectPr w:rsidR="007B5800" w:rsidRPr="00273733" w:rsidSect="00273733">
      <w:headerReference w:type="even" r:id="rId17"/>
      <w:headerReference w:type="default" r:id="rId18"/>
      <w:footerReference w:type="default" r:id="rId19"/>
      <w:headerReference w:type="first" r:id="rId20"/>
      <w:footerReference w:type="first" r:id="rId21"/>
      <w:pgSz w:w="12240" w:h="15840"/>
      <w:pgMar w:top="80" w:right="616"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7BE5" w:rsidRDefault="00637BE5">
      <w:r>
        <w:separator/>
      </w:r>
    </w:p>
  </w:endnote>
  <w:endnote w:type="continuationSeparator" w:id="0">
    <w:p w:rsidR="00637BE5" w:rsidRDefault="00637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embedRegular r:id="rId1" w:fontKey="{E1D0E671-B447-4B41-B61A-EED210A68AEC}"/>
    <w:embedBold r:id="rId2" w:fontKey="{26330297-9B22-460A-AA92-17420A136712}"/>
    <w:embedItalic r:id="rId3" w:fontKey="{E4B2D6E4-D3EF-4C0B-ABCF-080168B15513}"/>
    <w:embedBoldItalic r:id="rId4" w:fontKey="{EE101294-BAB1-4508-B96C-A41C9F2EDB43}"/>
  </w:font>
  <w:font w:name="Calibri">
    <w:panose1 w:val="020F0502020204030204"/>
    <w:charset w:val="00"/>
    <w:family w:val="swiss"/>
    <w:pitch w:val="variable"/>
    <w:sig w:usb0="E4002EFF" w:usb1="C200247B" w:usb2="00000009" w:usb3="00000000" w:csb0="000001FF" w:csb1="00000000"/>
    <w:embedRegular r:id="rId5" w:fontKey="{EC6E9A6E-4F2B-43C3-8935-41C7CD13DF0C}"/>
    <w:embedBold r:id="rId6" w:fontKey="{6BC3F5C6-6773-4C4B-92E9-93112E1800F0}"/>
  </w:font>
  <w:font w:name="Calibri Light">
    <w:panose1 w:val="020F0302020204030204"/>
    <w:charset w:val="00"/>
    <w:family w:val="swiss"/>
    <w:pitch w:val="variable"/>
    <w:sig w:usb0="E4002EFF" w:usb1="C200247B" w:usb2="00000009" w:usb3="00000000" w:csb0="000001FF" w:csb1="00000000"/>
    <w:embedRegular r:id="rId7" w:fontKey="{8DECA178-6703-4704-BC17-388E110DC92C}"/>
  </w:font>
  <w:font w:name="Century Gothic">
    <w:panose1 w:val="020B0502020202020204"/>
    <w:charset w:val="00"/>
    <w:family w:val="swiss"/>
    <w:pitch w:val="variable"/>
    <w:sig w:usb0="00000287" w:usb1="00000000" w:usb2="00000000" w:usb3="00000000" w:csb0="0000009F" w:csb1="00000000"/>
    <w:embedRegular r:id="rId8" w:fontKey="{03CA2DD0-33B8-4CD9-BAB7-4C55A7B68374}"/>
  </w:font>
  <w:font w:name="Segoe UI">
    <w:panose1 w:val="020B0502040204020203"/>
    <w:charset w:val="00"/>
    <w:family w:val="swiss"/>
    <w:pitch w:val="variable"/>
    <w:sig w:usb0="E4002EFF" w:usb1="C000E47F" w:usb2="00000009" w:usb3="00000000" w:csb0="000001FF" w:csb1="00000000"/>
    <w:embedRegular r:id="rId9" w:fontKey="{2B97E58A-3FA0-404F-AE8F-2E2A2A93C5CB}"/>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0" w:fontKey="{6940CAE1-16F3-4E46-8759-4F4A158250D9}"/>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embedRegular r:id="rId11" w:fontKey="{4542EA57-C9D3-4CC6-A784-3AE77A133E7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39FA" w:rsidRPr="00273733" w:rsidRDefault="002739FA">
    <w:pPr>
      <w:pBdr>
        <w:top w:val="nil"/>
        <w:left w:val="nil"/>
        <w:bottom w:val="nil"/>
        <w:right w:val="nil"/>
        <w:between w:val="nil"/>
      </w:pBdr>
      <w:tabs>
        <w:tab w:val="center" w:pos="4419"/>
        <w:tab w:val="right" w:pos="8838"/>
      </w:tabs>
      <w:jc w:val="right"/>
      <w:rPr>
        <w:rFonts w:ascii="Palatino Linotype" w:hAnsi="Palatino Linotype"/>
        <w:b/>
        <w:color w:val="000000"/>
        <w:sz w:val="22"/>
      </w:rPr>
    </w:pPr>
    <w:r w:rsidRPr="00273733">
      <w:rPr>
        <w:rFonts w:ascii="Palatino Linotype" w:hAnsi="Palatino Linotype"/>
        <w:b/>
        <w:color w:val="000000"/>
        <w:sz w:val="22"/>
      </w:rPr>
      <w:t xml:space="preserve">Página </w:t>
    </w:r>
    <w:r w:rsidRPr="00273733">
      <w:rPr>
        <w:rFonts w:ascii="Palatino Linotype" w:hAnsi="Palatino Linotype"/>
        <w:b/>
        <w:bCs/>
        <w:color w:val="000000"/>
        <w:sz w:val="22"/>
      </w:rPr>
      <w:fldChar w:fldCharType="begin"/>
    </w:r>
    <w:r w:rsidRPr="00273733">
      <w:rPr>
        <w:rFonts w:ascii="Palatino Linotype" w:hAnsi="Palatino Linotype"/>
        <w:b/>
        <w:bCs/>
        <w:color w:val="000000"/>
        <w:sz w:val="22"/>
      </w:rPr>
      <w:instrText>PAGE</w:instrText>
    </w:r>
    <w:r w:rsidRPr="00273733">
      <w:rPr>
        <w:rFonts w:ascii="Palatino Linotype" w:hAnsi="Palatino Linotype"/>
        <w:b/>
        <w:bCs/>
        <w:color w:val="000000"/>
        <w:sz w:val="22"/>
      </w:rPr>
      <w:fldChar w:fldCharType="separate"/>
    </w:r>
    <w:r w:rsidR="00404839">
      <w:rPr>
        <w:rFonts w:ascii="Palatino Linotype" w:hAnsi="Palatino Linotype"/>
        <w:b/>
        <w:bCs/>
        <w:noProof/>
        <w:color w:val="000000"/>
        <w:sz w:val="22"/>
      </w:rPr>
      <w:t>21</w:t>
    </w:r>
    <w:r w:rsidRPr="00273733">
      <w:rPr>
        <w:rFonts w:ascii="Palatino Linotype" w:hAnsi="Palatino Linotype"/>
        <w:b/>
        <w:bCs/>
        <w:color w:val="000000"/>
        <w:sz w:val="22"/>
      </w:rPr>
      <w:fldChar w:fldCharType="end"/>
    </w:r>
    <w:r w:rsidRPr="00273733">
      <w:rPr>
        <w:rFonts w:ascii="Palatino Linotype" w:hAnsi="Palatino Linotype"/>
        <w:b/>
        <w:color w:val="000000"/>
        <w:sz w:val="22"/>
      </w:rPr>
      <w:t xml:space="preserve"> de </w:t>
    </w:r>
    <w:r w:rsidRPr="00273733">
      <w:rPr>
        <w:rFonts w:ascii="Palatino Linotype" w:hAnsi="Palatino Linotype"/>
        <w:b/>
        <w:bCs/>
        <w:color w:val="000000"/>
        <w:sz w:val="22"/>
      </w:rPr>
      <w:fldChar w:fldCharType="begin"/>
    </w:r>
    <w:r w:rsidRPr="00273733">
      <w:rPr>
        <w:rFonts w:ascii="Palatino Linotype" w:hAnsi="Palatino Linotype"/>
        <w:b/>
        <w:bCs/>
        <w:color w:val="000000"/>
        <w:sz w:val="22"/>
      </w:rPr>
      <w:instrText>NUMPAGES</w:instrText>
    </w:r>
    <w:r w:rsidRPr="00273733">
      <w:rPr>
        <w:rFonts w:ascii="Palatino Linotype" w:hAnsi="Palatino Linotype"/>
        <w:b/>
        <w:bCs/>
        <w:color w:val="000000"/>
        <w:sz w:val="22"/>
      </w:rPr>
      <w:fldChar w:fldCharType="separate"/>
    </w:r>
    <w:r w:rsidR="00404839">
      <w:rPr>
        <w:rFonts w:ascii="Palatino Linotype" w:hAnsi="Palatino Linotype"/>
        <w:b/>
        <w:bCs/>
        <w:noProof/>
        <w:color w:val="000000"/>
        <w:sz w:val="22"/>
      </w:rPr>
      <w:t>25</w:t>
    </w:r>
    <w:r w:rsidRPr="00273733">
      <w:rPr>
        <w:rFonts w:ascii="Palatino Linotype" w:hAnsi="Palatino Linotype"/>
        <w:b/>
        <w:bCs/>
        <w:color w:val="000000"/>
        <w:sz w:val="22"/>
      </w:rPr>
      <w:fldChar w:fldCharType="end"/>
    </w:r>
  </w:p>
  <w:p w:rsidR="002739FA" w:rsidRDefault="002739FA">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39FA" w:rsidRPr="00273733" w:rsidRDefault="002739FA">
    <w:pPr>
      <w:pBdr>
        <w:top w:val="nil"/>
        <w:left w:val="nil"/>
        <w:bottom w:val="nil"/>
        <w:right w:val="nil"/>
        <w:between w:val="nil"/>
      </w:pBdr>
      <w:tabs>
        <w:tab w:val="center" w:pos="4419"/>
        <w:tab w:val="right" w:pos="8838"/>
      </w:tabs>
      <w:jc w:val="right"/>
      <w:rPr>
        <w:rFonts w:ascii="Palatino Linotype" w:hAnsi="Palatino Linotype"/>
        <w:b/>
        <w:color w:val="000000"/>
        <w:sz w:val="22"/>
      </w:rPr>
    </w:pPr>
    <w:r w:rsidRPr="00273733">
      <w:rPr>
        <w:rFonts w:ascii="Palatino Linotype" w:hAnsi="Palatino Linotype"/>
        <w:b/>
        <w:color w:val="000000"/>
        <w:sz w:val="22"/>
      </w:rPr>
      <w:t xml:space="preserve">Página </w:t>
    </w:r>
    <w:r w:rsidRPr="00273733">
      <w:rPr>
        <w:rFonts w:ascii="Palatino Linotype" w:hAnsi="Palatino Linotype"/>
        <w:b/>
        <w:bCs/>
        <w:color w:val="000000"/>
        <w:sz w:val="22"/>
      </w:rPr>
      <w:fldChar w:fldCharType="begin"/>
    </w:r>
    <w:r w:rsidRPr="00273733">
      <w:rPr>
        <w:rFonts w:ascii="Palatino Linotype" w:hAnsi="Palatino Linotype"/>
        <w:b/>
        <w:bCs/>
        <w:color w:val="000000"/>
        <w:sz w:val="22"/>
      </w:rPr>
      <w:instrText>PAGE</w:instrText>
    </w:r>
    <w:r w:rsidRPr="00273733">
      <w:rPr>
        <w:rFonts w:ascii="Palatino Linotype" w:hAnsi="Palatino Linotype"/>
        <w:b/>
        <w:bCs/>
        <w:color w:val="000000"/>
        <w:sz w:val="22"/>
      </w:rPr>
      <w:fldChar w:fldCharType="separate"/>
    </w:r>
    <w:r w:rsidR="00404839">
      <w:rPr>
        <w:rFonts w:ascii="Palatino Linotype" w:hAnsi="Palatino Linotype"/>
        <w:b/>
        <w:bCs/>
        <w:noProof/>
        <w:color w:val="000000"/>
        <w:sz w:val="22"/>
      </w:rPr>
      <w:t>1</w:t>
    </w:r>
    <w:r w:rsidRPr="00273733">
      <w:rPr>
        <w:rFonts w:ascii="Palatino Linotype" w:hAnsi="Palatino Linotype"/>
        <w:b/>
        <w:bCs/>
        <w:color w:val="000000"/>
        <w:sz w:val="22"/>
      </w:rPr>
      <w:fldChar w:fldCharType="end"/>
    </w:r>
    <w:r w:rsidRPr="00273733">
      <w:rPr>
        <w:rFonts w:ascii="Palatino Linotype" w:hAnsi="Palatino Linotype"/>
        <w:b/>
        <w:color w:val="000000"/>
        <w:sz w:val="22"/>
      </w:rPr>
      <w:t xml:space="preserve"> de </w:t>
    </w:r>
    <w:r w:rsidRPr="00273733">
      <w:rPr>
        <w:rFonts w:ascii="Palatino Linotype" w:hAnsi="Palatino Linotype"/>
        <w:b/>
        <w:bCs/>
        <w:color w:val="000000"/>
        <w:sz w:val="22"/>
      </w:rPr>
      <w:fldChar w:fldCharType="begin"/>
    </w:r>
    <w:r w:rsidRPr="00273733">
      <w:rPr>
        <w:rFonts w:ascii="Palatino Linotype" w:hAnsi="Palatino Linotype"/>
        <w:b/>
        <w:bCs/>
        <w:color w:val="000000"/>
        <w:sz w:val="22"/>
      </w:rPr>
      <w:instrText>NUMPAGES</w:instrText>
    </w:r>
    <w:r w:rsidRPr="00273733">
      <w:rPr>
        <w:rFonts w:ascii="Palatino Linotype" w:hAnsi="Palatino Linotype"/>
        <w:b/>
        <w:bCs/>
        <w:color w:val="000000"/>
        <w:sz w:val="22"/>
      </w:rPr>
      <w:fldChar w:fldCharType="separate"/>
    </w:r>
    <w:r w:rsidR="00404839">
      <w:rPr>
        <w:rFonts w:ascii="Palatino Linotype" w:hAnsi="Palatino Linotype"/>
        <w:b/>
        <w:bCs/>
        <w:noProof/>
        <w:color w:val="000000"/>
        <w:sz w:val="22"/>
      </w:rPr>
      <w:t>25</w:t>
    </w:r>
    <w:r w:rsidRPr="00273733">
      <w:rPr>
        <w:rFonts w:ascii="Palatino Linotype" w:hAnsi="Palatino Linotype"/>
        <w:b/>
        <w:bCs/>
        <w:color w:val="000000"/>
        <w:sz w:val="22"/>
      </w:rPr>
      <w:fldChar w:fldCharType="end"/>
    </w:r>
  </w:p>
  <w:p w:rsidR="002739FA" w:rsidRDefault="002739FA">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7BE5" w:rsidRDefault="00637BE5">
      <w:r>
        <w:separator/>
      </w:r>
    </w:p>
  </w:footnote>
  <w:footnote w:type="continuationSeparator" w:id="0">
    <w:p w:rsidR="00637BE5" w:rsidRDefault="00637BE5">
      <w:r>
        <w:continuationSeparator/>
      </w:r>
    </w:p>
  </w:footnote>
  <w:footnote w:id="1">
    <w:p w:rsidR="002739FA" w:rsidRDefault="002739FA" w:rsidP="00B2019C">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Artículo 50, Ley de Transparencia y Acceso a la Información Pública del Estado de México y Municipios.</w:t>
      </w:r>
    </w:p>
  </w:footnote>
  <w:footnote w:id="2">
    <w:p w:rsidR="002739FA" w:rsidRDefault="002739FA" w:rsidP="00B2019C">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Artículo 51, Ídem.</w:t>
      </w:r>
    </w:p>
  </w:footnote>
  <w:footnote w:id="3">
    <w:p w:rsidR="002739FA" w:rsidRDefault="002739FA" w:rsidP="00B2019C">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Artículo 58, Ley de Transparencia y Acceso a la Información Pública del Estado de México y Municipios.</w:t>
      </w:r>
    </w:p>
  </w:footnote>
  <w:footnote w:id="4">
    <w:p w:rsidR="002739FA" w:rsidRDefault="002739FA" w:rsidP="00B2019C">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Artículo 59, Ídem.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39FA" w:rsidRDefault="00637BE5">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d"/>
      <w:tblW w:w="10490" w:type="dxa"/>
      <w:tblInd w:w="0" w:type="dxa"/>
      <w:tblLayout w:type="fixed"/>
      <w:tblLook w:val="0400" w:firstRow="0" w:lastRow="0" w:firstColumn="0" w:lastColumn="0" w:noHBand="0" w:noVBand="1"/>
    </w:tblPr>
    <w:tblGrid>
      <w:gridCol w:w="2268"/>
      <w:gridCol w:w="8222"/>
    </w:tblGrid>
    <w:tr w:rsidR="002739FA" w:rsidTr="00273733">
      <w:trPr>
        <w:trHeight w:val="1435"/>
      </w:trPr>
      <w:tc>
        <w:tcPr>
          <w:tcW w:w="2268" w:type="dxa"/>
          <w:shd w:val="clear" w:color="auto" w:fill="auto"/>
        </w:tcPr>
        <w:p w:rsidR="002739FA" w:rsidRDefault="002739FA">
          <w:pPr>
            <w:tabs>
              <w:tab w:val="right" w:pos="4273"/>
            </w:tabs>
            <w:rPr>
              <w:rFonts w:ascii="Garamond" w:eastAsia="Garamond" w:hAnsi="Garamond" w:cs="Garamond"/>
              <w:sz w:val="16"/>
              <w:szCs w:val="16"/>
            </w:rPr>
          </w:pPr>
        </w:p>
      </w:tc>
      <w:tc>
        <w:tcPr>
          <w:tcW w:w="8222" w:type="dxa"/>
          <w:shd w:val="clear" w:color="auto" w:fill="auto"/>
        </w:tcPr>
        <w:tbl>
          <w:tblPr>
            <w:tblStyle w:val="ae"/>
            <w:tblW w:w="7925" w:type="dxa"/>
            <w:tblInd w:w="40" w:type="dxa"/>
            <w:tblLayout w:type="fixed"/>
            <w:tblLook w:val="0400" w:firstRow="0" w:lastRow="0" w:firstColumn="0" w:lastColumn="0" w:noHBand="0" w:noVBand="1"/>
          </w:tblPr>
          <w:tblGrid>
            <w:gridCol w:w="3814"/>
            <w:gridCol w:w="4111"/>
          </w:tblGrid>
          <w:tr w:rsidR="002739FA" w:rsidTr="00273733">
            <w:trPr>
              <w:trHeight w:val="150"/>
            </w:trPr>
            <w:tc>
              <w:tcPr>
                <w:tcW w:w="3814" w:type="dxa"/>
                <w:shd w:val="clear" w:color="auto" w:fill="auto"/>
              </w:tcPr>
              <w:p w:rsidR="002739FA" w:rsidRPr="00273733" w:rsidRDefault="002739FA">
                <w:pPr>
                  <w:tabs>
                    <w:tab w:val="right" w:pos="8838"/>
                  </w:tabs>
                  <w:ind w:left="850" w:right="-105"/>
                  <w:jc w:val="both"/>
                  <w:rPr>
                    <w:rFonts w:ascii="Palatino Linotype" w:eastAsia="Palatino Linotype" w:hAnsi="Palatino Linotype" w:cs="Palatino Linotype"/>
                    <w:b/>
                    <w:bCs/>
                    <w:szCs w:val="22"/>
                  </w:rPr>
                </w:pPr>
                <w:r w:rsidRPr="00273733">
                  <w:rPr>
                    <w:rFonts w:ascii="Palatino Linotype" w:eastAsia="Palatino Linotype" w:hAnsi="Palatino Linotype" w:cs="Palatino Linotype"/>
                    <w:b/>
                    <w:bCs/>
                    <w:szCs w:val="22"/>
                  </w:rPr>
                  <w:t>Recurso de Revisión:</w:t>
                </w:r>
              </w:p>
            </w:tc>
            <w:tc>
              <w:tcPr>
                <w:tcW w:w="4111" w:type="dxa"/>
                <w:shd w:val="clear" w:color="auto" w:fill="auto"/>
              </w:tcPr>
              <w:p w:rsidR="002739FA" w:rsidRPr="00273733" w:rsidRDefault="002739FA">
                <w:pPr>
                  <w:tabs>
                    <w:tab w:val="right" w:pos="8838"/>
                  </w:tabs>
                  <w:ind w:right="-781"/>
                  <w:jc w:val="both"/>
                  <w:rPr>
                    <w:rFonts w:ascii="Palatino Linotype" w:eastAsia="Palatino Linotype" w:hAnsi="Palatino Linotype" w:cs="Palatino Linotype"/>
                    <w:szCs w:val="22"/>
                  </w:rPr>
                </w:pPr>
                <w:r w:rsidRPr="00273733">
                  <w:rPr>
                    <w:rFonts w:ascii="Palatino Linotype" w:eastAsia="Palatino Linotype" w:hAnsi="Palatino Linotype" w:cs="Palatino Linotype"/>
                    <w:szCs w:val="22"/>
                  </w:rPr>
                  <w:t>07308/INFOEM/IP/RR/2025</w:t>
                </w:r>
              </w:p>
            </w:tc>
          </w:tr>
          <w:tr w:rsidR="002739FA" w:rsidTr="00273733">
            <w:trPr>
              <w:trHeight w:val="295"/>
            </w:trPr>
            <w:tc>
              <w:tcPr>
                <w:tcW w:w="3814" w:type="dxa"/>
                <w:shd w:val="clear" w:color="auto" w:fill="auto"/>
              </w:tcPr>
              <w:p w:rsidR="002739FA" w:rsidRPr="00273733" w:rsidRDefault="002739FA">
                <w:pPr>
                  <w:tabs>
                    <w:tab w:val="right" w:pos="8838"/>
                  </w:tabs>
                  <w:ind w:left="850" w:right="-105"/>
                  <w:jc w:val="both"/>
                  <w:rPr>
                    <w:rFonts w:ascii="Palatino Linotype" w:eastAsia="Palatino Linotype" w:hAnsi="Palatino Linotype" w:cs="Palatino Linotype"/>
                    <w:b/>
                    <w:bCs/>
                    <w:szCs w:val="22"/>
                  </w:rPr>
                </w:pPr>
                <w:r w:rsidRPr="00273733">
                  <w:rPr>
                    <w:rFonts w:ascii="Palatino Linotype" w:eastAsia="Palatino Linotype" w:hAnsi="Palatino Linotype" w:cs="Palatino Linotype"/>
                    <w:b/>
                    <w:bCs/>
                    <w:szCs w:val="22"/>
                  </w:rPr>
                  <w:t>Sujeto Obligado:</w:t>
                </w:r>
              </w:p>
            </w:tc>
            <w:tc>
              <w:tcPr>
                <w:tcW w:w="4111" w:type="dxa"/>
                <w:shd w:val="clear" w:color="auto" w:fill="auto"/>
              </w:tcPr>
              <w:p w:rsidR="002739FA" w:rsidRPr="00273733" w:rsidRDefault="002739FA" w:rsidP="00B93242">
                <w:pPr>
                  <w:tabs>
                    <w:tab w:val="left" w:pos="3122"/>
                    <w:tab w:val="right" w:pos="8838"/>
                  </w:tabs>
                  <w:ind w:right="-1552"/>
                  <w:rPr>
                    <w:rFonts w:ascii="Palatino Linotype" w:eastAsia="Palatino Linotype" w:hAnsi="Palatino Linotype" w:cs="Palatino Linotype"/>
                    <w:szCs w:val="22"/>
                  </w:rPr>
                </w:pPr>
                <w:r w:rsidRPr="00273733">
                  <w:rPr>
                    <w:rFonts w:ascii="Palatino Linotype" w:eastAsia="Palatino Linotype" w:hAnsi="Palatino Linotype" w:cs="Palatino Linotype"/>
                    <w:szCs w:val="22"/>
                  </w:rPr>
                  <w:t xml:space="preserve">Comisión de Derechos Humanos del </w:t>
                </w:r>
              </w:p>
              <w:p w:rsidR="002739FA" w:rsidRPr="00273733" w:rsidRDefault="002739FA" w:rsidP="00B93242">
                <w:pPr>
                  <w:tabs>
                    <w:tab w:val="left" w:pos="3122"/>
                    <w:tab w:val="right" w:pos="8838"/>
                  </w:tabs>
                  <w:ind w:right="-1552"/>
                  <w:rPr>
                    <w:rFonts w:ascii="Palatino Linotype" w:eastAsia="Palatino Linotype" w:hAnsi="Palatino Linotype" w:cs="Palatino Linotype"/>
                    <w:szCs w:val="22"/>
                  </w:rPr>
                </w:pPr>
                <w:r w:rsidRPr="00273733">
                  <w:rPr>
                    <w:rFonts w:ascii="Palatino Linotype" w:eastAsia="Palatino Linotype" w:hAnsi="Palatino Linotype" w:cs="Palatino Linotype"/>
                    <w:szCs w:val="22"/>
                  </w:rPr>
                  <w:t>Estado de México</w:t>
                </w:r>
              </w:p>
            </w:tc>
          </w:tr>
          <w:tr w:rsidR="002739FA" w:rsidTr="00273733">
            <w:trPr>
              <w:trHeight w:val="295"/>
            </w:trPr>
            <w:tc>
              <w:tcPr>
                <w:tcW w:w="3814" w:type="dxa"/>
                <w:shd w:val="clear" w:color="auto" w:fill="auto"/>
              </w:tcPr>
              <w:p w:rsidR="002739FA" w:rsidRPr="00273733" w:rsidRDefault="002739FA">
                <w:pPr>
                  <w:tabs>
                    <w:tab w:val="right" w:pos="8838"/>
                  </w:tabs>
                  <w:ind w:left="850" w:right="-105"/>
                  <w:jc w:val="both"/>
                  <w:rPr>
                    <w:rFonts w:ascii="Palatino Linotype" w:eastAsia="Palatino Linotype" w:hAnsi="Palatino Linotype" w:cs="Palatino Linotype"/>
                    <w:b/>
                    <w:bCs/>
                    <w:szCs w:val="22"/>
                  </w:rPr>
                </w:pPr>
                <w:r w:rsidRPr="00273733">
                  <w:rPr>
                    <w:rFonts w:ascii="Palatino Linotype" w:eastAsia="Palatino Linotype" w:hAnsi="Palatino Linotype" w:cs="Palatino Linotype"/>
                    <w:b/>
                    <w:bCs/>
                    <w:szCs w:val="22"/>
                  </w:rPr>
                  <w:t>Comisionada ponente:</w:t>
                </w:r>
              </w:p>
            </w:tc>
            <w:tc>
              <w:tcPr>
                <w:tcW w:w="4111" w:type="dxa"/>
                <w:shd w:val="clear" w:color="auto" w:fill="auto"/>
              </w:tcPr>
              <w:p w:rsidR="002739FA" w:rsidRPr="00273733" w:rsidRDefault="002739FA">
                <w:pPr>
                  <w:tabs>
                    <w:tab w:val="right" w:pos="8838"/>
                  </w:tabs>
                  <w:ind w:right="-781"/>
                  <w:jc w:val="both"/>
                  <w:rPr>
                    <w:rFonts w:ascii="Palatino Linotype" w:eastAsia="Palatino Linotype" w:hAnsi="Palatino Linotype" w:cs="Palatino Linotype"/>
                    <w:szCs w:val="22"/>
                  </w:rPr>
                </w:pPr>
                <w:r w:rsidRPr="00273733">
                  <w:rPr>
                    <w:rFonts w:ascii="Palatino Linotype" w:eastAsia="Palatino Linotype" w:hAnsi="Palatino Linotype" w:cs="Palatino Linotype"/>
                    <w:szCs w:val="22"/>
                  </w:rPr>
                  <w:t>María del Rosario Mejía Ayala</w:t>
                </w:r>
              </w:p>
              <w:p w:rsidR="002739FA" w:rsidRPr="00273733" w:rsidRDefault="002739FA">
                <w:pPr>
                  <w:tabs>
                    <w:tab w:val="right" w:pos="8838"/>
                  </w:tabs>
                  <w:ind w:left="141" w:right="-781"/>
                  <w:jc w:val="both"/>
                  <w:rPr>
                    <w:rFonts w:ascii="Palatino Linotype" w:eastAsia="Palatino Linotype" w:hAnsi="Palatino Linotype" w:cs="Palatino Linotype"/>
                    <w:szCs w:val="22"/>
                  </w:rPr>
                </w:pPr>
              </w:p>
            </w:tc>
          </w:tr>
        </w:tbl>
        <w:p w:rsidR="002739FA" w:rsidRDefault="002739FA">
          <w:pPr>
            <w:tabs>
              <w:tab w:val="right" w:pos="8838"/>
            </w:tabs>
            <w:ind w:left="-28"/>
            <w:jc w:val="both"/>
            <w:rPr>
              <w:rFonts w:ascii="Arial" w:eastAsia="Arial" w:hAnsi="Arial" w:cs="Arial"/>
              <w:b/>
              <w:bCs/>
              <w:sz w:val="18"/>
              <w:szCs w:val="18"/>
            </w:rPr>
          </w:pPr>
        </w:p>
      </w:tc>
    </w:tr>
  </w:tbl>
  <w:p w:rsidR="002739FA" w:rsidRDefault="00637BE5">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68.8pt;margin-top:-120.5pt;width:589.8pt;height:768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
      <w:tblW w:w="10065" w:type="dxa"/>
      <w:tblInd w:w="0" w:type="dxa"/>
      <w:tblLayout w:type="fixed"/>
      <w:tblLook w:val="0400" w:firstRow="0" w:lastRow="0" w:firstColumn="0" w:lastColumn="0" w:noHBand="0" w:noVBand="1"/>
    </w:tblPr>
    <w:tblGrid>
      <w:gridCol w:w="2265"/>
      <w:gridCol w:w="7800"/>
    </w:tblGrid>
    <w:tr w:rsidR="002739FA">
      <w:trPr>
        <w:trHeight w:val="1435"/>
      </w:trPr>
      <w:tc>
        <w:tcPr>
          <w:tcW w:w="2265" w:type="dxa"/>
          <w:shd w:val="clear" w:color="auto" w:fill="auto"/>
        </w:tcPr>
        <w:p w:rsidR="002739FA" w:rsidRDefault="002739FA">
          <w:pPr>
            <w:tabs>
              <w:tab w:val="right" w:pos="4273"/>
            </w:tabs>
            <w:rPr>
              <w:rFonts w:ascii="Garamond" w:eastAsia="Garamond" w:hAnsi="Garamond" w:cs="Garamond"/>
              <w:sz w:val="22"/>
              <w:szCs w:val="22"/>
            </w:rPr>
          </w:pPr>
        </w:p>
      </w:tc>
      <w:tc>
        <w:tcPr>
          <w:tcW w:w="7800" w:type="dxa"/>
          <w:shd w:val="clear" w:color="auto" w:fill="auto"/>
        </w:tcPr>
        <w:tbl>
          <w:tblPr>
            <w:tblStyle w:val="af0"/>
            <w:tblW w:w="7643" w:type="dxa"/>
            <w:tblInd w:w="881" w:type="dxa"/>
            <w:tblLayout w:type="fixed"/>
            <w:tblLook w:val="0400" w:firstRow="0" w:lastRow="0" w:firstColumn="0" w:lastColumn="0" w:noHBand="0" w:noVBand="1"/>
          </w:tblPr>
          <w:tblGrid>
            <w:gridCol w:w="2723"/>
            <w:gridCol w:w="4920"/>
          </w:tblGrid>
          <w:tr w:rsidR="002739FA" w:rsidTr="00273733">
            <w:trPr>
              <w:trHeight w:val="144"/>
            </w:trPr>
            <w:tc>
              <w:tcPr>
                <w:tcW w:w="2723" w:type="dxa"/>
                <w:shd w:val="clear" w:color="auto" w:fill="auto"/>
              </w:tcPr>
              <w:p w:rsidR="002739FA" w:rsidRPr="00273733" w:rsidRDefault="002739FA">
                <w:pPr>
                  <w:tabs>
                    <w:tab w:val="right" w:pos="8838"/>
                  </w:tabs>
                  <w:ind w:left="-264" w:right="-105" w:firstLine="195"/>
                  <w:rPr>
                    <w:rFonts w:ascii="Palatino Linotype" w:eastAsia="Palatino Linotype" w:hAnsi="Palatino Linotype" w:cs="Palatino Linotype"/>
                    <w:b/>
                    <w:bCs/>
                    <w:szCs w:val="22"/>
                  </w:rPr>
                </w:pPr>
                <w:r w:rsidRPr="00273733">
                  <w:rPr>
                    <w:rFonts w:ascii="Palatino Linotype" w:eastAsia="Palatino Linotype" w:hAnsi="Palatino Linotype" w:cs="Palatino Linotype"/>
                    <w:b/>
                    <w:bCs/>
                    <w:szCs w:val="22"/>
                  </w:rPr>
                  <w:t>Recurso de Revisión:</w:t>
                </w:r>
              </w:p>
            </w:tc>
            <w:tc>
              <w:tcPr>
                <w:tcW w:w="4920" w:type="dxa"/>
                <w:shd w:val="clear" w:color="auto" w:fill="auto"/>
              </w:tcPr>
              <w:p w:rsidR="002739FA" w:rsidRPr="00273733" w:rsidRDefault="002739FA">
                <w:pPr>
                  <w:tabs>
                    <w:tab w:val="right" w:pos="8838"/>
                  </w:tabs>
                  <w:ind w:right="-1552"/>
                  <w:rPr>
                    <w:rFonts w:ascii="Palatino Linotype" w:eastAsia="Palatino Linotype" w:hAnsi="Palatino Linotype" w:cs="Palatino Linotype"/>
                    <w:szCs w:val="22"/>
                  </w:rPr>
                </w:pPr>
                <w:r w:rsidRPr="00273733">
                  <w:rPr>
                    <w:rFonts w:ascii="Palatino Linotype" w:eastAsia="Palatino Linotype" w:hAnsi="Palatino Linotype" w:cs="Palatino Linotype"/>
                    <w:szCs w:val="22"/>
                  </w:rPr>
                  <w:t>07308/INFOEM/IP/RR/2025</w:t>
                </w:r>
              </w:p>
            </w:tc>
          </w:tr>
          <w:tr w:rsidR="002739FA" w:rsidTr="00273733">
            <w:trPr>
              <w:trHeight w:val="144"/>
            </w:trPr>
            <w:tc>
              <w:tcPr>
                <w:tcW w:w="2723" w:type="dxa"/>
                <w:shd w:val="clear" w:color="auto" w:fill="auto"/>
              </w:tcPr>
              <w:p w:rsidR="002739FA" w:rsidRPr="00273733" w:rsidRDefault="002739FA">
                <w:pPr>
                  <w:tabs>
                    <w:tab w:val="right" w:pos="8838"/>
                  </w:tabs>
                  <w:ind w:left="-74" w:right="-105"/>
                  <w:rPr>
                    <w:rFonts w:ascii="Palatino Linotype" w:eastAsia="Palatino Linotype" w:hAnsi="Palatino Linotype" w:cs="Palatino Linotype"/>
                    <w:b/>
                    <w:bCs/>
                    <w:szCs w:val="22"/>
                  </w:rPr>
                </w:pPr>
                <w:r w:rsidRPr="00273733">
                  <w:rPr>
                    <w:rFonts w:ascii="Palatino Linotype" w:eastAsia="Palatino Linotype" w:hAnsi="Palatino Linotype" w:cs="Palatino Linotype"/>
                    <w:b/>
                    <w:bCs/>
                    <w:szCs w:val="22"/>
                  </w:rPr>
                  <w:t>Recurrente:</w:t>
                </w:r>
              </w:p>
            </w:tc>
            <w:tc>
              <w:tcPr>
                <w:tcW w:w="4920" w:type="dxa"/>
                <w:shd w:val="clear" w:color="auto" w:fill="auto"/>
              </w:tcPr>
              <w:p w:rsidR="002739FA" w:rsidRPr="00273733" w:rsidRDefault="002739FA">
                <w:pPr>
                  <w:tabs>
                    <w:tab w:val="left" w:pos="3122"/>
                    <w:tab w:val="right" w:pos="8838"/>
                  </w:tabs>
                  <w:ind w:right="-1552"/>
                  <w:rPr>
                    <w:rFonts w:ascii="Palatino Linotype" w:eastAsia="Palatino Linotype" w:hAnsi="Palatino Linotype" w:cs="Palatino Linotype"/>
                    <w:szCs w:val="22"/>
                  </w:rPr>
                </w:pPr>
              </w:p>
            </w:tc>
          </w:tr>
          <w:tr w:rsidR="002739FA" w:rsidTr="00273733">
            <w:trPr>
              <w:trHeight w:val="80"/>
            </w:trPr>
            <w:tc>
              <w:tcPr>
                <w:tcW w:w="2723" w:type="dxa"/>
                <w:shd w:val="clear" w:color="auto" w:fill="auto"/>
              </w:tcPr>
              <w:p w:rsidR="002739FA" w:rsidRPr="00273733" w:rsidRDefault="002739FA">
                <w:pPr>
                  <w:tabs>
                    <w:tab w:val="right" w:pos="8838"/>
                  </w:tabs>
                  <w:ind w:left="-74" w:right="-105"/>
                  <w:rPr>
                    <w:rFonts w:ascii="Palatino Linotype" w:eastAsia="Palatino Linotype" w:hAnsi="Palatino Linotype" w:cs="Palatino Linotype"/>
                    <w:b/>
                    <w:bCs/>
                    <w:szCs w:val="22"/>
                  </w:rPr>
                </w:pPr>
                <w:r w:rsidRPr="00273733">
                  <w:rPr>
                    <w:rFonts w:ascii="Palatino Linotype" w:eastAsia="Palatino Linotype" w:hAnsi="Palatino Linotype" w:cs="Palatino Linotype"/>
                    <w:b/>
                    <w:bCs/>
                    <w:szCs w:val="22"/>
                  </w:rPr>
                  <w:t>Sujeto Obligado:</w:t>
                </w:r>
              </w:p>
            </w:tc>
            <w:tc>
              <w:tcPr>
                <w:tcW w:w="4920" w:type="dxa"/>
                <w:shd w:val="clear" w:color="auto" w:fill="auto"/>
              </w:tcPr>
              <w:p w:rsidR="005D053D" w:rsidRPr="00273733" w:rsidRDefault="002739FA" w:rsidP="00B93242">
                <w:pPr>
                  <w:tabs>
                    <w:tab w:val="left" w:pos="3122"/>
                    <w:tab w:val="right" w:pos="8838"/>
                  </w:tabs>
                  <w:ind w:right="-1552"/>
                  <w:rPr>
                    <w:rFonts w:ascii="Palatino Linotype" w:eastAsia="Palatino Linotype" w:hAnsi="Palatino Linotype" w:cs="Palatino Linotype"/>
                    <w:szCs w:val="22"/>
                  </w:rPr>
                </w:pPr>
                <w:r w:rsidRPr="00273733">
                  <w:rPr>
                    <w:rFonts w:ascii="Palatino Linotype" w:eastAsia="Palatino Linotype" w:hAnsi="Palatino Linotype" w:cs="Palatino Linotype"/>
                    <w:szCs w:val="22"/>
                  </w:rPr>
                  <w:t xml:space="preserve">Comisión de Derechos Humanos del </w:t>
                </w:r>
              </w:p>
              <w:p w:rsidR="002739FA" w:rsidRPr="00273733" w:rsidRDefault="002739FA" w:rsidP="00B93242">
                <w:pPr>
                  <w:tabs>
                    <w:tab w:val="left" w:pos="3122"/>
                    <w:tab w:val="right" w:pos="8838"/>
                  </w:tabs>
                  <w:ind w:right="-1552"/>
                  <w:rPr>
                    <w:rFonts w:ascii="Palatino Linotype" w:eastAsia="Palatino Linotype" w:hAnsi="Palatino Linotype" w:cs="Palatino Linotype"/>
                    <w:szCs w:val="22"/>
                  </w:rPr>
                </w:pPr>
                <w:r w:rsidRPr="00273733">
                  <w:rPr>
                    <w:rFonts w:ascii="Palatino Linotype" w:eastAsia="Palatino Linotype" w:hAnsi="Palatino Linotype" w:cs="Palatino Linotype"/>
                    <w:szCs w:val="22"/>
                  </w:rPr>
                  <w:t>Estado de México</w:t>
                </w:r>
              </w:p>
            </w:tc>
          </w:tr>
          <w:tr w:rsidR="002739FA" w:rsidTr="00273733">
            <w:trPr>
              <w:trHeight w:val="283"/>
            </w:trPr>
            <w:tc>
              <w:tcPr>
                <w:tcW w:w="2723" w:type="dxa"/>
                <w:shd w:val="clear" w:color="auto" w:fill="auto"/>
              </w:tcPr>
              <w:p w:rsidR="002739FA" w:rsidRPr="00273733" w:rsidRDefault="002739FA">
                <w:pPr>
                  <w:tabs>
                    <w:tab w:val="right" w:pos="8838"/>
                  </w:tabs>
                  <w:ind w:right="-105"/>
                  <w:rPr>
                    <w:rFonts w:ascii="Palatino Linotype" w:eastAsia="Palatino Linotype" w:hAnsi="Palatino Linotype" w:cs="Palatino Linotype"/>
                    <w:b/>
                    <w:bCs/>
                    <w:szCs w:val="22"/>
                  </w:rPr>
                </w:pPr>
                <w:r w:rsidRPr="00273733">
                  <w:rPr>
                    <w:rFonts w:ascii="Palatino Linotype" w:eastAsia="Palatino Linotype" w:hAnsi="Palatino Linotype" w:cs="Palatino Linotype"/>
                    <w:b/>
                    <w:bCs/>
                    <w:szCs w:val="22"/>
                  </w:rPr>
                  <w:t>Comisionada ponente:</w:t>
                </w:r>
              </w:p>
            </w:tc>
            <w:tc>
              <w:tcPr>
                <w:tcW w:w="4920" w:type="dxa"/>
                <w:shd w:val="clear" w:color="auto" w:fill="auto"/>
              </w:tcPr>
              <w:p w:rsidR="002739FA" w:rsidRPr="00273733" w:rsidRDefault="002739FA">
                <w:pPr>
                  <w:tabs>
                    <w:tab w:val="right" w:pos="8838"/>
                  </w:tabs>
                  <w:ind w:right="-1552"/>
                  <w:rPr>
                    <w:rFonts w:ascii="Palatino Linotype" w:eastAsia="Palatino Linotype" w:hAnsi="Palatino Linotype" w:cs="Palatino Linotype"/>
                    <w:szCs w:val="22"/>
                  </w:rPr>
                </w:pPr>
                <w:r w:rsidRPr="00273733">
                  <w:rPr>
                    <w:rFonts w:ascii="Palatino Linotype" w:eastAsia="Palatino Linotype" w:hAnsi="Palatino Linotype" w:cs="Palatino Linotype"/>
                    <w:szCs w:val="22"/>
                  </w:rPr>
                  <w:t>María del Rosario Mejía Ayala</w:t>
                </w:r>
              </w:p>
              <w:p w:rsidR="002739FA" w:rsidRPr="00273733" w:rsidRDefault="002739FA">
                <w:pPr>
                  <w:tabs>
                    <w:tab w:val="right" w:pos="8838"/>
                  </w:tabs>
                  <w:ind w:right="-1552"/>
                  <w:rPr>
                    <w:rFonts w:ascii="Palatino Linotype" w:eastAsia="Palatino Linotype" w:hAnsi="Palatino Linotype" w:cs="Palatino Linotype"/>
                    <w:szCs w:val="22"/>
                  </w:rPr>
                </w:pPr>
              </w:p>
            </w:tc>
          </w:tr>
        </w:tbl>
        <w:p w:rsidR="002739FA" w:rsidRDefault="002739FA">
          <w:pPr>
            <w:tabs>
              <w:tab w:val="right" w:pos="8838"/>
            </w:tabs>
            <w:ind w:left="-28"/>
            <w:jc w:val="both"/>
            <w:rPr>
              <w:rFonts w:ascii="Arial" w:eastAsia="Arial" w:hAnsi="Arial" w:cs="Arial"/>
              <w:b/>
              <w:bCs/>
              <w:sz w:val="22"/>
              <w:szCs w:val="22"/>
            </w:rPr>
          </w:pPr>
        </w:p>
      </w:tc>
    </w:tr>
  </w:tbl>
  <w:p w:rsidR="002739FA" w:rsidRDefault="00637BE5">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68.8pt;margin-top:-117.6pt;width:589.8pt;height:768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1327A0"/>
    <w:multiLevelType w:val="hybridMultilevel"/>
    <w:tmpl w:val="DA9AF2E6"/>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 w15:restartNumberingAfterBreak="0">
    <w:nsid w:val="269A172B"/>
    <w:multiLevelType w:val="multilevel"/>
    <w:tmpl w:val="00889E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78A0D39"/>
    <w:multiLevelType w:val="multilevel"/>
    <w:tmpl w:val="DE0E5EBC"/>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B976873"/>
    <w:multiLevelType w:val="multilevel"/>
    <w:tmpl w:val="94842292"/>
    <w:lvl w:ilvl="0">
      <w:start w:val="1"/>
      <w:numFmt w:val="decimal"/>
      <w:pStyle w:val="Listaconvietas3"/>
      <w:lvlText w:val="%1."/>
      <w:lvlJc w:val="left"/>
      <w:pPr>
        <w:ind w:left="0" w:firstLine="0"/>
      </w:pPr>
      <w:rPr>
        <w:rFonts w:ascii="Palatino Linotype" w:eastAsia="Palatino Linotype" w:hAnsi="Palatino Linotype" w:cs="Palatino Linotype"/>
        <w:b/>
        <w:bCs/>
        <w:i w:val="0"/>
        <w:iCs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0A74619"/>
    <w:multiLevelType w:val="multilevel"/>
    <w:tmpl w:val="DD521FD4"/>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upperLetter"/>
      <w:lvlText w:val="%3)"/>
      <w:lvlJc w:val="left"/>
      <w:pPr>
        <w:ind w:left="2340" w:hanging="360"/>
      </w:pPr>
    </w:lvl>
    <w:lvl w:ilvl="3">
      <w:start w:val="1"/>
      <w:numFmt w:val="lowerLetter"/>
      <w:lvlText w:val="%4)"/>
      <w:lvlJc w:val="left"/>
      <w:pPr>
        <w:ind w:left="2880" w:hanging="360"/>
      </w:pPr>
      <w:rPr>
        <w:b w:val="0"/>
        <w:bCs w:val="0"/>
        <w:color w:val="00000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5116AC4"/>
    <w:multiLevelType w:val="multilevel"/>
    <w:tmpl w:val="70AE1E4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5CE3AE1"/>
    <w:multiLevelType w:val="multilevel"/>
    <w:tmpl w:val="12EAF834"/>
    <w:lvl w:ilvl="0">
      <w:start w:val="1"/>
      <w:numFmt w:val="bullet"/>
      <w:lvlText w:val="●"/>
      <w:lvlJc w:val="left"/>
      <w:pPr>
        <w:ind w:left="2382" w:hanging="360"/>
      </w:pPr>
      <w:rPr>
        <w:u w:val="none"/>
      </w:rPr>
    </w:lvl>
    <w:lvl w:ilvl="1">
      <w:start w:val="1"/>
      <w:numFmt w:val="bullet"/>
      <w:lvlText w:val="o"/>
      <w:lvlJc w:val="left"/>
      <w:pPr>
        <w:ind w:left="3102" w:hanging="360"/>
      </w:pPr>
      <w:rPr>
        <w:u w:val="none"/>
      </w:rPr>
    </w:lvl>
    <w:lvl w:ilvl="2">
      <w:start w:val="1"/>
      <w:numFmt w:val="bullet"/>
      <w:lvlText w:val="▪"/>
      <w:lvlJc w:val="left"/>
      <w:pPr>
        <w:ind w:left="3822" w:hanging="360"/>
      </w:pPr>
      <w:rPr>
        <w:u w:val="none"/>
      </w:rPr>
    </w:lvl>
    <w:lvl w:ilvl="3">
      <w:start w:val="1"/>
      <w:numFmt w:val="bullet"/>
      <w:lvlText w:val="●"/>
      <w:lvlJc w:val="left"/>
      <w:pPr>
        <w:ind w:left="4542" w:hanging="360"/>
      </w:pPr>
      <w:rPr>
        <w:u w:val="none"/>
      </w:rPr>
    </w:lvl>
    <w:lvl w:ilvl="4">
      <w:start w:val="1"/>
      <w:numFmt w:val="bullet"/>
      <w:lvlText w:val="o"/>
      <w:lvlJc w:val="left"/>
      <w:pPr>
        <w:ind w:left="5262" w:hanging="360"/>
      </w:pPr>
      <w:rPr>
        <w:u w:val="none"/>
      </w:rPr>
    </w:lvl>
    <w:lvl w:ilvl="5">
      <w:start w:val="1"/>
      <w:numFmt w:val="bullet"/>
      <w:lvlText w:val="▪"/>
      <w:lvlJc w:val="left"/>
      <w:pPr>
        <w:ind w:left="5982" w:hanging="360"/>
      </w:pPr>
      <w:rPr>
        <w:u w:val="none"/>
      </w:rPr>
    </w:lvl>
    <w:lvl w:ilvl="6">
      <w:start w:val="1"/>
      <w:numFmt w:val="bullet"/>
      <w:lvlText w:val="●"/>
      <w:lvlJc w:val="left"/>
      <w:pPr>
        <w:ind w:left="6702" w:hanging="360"/>
      </w:pPr>
      <w:rPr>
        <w:u w:val="none"/>
      </w:rPr>
    </w:lvl>
    <w:lvl w:ilvl="7">
      <w:start w:val="1"/>
      <w:numFmt w:val="bullet"/>
      <w:lvlText w:val="o"/>
      <w:lvlJc w:val="left"/>
      <w:pPr>
        <w:ind w:left="7422" w:hanging="360"/>
      </w:pPr>
      <w:rPr>
        <w:u w:val="none"/>
      </w:rPr>
    </w:lvl>
    <w:lvl w:ilvl="8">
      <w:start w:val="1"/>
      <w:numFmt w:val="bullet"/>
      <w:lvlText w:val="▪"/>
      <w:lvlJc w:val="left"/>
      <w:pPr>
        <w:ind w:left="8142" w:hanging="360"/>
      </w:pPr>
      <w:rPr>
        <w:u w:val="none"/>
      </w:rPr>
    </w:lvl>
  </w:abstractNum>
  <w:abstractNum w:abstractNumId="7" w15:restartNumberingAfterBreak="0">
    <w:nsid w:val="47042056"/>
    <w:multiLevelType w:val="multilevel"/>
    <w:tmpl w:val="65BC6F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90A3CAC"/>
    <w:multiLevelType w:val="hybridMultilevel"/>
    <w:tmpl w:val="4B3814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EA71FED"/>
    <w:multiLevelType w:val="multilevel"/>
    <w:tmpl w:val="D7A6AEA8"/>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2111F5D"/>
    <w:multiLevelType w:val="hybridMultilevel"/>
    <w:tmpl w:val="B73859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8A63217"/>
    <w:multiLevelType w:val="multilevel"/>
    <w:tmpl w:val="96F0F61C"/>
    <w:lvl w:ilvl="0">
      <w:start w:val="1"/>
      <w:numFmt w:val="decimal"/>
      <w:lvlText w:val="%1."/>
      <w:lvlJc w:val="left"/>
      <w:pPr>
        <w:ind w:left="925"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FBD1911"/>
    <w:multiLevelType w:val="multilevel"/>
    <w:tmpl w:val="A120D07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98555CF"/>
    <w:multiLevelType w:val="multilevel"/>
    <w:tmpl w:val="3CE20A62"/>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4" w15:restartNumberingAfterBreak="0">
    <w:nsid w:val="71A04B08"/>
    <w:multiLevelType w:val="multilevel"/>
    <w:tmpl w:val="5DB8D732"/>
    <w:lvl w:ilvl="0">
      <w:start w:val="1"/>
      <w:numFmt w:val="decimal"/>
      <w:lvlText w:val="%1."/>
      <w:lvlJc w:val="left"/>
      <w:pPr>
        <w:ind w:left="644"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2271145"/>
    <w:multiLevelType w:val="multilevel"/>
    <w:tmpl w:val="90883D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27B3499"/>
    <w:multiLevelType w:val="multilevel"/>
    <w:tmpl w:val="17824A86"/>
    <w:lvl w:ilvl="0">
      <w:start w:val="1"/>
      <w:numFmt w:val="decimal"/>
      <w:lvlText w:val="%1."/>
      <w:lvlJc w:val="left"/>
      <w:pPr>
        <w:ind w:left="2629"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2F04217"/>
    <w:multiLevelType w:val="multilevel"/>
    <w:tmpl w:val="44386498"/>
    <w:lvl w:ilvl="0">
      <w:start w:val="1"/>
      <w:numFmt w:val="upperRoman"/>
      <w:lvlText w:val="%1."/>
      <w:lvlJc w:val="left"/>
      <w:pPr>
        <w:ind w:left="1080" w:hanging="720"/>
      </w:pPr>
      <w:rPr>
        <w:rFonts w:ascii="Times New Roman" w:hAnsi="Times New Roman"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8" w15:restartNumberingAfterBreak="0">
    <w:nsid w:val="74AE1110"/>
    <w:multiLevelType w:val="multilevel"/>
    <w:tmpl w:val="790C3128"/>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AEB4B5B"/>
    <w:multiLevelType w:val="multilevel"/>
    <w:tmpl w:val="69822232"/>
    <w:lvl w:ilvl="0">
      <w:start w:val="1"/>
      <w:numFmt w:val="decimal"/>
      <w:lvlText w:val="%1."/>
      <w:lvlJc w:val="left"/>
      <w:pPr>
        <w:ind w:left="644" w:hanging="357"/>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11"/>
  </w:num>
  <w:num w:numId="3">
    <w:abstractNumId w:val="14"/>
  </w:num>
  <w:num w:numId="4">
    <w:abstractNumId w:val="4"/>
  </w:num>
  <w:num w:numId="5">
    <w:abstractNumId w:val="1"/>
  </w:num>
  <w:num w:numId="6">
    <w:abstractNumId w:val="15"/>
  </w:num>
  <w:num w:numId="7">
    <w:abstractNumId w:val="7"/>
  </w:num>
  <w:num w:numId="8">
    <w:abstractNumId w:val="8"/>
  </w:num>
  <w:num w:numId="9">
    <w:abstractNumId w:val="16"/>
  </w:num>
  <w:num w:numId="10">
    <w:abstractNumId w:val="12"/>
  </w:num>
  <w:num w:numId="11">
    <w:abstractNumId w:val="2"/>
  </w:num>
  <w:num w:numId="12">
    <w:abstractNumId w:val="18"/>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6"/>
  </w:num>
  <w:num w:numId="16">
    <w:abstractNumId w:val="3"/>
  </w:num>
  <w:num w:numId="17">
    <w:abstractNumId w:val="9"/>
  </w:num>
  <w:num w:numId="18">
    <w:abstractNumId w:val="13"/>
  </w:num>
  <w:num w:numId="19">
    <w:abstractNumId w:val="10"/>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5EF"/>
    <w:rsid w:val="00025A81"/>
    <w:rsid w:val="00050AE0"/>
    <w:rsid w:val="000A2C28"/>
    <w:rsid w:val="000E694D"/>
    <w:rsid w:val="001234D8"/>
    <w:rsid w:val="0013725C"/>
    <w:rsid w:val="001B6D20"/>
    <w:rsid w:val="001F7F8E"/>
    <w:rsid w:val="00204309"/>
    <w:rsid w:val="002367BD"/>
    <w:rsid w:val="0026022B"/>
    <w:rsid w:val="00273733"/>
    <w:rsid w:val="002739FA"/>
    <w:rsid w:val="002C5965"/>
    <w:rsid w:val="002E6273"/>
    <w:rsid w:val="00393AD5"/>
    <w:rsid w:val="003B25EF"/>
    <w:rsid w:val="00404839"/>
    <w:rsid w:val="00404C22"/>
    <w:rsid w:val="00461509"/>
    <w:rsid w:val="004D0003"/>
    <w:rsid w:val="004D2213"/>
    <w:rsid w:val="00535ECE"/>
    <w:rsid w:val="0058777C"/>
    <w:rsid w:val="005D053D"/>
    <w:rsid w:val="00637BE5"/>
    <w:rsid w:val="0064365D"/>
    <w:rsid w:val="00697E75"/>
    <w:rsid w:val="00697FC3"/>
    <w:rsid w:val="006F44AF"/>
    <w:rsid w:val="007313D1"/>
    <w:rsid w:val="007362A3"/>
    <w:rsid w:val="0073707D"/>
    <w:rsid w:val="007B5800"/>
    <w:rsid w:val="007D771C"/>
    <w:rsid w:val="008174FF"/>
    <w:rsid w:val="00836197"/>
    <w:rsid w:val="008568DE"/>
    <w:rsid w:val="00885082"/>
    <w:rsid w:val="008D77A8"/>
    <w:rsid w:val="009F1301"/>
    <w:rsid w:val="00A649F2"/>
    <w:rsid w:val="00AB5D5F"/>
    <w:rsid w:val="00AC2040"/>
    <w:rsid w:val="00AF0614"/>
    <w:rsid w:val="00B2019C"/>
    <w:rsid w:val="00B93242"/>
    <w:rsid w:val="00BA7E5D"/>
    <w:rsid w:val="00BD6A3F"/>
    <w:rsid w:val="00BE593B"/>
    <w:rsid w:val="00C12AAA"/>
    <w:rsid w:val="00C51BE4"/>
    <w:rsid w:val="00D8088E"/>
    <w:rsid w:val="00D825B4"/>
    <w:rsid w:val="00E3589A"/>
    <w:rsid w:val="00E47EB8"/>
    <w:rsid w:val="00F04239"/>
    <w:rsid w:val="00F96A02"/>
    <w:rsid w:val="00FF5ED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9C788C8D-8D86-4585-A37E-196D866B5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Ttulo2Car">
    <w:name w:val="Título 2 Car"/>
    <w:basedOn w:val="Fuentedeprrafopredeter"/>
    <w:uiPriority w:val="9"/>
    <w:rsid w:val="00835EC8"/>
    <w:rPr>
      <w:rFonts w:asciiTheme="majorHAnsi" w:eastAsiaTheme="majorEastAsia" w:hAnsiTheme="majorHAnsi" w:cstheme="majorBidi"/>
      <w:color w:val="2E74B5" w:themeColor="accent1" w:themeShade="BF"/>
      <w:sz w:val="26"/>
      <w:szCs w:val="26"/>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835EC8"/>
    <w:pPr>
      <w:ind w:left="720"/>
      <w:contextualSpacing/>
    </w:pPr>
    <w:rPr>
      <w:rFonts w:ascii="Century Gothic" w:hAnsi="Century Gothic"/>
      <w:sz w:val="22"/>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rsid w:val="00835EC8"/>
    <w:rPr>
      <w:rFonts w:ascii="Century Gothic" w:eastAsia="Times New Roman" w:hAnsi="Century Gothic" w:cs="Times New Roman"/>
      <w:szCs w:val="24"/>
      <w:lang w:eastAsia="es-MX"/>
    </w:rPr>
  </w:style>
  <w:style w:type="character" w:styleId="Hipervnculo">
    <w:name w:val="Hyperlink"/>
    <w:aliases w:val="Hipervínculo1,Hipervínculo11,Hipervínculo12,Hipervínculo13,Hipervínculo14,Hipervínculo15"/>
    <w:uiPriority w:val="99"/>
    <w:unhideWhenUsed/>
    <w:rsid w:val="00835EC8"/>
    <w:rPr>
      <w:color w:val="0563C1"/>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835EC8"/>
    <w:rPr>
      <w:vertAlign w:val="superscript"/>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835EC8"/>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35EC8"/>
    <w:rPr>
      <w:rFonts w:asciiTheme="minorHAnsi" w:eastAsiaTheme="minorHAnsi" w:hAnsiTheme="minorHAnsi" w:cstheme="minorBidi"/>
      <w:sz w:val="20"/>
      <w:szCs w:val="20"/>
      <w:lang w:eastAsia="en-US"/>
    </w:rPr>
  </w:style>
  <w:style w:type="character" w:customStyle="1" w:styleId="TextonotapieCar1">
    <w:name w:val="Texto nota pie Car1"/>
    <w:basedOn w:val="Fuentedeprrafopredeter"/>
    <w:uiPriority w:val="99"/>
    <w:semiHidden/>
    <w:rsid w:val="00835EC8"/>
    <w:rPr>
      <w:rFonts w:ascii="Times New Roman" w:eastAsia="Times New Roman" w:hAnsi="Times New Roman" w:cs="Times New Roman"/>
      <w:sz w:val="20"/>
      <w:szCs w:val="20"/>
      <w:lang w:eastAsia="es-MX"/>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character" w:styleId="Refdecomentario">
    <w:name w:val="annotation reference"/>
    <w:basedOn w:val="Fuentedeprrafopredeter"/>
    <w:uiPriority w:val="99"/>
    <w:semiHidden/>
    <w:unhideWhenUsed/>
    <w:rsid w:val="009D378D"/>
    <w:rPr>
      <w:sz w:val="16"/>
      <w:szCs w:val="16"/>
    </w:rPr>
  </w:style>
  <w:style w:type="paragraph" w:styleId="Textocomentario">
    <w:name w:val="annotation text"/>
    <w:basedOn w:val="Normal"/>
    <w:link w:val="TextocomentarioCar"/>
    <w:uiPriority w:val="99"/>
    <w:semiHidden/>
    <w:unhideWhenUsed/>
    <w:rsid w:val="009D378D"/>
    <w:rPr>
      <w:sz w:val="20"/>
      <w:szCs w:val="20"/>
    </w:rPr>
  </w:style>
  <w:style w:type="character" w:customStyle="1" w:styleId="TextocomentarioCar">
    <w:name w:val="Texto comentario Car"/>
    <w:basedOn w:val="Fuentedeprrafopredeter"/>
    <w:link w:val="Textocomentario"/>
    <w:uiPriority w:val="99"/>
    <w:semiHidden/>
    <w:rsid w:val="009D378D"/>
    <w:rPr>
      <w:sz w:val="20"/>
      <w:szCs w:val="20"/>
    </w:rPr>
  </w:style>
  <w:style w:type="paragraph" w:styleId="Asuntodelcomentario">
    <w:name w:val="annotation subject"/>
    <w:basedOn w:val="Textocomentario"/>
    <w:next w:val="Textocomentario"/>
    <w:link w:val="AsuntodelcomentarioCar"/>
    <w:uiPriority w:val="99"/>
    <w:semiHidden/>
    <w:unhideWhenUsed/>
    <w:rsid w:val="009D378D"/>
    <w:rPr>
      <w:b/>
      <w:bCs/>
    </w:rPr>
  </w:style>
  <w:style w:type="character" w:customStyle="1" w:styleId="AsuntodelcomentarioCar">
    <w:name w:val="Asunto del comentario Car"/>
    <w:basedOn w:val="TextocomentarioCar"/>
    <w:link w:val="Asuntodelcomentario"/>
    <w:uiPriority w:val="99"/>
    <w:semiHidden/>
    <w:rsid w:val="009D378D"/>
    <w:rPr>
      <w:b/>
      <w:bCs/>
      <w:sz w:val="20"/>
      <w:szCs w:val="20"/>
    </w:rPr>
  </w:style>
  <w:style w:type="paragraph" w:styleId="Textodeglobo">
    <w:name w:val="Balloon Text"/>
    <w:basedOn w:val="Normal"/>
    <w:link w:val="TextodegloboCar"/>
    <w:uiPriority w:val="99"/>
    <w:semiHidden/>
    <w:unhideWhenUsed/>
    <w:rsid w:val="009D378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D378D"/>
    <w:rPr>
      <w:rFonts w:ascii="Segoe UI" w:hAnsi="Segoe UI" w:cs="Segoe UI"/>
      <w:sz w:val="18"/>
      <w:szCs w:val="18"/>
    </w:rPr>
  </w:style>
  <w:style w:type="paragraph" w:styleId="Piedepgina">
    <w:name w:val="footer"/>
    <w:basedOn w:val="Normal"/>
    <w:link w:val="PiedepginaCar"/>
    <w:uiPriority w:val="99"/>
    <w:unhideWhenUsed/>
    <w:rsid w:val="008936E7"/>
    <w:pPr>
      <w:tabs>
        <w:tab w:val="center" w:pos="4419"/>
        <w:tab w:val="right" w:pos="8838"/>
      </w:tabs>
    </w:pPr>
  </w:style>
  <w:style w:type="character" w:customStyle="1" w:styleId="PiedepginaCar">
    <w:name w:val="Pie de página Car"/>
    <w:basedOn w:val="Fuentedeprrafopredeter"/>
    <w:link w:val="Piedepgina"/>
    <w:uiPriority w:val="99"/>
    <w:rsid w:val="008936E7"/>
  </w:style>
  <w:style w:type="table" w:customStyle="1" w:styleId="Tablanormal13">
    <w:name w:val="Tabla normal 13"/>
    <w:basedOn w:val="Tablanormal"/>
    <w:next w:val="Tablanormal1"/>
    <w:uiPriority w:val="41"/>
    <w:rsid w:val="00AF5D34"/>
    <w:rPr>
      <w:rFonts w:asciiTheme="minorHAnsi" w:eastAsiaTheme="minorHAnsi" w:hAnsiTheme="minorHAnsi" w:cstheme="minorBidi"/>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AF5D3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visitado">
    <w:name w:val="FollowedHyperlink"/>
    <w:basedOn w:val="Fuentedeprrafopredeter"/>
    <w:uiPriority w:val="99"/>
    <w:semiHidden/>
    <w:unhideWhenUsed/>
    <w:rsid w:val="000D6271"/>
    <w:rPr>
      <w:color w:val="954F72" w:themeColor="followedHyperlink"/>
      <w:u w:val="single"/>
    </w:rPr>
  </w:style>
  <w:style w:type="table" w:styleId="Tablaconcuadrcula">
    <w:name w:val="Table Grid"/>
    <w:basedOn w:val="Tablanormal"/>
    <w:uiPriority w:val="39"/>
    <w:rsid w:val="000D62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3">
    <w:basedOn w:val="TableNormal2"/>
    <w:tblPr>
      <w:tblStyleRowBandSize w:val="1"/>
      <w:tblStyleColBandSize w:val="1"/>
      <w:tblCellMar>
        <w:left w:w="108" w:type="dxa"/>
        <w:right w:w="108" w:type="dxa"/>
      </w:tblCellMar>
    </w:tblPr>
  </w:style>
  <w:style w:type="table" w:customStyle="1" w:styleId="a4">
    <w:basedOn w:val="TableNormal2"/>
    <w:rPr>
      <w:rFonts w:ascii="Calibri" w:eastAsia="Calibri" w:hAnsi="Calibri" w:cs="Calibri"/>
      <w:sz w:val="22"/>
      <w:szCs w:val="22"/>
    </w:r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2"/>
    <w:tblPr>
      <w:tblStyleRowBandSize w:val="1"/>
      <w:tblStyleColBandSize w:val="1"/>
      <w:tblCellMar>
        <w:left w:w="115" w:type="dxa"/>
        <w:right w:w="115" w:type="dxa"/>
      </w:tblCellMar>
    </w:tblPr>
  </w:style>
  <w:style w:type="table" w:customStyle="1" w:styleId="a6">
    <w:basedOn w:val="TableNormal2"/>
    <w:tblPr>
      <w:tblStyleRowBandSize w:val="1"/>
      <w:tblStyleColBandSize w:val="1"/>
      <w:tblCellMar>
        <w:left w:w="115" w:type="dxa"/>
        <w:right w:w="115" w:type="dxa"/>
      </w:tblCellMar>
    </w:tblPr>
  </w:style>
  <w:style w:type="table" w:customStyle="1" w:styleId="a7">
    <w:basedOn w:val="TableNormal2"/>
    <w:tblPr>
      <w:tblStyleRowBandSize w:val="1"/>
      <w:tblStyleColBandSize w:val="1"/>
      <w:tblCellMar>
        <w:left w:w="115" w:type="dxa"/>
        <w:right w:w="115" w:type="dxa"/>
      </w:tblCellMar>
    </w:tblPr>
  </w:style>
  <w:style w:type="table" w:customStyle="1" w:styleId="a8">
    <w:basedOn w:val="TableNormal2"/>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850EB3"/>
    <w:pPr>
      <w:spacing w:before="100" w:beforeAutospacing="1" w:after="100" w:afterAutospacing="1"/>
    </w:pPr>
  </w:style>
  <w:style w:type="paragraph" w:customStyle="1" w:styleId="m5907675151158779931gmail-msolistparagraph">
    <w:name w:val="m_5907675151158779931gmail-msolistparagraph"/>
    <w:basedOn w:val="Normal"/>
    <w:rsid w:val="00F32383"/>
    <w:pPr>
      <w:spacing w:before="100" w:beforeAutospacing="1" w:after="100" w:afterAutospacing="1"/>
    </w:pPr>
  </w:style>
  <w:style w:type="paragraph" w:styleId="Textoindependiente">
    <w:name w:val="Body Text"/>
    <w:basedOn w:val="Normal"/>
    <w:link w:val="TextoindependienteCar"/>
    <w:rsid w:val="00FD0C3F"/>
    <w:pPr>
      <w:jc w:val="both"/>
    </w:pPr>
    <w:rPr>
      <w:rFonts w:ascii="Arial" w:hAnsi="Arial"/>
      <w:szCs w:val="20"/>
      <w:lang w:val="es-ES_tradnl" w:eastAsia="es-ES"/>
    </w:rPr>
  </w:style>
  <w:style w:type="character" w:customStyle="1" w:styleId="TextoindependienteCar">
    <w:name w:val="Texto independiente Car"/>
    <w:basedOn w:val="Fuentedeprrafopredeter"/>
    <w:link w:val="Textoindependiente"/>
    <w:rsid w:val="00FD0C3F"/>
    <w:rPr>
      <w:rFonts w:ascii="Arial" w:hAnsi="Arial"/>
      <w:szCs w:val="20"/>
      <w:lang w:val="es-ES_tradnl" w:eastAsia="es-ES"/>
    </w:rPr>
  </w:style>
  <w:style w:type="paragraph" w:styleId="Sinespaciado">
    <w:name w:val="No Spacing"/>
    <w:aliases w:val="Francesa,INAI,Fundamentos"/>
    <w:link w:val="SinespaciadoCar"/>
    <w:uiPriority w:val="1"/>
    <w:qFormat/>
    <w:rsid w:val="00AC68B1"/>
    <w:rPr>
      <w:rFonts w:asciiTheme="minorHAnsi" w:eastAsiaTheme="minorEastAsia" w:hAnsiTheme="minorHAnsi" w:cstheme="minorBidi"/>
      <w:lang w:val="es-ES_tradnl" w:eastAsia="es-ES"/>
    </w:rPr>
  </w:style>
  <w:style w:type="character" w:customStyle="1" w:styleId="SinespaciadoCar">
    <w:name w:val="Sin espaciado Car"/>
    <w:aliases w:val="Francesa Car,INAI Car,Fundamentos Car"/>
    <w:link w:val="Sinespaciado"/>
    <w:uiPriority w:val="1"/>
    <w:qFormat/>
    <w:locked/>
    <w:rsid w:val="00AC68B1"/>
    <w:rPr>
      <w:rFonts w:asciiTheme="minorHAnsi" w:eastAsiaTheme="minorEastAsia" w:hAnsiTheme="minorHAnsi" w:cstheme="minorBidi"/>
      <w:lang w:val="es-ES_tradnl" w:eastAsia="es-ES"/>
    </w:rPr>
  </w:style>
  <w:style w:type="character" w:customStyle="1" w:styleId="uv3um">
    <w:name w:val="uv3um"/>
    <w:basedOn w:val="Fuentedeprrafopredeter"/>
    <w:rsid w:val="004D0BA4"/>
  </w:style>
  <w:style w:type="table" w:customStyle="1" w:styleId="a9">
    <w:basedOn w:val="TableNormal1"/>
    <w:tblPr>
      <w:tblStyleRowBandSize w:val="1"/>
      <w:tblStyleColBandSize w:val="1"/>
      <w:tblCellMar>
        <w:left w:w="115" w:type="dxa"/>
        <w:right w:w="115"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tblPr>
      <w:tblStyleRowBandSize w:val="1"/>
      <w:tblStyleColBandSize w:val="1"/>
      <w:tblCellMar>
        <w:left w:w="115" w:type="dxa"/>
        <w:right w:w="115" w:type="dxa"/>
      </w:tblCellMar>
    </w:tblPr>
  </w:style>
  <w:style w:type="paragraph" w:styleId="Lista2">
    <w:name w:val="List 2"/>
    <w:basedOn w:val="Normal"/>
    <w:uiPriority w:val="99"/>
    <w:unhideWhenUsed/>
    <w:rsid w:val="001640EA"/>
    <w:pPr>
      <w:ind w:left="566" w:hanging="283"/>
      <w:contextualSpacing/>
    </w:pPr>
    <w:rPr>
      <w:rFonts w:asciiTheme="minorHAnsi" w:eastAsiaTheme="minorEastAsia" w:hAnsiTheme="minorHAnsi" w:cstheme="minorBidi"/>
      <w:lang w:val="es-ES_tradnl" w:eastAsia="es-ES"/>
    </w:rPr>
  </w:style>
  <w:style w:type="paragraph" w:styleId="Sangradetextonormal">
    <w:name w:val="Body Text Indent"/>
    <w:basedOn w:val="Normal"/>
    <w:link w:val="SangradetextonormalCar"/>
    <w:uiPriority w:val="99"/>
    <w:unhideWhenUsed/>
    <w:rsid w:val="001640EA"/>
    <w:pPr>
      <w:spacing w:after="120"/>
      <w:ind w:left="283"/>
    </w:pPr>
    <w:rPr>
      <w:rFonts w:asciiTheme="minorHAnsi" w:eastAsiaTheme="minorEastAsia" w:hAnsiTheme="minorHAnsi" w:cstheme="minorBidi"/>
      <w:lang w:val="es-ES_tradnl" w:eastAsia="es-ES"/>
    </w:rPr>
  </w:style>
  <w:style w:type="character" w:customStyle="1" w:styleId="SangradetextonormalCar">
    <w:name w:val="Sangría de texto normal Car"/>
    <w:basedOn w:val="Fuentedeprrafopredeter"/>
    <w:link w:val="Sangradetextonormal"/>
    <w:uiPriority w:val="99"/>
    <w:rsid w:val="001640EA"/>
    <w:rPr>
      <w:rFonts w:asciiTheme="minorHAnsi" w:eastAsiaTheme="minorEastAsia" w:hAnsiTheme="minorHAnsi" w:cstheme="minorBidi"/>
      <w:lang w:val="es-ES_tradnl" w:eastAsia="es-ES"/>
    </w:rPr>
  </w:style>
  <w:style w:type="paragraph" w:styleId="Textoindependienteprimerasangra2">
    <w:name w:val="Body Text First Indent 2"/>
    <w:basedOn w:val="Sangradetextonormal"/>
    <w:link w:val="Textoindependienteprimerasangra2Car"/>
    <w:uiPriority w:val="99"/>
    <w:unhideWhenUsed/>
    <w:rsid w:val="001640EA"/>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640EA"/>
    <w:rPr>
      <w:rFonts w:asciiTheme="minorHAnsi" w:eastAsiaTheme="minorEastAsia" w:hAnsiTheme="minorHAnsi" w:cstheme="minorBidi"/>
      <w:lang w:val="es-ES_tradnl" w:eastAsia="es-ES"/>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d">
    <w:basedOn w:val="TableNormal0"/>
    <w:tblPr>
      <w:tblStyleRowBandSize w:val="1"/>
      <w:tblStyleColBandSize w:val="1"/>
      <w:tblCellMar>
        <w:left w:w="115" w:type="dxa"/>
        <w:right w:w="115" w:type="dxa"/>
      </w:tblCellMar>
    </w:tblPr>
  </w:style>
  <w:style w:type="table" w:customStyle="1" w:styleId="ae">
    <w:basedOn w:val="TableNormal0"/>
    <w:tblPr>
      <w:tblStyleRowBandSize w:val="1"/>
      <w:tblStyleColBandSize w:val="1"/>
      <w:tblCellMar>
        <w:left w:w="115" w:type="dxa"/>
        <w:right w:w="115" w:type="dxa"/>
      </w:tblCellMar>
    </w:tblPr>
  </w:style>
  <w:style w:type="table" w:customStyle="1" w:styleId="af">
    <w:basedOn w:val="TableNormal0"/>
    <w:tblPr>
      <w:tblStyleRowBandSize w:val="1"/>
      <w:tblStyleColBandSize w:val="1"/>
      <w:tblCellMar>
        <w:left w:w="115" w:type="dxa"/>
        <w:right w:w="115" w:type="dxa"/>
      </w:tblCellMar>
    </w:tblPr>
  </w:style>
  <w:style w:type="table" w:customStyle="1" w:styleId="af0">
    <w:basedOn w:val="TableNormal0"/>
    <w:tblPr>
      <w:tblStyleRowBandSize w:val="1"/>
      <w:tblStyleColBandSize w:val="1"/>
      <w:tblCellMar>
        <w:left w:w="115" w:type="dxa"/>
        <w:right w:w="115" w:type="dxa"/>
      </w:tblCellMar>
    </w:tblPr>
  </w:style>
  <w:style w:type="paragraph" w:styleId="Listaconvietas3">
    <w:name w:val="List Bullet 3"/>
    <w:basedOn w:val="Normal"/>
    <w:uiPriority w:val="99"/>
    <w:unhideWhenUsed/>
    <w:rsid w:val="00B2019C"/>
    <w:pPr>
      <w:numPr>
        <w:numId w:val="1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466473.page" TargetMode="External"/><Relationship Id="rId13" Type="http://schemas.openxmlformats.org/officeDocument/2006/relationships/hyperlink" Target="https://saimex.org.mx/saimex/solicitud/downloadAttach/2466478.page"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saimex.org.mx/saimex/solicitud/downloadAttach/2466477.pag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imex.org.mx/saimex/solicitud/downloadAttach/2466476.page" TargetMode="External"/><Relationship Id="rId5" Type="http://schemas.openxmlformats.org/officeDocument/2006/relationships/webSettings" Target="webSettings.xml"/><Relationship Id="rId15" Type="http://schemas.openxmlformats.org/officeDocument/2006/relationships/hyperlink" Target="https://saimex.org.mx/saimex/solicitud/downloadAttach/2466480.page" TargetMode="External"/><Relationship Id="rId23" Type="http://schemas.openxmlformats.org/officeDocument/2006/relationships/theme" Target="theme/theme1.xml"/><Relationship Id="rId10" Type="http://schemas.openxmlformats.org/officeDocument/2006/relationships/hyperlink" Target="https://saimex.org.mx/saimex/solicitud/downloadAttach/2466475.page"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aimex.org.mx/saimex/solicitud/downloadAttach/2466474.page" TargetMode="External"/><Relationship Id="rId14" Type="http://schemas.openxmlformats.org/officeDocument/2006/relationships/hyperlink" Target="https://saimex.org.mx/saimex/solicitud/downloadAttach/2466479.page"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EW8WI44P+WzqufRbs96Xlx3EA==">CgMxLjAyCWguM3pueXNoNzIOaC4ydjIzMGtuaWRleTIyCWguM2R5NnZrbTIOaC4ycHFhNG1nbGtndjIyDmguMmlpYXVwcWVreDV0Mg5oLjh0Z3E5YW0yeHk2djIOaC5jeWxkMWlhOThlMTAyDmguYzRuenNweGl0Z2U3Mg1oLmswNnJkZTc1dDM4OAByITEwVlA3YnkxbEw1T1JrUFhObWp6RFl3WlR5d3dIaTUwRQ==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25</Pages>
  <Words>6647</Words>
  <Characters>36561</Characters>
  <Application>Microsoft Office Word</Application>
  <DocSecurity>0</DocSecurity>
  <Lines>304</Lines>
  <Paragraphs>86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43122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INFOEM521</dc:creator>
  <cp:lastModifiedBy>Cuenta Microsoft</cp:lastModifiedBy>
  <cp:revision>9</cp:revision>
  <cp:lastPrinted>2026-03-06T19:25:00Z</cp:lastPrinted>
  <dcterms:created xsi:type="dcterms:W3CDTF">2026-02-26T21:03:00Z</dcterms:created>
  <dcterms:modified xsi:type="dcterms:W3CDTF">2026-03-13T19:02:00Z</dcterms:modified>
</cp:coreProperties>
</file>