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674CF" w14:textId="77777777" w:rsidR="0035729A" w:rsidRDefault="0035729A">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color w:val="auto"/>
          <w:sz w:val="22"/>
          <w:szCs w:val="22"/>
          <w:lang w:val="es-ES"/>
        </w:rPr>
        <w:id w:val="-1001204717"/>
        <w:docPartObj>
          <w:docPartGallery w:val="Table of Contents"/>
          <w:docPartUnique/>
        </w:docPartObj>
      </w:sdtPr>
      <w:sdtEndPr>
        <w:rPr>
          <w:b/>
          <w:bCs/>
        </w:rPr>
      </w:sdtEndPr>
      <w:sdtContent>
        <w:p w14:paraId="4532FFD0" w14:textId="55380BCC" w:rsidR="001E7BAD" w:rsidRDefault="001E7BAD">
          <w:pPr>
            <w:pStyle w:val="TtulodeTDC"/>
          </w:pPr>
          <w:r>
            <w:rPr>
              <w:lang w:val="es-ES"/>
            </w:rPr>
            <w:t>Tabla de contenido</w:t>
          </w:r>
        </w:p>
        <w:p w14:paraId="3E5705D9" w14:textId="77777777" w:rsidR="00DF397C" w:rsidRDefault="001E7BAD">
          <w:pPr>
            <w:pStyle w:val="TDC1"/>
            <w:tabs>
              <w:tab w:val="right" w:leader="dot" w:pos="9204"/>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1203161" w:history="1">
            <w:r w:rsidR="00DF397C" w:rsidRPr="004E359F">
              <w:rPr>
                <w:rStyle w:val="Hipervnculo"/>
                <w:noProof/>
              </w:rPr>
              <w:t>A N T E C E D E N T E S</w:t>
            </w:r>
            <w:r w:rsidR="00DF397C">
              <w:rPr>
                <w:noProof/>
                <w:webHidden/>
              </w:rPr>
              <w:tab/>
            </w:r>
            <w:r w:rsidR="00DF397C">
              <w:rPr>
                <w:noProof/>
                <w:webHidden/>
              </w:rPr>
              <w:fldChar w:fldCharType="begin"/>
            </w:r>
            <w:r w:rsidR="00DF397C">
              <w:rPr>
                <w:noProof/>
                <w:webHidden/>
              </w:rPr>
              <w:instrText xml:space="preserve"> PAGEREF _Toc221203161 \h </w:instrText>
            </w:r>
            <w:r w:rsidR="00DF397C">
              <w:rPr>
                <w:noProof/>
                <w:webHidden/>
              </w:rPr>
            </w:r>
            <w:r w:rsidR="00DF397C">
              <w:rPr>
                <w:noProof/>
                <w:webHidden/>
              </w:rPr>
              <w:fldChar w:fldCharType="separate"/>
            </w:r>
            <w:r w:rsidR="006D698B">
              <w:rPr>
                <w:noProof/>
                <w:webHidden/>
              </w:rPr>
              <w:t>2</w:t>
            </w:r>
            <w:r w:rsidR="00DF397C">
              <w:rPr>
                <w:noProof/>
                <w:webHidden/>
              </w:rPr>
              <w:fldChar w:fldCharType="end"/>
            </w:r>
          </w:hyperlink>
        </w:p>
        <w:p w14:paraId="2B8824E2" w14:textId="77777777" w:rsidR="00DF397C" w:rsidRDefault="00974143">
          <w:pPr>
            <w:pStyle w:val="TDC2"/>
            <w:tabs>
              <w:tab w:val="right" w:leader="dot" w:pos="9204"/>
            </w:tabs>
            <w:rPr>
              <w:rFonts w:asciiTheme="minorHAnsi" w:eastAsiaTheme="minorEastAsia" w:hAnsiTheme="minorHAnsi" w:cstheme="minorBidi"/>
              <w:noProof/>
            </w:rPr>
          </w:pPr>
          <w:hyperlink w:anchor="_Toc221203162" w:history="1">
            <w:r w:rsidR="00DF397C" w:rsidRPr="004E359F">
              <w:rPr>
                <w:rStyle w:val="Hipervnculo"/>
                <w:noProof/>
              </w:rPr>
              <w:t>I. Presentación de la solicitud de información</w:t>
            </w:r>
            <w:r w:rsidR="00DF397C">
              <w:rPr>
                <w:noProof/>
                <w:webHidden/>
              </w:rPr>
              <w:tab/>
            </w:r>
            <w:r w:rsidR="00DF397C">
              <w:rPr>
                <w:noProof/>
                <w:webHidden/>
              </w:rPr>
              <w:fldChar w:fldCharType="begin"/>
            </w:r>
            <w:r w:rsidR="00DF397C">
              <w:rPr>
                <w:noProof/>
                <w:webHidden/>
              </w:rPr>
              <w:instrText xml:space="preserve"> PAGEREF _Toc221203162 \h </w:instrText>
            </w:r>
            <w:r w:rsidR="00DF397C">
              <w:rPr>
                <w:noProof/>
                <w:webHidden/>
              </w:rPr>
            </w:r>
            <w:r w:rsidR="00DF397C">
              <w:rPr>
                <w:noProof/>
                <w:webHidden/>
              </w:rPr>
              <w:fldChar w:fldCharType="separate"/>
            </w:r>
            <w:r w:rsidR="006D698B">
              <w:rPr>
                <w:noProof/>
                <w:webHidden/>
              </w:rPr>
              <w:t>2</w:t>
            </w:r>
            <w:r w:rsidR="00DF397C">
              <w:rPr>
                <w:noProof/>
                <w:webHidden/>
              </w:rPr>
              <w:fldChar w:fldCharType="end"/>
            </w:r>
          </w:hyperlink>
        </w:p>
        <w:p w14:paraId="20FBBDC8" w14:textId="77777777" w:rsidR="00DF397C" w:rsidRDefault="00974143">
          <w:pPr>
            <w:pStyle w:val="TDC2"/>
            <w:tabs>
              <w:tab w:val="right" w:leader="dot" w:pos="9204"/>
            </w:tabs>
            <w:rPr>
              <w:rFonts w:asciiTheme="minorHAnsi" w:eastAsiaTheme="minorEastAsia" w:hAnsiTheme="minorHAnsi" w:cstheme="minorBidi"/>
              <w:noProof/>
            </w:rPr>
          </w:pPr>
          <w:hyperlink w:anchor="_Toc221203163" w:history="1">
            <w:r w:rsidR="00DF397C" w:rsidRPr="004E359F">
              <w:rPr>
                <w:rStyle w:val="Hipervnculo"/>
                <w:noProof/>
              </w:rPr>
              <w:t>II. Respuesta del Sujeto Obligado</w:t>
            </w:r>
            <w:r w:rsidR="00DF397C">
              <w:rPr>
                <w:noProof/>
                <w:webHidden/>
              </w:rPr>
              <w:tab/>
            </w:r>
            <w:r w:rsidR="00DF397C">
              <w:rPr>
                <w:noProof/>
                <w:webHidden/>
              </w:rPr>
              <w:fldChar w:fldCharType="begin"/>
            </w:r>
            <w:r w:rsidR="00DF397C">
              <w:rPr>
                <w:noProof/>
                <w:webHidden/>
              </w:rPr>
              <w:instrText xml:space="preserve"> PAGEREF _Toc221203163 \h </w:instrText>
            </w:r>
            <w:r w:rsidR="00DF397C">
              <w:rPr>
                <w:noProof/>
                <w:webHidden/>
              </w:rPr>
            </w:r>
            <w:r w:rsidR="00DF397C">
              <w:rPr>
                <w:noProof/>
                <w:webHidden/>
              </w:rPr>
              <w:fldChar w:fldCharType="separate"/>
            </w:r>
            <w:r w:rsidR="006D698B">
              <w:rPr>
                <w:noProof/>
                <w:webHidden/>
              </w:rPr>
              <w:t>2</w:t>
            </w:r>
            <w:r w:rsidR="00DF397C">
              <w:rPr>
                <w:noProof/>
                <w:webHidden/>
              </w:rPr>
              <w:fldChar w:fldCharType="end"/>
            </w:r>
          </w:hyperlink>
        </w:p>
        <w:p w14:paraId="74AC66AA" w14:textId="77777777" w:rsidR="00DF397C" w:rsidRDefault="00974143">
          <w:pPr>
            <w:pStyle w:val="TDC2"/>
            <w:tabs>
              <w:tab w:val="right" w:leader="dot" w:pos="9204"/>
            </w:tabs>
            <w:rPr>
              <w:rFonts w:asciiTheme="minorHAnsi" w:eastAsiaTheme="minorEastAsia" w:hAnsiTheme="minorHAnsi" w:cstheme="minorBidi"/>
              <w:noProof/>
            </w:rPr>
          </w:pPr>
          <w:hyperlink w:anchor="_Toc221203164" w:history="1">
            <w:r w:rsidR="00DF397C" w:rsidRPr="004E359F">
              <w:rPr>
                <w:rStyle w:val="Hipervnculo"/>
                <w:noProof/>
              </w:rPr>
              <w:t>III. Interposición del Recurso de Revisión</w:t>
            </w:r>
            <w:r w:rsidR="00DF397C">
              <w:rPr>
                <w:noProof/>
                <w:webHidden/>
              </w:rPr>
              <w:tab/>
            </w:r>
            <w:r w:rsidR="00DF397C">
              <w:rPr>
                <w:noProof/>
                <w:webHidden/>
              </w:rPr>
              <w:fldChar w:fldCharType="begin"/>
            </w:r>
            <w:r w:rsidR="00DF397C">
              <w:rPr>
                <w:noProof/>
                <w:webHidden/>
              </w:rPr>
              <w:instrText xml:space="preserve"> PAGEREF _Toc221203164 \h </w:instrText>
            </w:r>
            <w:r w:rsidR="00DF397C">
              <w:rPr>
                <w:noProof/>
                <w:webHidden/>
              </w:rPr>
            </w:r>
            <w:r w:rsidR="00DF397C">
              <w:rPr>
                <w:noProof/>
                <w:webHidden/>
              </w:rPr>
              <w:fldChar w:fldCharType="separate"/>
            </w:r>
            <w:r w:rsidR="006D698B">
              <w:rPr>
                <w:noProof/>
                <w:webHidden/>
              </w:rPr>
              <w:t>3</w:t>
            </w:r>
            <w:r w:rsidR="00DF397C">
              <w:rPr>
                <w:noProof/>
                <w:webHidden/>
              </w:rPr>
              <w:fldChar w:fldCharType="end"/>
            </w:r>
          </w:hyperlink>
        </w:p>
        <w:p w14:paraId="14EB6CC4" w14:textId="77777777" w:rsidR="00DF397C" w:rsidRDefault="00974143">
          <w:pPr>
            <w:pStyle w:val="TDC2"/>
            <w:tabs>
              <w:tab w:val="right" w:leader="dot" w:pos="9204"/>
            </w:tabs>
            <w:rPr>
              <w:rFonts w:asciiTheme="minorHAnsi" w:eastAsiaTheme="minorEastAsia" w:hAnsiTheme="minorHAnsi" w:cstheme="minorBidi"/>
              <w:noProof/>
            </w:rPr>
          </w:pPr>
          <w:hyperlink w:anchor="_Toc221203165" w:history="1">
            <w:r w:rsidR="00DF397C" w:rsidRPr="004E359F">
              <w:rPr>
                <w:rStyle w:val="Hipervnculo"/>
                <w:noProof/>
              </w:rPr>
              <w:t>IV. Trámite del Recurso de Revisión ante este Instituto</w:t>
            </w:r>
            <w:r w:rsidR="00DF397C">
              <w:rPr>
                <w:noProof/>
                <w:webHidden/>
              </w:rPr>
              <w:tab/>
            </w:r>
            <w:r w:rsidR="00DF397C">
              <w:rPr>
                <w:noProof/>
                <w:webHidden/>
              </w:rPr>
              <w:fldChar w:fldCharType="begin"/>
            </w:r>
            <w:r w:rsidR="00DF397C">
              <w:rPr>
                <w:noProof/>
                <w:webHidden/>
              </w:rPr>
              <w:instrText xml:space="preserve"> PAGEREF _Toc221203165 \h </w:instrText>
            </w:r>
            <w:r w:rsidR="00DF397C">
              <w:rPr>
                <w:noProof/>
                <w:webHidden/>
              </w:rPr>
            </w:r>
            <w:r w:rsidR="00DF397C">
              <w:rPr>
                <w:noProof/>
                <w:webHidden/>
              </w:rPr>
              <w:fldChar w:fldCharType="separate"/>
            </w:r>
            <w:r w:rsidR="006D698B">
              <w:rPr>
                <w:noProof/>
                <w:webHidden/>
              </w:rPr>
              <w:t>4</w:t>
            </w:r>
            <w:r w:rsidR="00DF397C">
              <w:rPr>
                <w:noProof/>
                <w:webHidden/>
              </w:rPr>
              <w:fldChar w:fldCharType="end"/>
            </w:r>
          </w:hyperlink>
        </w:p>
        <w:p w14:paraId="26B848FC" w14:textId="77777777" w:rsidR="00DF397C" w:rsidRDefault="00974143">
          <w:pPr>
            <w:pStyle w:val="TDC1"/>
            <w:tabs>
              <w:tab w:val="right" w:leader="dot" w:pos="9204"/>
            </w:tabs>
            <w:rPr>
              <w:rFonts w:asciiTheme="minorHAnsi" w:eastAsiaTheme="minorEastAsia" w:hAnsiTheme="minorHAnsi" w:cstheme="minorBidi"/>
              <w:noProof/>
            </w:rPr>
          </w:pPr>
          <w:hyperlink w:anchor="_Toc221203166" w:history="1">
            <w:r w:rsidR="00DF397C" w:rsidRPr="004E359F">
              <w:rPr>
                <w:rStyle w:val="Hipervnculo"/>
                <w:noProof/>
              </w:rPr>
              <w:t>C O N S I D E R A N D O S</w:t>
            </w:r>
            <w:r w:rsidR="00DF397C">
              <w:rPr>
                <w:noProof/>
                <w:webHidden/>
              </w:rPr>
              <w:tab/>
            </w:r>
            <w:r w:rsidR="00DF397C">
              <w:rPr>
                <w:noProof/>
                <w:webHidden/>
              </w:rPr>
              <w:fldChar w:fldCharType="begin"/>
            </w:r>
            <w:r w:rsidR="00DF397C">
              <w:rPr>
                <w:noProof/>
                <w:webHidden/>
              </w:rPr>
              <w:instrText xml:space="preserve"> PAGEREF _Toc221203166 \h </w:instrText>
            </w:r>
            <w:r w:rsidR="00DF397C">
              <w:rPr>
                <w:noProof/>
                <w:webHidden/>
              </w:rPr>
            </w:r>
            <w:r w:rsidR="00DF397C">
              <w:rPr>
                <w:noProof/>
                <w:webHidden/>
              </w:rPr>
              <w:fldChar w:fldCharType="separate"/>
            </w:r>
            <w:r w:rsidR="006D698B">
              <w:rPr>
                <w:noProof/>
                <w:webHidden/>
              </w:rPr>
              <w:t>6</w:t>
            </w:r>
            <w:r w:rsidR="00DF397C">
              <w:rPr>
                <w:noProof/>
                <w:webHidden/>
              </w:rPr>
              <w:fldChar w:fldCharType="end"/>
            </w:r>
          </w:hyperlink>
        </w:p>
        <w:p w14:paraId="06D4C4B7" w14:textId="77777777" w:rsidR="00DF397C" w:rsidRDefault="00974143">
          <w:pPr>
            <w:pStyle w:val="TDC2"/>
            <w:tabs>
              <w:tab w:val="right" w:leader="dot" w:pos="9204"/>
            </w:tabs>
            <w:rPr>
              <w:rFonts w:asciiTheme="minorHAnsi" w:eastAsiaTheme="minorEastAsia" w:hAnsiTheme="minorHAnsi" w:cstheme="minorBidi"/>
              <w:noProof/>
            </w:rPr>
          </w:pPr>
          <w:hyperlink w:anchor="_Toc221203167" w:history="1">
            <w:r w:rsidR="00DF397C" w:rsidRPr="004E359F">
              <w:rPr>
                <w:rStyle w:val="Hipervnculo"/>
                <w:noProof/>
              </w:rPr>
              <w:t>PRIMERO. Competencia</w:t>
            </w:r>
            <w:r w:rsidR="00DF397C">
              <w:rPr>
                <w:noProof/>
                <w:webHidden/>
              </w:rPr>
              <w:tab/>
            </w:r>
            <w:r w:rsidR="00DF397C">
              <w:rPr>
                <w:noProof/>
                <w:webHidden/>
              </w:rPr>
              <w:fldChar w:fldCharType="begin"/>
            </w:r>
            <w:r w:rsidR="00DF397C">
              <w:rPr>
                <w:noProof/>
                <w:webHidden/>
              </w:rPr>
              <w:instrText xml:space="preserve"> PAGEREF _Toc221203167 \h </w:instrText>
            </w:r>
            <w:r w:rsidR="00DF397C">
              <w:rPr>
                <w:noProof/>
                <w:webHidden/>
              </w:rPr>
            </w:r>
            <w:r w:rsidR="00DF397C">
              <w:rPr>
                <w:noProof/>
                <w:webHidden/>
              </w:rPr>
              <w:fldChar w:fldCharType="separate"/>
            </w:r>
            <w:r w:rsidR="006D698B">
              <w:rPr>
                <w:noProof/>
                <w:webHidden/>
              </w:rPr>
              <w:t>6</w:t>
            </w:r>
            <w:r w:rsidR="00DF397C">
              <w:rPr>
                <w:noProof/>
                <w:webHidden/>
              </w:rPr>
              <w:fldChar w:fldCharType="end"/>
            </w:r>
          </w:hyperlink>
        </w:p>
        <w:p w14:paraId="2B8B59CD" w14:textId="77777777" w:rsidR="00DF397C" w:rsidRDefault="00974143">
          <w:pPr>
            <w:pStyle w:val="TDC2"/>
            <w:tabs>
              <w:tab w:val="right" w:leader="dot" w:pos="9204"/>
            </w:tabs>
            <w:rPr>
              <w:rFonts w:asciiTheme="minorHAnsi" w:eastAsiaTheme="minorEastAsia" w:hAnsiTheme="minorHAnsi" w:cstheme="minorBidi"/>
              <w:noProof/>
            </w:rPr>
          </w:pPr>
          <w:hyperlink w:anchor="_Toc221203168" w:history="1">
            <w:r w:rsidR="00DF397C" w:rsidRPr="004E359F">
              <w:rPr>
                <w:rStyle w:val="Hipervnculo"/>
                <w:noProof/>
              </w:rPr>
              <w:t>SEGUNDO. Causales de improcedencia y sobreseimiento</w:t>
            </w:r>
            <w:r w:rsidR="00DF397C">
              <w:rPr>
                <w:noProof/>
                <w:webHidden/>
              </w:rPr>
              <w:tab/>
            </w:r>
            <w:r w:rsidR="00DF397C">
              <w:rPr>
                <w:noProof/>
                <w:webHidden/>
              </w:rPr>
              <w:fldChar w:fldCharType="begin"/>
            </w:r>
            <w:r w:rsidR="00DF397C">
              <w:rPr>
                <w:noProof/>
                <w:webHidden/>
              </w:rPr>
              <w:instrText xml:space="preserve"> PAGEREF _Toc221203168 \h </w:instrText>
            </w:r>
            <w:r w:rsidR="00DF397C">
              <w:rPr>
                <w:noProof/>
                <w:webHidden/>
              </w:rPr>
            </w:r>
            <w:r w:rsidR="00DF397C">
              <w:rPr>
                <w:noProof/>
                <w:webHidden/>
              </w:rPr>
              <w:fldChar w:fldCharType="separate"/>
            </w:r>
            <w:r w:rsidR="006D698B">
              <w:rPr>
                <w:noProof/>
                <w:webHidden/>
              </w:rPr>
              <w:t>6</w:t>
            </w:r>
            <w:r w:rsidR="00DF397C">
              <w:rPr>
                <w:noProof/>
                <w:webHidden/>
              </w:rPr>
              <w:fldChar w:fldCharType="end"/>
            </w:r>
          </w:hyperlink>
        </w:p>
        <w:p w14:paraId="1C00E597" w14:textId="77777777" w:rsidR="00DF397C" w:rsidRDefault="00974143">
          <w:pPr>
            <w:pStyle w:val="TDC2"/>
            <w:tabs>
              <w:tab w:val="right" w:leader="dot" w:pos="9204"/>
            </w:tabs>
            <w:rPr>
              <w:rFonts w:asciiTheme="minorHAnsi" w:eastAsiaTheme="minorEastAsia" w:hAnsiTheme="minorHAnsi" w:cstheme="minorBidi"/>
              <w:noProof/>
            </w:rPr>
          </w:pPr>
          <w:hyperlink w:anchor="_Toc221203169" w:history="1">
            <w:r w:rsidR="00DF397C" w:rsidRPr="004E359F">
              <w:rPr>
                <w:rStyle w:val="Hipervnculo"/>
                <w:noProof/>
              </w:rPr>
              <w:t>TERCERO. Determinación de la Controversia</w:t>
            </w:r>
            <w:r w:rsidR="00DF397C">
              <w:rPr>
                <w:noProof/>
                <w:webHidden/>
              </w:rPr>
              <w:tab/>
            </w:r>
            <w:r w:rsidR="00DF397C">
              <w:rPr>
                <w:noProof/>
                <w:webHidden/>
              </w:rPr>
              <w:fldChar w:fldCharType="begin"/>
            </w:r>
            <w:r w:rsidR="00DF397C">
              <w:rPr>
                <w:noProof/>
                <w:webHidden/>
              </w:rPr>
              <w:instrText xml:space="preserve"> PAGEREF _Toc221203169 \h </w:instrText>
            </w:r>
            <w:r w:rsidR="00DF397C">
              <w:rPr>
                <w:noProof/>
                <w:webHidden/>
              </w:rPr>
            </w:r>
            <w:r w:rsidR="00DF397C">
              <w:rPr>
                <w:noProof/>
                <w:webHidden/>
              </w:rPr>
              <w:fldChar w:fldCharType="separate"/>
            </w:r>
            <w:r w:rsidR="006D698B">
              <w:rPr>
                <w:noProof/>
                <w:webHidden/>
              </w:rPr>
              <w:t>8</w:t>
            </w:r>
            <w:r w:rsidR="00DF397C">
              <w:rPr>
                <w:noProof/>
                <w:webHidden/>
              </w:rPr>
              <w:fldChar w:fldCharType="end"/>
            </w:r>
          </w:hyperlink>
        </w:p>
        <w:p w14:paraId="69749CB5" w14:textId="77777777" w:rsidR="00DF397C" w:rsidRDefault="00974143">
          <w:pPr>
            <w:pStyle w:val="TDC2"/>
            <w:tabs>
              <w:tab w:val="right" w:leader="dot" w:pos="9204"/>
            </w:tabs>
            <w:rPr>
              <w:rFonts w:asciiTheme="minorHAnsi" w:eastAsiaTheme="minorEastAsia" w:hAnsiTheme="minorHAnsi" w:cstheme="minorBidi"/>
              <w:noProof/>
            </w:rPr>
          </w:pPr>
          <w:hyperlink w:anchor="_Toc221203170" w:history="1">
            <w:r w:rsidR="00DF397C" w:rsidRPr="004E359F">
              <w:rPr>
                <w:rStyle w:val="Hipervnculo"/>
                <w:noProof/>
              </w:rPr>
              <w:t>CUARTO. Marco normativo aplicable en materia de transparencia y acceso a la información pública</w:t>
            </w:r>
            <w:r w:rsidR="00DF397C">
              <w:rPr>
                <w:noProof/>
                <w:webHidden/>
              </w:rPr>
              <w:tab/>
            </w:r>
            <w:r w:rsidR="00DF397C">
              <w:rPr>
                <w:noProof/>
                <w:webHidden/>
              </w:rPr>
              <w:fldChar w:fldCharType="begin"/>
            </w:r>
            <w:r w:rsidR="00DF397C">
              <w:rPr>
                <w:noProof/>
                <w:webHidden/>
              </w:rPr>
              <w:instrText xml:space="preserve"> PAGEREF _Toc221203170 \h </w:instrText>
            </w:r>
            <w:r w:rsidR="00DF397C">
              <w:rPr>
                <w:noProof/>
                <w:webHidden/>
              </w:rPr>
            </w:r>
            <w:r w:rsidR="00DF397C">
              <w:rPr>
                <w:noProof/>
                <w:webHidden/>
              </w:rPr>
              <w:fldChar w:fldCharType="separate"/>
            </w:r>
            <w:r w:rsidR="006D698B">
              <w:rPr>
                <w:noProof/>
                <w:webHidden/>
              </w:rPr>
              <w:t>10</w:t>
            </w:r>
            <w:r w:rsidR="00DF397C">
              <w:rPr>
                <w:noProof/>
                <w:webHidden/>
              </w:rPr>
              <w:fldChar w:fldCharType="end"/>
            </w:r>
          </w:hyperlink>
        </w:p>
        <w:p w14:paraId="39ACB734" w14:textId="77777777" w:rsidR="00DF397C" w:rsidRDefault="00974143">
          <w:pPr>
            <w:pStyle w:val="TDC2"/>
            <w:tabs>
              <w:tab w:val="right" w:leader="dot" w:pos="9204"/>
            </w:tabs>
            <w:rPr>
              <w:rFonts w:asciiTheme="minorHAnsi" w:eastAsiaTheme="minorEastAsia" w:hAnsiTheme="minorHAnsi" w:cstheme="minorBidi"/>
              <w:noProof/>
            </w:rPr>
          </w:pPr>
          <w:hyperlink w:anchor="_Toc221203171" w:history="1">
            <w:r w:rsidR="00DF397C" w:rsidRPr="004E359F">
              <w:rPr>
                <w:rStyle w:val="Hipervnculo"/>
                <w:smallCaps/>
                <w:noProof/>
              </w:rPr>
              <w:t>QUINTO.</w:t>
            </w:r>
            <w:r w:rsidR="00DF397C" w:rsidRPr="004E359F">
              <w:rPr>
                <w:rStyle w:val="Hipervnculo"/>
                <w:noProof/>
              </w:rPr>
              <w:t xml:space="preserve"> Estudio de Fondo</w:t>
            </w:r>
            <w:r w:rsidR="00DF397C">
              <w:rPr>
                <w:noProof/>
                <w:webHidden/>
              </w:rPr>
              <w:tab/>
            </w:r>
            <w:r w:rsidR="00DF397C">
              <w:rPr>
                <w:noProof/>
                <w:webHidden/>
              </w:rPr>
              <w:fldChar w:fldCharType="begin"/>
            </w:r>
            <w:r w:rsidR="00DF397C">
              <w:rPr>
                <w:noProof/>
                <w:webHidden/>
              </w:rPr>
              <w:instrText xml:space="preserve"> PAGEREF _Toc221203171 \h </w:instrText>
            </w:r>
            <w:r w:rsidR="00DF397C">
              <w:rPr>
                <w:noProof/>
                <w:webHidden/>
              </w:rPr>
            </w:r>
            <w:r w:rsidR="00DF397C">
              <w:rPr>
                <w:noProof/>
                <w:webHidden/>
              </w:rPr>
              <w:fldChar w:fldCharType="separate"/>
            </w:r>
            <w:r w:rsidR="006D698B">
              <w:rPr>
                <w:noProof/>
                <w:webHidden/>
              </w:rPr>
              <w:t>11</w:t>
            </w:r>
            <w:r w:rsidR="00DF397C">
              <w:rPr>
                <w:noProof/>
                <w:webHidden/>
              </w:rPr>
              <w:fldChar w:fldCharType="end"/>
            </w:r>
          </w:hyperlink>
        </w:p>
        <w:p w14:paraId="31FD0B80" w14:textId="77777777" w:rsidR="00DF397C" w:rsidRDefault="00974143">
          <w:pPr>
            <w:pStyle w:val="TDC2"/>
            <w:tabs>
              <w:tab w:val="right" w:leader="dot" w:pos="9204"/>
            </w:tabs>
            <w:rPr>
              <w:rFonts w:asciiTheme="minorHAnsi" w:eastAsiaTheme="minorEastAsia" w:hAnsiTheme="minorHAnsi" w:cstheme="minorBidi"/>
              <w:noProof/>
            </w:rPr>
          </w:pPr>
          <w:hyperlink w:anchor="_Toc221203172" w:history="1">
            <w:r w:rsidR="00DF397C" w:rsidRPr="004E359F">
              <w:rPr>
                <w:rStyle w:val="Hipervnculo"/>
                <w:noProof/>
              </w:rPr>
              <w:t>SEXTO. Decisión</w:t>
            </w:r>
            <w:r w:rsidR="00DF397C">
              <w:rPr>
                <w:noProof/>
                <w:webHidden/>
              </w:rPr>
              <w:tab/>
            </w:r>
            <w:r w:rsidR="00DF397C">
              <w:rPr>
                <w:noProof/>
                <w:webHidden/>
              </w:rPr>
              <w:fldChar w:fldCharType="begin"/>
            </w:r>
            <w:r w:rsidR="00DF397C">
              <w:rPr>
                <w:noProof/>
                <w:webHidden/>
              </w:rPr>
              <w:instrText xml:space="preserve"> PAGEREF _Toc221203172 \h </w:instrText>
            </w:r>
            <w:r w:rsidR="00DF397C">
              <w:rPr>
                <w:noProof/>
                <w:webHidden/>
              </w:rPr>
            </w:r>
            <w:r w:rsidR="00DF397C">
              <w:rPr>
                <w:noProof/>
                <w:webHidden/>
              </w:rPr>
              <w:fldChar w:fldCharType="separate"/>
            </w:r>
            <w:r w:rsidR="006D698B">
              <w:rPr>
                <w:noProof/>
                <w:webHidden/>
              </w:rPr>
              <w:t>37</w:t>
            </w:r>
            <w:r w:rsidR="00DF397C">
              <w:rPr>
                <w:noProof/>
                <w:webHidden/>
              </w:rPr>
              <w:fldChar w:fldCharType="end"/>
            </w:r>
          </w:hyperlink>
        </w:p>
        <w:p w14:paraId="53AEFD86" w14:textId="77777777" w:rsidR="00DF397C" w:rsidRDefault="00974143">
          <w:pPr>
            <w:pStyle w:val="TDC1"/>
            <w:tabs>
              <w:tab w:val="right" w:leader="dot" w:pos="9204"/>
            </w:tabs>
            <w:rPr>
              <w:rFonts w:asciiTheme="minorHAnsi" w:eastAsiaTheme="minorEastAsia" w:hAnsiTheme="minorHAnsi" w:cstheme="minorBidi"/>
              <w:noProof/>
            </w:rPr>
          </w:pPr>
          <w:hyperlink w:anchor="_Toc221203173" w:history="1">
            <w:r w:rsidR="00DF397C" w:rsidRPr="004E359F">
              <w:rPr>
                <w:rStyle w:val="Hipervnculo"/>
                <w:noProof/>
              </w:rPr>
              <w:t>R E S U E L V E</w:t>
            </w:r>
            <w:r w:rsidR="00DF397C">
              <w:rPr>
                <w:noProof/>
                <w:webHidden/>
              </w:rPr>
              <w:tab/>
            </w:r>
            <w:r w:rsidR="00DF397C">
              <w:rPr>
                <w:noProof/>
                <w:webHidden/>
              </w:rPr>
              <w:fldChar w:fldCharType="begin"/>
            </w:r>
            <w:r w:rsidR="00DF397C">
              <w:rPr>
                <w:noProof/>
                <w:webHidden/>
              </w:rPr>
              <w:instrText xml:space="preserve"> PAGEREF _Toc221203173 \h </w:instrText>
            </w:r>
            <w:r w:rsidR="00DF397C">
              <w:rPr>
                <w:noProof/>
                <w:webHidden/>
              </w:rPr>
            </w:r>
            <w:r w:rsidR="00DF397C">
              <w:rPr>
                <w:noProof/>
                <w:webHidden/>
              </w:rPr>
              <w:fldChar w:fldCharType="separate"/>
            </w:r>
            <w:r w:rsidR="006D698B">
              <w:rPr>
                <w:noProof/>
                <w:webHidden/>
              </w:rPr>
              <w:t>38</w:t>
            </w:r>
            <w:r w:rsidR="00DF397C">
              <w:rPr>
                <w:noProof/>
                <w:webHidden/>
              </w:rPr>
              <w:fldChar w:fldCharType="end"/>
            </w:r>
          </w:hyperlink>
        </w:p>
        <w:p w14:paraId="508C9645" w14:textId="75799AE4" w:rsidR="001E7BAD" w:rsidRDefault="001E7BAD">
          <w:r>
            <w:rPr>
              <w:b/>
              <w:bCs/>
              <w:lang w:val="es-ES"/>
            </w:rPr>
            <w:fldChar w:fldCharType="end"/>
          </w:r>
        </w:p>
      </w:sdtContent>
    </w:sdt>
    <w:p w14:paraId="6F3CD8D0" w14:textId="77777777" w:rsidR="0035729A" w:rsidRDefault="007E5634">
      <w:pPr>
        <w:spacing w:after="0" w:line="360" w:lineRule="auto"/>
      </w:pPr>
      <w:r>
        <w:br w:type="page"/>
      </w:r>
    </w:p>
    <w:p w14:paraId="0C569741" w14:textId="77777777" w:rsidR="0035729A" w:rsidRDefault="007E5634">
      <w:pPr>
        <w:spacing w:after="0" w:line="360" w:lineRule="auto"/>
      </w:pPr>
      <w:r>
        <w:lastRenderedPageBreak/>
        <w:t>Resolución del Pleno del Instituto de Transparencia, Acceso a la Información Pública y Protección de Datos Personales del Estado de México y Municipios, con domicilio en Metepec, Estado de México, de fecha cinco de febrero de dos mil veintiséis.</w:t>
      </w:r>
    </w:p>
    <w:p w14:paraId="70F55D78" w14:textId="77777777" w:rsidR="0035729A" w:rsidRDefault="0035729A">
      <w:pPr>
        <w:spacing w:after="0" w:line="360" w:lineRule="auto"/>
        <w:rPr>
          <w:b/>
          <w:bCs/>
        </w:rPr>
      </w:pPr>
    </w:p>
    <w:p w14:paraId="100FC207" w14:textId="3A34AAC0" w:rsidR="0035729A" w:rsidRDefault="007E5634">
      <w:pPr>
        <w:spacing w:after="0" w:line="360" w:lineRule="auto"/>
      </w:pPr>
      <w:r>
        <w:rPr>
          <w:b/>
          <w:bCs/>
        </w:rPr>
        <w:t>VISTO</w:t>
      </w:r>
      <w:r>
        <w:t xml:space="preserve"> el expediente conformado con motivo del Recurso de Revisión </w:t>
      </w:r>
      <w:r w:rsidRPr="002244C0">
        <w:rPr>
          <w:b/>
        </w:rPr>
        <w:t>10911/INFOEM/IP/RR/2025</w:t>
      </w:r>
      <w:r w:rsidRPr="005565DB">
        <w:t xml:space="preserve">, interpuesto por </w:t>
      </w:r>
      <w:r>
        <w:t xml:space="preserve">la persona Recurrente o Particular, en contra de la respuesta del Sujeto Obligado, </w:t>
      </w:r>
      <w:r w:rsidRPr="002244C0">
        <w:rPr>
          <w:b/>
        </w:rPr>
        <w:t>Ayuntamiento de Tianguistenco</w:t>
      </w:r>
      <w:r>
        <w:t>, se emite la presente Resolución, con base en los antecedentes y considerandos que se exponen a continuación:</w:t>
      </w:r>
    </w:p>
    <w:p w14:paraId="47933C91" w14:textId="77777777" w:rsidR="0035729A" w:rsidRDefault="0035729A">
      <w:pPr>
        <w:spacing w:after="0" w:line="360" w:lineRule="auto"/>
      </w:pPr>
    </w:p>
    <w:p w14:paraId="76875F17" w14:textId="77777777" w:rsidR="0035729A" w:rsidRDefault="007E5634">
      <w:pPr>
        <w:pStyle w:val="Ttulo1"/>
        <w:spacing w:before="0" w:after="0"/>
        <w:rPr>
          <w:sz w:val="22"/>
          <w:szCs w:val="22"/>
        </w:rPr>
      </w:pPr>
      <w:bookmarkStart w:id="0" w:name="_Toc221203161"/>
      <w:r>
        <w:rPr>
          <w:sz w:val="22"/>
          <w:szCs w:val="22"/>
        </w:rPr>
        <w:t>A N T E C E D E N T E S</w:t>
      </w:r>
      <w:bookmarkEnd w:id="0"/>
    </w:p>
    <w:p w14:paraId="4257DC15" w14:textId="77777777" w:rsidR="0035729A" w:rsidRDefault="0035729A">
      <w:pPr>
        <w:spacing w:after="0" w:line="360" w:lineRule="auto"/>
      </w:pPr>
      <w:bookmarkStart w:id="1" w:name="_heading=h.gjdgxs" w:colFirst="0" w:colLast="0"/>
      <w:bookmarkEnd w:id="1"/>
    </w:p>
    <w:p w14:paraId="3FA2ECAB" w14:textId="77777777" w:rsidR="0035729A" w:rsidRDefault="007E5634">
      <w:pPr>
        <w:pStyle w:val="Ttulo2"/>
        <w:spacing w:before="0" w:after="0"/>
      </w:pPr>
      <w:bookmarkStart w:id="2" w:name="_Toc221203162"/>
      <w:r>
        <w:t>I. Presentación de la solicitud de información</w:t>
      </w:r>
      <w:bookmarkEnd w:id="2"/>
    </w:p>
    <w:p w14:paraId="685E2A32" w14:textId="77777777" w:rsidR="0035729A" w:rsidRDefault="0035729A">
      <w:pPr>
        <w:tabs>
          <w:tab w:val="left" w:pos="567"/>
        </w:tabs>
        <w:spacing w:after="0" w:line="360" w:lineRule="auto"/>
      </w:pPr>
    </w:p>
    <w:p w14:paraId="7F85A457" w14:textId="77777777" w:rsidR="0035729A" w:rsidRDefault="007E5634">
      <w:pPr>
        <w:spacing w:after="0" w:line="360" w:lineRule="auto"/>
      </w:pPr>
      <w:bookmarkStart w:id="3" w:name="_heading=h.7z2hm1dstc2n" w:colFirst="0" w:colLast="0"/>
      <w:bookmarkEnd w:id="3"/>
      <w:r>
        <w:t>Con fecha dos de septiembre de dos mil veinticinco, la parte Solicitante presentó una solicitud de acceso a la información pública, a través del Sistema de Acceso a la Información Mexiquense, en lo sucesivo el SAIMEX; ante el Ayuntamiento de Tianguistenco, en la que requirió lo siguiente:</w:t>
      </w:r>
    </w:p>
    <w:p w14:paraId="44FE9830" w14:textId="77777777" w:rsidR="0035729A" w:rsidRDefault="0035729A">
      <w:pPr>
        <w:spacing w:after="0" w:line="360" w:lineRule="auto"/>
      </w:pPr>
    </w:p>
    <w:p w14:paraId="76214991" w14:textId="77777777" w:rsidR="0035729A" w:rsidRDefault="007E5634">
      <w:pPr>
        <w:tabs>
          <w:tab w:val="left" w:pos="567"/>
        </w:tabs>
        <w:spacing w:after="0" w:line="360" w:lineRule="auto"/>
        <w:ind w:left="567" w:right="709"/>
        <w:rPr>
          <w:b/>
          <w:bCs/>
          <w:sz w:val="20"/>
          <w:szCs w:val="20"/>
        </w:rPr>
      </w:pPr>
      <w:r>
        <w:rPr>
          <w:b/>
          <w:bCs/>
          <w:sz w:val="20"/>
          <w:szCs w:val="20"/>
        </w:rPr>
        <w:t>Folio de la solicitud: 00157/TIANGUIS/IP/2025</w:t>
      </w:r>
    </w:p>
    <w:p w14:paraId="76104199" w14:textId="77777777" w:rsidR="0035729A" w:rsidRDefault="007E5634">
      <w:pPr>
        <w:tabs>
          <w:tab w:val="left" w:pos="567"/>
        </w:tabs>
        <w:spacing w:after="0" w:line="360" w:lineRule="auto"/>
        <w:ind w:left="567" w:right="709"/>
        <w:rPr>
          <w:b/>
          <w:bCs/>
          <w:sz w:val="20"/>
          <w:szCs w:val="20"/>
        </w:rPr>
      </w:pPr>
      <w:r>
        <w:rPr>
          <w:b/>
          <w:bCs/>
          <w:sz w:val="20"/>
          <w:szCs w:val="20"/>
        </w:rPr>
        <w:t>DESCRIPCIÓN CLARA Y PRECISA DE LA INFORMACIÓN SOLICITADA</w:t>
      </w:r>
    </w:p>
    <w:p w14:paraId="7DF25517" w14:textId="77777777" w:rsidR="0035729A" w:rsidRDefault="007E5634">
      <w:pPr>
        <w:tabs>
          <w:tab w:val="left" w:pos="4667"/>
        </w:tabs>
        <w:spacing w:after="0" w:line="360" w:lineRule="auto"/>
        <w:ind w:left="567" w:right="709"/>
        <w:rPr>
          <w:i/>
          <w:iCs/>
          <w:sz w:val="20"/>
          <w:szCs w:val="20"/>
        </w:rPr>
      </w:pPr>
      <w:r>
        <w:rPr>
          <w:i/>
          <w:iCs/>
          <w:sz w:val="20"/>
          <w:szCs w:val="20"/>
        </w:rPr>
        <w:t>“solicito todos cuantos expedientes laborales tienen</w:t>
      </w:r>
      <w:proofErr w:type="gramStart"/>
      <w:r>
        <w:rPr>
          <w:i/>
          <w:iCs/>
          <w:sz w:val="20"/>
          <w:szCs w:val="20"/>
        </w:rPr>
        <w:t>?</w:t>
      </w:r>
      <w:proofErr w:type="gramEnd"/>
      <w:r>
        <w:rPr>
          <w:i/>
          <w:iCs/>
          <w:sz w:val="20"/>
          <w:szCs w:val="20"/>
        </w:rPr>
        <w:t xml:space="preserve"> solicito el nombre de las personas que han dado de baja este año y su </w:t>
      </w:r>
      <w:proofErr w:type="spellStart"/>
      <w:r>
        <w:rPr>
          <w:i/>
          <w:iCs/>
          <w:sz w:val="20"/>
          <w:szCs w:val="20"/>
        </w:rPr>
        <w:t>liquidacion</w:t>
      </w:r>
      <w:proofErr w:type="spellEnd"/>
      <w:r>
        <w:rPr>
          <w:i/>
          <w:iCs/>
          <w:sz w:val="20"/>
          <w:szCs w:val="20"/>
        </w:rPr>
        <w:t xml:space="preserve"> que se le han proporcionado,” (Sic.)</w:t>
      </w:r>
    </w:p>
    <w:p w14:paraId="54B75787" w14:textId="77777777" w:rsidR="0035729A" w:rsidRDefault="0035729A">
      <w:pPr>
        <w:tabs>
          <w:tab w:val="left" w:pos="4667"/>
        </w:tabs>
        <w:spacing w:after="0" w:line="360" w:lineRule="auto"/>
        <w:ind w:left="567" w:right="709"/>
        <w:rPr>
          <w:b/>
          <w:bCs/>
          <w:sz w:val="20"/>
          <w:szCs w:val="20"/>
        </w:rPr>
      </w:pPr>
    </w:p>
    <w:p w14:paraId="18A5BFC5" w14:textId="77777777" w:rsidR="0035729A" w:rsidRDefault="007E5634">
      <w:pPr>
        <w:tabs>
          <w:tab w:val="left" w:pos="4667"/>
        </w:tabs>
        <w:spacing w:after="0" w:line="360" w:lineRule="auto"/>
        <w:ind w:left="567" w:right="709"/>
        <w:rPr>
          <w:i/>
          <w:iCs/>
          <w:sz w:val="20"/>
          <w:szCs w:val="20"/>
        </w:rPr>
      </w:pPr>
      <w:r>
        <w:rPr>
          <w:b/>
          <w:bCs/>
          <w:sz w:val="20"/>
          <w:szCs w:val="20"/>
        </w:rPr>
        <w:t xml:space="preserve">MODALIDAD DE ENTREGA </w:t>
      </w:r>
      <w:r>
        <w:rPr>
          <w:i/>
          <w:iCs/>
          <w:sz w:val="20"/>
          <w:szCs w:val="20"/>
        </w:rPr>
        <w:t>“A través del SAIMEX.”</w:t>
      </w:r>
    </w:p>
    <w:p w14:paraId="29BAA75C" w14:textId="77777777" w:rsidR="0035729A" w:rsidRDefault="0035729A">
      <w:pPr>
        <w:pStyle w:val="Ttulo2"/>
        <w:spacing w:before="0" w:after="0"/>
      </w:pPr>
      <w:bookmarkStart w:id="4" w:name="_heading=h.35nkun2" w:colFirst="0" w:colLast="0"/>
      <w:bookmarkEnd w:id="4"/>
    </w:p>
    <w:p w14:paraId="78B33023" w14:textId="77777777" w:rsidR="0035729A" w:rsidRDefault="007E5634">
      <w:pPr>
        <w:pStyle w:val="Ttulo2"/>
        <w:spacing w:before="0" w:after="0"/>
      </w:pPr>
      <w:bookmarkStart w:id="5" w:name="_Toc221203163"/>
      <w:r>
        <w:t>II. Respuesta del Sujeto Obligado</w:t>
      </w:r>
      <w:bookmarkEnd w:id="5"/>
      <w:r>
        <w:t xml:space="preserve"> </w:t>
      </w:r>
    </w:p>
    <w:p w14:paraId="0D4AA601" w14:textId="77777777" w:rsidR="0035729A" w:rsidRDefault="0035729A">
      <w:pPr>
        <w:spacing w:after="0" w:line="360" w:lineRule="auto"/>
      </w:pPr>
    </w:p>
    <w:p w14:paraId="03CF2E70" w14:textId="77777777" w:rsidR="0035729A" w:rsidRDefault="007E5634">
      <w:pPr>
        <w:spacing w:after="0" w:line="360" w:lineRule="auto"/>
      </w:pPr>
      <w:r>
        <w:lastRenderedPageBreak/>
        <w:t>El cinco de septiembre de dos mil veinticinco, el Sujeto Obligado a través de SAIMEX, dio respuesta mediante los siguientes archivos:</w:t>
      </w:r>
    </w:p>
    <w:p w14:paraId="0F7E8923" w14:textId="77777777" w:rsidR="005565DB" w:rsidRDefault="005565DB">
      <w:pPr>
        <w:spacing w:after="0" w:line="360" w:lineRule="auto"/>
      </w:pPr>
    </w:p>
    <w:p w14:paraId="3E352966" w14:textId="77777777" w:rsidR="0035729A" w:rsidRDefault="007E5634">
      <w:pPr>
        <w:numPr>
          <w:ilvl w:val="0"/>
          <w:numId w:val="12"/>
        </w:numPr>
        <w:pBdr>
          <w:top w:val="nil"/>
          <w:left w:val="nil"/>
          <w:bottom w:val="nil"/>
          <w:right w:val="nil"/>
          <w:between w:val="nil"/>
        </w:pBdr>
        <w:spacing w:after="0" w:line="360" w:lineRule="auto"/>
        <w:ind w:right="709"/>
        <w:rPr>
          <w:b/>
          <w:bCs/>
          <w:i/>
          <w:iCs/>
          <w:color w:val="000000"/>
        </w:rPr>
      </w:pPr>
      <w:r>
        <w:rPr>
          <w:b/>
          <w:bCs/>
          <w:i/>
          <w:iCs/>
          <w:color w:val="000000"/>
        </w:rPr>
        <w:t xml:space="preserve">00157.pdf; </w:t>
      </w:r>
      <w:r>
        <w:rPr>
          <w:color w:val="000000"/>
        </w:rPr>
        <w:t>del que se desprenden los siguientes:</w:t>
      </w:r>
    </w:p>
    <w:p w14:paraId="1881F610" w14:textId="77777777" w:rsidR="0035729A" w:rsidRDefault="007E5634">
      <w:pPr>
        <w:numPr>
          <w:ilvl w:val="1"/>
          <w:numId w:val="12"/>
        </w:numPr>
        <w:pBdr>
          <w:top w:val="nil"/>
          <w:left w:val="nil"/>
          <w:bottom w:val="nil"/>
          <w:right w:val="nil"/>
          <w:between w:val="nil"/>
        </w:pBdr>
        <w:spacing w:after="0" w:line="360" w:lineRule="auto"/>
        <w:ind w:right="709"/>
        <w:rPr>
          <w:i/>
          <w:iCs/>
          <w:color w:val="000000"/>
        </w:rPr>
      </w:pPr>
      <w:r>
        <w:rPr>
          <w:color w:val="000000"/>
        </w:rPr>
        <w:t>Oficio suscrito por el Titular de la Unidad de Transparencia en el que turnó la solicitud de información al Director Jurídico</w:t>
      </w:r>
    </w:p>
    <w:p w14:paraId="4CC98CA4" w14:textId="77777777" w:rsidR="0035729A" w:rsidRDefault="007E5634">
      <w:pPr>
        <w:numPr>
          <w:ilvl w:val="1"/>
          <w:numId w:val="12"/>
        </w:numPr>
        <w:pBdr>
          <w:top w:val="nil"/>
          <w:left w:val="nil"/>
          <w:bottom w:val="nil"/>
          <w:right w:val="nil"/>
          <w:between w:val="nil"/>
        </w:pBdr>
        <w:spacing w:after="0" w:line="360" w:lineRule="auto"/>
        <w:ind w:right="709"/>
        <w:rPr>
          <w:i/>
          <w:iCs/>
          <w:color w:val="000000"/>
        </w:rPr>
      </w:pPr>
      <w:r>
        <w:rPr>
          <w:color w:val="000000"/>
        </w:rPr>
        <w:t>Acuse de solicitud de información en los mismos términos que obra en el SAIMEX</w:t>
      </w:r>
    </w:p>
    <w:p w14:paraId="6B255EB2" w14:textId="77777777" w:rsidR="0035729A" w:rsidRPr="005565DB" w:rsidRDefault="007E5634">
      <w:pPr>
        <w:numPr>
          <w:ilvl w:val="1"/>
          <w:numId w:val="12"/>
        </w:numPr>
        <w:pBdr>
          <w:top w:val="nil"/>
          <w:left w:val="nil"/>
          <w:bottom w:val="nil"/>
          <w:right w:val="nil"/>
          <w:between w:val="nil"/>
        </w:pBdr>
        <w:spacing w:after="0" w:line="360" w:lineRule="auto"/>
        <w:ind w:right="709"/>
        <w:rPr>
          <w:i/>
          <w:iCs/>
          <w:color w:val="000000"/>
        </w:rPr>
      </w:pPr>
      <w:r>
        <w:rPr>
          <w:color w:val="000000"/>
        </w:rPr>
        <w:t>Oficio suscrito por el Director Jurídico del Sujeto Obligado, en el que informó lo siguiente:</w:t>
      </w:r>
    </w:p>
    <w:p w14:paraId="687F1366" w14:textId="77777777" w:rsidR="005565DB" w:rsidRDefault="005565DB" w:rsidP="005565DB">
      <w:pPr>
        <w:pBdr>
          <w:top w:val="nil"/>
          <w:left w:val="nil"/>
          <w:bottom w:val="nil"/>
          <w:right w:val="nil"/>
          <w:between w:val="nil"/>
        </w:pBdr>
        <w:spacing w:after="0" w:line="360" w:lineRule="auto"/>
        <w:ind w:left="1440" w:right="709"/>
        <w:rPr>
          <w:i/>
          <w:iCs/>
          <w:color w:val="000000"/>
        </w:rPr>
      </w:pPr>
    </w:p>
    <w:p w14:paraId="13AEBAD1" w14:textId="77777777" w:rsidR="0035729A" w:rsidRDefault="007E5634">
      <w:pPr>
        <w:spacing w:after="0" w:line="360" w:lineRule="auto"/>
        <w:ind w:left="567" w:right="709"/>
        <w:rPr>
          <w:i/>
          <w:iCs/>
          <w:sz w:val="20"/>
          <w:szCs w:val="20"/>
        </w:rPr>
      </w:pPr>
      <w:r>
        <w:rPr>
          <w:i/>
          <w:iCs/>
          <w:sz w:val="20"/>
          <w:szCs w:val="20"/>
        </w:rPr>
        <w:t>“…</w:t>
      </w:r>
    </w:p>
    <w:p w14:paraId="3141A9D6" w14:textId="77777777" w:rsidR="0035729A" w:rsidRDefault="007E5634">
      <w:pPr>
        <w:spacing w:after="0" w:line="360" w:lineRule="auto"/>
        <w:ind w:left="567" w:right="709"/>
        <w:rPr>
          <w:i/>
          <w:iCs/>
          <w:sz w:val="20"/>
          <w:szCs w:val="20"/>
        </w:rPr>
      </w:pPr>
      <w:r>
        <w:rPr>
          <w:i/>
          <w:iCs/>
          <w:sz w:val="20"/>
          <w:szCs w:val="20"/>
        </w:rPr>
        <w:t xml:space="preserve">1.- En relación a "¿solicito todos cuantos expedientes laborales tiene? El número de expedientes hasta la fecha son 125. </w:t>
      </w:r>
    </w:p>
    <w:p w14:paraId="3F1D3C47" w14:textId="77777777" w:rsidR="0035729A" w:rsidRDefault="007E5634">
      <w:pPr>
        <w:spacing w:after="0" w:line="360" w:lineRule="auto"/>
        <w:ind w:left="567" w:right="709"/>
        <w:rPr>
          <w:i/>
          <w:iCs/>
          <w:sz w:val="20"/>
          <w:szCs w:val="20"/>
        </w:rPr>
      </w:pPr>
      <w:r>
        <w:rPr>
          <w:i/>
          <w:iCs/>
          <w:sz w:val="20"/>
          <w:szCs w:val="20"/>
        </w:rPr>
        <w:t>2.- En relación a “Solicito el nombre de las personas que han dado de baja este año" son 15 y mismos que corresponde a los siguientes nombres.</w:t>
      </w:r>
    </w:p>
    <w:p w14:paraId="5F9E38D9" w14:textId="77777777" w:rsidR="0035729A" w:rsidRDefault="007E5634">
      <w:pPr>
        <w:spacing w:after="0" w:line="360" w:lineRule="auto"/>
        <w:ind w:left="567" w:right="709"/>
        <w:rPr>
          <w:i/>
          <w:iCs/>
          <w:sz w:val="20"/>
          <w:szCs w:val="20"/>
        </w:rPr>
      </w:pPr>
      <w:r>
        <w:rPr>
          <w:i/>
          <w:iCs/>
          <w:sz w:val="20"/>
          <w:szCs w:val="20"/>
        </w:rPr>
        <w:t>…</w:t>
      </w:r>
    </w:p>
    <w:p w14:paraId="53F7BA7E" w14:textId="77777777" w:rsidR="0035729A" w:rsidRDefault="007E5634">
      <w:pPr>
        <w:spacing w:after="0" w:line="360" w:lineRule="auto"/>
        <w:ind w:left="567" w:right="709"/>
        <w:rPr>
          <w:i/>
          <w:iCs/>
          <w:sz w:val="20"/>
          <w:szCs w:val="20"/>
        </w:rPr>
      </w:pPr>
      <w:r>
        <w:rPr>
          <w:i/>
          <w:iCs/>
          <w:sz w:val="20"/>
          <w:szCs w:val="20"/>
        </w:rPr>
        <w:t xml:space="preserve">3.- En relación a "su liquidación que se han proporcionado" es una información que no se pude proporcionar de acuerdo al artículo 130 </w:t>
      </w:r>
      <w:proofErr w:type="gramStart"/>
      <w:r>
        <w:rPr>
          <w:i/>
          <w:iCs/>
          <w:sz w:val="20"/>
          <w:szCs w:val="20"/>
        </w:rPr>
        <w:t>fracción</w:t>
      </w:r>
      <w:proofErr w:type="gramEnd"/>
      <w:r>
        <w:rPr>
          <w:i/>
          <w:iCs/>
          <w:sz w:val="20"/>
          <w:szCs w:val="20"/>
        </w:rPr>
        <w:t xml:space="preserve"> III y 6 de la ley general de protección de datos personales en posesión de sujetos obligados.</w:t>
      </w:r>
    </w:p>
    <w:p w14:paraId="61BA4F8F" w14:textId="77777777" w:rsidR="0035729A" w:rsidRDefault="007E5634">
      <w:pPr>
        <w:spacing w:after="0" w:line="360" w:lineRule="auto"/>
        <w:ind w:left="567" w:right="709"/>
        <w:rPr>
          <w:i/>
          <w:iCs/>
          <w:sz w:val="20"/>
          <w:szCs w:val="20"/>
        </w:rPr>
      </w:pPr>
      <w:r>
        <w:rPr>
          <w:i/>
          <w:iCs/>
          <w:sz w:val="20"/>
          <w:szCs w:val="20"/>
        </w:rPr>
        <w:t>…”</w:t>
      </w:r>
    </w:p>
    <w:p w14:paraId="438B0E58" w14:textId="77777777" w:rsidR="0035729A" w:rsidRDefault="0035729A">
      <w:pPr>
        <w:spacing w:after="0" w:line="360" w:lineRule="auto"/>
        <w:ind w:left="567" w:right="709"/>
        <w:rPr>
          <w:b/>
          <w:bCs/>
          <w:i/>
          <w:iCs/>
        </w:rPr>
      </w:pPr>
    </w:p>
    <w:p w14:paraId="48B2274D" w14:textId="77777777" w:rsidR="0035729A" w:rsidRDefault="007E5634">
      <w:pPr>
        <w:pStyle w:val="Ttulo2"/>
        <w:spacing w:before="0" w:after="0"/>
      </w:pPr>
      <w:bookmarkStart w:id="6" w:name="_Toc221203164"/>
      <w:r>
        <w:t>III. Interposición del Recurso de Revisión</w:t>
      </w:r>
      <w:bookmarkEnd w:id="6"/>
    </w:p>
    <w:p w14:paraId="759A8CEF" w14:textId="77777777" w:rsidR="0035729A" w:rsidRDefault="0035729A">
      <w:pPr>
        <w:spacing w:after="0" w:line="360" w:lineRule="auto"/>
        <w:rPr>
          <w:b/>
          <w:bCs/>
        </w:rPr>
      </w:pPr>
    </w:p>
    <w:p w14:paraId="451DB678" w14:textId="77777777" w:rsidR="0035729A" w:rsidRDefault="007E5634">
      <w:pPr>
        <w:spacing w:after="0" w:line="360" w:lineRule="auto"/>
      </w:pPr>
      <w:bookmarkStart w:id="7" w:name="_heading=h.2et92p0" w:colFirst="0" w:colLast="0"/>
      <w:bookmarkEnd w:id="7"/>
      <w:r>
        <w:t>Con fecha diecinueve de septiembre de dos mil veinticinco, se recibió a través del SAIMEX, el Recurso de Revisión interpuesto por la persona Recurrente; en los siguientes términos:</w:t>
      </w:r>
    </w:p>
    <w:p w14:paraId="1FEDE6FF" w14:textId="77777777" w:rsidR="0035729A" w:rsidRDefault="0035729A">
      <w:pPr>
        <w:spacing w:after="0" w:line="360" w:lineRule="auto"/>
      </w:pPr>
    </w:p>
    <w:p w14:paraId="63F89D5B" w14:textId="77777777" w:rsidR="005565DB" w:rsidRDefault="005565DB">
      <w:pPr>
        <w:spacing w:after="0" w:line="360" w:lineRule="auto"/>
      </w:pPr>
    </w:p>
    <w:p w14:paraId="04C39078" w14:textId="77777777" w:rsidR="0035729A" w:rsidRDefault="007E5634">
      <w:pPr>
        <w:spacing w:after="0" w:line="360" w:lineRule="auto"/>
        <w:ind w:left="567" w:right="709"/>
        <w:rPr>
          <w:b/>
          <w:bCs/>
          <w:sz w:val="20"/>
          <w:szCs w:val="20"/>
        </w:rPr>
      </w:pPr>
      <w:r>
        <w:rPr>
          <w:b/>
          <w:bCs/>
          <w:sz w:val="20"/>
          <w:szCs w:val="20"/>
        </w:rPr>
        <w:t>ACTO IMPUGNADO</w:t>
      </w:r>
      <w:r>
        <w:rPr>
          <w:b/>
          <w:bCs/>
          <w:sz w:val="20"/>
          <w:szCs w:val="20"/>
        </w:rPr>
        <w:tab/>
      </w:r>
    </w:p>
    <w:p w14:paraId="5D89F82D" w14:textId="77777777" w:rsidR="0035729A" w:rsidRDefault="007E5634">
      <w:pPr>
        <w:spacing w:after="0" w:line="360" w:lineRule="auto"/>
        <w:ind w:left="567" w:right="709"/>
        <w:rPr>
          <w:b/>
          <w:bCs/>
          <w:sz w:val="20"/>
          <w:szCs w:val="20"/>
        </w:rPr>
      </w:pPr>
      <w:r>
        <w:rPr>
          <w:i/>
          <w:iCs/>
          <w:sz w:val="20"/>
          <w:szCs w:val="20"/>
        </w:rPr>
        <w:t xml:space="preserve">“la negativa de la </w:t>
      </w:r>
      <w:proofErr w:type="spellStart"/>
      <w:r>
        <w:rPr>
          <w:i/>
          <w:iCs/>
          <w:sz w:val="20"/>
          <w:szCs w:val="20"/>
        </w:rPr>
        <w:t>informacion</w:t>
      </w:r>
      <w:proofErr w:type="spellEnd"/>
      <w:r>
        <w:rPr>
          <w:i/>
          <w:iCs/>
          <w:sz w:val="20"/>
          <w:szCs w:val="20"/>
        </w:rPr>
        <w:t xml:space="preserve">, de acuerdo con lo reportado al </w:t>
      </w:r>
      <w:proofErr w:type="spellStart"/>
      <w:r>
        <w:rPr>
          <w:i/>
          <w:iCs/>
          <w:sz w:val="20"/>
          <w:szCs w:val="20"/>
        </w:rPr>
        <w:t>osfem</w:t>
      </w:r>
      <w:proofErr w:type="spellEnd"/>
      <w:r>
        <w:rPr>
          <w:i/>
          <w:iCs/>
          <w:sz w:val="20"/>
          <w:szCs w:val="20"/>
        </w:rPr>
        <w:t xml:space="preserve">, no son todos los servidores públicos que han dado de baja, la </w:t>
      </w:r>
      <w:proofErr w:type="spellStart"/>
      <w:r>
        <w:rPr>
          <w:i/>
          <w:iCs/>
          <w:sz w:val="20"/>
          <w:szCs w:val="20"/>
        </w:rPr>
        <w:t>informacion</w:t>
      </w:r>
      <w:proofErr w:type="spellEnd"/>
      <w:r>
        <w:rPr>
          <w:i/>
          <w:iCs/>
          <w:sz w:val="20"/>
          <w:szCs w:val="20"/>
        </w:rPr>
        <w:t xml:space="preserve"> </w:t>
      </w:r>
      <w:proofErr w:type="spellStart"/>
      <w:r>
        <w:rPr>
          <w:i/>
          <w:iCs/>
          <w:sz w:val="20"/>
          <w:szCs w:val="20"/>
        </w:rPr>
        <w:t>esta</w:t>
      </w:r>
      <w:proofErr w:type="spellEnd"/>
      <w:r>
        <w:rPr>
          <w:i/>
          <w:iCs/>
          <w:sz w:val="20"/>
          <w:szCs w:val="20"/>
        </w:rPr>
        <w:t xml:space="preserve"> incompleta, a </w:t>
      </w:r>
      <w:proofErr w:type="spellStart"/>
      <w:r>
        <w:rPr>
          <w:i/>
          <w:iCs/>
          <w:sz w:val="20"/>
          <w:szCs w:val="20"/>
        </w:rPr>
        <w:t>demas</w:t>
      </w:r>
      <w:proofErr w:type="spellEnd"/>
      <w:r>
        <w:rPr>
          <w:i/>
          <w:iCs/>
          <w:sz w:val="20"/>
          <w:szCs w:val="20"/>
        </w:rPr>
        <w:t xml:space="preserve"> de que, la </w:t>
      </w:r>
      <w:proofErr w:type="spellStart"/>
      <w:r>
        <w:rPr>
          <w:i/>
          <w:iCs/>
          <w:sz w:val="20"/>
          <w:szCs w:val="20"/>
        </w:rPr>
        <w:t>liquidacion</w:t>
      </w:r>
      <w:proofErr w:type="spellEnd"/>
      <w:r>
        <w:rPr>
          <w:i/>
          <w:iCs/>
          <w:sz w:val="20"/>
          <w:szCs w:val="20"/>
        </w:rPr>
        <w:t xml:space="preserve"> que les han proporcionado es </w:t>
      </w:r>
      <w:proofErr w:type="spellStart"/>
      <w:r>
        <w:rPr>
          <w:i/>
          <w:iCs/>
          <w:sz w:val="20"/>
          <w:szCs w:val="20"/>
        </w:rPr>
        <w:t>publica</w:t>
      </w:r>
      <w:proofErr w:type="spellEnd"/>
      <w:r>
        <w:rPr>
          <w:i/>
          <w:iCs/>
          <w:sz w:val="20"/>
          <w:szCs w:val="20"/>
        </w:rPr>
        <w:t>.” (Sic.)</w:t>
      </w:r>
    </w:p>
    <w:p w14:paraId="1102B31D" w14:textId="77777777" w:rsidR="0035729A" w:rsidRDefault="0035729A">
      <w:pPr>
        <w:spacing w:after="0" w:line="360" w:lineRule="auto"/>
        <w:ind w:left="567" w:right="709"/>
        <w:rPr>
          <w:sz w:val="20"/>
          <w:szCs w:val="20"/>
        </w:rPr>
      </w:pPr>
    </w:p>
    <w:p w14:paraId="2F9E0E11" w14:textId="77777777" w:rsidR="0035729A" w:rsidRDefault="007E5634">
      <w:pPr>
        <w:spacing w:after="0" w:line="360" w:lineRule="auto"/>
        <w:ind w:left="567" w:right="709"/>
        <w:rPr>
          <w:b/>
          <w:bCs/>
          <w:sz w:val="20"/>
          <w:szCs w:val="20"/>
        </w:rPr>
      </w:pPr>
      <w:r>
        <w:rPr>
          <w:b/>
          <w:bCs/>
          <w:sz w:val="20"/>
          <w:szCs w:val="20"/>
        </w:rPr>
        <w:t>RAZONES O MOTIVOS DE LA INCONFORMIDAD</w:t>
      </w:r>
      <w:r>
        <w:rPr>
          <w:b/>
          <w:bCs/>
          <w:sz w:val="20"/>
          <w:szCs w:val="20"/>
        </w:rPr>
        <w:tab/>
      </w:r>
    </w:p>
    <w:p w14:paraId="5D8E744C" w14:textId="77777777" w:rsidR="0035729A" w:rsidRDefault="007E5634">
      <w:pPr>
        <w:tabs>
          <w:tab w:val="left" w:pos="4667"/>
        </w:tabs>
        <w:spacing w:after="0" w:line="360" w:lineRule="auto"/>
        <w:ind w:left="567" w:right="709"/>
        <w:rPr>
          <w:i/>
          <w:iCs/>
          <w:sz w:val="20"/>
          <w:szCs w:val="20"/>
        </w:rPr>
      </w:pPr>
      <w:r>
        <w:rPr>
          <w:i/>
          <w:iCs/>
          <w:sz w:val="20"/>
          <w:szCs w:val="20"/>
        </w:rPr>
        <w:t xml:space="preserve">“la negativa de la </w:t>
      </w:r>
      <w:proofErr w:type="spellStart"/>
      <w:r>
        <w:rPr>
          <w:i/>
          <w:iCs/>
          <w:sz w:val="20"/>
          <w:szCs w:val="20"/>
        </w:rPr>
        <w:t>informacion</w:t>
      </w:r>
      <w:proofErr w:type="spellEnd"/>
      <w:r>
        <w:rPr>
          <w:i/>
          <w:iCs/>
          <w:sz w:val="20"/>
          <w:szCs w:val="20"/>
        </w:rPr>
        <w:t xml:space="preserve">, de acuerdo con lo reportado al </w:t>
      </w:r>
      <w:proofErr w:type="spellStart"/>
      <w:r>
        <w:rPr>
          <w:i/>
          <w:iCs/>
          <w:sz w:val="20"/>
          <w:szCs w:val="20"/>
        </w:rPr>
        <w:t>osfem</w:t>
      </w:r>
      <w:proofErr w:type="spellEnd"/>
      <w:r>
        <w:rPr>
          <w:i/>
          <w:iCs/>
          <w:sz w:val="20"/>
          <w:szCs w:val="20"/>
        </w:rPr>
        <w:t xml:space="preserve">, no son todos los servidores públicos que han dado de baja, la </w:t>
      </w:r>
      <w:proofErr w:type="spellStart"/>
      <w:r>
        <w:rPr>
          <w:i/>
          <w:iCs/>
          <w:sz w:val="20"/>
          <w:szCs w:val="20"/>
        </w:rPr>
        <w:t>informacion</w:t>
      </w:r>
      <w:proofErr w:type="spellEnd"/>
      <w:r>
        <w:rPr>
          <w:i/>
          <w:iCs/>
          <w:sz w:val="20"/>
          <w:szCs w:val="20"/>
        </w:rPr>
        <w:t xml:space="preserve"> </w:t>
      </w:r>
      <w:proofErr w:type="spellStart"/>
      <w:r>
        <w:rPr>
          <w:i/>
          <w:iCs/>
          <w:sz w:val="20"/>
          <w:szCs w:val="20"/>
        </w:rPr>
        <w:t>esta</w:t>
      </w:r>
      <w:proofErr w:type="spellEnd"/>
      <w:r>
        <w:rPr>
          <w:i/>
          <w:iCs/>
          <w:sz w:val="20"/>
          <w:szCs w:val="20"/>
        </w:rPr>
        <w:t xml:space="preserve"> incompleta, a </w:t>
      </w:r>
      <w:proofErr w:type="spellStart"/>
      <w:r>
        <w:rPr>
          <w:i/>
          <w:iCs/>
          <w:sz w:val="20"/>
          <w:szCs w:val="20"/>
        </w:rPr>
        <w:t>demas</w:t>
      </w:r>
      <w:proofErr w:type="spellEnd"/>
      <w:r>
        <w:rPr>
          <w:i/>
          <w:iCs/>
          <w:sz w:val="20"/>
          <w:szCs w:val="20"/>
        </w:rPr>
        <w:t xml:space="preserve"> de que, la </w:t>
      </w:r>
      <w:proofErr w:type="spellStart"/>
      <w:r>
        <w:rPr>
          <w:i/>
          <w:iCs/>
          <w:sz w:val="20"/>
          <w:szCs w:val="20"/>
        </w:rPr>
        <w:t>liquidacion</w:t>
      </w:r>
      <w:proofErr w:type="spellEnd"/>
      <w:r>
        <w:rPr>
          <w:i/>
          <w:iCs/>
          <w:sz w:val="20"/>
          <w:szCs w:val="20"/>
        </w:rPr>
        <w:t xml:space="preserve"> que les han proporcionado es </w:t>
      </w:r>
      <w:proofErr w:type="spellStart"/>
      <w:r>
        <w:rPr>
          <w:i/>
          <w:iCs/>
          <w:sz w:val="20"/>
          <w:szCs w:val="20"/>
        </w:rPr>
        <w:t>publica</w:t>
      </w:r>
      <w:proofErr w:type="spellEnd"/>
      <w:r>
        <w:rPr>
          <w:i/>
          <w:iCs/>
          <w:sz w:val="20"/>
          <w:szCs w:val="20"/>
        </w:rPr>
        <w:t>.” (Sic.)</w:t>
      </w:r>
    </w:p>
    <w:p w14:paraId="3D106472" w14:textId="77777777" w:rsidR="0035729A" w:rsidRDefault="0035729A">
      <w:pPr>
        <w:tabs>
          <w:tab w:val="left" w:pos="4667"/>
        </w:tabs>
        <w:spacing w:after="0" w:line="360" w:lineRule="auto"/>
      </w:pPr>
    </w:p>
    <w:p w14:paraId="38EA4547" w14:textId="77777777" w:rsidR="0035729A" w:rsidRDefault="007E5634">
      <w:pPr>
        <w:pStyle w:val="Ttulo2"/>
        <w:spacing w:before="0" w:after="0"/>
      </w:pPr>
      <w:bookmarkStart w:id="8" w:name="_Toc221203165"/>
      <w:r>
        <w:t>IV. Trámite del Recurso de Revisión ante este Instituto</w:t>
      </w:r>
      <w:bookmarkEnd w:id="8"/>
    </w:p>
    <w:p w14:paraId="0E7082CC" w14:textId="77777777" w:rsidR="0035729A" w:rsidRDefault="0035729A">
      <w:pPr>
        <w:spacing w:after="0" w:line="360" w:lineRule="auto"/>
        <w:rPr>
          <w:b/>
          <w:bCs/>
        </w:rPr>
      </w:pPr>
    </w:p>
    <w:p w14:paraId="0D5682F6" w14:textId="77777777" w:rsidR="0035729A" w:rsidRDefault="007E5634">
      <w:pPr>
        <w:spacing w:after="0" w:line="360" w:lineRule="auto"/>
      </w:pPr>
      <w:r>
        <w:rPr>
          <w:b/>
          <w:bCs/>
        </w:rPr>
        <w:t>a) Turno del Medio de Impugnación.</w:t>
      </w:r>
      <w:r>
        <w:t xml:space="preserve"> El diecinueve de septiembre de dos mil veinticinco, el SAIMEX, asignó el número de expediente</w:t>
      </w:r>
      <w:r>
        <w:rPr>
          <w:b/>
          <w:bCs/>
        </w:rPr>
        <w:t xml:space="preserve"> 10911/INFOEM/IP/RR/2025, </w:t>
      </w:r>
      <w: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4AEAC958" w14:textId="77777777" w:rsidR="0035729A" w:rsidRDefault="0035729A">
      <w:pPr>
        <w:spacing w:after="0" w:line="360" w:lineRule="auto"/>
      </w:pPr>
    </w:p>
    <w:p w14:paraId="2C3B14BB" w14:textId="77777777" w:rsidR="0035729A" w:rsidRDefault="007E5634">
      <w:pPr>
        <w:spacing w:after="0" w:line="360" w:lineRule="auto"/>
      </w:pPr>
      <w:r>
        <w:rPr>
          <w:b/>
          <w:bCs/>
        </w:rPr>
        <w:t>b) Admisión del Recurso de Revisión.</w:t>
      </w:r>
      <w:r>
        <w:t xml:space="preserve"> El veinticuatro de septiembre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719702A7" w14:textId="77777777" w:rsidR="0035729A" w:rsidRDefault="0035729A">
      <w:pPr>
        <w:spacing w:after="0" w:line="360" w:lineRule="auto"/>
        <w:rPr>
          <w:color w:val="000000"/>
        </w:rPr>
      </w:pPr>
    </w:p>
    <w:p w14:paraId="494DADC3" w14:textId="77777777" w:rsidR="0035729A" w:rsidRDefault="007E5634">
      <w:pPr>
        <w:spacing w:after="0" w:line="360" w:lineRule="auto"/>
        <w:rPr>
          <w:color w:val="000000"/>
        </w:rPr>
      </w:pPr>
      <w:r>
        <w:rPr>
          <w:b/>
          <w:bCs/>
        </w:rPr>
        <w:lastRenderedPageBreak/>
        <w:t xml:space="preserve">c) </w:t>
      </w:r>
      <w:r>
        <w:rPr>
          <w:b/>
          <w:bCs/>
          <w:color w:val="000000"/>
        </w:rPr>
        <w:t xml:space="preserve">Informe Justificado. </w:t>
      </w:r>
      <w:r>
        <w:rPr>
          <w:color w:val="000000"/>
        </w:rPr>
        <w:t>En fecha veintinueve de septiembre de dos mil veinticinco, se recibió en este Instituto, a través del Sistema de Acceso a la Información Mexiquense (SAIMEX), el Informe Justificado, por parte del Sujeto Obligado, en los siguientes términos:</w:t>
      </w:r>
    </w:p>
    <w:p w14:paraId="440FFDA9" w14:textId="77777777" w:rsidR="0035729A" w:rsidRDefault="0035729A">
      <w:pPr>
        <w:spacing w:after="0" w:line="360" w:lineRule="auto"/>
        <w:rPr>
          <w:color w:val="000000"/>
        </w:rPr>
      </w:pPr>
    </w:p>
    <w:p w14:paraId="348324D8" w14:textId="77777777" w:rsidR="0035729A" w:rsidRDefault="007E5634">
      <w:pPr>
        <w:numPr>
          <w:ilvl w:val="0"/>
          <w:numId w:val="1"/>
        </w:numPr>
        <w:pBdr>
          <w:top w:val="nil"/>
          <w:left w:val="nil"/>
          <w:bottom w:val="nil"/>
          <w:right w:val="nil"/>
          <w:between w:val="nil"/>
        </w:pBdr>
        <w:spacing w:after="0" w:line="360" w:lineRule="auto"/>
        <w:rPr>
          <w:b/>
          <w:bCs/>
          <w:color w:val="000000"/>
        </w:rPr>
      </w:pPr>
      <w:r>
        <w:rPr>
          <w:b/>
          <w:bCs/>
          <w:i/>
          <w:iCs/>
          <w:color w:val="000000"/>
        </w:rPr>
        <w:t>00157</w:t>
      </w:r>
      <w:proofErr w:type="gramStart"/>
      <w:r>
        <w:rPr>
          <w:b/>
          <w:bCs/>
          <w:i/>
          <w:iCs/>
          <w:color w:val="000000"/>
        </w:rPr>
        <w:t>.pdf</w:t>
      </w:r>
      <w:proofErr w:type="gramEnd"/>
      <w:r>
        <w:rPr>
          <w:b/>
          <w:bCs/>
          <w:i/>
          <w:iCs/>
          <w:color w:val="000000"/>
        </w:rPr>
        <w:t>;</w:t>
      </w:r>
      <w:r>
        <w:rPr>
          <w:b/>
          <w:bCs/>
          <w:color w:val="000000"/>
        </w:rPr>
        <w:t xml:space="preserve"> </w:t>
      </w:r>
      <w:r>
        <w:rPr>
          <w:color w:val="000000"/>
        </w:rPr>
        <w:t xml:space="preserve">del que se aprecia la información remitida en respuesta en los mismos términos. </w:t>
      </w:r>
    </w:p>
    <w:p w14:paraId="26295441" w14:textId="77777777" w:rsidR="0035729A" w:rsidRDefault="0035729A">
      <w:pPr>
        <w:pBdr>
          <w:top w:val="nil"/>
          <w:left w:val="nil"/>
          <w:bottom w:val="nil"/>
          <w:right w:val="nil"/>
          <w:between w:val="nil"/>
        </w:pBdr>
        <w:spacing w:after="0" w:line="360" w:lineRule="auto"/>
        <w:rPr>
          <w:b/>
          <w:bCs/>
          <w:color w:val="000000"/>
        </w:rPr>
      </w:pPr>
    </w:p>
    <w:p w14:paraId="1A91F6AA" w14:textId="77777777" w:rsidR="0035729A" w:rsidRDefault="007E5634">
      <w:pPr>
        <w:spacing w:after="0" w:line="360" w:lineRule="auto"/>
        <w:rPr>
          <w:color w:val="000000"/>
        </w:rPr>
      </w:pPr>
      <w:r>
        <w:rPr>
          <w:b/>
          <w:bCs/>
          <w:color w:val="000000"/>
        </w:rPr>
        <w:t xml:space="preserve">d) Vista de Informe Justificado. </w:t>
      </w:r>
      <w:r>
        <w:rPr>
          <w:color w:val="000000"/>
        </w:rPr>
        <w:t>El veintisiete de enero de dos mil veintiséis,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6CB0A24F" w14:textId="77777777" w:rsidR="0035729A" w:rsidRDefault="0035729A">
      <w:pPr>
        <w:widowControl w:val="0"/>
        <w:spacing w:after="0" w:line="360" w:lineRule="auto"/>
        <w:rPr>
          <w:b/>
          <w:bCs/>
        </w:rPr>
      </w:pPr>
    </w:p>
    <w:p w14:paraId="4F4FA6A3" w14:textId="77777777" w:rsidR="0035729A" w:rsidRDefault="007E5634">
      <w:pPr>
        <w:spacing w:after="0" w:line="360" w:lineRule="auto"/>
        <w:rPr>
          <w:b/>
          <w:bCs/>
        </w:rPr>
      </w:pPr>
      <w:r>
        <w:rPr>
          <w:b/>
          <w:bCs/>
        </w:rPr>
        <w:t xml:space="preserve">e) Manifestaciones de la parte Recurrente. </w:t>
      </w:r>
      <w:r>
        <w:t>De las constancias que integran el expediente se advierte que la parte Recurrente no añadió manifestaciones.</w:t>
      </w:r>
    </w:p>
    <w:p w14:paraId="3DB8914F" w14:textId="77777777" w:rsidR="0035729A" w:rsidRDefault="0035729A">
      <w:pPr>
        <w:spacing w:after="0" w:line="360" w:lineRule="auto"/>
        <w:rPr>
          <w:b/>
          <w:bCs/>
        </w:rPr>
      </w:pPr>
    </w:p>
    <w:p w14:paraId="6CAB5239" w14:textId="77777777" w:rsidR="0035729A" w:rsidRDefault="007E5634">
      <w:pPr>
        <w:spacing w:after="0" w:line="360" w:lineRule="auto"/>
        <w:rPr>
          <w:b/>
          <w:bCs/>
        </w:rPr>
      </w:pPr>
      <w:r>
        <w:rPr>
          <w:b/>
          <w:bCs/>
        </w:rPr>
        <w:t xml:space="preserve">f) Ampliación de plazo para resolver. </w:t>
      </w:r>
      <w:r>
        <w:t>El veintisiete de enero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037E3C56" w14:textId="77777777" w:rsidR="0035729A" w:rsidRDefault="0035729A">
      <w:pPr>
        <w:spacing w:after="0" w:line="360" w:lineRule="auto"/>
        <w:rPr>
          <w:b/>
          <w:bCs/>
        </w:rPr>
      </w:pPr>
    </w:p>
    <w:p w14:paraId="1CDD6AD0" w14:textId="77777777" w:rsidR="0035729A" w:rsidRDefault="007E5634">
      <w:pPr>
        <w:spacing w:after="0" w:line="360" w:lineRule="auto"/>
      </w:pPr>
      <w:r>
        <w:rPr>
          <w:b/>
          <w:bCs/>
        </w:rPr>
        <w:t>g) Cierre de instrucción.</w:t>
      </w:r>
      <w:r>
        <w:t xml:space="preserve"> El tres de febrero de dos mil veintiséis, fue notificado a las partes mediante SAIMEX, en el que se señaló que, al no existir diligencias pendientes por desahogar, se emitió el acuerdo por medio del cual se declaró cerrada la instrucción y se determinó pasar los expedientes a resolución, en términos de lo dispuesto en los artículos 185, fracciones VI y </w:t>
      </w:r>
      <w:r>
        <w:lastRenderedPageBreak/>
        <w:t>VIII, de la Ley de Transparencia y Acceso a la Información Pública del Estado de México y Municipios.</w:t>
      </w:r>
    </w:p>
    <w:p w14:paraId="7557708C" w14:textId="77777777" w:rsidR="0035729A" w:rsidRDefault="0035729A">
      <w:pPr>
        <w:spacing w:after="0" w:line="360" w:lineRule="auto"/>
      </w:pPr>
    </w:p>
    <w:p w14:paraId="36859389" w14:textId="77777777" w:rsidR="0035729A" w:rsidRDefault="007E5634">
      <w:pPr>
        <w:spacing w:after="0" w:line="360" w:lineRule="auto"/>
      </w:pPr>
      <w:r>
        <w:t xml:space="preserve">En razón de que fue debidamente sustanciado e integrado el expediente electrónico y no existir diligencia pendiente de desahogo, se emite la resolución que conforme a Derecho proceda, de acuerdo a los siguientes: </w:t>
      </w:r>
    </w:p>
    <w:p w14:paraId="3D79BF2B" w14:textId="77777777" w:rsidR="0035729A" w:rsidRDefault="0035729A">
      <w:pPr>
        <w:spacing w:after="0" w:line="360" w:lineRule="auto"/>
      </w:pPr>
    </w:p>
    <w:p w14:paraId="02A7AAA5" w14:textId="77777777" w:rsidR="0035729A" w:rsidRDefault="007E5634">
      <w:pPr>
        <w:pStyle w:val="Ttulo1"/>
        <w:spacing w:before="0" w:after="0"/>
        <w:rPr>
          <w:sz w:val="22"/>
          <w:szCs w:val="22"/>
        </w:rPr>
      </w:pPr>
      <w:bookmarkStart w:id="9" w:name="_Toc221203166"/>
      <w:r>
        <w:rPr>
          <w:sz w:val="22"/>
          <w:szCs w:val="22"/>
        </w:rPr>
        <w:t>C O N S I D E R A N D O S</w:t>
      </w:r>
      <w:bookmarkEnd w:id="9"/>
    </w:p>
    <w:p w14:paraId="754A1D22" w14:textId="77777777" w:rsidR="0035729A" w:rsidRDefault="0035729A">
      <w:pPr>
        <w:spacing w:after="0" w:line="360" w:lineRule="auto"/>
        <w:rPr>
          <w:b/>
          <w:bCs/>
        </w:rPr>
      </w:pPr>
    </w:p>
    <w:p w14:paraId="374C8D1A" w14:textId="77777777" w:rsidR="0035729A" w:rsidRDefault="007E5634">
      <w:pPr>
        <w:pStyle w:val="Ttulo2"/>
        <w:spacing w:before="0" w:after="0"/>
      </w:pPr>
      <w:bookmarkStart w:id="10" w:name="_Toc221203167"/>
      <w:r>
        <w:t>PRIMERO. Competencia</w:t>
      </w:r>
      <w:bookmarkEnd w:id="10"/>
    </w:p>
    <w:p w14:paraId="0ECDF07F" w14:textId="77777777" w:rsidR="0035729A" w:rsidRDefault="0035729A">
      <w:pPr>
        <w:spacing w:after="0" w:line="360" w:lineRule="auto"/>
      </w:pPr>
    </w:p>
    <w:p w14:paraId="64B65E8F" w14:textId="0F1D4E07" w:rsidR="0035729A" w:rsidRDefault="00EC0AB1">
      <w:pPr>
        <w:spacing w:after="0" w:line="360" w:lineRule="auto"/>
      </w:pPr>
      <w:r w:rsidRPr="00EC0AB1">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2472DFE" w14:textId="77777777" w:rsidR="00EC0AB1" w:rsidRDefault="00EC0AB1">
      <w:pPr>
        <w:spacing w:after="0" w:line="360" w:lineRule="auto"/>
      </w:pPr>
    </w:p>
    <w:p w14:paraId="435687F0" w14:textId="77777777" w:rsidR="0035729A" w:rsidRDefault="007E5634">
      <w:pPr>
        <w:pStyle w:val="Ttulo2"/>
        <w:spacing w:before="0" w:after="0"/>
      </w:pPr>
      <w:bookmarkStart w:id="11" w:name="_Toc221203168"/>
      <w:r>
        <w:t>SEGUNDO. Causales de improcedencia y sobreseimiento</w:t>
      </w:r>
      <w:bookmarkEnd w:id="11"/>
    </w:p>
    <w:p w14:paraId="69A9E2EB" w14:textId="77777777" w:rsidR="0035729A" w:rsidRDefault="0035729A">
      <w:pPr>
        <w:spacing w:after="0" w:line="360" w:lineRule="auto"/>
      </w:pPr>
    </w:p>
    <w:p w14:paraId="35733E51" w14:textId="77777777" w:rsidR="0035729A" w:rsidRDefault="007E5634">
      <w:pPr>
        <w:spacing w:after="0" w:line="360" w:lineRule="auto"/>
      </w:pPr>
      <w:r>
        <w:t xml:space="preserve">De las constancias que forman parte del Recurso de Revisión que se analiza, se advierte que previo al estudio del fondo de la </w:t>
      </w:r>
      <w:proofErr w:type="spellStart"/>
      <w:r>
        <w:rPr>
          <w:i/>
          <w:iCs/>
        </w:rPr>
        <w:t>litis</w:t>
      </w:r>
      <w:proofErr w:type="spellEnd"/>
      <w:r>
        <w:t>, es necesario estudiar las causales de improcedencia y sobreseimiento que se adviertan, para determinar lo que en Derecho proceda.</w:t>
      </w:r>
    </w:p>
    <w:p w14:paraId="212A8750" w14:textId="77777777" w:rsidR="0035729A" w:rsidRDefault="0035729A">
      <w:pPr>
        <w:spacing w:after="0" w:line="360" w:lineRule="auto"/>
      </w:pPr>
    </w:p>
    <w:p w14:paraId="7795D263" w14:textId="77777777" w:rsidR="0035729A" w:rsidRDefault="007E5634">
      <w:pPr>
        <w:spacing w:after="0" w:line="360" w:lineRule="auto"/>
        <w:rPr>
          <w:b/>
          <w:bCs/>
        </w:rPr>
      </w:pPr>
      <w:r>
        <w:rPr>
          <w:b/>
          <w:bCs/>
        </w:rPr>
        <w:t>Causales de improcedencia</w:t>
      </w:r>
    </w:p>
    <w:p w14:paraId="49B5275C" w14:textId="77777777" w:rsidR="0035729A" w:rsidRDefault="0035729A">
      <w:pPr>
        <w:spacing w:after="0" w:line="360" w:lineRule="auto"/>
      </w:pPr>
    </w:p>
    <w:p w14:paraId="45B3D6F4" w14:textId="77777777" w:rsidR="0035729A" w:rsidRDefault="007E5634">
      <w:pPr>
        <w:spacing w:after="0" w:line="360" w:lineRule="auto"/>
      </w:pPr>
      <w: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t>./</w:t>
      </w:r>
      <w:proofErr w:type="gramEnd"/>
      <w:r>
        <w:t>J. 163/2005</w:t>
      </w:r>
      <w:r>
        <w:rPr>
          <w:b/>
          <w:bCs/>
        </w:rPr>
        <w:t xml:space="preserve"> </w:t>
      </w:r>
      <w: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1F4A2303" w14:textId="77777777" w:rsidR="0035729A" w:rsidRDefault="0035729A">
      <w:pPr>
        <w:spacing w:after="0" w:line="360" w:lineRule="auto"/>
      </w:pPr>
    </w:p>
    <w:p w14:paraId="7A2DF1CB" w14:textId="77777777" w:rsidR="0035729A" w:rsidRDefault="007E5634">
      <w:pPr>
        <w:spacing w:after="0" w:line="360" w:lineRule="auto"/>
      </w:pPr>
      <w:r>
        <w:t xml:space="preserve">En el presente caso, </w:t>
      </w:r>
      <w:r>
        <w:rPr>
          <w:b/>
          <w:bCs/>
        </w:rPr>
        <w:t>no se actualiza ninguna de las causales de improcedencia</w:t>
      </w:r>
      <w:r>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FA1F26E" w14:textId="77777777" w:rsidR="0035729A" w:rsidRDefault="0035729A">
      <w:pPr>
        <w:spacing w:after="0" w:line="360" w:lineRule="auto"/>
        <w:rPr>
          <w:b/>
          <w:bCs/>
        </w:rPr>
      </w:pPr>
    </w:p>
    <w:p w14:paraId="12DE3F34" w14:textId="77777777" w:rsidR="0035729A" w:rsidRDefault="007E5634">
      <w:pPr>
        <w:spacing w:after="0" w:line="360" w:lineRule="auto"/>
        <w:ind w:right="-28"/>
        <w:rPr>
          <w:b/>
          <w:bCs/>
        </w:rPr>
      </w:pPr>
      <w:r>
        <w:rPr>
          <w:b/>
          <w:bCs/>
        </w:rPr>
        <w:t>Causales de sobreseimiento</w:t>
      </w:r>
    </w:p>
    <w:p w14:paraId="732B6E2D" w14:textId="77777777" w:rsidR="0035729A" w:rsidRDefault="0035729A">
      <w:pPr>
        <w:spacing w:after="0" w:line="360" w:lineRule="auto"/>
        <w:ind w:right="-28"/>
      </w:pPr>
    </w:p>
    <w:p w14:paraId="642EAEB4" w14:textId="77777777" w:rsidR="0035729A" w:rsidRDefault="007E5634">
      <w:pPr>
        <w:spacing w:after="0" w:line="360" w:lineRule="auto"/>
      </w:pPr>
      <w: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Pr>
          <w:b/>
          <w:bCs/>
        </w:rPr>
        <w:t xml:space="preserve"> </w:t>
      </w:r>
      <w:r>
        <w:t xml:space="preserve">toda vez que no hay constancias en el expediente en que se actúa, de que la persona Recurrente se haya desistido, fallecido, que el Sujeto Obligado hubiese modificado o revocado el acto impugnado o bien, que admitido una </w:t>
      </w:r>
      <w:r>
        <w:lastRenderedPageBreak/>
        <w:t>vez admitido el Recurso de Revisión, aparezca alguna causal de improcedencia o haya quedado sin materia.</w:t>
      </w:r>
    </w:p>
    <w:p w14:paraId="6DF1210E" w14:textId="77777777" w:rsidR="0035729A" w:rsidRDefault="0035729A">
      <w:pPr>
        <w:spacing w:after="0" w:line="360" w:lineRule="auto"/>
      </w:pPr>
    </w:p>
    <w:p w14:paraId="568E04FB" w14:textId="77777777" w:rsidR="0035729A" w:rsidRDefault="007E5634">
      <w:pPr>
        <w:pStyle w:val="Ttulo2"/>
        <w:spacing w:before="0" w:after="0"/>
      </w:pPr>
      <w:bookmarkStart w:id="12" w:name="_Toc221203169"/>
      <w:r>
        <w:t>TERCERO. Determinación de la Controversia</w:t>
      </w:r>
      <w:bookmarkEnd w:id="12"/>
    </w:p>
    <w:p w14:paraId="2161E46E" w14:textId="77777777" w:rsidR="0035729A" w:rsidRDefault="0035729A">
      <w:pPr>
        <w:spacing w:after="0" w:line="360" w:lineRule="auto"/>
      </w:pPr>
    </w:p>
    <w:p w14:paraId="4385223B" w14:textId="77777777" w:rsidR="0035729A" w:rsidRDefault="007E5634">
      <w:pPr>
        <w:spacing w:after="0" w:line="360" w:lineRule="auto"/>
      </w:pPr>
      <w:r>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de diversa información y formuló su solicitud a manera de cuestionamientos, sin embargo, se aprecia la expresión documental de lo requerido, en los siguientes términos:</w:t>
      </w:r>
    </w:p>
    <w:p w14:paraId="657F1C34" w14:textId="77777777" w:rsidR="0035729A" w:rsidRPr="005565DB" w:rsidRDefault="0035729A">
      <w:pPr>
        <w:spacing w:after="0" w:line="360" w:lineRule="auto"/>
        <w:ind w:right="142"/>
      </w:pPr>
    </w:p>
    <w:p w14:paraId="5869F0DF" w14:textId="57D26646" w:rsidR="0035729A" w:rsidRPr="005565DB" w:rsidRDefault="005565DB">
      <w:pPr>
        <w:numPr>
          <w:ilvl w:val="0"/>
          <w:numId w:val="10"/>
        </w:numPr>
        <w:pBdr>
          <w:top w:val="nil"/>
          <w:left w:val="nil"/>
          <w:bottom w:val="nil"/>
          <w:right w:val="nil"/>
          <w:between w:val="nil"/>
        </w:pBdr>
        <w:spacing w:after="0" w:line="360" w:lineRule="auto"/>
        <w:ind w:right="142"/>
        <w:rPr>
          <w:color w:val="000000"/>
        </w:rPr>
      </w:pPr>
      <w:r>
        <w:rPr>
          <w:color w:val="000000"/>
        </w:rPr>
        <w:t>Número total de</w:t>
      </w:r>
      <w:r w:rsidRPr="005565DB">
        <w:rPr>
          <w:color w:val="000000"/>
        </w:rPr>
        <w:t xml:space="preserve"> expedientes laborales</w:t>
      </w:r>
      <w:r>
        <w:rPr>
          <w:color w:val="000000"/>
        </w:rPr>
        <w:t xml:space="preserve"> con lo que contaba, y</w:t>
      </w:r>
    </w:p>
    <w:p w14:paraId="734A901F" w14:textId="7BC03C9C" w:rsidR="0035729A" w:rsidRPr="005565DB" w:rsidRDefault="007E5634">
      <w:pPr>
        <w:numPr>
          <w:ilvl w:val="0"/>
          <w:numId w:val="10"/>
        </w:numPr>
        <w:pBdr>
          <w:top w:val="nil"/>
          <w:left w:val="nil"/>
          <w:bottom w:val="nil"/>
          <w:right w:val="nil"/>
          <w:between w:val="nil"/>
        </w:pBdr>
        <w:spacing w:after="0" w:line="360" w:lineRule="auto"/>
        <w:ind w:right="142"/>
        <w:rPr>
          <w:color w:val="000000"/>
        </w:rPr>
      </w:pPr>
      <w:r w:rsidRPr="005565DB">
        <w:rPr>
          <w:color w:val="000000"/>
        </w:rPr>
        <w:t xml:space="preserve">Nombre y el documento en el que conste la liquidación </w:t>
      </w:r>
      <w:r w:rsidR="005565DB">
        <w:rPr>
          <w:color w:val="000000"/>
        </w:rPr>
        <w:t>pagada</w:t>
      </w:r>
      <w:r w:rsidRPr="005565DB">
        <w:rPr>
          <w:color w:val="000000"/>
        </w:rPr>
        <w:t xml:space="preserve"> a las personas que fueron dadas de baja del primero de enero al dos de septiembre de dos mil veinticinco</w:t>
      </w:r>
      <w:r w:rsidR="005565DB">
        <w:rPr>
          <w:color w:val="000000"/>
        </w:rPr>
        <w:t>.</w:t>
      </w:r>
    </w:p>
    <w:p w14:paraId="0E87F1CC" w14:textId="77777777" w:rsidR="0035729A" w:rsidRDefault="0035729A">
      <w:pPr>
        <w:spacing w:after="0" w:line="360" w:lineRule="auto"/>
        <w:ind w:right="142"/>
        <w:rPr>
          <w:color w:val="000000"/>
        </w:rPr>
      </w:pPr>
    </w:p>
    <w:p w14:paraId="1053CE3E" w14:textId="77777777" w:rsidR="0035729A" w:rsidRDefault="007E5634">
      <w:pPr>
        <w:spacing w:after="0" w:line="360" w:lineRule="auto"/>
        <w:ind w:right="142"/>
        <w:rPr>
          <w:color w:val="000000"/>
        </w:rPr>
      </w:pPr>
      <w:r>
        <w:rPr>
          <w:color w:val="000000"/>
        </w:rPr>
        <w:t xml:space="preserve">En respuesta, el Sujeto Obligado a través del Director Jurídico del Sujeto Obligado informó el número de expedientes a la fecha de la respuesta, la cantidad y nombre de las personas que fueron dadas de baja y señaló que, respecto a la liquidación no se puede proporcionar de acuerdo a la Ley General de Protección de Datos Personales en posesión de Sujetos Obligados. </w:t>
      </w:r>
    </w:p>
    <w:p w14:paraId="7A1BDDA9" w14:textId="77777777" w:rsidR="0035729A" w:rsidRDefault="0035729A">
      <w:pPr>
        <w:spacing w:after="0" w:line="360" w:lineRule="auto"/>
        <w:ind w:right="142"/>
        <w:rPr>
          <w:color w:val="000000"/>
        </w:rPr>
      </w:pPr>
    </w:p>
    <w:p w14:paraId="1A13A4FE" w14:textId="77777777" w:rsidR="0035729A" w:rsidRDefault="007E5634">
      <w:pPr>
        <w:spacing w:after="0" w:line="360" w:lineRule="auto"/>
        <w:ind w:right="142"/>
        <w:rPr>
          <w:color w:val="000000"/>
        </w:rPr>
      </w:pPr>
      <w:r>
        <w:rPr>
          <w:color w:val="000000"/>
        </w:rPr>
        <w:t xml:space="preserve">Derivado de la respuesta la parte Recurrente se inconformó por la negativa de la información y la entrega de la información incompleta, específicamente porque a su consideración, no se entregaron todos los nombres de las personas servidoras públicas dadas de baja, ello en comparación con lo informado al OSFEM, y precisó que la información de las liquidaciones debe ser pública. </w:t>
      </w:r>
    </w:p>
    <w:p w14:paraId="7EAD5CD7" w14:textId="77777777" w:rsidR="0035729A" w:rsidRDefault="0035729A">
      <w:pPr>
        <w:spacing w:after="0" w:line="360" w:lineRule="auto"/>
        <w:ind w:right="142"/>
      </w:pPr>
    </w:p>
    <w:p w14:paraId="5BCFA9A0" w14:textId="77777777" w:rsidR="0035729A" w:rsidRDefault="007E5634">
      <w:pPr>
        <w:spacing w:after="0" w:line="360" w:lineRule="auto"/>
        <w:rPr>
          <w:color w:val="000000"/>
        </w:rPr>
      </w:pPr>
      <w:r>
        <w:rPr>
          <w:color w:val="000000"/>
        </w:rPr>
        <w:lastRenderedPageBreak/>
        <w:t xml:space="preserve">Una vez expuesto lo anterior, es preciso reiterar que la persona Particular solicitó la entrega de dos elementos, por una parte la </w:t>
      </w:r>
      <w:r>
        <w:rPr>
          <w:b/>
          <w:bCs/>
          <w:color w:val="000000"/>
        </w:rPr>
        <w:t>cantidad de expedientes laborales y por otra, el nombre y liquidación proporcionada a las personas que fueron dadas de baja del primero de enero al dos de septiembre de dos mil veinticinco</w:t>
      </w:r>
      <w:r>
        <w:rPr>
          <w:color w:val="000000"/>
        </w:rPr>
        <w:t xml:space="preserve">; ante lo cual, el Sujeto Obligado dio respuesta; sin embargo, la persona Recurrente, interpuso el Recurso de Revisión que nos ocupa, en el que medularmente </w:t>
      </w:r>
      <w:r>
        <w:rPr>
          <w:b/>
          <w:bCs/>
          <w:color w:val="000000"/>
        </w:rPr>
        <w:t>se inconformó</w:t>
      </w:r>
      <w:r>
        <w:rPr>
          <w:color w:val="000000"/>
        </w:rPr>
        <w:t xml:space="preserve"> </w:t>
      </w:r>
      <w:r>
        <w:rPr>
          <w:b/>
          <w:bCs/>
          <w:color w:val="000000"/>
        </w:rPr>
        <w:t>únicamente respecto al nombre y liquidación del personal dado de baja;</w:t>
      </w:r>
      <w:r>
        <w:rPr>
          <w:color w:val="000000"/>
        </w:rPr>
        <w:t xml:space="preserve"> </w:t>
      </w:r>
      <w:r>
        <w:rPr>
          <w:b/>
          <w:bCs/>
          <w:color w:val="000000"/>
        </w:rPr>
        <w:t>dándose por satisfecho</w:t>
      </w:r>
      <w:r>
        <w:rPr>
          <w:color w:val="000000"/>
        </w:rPr>
        <w:t xml:space="preserve"> respecto de la </w:t>
      </w:r>
      <w:r>
        <w:rPr>
          <w:b/>
          <w:bCs/>
          <w:color w:val="000000"/>
        </w:rPr>
        <w:t>cantidad de expedientes laborales,</w:t>
      </w:r>
      <w:r>
        <w:rPr>
          <w:color w:val="000000"/>
        </w:rPr>
        <w:t xml:space="preserve"> situación por la cual no se hará pronunciamiento alguno; lo anterior de conformidad con lo dispuesto en el artículo 195 de la Ley de Transparencia y Acceso a la Información Pública del Estado de México y Municipios, con relación con el diverso 195, fracción IV, </w:t>
      </w:r>
      <w:r>
        <w:t>del Código</w:t>
      </w:r>
      <w:r>
        <w:rPr>
          <w:color w:val="000000"/>
        </w:rPr>
        <w:t xml:space="preserve"> de Procedimientos Administrativos del Estado de México, que establece que será improcedente el recurso contra los actos que se hayan consentido tácitamente, entendiéndose por éstos cuando el recurso no se haya promovido en el plazo señalado para el efecto.</w:t>
      </w:r>
    </w:p>
    <w:p w14:paraId="48AB5330" w14:textId="77777777" w:rsidR="0035729A" w:rsidRDefault="0035729A">
      <w:pPr>
        <w:spacing w:after="0" w:line="360" w:lineRule="auto"/>
        <w:rPr>
          <w:color w:val="000000"/>
        </w:rPr>
      </w:pPr>
    </w:p>
    <w:p w14:paraId="6FA34023" w14:textId="77777777" w:rsidR="0035729A" w:rsidRDefault="007E5634">
      <w:pPr>
        <w:spacing w:after="0" w:line="360" w:lineRule="auto"/>
        <w:rPr>
          <w:color w:val="000000"/>
        </w:rPr>
      </w:pPr>
      <w:r>
        <w:rPr>
          <w:color w:val="000000"/>
        </w:rPr>
        <w:t xml:space="preserve">De la misma manera resulta aplicable el criterio sostenido por el Poder Judicial de la Federación de rubro </w:t>
      </w:r>
      <w:r>
        <w:rPr>
          <w:b/>
          <w:bCs/>
          <w:color w:val="000000"/>
        </w:rPr>
        <w:t>ACTOS CONSENTIDOS TÁCITAMENTE, Tesis VI.2o. J/21</w:t>
      </w:r>
      <w:r>
        <w:rPr>
          <w:color w:val="000000"/>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14:paraId="64E0678A" w14:textId="77777777" w:rsidR="0035729A" w:rsidRDefault="0035729A">
      <w:pPr>
        <w:spacing w:after="0" w:line="360" w:lineRule="auto"/>
        <w:rPr>
          <w:color w:val="000000"/>
        </w:rPr>
      </w:pPr>
    </w:p>
    <w:p w14:paraId="0FF0F779" w14:textId="77777777" w:rsidR="0035729A" w:rsidRDefault="007E5634">
      <w:pPr>
        <w:spacing w:after="0" w:line="360" w:lineRule="auto"/>
        <w:rPr>
          <w:color w:val="000000"/>
        </w:rPr>
      </w:pPr>
      <w:r>
        <w:rPr>
          <w:color w:val="000000"/>
        </w:rPr>
        <w:t xml:space="preserve">En ese sentido, en el caso de que la persona Particular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 así pues, </w:t>
      </w:r>
      <w:r>
        <w:rPr>
          <w:b/>
          <w:bCs/>
          <w:color w:val="000000"/>
        </w:rPr>
        <w:t>subsiste motivo de agravio únicamente respecto al personal y liquidación de quienes fueron dados de baja.</w:t>
      </w:r>
      <w:r>
        <w:rPr>
          <w:color w:val="000000"/>
        </w:rPr>
        <w:t xml:space="preserve">  </w:t>
      </w:r>
    </w:p>
    <w:p w14:paraId="2A52845F" w14:textId="77777777" w:rsidR="0035729A" w:rsidRDefault="0035729A">
      <w:pPr>
        <w:spacing w:after="0" w:line="360" w:lineRule="auto"/>
      </w:pPr>
    </w:p>
    <w:p w14:paraId="3AACF8D1" w14:textId="77777777" w:rsidR="0035729A" w:rsidRDefault="007E5634">
      <w:pPr>
        <w:spacing w:after="0" w:line="360" w:lineRule="auto"/>
      </w:pPr>
      <w:r>
        <w:t xml:space="preserve">Durante la sustanciación del Recurso de Revisión, el Sujeto Obligado rindió informe justificado, en el que ratificó la respuesta inicial y la parte Recurrente no añadió manifestaciones adicionales. </w:t>
      </w:r>
    </w:p>
    <w:p w14:paraId="18D24EA2" w14:textId="77777777" w:rsidR="0035729A" w:rsidRDefault="0035729A">
      <w:pPr>
        <w:spacing w:after="0" w:line="360" w:lineRule="auto"/>
      </w:pPr>
    </w:p>
    <w:p w14:paraId="571F551F" w14:textId="77777777" w:rsidR="0035729A" w:rsidRDefault="007E5634">
      <w:pPr>
        <w:tabs>
          <w:tab w:val="left" w:pos="4962"/>
        </w:tabs>
        <w:spacing w:after="0" w:line="360" w:lineRule="auto"/>
      </w:pPr>
      <w:r>
        <w:t>Así pues, de las constancias que integran el expediente, se advierte que en el asunto que nos ocupa se actualiza la causal de procedencia señalada en el artículo 179, fracción V de la Ley de la materia; por la entrega de información incompleta.</w:t>
      </w:r>
    </w:p>
    <w:p w14:paraId="68116FE9" w14:textId="77777777" w:rsidR="0035729A" w:rsidRDefault="0035729A">
      <w:pPr>
        <w:tabs>
          <w:tab w:val="left" w:pos="4962"/>
        </w:tabs>
        <w:spacing w:after="0" w:line="360" w:lineRule="auto"/>
      </w:pPr>
    </w:p>
    <w:p w14:paraId="7FFF1BD3" w14:textId="77777777" w:rsidR="0035729A" w:rsidRDefault="007E5634">
      <w:pPr>
        <w:tabs>
          <w:tab w:val="left" w:pos="4962"/>
        </w:tabs>
        <w:spacing w:after="0" w:line="360" w:lineRule="auto"/>
      </w:pPr>
      <w: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78DB7A37" w14:textId="77777777" w:rsidR="0035729A" w:rsidRDefault="0035729A">
      <w:pPr>
        <w:spacing w:after="0" w:line="360" w:lineRule="auto"/>
      </w:pPr>
    </w:p>
    <w:p w14:paraId="16EC86E5" w14:textId="77777777" w:rsidR="0035729A" w:rsidRDefault="007E5634">
      <w:pPr>
        <w:pStyle w:val="Ttulo2"/>
        <w:spacing w:before="0" w:after="0"/>
      </w:pPr>
      <w:bookmarkStart w:id="13" w:name="_Toc221203170"/>
      <w:r>
        <w:t>CUARTO. Marco normativo aplicable en materia de transparencia y acceso a la información pública</w:t>
      </w:r>
      <w:bookmarkEnd w:id="13"/>
    </w:p>
    <w:p w14:paraId="0AFFBCDC" w14:textId="77777777" w:rsidR="0035729A" w:rsidRDefault="0035729A">
      <w:pPr>
        <w:spacing w:after="0" w:line="360" w:lineRule="auto"/>
      </w:pPr>
    </w:p>
    <w:p w14:paraId="0FFD0A35" w14:textId="77777777" w:rsidR="0035729A" w:rsidRDefault="007E5634">
      <w:pPr>
        <w:spacing w:after="0" w:line="360" w:lineRule="auto"/>
      </w:pPr>
      <w: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7D5543" w14:textId="77777777" w:rsidR="0035729A" w:rsidRDefault="0035729A">
      <w:pPr>
        <w:spacing w:after="0" w:line="360" w:lineRule="auto"/>
      </w:pPr>
    </w:p>
    <w:p w14:paraId="583CEC84" w14:textId="77777777" w:rsidR="0035729A" w:rsidRDefault="007E5634">
      <w:pPr>
        <w:spacing w:after="0" w:line="360" w:lineRule="auto"/>
      </w:pPr>
      <w: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44A637D" w14:textId="77777777" w:rsidR="0035729A" w:rsidRDefault="0035729A">
      <w:pPr>
        <w:spacing w:after="0" w:line="360" w:lineRule="auto"/>
      </w:pPr>
    </w:p>
    <w:p w14:paraId="24D77C97" w14:textId="77777777" w:rsidR="0035729A" w:rsidRDefault="007E5634">
      <w:pPr>
        <w:spacing w:after="0" w:line="360" w:lineRule="auto"/>
      </w:pPr>
      <w:r>
        <w:lastRenderedPageBreak/>
        <w:t>Por su parte, la Ley de Transparencia y Acceso a la Información Pública del Estado de México y Municipios (Reglamentaria del artículo 5° de la Constitución Local), establece lo siguiente:</w:t>
      </w:r>
    </w:p>
    <w:p w14:paraId="79D37FF3" w14:textId="77777777" w:rsidR="0035729A" w:rsidRDefault="0035729A">
      <w:pPr>
        <w:spacing w:after="0" w:line="360" w:lineRule="auto"/>
      </w:pPr>
    </w:p>
    <w:p w14:paraId="41E077FA" w14:textId="77777777" w:rsidR="0035729A" w:rsidRDefault="007E5634">
      <w:pPr>
        <w:spacing w:after="0" w:line="360" w:lineRule="auto"/>
      </w:pPr>
      <w:r>
        <w:t>El artículo 12 dice que, quienes generen, recopilen, administren, manejen, procesen, archiven o conserven información pública serán responsables de la misma.</w:t>
      </w:r>
    </w:p>
    <w:p w14:paraId="5B677E78" w14:textId="77777777" w:rsidR="0035729A" w:rsidRDefault="0035729A">
      <w:pPr>
        <w:spacing w:after="0" w:line="360" w:lineRule="auto"/>
      </w:pPr>
    </w:p>
    <w:p w14:paraId="2C6BBAD4" w14:textId="77777777" w:rsidR="0035729A" w:rsidRDefault="007E5634">
      <w:pPr>
        <w:spacing w:after="0" w:line="360" w:lineRule="auto"/>
      </w:pPr>
      <w:r>
        <w:t>El artículo 18, que, los Sujetos Obligados deberán documentar todo acto que derive del ejercicio de sus facultades, competencias o funciones, considerando desde su origen la eventual publicidad y reutilización de la información que generen.</w:t>
      </w:r>
    </w:p>
    <w:p w14:paraId="3BEB2CCF" w14:textId="77777777" w:rsidR="0035729A" w:rsidRDefault="0035729A">
      <w:pPr>
        <w:spacing w:after="0" w:line="360" w:lineRule="auto"/>
      </w:pPr>
    </w:p>
    <w:p w14:paraId="4822DA37" w14:textId="77777777" w:rsidR="0035729A" w:rsidRDefault="007E5634">
      <w:pPr>
        <w:spacing w:after="0" w:line="360" w:lineRule="auto"/>
      </w:pPr>
      <w: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C1A41B9" w14:textId="77777777" w:rsidR="0035729A" w:rsidRDefault="0035729A">
      <w:pPr>
        <w:pStyle w:val="Ttulo2"/>
        <w:spacing w:before="0" w:after="0"/>
        <w:rPr>
          <w:smallCaps/>
        </w:rPr>
      </w:pPr>
    </w:p>
    <w:p w14:paraId="16585CEE" w14:textId="77777777" w:rsidR="0035729A" w:rsidRDefault="007E5634">
      <w:pPr>
        <w:pStyle w:val="Ttulo2"/>
        <w:spacing w:before="0" w:after="0"/>
      </w:pPr>
      <w:bookmarkStart w:id="14" w:name="_Toc221203171"/>
      <w:r>
        <w:rPr>
          <w:smallCaps/>
        </w:rPr>
        <w:t>QUINTO.</w:t>
      </w:r>
      <w:r>
        <w:t xml:space="preserve"> Estudio de Fondo</w:t>
      </w:r>
      <w:bookmarkEnd w:id="14"/>
    </w:p>
    <w:p w14:paraId="56F1E090" w14:textId="77777777" w:rsidR="0035729A" w:rsidRDefault="0035729A">
      <w:pPr>
        <w:spacing w:after="0" w:line="360" w:lineRule="auto"/>
      </w:pPr>
    </w:p>
    <w:p w14:paraId="1840E6CE" w14:textId="77777777" w:rsidR="0035729A" w:rsidRDefault="007E5634">
      <w:pPr>
        <w:spacing w:after="0" w:line="360" w:lineRule="auto"/>
      </w:pPr>
      <w:r>
        <w:t>Una vez expuesto lo anterior, es menester contextualizar la solicitud de información, la cual versa sobre diversos requerimientos en torno al Sujeto Obligado, que serán analizados conforme a lo siguiente:</w:t>
      </w:r>
    </w:p>
    <w:p w14:paraId="0CE3354C" w14:textId="77777777" w:rsidR="0035729A" w:rsidRDefault="0035729A">
      <w:pPr>
        <w:spacing w:after="0" w:line="360" w:lineRule="auto"/>
      </w:pPr>
    </w:p>
    <w:p w14:paraId="03804A87" w14:textId="77777777" w:rsidR="0035729A" w:rsidRDefault="007E5634">
      <w:pPr>
        <w:numPr>
          <w:ilvl w:val="0"/>
          <w:numId w:val="13"/>
        </w:numPr>
        <w:pBdr>
          <w:top w:val="nil"/>
          <w:left w:val="nil"/>
          <w:bottom w:val="nil"/>
          <w:right w:val="nil"/>
          <w:between w:val="nil"/>
        </w:pBdr>
        <w:spacing w:after="0" w:line="360" w:lineRule="auto"/>
        <w:rPr>
          <w:b/>
          <w:bCs/>
          <w:color w:val="000000"/>
        </w:rPr>
      </w:pPr>
      <w:r>
        <w:rPr>
          <w:b/>
          <w:bCs/>
          <w:color w:val="000000"/>
        </w:rPr>
        <w:t>Respecto a los nombres de personal dado de baja</w:t>
      </w:r>
    </w:p>
    <w:p w14:paraId="6BB7CD12" w14:textId="77777777" w:rsidR="0035729A" w:rsidRDefault="0035729A">
      <w:pPr>
        <w:spacing w:after="0" w:line="360" w:lineRule="auto"/>
      </w:pPr>
    </w:p>
    <w:p w14:paraId="054315F1" w14:textId="77777777" w:rsidR="0035729A" w:rsidRDefault="007E5634">
      <w:pPr>
        <w:spacing w:after="0" w:line="360" w:lineRule="auto"/>
      </w:pPr>
      <w:r>
        <w:t xml:space="preserve">Por cuanto hace a la información relacionada con la baja del personal, se debe tener en cuenta que la Ley del Trabajo de los Servidores Públicos del Estado y Municipios, prevé en sus artículos 5, 45, 48, 49 y 53; que la relación de trabajo entre las instituciones públicas y sus servidores públicos se entiende establecida mediante nombramiento, formato único de movimiento de </w:t>
      </w:r>
      <w:r>
        <w:lastRenderedPageBreak/>
        <w:t xml:space="preserve">personal, contrato o cualquier otro, en el que se establece la prestación personal subordinada y la percepción de un sueldo, además, los servidores públicos prestarán los servicios conforme a dicho contrato o formato único de movimientos de personal, y es un requisito para iniciar la prestación de servicios; además dichos documentos deben contener el nombre del servidor público, el cargo, la fecha de inicios, el lugar de adscripción, el carácter del nombramiento, la temporalidad, la remuneración, la jornada de trabajo y la firma de autorización. Aunado a ello, para el caso de la baja del personal, </w:t>
      </w:r>
      <w:r>
        <w:rPr>
          <w:b/>
          <w:bCs/>
        </w:rPr>
        <w:t>se debe emitir dicho formato respecto a la baja del personal</w:t>
      </w:r>
      <w:r>
        <w:t>.</w:t>
      </w:r>
    </w:p>
    <w:p w14:paraId="79AD6F53" w14:textId="77777777" w:rsidR="0035729A" w:rsidRDefault="0035729A">
      <w:pPr>
        <w:spacing w:after="0" w:line="360" w:lineRule="auto"/>
        <w:rPr>
          <w:b/>
          <w:bCs/>
        </w:rPr>
      </w:pPr>
    </w:p>
    <w:p w14:paraId="0D94CCE0" w14:textId="77777777" w:rsidR="0035729A" w:rsidRDefault="007E5634">
      <w:pPr>
        <w:spacing w:after="0" w:line="360" w:lineRule="auto"/>
      </w:pPr>
      <w:r>
        <w:t>Por su parte, el artículo 220 K, fracción I, de la misma Ley del Trabajo de los Servidores Públicos del Estado y Municipios, señala que es obligación de la institución pública de conservar los contratos, nombramientos o formatos únicos de movimiento de personal, de las personas servidoras públicas; por tanto, se advierte que el Sujeto Obligado puede conocer de la información solicitada.</w:t>
      </w:r>
    </w:p>
    <w:p w14:paraId="20845B4F" w14:textId="77777777" w:rsidR="0035729A" w:rsidRDefault="0035729A">
      <w:pPr>
        <w:spacing w:after="0" w:line="360" w:lineRule="auto"/>
      </w:pPr>
    </w:p>
    <w:p w14:paraId="10AFA671" w14:textId="77777777" w:rsidR="0035729A" w:rsidRDefault="007E5634">
      <w:pPr>
        <w:tabs>
          <w:tab w:val="left" w:pos="4962"/>
        </w:tabs>
        <w:spacing w:after="0" w:line="360" w:lineRule="auto"/>
      </w:pPr>
      <w:r>
        <w:t xml:space="preserve">El artículo 98, fracción XVII, de la Ley del Trabajo de los Servidores Públicos del Estado y Municipios, establece que es obligación de las instituciones públicas, </w:t>
      </w:r>
      <w:r>
        <w:rPr>
          <w:b/>
          <w:bCs/>
        </w:rPr>
        <w:t>integrar los expedientes de los servidores públicos.</w:t>
      </w:r>
    </w:p>
    <w:p w14:paraId="3D90EE21" w14:textId="77777777" w:rsidR="0035729A" w:rsidRDefault="0035729A">
      <w:pPr>
        <w:spacing w:after="0" w:line="360" w:lineRule="auto"/>
        <w:rPr>
          <w:b/>
          <w:bCs/>
        </w:rPr>
      </w:pPr>
    </w:p>
    <w:p w14:paraId="7C0C40DA" w14:textId="77777777" w:rsidR="0035729A" w:rsidRDefault="007E5634">
      <w:pPr>
        <w:spacing w:after="0" w:line="360" w:lineRule="auto"/>
      </w:pPr>
      <w:r>
        <w:t xml:space="preserve">En ese contexto, la Guía Técnica 9 “La Administración del Personal Municipal”, emitida por el Instituto Nacional para el Federalismo y el Desarrollo Municipal, establece que el área o servidor público responsable de la administración del personal, debe llevar un control de todo el personal del Ayuntamiento, </w:t>
      </w:r>
      <w:r>
        <w:rPr>
          <w:b/>
          <w:bCs/>
        </w:rPr>
        <w:t>así como integrar sus respectivos expedientes</w:t>
      </w:r>
      <w:r>
        <w:t>.</w:t>
      </w:r>
    </w:p>
    <w:p w14:paraId="7D20D55E" w14:textId="77777777" w:rsidR="0035729A" w:rsidRDefault="0035729A">
      <w:pPr>
        <w:spacing w:after="0" w:line="360" w:lineRule="auto"/>
      </w:pPr>
    </w:p>
    <w:p w14:paraId="6FA65FD2" w14:textId="77777777" w:rsidR="0035729A" w:rsidRDefault="007E5634">
      <w:pPr>
        <w:spacing w:after="0" w:line="360" w:lineRule="auto"/>
        <w:rPr>
          <w:b/>
          <w:bCs/>
        </w:rPr>
      </w:pPr>
      <w:r>
        <w:t xml:space="preserve">Por su parte, el artículo 67 del Reglamento Orgánico de la Administración Municipal de Tianguistenco 2025- 2027 prevé que la Dirección de Administración se auxiliará de una Coordinación de Recursos Humanos y el artículo 70, fracciones V, X del mismo Reglamento </w:t>
      </w:r>
      <w:r>
        <w:lastRenderedPageBreak/>
        <w:t xml:space="preserve">señala que la Coordinación de Recursos Humanos tiene diversas atribuciones, dentro de las que destacan la de tramitar los nombramientos, remociones, renuncias, licencias y jubilaciones de los servidores públicos de la Administración Pública, de conformidad con la normatividad aplicable en la materia; e integrar a los expedientes de los servidores públicos municipales; </w:t>
      </w:r>
      <w:r>
        <w:rPr>
          <w:b/>
          <w:bCs/>
        </w:rPr>
        <w:t>por lo que resulta el área competente para conocer del nombre de las personas que fueron dadas de baja.</w:t>
      </w:r>
    </w:p>
    <w:p w14:paraId="5CB6F20D" w14:textId="77777777" w:rsidR="0035729A" w:rsidRDefault="0035729A">
      <w:pPr>
        <w:spacing w:after="0" w:line="360" w:lineRule="auto"/>
        <w:rPr>
          <w:b/>
          <w:bCs/>
        </w:rPr>
      </w:pPr>
    </w:p>
    <w:p w14:paraId="7170B2D0" w14:textId="77777777" w:rsidR="0035729A" w:rsidRDefault="007E5634">
      <w:pPr>
        <w:spacing w:after="0" w:line="360" w:lineRule="auto"/>
        <w:rPr>
          <w:b/>
          <w:bCs/>
        </w:rPr>
      </w:pPr>
      <w:r>
        <w:t xml:space="preserve">Aunado a lo anterior, el Reglamento Orgánico de la Administración Municipal de Tianguistenco 2025- 2027 también señala en su artículo 125, fracción V, que la Dirección Jurídica Consultiva, tiene atribuciones para coadyuvar con la Dirección de Administración en los supuestos de terminación de relaciones laborales con las personas servidoras públicas, por lo que, </w:t>
      </w:r>
      <w:r>
        <w:rPr>
          <w:b/>
          <w:bCs/>
        </w:rPr>
        <w:t xml:space="preserve">en caso de así requerirse, la Dirección Jurídica Consultiva, también resulta competente para conocer de lo solicitado. </w:t>
      </w:r>
    </w:p>
    <w:p w14:paraId="0B88CA74" w14:textId="77777777" w:rsidR="0035729A" w:rsidRDefault="0035729A">
      <w:pPr>
        <w:spacing w:after="0" w:line="360" w:lineRule="auto"/>
        <w:rPr>
          <w:b/>
          <w:bCs/>
        </w:rPr>
      </w:pPr>
    </w:p>
    <w:p w14:paraId="19CB8568" w14:textId="77777777" w:rsidR="0035729A" w:rsidRDefault="007E5634">
      <w:pPr>
        <w:numPr>
          <w:ilvl w:val="0"/>
          <w:numId w:val="13"/>
        </w:numPr>
        <w:pBdr>
          <w:top w:val="nil"/>
          <w:left w:val="nil"/>
          <w:bottom w:val="nil"/>
          <w:right w:val="nil"/>
          <w:between w:val="nil"/>
        </w:pBdr>
        <w:spacing w:after="0" w:line="360" w:lineRule="auto"/>
        <w:rPr>
          <w:b/>
          <w:bCs/>
          <w:color w:val="000000"/>
        </w:rPr>
      </w:pPr>
      <w:r>
        <w:rPr>
          <w:b/>
          <w:bCs/>
          <w:color w:val="000000"/>
        </w:rPr>
        <w:t>Respecto a la liquidación</w:t>
      </w:r>
    </w:p>
    <w:p w14:paraId="2FC9A247" w14:textId="77777777" w:rsidR="0035729A" w:rsidRDefault="0035729A">
      <w:pPr>
        <w:spacing w:after="0" w:line="360" w:lineRule="auto"/>
      </w:pPr>
    </w:p>
    <w:p w14:paraId="656339CF" w14:textId="77777777" w:rsidR="0035729A" w:rsidRDefault="007E5634">
      <w:pPr>
        <w:spacing w:after="0" w:line="360" w:lineRule="auto"/>
      </w:pPr>
      <w:r>
        <w:t xml:space="preserve">Ahora bien, respecto  a la liquidación, ésta debe ser entendida como el pago realizado a las personas que fueron dadas de baja, ya sea por indemnización o bien, por pago de finiquito en razón del pago de prestaciones a las que tenga derecho ante una baja voluntaria. </w:t>
      </w:r>
    </w:p>
    <w:p w14:paraId="2AADA6FF" w14:textId="77777777" w:rsidR="0035729A" w:rsidRDefault="0035729A">
      <w:pPr>
        <w:spacing w:after="0" w:line="360" w:lineRule="auto"/>
      </w:pPr>
    </w:p>
    <w:p w14:paraId="62EC5495" w14:textId="77777777" w:rsidR="0035729A" w:rsidRDefault="007E5634">
      <w:pPr>
        <w:spacing w:after="0" w:line="360" w:lineRule="auto"/>
      </w:pPr>
      <w:r>
        <w:t>Al respecto, la Ley del Trabajo de los Servidores Públicos del Estado y Municipios prevé en sus artículos 97 y demás aplicables, que las instituciones públicas o dependencias están obligadas a cubrir la indemnización con el pago de prestaciones correspondientes ante despidos injustificados.</w:t>
      </w:r>
    </w:p>
    <w:p w14:paraId="1F75D111" w14:textId="77777777" w:rsidR="0035729A" w:rsidRDefault="0035729A">
      <w:pPr>
        <w:spacing w:after="0" w:line="360" w:lineRule="auto"/>
      </w:pPr>
    </w:p>
    <w:p w14:paraId="05E23319" w14:textId="77777777" w:rsidR="0035729A" w:rsidRDefault="007E5634">
      <w:pPr>
        <w:spacing w:after="0" w:line="360" w:lineRule="auto"/>
      </w:pPr>
      <w:r>
        <w:t xml:space="preserve">Al respecto, se debe tener en consideración que, de conformidad con la Ley Orgánica Municipal del Estado de México, específicamente en su artículo 95 fracciones I, IV y VI Bis; se establece </w:t>
      </w:r>
      <w:r>
        <w:lastRenderedPageBreak/>
        <w:t>que, dentro de las atribuciones de los Tesoreros Municipales, se encuentra la de administrar la hacienda pública municipal, llevar registros contables, financieros y administrativos de los ingresos y egresos, así como de proporcionar para la formulación del proyecto de Presupuesto de Egresos Municipales la información financiera relativa a la solución, o en su caso, el pago de litigios laborales, con lo cual, las personas titulares de las Tesorerías Municipales, deben tener registros de los pagos a favor de personas con motivo de finiquitos, gratificaciones o indemnizaciones.</w:t>
      </w:r>
    </w:p>
    <w:p w14:paraId="51CF0938" w14:textId="77777777" w:rsidR="0035729A" w:rsidRDefault="0035729A">
      <w:pPr>
        <w:spacing w:after="0" w:line="360" w:lineRule="auto"/>
      </w:pPr>
    </w:p>
    <w:p w14:paraId="0EA17998" w14:textId="77777777" w:rsidR="0035729A" w:rsidRDefault="007E5634">
      <w:pPr>
        <w:spacing w:after="0" w:line="360" w:lineRule="auto"/>
        <w:rPr>
          <w:b/>
          <w:bCs/>
        </w:rPr>
      </w:pPr>
      <w:r>
        <w:t xml:space="preserve">Lo anterior se robustece con lo dispuesto en el Reglamento Orgánico de la Administración Municipal de Tianguistenco 2025- 2027, que en su artículo 54, fracción II prevé la atribución de establecer las medidas de control y racionalización de gastos; </w:t>
      </w:r>
      <w:r>
        <w:rPr>
          <w:b/>
          <w:bCs/>
        </w:rPr>
        <w:t>por tanto, la Tesorería Municipal es el área competente para conocer de los gastos realizados con motivo de las bajas del personal.</w:t>
      </w:r>
    </w:p>
    <w:p w14:paraId="63C2844C" w14:textId="77777777" w:rsidR="0035729A" w:rsidRDefault="007E5634">
      <w:pPr>
        <w:spacing w:after="0" w:line="360" w:lineRule="auto"/>
      </w:pPr>
      <w:r>
        <w:t xml:space="preserve"> </w:t>
      </w:r>
    </w:p>
    <w:p w14:paraId="385A4DC6" w14:textId="77777777" w:rsidR="0035729A" w:rsidRDefault="007E5634">
      <w:pPr>
        <w:spacing w:after="0" w:line="360" w:lineRule="auto"/>
      </w:pPr>
      <w:r>
        <w:t xml:space="preserve">Por su parte, el artículo 67 del Reglamento Orgánico de la Administración Municipal de Tianguistenco 2025- 2027 prevé que la Dirección de Administración se auxiliará de una Coordinación de Recursos Humanos y el artículo 70, fracciones XII del mismo  Reglamento   prevé que la Coordinación de Recursos Humanos tiene diversas atribuciones, dentro de las que destacan que en conjunción con la Dirección Jurídica y Consultiva, supervisará y verificará los montos resultantes de los estudios de liquidación, prima de antigüedad, renuncia voluntaria, parte proporcional de aguinaldo y prima vacacional solicitados por los servidores públicos; por tanto, la </w:t>
      </w:r>
      <w:r>
        <w:rPr>
          <w:b/>
          <w:bCs/>
        </w:rPr>
        <w:t>Dirección de Administración a través de la Coordinación de Recursos Humanos y la Dirección Jurídica Consultiva también pueden conocer de la información solicitada</w:t>
      </w:r>
      <w:r>
        <w:t xml:space="preserve">. </w:t>
      </w:r>
    </w:p>
    <w:p w14:paraId="7B666990" w14:textId="77777777" w:rsidR="0035729A" w:rsidRDefault="0035729A">
      <w:pPr>
        <w:spacing w:after="0" w:line="360" w:lineRule="auto"/>
      </w:pPr>
    </w:p>
    <w:p w14:paraId="129553DB" w14:textId="1CDEA4D1" w:rsidR="005565DB" w:rsidRDefault="007E5634" w:rsidP="005565DB">
      <w:pPr>
        <w:spacing w:after="0" w:line="360" w:lineRule="auto"/>
      </w:pPr>
      <w:r>
        <w:t xml:space="preserve">Conforme a lo anterior, se logra advertir que la persona Recurrente pretende conocer </w:t>
      </w:r>
      <w:r w:rsidR="005565DB">
        <w:t xml:space="preserve">el nombre de las personas que fueron dadas de baja del primero de enero al dos de septiembre de dos mil veinticinco, así como el </w:t>
      </w:r>
      <w:proofErr w:type="spellStart"/>
      <w:r w:rsidR="005565DB">
        <w:t>documetno</w:t>
      </w:r>
      <w:proofErr w:type="spellEnd"/>
      <w:r w:rsidR="005565DB">
        <w:t xml:space="preserve"> donde conste la </w:t>
      </w:r>
      <w:proofErr w:type="spellStart"/>
      <w:r w:rsidR="005565DB">
        <w:t>ligquidación</w:t>
      </w:r>
      <w:proofErr w:type="spellEnd"/>
      <w:r w:rsidR="005565DB">
        <w:t xml:space="preserve"> pagada.</w:t>
      </w:r>
    </w:p>
    <w:p w14:paraId="4EDEE524" w14:textId="77777777" w:rsidR="0035729A" w:rsidRDefault="007E5634">
      <w:pPr>
        <w:spacing w:after="0" w:line="360" w:lineRule="auto"/>
        <w:rPr>
          <w:color w:val="000000"/>
        </w:rPr>
      </w:pPr>
      <w:r>
        <w:rPr>
          <w:color w:val="000000"/>
        </w:rPr>
        <w:lastRenderedPageBreak/>
        <w:t xml:space="preserve">Ante dicha circunstancia, es necesario precisar que de las constancias que obran en el expediente electrónico en SAIMEX, se logra advertir que el Sujeto Obligado dio respuesta mediante el Director Jurídico por lo que, resulta necesario hacer referencia al </w:t>
      </w:r>
      <w:r>
        <w:rPr>
          <w:b/>
          <w:bCs/>
          <w:color w:val="000000"/>
        </w:rPr>
        <w:t>procedimiento de búsqueda que deben seguir los Sujetos Obligados para localizar la información,</w:t>
      </w:r>
      <w:r>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5809783C" w14:textId="77777777" w:rsidR="0035729A" w:rsidRDefault="0035729A">
      <w:pPr>
        <w:spacing w:after="0" w:line="360" w:lineRule="auto"/>
        <w:rPr>
          <w:color w:val="FF0000"/>
        </w:rPr>
      </w:pPr>
    </w:p>
    <w:p w14:paraId="7E566DAF" w14:textId="77777777" w:rsidR="0035729A" w:rsidRDefault="007E5634">
      <w:pPr>
        <w:spacing w:after="0" w:line="360" w:lineRule="auto"/>
        <w:rPr>
          <w:b/>
          <w:bCs/>
          <w:color w:val="000000"/>
        </w:rPr>
      </w:pPr>
      <w:bookmarkStart w:id="15" w:name="_heading=h.2b8zdt7vox7" w:colFirst="0" w:colLast="0"/>
      <w:bookmarkEnd w:id="15"/>
      <w:r>
        <w:rPr>
          <w:color w:val="000000"/>
        </w:rPr>
        <w:t xml:space="preserve">Así, con la finalidad de determinar si el Sujeto Obligado </w:t>
      </w:r>
      <w:r>
        <w:rPr>
          <w:b/>
          <w:bCs/>
          <w:color w:val="000000"/>
        </w:rPr>
        <w:t>no</w:t>
      </w:r>
      <w:r>
        <w:rPr>
          <w:color w:val="000000"/>
        </w:rPr>
        <w:t xml:space="preserve"> </w:t>
      </w:r>
      <w:r>
        <w:rPr>
          <w:b/>
          <w:bCs/>
          <w:color w:val="000000"/>
        </w:rPr>
        <w:t>cumplió en su totalidad con el procedimiento de búsqueda</w:t>
      </w:r>
      <w:r>
        <w:rPr>
          <w:color w:val="000000"/>
        </w:rPr>
        <w:t xml:space="preserve"> previsto en el artículo 162 de la Ley de Transparencia y Acceso a la Información Pública del Estado de México y Municipio; </w:t>
      </w:r>
      <w:r>
        <w:rPr>
          <w:b/>
          <w:bCs/>
          <w:color w:val="000000"/>
        </w:rPr>
        <w:t xml:space="preserve">dado que no se turnó a todas las áreas que pueden conocer de lo solicitado. </w:t>
      </w:r>
    </w:p>
    <w:p w14:paraId="54BAD540" w14:textId="77777777" w:rsidR="0035729A" w:rsidRDefault="0035729A">
      <w:pPr>
        <w:spacing w:after="0" w:line="360" w:lineRule="auto"/>
        <w:rPr>
          <w:color w:val="000000"/>
        </w:rPr>
      </w:pPr>
    </w:p>
    <w:p w14:paraId="1E93C9B3" w14:textId="77777777" w:rsidR="0035729A" w:rsidRDefault="007E5634">
      <w:pPr>
        <w:spacing w:after="0" w:line="360" w:lineRule="auto"/>
        <w:rPr>
          <w:color w:val="000000"/>
        </w:rPr>
      </w:pPr>
      <w:r>
        <w:rPr>
          <w:color w:val="000000"/>
        </w:rPr>
        <w:t>Cabe precisar que la Dirección Jurídica informó sobre el nombre de las personas que fueron dadas de baja y señaló que las liquidaciones es información clasificada; al respecto destaca lo siguiente:</w:t>
      </w:r>
    </w:p>
    <w:p w14:paraId="26AD9C84" w14:textId="77777777" w:rsidR="0035729A" w:rsidRDefault="0035729A">
      <w:pPr>
        <w:spacing w:after="0" w:line="360" w:lineRule="auto"/>
        <w:rPr>
          <w:color w:val="000000"/>
        </w:rPr>
      </w:pPr>
    </w:p>
    <w:p w14:paraId="6D5A282D" w14:textId="77777777" w:rsidR="0035729A" w:rsidRDefault="007E5634">
      <w:pPr>
        <w:numPr>
          <w:ilvl w:val="0"/>
          <w:numId w:val="14"/>
        </w:numPr>
        <w:pBdr>
          <w:top w:val="nil"/>
          <w:left w:val="nil"/>
          <w:bottom w:val="nil"/>
          <w:right w:val="nil"/>
          <w:between w:val="nil"/>
        </w:pBdr>
        <w:spacing w:after="0" w:line="360" w:lineRule="auto"/>
        <w:rPr>
          <w:b/>
          <w:bCs/>
          <w:color w:val="000000"/>
        </w:rPr>
      </w:pPr>
      <w:r>
        <w:rPr>
          <w:b/>
          <w:bCs/>
          <w:color w:val="000000"/>
        </w:rPr>
        <w:t>Del nombre del personal dado de baja</w:t>
      </w:r>
    </w:p>
    <w:p w14:paraId="36C43757" w14:textId="77777777" w:rsidR="0035729A" w:rsidRDefault="0035729A">
      <w:pPr>
        <w:pBdr>
          <w:top w:val="nil"/>
          <w:left w:val="nil"/>
          <w:bottom w:val="nil"/>
          <w:right w:val="nil"/>
          <w:between w:val="nil"/>
        </w:pBdr>
        <w:spacing w:after="0" w:line="360" w:lineRule="auto"/>
        <w:ind w:left="720"/>
        <w:rPr>
          <w:b/>
          <w:bCs/>
          <w:color w:val="000000"/>
        </w:rPr>
      </w:pPr>
    </w:p>
    <w:p w14:paraId="208BDB26" w14:textId="77777777" w:rsidR="0035729A" w:rsidRDefault="007E5634">
      <w:pPr>
        <w:spacing w:after="0" w:line="360" w:lineRule="auto"/>
        <w:rPr>
          <w:color w:val="000000"/>
        </w:rPr>
      </w:pPr>
      <w:r>
        <w:rPr>
          <w:color w:val="000000"/>
        </w:rPr>
        <w:t xml:space="preserve">Respecto a los nombres proporcionados, cabe destacar que de conformidad con la normatividad señalada en los puntos anteriores, la Dirección Jurídica tiene conocimiento del nombre de las personas dadas de baja, siempre y cuando coadyuve con la Dirección de Administración; sin embargo, cabe la posibilidad de que no se requiera de su apoyo y se cuente con otras personas </w:t>
      </w:r>
      <w:r>
        <w:rPr>
          <w:color w:val="000000"/>
        </w:rPr>
        <w:lastRenderedPageBreak/>
        <w:t xml:space="preserve">que causaron baja en la temporalidad solicitada, del cual, pudo no tener conocimiento la Dirección Jurídica. </w:t>
      </w:r>
    </w:p>
    <w:p w14:paraId="306312C7" w14:textId="77777777" w:rsidR="0035729A" w:rsidRDefault="0035729A">
      <w:pPr>
        <w:spacing w:after="0" w:line="360" w:lineRule="auto"/>
        <w:rPr>
          <w:color w:val="000000"/>
        </w:rPr>
      </w:pPr>
    </w:p>
    <w:p w14:paraId="3FE15A95" w14:textId="5C0AF119" w:rsidR="0035729A" w:rsidRDefault="007E5634" w:rsidP="005565DB">
      <w:pPr>
        <w:spacing w:after="0" w:line="360" w:lineRule="auto"/>
        <w:ind w:right="142"/>
        <w:rPr>
          <w:color w:val="000000"/>
        </w:rPr>
      </w:pPr>
      <w:r>
        <w:rPr>
          <w:color w:val="000000"/>
        </w:rPr>
        <w:t xml:space="preserve">En este sentido, es importante que se pronuncie el área competente que en todo caso, se trata de la Dirección de Administración, mediante su </w:t>
      </w:r>
      <w:r>
        <w:t>Coordinación de Recursos Humanos</w:t>
      </w:r>
      <w:r>
        <w:rPr>
          <w:color w:val="000000"/>
        </w:rPr>
        <w:t xml:space="preserve">, dado que es la que conoce y genera la documentación en la que consta la baja del personal, ello con independencia del motivo de su baja; así pues, debió realizar la búsqueda de la información conforme a lo previsto </w:t>
      </w:r>
      <w:r w:rsidR="005565DB">
        <w:rPr>
          <w:color w:val="000000"/>
        </w:rPr>
        <w:t>en el artículo</w:t>
      </w:r>
      <w:r>
        <w:rPr>
          <w:color w:val="000000"/>
        </w:rPr>
        <w:t xml:space="preserve"> 162 de la Ley de Transparencia y Acceso a la Información Pública del Estado de México y Municipios</w:t>
      </w:r>
      <w:r w:rsidR="005565DB">
        <w:rPr>
          <w:color w:val="000000"/>
        </w:rPr>
        <w:t xml:space="preserve"> el cual </w:t>
      </w:r>
      <w:proofErr w:type="spellStart"/>
      <w:r w:rsidR="005565DB">
        <w:rPr>
          <w:color w:val="000000"/>
        </w:rPr>
        <w:t>estabelce</w:t>
      </w:r>
      <w:proofErr w:type="spellEnd"/>
      <w:r w:rsidR="005565DB">
        <w:rPr>
          <w:color w:val="000000"/>
        </w:rPr>
        <w:t xml:space="preserve"> que las </w:t>
      </w:r>
      <w:r>
        <w:rPr>
          <w:color w:val="000000"/>
        </w:rPr>
        <w:t>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r w:rsidR="005565DB">
        <w:rPr>
          <w:color w:val="000000"/>
        </w:rPr>
        <w:t>.</w:t>
      </w:r>
    </w:p>
    <w:p w14:paraId="435CE224" w14:textId="77777777" w:rsidR="0035729A" w:rsidRDefault="0035729A">
      <w:pPr>
        <w:spacing w:after="0" w:line="360" w:lineRule="auto"/>
        <w:rPr>
          <w:color w:val="000000"/>
        </w:rPr>
      </w:pPr>
    </w:p>
    <w:p w14:paraId="5D5C5B04" w14:textId="77777777" w:rsidR="0035729A" w:rsidRDefault="007E5634">
      <w:pPr>
        <w:spacing w:after="0" w:line="360" w:lineRule="auto"/>
      </w:pPr>
      <w:r>
        <w:rPr>
          <w:color w:val="000000"/>
        </w:rPr>
        <w:t xml:space="preserve">Así pues, previa búsqueda exhaustiva y razonable de la información en el área competente, deberá dar cuenta del nombre del personal que fue dado durante la temporalidad requerida, ello sin menoscabo de que, en caso de que se trate del mismo personal señalado por la Dirección Jurídica en respuesta, </w:t>
      </w:r>
      <w:r>
        <w:t>bastará</w:t>
      </w:r>
      <w:r>
        <w:rPr>
          <w:color w:val="000000"/>
        </w:rPr>
        <w:t xml:space="preserve"> que lo haga del conocimiento de la parte Recurrente </w:t>
      </w:r>
      <w:r>
        <w:t>de manera precisa y clara.</w:t>
      </w:r>
    </w:p>
    <w:p w14:paraId="27870002" w14:textId="77777777" w:rsidR="005565DB" w:rsidRDefault="005565DB">
      <w:pPr>
        <w:spacing w:after="0" w:line="360" w:lineRule="auto"/>
        <w:rPr>
          <w:color w:val="000000"/>
        </w:rPr>
      </w:pPr>
    </w:p>
    <w:p w14:paraId="3B1C7D6C" w14:textId="77777777" w:rsidR="0035729A" w:rsidRDefault="007E5634">
      <w:pPr>
        <w:numPr>
          <w:ilvl w:val="0"/>
          <w:numId w:val="14"/>
        </w:numPr>
        <w:pBdr>
          <w:top w:val="nil"/>
          <w:left w:val="nil"/>
          <w:bottom w:val="nil"/>
          <w:right w:val="nil"/>
          <w:between w:val="nil"/>
        </w:pBdr>
        <w:spacing w:after="0" w:line="360" w:lineRule="auto"/>
        <w:rPr>
          <w:b/>
          <w:bCs/>
          <w:color w:val="000000"/>
        </w:rPr>
      </w:pPr>
      <w:r>
        <w:rPr>
          <w:b/>
          <w:bCs/>
          <w:color w:val="000000"/>
        </w:rPr>
        <w:t xml:space="preserve">De la liquidación </w:t>
      </w:r>
    </w:p>
    <w:p w14:paraId="4F047153" w14:textId="77777777" w:rsidR="0035729A" w:rsidRDefault="0035729A">
      <w:pPr>
        <w:spacing w:after="0" w:line="360" w:lineRule="auto"/>
        <w:rPr>
          <w:color w:val="000000"/>
        </w:rPr>
      </w:pPr>
    </w:p>
    <w:p w14:paraId="0839871E" w14:textId="3F0BB92E" w:rsidR="005565DB" w:rsidRPr="005565DB" w:rsidRDefault="007E5634" w:rsidP="005565DB">
      <w:pPr>
        <w:spacing w:after="0" w:line="360" w:lineRule="auto"/>
        <w:rPr>
          <w:color w:val="000000"/>
        </w:rPr>
      </w:pPr>
      <w:r>
        <w:rPr>
          <w:color w:val="000000"/>
        </w:rPr>
        <w:t>Ahora bien, por cuanto hace a la liquidación, es menester recordar que el Sujeto Obligado mediante la Dirección Jurídica indicó que la información debía ser clasificada</w:t>
      </w:r>
      <w:r w:rsidR="005565DB">
        <w:rPr>
          <w:color w:val="000000"/>
        </w:rPr>
        <w:t>;</w:t>
      </w:r>
      <w:r w:rsidR="005565DB" w:rsidRPr="005565DB">
        <w:rPr>
          <w:color w:val="000000"/>
        </w:rPr>
        <w:t xml:space="preserve"> sobre el tema, según Trujillo, Humberto (2019), en el “Diccionario de Transparencia y Acceso a la Información Pública” (p. 201), </w:t>
      </w:r>
      <w:r w:rsidR="005565DB" w:rsidRPr="005565DB">
        <w:rPr>
          <w:b/>
          <w:bCs/>
          <w:color w:val="000000"/>
        </w:rPr>
        <w:t>la negativa de acceso a la información</w:t>
      </w:r>
      <w:r w:rsidR="005565DB" w:rsidRPr="005565DB">
        <w:rPr>
          <w:color w:val="000000"/>
        </w:rPr>
        <w:t xml:space="preserve"> ocurre cuanto de manera fundada y motivada, una autoridad la niega o la limita, por alguna de las siguientes razones:</w:t>
      </w:r>
    </w:p>
    <w:p w14:paraId="22012BD8" w14:textId="77777777" w:rsidR="005565DB" w:rsidRPr="005565DB" w:rsidRDefault="005565DB" w:rsidP="005565DB">
      <w:pPr>
        <w:spacing w:after="0" w:line="360" w:lineRule="auto"/>
        <w:rPr>
          <w:rFonts w:eastAsia="Times New Roman" w:cs="Tahoma"/>
          <w:iCs/>
          <w:color w:val="FF0000"/>
          <w:lang w:eastAsia="es-ES"/>
        </w:rPr>
      </w:pPr>
    </w:p>
    <w:p w14:paraId="21FBBBD0" w14:textId="77777777" w:rsidR="005565DB" w:rsidRPr="005565DB" w:rsidRDefault="005565DB" w:rsidP="005565DB">
      <w:pPr>
        <w:numPr>
          <w:ilvl w:val="0"/>
          <w:numId w:val="18"/>
        </w:numPr>
        <w:spacing w:after="0" w:line="360" w:lineRule="auto"/>
        <w:contextualSpacing/>
        <w:rPr>
          <w:rFonts w:eastAsia="Times New Roman" w:cs="Times New Roman"/>
          <w:szCs w:val="24"/>
          <w:lang w:eastAsia="es-ES"/>
        </w:rPr>
      </w:pPr>
      <w:r w:rsidRPr="005565DB">
        <w:rPr>
          <w:rFonts w:eastAsia="Times New Roman" w:cs="Times New Roman"/>
          <w:b/>
          <w:bCs/>
          <w:szCs w:val="24"/>
          <w:lang w:eastAsia="es-ES"/>
        </w:rPr>
        <w:t>La inexistencia de la información (p. 171):</w:t>
      </w:r>
      <w:r w:rsidRPr="005565DB">
        <w:rPr>
          <w:rFonts w:eastAsia="Times New Roman" w:cs="Times New Roman"/>
          <w:szCs w:val="24"/>
          <w:lang w:eastAsia="es-ES"/>
        </w:rPr>
        <w:t xml:space="preserve"> Sucede cuando la información solicitada no se encuentra en los archivos públicos o clasificados de los entes sujetos a las Leyes de Transparencia.</w:t>
      </w:r>
    </w:p>
    <w:p w14:paraId="5160D2D5" w14:textId="77777777" w:rsidR="005565DB" w:rsidRPr="005565DB" w:rsidRDefault="005565DB" w:rsidP="005565DB">
      <w:pPr>
        <w:spacing w:after="0" w:line="360" w:lineRule="auto"/>
      </w:pPr>
    </w:p>
    <w:p w14:paraId="0A851F08" w14:textId="77777777" w:rsidR="005565DB" w:rsidRPr="005565DB" w:rsidRDefault="005565DB" w:rsidP="005565DB">
      <w:pPr>
        <w:numPr>
          <w:ilvl w:val="0"/>
          <w:numId w:val="18"/>
        </w:numPr>
        <w:spacing w:after="0" w:line="360" w:lineRule="auto"/>
        <w:contextualSpacing/>
        <w:rPr>
          <w:rFonts w:eastAsia="Times New Roman" w:cs="Times New Roman"/>
          <w:szCs w:val="24"/>
          <w:lang w:eastAsia="es-ES"/>
        </w:rPr>
      </w:pPr>
      <w:r w:rsidRPr="005565DB">
        <w:rPr>
          <w:rFonts w:eastAsia="Times New Roman" w:cs="Times New Roman"/>
          <w:b/>
          <w:bCs/>
          <w:szCs w:val="24"/>
          <w:lang w:eastAsia="es-ES"/>
        </w:rPr>
        <w:t>La incompetencia del Sujeto Obligado (p. 171):</w:t>
      </w:r>
      <w:r w:rsidRPr="005565DB">
        <w:rPr>
          <w:rFonts w:eastAsia="Times New Roman" w:cs="Times New Roman"/>
          <w:szCs w:val="24"/>
          <w:lang w:eastAsia="es-ES"/>
        </w:rPr>
        <w:t xml:space="preserve"> Ocurre cuando el Sujeto Obligado carece de atribuciones para poseer la información peticionada.</w:t>
      </w:r>
    </w:p>
    <w:p w14:paraId="30042DBB" w14:textId="77777777" w:rsidR="005565DB" w:rsidRPr="005565DB" w:rsidRDefault="005565DB" w:rsidP="005565DB">
      <w:pPr>
        <w:spacing w:after="0" w:line="360" w:lineRule="auto"/>
      </w:pPr>
    </w:p>
    <w:p w14:paraId="2B5B1EC6" w14:textId="77777777" w:rsidR="005565DB" w:rsidRPr="005565DB" w:rsidRDefault="005565DB" w:rsidP="005565DB">
      <w:pPr>
        <w:numPr>
          <w:ilvl w:val="0"/>
          <w:numId w:val="18"/>
        </w:numPr>
        <w:spacing w:after="0" w:line="360" w:lineRule="auto"/>
        <w:contextualSpacing/>
        <w:rPr>
          <w:rFonts w:eastAsia="Times New Roman" w:cs="Tahoma"/>
          <w:iCs/>
          <w:szCs w:val="24"/>
          <w:lang w:eastAsia="es-ES"/>
        </w:rPr>
      </w:pPr>
      <w:r w:rsidRPr="005565DB">
        <w:rPr>
          <w:rFonts w:eastAsia="Times New Roman" w:cs="Times New Roman"/>
          <w:b/>
          <w:bCs/>
          <w:szCs w:val="24"/>
          <w:lang w:eastAsia="es-ES"/>
        </w:rPr>
        <w:t>La clasificación de la información (p. 70):</w:t>
      </w:r>
      <w:r w:rsidRPr="005565DB">
        <w:rPr>
          <w:rFonts w:eastAsia="Times New Roman" w:cs="Times New Roman"/>
          <w:szCs w:val="24"/>
          <w:lang w:eastAsia="es-ES"/>
        </w:rPr>
        <w:t xml:space="preserve"> Es el proceso o conjunto de acciones que realizan los sujetos obligados para establecer que determinada información se encuentra en alguno de los supuestos de reserva o confidencialidad establecidos en la legislación en materia de transparencia.</w:t>
      </w:r>
    </w:p>
    <w:p w14:paraId="61B8627A" w14:textId="77777777" w:rsidR="005565DB" w:rsidRPr="005565DB" w:rsidRDefault="005565DB" w:rsidP="005565DB">
      <w:pPr>
        <w:spacing w:after="0" w:line="360" w:lineRule="auto"/>
        <w:rPr>
          <w:color w:val="000000"/>
        </w:rPr>
      </w:pPr>
    </w:p>
    <w:p w14:paraId="79A6C645" w14:textId="77777777" w:rsidR="005565DB" w:rsidRPr="005565DB" w:rsidRDefault="005565DB" w:rsidP="005565DB">
      <w:pPr>
        <w:spacing w:after="0" w:line="360" w:lineRule="auto"/>
        <w:rPr>
          <w:b/>
          <w:bCs/>
          <w:color w:val="000000"/>
        </w:rPr>
      </w:pPr>
      <w:r w:rsidRPr="005565DB">
        <w:rPr>
          <w:color w:val="000000"/>
        </w:rPr>
        <w:t xml:space="preserve">Así, es de señalar que las excepciones al derecho de acceso a la información, consisten en que </w:t>
      </w:r>
      <w:r w:rsidRPr="005565DB">
        <w:rPr>
          <w:b/>
          <w:bCs/>
          <w:color w:val="000000"/>
        </w:rPr>
        <w:t>la documentación sea inexistente, obre en los archivos, pero se encuentre clasificada, o bien, el Sujeto Obligado sea incompetente</w:t>
      </w:r>
      <w:r w:rsidRPr="005565DB">
        <w:rPr>
          <w:color w:val="000000"/>
        </w:rPr>
        <w:t xml:space="preserve"> para contar con esta; esto es, la negativa de acceso a la información, recae cuando la documentación no se encuentre en los archivos del sujeto obligado, o bien exista, pero no pueda proporcionarse por contener datos </w:t>
      </w:r>
      <w:r w:rsidRPr="005565DB">
        <w:rPr>
          <w:b/>
          <w:bCs/>
          <w:color w:val="000000"/>
        </w:rPr>
        <w:t>confidenciales o reservados.</w:t>
      </w:r>
    </w:p>
    <w:p w14:paraId="0E11511C" w14:textId="77777777" w:rsidR="005565DB" w:rsidRPr="005565DB" w:rsidRDefault="005565DB" w:rsidP="005565DB">
      <w:pPr>
        <w:spacing w:after="0" w:line="360" w:lineRule="auto"/>
        <w:rPr>
          <w:color w:val="000000"/>
        </w:rPr>
      </w:pPr>
    </w:p>
    <w:p w14:paraId="49616561" w14:textId="77777777" w:rsidR="005565DB" w:rsidRPr="005565DB" w:rsidRDefault="005565DB" w:rsidP="005565DB">
      <w:pPr>
        <w:spacing w:after="0" w:line="360" w:lineRule="auto"/>
        <w:rPr>
          <w:color w:val="000000"/>
        </w:rPr>
      </w:pPr>
      <w:r w:rsidRPr="005565DB">
        <w:rPr>
          <w:color w:val="000000"/>
        </w:rPr>
        <w:t xml:space="preserve">En ese contexto, es de referir que el Sujeto Obligado, precisó que no podía entregar la información al contener información confidencial, es decir, aludió a una clasificación; sobre el tema, en los artículos 122, 128 y 130 de la Ley Transparencia y Acceso a la Información Pública del Estado de México y Municipios, se prevé que la clasificación es el proceso mediante el cual los sujetos obligados determinan que la información en su poder, actualiza alguno de los supuestos de </w:t>
      </w:r>
      <w:r w:rsidRPr="005565DB">
        <w:rPr>
          <w:b/>
          <w:bCs/>
          <w:color w:val="000000"/>
        </w:rPr>
        <w:t>reserva o confidencialidad</w:t>
      </w:r>
      <w:r w:rsidRPr="005565DB">
        <w:rPr>
          <w:color w:val="000000"/>
        </w:rPr>
        <w:t xml:space="preserve">. Además, que dichos entes deberán aplicar de manera </w:t>
      </w:r>
      <w:r w:rsidRPr="005565DB">
        <w:rPr>
          <w:color w:val="000000"/>
        </w:rPr>
        <w:lastRenderedPageBreak/>
        <w:t>restrictiva y limitada, las excepciones al derecho de acceso a la información, por lo que, tendrán que acreditar la procedencia.</w:t>
      </w:r>
    </w:p>
    <w:p w14:paraId="387B1BA5" w14:textId="77777777" w:rsidR="005565DB" w:rsidRPr="005565DB" w:rsidRDefault="005565DB" w:rsidP="005565DB">
      <w:pPr>
        <w:spacing w:after="0" w:line="360" w:lineRule="auto"/>
        <w:rPr>
          <w:color w:val="000000"/>
        </w:rPr>
      </w:pPr>
    </w:p>
    <w:p w14:paraId="65E067E0" w14:textId="77777777" w:rsidR="005565DB" w:rsidRPr="005565DB" w:rsidRDefault="005565DB" w:rsidP="005565DB">
      <w:pPr>
        <w:spacing w:after="0" w:line="360" w:lineRule="auto"/>
        <w:rPr>
          <w:color w:val="000000"/>
        </w:rPr>
      </w:pPr>
      <w:r w:rsidRPr="005565DB">
        <w:rPr>
          <w:color w:val="000000"/>
        </w:rPr>
        <w:t xml:space="preserve">Por lo cual, en los casos en que se niegue el acceso a la información, por actualizarse alguno de los supuestos de clasificación, </w:t>
      </w:r>
      <w:r w:rsidRPr="005565DB">
        <w:rPr>
          <w:b/>
          <w:bCs/>
          <w:color w:val="000000"/>
        </w:rPr>
        <w:t>el Comité de Transparencia deberá confirmar, modificar o revocar la decisión;</w:t>
      </w:r>
      <w:r w:rsidRPr="005565DB">
        <w:rPr>
          <w:color w:val="000000"/>
        </w:rPr>
        <w:t xml:space="preserve"> 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6CFDDB88" w14:textId="77777777" w:rsidR="005565DB" w:rsidRPr="005565DB" w:rsidRDefault="005565DB" w:rsidP="005565DB">
      <w:pPr>
        <w:spacing w:after="0" w:line="360" w:lineRule="auto"/>
        <w:rPr>
          <w:color w:val="000000"/>
        </w:rPr>
      </w:pPr>
    </w:p>
    <w:p w14:paraId="61DBE478" w14:textId="77777777" w:rsidR="005565DB" w:rsidRPr="005565DB" w:rsidRDefault="005565DB" w:rsidP="005565DB">
      <w:pPr>
        <w:spacing w:after="0" w:line="360" w:lineRule="auto"/>
        <w:rPr>
          <w:b/>
          <w:bCs/>
          <w:color w:val="000000"/>
        </w:rPr>
      </w:pPr>
      <w:r w:rsidRPr="005565DB">
        <w:rPr>
          <w:color w:val="000000"/>
        </w:rPr>
        <w:t xml:space="preserve">En ese contexto, de la interpretación del artículo 134 de la Ley de Transparencia y Acceso a la Información Pública del Estado de México y Municipios, se logra observar que </w:t>
      </w:r>
      <w:r w:rsidRPr="005565DB">
        <w:rPr>
          <w:b/>
          <w:bCs/>
          <w:color w:val="000000"/>
        </w:rPr>
        <w:t>la clasificación depende del contenido de los documentos, pues de su análisis se establece si corresponde a una clasificación total o parcial.</w:t>
      </w:r>
    </w:p>
    <w:p w14:paraId="4BD8B75E" w14:textId="77777777" w:rsidR="005565DB" w:rsidRPr="005565DB" w:rsidRDefault="005565DB" w:rsidP="005565DB">
      <w:pPr>
        <w:spacing w:after="0" w:line="360" w:lineRule="auto"/>
        <w:rPr>
          <w:color w:val="000000"/>
        </w:rPr>
      </w:pPr>
    </w:p>
    <w:p w14:paraId="53FF80F1" w14:textId="77777777" w:rsidR="005565DB" w:rsidRPr="005565DB" w:rsidRDefault="005565DB" w:rsidP="005565DB">
      <w:pPr>
        <w:spacing w:after="0" w:line="360" w:lineRule="auto"/>
        <w:rPr>
          <w:color w:val="000000"/>
        </w:rPr>
      </w:pPr>
      <w:r w:rsidRPr="005565DB">
        <w:rPr>
          <w:color w:val="000000"/>
        </w:rPr>
        <w:t>En otro orden de ideas, la clasificación como reservada o confidencial, en materia de transparencia y acceso a la información, va tendiente al contenido de los documentos, sin tomar en cuenta otras situaciones como la localización o ubicación de los archivos, pues su fin es proteger la información contenida en estos</w:t>
      </w:r>
    </w:p>
    <w:p w14:paraId="0C0277B1" w14:textId="77777777" w:rsidR="005565DB" w:rsidRPr="005565DB" w:rsidRDefault="005565DB" w:rsidP="005565DB">
      <w:pPr>
        <w:spacing w:after="0" w:line="360" w:lineRule="auto"/>
        <w:rPr>
          <w:b/>
          <w:bCs/>
          <w:color w:val="000000"/>
        </w:rPr>
      </w:pPr>
    </w:p>
    <w:p w14:paraId="55B6887B" w14:textId="77777777" w:rsidR="005565DB" w:rsidRPr="005565DB" w:rsidRDefault="005565DB" w:rsidP="005565DB">
      <w:pPr>
        <w:spacing w:after="0" w:line="360" w:lineRule="auto"/>
        <w:rPr>
          <w:b/>
          <w:bCs/>
          <w:color w:val="000000"/>
        </w:rPr>
      </w:pPr>
      <w:r w:rsidRPr="005565DB">
        <w:rPr>
          <w:color w:val="000000"/>
        </w:rPr>
        <w:t xml:space="preserve">En ese contexto, según </w:t>
      </w:r>
      <w:proofErr w:type="spellStart"/>
      <w:r w:rsidRPr="005565DB">
        <w:rPr>
          <w:color w:val="000000"/>
        </w:rPr>
        <w:t>Bonifaz</w:t>
      </w:r>
      <w:proofErr w:type="spellEnd"/>
      <w:r w:rsidRPr="005565DB">
        <w:rPr>
          <w:color w:val="000000"/>
        </w:rPr>
        <w:t xml:space="preserve">, Leticia (2016), en la “Ley General de Transparencia y Acceso a la Información Pública Comentada” (p. 342), la </w:t>
      </w:r>
      <w:r w:rsidRPr="005565DB">
        <w:rPr>
          <w:b/>
          <w:bCs/>
          <w:color w:val="000000"/>
        </w:rPr>
        <w:t>clasificación de la información</w:t>
      </w:r>
      <w:r w:rsidRPr="005565DB">
        <w:rPr>
          <w:color w:val="000000"/>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5565DB">
        <w:rPr>
          <w:b/>
          <w:bCs/>
          <w:color w:val="000000"/>
        </w:rPr>
        <w:t>de manera adecuada la negativa de información.</w:t>
      </w:r>
    </w:p>
    <w:p w14:paraId="569EC5F3" w14:textId="77777777" w:rsidR="005565DB" w:rsidRPr="005565DB" w:rsidRDefault="005565DB" w:rsidP="005565DB">
      <w:pPr>
        <w:spacing w:after="0" w:line="360" w:lineRule="auto"/>
        <w:rPr>
          <w:b/>
          <w:bCs/>
          <w:color w:val="000000"/>
        </w:rPr>
      </w:pPr>
    </w:p>
    <w:p w14:paraId="241CF15E" w14:textId="77777777" w:rsidR="005565DB" w:rsidRPr="005565DB" w:rsidRDefault="005565DB" w:rsidP="005565DB">
      <w:pPr>
        <w:spacing w:after="0" w:line="360" w:lineRule="auto"/>
        <w:rPr>
          <w:rFonts w:cs="Tahoma"/>
          <w:b/>
          <w:bCs/>
          <w:iCs/>
        </w:rPr>
      </w:pPr>
      <w:r w:rsidRPr="005565DB">
        <w:rPr>
          <w:color w:val="000000"/>
        </w:rPr>
        <w:lastRenderedPageBreak/>
        <w:t xml:space="preserve">Además, conforme al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5565DB">
        <w:rPr>
          <w:b/>
          <w:bCs/>
          <w:color w:val="000000"/>
        </w:rPr>
        <w:t>análisis caso por caso.</w:t>
      </w:r>
    </w:p>
    <w:p w14:paraId="056460D1" w14:textId="77777777" w:rsidR="005565DB" w:rsidRPr="005565DB" w:rsidRDefault="005565DB" w:rsidP="005565DB">
      <w:pPr>
        <w:spacing w:after="0" w:line="360" w:lineRule="auto"/>
        <w:rPr>
          <w:color w:val="000000"/>
        </w:rPr>
      </w:pPr>
    </w:p>
    <w:p w14:paraId="76E2F835" w14:textId="77777777" w:rsidR="005565DB" w:rsidRPr="005565DB" w:rsidRDefault="005565DB" w:rsidP="005565DB">
      <w:pPr>
        <w:spacing w:after="0" w:line="360" w:lineRule="auto"/>
        <w:rPr>
          <w:color w:val="000000"/>
        </w:rPr>
      </w:pPr>
      <w:r w:rsidRPr="005565DB">
        <w:rPr>
          <w:color w:val="000000"/>
        </w:rPr>
        <w:t>Sobre lo anterior, el artículo 131 de la Ley referida, así como el Quinto de los Lineamientos Generales, establecen que los sujetos obligados deberán fundar y motivar debidamente la clasificación de la información.</w:t>
      </w:r>
    </w:p>
    <w:p w14:paraId="7C58F1A0" w14:textId="77777777" w:rsidR="005565DB" w:rsidRPr="005565DB" w:rsidRDefault="005565DB" w:rsidP="005565DB">
      <w:pPr>
        <w:spacing w:after="0" w:line="360" w:lineRule="auto"/>
        <w:rPr>
          <w:color w:val="000000"/>
        </w:rPr>
      </w:pPr>
    </w:p>
    <w:p w14:paraId="7B3A885F" w14:textId="77777777" w:rsidR="005565DB" w:rsidRPr="005565DB" w:rsidRDefault="005565DB" w:rsidP="005565DB">
      <w:pPr>
        <w:spacing w:after="0" w:line="360" w:lineRule="auto"/>
        <w:rPr>
          <w:color w:val="000000"/>
        </w:rPr>
      </w:pPr>
      <w:r w:rsidRPr="005565DB">
        <w:rPr>
          <w:color w:val="000000"/>
        </w:rPr>
        <w:t>Al respecto, el Octavo de los Lineamientos Generales, precisa lo siguiente:</w:t>
      </w:r>
    </w:p>
    <w:p w14:paraId="0F8EB175" w14:textId="77777777" w:rsidR="005565DB" w:rsidRPr="005565DB" w:rsidRDefault="005565DB" w:rsidP="005565DB">
      <w:pPr>
        <w:spacing w:after="0" w:line="360" w:lineRule="auto"/>
        <w:rPr>
          <w:color w:val="000000"/>
        </w:rPr>
      </w:pPr>
    </w:p>
    <w:p w14:paraId="703A7C3D" w14:textId="77777777" w:rsidR="005565DB" w:rsidRPr="005565DB" w:rsidRDefault="005565DB" w:rsidP="005565DB">
      <w:pPr>
        <w:numPr>
          <w:ilvl w:val="0"/>
          <w:numId w:val="19"/>
        </w:numPr>
        <w:spacing w:after="0" w:line="360" w:lineRule="auto"/>
        <w:contextualSpacing/>
        <w:rPr>
          <w:rFonts w:eastAsia="Times New Roman" w:cs="Times New Roman"/>
          <w:color w:val="000000"/>
          <w:szCs w:val="24"/>
          <w:u w:val="single"/>
          <w:lang w:eastAsia="es-ES"/>
        </w:rPr>
      </w:pPr>
      <w:r w:rsidRPr="005565DB">
        <w:rPr>
          <w:rFonts w:eastAsia="Times New Roman" w:cs="Times New Roman"/>
          <w:b/>
          <w:bCs/>
          <w:color w:val="000000"/>
          <w:szCs w:val="24"/>
          <w:lang w:eastAsia="es-ES"/>
        </w:rPr>
        <w:t>Para fundar la clasificación</w:t>
      </w:r>
      <w:r w:rsidRPr="005565DB">
        <w:rPr>
          <w:rFonts w:eastAsia="Times New Roman" w:cs="Times New Roman"/>
          <w:color w:val="000000"/>
          <w:szCs w:val="24"/>
          <w:lang w:eastAsia="es-ES"/>
        </w:rPr>
        <w:t xml:space="preserve"> de la información se deberán </w:t>
      </w:r>
      <w:r w:rsidRPr="005565DB">
        <w:rPr>
          <w:rFonts w:eastAsia="Times New Roman" w:cs="Times New Roman"/>
          <w:color w:val="000000"/>
          <w:szCs w:val="24"/>
          <w:u w:val="single"/>
          <w:lang w:eastAsia="es-ES"/>
        </w:rPr>
        <w:t>señalar el artículo, fracción, inciso, párrafo o numeral de la Ley aplicable.</w:t>
      </w:r>
    </w:p>
    <w:p w14:paraId="0EBD2CD8" w14:textId="77777777" w:rsidR="005565DB" w:rsidRPr="005565DB" w:rsidRDefault="005565DB" w:rsidP="005565DB">
      <w:pPr>
        <w:spacing w:after="0" w:line="360" w:lineRule="auto"/>
        <w:ind w:left="720"/>
        <w:contextualSpacing/>
        <w:rPr>
          <w:rFonts w:eastAsia="Times New Roman" w:cs="Times New Roman"/>
          <w:color w:val="000000"/>
          <w:szCs w:val="24"/>
          <w:u w:val="single"/>
          <w:lang w:eastAsia="es-ES"/>
        </w:rPr>
      </w:pPr>
    </w:p>
    <w:p w14:paraId="0A6E178A" w14:textId="77777777" w:rsidR="005565DB" w:rsidRPr="005565DB" w:rsidRDefault="005565DB" w:rsidP="005565DB">
      <w:pPr>
        <w:numPr>
          <w:ilvl w:val="0"/>
          <w:numId w:val="19"/>
        </w:numPr>
        <w:spacing w:after="0" w:line="360" w:lineRule="auto"/>
        <w:contextualSpacing/>
        <w:rPr>
          <w:rFonts w:eastAsia="Times New Roman" w:cs="Tahoma"/>
          <w:iCs/>
          <w:szCs w:val="24"/>
          <w:lang w:eastAsia="es-ES"/>
        </w:rPr>
      </w:pPr>
      <w:r w:rsidRPr="005565DB">
        <w:rPr>
          <w:rFonts w:eastAsia="Times New Roman" w:cs="Times New Roman"/>
          <w:b/>
          <w:bCs/>
          <w:color w:val="000000"/>
          <w:szCs w:val="24"/>
          <w:lang w:eastAsia="es-ES"/>
        </w:rPr>
        <w:t>Para motivar la clasificación</w:t>
      </w:r>
      <w:r w:rsidRPr="005565DB">
        <w:rPr>
          <w:rFonts w:eastAsia="Times New Roman" w:cs="Times New Roman"/>
          <w:color w:val="000000"/>
          <w:szCs w:val="24"/>
          <w:lang w:eastAsia="es-ES"/>
        </w:rPr>
        <w:t xml:space="preserve"> se deberán </w:t>
      </w:r>
      <w:r w:rsidRPr="005565DB">
        <w:rPr>
          <w:rFonts w:eastAsia="Times New Roman" w:cs="Times New Roman"/>
          <w:color w:val="000000"/>
          <w:szCs w:val="24"/>
          <w:u w:val="single"/>
          <w:lang w:eastAsia="es-ES"/>
        </w:rPr>
        <w:t>indicar las razones y circunstancias</w:t>
      </w:r>
      <w:r w:rsidRPr="005565DB">
        <w:rPr>
          <w:rFonts w:eastAsia="Times New Roman" w:cs="Times New Roman"/>
          <w:color w:val="000000"/>
          <w:szCs w:val="24"/>
          <w:lang w:eastAsia="es-ES"/>
        </w:rPr>
        <w:t xml:space="preserve"> especiales que lo llevaron a concluir que el caso particular se ajusta al supuesto previsto por la norma legal invocada.</w:t>
      </w:r>
    </w:p>
    <w:p w14:paraId="3C89BE08" w14:textId="77777777" w:rsidR="005565DB" w:rsidRPr="005565DB" w:rsidRDefault="005565DB" w:rsidP="005565DB">
      <w:pPr>
        <w:spacing w:after="0" w:line="360" w:lineRule="auto"/>
        <w:ind w:left="720"/>
        <w:contextualSpacing/>
        <w:rPr>
          <w:rFonts w:ascii="Times New Roman" w:eastAsia="Times New Roman" w:hAnsi="Times New Roman" w:cs="Tahoma"/>
          <w:iCs/>
          <w:szCs w:val="24"/>
          <w:lang w:eastAsia="es-ES"/>
        </w:rPr>
      </w:pPr>
    </w:p>
    <w:p w14:paraId="0B4C1BE4" w14:textId="77777777" w:rsidR="005565DB" w:rsidRPr="005565DB" w:rsidRDefault="005565DB" w:rsidP="005565DB">
      <w:pPr>
        <w:spacing w:after="0" w:line="360" w:lineRule="auto"/>
        <w:rPr>
          <w:color w:val="000000"/>
        </w:rPr>
      </w:pPr>
      <w:r w:rsidRPr="005565DB">
        <w:rPr>
          <w:color w:val="000000"/>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se trae cita por analogía la Tesis aislada número I. 4o. P. 56 P, Octava Época, publicada en el Semanario Judicial de la Federación, Tomo XIV, noviembre de mil novecientos noventa y cuatro, (p. 450), que establece lo siguiente:</w:t>
      </w:r>
    </w:p>
    <w:p w14:paraId="01D6AB49" w14:textId="77777777" w:rsidR="005565DB" w:rsidRPr="005565DB" w:rsidRDefault="005565DB" w:rsidP="005565DB">
      <w:pPr>
        <w:spacing w:after="0" w:line="360" w:lineRule="auto"/>
        <w:rPr>
          <w:color w:val="000000"/>
        </w:rPr>
      </w:pPr>
    </w:p>
    <w:p w14:paraId="2375BE80" w14:textId="77777777" w:rsidR="005565DB" w:rsidRPr="005565DB" w:rsidRDefault="005565DB" w:rsidP="005565DB">
      <w:pPr>
        <w:spacing w:after="0" w:line="360" w:lineRule="auto"/>
        <w:ind w:left="567" w:right="567"/>
        <w:rPr>
          <w:i/>
          <w:iCs/>
          <w:sz w:val="20"/>
          <w:szCs w:val="20"/>
        </w:rPr>
      </w:pPr>
      <w:r w:rsidRPr="005565DB">
        <w:rPr>
          <w:b/>
          <w:bCs/>
          <w:i/>
          <w:iCs/>
          <w:sz w:val="20"/>
          <w:szCs w:val="20"/>
        </w:rPr>
        <w:t>“FUNDAMENTACION Y MOTIVACION, CONCEPTO DE.</w:t>
      </w:r>
      <w:r w:rsidRPr="005565DB">
        <w:rPr>
          <w:i/>
          <w:iCs/>
          <w:sz w:val="20"/>
          <w:szCs w:val="20"/>
        </w:rPr>
        <w:t xml:space="preserve"> 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771A0A11" w14:textId="77777777" w:rsidR="005565DB" w:rsidRPr="005565DB" w:rsidRDefault="005565DB" w:rsidP="005565DB">
      <w:pPr>
        <w:spacing w:after="0" w:line="360" w:lineRule="auto"/>
        <w:rPr>
          <w:rFonts w:cs="Tahoma"/>
          <w:iCs/>
        </w:rPr>
      </w:pPr>
    </w:p>
    <w:p w14:paraId="3D012FA7" w14:textId="77777777" w:rsidR="005565DB" w:rsidRPr="005565DB" w:rsidRDefault="005565DB" w:rsidP="005565DB">
      <w:pPr>
        <w:spacing w:after="0" w:line="360" w:lineRule="auto"/>
        <w:rPr>
          <w:color w:val="000000"/>
        </w:rPr>
      </w:pPr>
      <w:r w:rsidRPr="005565DB">
        <w:rPr>
          <w:color w:val="000000"/>
        </w:rPr>
        <w:t>Conforme a lo anterior, se advierte lo siguiente:</w:t>
      </w:r>
    </w:p>
    <w:p w14:paraId="718DEEB5" w14:textId="77777777" w:rsidR="005565DB" w:rsidRPr="005565DB" w:rsidRDefault="005565DB" w:rsidP="005565DB">
      <w:pPr>
        <w:spacing w:after="0" w:line="360" w:lineRule="auto"/>
        <w:rPr>
          <w:color w:val="000000"/>
        </w:rPr>
      </w:pPr>
    </w:p>
    <w:p w14:paraId="6D0B9C2C" w14:textId="77777777" w:rsidR="005565DB" w:rsidRPr="005565DB" w:rsidRDefault="005565DB" w:rsidP="005565DB">
      <w:pPr>
        <w:numPr>
          <w:ilvl w:val="0"/>
          <w:numId w:val="20"/>
        </w:numPr>
        <w:spacing w:after="0" w:line="360" w:lineRule="auto"/>
        <w:contextualSpacing/>
        <w:rPr>
          <w:rFonts w:eastAsia="Times New Roman" w:cs="Times New Roman"/>
          <w:color w:val="000000"/>
          <w:szCs w:val="24"/>
          <w:lang w:eastAsia="es-ES"/>
        </w:rPr>
      </w:pPr>
      <w:r w:rsidRPr="005565DB">
        <w:rPr>
          <w:rFonts w:eastAsia="Times New Roman" w:cs="Times New Roman"/>
          <w:b/>
          <w:bCs/>
          <w:color w:val="000000"/>
          <w:szCs w:val="24"/>
          <w:lang w:eastAsia="es-ES"/>
        </w:rPr>
        <w:t>Fundamentación:</w:t>
      </w:r>
      <w:r w:rsidRPr="005565DB">
        <w:rPr>
          <w:rFonts w:eastAsia="Times New Roman" w:cs="Times New Roman"/>
          <w:color w:val="000000"/>
          <w:szCs w:val="24"/>
          <w:lang w:eastAsia="es-ES"/>
        </w:rPr>
        <w:t xml:space="preserve"> Obligación de la autoridad que emite un acto, para citar los preceptos legales, sustantivos y adjetivos, en que se apoye para la determinación tomada. </w:t>
      </w:r>
    </w:p>
    <w:p w14:paraId="71733EF0" w14:textId="77777777" w:rsidR="005565DB" w:rsidRPr="005565DB" w:rsidRDefault="005565DB" w:rsidP="005565DB">
      <w:pPr>
        <w:spacing w:after="0" w:line="360" w:lineRule="auto"/>
        <w:ind w:left="720"/>
        <w:contextualSpacing/>
        <w:rPr>
          <w:rFonts w:eastAsia="Times New Roman" w:cs="Times New Roman"/>
          <w:color w:val="000000"/>
          <w:szCs w:val="24"/>
          <w:lang w:eastAsia="es-ES"/>
        </w:rPr>
      </w:pPr>
    </w:p>
    <w:p w14:paraId="6D42803C" w14:textId="77777777" w:rsidR="005565DB" w:rsidRPr="005565DB" w:rsidRDefault="005565DB" w:rsidP="005565DB">
      <w:pPr>
        <w:numPr>
          <w:ilvl w:val="0"/>
          <w:numId w:val="20"/>
        </w:numPr>
        <w:spacing w:after="0" w:line="360" w:lineRule="auto"/>
        <w:contextualSpacing/>
        <w:rPr>
          <w:rFonts w:eastAsia="Times New Roman" w:cs="Times New Roman"/>
          <w:color w:val="000000"/>
          <w:szCs w:val="24"/>
          <w:lang w:eastAsia="es-ES"/>
        </w:rPr>
      </w:pPr>
      <w:r w:rsidRPr="005565DB">
        <w:rPr>
          <w:rFonts w:eastAsia="Times New Roman" w:cs="Times New Roman"/>
          <w:b/>
          <w:bCs/>
          <w:color w:val="000000"/>
          <w:szCs w:val="24"/>
          <w:lang w:eastAsia="es-ES"/>
        </w:rPr>
        <w:t>Motivación:</w:t>
      </w:r>
      <w:r w:rsidRPr="005565DB">
        <w:rPr>
          <w:rFonts w:eastAsia="Times New Roman" w:cs="Times New Roman"/>
          <w:color w:val="000000"/>
          <w:szCs w:val="24"/>
          <w:lang w:eastAsia="es-ES"/>
        </w:rPr>
        <w:t xml:space="preserve"> Razonamientos lógico-jurídicos sobre porque se consideró en el caso en concreto, que se ajusta a la hipótesis normativa.</w:t>
      </w:r>
    </w:p>
    <w:p w14:paraId="0DD55F33" w14:textId="77777777" w:rsidR="005565DB" w:rsidRDefault="005565DB" w:rsidP="005565DB">
      <w:pPr>
        <w:spacing w:after="0" w:line="360" w:lineRule="auto"/>
        <w:rPr>
          <w:color w:val="000000"/>
        </w:rPr>
      </w:pPr>
    </w:p>
    <w:p w14:paraId="2B3E722A" w14:textId="3FCBF07A" w:rsidR="005565DB" w:rsidRPr="005565DB" w:rsidRDefault="005565DB" w:rsidP="005565DB">
      <w:pPr>
        <w:spacing w:after="0" w:line="360" w:lineRule="auto"/>
        <w:rPr>
          <w:color w:val="000000"/>
        </w:rPr>
      </w:pPr>
      <w:r w:rsidRPr="005565DB">
        <w:rPr>
          <w:color w:val="000000"/>
        </w:rPr>
        <w:t>Situación que toma relevancia, pues conforme al artículo 149 de la Ley de Transparencia y Acceso a la Información Pública del Estado de México y Municipios, todo acuerdo que clasifique la información como confidencial, deberá contener un razonamiento lógico en el que se demuestre que la información actualiza alguna de las hipótesis previstas en el artículo 143 del ordenamiento jurídico establecido.</w:t>
      </w:r>
    </w:p>
    <w:p w14:paraId="15AE6C2F" w14:textId="77777777" w:rsidR="005565DB" w:rsidRPr="005565DB" w:rsidRDefault="005565DB" w:rsidP="005565DB">
      <w:pPr>
        <w:spacing w:after="0" w:line="360" w:lineRule="auto"/>
        <w:rPr>
          <w:color w:val="000000"/>
        </w:rPr>
      </w:pPr>
    </w:p>
    <w:p w14:paraId="5F790005" w14:textId="5BD0F920" w:rsidR="005565DB" w:rsidRPr="005565DB" w:rsidRDefault="005565DB" w:rsidP="005565DB">
      <w:pPr>
        <w:spacing w:after="0" w:line="360" w:lineRule="auto"/>
        <w:rPr>
          <w:color w:val="000000"/>
        </w:rPr>
      </w:pPr>
      <w:r w:rsidRPr="005565DB">
        <w:rPr>
          <w:color w:val="000000"/>
        </w:rPr>
        <w:t xml:space="preserve">En ese contexto, es de señalar que </w:t>
      </w:r>
      <w:r>
        <w:t>Ayuntamiento de Tianguistenco</w:t>
      </w:r>
      <w:r w:rsidRPr="005565DB">
        <w:rPr>
          <w:color w:val="000000"/>
        </w:rPr>
        <w:t>, no precisó de manera fundada y motivada las razones por las cuales, consideraba que los documentos solicitados eran clasificados; ni el Comité de Transparencia emitió el acuerdo que confirmará dicha circunstancia, pues únicamente refirió que no podía entregar la información al ser información confidencial</w:t>
      </w:r>
      <w:r w:rsidRPr="005565DB">
        <w:rPr>
          <w:b/>
          <w:bCs/>
          <w:color w:val="000000"/>
        </w:rPr>
        <w:t>.</w:t>
      </w:r>
    </w:p>
    <w:p w14:paraId="3F12909A" w14:textId="77777777" w:rsidR="005565DB" w:rsidRPr="005565DB" w:rsidRDefault="005565DB" w:rsidP="005565DB">
      <w:pPr>
        <w:spacing w:after="0" w:line="360" w:lineRule="auto"/>
        <w:rPr>
          <w:rFonts w:eastAsia="Times New Roman" w:cs="Arial"/>
          <w:color w:val="000000"/>
          <w:lang w:val="x-none" w:eastAsia="es-ES"/>
        </w:rPr>
      </w:pPr>
      <w:r w:rsidRPr="005565DB">
        <w:rPr>
          <w:color w:val="000000"/>
        </w:rPr>
        <w:lastRenderedPageBreak/>
        <w:t xml:space="preserve">Además, se considera que los documentos rinden cuentas </w:t>
      </w:r>
      <w:r w:rsidRPr="005565DB">
        <w:rPr>
          <w:rFonts w:eastAsia="Calibri" w:cs="Tahoma"/>
          <w:bCs/>
          <w:color w:val="000000"/>
        </w:rPr>
        <w:t>de la forma en que utiliza el Ayuntamiento los recursos públicos</w:t>
      </w:r>
      <w:r w:rsidRPr="005565DB">
        <w:rPr>
          <w:rFonts w:eastAsia="Times New Roman" w:cs="Tahoma"/>
          <w:bCs/>
          <w:iCs/>
          <w:color w:val="000000"/>
          <w:lang w:val="es-ES_tradnl" w:eastAsia="es-ES"/>
        </w:rPr>
        <w:t>; sobre</w:t>
      </w:r>
      <w:r w:rsidRPr="005565DB">
        <w:rPr>
          <w:rFonts w:eastAsia="Times New Roman" w:cs="Tahoma"/>
          <w:color w:val="000000"/>
          <w:lang w:val="es-ES" w:eastAsia="es-ES"/>
        </w:rPr>
        <w:t xml:space="preserve"> el tema, </w:t>
      </w:r>
      <w:r w:rsidRPr="005565DB">
        <w:rPr>
          <w:rFonts w:eastAsia="Times New Roman" w:cs="Arial"/>
          <w:bCs/>
          <w:color w:val="000000"/>
          <w:lang w:eastAsia="es-ES"/>
        </w:rPr>
        <w:t xml:space="preserve">según Arizmendi, Guillermo (2016), en la “Ley General de Transparencia y Acceso a la Información Pública Comentada” (p. 240 y 241), los recursos públicos, deber ser administrado con responsabilidad y transparencia. </w:t>
      </w:r>
      <w:r w:rsidRPr="005565DB">
        <w:rPr>
          <w:rFonts w:eastAsia="Times New Roman" w:cs="Tahoma"/>
          <w:color w:val="000000"/>
          <w:lang w:val="es-ES" w:eastAsia="es-ES"/>
        </w:rPr>
        <w:t xml:space="preserve">En ese orden de ideas, según Trujillo, Humberto (2019), en el “Diccionario de Transparencia y Acceso a la Información Pública” (p. 276), </w:t>
      </w:r>
      <w:r w:rsidRPr="005565DB">
        <w:rPr>
          <w:rFonts w:eastAsia="Times New Roman" w:cs="Tahoma"/>
          <w:b/>
          <w:color w:val="000000"/>
          <w:lang w:val="es-ES" w:eastAsia="es-ES"/>
        </w:rPr>
        <w:t>los recursos públicos son los ingresos económicos, que obtiene el Estado y que asigna (a partir del presupuesto) al ejercicio de sus actividades, los cuales deben ser asignados de manera transparente y bajo un sistema de rendición de cuentas, para que las personas puedan monitorear, evaluar y cuestionar su gasto.</w:t>
      </w:r>
    </w:p>
    <w:p w14:paraId="46422728" w14:textId="77777777" w:rsidR="005565DB" w:rsidRPr="005565DB" w:rsidRDefault="005565DB" w:rsidP="005565DB">
      <w:pPr>
        <w:spacing w:after="0" w:line="360" w:lineRule="auto"/>
        <w:rPr>
          <w:rFonts w:eastAsia="Times New Roman" w:cs="Tahoma"/>
          <w:b/>
          <w:color w:val="000000"/>
          <w:lang w:val="es-ES" w:eastAsia="es-ES"/>
        </w:rPr>
      </w:pPr>
    </w:p>
    <w:p w14:paraId="72E500BF" w14:textId="77777777" w:rsidR="005565DB" w:rsidRPr="005565DB" w:rsidRDefault="005565DB" w:rsidP="005565DB">
      <w:pPr>
        <w:spacing w:after="0" w:line="360" w:lineRule="auto"/>
        <w:rPr>
          <w:rFonts w:eastAsia="Times New Roman" w:cs="Tahoma"/>
          <w:color w:val="000000"/>
          <w:lang w:eastAsia="es-ES"/>
        </w:rPr>
      </w:pPr>
      <w:r w:rsidRPr="005565DB">
        <w:rPr>
          <w:rFonts w:eastAsia="Times New Roman" w:cs="Tahoma"/>
          <w:color w:val="000000"/>
          <w:lang w:val="es-ES" w:eastAsia="es-ES"/>
        </w:rPr>
        <w:t xml:space="preserve">Además, los artículos 134 de la Constitución Política de los Estados Unidos Mexicanos y el 129 de la Constitución Política del Estado Libre y Soberano de México, establecen que los recursos públicos de que dispongan, entre otros, los Municipios, se administrarán con eficiencia, eficacia, economía, </w:t>
      </w:r>
      <w:r w:rsidRPr="005565DB">
        <w:rPr>
          <w:rFonts w:eastAsia="Times New Roman" w:cs="Tahoma"/>
          <w:b/>
          <w:color w:val="000000"/>
          <w:lang w:val="es-ES" w:eastAsia="es-ES"/>
        </w:rPr>
        <w:t xml:space="preserve">transparencia </w:t>
      </w:r>
      <w:r w:rsidRPr="005565DB">
        <w:rPr>
          <w:rFonts w:eastAsia="Times New Roman" w:cs="Tahoma"/>
          <w:color w:val="000000"/>
          <w:lang w:val="es-ES" w:eastAsia="es-ES"/>
        </w:rPr>
        <w:t xml:space="preserve">y honradez; sobre lo referido,  </w:t>
      </w:r>
      <w:r w:rsidRPr="005565DB">
        <w:rPr>
          <w:rFonts w:eastAsia="Times New Roman" w:cs="Tahoma"/>
          <w:color w:val="000000"/>
          <w:lang w:eastAsia="es-ES"/>
        </w:rPr>
        <w:t>la Tesis número 1a.CXLV/2009, Novena Época, publicada en el Semanario Judicial de la Federación, Tomo XXX, de septiembre de dos mil nueve, (p. 2712), establece lo siguiente:</w:t>
      </w:r>
    </w:p>
    <w:p w14:paraId="565A89B5" w14:textId="77777777" w:rsidR="005565DB" w:rsidRPr="005565DB" w:rsidRDefault="005565DB" w:rsidP="005565DB">
      <w:pPr>
        <w:spacing w:after="0" w:line="360" w:lineRule="auto"/>
        <w:rPr>
          <w:rFonts w:eastAsia="Times New Roman" w:cs="Tahoma"/>
          <w:color w:val="000000"/>
          <w:lang w:val="es-ES" w:eastAsia="es-ES"/>
        </w:rPr>
      </w:pPr>
    </w:p>
    <w:p w14:paraId="6A61DB5D" w14:textId="77777777" w:rsidR="005565DB" w:rsidRPr="005565DB" w:rsidRDefault="005565DB" w:rsidP="005565DB">
      <w:pPr>
        <w:spacing w:after="0" w:line="360" w:lineRule="auto"/>
        <w:ind w:left="567" w:right="567"/>
        <w:rPr>
          <w:rFonts w:eastAsia="Times New Roman" w:cs="Tahoma"/>
          <w:bCs/>
          <w:i/>
          <w:iCs/>
          <w:color w:val="000000"/>
          <w:sz w:val="20"/>
          <w:szCs w:val="20"/>
          <w:lang w:val="es-ES" w:eastAsia="es-ES"/>
        </w:rPr>
      </w:pPr>
      <w:r w:rsidRPr="005565DB">
        <w:rPr>
          <w:rFonts w:eastAsia="Times New Roman" w:cs="Tahoma"/>
          <w:b/>
          <w:bCs/>
          <w:i/>
          <w:iCs/>
          <w:color w:val="000000"/>
          <w:sz w:val="20"/>
          <w:szCs w:val="20"/>
          <w:lang w:val="es-ES" w:eastAsia="es-ES"/>
        </w:rPr>
        <w:t>“</w:t>
      </w:r>
      <w:r w:rsidRPr="005565DB">
        <w:rPr>
          <w:rFonts w:eastAsia="Times New Roman" w:cs="Tahoma"/>
          <w:b/>
          <w:bCs/>
          <w:i/>
          <w:iCs/>
          <w:color w:val="000000"/>
          <w:sz w:val="20"/>
          <w:szCs w:val="20"/>
          <w:lang w:eastAsia="es-ES"/>
        </w:rPr>
        <w:t xml:space="preserve">GASTO PÚBLICO. EL ARTÍCULO 134 DE LA CONSTITUCIÓN POLÍTICA DE LOS ESTADOS UNIDOS MEXICANOS ELEVA A RANGO CONSTITUCIONAL LOS PRINCIPIOS DE LEGALIDAD, EFICIENCIA, EFICACIA, ECONOMÍA, TRANSPARENCIA Y HONRADEZ EN ESTA MATERIA. </w:t>
      </w:r>
      <w:r w:rsidRPr="005565DB">
        <w:rPr>
          <w:rFonts w:eastAsia="Times New Roman" w:cs="Tahoma"/>
          <w:bCs/>
          <w:i/>
          <w:iCs/>
          <w:color w:val="000000"/>
          <w:sz w:val="20"/>
          <w:szCs w:val="20"/>
          <w:lang w:eastAsia="es-ES"/>
        </w:rPr>
        <w:t xml:space="preserve">Del citado precepto constitucional se advierte que el correcto ejercicio del gasto público se salvaguarda por los siguientes principios: 1. Legalidad, en tanto que debe estar prescrito en el Presupuesto de Egresos o, en su defecto, en una ley expedida por el Congreso de la Unión, lo cual significa la sujeción de las autoridades a un modelo normativo previamente establecido; 2. Honradez, pues implica que no debe llevarse a cabo de manera abusiva, ni para un destino diverso al programado; 3. Eficiencia, en el entendido de que las autoridades deben disponer de los medios que estimen convenientes para que el ejercicio del gasto público logre el fin para el cual se programó y destinó; 4. Eficacia, ya que es indispensable contar con la capacidad </w:t>
      </w:r>
      <w:r w:rsidRPr="005565DB">
        <w:rPr>
          <w:rFonts w:eastAsia="Times New Roman" w:cs="Tahoma"/>
          <w:bCs/>
          <w:i/>
          <w:iCs/>
          <w:color w:val="000000"/>
          <w:sz w:val="20"/>
          <w:szCs w:val="20"/>
          <w:lang w:eastAsia="es-ES"/>
        </w:rPr>
        <w:lastRenderedPageBreak/>
        <w:t>suficiente para lograr las metas estimadas; 5. Economía, en el sentido de que el gasto público debe ejercerse recta y prudentemente, lo cual implica que los servidores públicos siempre deben buscar las mejores condiciones de contratación para el Estado, y 6. Transparencia, para permitir hacer del conocimiento público el ejercicio del gasto estatal.</w:t>
      </w:r>
      <w:r w:rsidRPr="005565DB">
        <w:rPr>
          <w:rFonts w:eastAsia="Times New Roman" w:cs="Tahoma"/>
          <w:bCs/>
          <w:i/>
          <w:iCs/>
          <w:color w:val="000000"/>
          <w:sz w:val="20"/>
          <w:szCs w:val="20"/>
          <w:lang w:val="es-ES" w:eastAsia="es-ES"/>
        </w:rPr>
        <w:t>”</w:t>
      </w:r>
    </w:p>
    <w:p w14:paraId="47296D3B" w14:textId="77777777" w:rsidR="005565DB" w:rsidRPr="005565DB" w:rsidRDefault="005565DB" w:rsidP="005565DB">
      <w:pPr>
        <w:spacing w:after="0" w:line="360" w:lineRule="auto"/>
        <w:rPr>
          <w:rFonts w:eastAsia="Times New Roman" w:cs="Tahoma"/>
          <w:bCs/>
          <w:iCs/>
          <w:color w:val="000000"/>
          <w:lang w:val="es-ES" w:eastAsia="es-ES"/>
        </w:rPr>
      </w:pPr>
    </w:p>
    <w:p w14:paraId="1B50403C" w14:textId="77777777" w:rsidR="005565DB" w:rsidRPr="005565DB" w:rsidRDefault="005565DB" w:rsidP="005565DB">
      <w:pPr>
        <w:spacing w:after="0" w:line="360" w:lineRule="auto"/>
        <w:rPr>
          <w:rFonts w:eastAsia="Times New Roman" w:cs="Tahoma"/>
          <w:bCs/>
          <w:iCs/>
          <w:color w:val="000000"/>
          <w:lang w:val="es-ES" w:eastAsia="es-ES"/>
        </w:rPr>
      </w:pPr>
      <w:r w:rsidRPr="005565DB">
        <w:rPr>
          <w:rFonts w:eastAsia="Times New Roman" w:cs="Tahoma"/>
          <w:bCs/>
          <w:iCs/>
          <w:color w:val="000000"/>
          <w:lang w:val="es-ES" w:eastAsia="es-ES"/>
        </w:rPr>
        <w:t>Como se logra observar, el ejercicio de recursos públicos por parte de los tres niveles de Gobierno, que incluye a los Municipios, debe seguir el Principio de Transparencia, que implica permitir a la ciudadanía conocer en la forma en que se gasta el Estado, los recursos con los que cuenta para el cumplimiento de sus obligaciones y atribuciones.</w:t>
      </w:r>
    </w:p>
    <w:p w14:paraId="70BD026E" w14:textId="77777777" w:rsidR="005565DB" w:rsidRPr="005565DB" w:rsidRDefault="005565DB" w:rsidP="005565DB">
      <w:pPr>
        <w:spacing w:after="0" w:line="360" w:lineRule="auto"/>
        <w:rPr>
          <w:rFonts w:eastAsia="Times New Roman" w:cs="Tahoma"/>
          <w:bCs/>
          <w:iCs/>
          <w:color w:val="000000"/>
          <w:lang w:val="es-ES" w:eastAsia="es-ES"/>
        </w:rPr>
      </w:pPr>
    </w:p>
    <w:p w14:paraId="1E131E7D" w14:textId="77777777" w:rsidR="005565DB" w:rsidRDefault="005565DB" w:rsidP="005565DB">
      <w:pPr>
        <w:spacing w:after="0" w:line="360" w:lineRule="auto"/>
        <w:rPr>
          <w:rFonts w:eastAsia="Times New Roman" w:cs="Tahoma"/>
          <w:color w:val="000000"/>
          <w:lang w:val="es-ES" w:eastAsia="es-ES"/>
        </w:rPr>
      </w:pPr>
      <w:r w:rsidRPr="005565DB">
        <w:rPr>
          <w:rFonts w:eastAsia="Times New Roman" w:cs="Tahoma"/>
          <w:bCs/>
          <w:iCs/>
          <w:color w:val="000000"/>
          <w:lang w:val="es-ES" w:eastAsia="es-ES"/>
        </w:rPr>
        <w:t xml:space="preserve">Al respecto, </w:t>
      </w:r>
      <w:r w:rsidRPr="005565DB">
        <w:rPr>
          <w:rFonts w:eastAsia="Times New Roman" w:cs="Tahoma"/>
          <w:color w:val="000000"/>
          <w:lang w:val="es-ES" w:eastAsia="es-ES"/>
        </w:rPr>
        <w:t xml:space="preserve">según Merino, Mauricio (2019), en el “Diccionario de Transparencia y Acceso a la Información Pública” (p. 276), </w:t>
      </w:r>
      <w:r w:rsidRPr="005565DB">
        <w:rPr>
          <w:rFonts w:eastAsia="Times New Roman" w:cs="Tahoma"/>
          <w:b/>
          <w:color w:val="000000"/>
          <w:lang w:val="es-ES" w:eastAsia="es-ES"/>
        </w:rPr>
        <w:t xml:space="preserve">la rendición de cuentas, </w:t>
      </w:r>
      <w:r w:rsidRPr="005565DB">
        <w:rPr>
          <w:rFonts w:eastAsia="Times New Roman" w:cs="Tahoma"/>
          <w:color w:val="000000"/>
          <w:lang w:val="es-ES" w:eastAsia="es-ES"/>
        </w:rPr>
        <w:t xml:space="preserve">es un ejercicio de transparencia e información pública; es un medio a través del cual los gobiernos informan al público de sus actividades, </w:t>
      </w:r>
      <w:r w:rsidRPr="005565DB">
        <w:rPr>
          <w:rFonts w:eastAsia="Times New Roman" w:cs="Tahoma"/>
          <w:b/>
          <w:color w:val="000000"/>
          <w:lang w:val="es-ES" w:eastAsia="es-ES"/>
        </w:rPr>
        <w:t>de los recursos que han ejercido</w:t>
      </w:r>
      <w:r w:rsidRPr="005565DB">
        <w:rPr>
          <w:rFonts w:eastAsia="Times New Roman" w:cs="Tahoma"/>
          <w:color w:val="000000"/>
          <w:lang w:val="es-ES" w:eastAsia="es-ES"/>
        </w:rPr>
        <w:t xml:space="preserve"> y de los resultados obtenidos.</w:t>
      </w:r>
    </w:p>
    <w:p w14:paraId="4CCACCF5" w14:textId="77777777" w:rsidR="00CD5F6C" w:rsidRPr="005565DB" w:rsidRDefault="00CD5F6C" w:rsidP="005565DB">
      <w:pPr>
        <w:spacing w:after="0" w:line="360" w:lineRule="auto"/>
        <w:rPr>
          <w:rFonts w:eastAsia="Times New Roman" w:cs="Tahoma"/>
          <w:color w:val="000000"/>
          <w:lang w:val="es-ES" w:eastAsia="es-ES"/>
        </w:rPr>
      </w:pPr>
    </w:p>
    <w:p w14:paraId="5E8563DF" w14:textId="77777777" w:rsidR="005565DB" w:rsidRPr="005565DB" w:rsidRDefault="005565DB" w:rsidP="005565DB">
      <w:pPr>
        <w:spacing w:after="0" w:line="360" w:lineRule="auto"/>
        <w:rPr>
          <w:rFonts w:eastAsia="Times New Roman" w:cs="Tahoma"/>
          <w:bCs/>
          <w:iCs/>
          <w:color w:val="000000"/>
          <w:lang w:val="es-ES" w:eastAsia="es-ES"/>
        </w:rPr>
      </w:pPr>
      <w:r w:rsidRPr="005565DB">
        <w:rPr>
          <w:rFonts w:eastAsia="Times New Roman" w:cs="Tahoma"/>
          <w:bCs/>
          <w:iCs/>
          <w:color w:val="000000"/>
          <w:lang w:val="es-ES" w:eastAsia="es-ES"/>
        </w:rPr>
        <w:t>Además, de manera de referencia, el artículo 6°, fracción XXXVIII, de la Ley de Transparencia, Acceso a la Información Pública y Rendición de Cuentas de la Ciudad de México, establece que la rendición de cuentas, vista desde la perspectiva de la transparencia y acceso a la información, consiste en la potestad del individuo para exigir al poder público, informe y ponga a disposición, las acciones y decisiones emprendidas, así como los indicadores que permitan el conocimiento y la forma en que se llevaron a cabo, que incluya los resultados obtenidos.</w:t>
      </w:r>
    </w:p>
    <w:p w14:paraId="3E554046" w14:textId="77777777" w:rsidR="005565DB" w:rsidRPr="005565DB" w:rsidRDefault="005565DB" w:rsidP="005565DB">
      <w:pPr>
        <w:spacing w:after="0" w:line="360" w:lineRule="auto"/>
        <w:rPr>
          <w:rFonts w:eastAsia="Times New Roman" w:cs="Tahoma"/>
          <w:bCs/>
          <w:iCs/>
          <w:color w:val="000000"/>
          <w:lang w:val="es-ES" w:eastAsia="es-ES"/>
        </w:rPr>
      </w:pPr>
    </w:p>
    <w:p w14:paraId="678F843C" w14:textId="77777777" w:rsidR="005565DB" w:rsidRPr="005565DB" w:rsidRDefault="005565DB" w:rsidP="005565DB">
      <w:pPr>
        <w:spacing w:after="0" w:line="360" w:lineRule="auto"/>
        <w:rPr>
          <w:rFonts w:eastAsia="Times New Roman" w:cs="Tahoma"/>
          <w:bCs/>
          <w:iCs/>
          <w:color w:val="000000"/>
          <w:lang w:val="es-ES" w:eastAsia="es-ES"/>
        </w:rPr>
      </w:pPr>
      <w:r w:rsidRPr="005565DB">
        <w:rPr>
          <w:rFonts w:eastAsia="Times New Roman" w:cs="Tahoma"/>
          <w:bCs/>
          <w:iCs/>
          <w:color w:val="000000"/>
          <w:lang w:val="es-ES" w:eastAsia="es-ES"/>
        </w:rPr>
        <w:t xml:space="preserve">Toma relevancia lo anterior, pues conforme al artículo 2°, fracción VII de la Ley General de Transparencia y Acceso a la Información Pública y de la Ley de Transparencia y Acceso a la Información Pública del Estado de México y Municipios, establece que es un objetivo de dichos ordenamientos jurídicos, promover, fomentar y difundir la cultura de la transparencia en el ejercicio de la función pública, así como, la rendición de cuentas, a través del establecimiento de </w:t>
      </w:r>
      <w:r w:rsidRPr="005565DB">
        <w:rPr>
          <w:rFonts w:eastAsia="Times New Roman" w:cs="Tahoma"/>
          <w:bCs/>
          <w:iCs/>
          <w:color w:val="000000"/>
          <w:lang w:val="es-ES" w:eastAsia="es-ES"/>
        </w:rPr>
        <w:lastRenderedPageBreak/>
        <w:t xml:space="preserve">mecanismos que garanticen la publicidad de la información oportuna, verificable, comprensible, actualizada y completa. </w:t>
      </w:r>
    </w:p>
    <w:p w14:paraId="07D0E497" w14:textId="77777777" w:rsidR="005565DB" w:rsidRPr="005565DB" w:rsidRDefault="005565DB" w:rsidP="005565DB">
      <w:pPr>
        <w:spacing w:after="0" w:line="360" w:lineRule="auto"/>
        <w:rPr>
          <w:rFonts w:eastAsia="Times New Roman" w:cs="Tahoma"/>
          <w:bCs/>
          <w:iCs/>
          <w:color w:val="000000"/>
          <w:lang w:val="es-ES" w:eastAsia="es-ES"/>
        </w:rPr>
      </w:pPr>
    </w:p>
    <w:p w14:paraId="73DE32D1" w14:textId="376625B4" w:rsidR="005565DB" w:rsidRDefault="005565DB" w:rsidP="005565DB">
      <w:pPr>
        <w:spacing w:after="0" w:line="360" w:lineRule="auto"/>
        <w:rPr>
          <w:rFonts w:eastAsia="Times New Roman" w:cs="Tahoma"/>
          <w:bCs/>
          <w:iCs/>
          <w:color w:val="000000"/>
          <w:lang w:eastAsia="es-ES"/>
        </w:rPr>
      </w:pPr>
      <w:r w:rsidRPr="005565DB">
        <w:rPr>
          <w:rFonts w:eastAsia="Times New Roman" w:cs="Tahoma"/>
          <w:bCs/>
          <w:iCs/>
          <w:color w:val="000000"/>
          <w:lang w:eastAsia="es-ES"/>
        </w:rPr>
        <w:t xml:space="preserve">Conforme a lo anterior, se logra vislumbrar que, en el presente caso, la información solicitada, rinde cuentas de la forma de utilización de los recursos públicos con los que contaba el Sujeto Obligado; por lo que, no procede su clasificación en su totalidad, lo cual da como resultado que el agravio sea </w:t>
      </w:r>
      <w:r w:rsidRPr="005565DB">
        <w:rPr>
          <w:rFonts w:eastAsia="Times New Roman" w:cs="Tahoma"/>
          <w:b/>
          <w:iCs/>
          <w:color w:val="000000"/>
          <w:lang w:eastAsia="es-ES"/>
        </w:rPr>
        <w:t>FUNDADO</w:t>
      </w:r>
      <w:r w:rsidR="00CD5F6C">
        <w:rPr>
          <w:rFonts w:eastAsia="Times New Roman" w:cs="Tahoma"/>
          <w:b/>
          <w:iCs/>
          <w:color w:val="000000"/>
          <w:lang w:eastAsia="es-ES"/>
        </w:rPr>
        <w:t xml:space="preserve">; </w:t>
      </w:r>
      <w:r w:rsidR="00CD5F6C">
        <w:rPr>
          <w:rFonts w:eastAsia="Times New Roman" w:cs="Tahoma"/>
          <w:bCs/>
          <w:iCs/>
          <w:color w:val="000000"/>
          <w:lang w:eastAsia="es-ES"/>
        </w:rPr>
        <w:t xml:space="preserve">lo cual toma relevancia, pues conforme a los artículos 24, fracción XVIII, y </w:t>
      </w:r>
      <w:r w:rsidR="003E0710">
        <w:rPr>
          <w:rFonts w:eastAsia="Times New Roman" w:cs="Tahoma"/>
          <w:bCs/>
          <w:iCs/>
          <w:color w:val="000000"/>
          <w:lang w:eastAsia="es-ES"/>
        </w:rPr>
        <w:t xml:space="preserve">92, fracción XXXI, de la Ley de Transparencia y Acceso a la Información Pública del Estado de México y Municipios </w:t>
      </w:r>
      <w:r w:rsidR="00CD5F6C">
        <w:rPr>
          <w:rFonts w:eastAsia="Times New Roman" w:cs="Tahoma"/>
          <w:bCs/>
          <w:iCs/>
          <w:color w:val="000000"/>
          <w:lang w:eastAsia="es-ES"/>
        </w:rPr>
        <w:t>que establecen que los Sujetos Obligados deberá hacer pública toda aquella información relativa a los montos y las personas a quienes entreguen por cualquier motivo recursos públicos.</w:t>
      </w:r>
    </w:p>
    <w:p w14:paraId="64B404FE" w14:textId="77777777" w:rsidR="003E0710" w:rsidRDefault="003E0710" w:rsidP="005565DB">
      <w:pPr>
        <w:spacing w:after="0" w:line="360" w:lineRule="auto"/>
        <w:rPr>
          <w:rFonts w:eastAsia="Times New Roman" w:cs="Tahoma"/>
          <w:bCs/>
          <w:iCs/>
          <w:color w:val="000000"/>
          <w:lang w:eastAsia="es-ES"/>
        </w:rPr>
      </w:pPr>
    </w:p>
    <w:p w14:paraId="61F5E14E" w14:textId="77777777" w:rsidR="005565DB" w:rsidRPr="005565DB" w:rsidRDefault="005565DB" w:rsidP="005565DB">
      <w:pPr>
        <w:spacing w:after="0" w:line="360" w:lineRule="auto"/>
        <w:rPr>
          <w:color w:val="000000"/>
        </w:rPr>
      </w:pPr>
      <w:r w:rsidRPr="005565DB">
        <w:rPr>
          <w:color w:val="000000"/>
        </w:rPr>
        <w:t xml:space="preserve">En ese contexto, el artículo 137 de la Ley de Transparencia y Acceso a la Información Pública del Estado de México y Municipios y los numerales Segundo, fracción XVIII, y Quincuagésimo sexto de los Lineamientos Generales, establecen que cuando un documento contenga información pública y reservada o confidencial, la Unidad de Transparencia para efectos de atender al requerimiento informativo, </w:t>
      </w:r>
      <w:r w:rsidRPr="005565DB">
        <w:rPr>
          <w:b/>
          <w:bCs/>
          <w:color w:val="000000"/>
        </w:rPr>
        <w:t xml:space="preserve">deberá elaborar una versión pública </w:t>
      </w:r>
      <w:r w:rsidRPr="005565DB">
        <w:rPr>
          <w:color w:val="000000"/>
        </w:rPr>
        <w:t>en la que se testen las partes o secciones clasificadas, indicando su contenido de manera genérica y fundando y motivando su clasificación; documento que deberá ser aprobado por el Comité de Transparencia.</w:t>
      </w:r>
    </w:p>
    <w:p w14:paraId="30D149A6" w14:textId="77777777" w:rsidR="005565DB" w:rsidRPr="005565DB" w:rsidRDefault="005565DB" w:rsidP="005565DB">
      <w:pPr>
        <w:spacing w:after="0" w:line="360" w:lineRule="auto"/>
        <w:rPr>
          <w:color w:val="000000"/>
        </w:rPr>
      </w:pPr>
    </w:p>
    <w:p w14:paraId="680336C0" w14:textId="77777777" w:rsidR="005565DB" w:rsidRPr="005565DB" w:rsidRDefault="005565DB" w:rsidP="005565DB">
      <w:pPr>
        <w:spacing w:after="0" w:line="360" w:lineRule="auto"/>
        <w:rPr>
          <w:color w:val="000000"/>
        </w:rPr>
      </w:pPr>
      <w:r w:rsidRPr="005565DB">
        <w:rPr>
          <w:color w:val="000000"/>
        </w:rPr>
        <w:t>Como se logra observar, la clasificación total del documento no es la única forma de proteger información localizada en este, pues existe otro procedimiento, en el cual, solamente se testan las partes que contienen datos o información, denominado versión pública; con lo cual, el Sujeto Obligado podría testar los datos confidenciales y proporcionar el documento que da cuenta de la información solicitada.</w:t>
      </w:r>
    </w:p>
    <w:p w14:paraId="16AED8CC" w14:textId="77777777" w:rsidR="005565DB" w:rsidRDefault="005565DB">
      <w:pPr>
        <w:spacing w:after="0" w:line="360" w:lineRule="auto"/>
        <w:rPr>
          <w:color w:val="000000"/>
        </w:rPr>
      </w:pPr>
    </w:p>
    <w:p w14:paraId="61FBBA93" w14:textId="77777777" w:rsidR="0035729A" w:rsidRDefault="007E5634">
      <w:pPr>
        <w:spacing w:after="0" w:line="360" w:lineRule="auto"/>
        <w:ind w:right="142"/>
      </w:pPr>
      <w:r>
        <w:lastRenderedPageBreak/>
        <w:t xml:space="preserve">En atención a lo antes descrito, es procedente tener por </w:t>
      </w:r>
      <w:r>
        <w:rPr>
          <w:b/>
          <w:bCs/>
        </w:rPr>
        <w:t>FUNDADAS</w:t>
      </w:r>
      <w:r>
        <w:t xml:space="preserve"> las razones o motivos de inconformidad planteadas por la parte Recurrente y </w:t>
      </w:r>
      <w:r>
        <w:rPr>
          <w:b/>
          <w:bCs/>
        </w:rPr>
        <w:t>MODIFICAR</w:t>
      </w:r>
      <w:r>
        <w:t xml:space="preserve"> la respuesta inicial y ordenar la entrega de la documentación que dé cuenta del nombre y liquidación del personal que fue dado de baja durante el periodo señalado. </w:t>
      </w:r>
    </w:p>
    <w:p w14:paraId="113182E8" w14:textId="77777777" w:rsidR="0035729A" w:rsidRDefault="0035729A">
      <w:pPr>
        <w:spacing w:after="0" w:line="360" w:lineRule="auto"/>
        <w:ind w:right="142"/>
      </w:pPr>
    </w:p>
    <w:p w14:paraId="3377A82B" w14:textId="77777777" w:rsidR="0035729A" w:rsidRDefault="007E5634">
      <w:pPr>
        <w:spacing w:after="0" w:line="360" w:lineRule="auto"/>
        <w:rPr>
          <w:color w:val="000000"/>
        </w:rPr>
      </w:pPr>
      <w:r>
        <w:rPr>
          <w:color w:val="000000"/>
        </w:rPr>
        <w:t>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107B41B5" w14:textId="77777777" w:rsidR="0035729A" w:rsidRDefault="0035729A">
      <w:pPr>
        <w:spacing w:after="0" w:line="360" w:lineRule="auto"/>
        <w:rPr>
          <w:color w:val="000000"/>
        </w:rPr>
      </w:pPr>
    </w:p>
    <w:p w14:paraId="63946630" w14:textId="77777777" w:rsidR="0035729A" w:rsidRDefault="007E5634">
      <w:pPr>
        <w:spacing w:after="0" w:line="360" w:lineRule="auto"/>
        <w:rPr>
          <w:color w:val="000000"/>
        </w:rPr>
      </w:pPr>
      <w:r>
        <w:rPr>
          <w:color w:val="000000"/>
        </w:rPr>
        <w:t>Ahora bien, no pasa desapercibido que los documentos que den cuenta de lo solicitado pudieran contener de manera enunciativa más no limitativa los siguientes datos:</w:t>
      </w:r>
    </w:p>
    <w:p w14:paraId="4F212A6F" w14:textId="77777777" w:rsidR="0035729A" w:rsidRDefault="0035729A">
      <w:pPr>
        <w:spacing w:after="0" w:line="360" w:lineRule="auto"/>
        <w:rPr>
          <w:color w:val="000000"/>
        </w:rPr>
      </w:pPr>
    </w:p>
    <w:p w14:paraId="4665CCD9" w14:textId="77777777" w:rsidR="0035729A" w:rsidRDefault="007E5634">
      <w:pPr>
        <w:numPr>
          <w:ilvl w:val="0"/>
          <w:numId w:val="15"/>
        </w:numPr>
        <w:spacing w:after="0" w:line="360" w:lineRule="auto"/>
        <w:jc w:val="left"/>
        <w:rPr>
          <w:color w:val="000000"/>
        </w:rPr>
      </w:pPr>
      <w:r>
        <w:rPr>
          <w:color w:val="000000"/>
        </w:rPr>
        <w:t xml:space="preserve">Motivos personales; </w:t>
      </w:r>
    </w:p>
    <w:p w14:paraId="4A708995" w14:textId="77777777" w:rsidR="0035729A" w:rsidRDefault="007E5634">
      <w:pPr>
        <w:numPr>
          <w:ilvl w:val="0"/>
          <w:numId w:val="15"/>
        </w:numPr>
        <w:spacing w:after="0" w:line="360" w:lineRule="auto"/>
        <w:jc w:val="left"/>
      </w:pPr>
      <w:r>
        <w:rPr>
          <w:color w:val="000000"/>
        </w:rPr>
        <w:t>Motivos de salud;</w:t>
      </w:r>
    </w:p>
    <w:p w14:paraId="5A5AF06B" w14:textId="77777777" w:rsidR="0035729A" w:rsidRDefault="007E5634">
      <w:pPr>
        <w:numPr>
          <w:ilvl w:val="0"/>
          <w:numId w:val="15"/>
        </w:numPr>
        <w:spacing w:after="0" w:line="360" w:lineRule="auto"/>
        <w:jc w:val="left"/>
      </w:pPr>
      <w:r>
        <w:rPr>
          <w:color w:val="000000"/>
        </w:rPr>
        <w:t xml:space="preserve">Firma de servidores públicos; y </w:t>
      </w:r>
    </w:p>
    <w:p w14:paraId="6DC62A29" w14:textId="77777777" w:rsidR="0035729A" w:rsidRDefault="007E5634">
      <w:pPr>
        <w:numPr>
          <w:ilvl w:val="0"/>
          <w:numId w:val="15"/>
        </w:numPr>
        <w:spacing w:after="0" w:line="360" w:lineRule="auto"/>
        <w:jc w:val="left"/>
      </w:pPr>
      <w:r>
        <w:t>Huella dactilar.</w:t>
      </w:r>
    </w:p>
    <w:p w14:paraId="664C594F" w14:textId="77777777" w:rsidR="0035729A" w:rsidRDefault="007E5634">
      <w:pPr>
        <w:numPr>
          <w:ilvl w:val="0"/>
          <w:numId w:val="15"/>
        </w:numPr>
        <w:spacing w:after="0" w:line="360" w:lineRule="auto"/>
        <w:jc w:val="left"/>
      </w:pPr>
      <w:r>
        <w:t>Datos bancarios</w:t>
      </w:r>
    </w:p>
    <w:p w14:paraId="1A0B13A1" w14:textId="77777777" w:rsidR="0035729A" w:rsidRDefault="0035729A">
      <w:pPr>
        <w:spacing w:after="0" w:line="360" w:lineRule="auto"/>
      </w:pPr>
    </w:p>
    <w:p w14:paraId="35FCB87E" w14:textId="77777777" w:rsidR="0035729A" w:rsidRDefault="007E5634">
      <w:pPr>
        <w:spacing w:after="0" w:line="360" w:lineRule="auto"/>
      </w:pPr>
      <w:r>
        <w:rPr>
          <w:color w:val="000000"/>
        </w:rPr>
        <w:t>Así, se procede analizar si dicha información es confidencial o pública; en principio, cabe mencionar que el artículo 143, fracción I, de la Ley de Transparencia Local, establece que la información privada y los datos personales, concernientes a una persona física o jurídica colectiva identificada o identificable son confidenciales.</w:t>
      </w:r>
    </w:p>
    <w:p w14:paraId="3B3E8BAC" w14:textId="77777777" w:rsidR="0035729A" w:rsidRDefault="0035729A">
      <w:pPr>
        <w:spacing w:after="0" w:line="360" w:lineRule="auto"/>
      </w:pPr>
    </w:p>
    <w:p w14:paraId="69810D6A" w14:textId="77777777" w:rsidR="0035729A" w:rsidRDefault="007E5634">
      <w:pPr>
        <w:spacing w:after="0" w:line="360" w:lineRule="auto"/>
        <w:rPr>
          <w:color w:val="000000"/>
        </w:rPr>
      </w:pPr>
      <w:r>
        <w:rPr>
          <w:color w:val="000000"/>
        </w:rPr>
        <w:lastRenderedPageBreak/>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w:t>
      </w:r>
      <w:r>
        <w:t>transmitan</w:t>
      </w:r>
      <w:r>
        <w:rPr>
          <w:color w:val="000000"/>
        </w:rPr>
        <w:t xml:space="preserve"> entre sujetos obligados en términos de los tratados y los acuerdos interinstitucionales.</w:t>
      </w:r>
    </w:p>
    <w:p w14:paraId="16EC83BC" w14:textId="77777777" w:rsidR="0035729A" w:rsidRDefault="0035729A">
      <w:pPr>
        <w:spacing w:after="0" w:line="360" w:lineRule="auto"/>
        <w:rPr>
          <w:color w:val="000000"/>
        </w:rPr>
      </w:pPr>
    </w:p>
    <w:p w14:paraId="0A86902D" w14:textId="77777777" w:rsidR="0035729A" w:rsidRDefault="007E5634">
      <w:pPr>
        <w:spacing w:after="0" w:line="360" w:lineRule="auto"/>
        <w:rPr>
          <w:color w:val="000000"/>
        </w:rPr>
      </w:pPr>
      <w:r>
        <w:rPr>
          <w:color w:val="000000"/>
        </w:rPr>
        <w:t xml:space="preserve">En términos de lo expuesto, la documentación y aquellos datos que se consideren confidenciales, serán una limitante del derecho de acceso a la información, siempre y cuando: </w:t>
      </w:r>
    </w:p>
    <w:p w14:paraId="6755CFC2" w14:textId="77777777" w:rsidR="0035729A" w:rsidRDefault="0035729A">
      <w:pPr>
        <w:spacing w:after="0" w:line="360" w:lineRule="auto"/>
        <w:rPr>
          <w:color w:val="000000"/>
        </w:rPr>
      </w:pPr>
    </w:p>
    <w:p w14:paraId="62103545" w14:textId="77777777" w:rsidR="0035729A" w:rsidRDefault="007E5634">
      <w:pPr>
        <w:numPr>
          <w:ilvl w:val="0"/>
          <w:numId w:val="16"/>
        </w:numPr>
        <w:spacing w:after="0" w:line="360" w:lineRule="auto"/>
        <w:jc w:val="left"/>
        <w:rPr>
          <w:color w:val="000000"/>
        </w:rPr>
      </w:pPr>
      <w:r>
        <w:rPr>
          <w:color w:val="000000"/>
        </w:rPr>
        <w:t xml:space="preserve">Se trate de datos personales o información privada; esto es, información concerniente a una persona física o </w:t>
      </w:r>
      <w:r>
        <w:t>jurídica</w:t>
      </w:r>
      <w:r>
        <w:rPr>
          <w:color w:val="000000"/>
        </w:rPr>
        <w:t xml:space="preserve"> colectiva y que esta sea identificada o identificable. </w:t>
      </w:r>
    </w:p>
    <w:p w14:paraId="22D87235" w14:textId="77777777" w:rsidR="0035729A" w:rsidRDefault="007E5634">
      <w:pPr>
        <w:numPr>
          <w:ilvl w:val="0"/>
          <w:numId w:val="16"/>
        </w:numPr>
        <w:spacing w:after="0" w:line="360" w:lineRule="auto"/>
        <w:jc w:val="left"/>
      </w:pPr>
      <w:r>
        <w:rPr>
          <w:color w:val="000000"/>
        </w:rPr>
        <w:t xml:space="preserve">Para la difusión de los datos, se </w:t>
      </w:r>
      <w:r>
        <w:t>requiere</w:t>
      </w:r>
      <w:r>
        <w:rPr>
          <w:color w:val="000000"/>
        </w:rPr>
        <w:t xml:space="preserve"> el consentimiento del titular.</w:t>
      </w:r>
    </w:p>
    <w:p w14:paraId="64A2226F" w14:textId="77777777" w:rsidR="0035729A" w:rsidRDefault="0035729A">
      <w:pPr>
        <w:spacing w:after="0" w:line="360" w:lineRule="auto"/>
        <w:rPr>
          <w:color w:val="FF0000"/>
        </w:rPr>
      </w:pPr>
    </w:p>
    <w:p w14:paraId="3B0FEB98" w14:textId="77777777" w:rsidR="0035729A" w:rsidRDefault="007E5634">
      <w:pPr>
        <w:spacing w:after="0" w:line="360" w:lineRule="auto"/>
        <w:rPr>
          <w:color w:val="000000"/>
        </w:rPr>
      </w:pPr>
      <w:r>
        <w:rPr>
          <w:color w:val="000000"/>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6CCDF5F1" w14:textId="77777777" w:rsidR="0035729A" w:rsidRDefault="0035729A">
      <w:pPr>
        <w:spacing w:after="0" w:line="360" w:lineRule="auto"/>
        <w:rPr>
          <w:color w:val="000000"/>
        </w:rPr>
      </w:pPr>
    </w:p>
    <w:p w14:paraId="34610295" w14:textId="77777777" w:rsidR="0035729A" w:rsidRDefault="007E5634">
      <w:pPr>
        <w:spacing w:after="0" w:line="360" w:lineRule="auto"/>
        <w:rPr>
          <w:color w:val="000000"/>
        </w:rPr>
      </w:pPr>
      <w:r>
        <w:rPr>
          <w:color w:val="000000"/>
        </w:rPr>
        <w:t xml:space="preserve">Bajo ese contexto, se </w:t>
      </w:r>
      <w:r>
        <w:t>analizará</w:t>
      </w:r>
      <w:r>
        <w:rPr>
          <w:color w:val="000000"/>
        </w:rPr>
        <w:t xml:space="preserve"> si los datos mencionados, deben ser considerados confidenciales, en términos del artículo 143, fracción I, de la Ley de Transparencia y Acceso a la Información Pública del Estado de México y Municipios, o públicos.</w:t>
      </w:r>
    </w:p>
    <w:p w14:paraId="08ACD47E" w14:textId="77777777" w:rsidR="0035729A" w:rsidRDefault="0035729A">
      <w:pPr>
        <w:spacing w:after="0" w:line="360" w:lineRule="auto"/>
        <w:rPr>
          <w:color w:val="000000"/>
        </w:rPr>
      </w:pPr>
    </w:p>
    <w:p w14:paraId="69608863" w14:textId="77777777" w:rsidR="0035729A" w:rsidRDefault="007E5634">
      <w:pPr>
        <w:numPr>
          <w:ilvl w:val="0"/>
          <w:numId w:val="8"/>
        </w:numPr>
        <w:spacing w:after="0" w:line="360" w:lineRule="auto"/>
        <w:jc w:val="left"/>
        <w:rPr>
          <w:b/>
          <w:bCs/>
          <w:color w:val="000000"/>
        </w:rPr>
      </w:pPr>
      <w:r>
        <w:rPr>
          <w:b/>
          <w:bCs/>
          <w:color w:val="000000"/>
        </w:rPr>
        <w:t>Motivos de salud</w:t>
      </w:r>
    </w:p>
    <w:p w14:paraId="375D3B05" w14:textId="77777777" w:rsidR="0035729A" w:rsidRDefault="0035729A">
      <w:pPr>
        <w:spacing w:after="0" w:line="360" w:lineRule="auto"/>
        <w:rPr>
          <w:color w:val="000000"/>
        </w:rPr>
      </w:pPr>
    </w:p>
    <w:p w14:paraId="0EAE0EBA" w14:textId="77777777" w:rsidR="0035729A" w:rsidRDefault="007E5634">
      <w:pPr>
        <w:spacing w:after="0" w:line="360" w:lineRule="auto"/>
        <w:rPr>
          <w:b/>
          <w:bCs/>
          <w:color w:val="000000"/>
        </w:rPr>
      </w:pPr>
      <w:r>
        <w:rPr>
          <w:color w:val="000000"/>
        </w:rPr>
        <w:t xml:space="preserve">Al respecto, es de señalar que dichos datos corresponden a la enfermedad o situación específica que presentó el servidor público para que faltara o tuviera inasistencia, es decir, que estos datos </w:t>
      </w:r>
      <w:r>
        <w:rPr>
          <w:b/>
          <w:bCs/>
          <w:color w:val="000000"/>
        </w:rPr>
        <w:t>dan cuenta del estado de salud de una persona.</w:t>
      </w:r>
    </w:p>
    <w:p w14:paraId="4677BC3A" w14:textId="77777777" w:rsidR="0035729A" w:rsidRDefault="0035729A">
      <w:pPr>
        <w:spacing w:after="0" w:line="360" w:lineRule="auto"/>
        <w:rPr>
          <w:b/>
          <w:bCs/>
          <w:color w:val="000000"/>
        </w:rPr>
      </w:pPr>
    </w:p>
    <w:p w14:paraId="7A7CE1EC" w14:textId="77777777" w:rsidR="0035729A" w:rsidRDefault="007E5634">
      <w:pPr>
        <w:spacing w:after="0" w:line="360" w:lineRule="auto"/>
        <w:rPr>
          <w:color w:val="000000"/>
        </w:rPr>
      </w:pPr>
      <w:r>
        <w:rPr>
          <w:color w:val="000000"/>
        </w:rPr>
        <w:t>En ese orden de ideas, el artículo 4°, fracciones IX y X, de la Ley General de Protección de Datos Personales en Posesión de Sujetos Obligados y 4°, fracciones XI y XII, de la Ley de Protección de Datos Personales en Posesión de Sujetos Obligados del Estado de México y Municipios, establecen lo siguiente:</w:t>
      </w:r>
    </w:p>
    <w:p w14:paraId="23F4074F" w14:textId="77777777" w:rsidR="0035729A" w:rsidRDefault="0035729A">
      <w:pPr>
        <w:spacing w:after="0" w:line="360" w:lineRule="auto"/>
        <w:rPr>
          <w:color w:val="000000"/>
        </w:rPr>
      </w:pPr>
    </w:p>
    <w:p w14:paraId="63C91CD1" w14:textId="77777777" w:rsidR="0035729A" w:rsidRDefault="007E5634">
      <w:pPr>
        <w:numPr>
          <w:ilvl w:val="0"/>
          <w:numId w:val="17"/>
        </w:numPr>
        <w:spacing w:after="0" w:line="360" w:lineRule="auto"/>
        <w:jc w:val="left"/>
        <w:rPr>
          <w:color w:val="000000"/>
        </w:rPr>
      </w:pPr>
      <w:r>
        <w:rPr>
          <w:b/>
          <w:bCs/>
          <w:color w:val="000000"/>
        </w:rPr>
        <w:t>Datos Personales:</w:t>
      </w:r>
      <w:r>
        <w:rPr>
          <w:color w:val="000000"/>
        </w:rPr>
        <w:t xml:space="preserve"> Son cualquier información concerniente a una persona física identificada o identificable, y</w:t>
      </w:r>
    </w:p>
    <w:p w14:paraId="356363D4" w14:textId="77777777" w:rsidR="0035729A" w:rsidRDefault="007E5634">
      <w:pPr>
        <w:numPr>
          <w:ilvl w:val="0"/>
          <w:numId w:val="17"/>
        </w:numPr>
        <w:spacing w:after="0" w:line="360" w:lineRule="auto"/>
        <w:jc w:val="left"/>
        <w:rPr>
          <w:color w:val="000000"/>
        </w:rPr>
      </w:pPr>
      <w:r>
        <w:rPr>
          <w:b/>
          <w:bCs/>
          <w:color w:val="000000"/>
        </w:rPr>
        <w:t>Datos Personales Sensibles:</w:t>
      </w:r>
      <w:r>
        <w:rPr>
          <w:color w:val="000000"/>
        </w:rPr>
        <w:t xml:space="preserve"> Son aquellos que refieran a la esfera más íntima de su titular y cuya utilización indebida pueda dar origen a discriminación o un riesgo grave para su titular, entre los cuales se encuentran aquellos que puedan revelar aspectos como origen racial o étnico, estado de salud, información genética, creencias religiosas, filosóficas y morales, opiniones políticas y preferencia sexual.</w:t>
      </w:r>
    </w:p>
    <w:p w14:paraId="40F9970E" w14:textId="77777777" w:rsidR="0035729A" w:rsidRDefault="0035729A">
      <w:pPr>
        <w:spacing w:after="0" w:line="360" w:lineRule="auto"/>
        <w:rPr>
          <w:color w:val="000000"/>
        </w:rPr>
      </w:pPr>
    </w:p>
    <w:p w14:paraId="4224C229" w14:textId="77777777" w:rsidR="0035729A" w:rsidRDefault="007E5634">
      <w:pPr>
        <w:spacing w:after="0" w:line="360" w:lineRule="auto"/>
        <w:rPr>
          <w:color w:val="000000"/>
        </w:rPr>
      </w:pPr>
      <w:r>
        <w:rPr>
          <w:color w:val="000000"/>
        </w:rPr>
        <w:t xml:space="preserve">En ese contexto, </w:t>
      </w:r>
      <w:proofErr w:type="spellStart"/>
      <w:r>
        <w:rPr>
          <w:color w:val="000000"/>
        </w:rPr>
        <w:t>Davara</w:t>
      </w:r>
      <w:proofErr w:type="spellEnd"/>
      <w:r>
        <w:rPr>
          <w:color w:val="000000"/>
        </w:rPr>
        <w:t xml:space="preserve">, Isabel; Barco, Gregorio, Barco; y Cervantes, Alexis (2019), en el “Diccionario de Protección de Datos Personales Conceptos Fundamentales” (p. 226), precisan que </w:t>
      </w:r>
      <w:r>
        <w:rPr>
          <w:b/>
          <w:bCs/>
          <w:color w:val="000000"/>
        </w:rPr>
        <w:t>los datos relativos a la salud son datos personales de carácter sensible</w:t>
      </w:r>
      <w:r>
        <w:rPr>
          <w:color w:val="000000"/>
        </w:rPr>
        <w:t>, en tanto a que refieren al estado de salud física o mental de un individuo, y que se conforma entre otros, por lo siguientes:</w:t>
      </w:r>
    </w:p>
    <w:p w14:paraId="17398314" w14:textId="77777777" w:rsidR="0035729A" w:rsidRDefault="0035729A">
      <w:pPr>
        <w:spacing w:after="0" w:line="360" w:lineRule="auto"/>
        <w:rPr>
          <w:color w:val="000000"/>
        </w:rPr>
      </w:pPr>
    </w:p>
    <w:p w14:paraId="14664420" w14:textId="77777777" w:rsidR="0035729A" w:rsidRDefault="007E5634" w:rsidP="003E0710">
      <w:pPr>
        <w:numPr>
          <w:ilvl w:val="0"/>
          <w:numId w:val="2"/>
        </w:numPr>
        <w:spacing w:after="0" w:line="360" w:lineRule="auto"/>
      </w:pPr>
      <w:r>
        <w:lastRenderedPageBreak/>
        <w:t xml:space="preserve">Números, símbolos o datos asignados a una persona física identificable que la identifique de manera unívoca a efectos sanitarios; </w:t>
      </w:r>
    </w:p>
    <w:p w14:paraId="32503965" w14:textId="77777777" w:rsidR="0035729A" w:rsidRDefault="0035729A">
      <w:pPr>
        <w:spacing w:after="0" w:line="360" w:lineRule="auto"/>
        <w:ind w:left="720"/>
      </w:pPr>
    </w:p>
    <w:p w14:paraId="4AB6B341" w14:textId="77777777" w:rsidR="0035729A" w:rsidRDefault="007E5634" w:rsidP="003E0710">
      <w:pPr>
        <w:numPr>
          <w:ilvl w:val="0"/>
          <w:numId w:val="2"/>
        </w:numPr>
        <w:spacing w:after="0" w:line="360" w:lineRule="auto"/>
      </w:pPr>
      <w:r>
        <w:t xml:space="preserve">La información obtenida de pruebas o exámenes de una parte del cuerpo o sustancia corporal, y </w:t>
      </w:r>
    </w:p>
    <w:p w14:paraId="5E079D1A" w14:textId="77777777" w:rsidR="0035729A" w:rsidRDefault="0035729A">
      <w:pPr>
        <w:spacing w:after="0" w:line="360" w:lineRule="auto"/>
        <w:ind w:left="720"/>
      </w:pPr>
    </w:p>
    <w:p w14:paraId="6522DC23" w14:textId="77777777" w:rsidR="0035729A" w:rsidRDefault="007E5634" w:rsidP="003E0710">
      <w:pPr>
        <w:numPr>
          <w:ilvl w:val="0"/>
          <w:numId w:val="2"/>
        </w:numPr>
        <w:spacing w:after="0" w:line="360" w:lineRule="auto"/>
      </w:pPr>
      <w:r>
        <w:t>La información relativa a una enfermedad, una discapacidad, el riesgo de padecer enfermedades, el historial médico, el tratamiento clínico o el estado fisiológico o biomédico del interesado</w:t>
      </w:r>
    </w:p>
    <w:p w14:paraId="056427ED" w14:textId="77777777" w:rsidR="0035729A" w:rsidRDefault="0035729A">
      <w:pPr>
        <w:spacing w:after="0" w:line="360" w:lineRule="auto"/>
      </w:pPr>
    </w:p>
    <w:p w14:paraId="6E5C5037" w14:textId="77777777" w:rsidR="0035729A" w:rsidRDefault="007E5634">
      <w:pPr>
        <w:spacing w:after="0" w:line="360" w:lineRule="auto"/>
        <w:rPr>
          <w:color w:val="000000"/>
        </w:rPr>
      </w:pPr>
      <w:r>
        <w:rPr>
          <w:color w:val="000000"/>
        </w:rPr>
        <w:t>Situación que toma relevancia, púes el apartado ¿Qué son los datos personales?, de la página oficial de este Instituto (consultada en la liga https://www.infoem.org.mx/es/contenido/datospersonales , el catorce de mayo de dos mil veinticinco), reafirma como una categoría de datos personales sensibles los concernientes a la salud de una persona, los cuales se conforman de aquellos datos relacionados con el estado físico o mental, cualquier atención médica, expediente clínico, diagnósticos, padecimientos, vacunas, intervenciones quirúrgicas, incapacidades médicas, discapacidades, uso de aparatos oftalmológicos, ortopédicos, auditivos o prótesis, consumo de sustancias tóxicas y estupefacientes, sintomatologías o análogos.</w:t>
      </w:r>
    </w:p>
    <w:p w14:paraId="667E32C2" w14:textId="77777777" w:rsidR="0035729A" w:rsidRDefault="0035729A">
      <w:pPr>
        <w:spacing w:after="0" w:line="360" w:lineRule="auto"/>
        <w:rPr>
          <w:color w:val="000000"/>
        </w:rPr>
      </w:pPr>
    </w:p>
    <w:p w14:paraId="126E2228" w14:textId="77777777" w:rsidR="0035729A" w:rsidRDefault="007E5634">
      <w:pPr>
        <w:spacing w:after="0" w:line="360" w:lineRule="auto"/>
        <w:rPr>
          <w:color w:val="000000"/>
        </w:rPr>
      </w:pPr>
      <w:r>
        <w:t>Cómo</w:t>
      </w:r>
      <w:r>
        <w:rPr>
          <w:color w:val="000000"/>
        </w:rPr>
        <w:t xml:space="preserve"> se logra observar cualquier información o dato que se relacione </w:t>
      </w:r>
      <w:r>
        <w:rPr>
          <w:b/>
          <w:bCs/>
          <w:color w:val="000000"/>
        </w:rPr>
        <w:t>con el estado de salud de una persona, como lo es un motivo de baja</w:t>
      </w:r>
      <w:r>
        <w:rPr>
          <w:color w:val="000000"/>
        </w:rPr>
        <w:t>, se considera un dato personal sensible, pues da cuenta del estado de salud físico o mental del titular, lo cual está íntimamente relacionado con su vida privada e íntima y, por lo tanto, actualiza la causal de clasificación, establecida en el artículo 143, fracción I, de la Ley de Transparencia y Acceso a la Información Pública del Estado de México y Municipios.</w:t>
      </w:r>
    </w:p>
    <w:p w14:paraId="26211EAB" w14:textId="77777777" w:rsidR="0035729A" w:rsidRDefault="0035729A">
      <w:pPr>
        <w:spacing w:after="0" w:line="360" w:lineRule="auto"/>
        <w:rPr>
          <w:color w:val="000000"/>
        </w:rPr>
      </w:pPr>
    </w:p>
    <w:p w14:paraId="5FA23A32" w14:textId="77777777" w:rsidR="0035729A" w:rsidRDefault="007E5634">
      <w:pPr>
        <w:numPr>
          <w:ilvl w:val="0"/>
          <w:numId w:val="7"/>
        </w:numPr>
        <w:spacing w:after="0" w:line="360" w:lineRule="auto"/>
        <w:jc w:val="left"/>
        <w:rPr>
          <w:b/>
          <w:bCs/>
        </w:rPr>
      </w:pPr>
      <w:r>
        <w:rPr>
          <w:b/>
          <w:bCs/>
          <w:color w:val="000000"/>
        </w:rPr>
        <w:t>Motivos personales</w:t>
      </w:r>
    </w:p>
    <w:p w14:paraId="6D9F7338" w14:textId="77777777" w:rsidR="0035729A" w:rsidRDefault="0035729A">
      <w:pPr>
        <w:spacing w:after="0" w:line="360" w:lineRule="auto"/>
        <w:ind w:left="720"/>
        <w:rPr>
          <w:b/>
          <w:bCs/>
        </w:rPr>
      </w:pPr>
    </w:p>
    <w:p w14:paraId="19140A21" w14:textId="77777777" w:rsidR="0035729A" w:rsidRDefault="007E5634">
      <w:pPr>
        <w:spacing w:after="0" w:line="360" w:lineRule="auto"/>
        <w:rPr>
          <w:color w:val="000000"/>
        </w:rPr>
      </w:pPr>
      <w:r>
        <w:rPr>
          <w:color w:val="000000"/>
        </w:rPr>
        <w:t>Sobre el tema, es necesario señalar que existen motivos para que exista una baja derivada de una licencia sin goce de sueldo por el fallecimiento o enfermedades de familiares, realización de trámites, entre otros; sobre el tema, cabe mencionar que en la fracción II, del artículo 6 de la Constitución Política de los Estados Unidos Mexicanos se prevé que la información que se refiere a la vida privada y los datos personales, será protegida en los términos y con las excepciones que fijen las leyes.</w:t>
      </w:r>
    </w:p>
    <w:p w14:paraId="30D56549" w14:textId="77777777" w:rsidR="0035729A" w:rsidRDefault="0035729A">
      <w:pPr>
        <w:spacing w:after="0" w:line="360" w:lineRule="auto"/>
        <w:rPr>
          <w:color w:val="000000"/>
        </w:rPr>
      </w:pPr>
    </w:p>
    <w:p w14:paraId="059B7E6F" w14:textId="77777777" w:rsidR="0035729A" w:rsidRDefault="007E5634">
      <w:pPr>
        <w:spacing w:after="0" w:line="360" w:lineRule="auto"/>
        <w:rPr>
          <w:color w:val="000000"/>
        </w:rPr>
      </w:pPr>
      <w:r>
        <w:rPr>
          <w:color w:val="000000"/>
        </w:rPr>
        <w:t>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94E24CB" w14:textId="77777777" w:rsidR="0035729A" w:rsidRDefault="0035729A">
      <w:pPr>
        <w:spacing w:after="0" w:line="360" w:lineRule="auto"/>
        <w:rPr>
          <w:color w:val="000000"/>
        </w:rPr>
      </w:pPr>
    </w:p>
    <w:p w14:paraId="05E649A1" w14:textId="77777777" w:rsidR="0035729A" w:rsidRDefault="007E5634">
      <w:pPr>
        <w:spacing w:after="0" w:line="360" w:lineRule="auto"/>
        <w:rPr>
          <w:color w:val="000000"/>
        </w:rPr>
      </w:pPr>
      <w:r>
        <w:rPr>
          <w:color w:val="000000"/>
        </w:rPr>
        <w:t>A su vez, en el Cuadragésimo octavo de los Lineamientos Generales se señala que los documentos y expedientes clasificados como confidenciales sólo podrán ser comunicados a terceros siempre y cuando exista disposición legal expresa que lo justifique o cuando se cuente con el consentimiento del titular.</w:t>
      </w:r>
    </w:p>
    <w:p w14:paraId="6EA35CB5" w14:textId="77777777" w:rsidR="0035729A" w:rsidRDefault="0035729A">
      <w:pPr>
        <w:spacing w:after="0" w:line="360" w:lineRule="auto"/>
        <w:rPr>
          <w:color w:val="000000"/>
        </w:rPr>
      </w:pPr>
    </w:p>
    <w:p w14:paraId="0C2886F1" w14:textId="77777777" w:rsidR="0035729A" w:rsidRDefault="007E5634">
      <w:pPr>
        <w:spacing w:after="0" w:line="360" w:lineRule="auto"/>
        <w:rPr>
          <w:color w:val="000000"/>
        </w:rPr>
      </w:pPr>
      <w:r>
        <w:rPr>
          <w:color w:val="000000"/>
        </w:rPr>
        <w:t>En ese contexto,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09CD7058" w14:textId="77777777" w:rsidR="0035729A" w:rsidRDefault="0035729A">
      <w:pPr>
        <w:spacing w:after="0" w:line="360" w:lineRule="auto"/>
        <w:rPr>
          <w:color w:val="000000"/>
        </w:rPr>
      </w:pPr>
    </w:p>
    <w:p w14:paraId="295B9A90" w14:textId="77777777" w:rsidR="0035729A" w:rsidRDefault="007E5634">
      <w:pPr>
        <w:spacing w:after="0" w:line="360" w:lineRule="auto"/>
        <w:ind w:left="567" w:right="709"/>
        <w:rPr>
          <w:i/>
          <w:iCs/>
          <w:sz w:val="20"/>
          <w:szCs w:val="20"/>
        </w:rPr>
      </w:pPr>
      <w:r>
        <w:rPr>
          <w:i/>
          <w:iCs/>
          <w:sz w:val="20"/>
          <w:szCs w:val="20"/>
        </w:rPr>
        <w:t xml:space="preserve">“DERECHO A LA VIDA PRIVADA. SU CONTENIDO GENERAL Y LA IMPORTANCIA DE NO DESCONTEXTUALIZAR LAS REFERENCIAS A LA MISMA. 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 A un nivel más concreto, la misma </w:t>
      </w:r>
      <w:r>
        <w:rPr>
          <w:i/>
          <w:iCs/>
          <w:sz w:val="20"/>
          <w:szCs w:val="20"/>
        </w:rPr>
        <w:lastRenderedPageBreak/>
        <w:t>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En un sentido amplio, entonces, la protección constitucional de la vida privada implica poder conducir parte de la vida de uno protegido de la mirada y las injerencias de los demás,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3A4561CD" w14:textId="77777777" w:rsidR="0035729A" w:rsidRDefault="0035729A">
      <w:pPr>
        <w:spacing w:after="0" w:line="360" w:lineRule="auto"/>
        <w:rPr>
          <w:color w:val="000000"/>
        </w:rPr>
      </w:pPr>
    </w:p>
    <w:p w14:paraId="12C5C6FF" w14:textId="77777777" w:rsidR="0035729A" w:rsidRDefault="007E5634">
      <w:pPr>
        <w:spacing w:after="0" w:line="360" w:lineRule="auto"/>
        <w:rPr>
          <w:b/>
          <w:bCs/>
          <w:color w:val="000000"/>
        </w:rPr>
      </w:pPr>
      <w:r>
        <w:rPr>
          <w:color w:val="000000"/>
        </w:rPr>
        <w:t xml:space="preserve">De conformidad con lo señalado, se colige que </w:t>
      </w:r>
      <w:r>
        <w:rPr>
          <w:b/>
          <w:bCs/>
          <w:color w:val="000000"/>
        </w:rPr>
        <w:t>las actividades que realicen los particulares, dentro del ámbito privado, o dentro de la esfera particular, es información que debe protegerse.</w:t>
      </w:r>
    </w:p>
    <w:p w14:paraId="486FF017" w14:textId="77777777" w:rsidR="0035729A" w:rsidRDefault="0035729A">
      <w:pPr>
        <w:spacing w:after="0" w:line="360" w:lineRule="auto"/>
        <w:rPr>
          <w:b/>
          <w:bCs/>
          <w:color w:val="000000"/>
        </w:rPr>
      </w:pPr>
    </w:p>
    <w:p w14:paraId="095A78D4" w14:textId="77777777" w:rsidR="0035729A" w:rsidRDefault="007E5634">
      <w:pPr>
        <w:spacing w:after="0" w:line="360" w:lineRule="auto"/>
        <w:rPr>
          <w:color w:val="000000"/>
        </w:rPr>
      </w:pPr>
      <w:r>
        <w:rPr>
          <w:color w:val="000000"/>
        </w:rPr>
        <w:t>En el presente caso, proporcionar el motivo de la renuncia, iría en contra del derecho a la vida privada, pues se daría cuenta de la decisión personal; es decir, un acto de voluntad de dichas personas en ejercicio de sus derechos para dar por terminada una relación laboral, lo cual constituye cuestiones de carácter estrictamente íntimo.</w:t>
      </w:r>
    </w:p>
    <w:p w14:paraId="6EDA01A7" w14:textId="77777777" w:rsidR="0035729A" w:rsidRDefault="0035729A">
      <w:pPr>
        <w:spacing w:after="0" w:line="360" w:lineRule="auto"/>
        <w:rPr>
          <w:color w:val="000000"/>
        </w:rPr>
      </w:pPr>
    </w:p>
    <w:p w14:paraId="3C7E5D0D" w14:textId="77777777" w:rsidR="0035729A" w:rsidRDefault="007E5634">
      <w:pPr>
        <w:spacing w:after="0" w:line="360" w:lineRule="auto"/>
        <w:rPr>
          <w:color w:val="000000"/>
        </w:rPr>
      </w:pPr>
      <w:r>
        <w:rPr>
          <w:color w:val="000000"/>
        </w:rPr>
        <w:t>Sobre dicha situación,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w:t>
      </w:r>
    </w:p>
    <w:p w14:paraId="56C49F73" w14:textId="77777777" w:rsidR="0035729A" w:rsidRDefault="0035729A">
      <w:pPr>
        <w:spacing w:after="0" w:line="360" w:lineRule="auto"/>
        <w:rPr>
          <w:color w:val="000000"/>
        </w:rPr>
      </w:pPr>
    </w:p>
    <w:p w14:paraId="5025F5EA" w14:textId="77777777" w:rsidR="0035729A" w:rsidRDefault="007E5634">
      <w:pPr>
        <w:spacing w:after="0" w:line="360" w:lineRule="auto"/>
        <w:ind w:left="720" w:right="709"/>
        <w:rPr>
          <w:i/>
          <w:iCs/>
          <w:sz w:val="20"/>
          <w:szCs w:val="20"/>
        </w:rPr>
      </w:pPr>
      <w:r>
        <w:rPr>
          <w:b/>
          <w:bCs/>
          <w:i/>
          <w:iCs/>
          <w:sz w:val="20"/>
          <w:szCs w:val="20"/>
        </w:rPr>
        <w:lastRenderedPageBreak/>
        <w:t>“DERECHO A LA PRIVACIDAD O INTIMIDAD. ESTÁ PROTEGIDO POR EL ARTÍCULO 16, PRIMER PÁRRAFO, DE LA CONSTITUCIÓN POLÍTICA DE LOS ESTADOS UNIDOS MEXICANOS.</w:t>
      </w:r>
      <w:r>
        <w:rPr>
          <w:i/>
          <w:iCs/>
          <w:sz w:val="20"/>
          <w:szCs w:val="20"/>
        </w:rPr>
        <w:t xml:space="preserve"> 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14:paraId="5B57E481" w14:textId="77777777" w:rsidR="0035729A" w:rsidRDefault="0035729A">
      <w:pPr>
        <w:spacing w:after="0" w:line="360" w:lineRule="auto"/>
        <w:ind w:left="720"/>
        <w:rPr>
          <w:i/>
          <w:iCs/>
        </w:rPr>
      </w:pPr>
    </w:p>
    <w:p w14:paraId="55E6022D" w14:textId="77777777" w:rsidR="0035729A" w:rsidRDefault="007E5634">
      <w:pPr>
        <w:spacing w:after="0" w:line="360" w:lineRule="auto"/>
        <w:rPr>
          <w:color w:val="000000"/>
        </w:rPr>
      </w:pPr>
      <w:r>
        <w:rPr>
          <w:color w:val="000000"/>
        </w:rPr>
        <w:t>Conforme a dicha tesis aislada,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14:paraId="73EE65F7" w14:textId="77777777" w:rsidR="0035729A" w:rsidRDefault="0035729A">
      <w:pPr>
        <w:spacing w:after="0" w:line="360" w:lineRule="auto"/>
        <w:rPr>
          <w:color w:val="000000"/>
        </w:rPr>
      </w:pPr>
    </w:p>
    <w:p w14:paraId="1BCAAAF8" w14:textId="77777777" w:rsidR="0035729A" w:rsidRDefault="007E5634">
      <w:pPr>
        <w:spacing w:after="0" w:line="360" w:lineRule="auto"/>
        <w:rPr>
          <w:b/>
          <w:bCs/>
          <w:color w:val="000000"/>
        </w:rPr>
      </w:pPr>
      <w:r>
        <w:rPr>
          <w:color w:val="000000"/>
        </w:rPr>
        <w:t>Así, en un sentido amplio, dicha garantía puede extenderse a una protección más allá del aseguramiento del domicilio como espacio físico en que se desenvuelve normalmente la privacidad o la intimidad, por lo que en el artículo 16, primer párrafo, constitucional,</w:t>
      </w:r>
      <w:r>
        <w:rPr>
          <w:b/>
          <w:bCs/>
          <w:color w:val="000000"/>
        </w:rPr>
        <w:t xml:space="preserve"> se da el reconocimiento de un derecho a la privacidad de las personas que implica no ser sujeto de intromisiones o molestias en el ámbito reservado de su vida o intimidad.</w:t>
      </w:r>
    </w:p>
    <w:p w14:paraId="490DB7B2" w14:textId="77777777" w:rsidR="0035729A" w:rsidRDefault="0035729A">
      <w:pPr>
        <w:spacing w:after="0" w:line="360" w:lineRule="auto"/>
        <w:rPr>
          <w:color w:val="000000"/>
        </w:rPr>
      </w:pPr>
    </w:p>
    <w:p w14:paraId="2E4D0C12" w14:textId="77777777" w:rsidR="0035729A" w:rsidRDefault="007E5634">
      <w:pPr>
        <w:spacing w:after="0" w:line="360" w:lineRule="auto"/>
        <w:rPr>
          <w:b/>
          <w:bCs/>
          <w:color w:val="000000"/>
        </w:rPr>
      </w:pPr>
      <w:r>
        <w:rPr>
          <w:color w:val="000000"/>
        </w:rPr>
        <w:lastRenderedPageBreak/>
        <w:t xml:space="preserve">Por lo tanto, se considera que dar a conocer los motivos personales, de inasistencias o faltas, o bien para dar de baja la relación laboral, implicaría revelar un aspecto de la vida privada e íntima, es decir, </w:t>
      </w:r>
      <w:r>
        <w:rPr>
          <w:b/>
          <w:bCs/>
        </w:rPr>
        <w:t>reflejaba</w:t>
      </w:r>
      <w:r>
        <w:rPr>
          <w:b/>
          <w:bCs/>
          <w:color w:val="000000"/>
        </w:rPr>
        <w:t xml:space="preserve"> una situación concreta de los servidores públicos en su vida personal, al dar cuenta de las razones de la decisión particular de presentar su renuncia laboral; por lo que, se considera información confidencial, en términos del artículo 143, fracción I, de la Ley de Transparencia y Acceso a la Información Pública del Estado de México y Municipios.</w:t>
      </w:r>
    </w:p>
    <w:p w14:paraId="5CD4D14C" w14:textId="77777777" w:rsidR="0035729A" w:rsidRDefault="0035729A">
      <w:pPr>
        <w:spacing w:after="0" w:line="360" w:lineRule="auto"/>
        <w:rPr>
          <w:b/>
          <w:bCs/>
          <w:color w:val="000000"/>
        </w:rPr>
      </w:pPr>
    </w:p>
    <w:p w14:paraId="6B6E4ABD" w14:textId="77777777" w:rsidR="0035729A" w:rsidRDefault="007E5634">
      <w:pPr>
        <w:numPr>
          <w:ilvl w:val="0"/>
          <w:numId w:val="6"/>
        </w:numPr>
        <w:spacing w:after="0" w:line="360" w:lineRule="auto"/>
        <w:jc w:val="left"/>
        <w:rPr>
          <w:b/>
          <w:bCs/>
        </w:rPr>
      </w:pPr>
      <w:r>
        <w:rPr>
          <w:b/>
          <w:bCs/>
        </w:rPr>
        <w:t>Firma de servidores públicos.</w:t>
      </w:r>
    </w:p>
    <w:p w14:paraId="013637B7" w14:textId="77777777" w:rsidR="0035729A" w:rsidRDefault="0035729A">
      <w:pPr>
        <w:spacing w:after="0" w:line="360" w:lineRule="auto"/>
      </w:pPr>
    </w:p>
    <w:p w14:paraId="18040F1F" w14:textId="77777777" w:rsidR="0035729A" w:rsidRDefault="007E5634">
      <w:pPr>
        <w:spacing w:after="0" w:line="360" w:lineRule="auto"/>
      </w:pPr>
      <w:r>
        <w:t>Al respecto, cabe precisar que, en el presente caso, se trata de la firma de servidores públicos que dieron por terminada la relación laboral, al firmar de manera voluntaria su renuncia; por lo que, si bien la firma es un dato personal confidencial, cuando un trabajador gubernamental firma un documento como servidor público, en ejercicio de sus funciones, es de naturaleza pública.</w:t>
      </w:r>
    </w:p>
    <w:p w14:paraId="6EC4CF1C" w14:textId="77777777" w:rsidR="0035729A" w:rsidRDefault="0035729A">
      <w:pPr>
        <w:spacing w:after="0" w:line="360" w:lineRule="auto"/>
      </w:pPr>
    </w:p>
    <w:p w14:paraId="0F4A4904" w14:textId="77777777" w:rsidR="0035729A" w:rsidRDefault="007E5634">
      <w:pPr>
        <w:spacing w:after="0" w:line="360" w:lineRule="auto"/>
      </w:pPr>
      <w:r>
        <w:t>Conforme a lo anterior, la firma de servidores públicos, vinculada al ejercicio de la función pública es información de naturaleza pública, pues documenta y rinde cuentas sobre el debido ejercicio de sus atribuciones, lo cual acontece en el presente caso.</w:t>
      </w:r>
    </w:p>
    <w:p w14:paraId="2FDFE676" w14:textId="77777777" w:rsidR="0035729A" w:rsidRDefault="0035729A">
      <w:pPr>
        <w:spacing w:after="0" w:line="360" w:lineRule="auto"/>
      </w:pPr>
    </w:p>
    <w:p w14:paraId="3B9905B3" w14:textId="77777777" w:rsidR="0035729A" w:rsidRDefault="007E5634">
      <w:pPr>
        <w:spacing w:after="0" w:line="360" w:lineRule="auto"/>
      </w:pPr>
      <w:r>
        <w:t>Dicha situación, se robustece, con el Criterio de Interpretación, de la Segunda Época, con clave de control SO/002/2019, emitido por el Instituto Nacional de Transparencia, Acceso a la Información y Protección de Datos Personales, que establece lo siguiente:</w:t>
      </w:r>
    </w:p>
    <w:p w14:paraId="787C6CC8" w14:textId="77777777" w:rsidR="0035729A" w:rsidRDefault="0035729A">
      <w:pPr>
        <w:spacing w:after="0" w:line="360" w:lineRule="auto"/>
      </w:pPr>
    </w:p>
    <w:p w14:paraId="58661CCE" w14:textId="77777777" w:rsidR="0035729A" w:rsidRDefault="007E5634">
      <w:pPr>
        <w:widowControl w:val="0"/>
        <w:spacing w:after="0" w:line="360" w:lineRule="auto"/>
        <w:ind w:left="567" w:right="567"/>
        <w:rPr>
          <w:i/>
          <w:iCs/>
          <w:sz w:val="20"/>
          <w:szCs w:val="20"/>
        </w:rPr>
      </w:pPr>
      <w:r>
        <w:rPr>
          <w:b/>
          <w:bCs/>
          <w:i/>
          <w:iCs/>
          <w:sz w:val="20"/>
          <w:szCs w:val="20"/>
        </w:rPr>
        <w:t>“Firma y rúbrica de servidores públicos.</w:t>
      </w:r>
      <w:r>
        <w:rPr>
          <w:i/>
          <w:iCs/>
          <w:sz w:val="20"/>
          <w:szCs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606BF71B" w14:textId="77777777" w:rsidR="0035729A" w:rsidRDefault="0035729A">
      <w:pPr>
        <w:spacing w:after="0" w:line="360" w:lineRule="auto"/>
      </w:pPr>
    </w:p>
    <w:p w14:paraId="28F3B2B5" w14:textId="77777777" w:rsidR="0035729A" w:rsidRDefault="007E5634">
      <w:pPr>
        <w:spacing w:after="0" w:line="360" w:lineRule="auto"/>
      </w:pPr>
      <w:r>
        <w:t>Conforme a lo expuesto, no procede la clasificación, en términos del artículo 143, fracción I de la Ley de Transparencia y Acceso a la Información Pública del Estado de México y Municipios, de la firma del personal que dio por terminada la relación laboral.</w:t>
      </w:r>
    </w:p>
    <w:p w14:paraId="44DBECDC" w14:textId="77777777" w:rsidR="0035729A" w:rsidRDefault="007E5634">
      <w:pPr>
        <w:numPr>
          <w:ilvl w:val="0"/>
          <w:numId w:val="5"/>
        </w:numPr>
        <w:spacing w:after="0" w:line="360" w:lineRule="auto"/>
        <w:jc w:val="left"/>
        <w:rPr>
          <w:b/>
          <w:bCs/>
        </w:rPr>
      </w:pPr>
      <w:r>
        <w:rPr>
          <w:b/>
          <w:bCs/>
        </w:rPr>
        <w:t>Huella dactilar</w:t>
      </w:r>
    </w:p>
    <w:p w14:paraId="441A8FB6" w14:textId="77777777" w:rsidR="0035729A" w:rsidRDefault="0035729A">
      <w:pPr>
        <w:spacing w:after="0" w:line="360" w:lineRule="auto"/>
        <w:ind w:right="-93"/>
        <w:rPr>
          <w:b/>
          <w:bCs/>
        </w:rPr>
      </w:pPr>
    </w:p>
    <w:p w14:paraId="4A080026" w14:textId="77777777" w:rsidR="0035729A" w:rsidRDefault="007E5634">
      <w:pPr>
        <w:spacing w:after="0" w:line="360" w:lineRule="auto"/>
      </w:pPr>
      <w:r>
        <w:t xml:space="preserve">Al respecto, la huella dactilar es la impresión visible o moldeada que produce el contacto de las crestas papilares de un dedo de la mano sobre una superficie. </w:t>
      </w:r>
    </w:p>
    <w:p w14:paraId="2FFA9323" w14:textId="77777777" w:rsidR="0035729A" w:rsidRDefault="0035729A">
      <w:pPr>
        <w:spacing w:after="0" w:line="360" w:lineRule="auto"/>
      </w:pPr>
    </w:p>
    <w:p w14:paraId="3AEB7DAE" w14:textId="77777777" w:rsidR="0035729A" w:rsidRDefault="007E5634">
      <w:pPr>
        <w:spacing w:after="0" w:line="360" w:lineRule="auto"/>
      </w:pPr>
      <w:r>
        <w:t xml:space="preserve">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Procuraduría General de la República, disponible en </w:t>
      </w:r>
      <w:hyperlink r:id="rId9">
        <w:r>
          <w:rPr>
            <w:color w:val="0563C1"/>
            <w:u w:val="single"/>
          </w:rPr>
          <w:t>https://docplayer.es/5455342-Nuevas-tecnologias-biometricas-instituto-nacional-de-ciencias-penales-procuraduria-general-de-la-republica-version-1-0.html</w:t>
        </w:r>
      </w:hyperlink>
      <w:r>
        <w:t xml:space="preserve">, se indica que existen tres principios fundamentales para la identificación de las huellas dactilares, a saber: </w:t>
      </w:r>
    </w:p>
    <w:p w14:paraId="77415F7D" w14:textId="77777777" w:rsidR="0035729A" w:rsidRDefault="0035729A">
      <w:pPr>
        <w:spacing w:after="0" w:line="360" w:lineRule="auto"/>
      </w:pPr>
    </w:p>
    <w:p w14:paraId="21F9321A" w14:textId="77777777" w:rsidR="0035729A" w:rsidRDefault="007E5634">
      <w:pPr>
        <w:numPr>
          <w:ilvl w:val="0"/>
          <w:numId w:val="3"/>
        </w:numPr>
        <w:spacing w:after="0" w:line="360" w:lineRule="auto"/>
        <w:jc w:val="left"/>
      </w:pPr>
      <w:r>
        <w:t xml:space="preserve">Primer principio. La huella es una característica individual. No hay dos huellas con características en las crestas que sean idénticas. </w:t>
      </w:r>
    </w:p>
    <w:p w14:paraId="7003D44D" w14:textId="77777777" w:rsidR="0035729A" w:rsidRDefault="0035729A">
      <w:pPr>
        <w:spacing w:after="0" w:line="360" w:lineRule="auto"/>
      </w:pPr>
    </w:p>
    <w:p w14:paraId="5DF48B67" w14:textId="77777777" w:rsidR="0035729A" w:rsidRDefault="007E5634">
      <w:pPr>
        <w:numPr>
          <w:ilvl w:val="0"/>
          <w:numId w:val="3"/>
        </w:numPr>
        <w:spacing w:after="0" w:line="360" w:lineRule="auto"/>
        <w:jc w:val="left"/>
      </w:pPr>
      <w:r>
        <w:t xml:space="preserve">Segundo principio. Una huella permanece sin cambios durante toda la vida de un individuo (sin embargo, puede adquirir cicatrices o cualquier otra deformación que impida su identificación clara). </w:t>
      </w:r>
    </w:p>
    <w:p w14:paraId="0994CACF" w14:textId="77777777" w:rsidR="0035729A" w:rsidRDefault="0035729A">
      <w:pPr>
        <w:spacing w:after="0" w:line="360" w:lineRule="auto"/>
      </w:pPr>
    </w:p>
    <w:p w14:paraId="2C351941" w14:textId="77777777" w:rsidR="0035729A" w:rsidRDefault="007E5634">
      <w:pPr>
        <w:numPr>
          <w:ilvl w:val="0"/>
          <w:numId w:val="3"/>
        </w:numPr>
        <w:spacing w:after="0" w:line="360" w:lineRule="auto"/>
        <w:jc w:val="left"/>
      </w:pPr>
      <w:r>
        <w:lastRenderedPageBreak/>
        <w:t xml:space="preserve">Tercer principio. Las huellas tienen patrones que se forman con sus crestas, lo que hace posible clasificarlas sistemáticamente para agilizar las búsquedas. </w:t>
      </w:r>
    </w:p>
    <w:p w14:paraId="0C1692FB" w14:textId="77777777" w:rsidR="0035729A" w:rsidRDefault="0035729A">
      <w:pPr>
        <w:spacing w:after="0" w:line="360" w:lineRule="auto"/>
      </w:pPr>
    </w:p>
    <w:p w14:paraId="59115BC8" w14:textId="77777777" w:rsidR="0035729A" w:rsidRDefault="007E5634">
      <w:pPr>
        <w:spacing w:after="0" w:line="360" w:lineRule="auto"/>
      </w:pPr>
      <w:r>
        <w:t>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w:t>
      </w:r>
    </w:p>
    <w:p w14:paraId="09FAF521" w14:textId="77777777" w:rsidR="0035729A" w:rsidRDefault="0035729A">
      <w:pPr>
        <w:spacing w:after="0" w:line="360" w:lineRule="auto"/>
      </w:pPr>
    </w:p>
    <w:p w14:paraId="7B9AB4EC" w14:textId="77777777" w:rsidR="0035729A" w:rsidRDefault="007E5634">
      <w:pPr>
        <w:spacing w:after="0" w:line="360" w:lineRule="auto"/>
      </w:pPr>
      <w:r>
        <w:t>Ahora bien, no obstante que dicho dato no se haya recolectado mediante escaneo que permita su sistematización y procesamiento electrónico, incluso su recolección en tinta y papel, también permite su escaneo, lo que puede propiciar un mal uso de dicho dato, sino se aplican las medidas de protección adecuada, tal como lo refiere la siguiente Tesis Aislada:</w:t>
      </w:r>
    </w:p>
    <w:p w14:paraId="791BBBF0" w14:textId="77777777" w:rsidR="0035729A" w:rsidRDefault="0035729A">
      <w:pPr>
        <w:spacing w:after="0" w:line="360" w:lineRule="auto"/>
      </w:pPr>
    </w:p>
    <w:p w14:paraId="3805F048" w14:textId="77777777" w:rsidR="0035729A" w:rsidRDefault="007E5634">
      <w:pPr>
        <w:spacing w:after="0" w:line="360" w:lineRule="auto"/>
        <w:ind w:left="567" w:right="567"/>
        <w:rPr>
          <w:i/>
          <w:iCs/>
          <w:sz w:val="20"/>
          <w:szCs w:val="20"/>
        </w:rPr>
      </w:pPr>
      <w:r>
        <w:rPr>
          <w:b/>
          <w:bCs/>
          <w:i/>
          <w:iCs/>
          <w:sz w:val="20"/>
          <w:szCs w:val="20"/>
        </w:rPr>
        <w:t>“HUELLA DACTILAR". ES APTA PARA ACREDITAR EL CONSENTIMIENTO EN LA CELEBRACIÓN DE UN CONTRATO</w:t>
      </w:r>
      <w:r>
        <w:rPr>
          <w:i/>
          <w:iCs/>
          <w:sz w:val="20"/>
          <w:szCs w:val="20"/>
        </w:rPr>
        <w:t xml:space="preserve">. </w:t>
      </w:r>
      <w:r>
        <w:rPr>
          <w:b/>
          <w:bCs/>
          <w:i/>
          <w:iCs/>
          <w:sz w:val="20"/>
          <w:szCs w:val="20"/>
        </w:rPr>
        <w:t>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w:t>
      </w:r>
      <w:r>
        <w:rPr>
          <w:i/>
          <w:iCs/>
          <w:sz w:val="20"/>
          <w:szCs w:val="20"/>
        </w:rPr>
        <w:t xml:space="preserve"> en cambio, los caracteres 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manifestación del consentimiento, el citado código prevé diversos supuestos, como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artículo 1834 establece como requisito adicional la firma de la persona que </w:t>
      </w:r>
      <w:r>
        <w:rPr>
          <w:i/>
          <w:iCs/>
          <w:sz w:val="20"/>
          <w:szCs w:val="20"/>
        </w:rPr>
        <w:lastRenderedPageBreak/>
        <w:t>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w:t>
      </w:r>
    </w:p>
    <w:p w14:paraId="56DFCB01" w14:textId="77777777" w:rsidR="0035729A" w:rsidRDefault="0035729A">
      <w:pPr>
        <w:spacing w:after="0" w:line="360" w:lineRule="auto"/>
      </w:pPr>
    </w:p>
    <w:p w14:paraId="627BBED3" w14:textId="77777777" w:rsidR="0035729A" w:rsidRDefault="007E5634">
      <w:pPr>
        <w:spacing w:after="0" w:line="360" w:lineRule="auto"/>
      </w:pPr>
      <w:r>
        <w:t xml:space="preserve">En la actualidad existen sistemas denominados AFIS por sus siglas en inglés </w:t>
      </w:r>
      <w:proofErr w:type="spellStart"/>
      <w:r>
        <w:rPr>
          <w:i/>
          <w:iCs/>
        </w:rPr>
        <w:t>Automated</w:t>
      </w:r>
      <w:proofErr w:type="spellEnd"/>
      <w:r>
        <w:rPr>
          <w:i/>
          <w:iCs/>
        </w:rPr>
        <w:t xml:space="preserve"> </w:t>
      </w:r>
      <w:proofErr w:type="spellStart"/>
      <w:r>
        <w:rPr>
          <w:i/>
          <w:iCs/>
        </w:rPr>
        <w:t>Fingerprint</w:t>
      </w:r>
      <w:proofErr w:type="spellEnd"/>
      <w:r>
        <w:rPr>
          <w:i/>
          <w:iCs/>
        </w:rPr>
        <w:t xml:space="preserve"> </w:t>
      </w:r>
      <w:proofErr w:type="spellStart"/>
      <w:r>
        <w:rPr>
          <w:i/>
          <w:iCs/>
        </w:rPr>
        <w:t>Identification</w:t>
      </w:r>
      <w:proofErr w:type="spellEnd"/>
      <w:r>
        <w:rPr>
          <w:i/>
          <w:iCs/>
        </w:rPr>
        <w:t xml:space="preserve"> </w:t>
      </w:r>
      <w:proofErr w:type="spellStart"/>
      <w:r>
        <w:rPr>
          <w:i/>
          <w:iCs/>
        </w:rPr>
        <w:t>System</w:t>
      </w:r>
      <w:proofErr w:type="spellEnd"/>
      <w:r>
        <w:t xml:space="preserve"> que son sistemas informáticos que 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 </w:t>
      </w:r>
    </w:p>
    <w:p w14:paraId="4054A036" w14:textId="77777777" w:rsidR="0035729A" w:rsidRDefault="0035729A">
      <w:pPr>
        <w:spacing w:after="0" w:line="360" w:lineRule="auto"/>
      </w:pPr>
    </w:p>
    <w:p w14:paraId="0992FF41" w14:textId="77777777" w:rsidR="0035729A" w:rsidRDefault="007E5634">
      <w:pPr>
        <w:spacing w:after="0" w:line="360" w:lineRule="auto"/>
      </w:pPr>
      <w:r>
        <w:t xml:space="preserve">En términos de la calidad de la imagen se debe observar que en la NOM-151-SCFI-2016 publicada en el Diario Oficial, se determina que la calidad propicia para realizar la digitalización de documentos físicos en formato de imagen es de 200 píxeles por pulgada o superior para representaciones en blanco y negro, color o escala de grises, para garantizar el 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 </w:t>
      </w:r>
    </w:p>
    <w:p w14:paraId="6757069A" w14:textId="77777777" w:rsidR="0035729A" w:rsidRDefault="0035729A">
      <w:pPr>
        <w:spacing w:after="0" w:line="360" w:lineRule="auto"/>
      </w:pPr>
    </w:p>
    <w:p w14:paraId="10A51F4F" w14:textId="77777777" w:rsidR="0035729A" w:rsidRDefault="007E5634">
      <w:pPr>
        <w:spacing w:after="0" w:line="360" w:lineRule="auto"/>
      </w:pPr>
      <w:r>
        <w:lastRenderedPageBreak/>
        <w:t>En conclusión, con el uso de las tecnologías de digitalización e impresión puestas a disposición del público general, es posible realizar la adquisición y reproducción de la huella digital que se encuentra en un documento y adicionalmente se puede sistematizar la comparación y análisis de las digitalizaciones a través de sistemas especializados para esta finalidad que pueden encontrarse de forma gratuita en internet.</w:t>
      </w:r>
    </w:p>
    <w:p w14:paraId="33DF338D" w14:textId="77777777" w:rsidR="0035729A" w:rsidRDefault="007E5634">
      <w:pPr>
        <w:spacing w:after="0" w:line="360" w:lineRule="auto"/>
      </w:pPr>
      <w:r>
        <w:t>Por lo anterior, la huella dactilar no sólo constituye un dato personal confidencial de carácter biométrico, sino que su tratamiento debe llevarse a cabo a través de medidas de seguridad que garanticen su adecuado tratamiento, por lo que debe ser clasificado como confidencial en términos del artículo 143, fracción I, de la Ley de Transparencia y Acceso a la Información Pública del Estado de México y Municipios.</w:t>
      </w:r>
    </w:p>
    <w:p w14:paraId="14C9880F" w14:textId="77777777" w:rsidR="0035729A" w:rsidRDefault="0035729A">
      <w:pPr>
        <w:widowControl w:val="0"/>
        <w:tabs>
          <w:tab w:val="center" w:pos="4522"/>
        </w:tabs>
        <w:spacing w:after="0" w:line="360" w:lineRule="auto"/>
      </w:pPr>
    </w:p>
    <w:p w14:paraId="12756724" w14:textId="77777777" w:rsidR="0035729A" w:rsidRDefault="007E5634">
      <w:pPr>
        <w:numPr>
          <w:ilvl w:val="0"/>
          <w:numId w:val="4"/>
        </w:numPr>
        <w:spacing w:after="0" w:line="360" w:lineRule="auto"/>
        <w:rPr>
          <w:color w:val="000000"/>
        </w:rPr>
      </w:pPr>
      <w:bookmarkStart w:id="16" w:name="_heading=h.y9sm6dxwxs0a" w:colFirst="0" w:colLast="0"/>
      <w:bookmarkEnd w:id="16"/>
      <w:r>
        <w:rPr>
          <w:b/>
          <w:bCs/>
          <w:color w:val="000000"/>
        </w:rPr>
        <w:t>Datos Bancarios</w:t>
      </w:r>
    </w:p>
    <w:p w14:paraId="3D0292B1" w14:textId="77777777" w:rsidR="0035729A" w:rsidRDefault="0035729A">
      <w:pPr>
        <w:spacing w:after="0" w:line="360" w:lineRule="auto"/>
        <w:rPr>
          <w:color w:val="000000"/>
        </w:rPr>
      </w:pPr>
    </w:p>
    <w:p w14:paraId="26C25623" w14:textId="77777777" w:rsidR="0035729A" w:rsidRDefault="007E5634">
      <w:pPr>
        <w:spacing w:after="0" w:line="360" w:lineRule="auto"/>
        <w:rPr>
          <w:color w:val="000000"/>
        </w:rPr>
      </w:pPr>
      <w:r>
        <w:rPr>
          <w:color w:val="000000"/>
        </w:rPr>
        <w:t xml:space="preserve">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un Particular, o bien, la </w:t>
      </w:r>
      <w:proofErr w:type="spellStart"/>
      <w:r>
        <w:rPr>
          <w:color w:val="000000"/>
        </w:rPr>
        <w:t>clabe</w:t>
      </w:r>
      <w:proofErr w:type="spellEnd"/>
      <w:r>
        <w:rPr>
          <w:color w:val="000000"/>
        </w:rPr>
        <w:t xml:space="preserve"> interbancaria; además, que con dicha información se podría obtener los recursos enviados a las órdenes de cargo, pago de nómina o a las transferencias electrónicas </w:t>
      </w:r>
      <w:r>
        <w:t>de fondos</w:t>
      </w:r>
      <w:r>
        <w:rPr>
          <w:color w:val="000000"/>
        </w:rPr>
        <w:t xml:space="preserve"> interbancarios, entre otros movimientos que sean utilizados exclusivamente en la cuenta señalada por el cliente y por lo tanto, los datos bancarios corresponden a información que se encuentra relacionada con el patrimonio de la persona titular de la cuenta.</w:t>
      </w:r>
    </w:p>
    <w:p w14:paraId="086F3B49" w14:textId="77777777" w:rsidR="0035729A" w:rsidRDefault="007E5634">
      <w:pPr>
        <w:spacing w:after="0" w:line="360" w:lineRule="auto"/>
        <w:rPr>
          <w:color w:val="000000"/>
        </w:rPr>
      </w:pPr>
      <w:r>
        <w:rPr>
          <w:color w:val="000000"/>
        </w:rPr>
        <w:t xml:space="preserve"> </w:t>
      </w:r>
    </w:p>
    <w:p w14:paraId="2E420655" w14:textId="77777777" w:rsidR="0035729A" w:rsidRDefault="007E5634">
      <w:pPr>
        <w:spacing w:after="0" w:line="360" w:lineRule="auto"/>
        <w:rPr>
          <w:color w:val="000000"/>
        </w:rPr>
      </w:pPr>
      <w:r>
        <w:rPr>
          <w:color w:val="000000"/>
        </w:rPr>
        <w:t>A mayor abundamiento, resulta necesario traer a colación el Criterio 10/17 emitido por el Instituto Nacional de Transparencia, Acceso a la Información y Protección de Datos Personales, mismo que establece lo siguiente:</w:t>
      </w:r>
    </w:p>
    <w:p w14:paraId="35F9C82A" w14:textId="77777777" w:rsidR="0035729A" w:rsidRDefault="0035729A">
      <w:pPr>
        <w:spacing w:after="0" w:line="360" w:lineRule="auto"/>
        <w:rPr>
          <w:color w:val="000000"/>
        </w:rPr>
      </w:pPr>
    </w:p>
    <w:p w14:paraId="4A80D291" w14:textId="77777777" w:rsidR="0035729A" w:rsidRDefault="007E5634">
      <w:pPr>
        <w:spacing w:after="0" w:line="360" w:lineRule="auto"/>
        <w:ind w:left="567" w:right="709"/>
        <w:rPr>
          <w:i/>
          <w:iCs/>
          <w:color w:val="000000"/>
          <w:sz w:val="20"/>
          <w:szCs w:val="20"/>
        </w:rPr>
      </w:pPr>
      <w:r>
        <w:rPr>
          <w:i/>
          <w:iCs/>
          <w:color w:val="000000"/>
          <w:sz w:val="20"/>
          <w:szCs w:val="20"/>
        </w:rPr>
        <w:t>“</w:t>
      </w:r>
      <w:r>
        <w:rPr>
          <w:b/>
          <w:bCs/>
          <w:i/>
          <w:iCs/>
          <w:color w:val="000000"/>
          <w:sz w:val="20"/>
          <w:szCs w:val="20"/>
        </w:rPr>
        <w:t>Cuentas bancarias y/o CLABE interbancaria de personas físicas y morales privadas.</w:t>
      </w:r>
      <w:r>
        <w:rPr>
          <w:i/>
          <w:iCs/>
          <w:color w:val="000000"/>
          <w:sz w:val="20"/>
          <w:szCs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B1AE050" w14:textId="77777777" w:rsidR="0035729A" w:rsidRDefault="0035729A">
      <w:pPr>
        <w:spacing w:after="0" w:line="360" w:lineRule="auto"/>
        <w:rPr>
          <w:color w:val="000000"/>
        </w:rPr>
      </w:pPr>
    </w:p>
    <w:p w14:paraId="611C3C85" w14:textId="77777777" w:rsidR="0035729A" w:rsidRDefault="007E5634">
      <w:pPr>
        <w:spacing w:after="0" w:line="360" w:lineRule="auto"/>
        <w:rPr>
          <w:color w:val="000000"/>
        </w:rPr>
      </w:pPr>
      <w:r>
        <w:rPr>
          <w:color w:val="000000"/>
        </w:rPr>
        <w:t xml:space="preserve">Por lo cual, se puede colegir que dichos datos no guardan relación con el servicio público ni con los recursos públicos, pues </w:t>
      </w:r>
      <w:r>
        <w:t>sólo</w:t>
      </w:r>
      <w:r>
        <w:rPr>
          <w:color w:val="000000"/>
        </w:rPr>
        <w:t xml:space="preserve"> corresponde a información, que le atañe a la institución financiera y al cliente; por lo que este número constituye información confidencial al pertenecer exclusivamente al ámbito de la vida privada del Particular y procede su clasificación de conformidad con el artículo 143, fracción I, de la Ley de Transparencia y Acceso a la Información Pública del Estado de México y Municipios.</w:t>
      </w:r>
    </w:p>
    <w:p w14:paraId="134AA3E5" w14:textId="77777777" w:rsidR="0035729A" w:rsidRDefault="0035729A">
      <w:pPr>
        <w:widowControl w:val="0"/>
        <w:tabs>
          <w:tab w:val="center" w:pos="4522"/>
        </w:tabs>
        <w:spacing w:after="0" w:line="360" w:lineRule="auto"/>
      </w:pPr>
    </w:p>
    <w:p w14:paraId="525F4552" w14:textId="77777777" w:rsidR="0035729A" w:rsidRDefault="007E5634">
      <w:pPr>
        <w:spacing w:after="0" w:line="360" w:lineRule="auto"/>
      </w:pPr>
      <w:r>
        <w:t>Conforme a lo anterior, el Sujeto Obligado deberá a poner a disposición del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BF32AF7" w14:textId="77777777" w:rsidR="0035729A" w:rsidRDefault="0035729A">
      <w:pPr>
        <w:spacing w:after="0" w:line="360" w:lineRule="auto"/>
      </w:pPr>
    </w:p>
    <w:p w14:paraId="2AC406D8" w14:textId="77777777" w:rsidR="0035729A" w:rsidRDefault="007E5634">
      <w:pPr>
        <w:pStyle w:val="Ttulo2"/>
        <w:spacing w:before="0" w:after="0"/>
        <w:rPr>
          <w:b w:val="0"/>
          <w:bCs w:val="0"/>
        </w:rPr>
      </w:pPr>
      <w:bookmarkStart w:id="17" w:name="_Toc221203172"/>
      <w:r>
        <w:t>SEXTO. Decisión</w:t>
      </w:r>
      <w:bookmarkEnd w:id="17"/>
    </w:p>
    <w:p w14:paraId="3D476064" w14:textId="77777777" w:rsidR="0035729A" w:rsidRDefault="0035729A">
      <w:pPr>
        <w:spacing w:after="0" w:line="360" w:lineRule="auto"/>
        <w:rPr>
          <w:b/>
          <w:bCs/>
        </w:rPr>
      </w:pPr>
    </w:p>
    <w:p w14:paraId="7649A096" w14:textId="77777777" w:rsidR="0035729A" w:rsidRDefault="007E5634">
      <w:pPr>
        <w:spacing w:after="0" w:line="360" w:lineRule="auto"/>
      </w:pPr>
      <w:r>
        <w:t xml:space="preserve">Con fundamento en el artículo 186, fracción III, de la Ley de Transparencia y Acceso a la Información Pública del Estado de México y Municipios, este Instituto considera procedente </w:t>
      </w:r>
      <w:r>
        <w:rPr>
          <w:b/>
          <w:bCs/>
        </w:rPr>
        <w:lastRenderedPageBreak/>
        <w:t xml:space="preserve">MODIFICAR </w:t>
      </w:r>
      <w:r>
        <w:t xml:space="preserve">la respuesta otorgada por el Sujeto Obligado a la solicitud de información </w:t>
      </w:r>
      <w:r>
        <w:rPr>
          <w:b/>
          <w:bCs/>
        </w:rPr>
        <w:t>00157/TIANGUIS/IP/2025</w:t>
      </w:r>
      <w:r>
        <w:t xml:space="preserve">, por resultar fundadas las razones o motivos de inconformidad hechos valer por la parte Recurrente, en el Recurso de Revisión </w:t>
      </w:r>
      <w:r>
        <w:rPr>
          <w:b/>
          <w:bCs/>
        </w:rPr>
        <w:t>10911/INFOEM/IP/RR/2025</w:t>
      </w:r>
      <w:r>
        <w:t xml:space="preserve">, en consecuencia procede </w:t>
      </w:r>
      <w:r>
        <w:rPr>
          <w:b/>
          <w:bCs/>
        </w:rPr>
        <w:t xml:space="preserve">ORDENAR, </w:t>
      </w:r>
      <w:r>
        <w:t xml:space="preserve">la entrega de la información faltante en los términos dispuestos en el considerando QUINTO. </w:t>
      </w:r>
    </w:p>
    <w:p w14:paraId="01A2868B" w14:textId="77777777" w:rsidR="0035729A" w:rsidRDefault="0035729A">
      <w:pPr>
        <w:tabs>
          <w:tab w:val="left" w:pos="4962"/>
        </w:tabs>
        <w:spacing w:after="0" w:line="360" w:lineRule="auto"/>
        <w:rPr>
          <w:color w:val="000000"/>
        </w:rPr>
      </w:pPr>
    </w:p>
    <w:p w14:paraId="53103320" w14:textId="018D5B82" w:rsidR="0035729A" w:rsidRDefault="007E5634">
      <w:pPr>
        <w:spacing w:after="0" w:line="360" w:lineRule="auto"/>
        <w:rPr>
          <w:b/>
          <w:bCs/>
          <w:u w:val="single"/>
        </w:rPr>
      </w:pPr>
      <w:r>
        <w:rPr>
          <w:b/>
          <w:bCs/>
          <w:u w:val="single"/>
        </w:rPr>
        <w:t>Términos de la Reso</w:t>
      </w:r>
      <w:r w:rsidR="00DF397C">
        <w:rPr>
          <w:b/>
          <w:bCs/>
          <w:u w:val="single"/>
        </w:rPr>
        <w:t>lución para la parte Recurrente</w:t>
      </w:r>
    </w:p>
    <w:p w14:paraId="2F86280C" w14:textId="77777777" w:rsidR="0035729A" w:rsidRDefault="0035729A">
      <w:pPr>
        <w:spacing w:after="0" w:line="360" w:lineRule="auto"/>
      </w:pPr>
    </w:p>
    <w:p w14:paraId="48BB15FF" w14:textId="77777777" w:rsidR="0035729A" w:rsidRDefault="007E5634">
      <w:pPr>
        <w:spacing w:after="0" w:line="360" w:lineRule="auto"/>
        <w:rPr>
          <w:u w:val="single"/>
        </w:rPr>
      </w:pPr>
      <w:r>
        <w:rPr>
          <w:u w:val="single"/>
        </w:rPr>
        <w:t xml:space="preserve">Se hace del conocimiento de parte Recurrente que este Organismo Garante determinó concederle la razón, se tuvo por colmado el número de expedientes laborales y se ordena la entrega del nombre y liquidaciones del personal dado de baja, cabe precisar que en caso de que sean las mismas personas referidas en respuesta o bien no </w:t>
      </w:r>
      <w:r w:rsidRPr="003E0710">
        <w:rPr>
          <w:u w:val="single"/>
        </w:rPr>
        <w:t>se haya emitido alguna o todas las liquidaciones bastará que se lo ha</w:t>
      </w:r>
      <w:r>
        <w:rPr>
          <w:u w:val="single"/>
        </w:rPr>
        <w:t>ga del conocimiento de manera precisa y clara.</w:t>
      </w:r>
    </w:p>
    <w:p w14:paraId="4C47B5F9" w14:textId="77777777" w:rsidR="0035729A" w:rsidRDefault="0035729A">
      <w:pPr>
        <w:spacing w:after="0" w:line="360" w:lineRule="auto"/>
        <w:rPr>
          <w:u w:val="single"/>
        </w:rPr>
      </w:pPr>
    </w:p>
    <w:p w14:paraId="761CDF3B" w14:textId="77777777" w:rsidR="0035729A" w:rsidRDefault="007E5634">
      <w:pPr>
        <w:spacing w:after="0" w:line="360" w:lineRule="auto"/>
        <w:rPr>
          <w:u w:val="single"/>
        </w:rPr>
      </w:pPr>
      <w:r>
        <w:rPr>
          <w:u w:val="single"/>
        </w:rPr>
        <w:t xml:space="preserve">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 </w:t>
      </w:r>
    </w:p>
    <w:p w14:paraId="4CACC91A" w14:textId="77777777" w:rsidR="0035729A" w:rsidRDefault="0035729A">
      <w:pPr>
        <w:spacing w:after="0" w:line="360" w:lineRule="auto"/>
        <w:rPr>
          <w:u w:val="single"/>
        </w:rPr>
      </w:pPr>
    </w:p>
    <w:p w14:paraId="1BABCF3A" w14:textId="77777777" w:rsidR="0035729A" w:rsidRDefault="007E5634">
      <w:pPr>
        <w:spacing w:after="0" w:line="360" w:lineRule="auto"/>
        <w:rPr>
          <w:u w:val="single"/>
        </w:rPr>
      </w:pPr>
      <w:r>
        <w:rPr>
          <w:u w:val="single"/>
        </w:rPr>
        <w:t>La labor del INFOEM, es apoyar a la población para acceder a la información pública y garantizar la protección de sus datos personales.</w:t>
      </w:r>
    </w:p>
    <w:p w14:paraId="2939A350" w14:textId="77777777" w:rsidR="0035729A" w:rsidRDefault="0035729A">
      <w:pPr>
        <w:spacing w:after="0" w:line="360" w:lineRule="auto"/>
        <w:rPr>
          <w:u w:val="single"/>
        </w:rPr>
      </w:pPr>
    </w:p>
    <w:p w14:paraId="233AF33B" w14:textId="77777777" w:rsidR="0035729A" w:rsidRDefault="007E5634">
      <w:pPr>
        <w:pStyle w:val="Ttulo1"/>
        <w:spacing w:before="0" w:after="0"/>
        <w:rPr>
          <w:b w:val="0"/>
          <w:bCs w:val="0"/>
          <w:sz w:val="22"/>
          <w:szCs w:val="22"/>
        </w:rPr>
      </w:pPr>
      <w:bookmarkStart w:id="18" w:name="_Toc221203173"/>
      <w:r>
        <w:rPr>
          <w:sz w:val="22"/>
          <w:szCs w:val="22"/>
        </w:rPr>
        <w:t>R E S U E L V E</w:t>
      </w:r>
      <w:bookmarkEnd w:id="18"/>
    </w:p>
    <w:p w14:paraId="2791D6A2" w14:textId="77777777" w:rsidR="0035729A" w:rsidRDefault="0035729A">
      <w:pPr>
        <w:spacing w:after="0" w:line="360" w:lineRule="auto"/>
        <w:rPr>
          <w:b/>
          <w:bCs/>
        </w:rPr>
      </w:pPr>
    </w:p>
    <w:p w14:paraId="20E3C12C" w14:textId="77777777" w:rsidR="0035729A" w:rsidRDefault="007E5634">
      <w:pPr>
        <w:spacing w:after="0" w:line="360" w:lineRule="auto"/>
      </w:pPr>
      <w:r>
        <w:rPr>
          <w:b/>
          <w:bCs/>
        </w:rPr>
        <w:t xml:space="preserve">PRIMERO. </w:t>
      </w:r>
      <w:r>
        <w:t xml:space="preserve">Se </w:t>
      </w:r>
      <w:r>
        <w:rPr>
          <w:b/>
          <w:bCs/>
        </w:rPr>
        <w:t>MODIFICA</w:t>
      </w:r>
      <w:r>
        <w:t xml:space="preserve"> la respuesta entregada por el Ayuntamiento de Tianguistenco a la solicitud de </w:t>
      </w:r>
      <w:r w:rsidRPr="003E0710">
        <w:t xml:space="preserve">información 00157/TIANGUIS/IP/2025 por resultar fundadas las razones o motivos de inconformidad hechos valer por la persona Recurrente en el Recurso de Revisión </w:t>
      </w:r>
      <w:r w:rsidRPr="003E0710">
        <w:lastRenderedPageBreak/>
        <w:t>10911/INFOEM/IP/RR/2025,</w:t>
      </w:r>
      <w:r>
        <w:t xml:space="preserve"> en términos de los considerandos QUINTO y SEXTO de la presente Resolución.</w:t>
      </w:r>
    </w:p>
    <w:p w14:paraId="5C7670ED" w14:textId="77777777" w:rsidR="0035729A" w:rsidRDefault="0035729A">
      <w:pPr>
        <w:spacing w:after="0" w:line="360" w:lineRule="auto"/>
      </w:pPr>
    </w:p>
    <w:p w14:paraId="2FBC661B" w14:textId="69A5E4F6" w:rsidR="00EC0AB1" w:rsidRDefault="007E5634">
      <w:pPr>
        <w:spacing w:after="0" w:line="360" w:lineRule="auto"/>
      </w:pPr>
      <w:bookmarkStart w:id="19" w:name="_heading=h.argy21qnkmhr" w:colFirst="0" w:colLast="0"/>
      <w:bookmarkEnd w:id="19"/>
      <w:r>
        <w:rPr>
          <w:b/>
          <w:bCs/>
        </w:rPr>
        <w:t xml:space="preserve">SEGUNDO. </w:t>
      </w:r>
      <w:r>
        <w:t xml:space="preserve">Se </w:t>
      </w:r>
      <w:r>
        <w:rPr>
          <w:b/>
          <w:bCs/>
        </w:rPr>
        <w:t>ORDENA</w:t>
      </w:r>
      <w:r>
        <w:t xml:space="preserve"> al Sujeto Obligado a efecto de entregue a través del SAIMEX, previa búsqueda exhaustiva y razonable en las unidades administrativas competentes, los documentos que obren en sus archivos, en los que conste lo siguiente:</w:t>
      </w:r>
    </w:p>
    <w:p w14:paraId="1C4D9254" w14:textId="77777777" w:rsidR="00EC0AB1" w:rsidRDefault="00EC0AB1">
      <w:pPr>
        <w:spacing w:after="0" w:line="360" w:lineRule="auto"/>
      </w:pPr>
    </w:p>
    <w:p w14:paraId="07C621BC" w14:textId="6589708D" w:rsidR="0035729A" w:rsidRPr="003E0710" w:rsidRDefault="003E0710">
      <w:pPr>
        <w:numPr>
          <w:ilvl w:val="0"/>
          <w:numId w:val="9"/>
        </w:numPr>
        <w:pBdr>
          <w:top w:val="nil"/>
          <w:left w:val="nil"/>
          <w:bottom w:val="nil"/>
          <w:right w:val="nil"/>
          <w:between w:val="nil"/>
        </w:pBdr>
        <w:spacing w:after="0" w:line="360" w:lineRule="auto"/>
        <w:ind w:right="142"/>
        <w:rPr>
          <w:color w:val="000000"/>
        </w:rPr>
      </w:pPr>
      <w:bookmarkStart w:id="20" w:name="_heading=h.ruqkbavtwgc8" w:colFirst="0" w:colLast="0"/>
      <w:bookmarkEnd w:id="20"/>
      <w:r>
        <w:rPr>
          <w:color w:val="000000"/>
        </w:rPr>
        <w:t>El n</w:t>
      </w:r>
      <w:r w:rsidRPr="003E0710">
        <w:rPr>
          <w:color w:val="000000"/>
        </w:rPr>
        <w:t xml:space="preserve">ombre de las personas que fueron dadas de baja </w:t>
      </w:r>
      <w:r>
        <w:rPr>
          <w:b/>
          <w:bCs/>
        </w:rPr>
        <w:t xml:space="preserve">del </w:t>
      </w:r>
      <w:r w:rsidRPr="003E0710">
        <w:rPr>
          <w:color w:val="000000"/>
        </w:rPr>
        <w:t>primero de enero al dos de septiembre de dos mil veinticinco</w:t>
      </w:r>
      <w:r>
        <w:rPr>
          <w:color w:val="000000"/>
        </w:rPr>
        <w:t>,</w:t>
      </w:r>
      <w:r w:rsidRPr="003E0710">
        <w:rPr>
          <w:color w:val="000000"/>
        </w:rPr>
        <w:t xml:space="preserve"> y el documento donde consten sus liquidaciones entregadas. </w:t>
      </w:r>
    </w:p>
    <w:p w14:paraId="5708DAAC" w14:textId="77777777" w:rsidR="0035729A" w:rsidRDefault="0035729A">
      <w:pPr>
        <w:pBdr>
          <w:top w:val="nil"/>
          <w:left w:val="nil"/>
          <w:bottom w:val="nil"/>
          <w:right w:val="nil"/>
          <w:between w:val="nil"/>
        </w:pBdr>
        <w:spacing w:after="0" w:line="360" w:lineRule="auto"/>
        <w:ind w:left="720" w:right="142"/>
        <w:rPr>
          <w:b/>
          <w:bCs/>
          <w:color w:val="000000"/>
        </w:rPr>
      </w:pPr>
    </w:p>
    <w:p w14:paraId="09B9ED3A" w14:textId="77777777" w:rsidR="0035729A" w:rsidRDefault="007E5634">
      <w:pPr>
        <w:spacing w:after="0" w:line="360" w:lineRule="auto"/>
        <w:ind w:right="142"/>
      </w:pPr>
      <w:r>
        <w:rPr>
          <w:color w:val="000000"/>
        </w:rPr>
        <w:t xml:space="preserve">Para el caso de entregar versiones públicas, se deberá proporcionar el Acuerdo de Clasificación donde el Comité de Transparencia, confirme la eliminación de los datos confidenciales </w:t>
      </w:r>
      <w:r>
        <w:t xml:space="preserve">de acuerdo con los artículos 49, fracciones II y VIII, 132, fracción II, 143, fracción I y 149 de la Ley de Transparencia y Acceso a la Información Pública del Estado de México y Municipios. </w:t>
      </w:r>
    </w:p>
    <w:p w14:paraId="3CCE7D66" w14:textId="77777777" w:rsidR="0035729A" w:rsidRDefault="0035729A">
      <w:pPr>
        <w:spacing w:after="0" w:line="360" w:lineRule="auto"/>
        <w:ind w:right="142"/>
      </w:pPr>
    </w:p>
    <w:p w14:paraId="58AD75CA" w14:textId="77777777" w:rsidR="0035729A" w:rsidRDefault="007E5634">
      <w:pPr>
        <w:spacing w:after="0" w:line="360" w:lineRule="auto"/>
        <w:ind w:right="142"/>
      </w:pPr>
      <w:r w:rsidRPr="003E0710">
        <w:t>Para el caso de que, previa búsqueda exhaustiva y razonable en las áreas competentes, se determine que el nombre de las personas coincide con los señalados en respuesta o bien, durante la temporalidad señalada existan personas a las que no se les haya entregado su liquidación, bastará que lo haga del conocimiento a la parte Recurrente de forma precisa y clara.</w:t>
      </w:r>
    </w:p>
    <w:p w14:paraId="118CA804" w14:textId="77777777" w:rsidR="0035729A" w:rsidRDefault="0035729A">
      <w:pPr>
        <w:spacing w:after="0" w:line="360" w:lineRule="auto"/>
        <w:rPr>
          <w:b/>
          <w:bCs/>
        </w:rPr>
      </w:pPr>
    </w:p>
    <w:p w14:paraId="5C166EED" w14:textId="77777777" w:rsidR="0035729A" w:rsidRDefault="007E5634">
      <w:pPr>
        <w:spacing w:after="0" w:line="360" w:lineRule="auto"/>
      </w:pPr>
      <w:r>
        <w:rPr>
          <w:b/>
          <w:bCs/>
        </w:rPr>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w:t>
      </w:r>
      <w:r>
        <w:lastRenderedPageBreak/>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63AA7341" w14:textId="77777777" w:rsidR="0035729A" w:rsidRDefault="0035729A">
      <w:pPr>
        <w:spacing w:after="0" w:line="360" w:lineRule="auto"/>
      </w:pPr>
    </w:p>
    <w:p w14:paraId="1D1479CE" w14:textId="77777777" w:rsidR="0035729A" w:rsidRDefault="007E5634">
      <w:pPr>
        <w:spacing w:after="0" w:line="360" w:lineRule="auto"/>
      </w:pPr>
      <w: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5918A9C" w14:textId="77777777" w:rsidR="0035729A" w:rsidRDefault="0035729A">
      <w:pPr>
        <w:spacing w:after="0" w:line="360" w:lineRule="auto"/>
      </w:pPr>
    </w:p>
    <w:p w14:paraId="2B7F540C" w14:textId="77777777" w:rsidR="0035729A" w:rsidRDefault="007E5634">
      <w:pPr>
        <w:spacing w:after="0" w:line="360" w:lineRule="auto"/>
      </w:pPr>
      <w:r>
        <w:rPr>
          <w:b/>
          <w:bCs/>
        </w:rPr>
        <w:t>CUARTO. NOTIFÍQUESE</w:t>
      </w:r>
      <w:r>
        <w:t xml:space="preserve"> </w:t>
      </w:r>
      <w:r>
        <w:rPr>
          <w:b/>
          <w:bCs/>
        </w:rPr>
        <w:t xml:space="preserve">POR SAIMEX </w:t>
      </w:r>
      <w:r>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BC92915" w14:textId="77777777" w:rsidR="0035729A" w:rsidRDefault="0035729A">
      <w:pPr>
        <w:spacing w:after="0" w:line="360" w:lineRule="auto"/>
      </w:pPr>
    </w:p>
    <w:p w14:paraId="1F39FB40" w14:textId="77777777" w:rsidR="0035729A" w:rsidRDefault="007E5634">
      <w:pPr>
        <w:spacing w:after="0" w:line="360" w:lineRule="auto"/>
      </w:pPr>
      <w:r>
        <w:t xml:space="preserve">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DE FEBRERO DE DOS MIL VEINTISÉIS, ANTE EL SECRETARIO TÉCNICO DEL PLENO, ALEXIS TAPIA RAMÍREZ.</w:t>
      </w:r>
    </w:p>
    <w:p w14:paraId="0E687A07" w14:textId="77777777" w:rsidR="0035729A" w:rsidRDefault="0035729A">
      <w:pPr>
        <w:pStyle w:val="Ttulo2"/>
        <w:spacing w:before="0" w:after="0"/>
        <w:rPr>
          <w:b w:val="0"/>
          <w:bCs w:val="0"/>
        </w:rPr>
      </w:pPr>
    </w:p>
    <w:p w14:paraId="591E25B9" w14:textId="77777777" w:rsidR="0035729A" w:rsidRDefault="0035729A">
      <w:pPr>
        <w:spacing w:after="0" w:line="360" w:lineRule="auto"/>
      </w:pPr>
    </w:p>
    <w:p w14:paraId="749A1979" w14:textId="77777777" w:rsidR="0035729A" w:rsidRDefault="0035729A">
      <w:pPr>
        <w:spacing w:after="0" w:line="360" w:lineRule="auto"/>
      </w:pPr>
    </w:p>
    <w:p w14:paraId="56D02D0B" w14:textId="77777777" w:rsidR="0035729A" w:rsidRDefault="0035729A">
      <w:pPr>
        <w:spacing w:after="0" w:line="360" w:lineRule="auto"/>
      </w:pPr>
    </w:p>
    <w:p w14:paraId="0B5CE307" w14:textId="77777777" w:rsidR="0035729A" w:rsidRDefault="0035729A">
      <w:pPr>
        <w:spacing w:after="0" w:line="360" w:lineRule="auto"/>
      </w:pPr>
    </w:p>
    <w:p w14:paraId="057E49D4" w14:textId="77777777" w:rsidR="0035729A" w:rsidRDefault="0035729A">
      <w:pPr>
        <w:spacing w:after="0" w:line="360" w:lineRule="auto"/>
      </w:pPr>
    </w:p>
    <w:p w14:paraId="58E30C07" w14:textId="77777777" w:rsidR="0035729A" w:rsidRDefault="0035729A">
      <w:pPr>
        <w:spacing w:after="0" w:line="360" w:lineRule="auto"/>
      </w:pPr>
    </w:p>
    <w:p w14:paraId="1951435C" w14:textId="77777777" w:rsidR="0035729A" w:rsidRDefault="0035729A">
      <w:pPr>
        <w:spacing w:after="0" w:line="360" w:lineRule="auto"/>
      </w:pPr>
    </w:p>
    <w:p w14:paraId="5D91D997" w14:textId="77777777" w:rsidR="0035729A" w:rsidRDefault="0035729A">
      <w:pPr>
        <w:spacing w:after="0" w:line="360" w:lineRule="auto"/>
      </w:pPr>
    </w:p>
    <w:p w14:paraId="3F556666" w14:textId="77777777" w:rsidR="0035729A" w:rsidRDefault="0035729A">
      <w:pPr>
        <w:spacing w:after="0" w:line="360" w:lineRule="auto"/>
      </w:pPr>
    </w:p>
    <w:p w14:paraId="4A462A26" w14:textId="77777777" w:rsidR="0035729A" w:rsidRDefault="0035729A">
      <w:pPr>
        <w:spacing w:after="0" w:line="360" w:lineRule="auto"/>
      </w:pPr>
    </w:p>
    <w:p w14:paraId="00CBDE82" w14:textId="77777777" w:rsidR="0035729A" w:rsidRDefault="0035729A">
      <w:pPr>
        <w:spacing w:after="0" w:line="360" w:lineRule="auto"/>
      </w:pPr>
    </w:p>
    <w:p w14:paraId="2823C784" w14:textId="77777777" w:rsidR="0035729A" w:rsidRDefault="0035729A">
      <w:pPr>
        <w:spacing w:after="0" w:line="360" w:lineRule="auto"/>
      </w:pPr>
    </w:p>
    <w:p w14:paraId="7FA9E5D2" w14:textId="77777777" w:rsidR="0035729A" w:rsidRDefault="0035729A">
      <w:pPr>
        <w:spacing w:after="0" w:line="360" w:lineRule="auto"/>
      </w:pPr>
    </w:p>
    <w:p w14:paraId="33E2B0F3" w14:textId="77777777" w:rsidR="0035729A" w:rsidRDefault="0035729A">
      <w:pPr>
        <w:spacing w:after="0" w:line="360" w:lineRule="auto"/>
      </w:pPr>
    </w:p>
    <w:p w14:paraId="1AAB1B8B" w14:textId="77777777" w:rsidR="0035729A" w:rsidRDefault="0035729A">
      <w:pPr>
        <w:spacing w:after="0" w:line="360" w:lineRule="auto"/>
      </w:pPr>
    </w:p>
    <w:p w14:paraId="314C5EFE" w14:textId="77777777" w:rsidR="0035729A" w:rsidRDefault="0035729A">
      <w:pPr>
        <w:spacing w:after="0" w:line="360" w:lineRule="auto"/>
      </w:pPr>
    </w:p>
    <w:p w14:paraId="59E4F24A" w14:textId="77777777" w:rsidR="0035729A" w:rsidRDefault="0035729A">
      <w:pPr>
        <w:spacing w:after="0" w:line="360" w:lineRule="auto"/>
      </w:pPr>
    </w:p>
    <w:p w14:paraId="3F2FEDAE" w14:textId="77777777" w:rsidR="0035729A" w:rsidRDefault="0035729A">
      <w:pPr>
        <w:spacing w:after="0" w:line="360" w:lineRule="auto"/>
      </w:pPr>
    </w:p>
    <w:p w14:paraId="2CBDFC29" w14:textId="77777777" w:rsidR="0035729A" w:rsidRDefault="0035729A">
      <w:pPr>
        <w:spacing w:after="0" w:line="360" w:lineRule="auto"/>
      </w:pPr>
    </w:p>
    <w:p w14:paraId="0F7F8378" w14:textId="77777777" w:rsidR="0035729A" w:rsidRDefault="0035729A">
      <w:pPr>
        <w:spacing w:after="0" w:line="360" w:lineRule="auto"/>
      </w:pPr>
    </w:p>
    <w:p w14:paraId="29E34C84" w14:textId="77777777" w:rsidR="0035729A" w:rsidRDefault="0035729A">
      <w:pPr>
        <w:spacing w:after="0" w:line="360" w:lineRule="auto"/>
      </w:pPr>
    </w:p>
    <w:p w14:paraId="0FFB2718" w14:textId="77777777" w:rsidR="0035729A" w:rsidRDefault="0035729A">
      <w:pPr>
        <w:spacing w:after="0" w:line="360" w:lineRule="auto"/>
      </w:pPr>
    </w:p>
    <w:p w14:paraId="31176D9B" w14:textId="77777777" w:rsidR="0035729A" w:rsidRDefault="0035729A">
      <w:pPr>
        <w:spacing w:after="0" w:line="360" w:lineRule="auto"/>
      </w:pPr>
    </w:p>
    <w:p w14:paraId="6AD49B63" w14:textId="77777777" w:rsidR="0035729A" w:rsidRDefault="0035729A">
      <w:pPr>
        <w:spacing w:after="0" w:line="360" w:lineRule="auto"/>
      </w:pPr>
    </w:p>
    <w:p w14:paraId="795A1B20" w14:textId="77777777" w:rsidR="0035729A" w:rsidRDefault="0035729A">
      <w:pPr>
        <w:spacing w:after="0" w:line="360" w:lineRule="auto"/>
      </w:pPr>
    </w:p>
    <w:p w14:paraId="10CF85B3" w14:textId="77777777" w:rsidR="0035729A" w:rsidRDefault="0035729A">
      <w:pPr>
        <w:spacing w:after="0" w:line="360" w:lineRule="auto"/>
      </w:pPr>
    </w:p>
    <w:p w14:paraId="0448ED3C" w14:textId="77777777" w:rsidR="0035729A" w:rsidRDefault="0035729A">
      <w:pPr>
        <w:spacing w:after="0" w:line="360" w:lineRule="auto"/>
      </w:pPr>
    </w:p>
    <w:p w14:paraId="7CC1DC07" w14:textId="77777777" w:rsidR="0035729A" w:rsidRDefault="0035729A">
      <w:pPr>
        <w:spacing w:after="0" w:line="360" w:lineRule="auto"/>
      </w:pPr>
    </w:p>
    <w:p w14:paraId="3422F274" w14:textId="77777777" w:rsidR="0035729A" w:rsidRDefault="0035729A">
      <w:pPr>
        <w:spacing w:after="0" w:line="360" w:lineRule="auto"/>
      </w:pPr>
    </w:p>
    <w:p w14:paraId="3957FEE5" w14:textId="77777777" w:rsidR="0035729A" w:rsidRDefault="0035729A">
      <w:pPr>
        <w:spacing w:after="0" w:line="360" w:lineRule="auto"/>
      </w:pPr>
      <w:bookmarkStart w:id="21" w:name="_GoBack"/>
      <w:bookmarkEnd w:id="21"/>
    </w:p>
    <w:sectPr w:rsidR="0035729A">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11757" w14:textId="77777777" w:rsidR="00974143" w:rsidRDefault="00974143">
      <w:pPr>
        <w:spacing w:after="0" w:line="240" w:lineRule="auto"/>
      </w:pPr>
      <w:r>
        <w:separator/>
      </w:r>
    </w:p>
  </w:endnote>
  <w:endnote w:type="continuationSeparator" w:id="0">
    <w:p w14:paraId="5A1C0EA7" w14:textId="77777777" w:rsidR="00974143" w:rsidRDefault="00974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060104F0-ADC4-4C00-B30B-259C093B0111}"/>
    <w:embedBold r:id="rId2" w:fontKey="{B8F2C926-47AE-4873-A0A0-57126A8894F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3" w:fontKey="{99654F59-074E-40BA-AA17-E1EFCA1CD70F}"/>
    <w:embedBold r:id="rId4" w:fontKey="{506DCEED-1D87-41C6-8707-8348FD81E2F5}"/>
    <w:embedItalic r:id="rId5" w:fontKey="{988F584E-4A81-452F-8556-6AC193F12EFE}"/>
    <w:embedBoldItalic r:id="rId6" w:fontKey="{5044A87D-285F-4D23-88B5-11995C2BBB5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DAAB0C04-5A47-40EB-81A1-4484E5412BCB}"/>
  </w:font>
  <w:font w:name="Georgia">
    <w:panose1 w:val="02040502050405020303"/>
    <w:charset w:val="00"/>
    <w:family w:val="roman"/>
    <w:pitch w:val="variable"/>
    <w:sig w:usb0="00000287" w:usb1="00000000" w:usb2="00000000" w:usb3="00000000" w:csb0="0000009F" w:csb1="00000000"/>
    <w:embedItalic r:id="rId8" w:fontKey="{2C0D84C8-0D0E-4B46-8B9C-E4A7D691481A}"/>
  </w:font>
  <w:font w:name="Calibri">
    <w:panose1 w:val="020F0502020204030204"/>
    <w:charset w:val="00"/>
    <w:family w:val="swiss"/>
    <w:pitch w:val="variable"/>
    <w:sig w:usb0="E4002EFF" w:usb1="C200247B" w:usb2="00000009" w:usb3="00000000" w:csb0="000001FF" w:csb1="00000000"/>
    <w:embedRegular r:id="rId9" w:fontKey="{156C83B9-AFA1-4617-AD5F-D0BD00748D61}"/>
  </w:font>
  <w:font w:name="Tahoma">
    <w:panose1 w:val="020B0604030504040204"/>
    <w:charset w:val="00"/>
    <w:family w:val="swiss"/>
    <w:pitch w:val="variable"/>
    <w:sig w:usb0="E1002EFF" w:usb1="C000605B" w:usb2="00000029" w:usb3="00000000" w:csb0="000101FF" w:csb1="00000000"/>
    <w:embedRegular r:id="rId10" w:fontKey="{19AFC3D8-5392-41C6-96B3-4CDAC7B3E5D8}"/>
    <w:embedBold r:id="rId11" w:fontKey="{C9F4D0BE-C8E2-4BA9-BD99-D7FF4EBDB860}"/>
    <w:embedItalic r:id="rId12" w:fontKey="{52F7754E-C163-4CC1-AAA5-6CC88BDA5FDA}"/>
    <w:embedBoldItalic r:id="rId13" w:fontKey="{74983173-C609-4E52-80D4-6EA3099C6CA6}"/>
  </w:font>
  <w:font w:name="Garamond">
    <w:panose1 w:val="02020404030301010803"/>
    <w:charset w:val="00"/>
    <w:family w:val="roman"/>
    <w:pitch w:val="variable"/>
    <w:sig w:usb0="00000287" w:usb1="00000000" w:usb2="00000000" w:usb3="00000000" w:csb0="0000009F" w:csb1="00000000"/>
    <w:embedRegular r:id="rId14" w:fontKey="{EBE494FD-B37D-4C20-AFBD-A31D5C96D9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EDBE7" w14:textId="77777777" w:rsidR="0035729A" w:rsidRDefault="007E563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6D698B">
      <w:rPr>
        <w:b/>
        <w:bCs/>
        <w:color w:val="000000"/>
        <w:sz w:val="24"/>
        <w:szCs w:val="24"/>
      </w:rPr>
      <w:fldChar w:fldCharType="separate"/>
    </w:r>
    <w:r w:rsidR="006D698B">
      <w:rPr>
        <w:b/>
        <w:bCs/>
        <w:noProof/>
        <w:color w:val="000000"/>
        <w:sz w:val="24"/>
        <w:szCs w:val="24"/>
      </w:rPr>
      <w:t>41</w:t>
    </w:r>
    <w:r>
      <w:rPr>
        <w:b/>
        <w:bCs/>
        <w:color w:val="000000"/>
        <w:sz w:val="24"/>
        <w:szCs w:val="24"/>
      </w:rPr>
      <w:fldChar w:fldCharType="end"/>
    </w:r>
  </w:p>
  <w:p w14:paraId="71A6E915" w14:textId="77777777" w:rsidR="0035729A" w:rsidRDefault="0035729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8487E" w14:textId="0D2DB2EE" w:rsidR="0035729A" w:rsidRDefault="007E563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6D698B">
      <w:rPr>
        <w:b/>
        <w:bCs/>
        <w:noProof/>
        <w:color w:val="000000"/>
        <w:sz w:val="24"/>
        <w:szCs w:val="24"/>
      </w:rPr>
      <w:t>40</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6D698B">
      <w:rPr>
        <w:b/>
        <w:bCs/>
        <w:noProof/>
        <w:color w:val="000000"/>
        <w:sz w:val="24"/>
        <w:szCs w:val="24"/>
      </w:rPr>
      <w:t>41</w:t>
    </w:r>
    <w:r>
      <w:rPr>
        <w:b/>
        <w:bCs/>
        <w:color w:val="000000"/>
        <w:sz w:val="24"/>
        <w:szCs w:val="24"/>
      </w:rPr>
      <w:fldChar w:fldCharType="end"/>
    </w:r>
  </w:p>
  <w:p w14:paraId="1B91DD19" w14:textId="77777777" w:rsidR="0035729A" w:rsidRDefault="0035729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D8B99" w14:textId="77777777" w:rsidR="0035729A" w:rsidRDefault="007E563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6D698B">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6D698B">
      <w:rPr>
        <w:b/>
        <w:bCs/>
        <w:noProof/>
        <w:color w:val="000000"/>
        <w:sz w:val="24"/>
        <w:szCs w:val="24"/>
      </w:rPr>
      <w:t>41</w:t>
    </w:r>
    <w:r>
      <w:rPr>
        <w:b/>
        <w:bCs/>
        <w:color w:val="000000"/>
        <w:sz w:val="24"/>
        <w:szCs w:val="24"/>
      </w:rPr>
      <w:fldChar w:fldCharType="end"/>
    </w:r>
  </w:p>
  <w:p w14:paraId="0FE15F13" w14:textId="77777777" w:rsidR="0035729A" w:rsidRDefault="0035729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6D4464" w14:textId="77777777" w:rsidR="00974143" w:rsidRDefault="00974143">
      <w:pPr>
        <w:spacing w:after="0" w:line="240" w:lineRule="auto"/>
      </w:pPr>
      <w:r>
        <w:separator/>
      </w:r>
    </w:p>
  </w:footnote>
  <w:footnote w:type="continuationSeparator" w:id="0">
    <w:p w14:paraId="47A6A3AC" w14:textId="77777777" w:rsidR="00974143" w:rsidRDefault="00974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4F3F7" w14:textId="77777777" w:rsidR="0035729A" w:rsidRDefault="0035729A">
    <w:pPr>
      <w:widowControl w:val="0"/>
      <w:pBdr>
        <w:top w:val="nil"/>
        <w:left w:val="nil"/>
        <w:bottom w:val="nil"/>
        <w:right w:val="nil"/>
        <w:between w:val="nil"/>
      </w:pBdr>
      <w:spacing w:after="0" w:line="276" w:lineRule="auto"/>
      <w:jc w:val="left"/>
      <w:rPr>
        <w:color w:val="000000"/>
      </w:rPr>
    </w:pPr>
  </w:p>
  <w:tbl>
    <w:tblPr>
      <w:tblStyle w:val="affffff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35729A" w14:paraId="25CA7C23" w14:textId="77777777">
      <w:trPr>
        <w:trHeight w:val="141"/>
      </w:trPr>
      <w:tc>
        <w:tcPr>
          <w:tcW w:w="2404" w:type="dxa"/>
        </w:tcPr>
        <w:p w14:paraId="27900B78" w14:textId="77777777" w:rsidR="0035729A" w:rsidRDefault="007E5634">
          <w:pPr>
            <w:tabs>
              <w:tab w:val="right" w:pos="8838"/>
            </w:tabs>
            <w:ind w:right="-105"/>
            <w:rPr>
              <w:b/>
              <w:bCs/>
            </w:rPr>
          </w:pPr>
          <w:r>
            <w:rPr>
              <w:b/>
              <w:bCs/>
            </w:rPr>
            <w:t>Recurso de Revisión:</w:t>
          </w:r>
        </w:p>
      </w:tc>
      <w:tc>
        <w:tcPr>
          <w:tcW w:w="3587" w:type="dxa"/>
        </w:tcPr>
        <w:p w14:paraId="5C14D209" w14:textId="77777777" w:rsidR="0035729A" w:rsidRDefault="007E5634">
          <w:pPr>
            <w:tabs>
              <w:tab w:val="right" w:pos="8838"/>
            </w:tabs>
            <w:ind w:left="-28" w:right="683"/>
          </w:pPr>
          <w:r>
            <w:t>04196/INFOEM/IP/RR/2020</w:t>
          </w:r>
        </w:p>
      </w:tc>
    </w:tr>
    <w:tr w:rsidR="0035729A" w14:paraId="08137A84" w14:textId="77777777">
      <w:trPr>
        <w:trHeight w:val="276"/>
      </w:trPr>
      <w:tc>
        <w:tcPr>
          <w:tcW w:w="2404" w:type="dxa"/>
        </w:tcPr>
        <w:p w14:paraId="64090E86" w14:textId="77777777" w:rsidR="0035729A" w:rsidRDefault="007E5634">
          <w:pPr>
            <w:tabs>
              <w:tab w:val="right" w:pos="8838"/>
            </w:tabs>
            <w:ind w:right="-105"/>
            <w:rPr>
              <w:b/>
              <w:bCs/>
            </w:rPr>
          </w:pPr>
          <w:r>
            <w:rPr>
              <w:b/>
              <w:bCs/>
            </w:rPr>
            <w:t>Sujeto Obligado:</w:t>
          </w:r>
        </w:p>
      </w:tc>
      <w:tc>
        <w:tcPr>
          <w:tcW w:w="3587" w:type="dxa"/>
        </w:tcPr>
        <w:p w14:paraId="4A7F1347" w14:textId="77777777" w:rsidR="0035729A" w:rsidRDefault="007E5634">
          <w:pPr>
            <w:tabs>
              <w:tab w:val="right" w:pos="8838"/>
            </w:tabs>
            <w:ind w:right="116"/>
          </w:pPr>
          <w:r>
            <w:t>Ayuntamiento de Chapultepec</w:t>
          </w:r>
        </w:p>
      </w:tc>
    </w:tr>
    <w:tr w:rsidR="0035729A" w14:paraId="71BE3E0B" w14:textId="77777777">
      <w:trPr>
        <w:trHeight w:val="276"/>
      </w:trPr>
      <w:tc>
        <w:tcPr>
          <w:tcW w:w="2404" w:type="dxa"/>
        </w:tcPr>
        <w:p w14:paraId="6E4FC6C2" w14:textId="77777777" w:rsidR="0035729A" w:rsidRDefault="007E5634">
          <w:pPr>
            <w:tabs>
              <w:tab w:val="right" w:pos="8838"/>
            </w:tabs>
            <w:ind w:right="-105"/>
            <w:rPr>
              <w:b/>
              <w:bCs/>
            </w:rPr>
          </w:pPr>
          <w:r>
            <w:rPr>
              <w:b/>
              <w:bCs/>
            </w:rPr>
            <w:t>Comisionado Ponente:</w:t>
          </w:r>
        </w:p>
      </w:tc>
      <w:tc>
        <w:tcPr>
          <w:tcW w:w="3587" w:type="dxa"/>
        </w:tcPr>
        <w:p w14:paraId="0588F226" w14:textId="77777777" w:rsidR="0035729A" w:rsidRDefault="007E5634">
          <w:pPr>
            <w:tabs>
              <w:tab w:val="right" w:pos="8838"/>
            </w:tabs>
            <w:ind w:right="-32"/>
          </w:pPr>
          <w:r>
            <w:t>Luis Gustavo Parra Noriega</w:t>
          </w:r>
        </w:p>
      </w:tc>
    </w:tr>
  </w:tbl>
  <w:p w14:paraId="2A5F2C93" w14:textId="77777777" w:rsidR="0035729A" w:rsidRDefault="00974143">
    <w:pPr>
      <w:pBdr>
        <w:top w:val="nil"/>
        <w:left w:val="nil"/>
        <w:bottom w:val="nil"/>
        <w:right w:val="nil"/>
        <w:between w:val="nil"/>
      </w:pBdr>
      <w:tabs>
        <w:tab w:val="center" w:pos="4419"/>
        <w:tab w:val="right" w:pos="8838"/>
      </w:tabs>
      <w:spacing w:after="0" w:line="240" w:lineRule="auto"/>
      <w:rPr>
        <w:color w:val="000000"/>
      </w:rPr>
    </w:pPr>
    <w:r>
      <w:rPr>
        <w:color w:val="000000"/>
      </w:rPr>
      <w:pict w14:anchorId="7CAF0E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CF95E" w14:textId="77777777" w:rsidR="0035729A" w:rsidRDefault="0035729A">
    <w:pPr>
      <w:rPr>
        <w:sz w:val="16"/>
        <w:szCs w:val="16"/>
      </w:rPr>
    </w:pPr>
  </w:p>
  <w:tbl>
    <w:tblPr>
      <w:tblStyle w:val="affffff1"/>
      <w:tblW w:w="6095"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35729A" w14:paraId="6399829F" w14:textId="77777777" w:rsidTr="005565DB">
      <w:trPr>
        <w:trHeight w:val="141"/>
      </w:trPr>
      <w:tc>
        <w:tcPr>
          <w:tcW w:w="2409" w:type="dxa"/>
        </w:tcPr>
        <w:p w14:paraId="6717819C" w14:textId="77777777" w:rsidR="0035729A" w:rsidRDefault="007E5634">
          <w:pPr>
            <w:tabs>
              <w:tab w:val="right" w:pos="8838"/>
            </w:tabs>
            <w:ind w:left="-395" w:right="-105" w:firstLine="395"/>
            <w:rPr>
              <w:b/>
              <w:bCs/>
            </w:rPr>
          </w:pPr>
          <w:r>
            <w:rPr>
              <w:b/>
              <w:bCs/>
            </w:rPr>
            <w:t>Recurso de Revisión:</w:t>
          </w:r>
        </w:p>
      </w:tc>
      <w:tc>
        <w:tcPr>
          <w:tcW w:w="3686" w:type="dxa"/>
        </w:tcPr>
        <w:p w14:paraId="0BD41E42" w14:textId="77777777" w:rsidR="0035729A" w:rsidRPr="005565DB" w:rsidRDefault="007E5634">
          <w:pPr>
            <w:tabs>
              <w:tab w:val="right" w:pos="8838"/>
            </w:tabs>
            <w:ind w:right="176"/>
          </w:pPr>
          <w:r w:rsidRPr="005565DB">
            <w:t>10911/INFOEM/IP/RR/2025</w:t>
          </w:r>
        </w:p>
      </w:tc>
    </w:tr>
    <w:tr w:rsidR="0035729A" w14:paraId="6C5CECDB" w14:textId="77777777" w:rsidTr="005565DB">
      <w:trPr>
        <w:trHeight w:val="266"/>
      </w:trPr>
      <w:tc>
        <w:tcPr>
          <w:tcW w:w="2409" w:type="dxa"/>
        </w:tcPr>
        <w:p w14:paraId="1334F3E4" w14:textId="77777777" w:rsidR="0035729A" w:rsidRDefault="007E5634">
          <w:pPr>
            <w:tabs>
              <w:tab w:val="right" w:pos="8838"/>
            </w:tabs>
            <w:ind w:right="-105"/>
            <w:rPr>
              <w:b/>
              <w:bCs/>
            </w:rPr>
          </w:pPr>
          <w:r>
            <w:rPr>
              <w:b/>
              <w:bCs/>
            </w:rPr>
            <w:t>Sujeto Obligado:</w:t>
          </w:r>
        </w:p>
      </w:tc>
      <w:tc>
        <w:tcPr>
          <w:tcW w:w="3686" w:type="dxa"/>
        </w:tcPr>
        <w:p w14:paraId="717D3B68" w14:textId="77777777" w:rsidR="0035729A" w:rsidRDefault="007E5634">
          <w:pPr>
            <w:tabs>
              <w:tab w:val="left" w:pos="3158"/>
              <w:tab w:val="left" w:pos="4292"/>
              <w:tab w:val="right" w:pos="8838"/>
            </w:tabs>
            <w:ind w:right="176"/>
          </w:pPr>
          <w:r>
            <w:t>Ayuntamiento de Tianguistenco</w:t>
          </w:r>
        </w:p>
      </w:tc>
    </w:tr>
    <w:tr w:rsidR="0035729A" w14:paraId="5E0A99B5" w14:textId="77777777" w:rsidTr="005565DB">
      <w:trPr>
        <w:trHeight w:val="276"/>
      </w:trPr>
      <w:tc>
        <w:tcPr>
          <w:tcW w:w="2409" w:type="dxa"/>
        </w:tcPr>
        <w:p w14:paraId="43F772F0" w14:textId="77777777" w:rsidR="0035729A" w:rsidRDefault="007E5634">
          <w:pPr>
            <w:tabs>
              <w:tab w:val="right" w:pos="8838"/>
            </w:tabs>
            <w:ind w:right="-105"/>
            <w:rPr>
              <w:b/>
              <w:bCs/>
            </w:rPr>
          </w:pPr>
          <w:r>
            <w:rPr>
              <w:b/>
              <w:bCs/>
            </w:rPr>
            <w:t>Comisionado Ponente:</w:t>
          </w:r>
        </w:p>
      </w:tc>
      <w:tc>
        <w:tcPr>
          <w:tcW w:w="3686" w:type="dxa"/>
        </w:tcPr>
        <w:p w14:paraId="070131E4" w14:textId="77777777" w:rsidR="0035729A" w:rsidRDefault="007E5634">
          <w:pPr>
            <w:tabs>
              <w:tab w:val="right" w:pos="8838"/>
            </w:tabs>
            <w:ind w:right="176"/>
          </w:pPr>
          <w:r>
            <w:t>Luis Gustavo Parra Noriega</w:t>
          </w:r>
        </w:p>
        <w:p w14:paraId="53E39CFE" w14:textId="77777777" w:rsidR="0035729A" w:rsidRDefault="0035729A">
          <w:pPr>
            <w:tabs>
              <w:tab w:val="right" w:pos="8838"/>
            </w:tabs>
            <w:ind w:right="176"/>
          </w:pPr>
        </w:p>
      </w:tc>
    </w:tr>
  </w:tbl>
  <w:p w14:paraId="57B7A200" w14:textId="77777777" w:rsidR="0035729A" w:rsidRDefault="00974143">
    <w:pPr>
      <w:pBdr>
        <w:top w:val="nil"/>
        <w:left w:val="nil"/>
        <w:bottom w:val="nil"/>
        <w:right w:val="nil"/>
        <w:between w:val="nil"/>
      </w:pBdr>
      <w:tabs>
        <w:tab w:val="center" w:pos="4419"/>
        <w:tab w:val="right" w:pos="8838"/>
      </w:tabs>
      <w:spacing w:after="0" w:line="240" w:lineRule="auto"/>
      <w:rPr>
        <w:color w:val="000000"/>
      </w:rPr>
    </w:pPr>
    <w:r>
      <w:rPr>
        <w:color w:val="000000"/>
      </w:rPr>
      <w:pict w14:anchorId="55785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02FA9" w14:textId="77777777" w:rsidR="0035729A" w:rsidRDefault="00974143">
    <w:pPr>
      <w:widowControl w:val="0"/>
      <w:pBdr>
        <w:top w:val="nil"/>
        <w:left w:val="nil"/>
        <w:bottom w:val="nil"/>
        <w:right w:val="nil"/>
        <w:between w:val="nil"/>
      </w:pBdr>
      <w:spacing w:after="0" w:line="276" w:lineRule="auto"/>
      <w:jc w:val="left"/>
      <w:rPr>
        <w:color w:val="000000"/>
      </w:rPr>
    </w:pPr>
    <w:r>
      <w:rPr>
        <w:color w:val="000000"/>
      </w:rPr>
      <w:pict w14:anchorId="16DE3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f2"/>
      <w:tblW w:w="9214" w:type="dxa"/>
      <w:tblInd w:w="0" w:type="dxa"/>
      <w:tblLayout w:type="fixed"/>
      <w:tblLook w:val="0400" w:firstRow="0" w:lastRow="0" w:firstColumn="0" w:lastColumn="0" w:noHBand="0" w:noVBand="1"/>
    </w:tblPr>
    <w:tblGrid>
      <w:gridCol w:w="2127"/>
      <w:gridCol w:w="7087"/>
    </w:tblGrid>
    <w:tr w:rsidR="0035729A" w14:paraId="21B6B46C" w14:textId="77777777">
      <w:trPr>
        <w:trHeight w:val="1546"/>
      </w:trPr>
      <w:tc>
        <w:tcPr>
          <w:tcW w:w="2127" w:type="dxa"/>
        </w:tcPr>
        <w:p w14:paraId="31511407" w14:textId="77777777" w:rsidR="0035729A" w:rsidRDefault="0035729A">
          <w:pPr>
            <w:tabs>
              <w:tab w:val="right" w:pos="4273"/>
            </w:tabs>
            <w:rPr>
              <w:rFonts w:ascii="Garamond" w:eastAsia="Garamond" w:hAnsi="Garamond" w:cs="Garamond"/>
              <w:sz w:val="16"/>
              <w:szCs w:val="16"/>
            </w:rPr>
          </w:pPr>
        </w:p>
      </w:tc>
      <w:tc>
        <w:tcPr>
          <w:tcW w:w="7087" w:type="dxa"/>
        </w:tcPr>
        <w:p w14:paraId="0E7A1BC6" w14:textId="77777777" w:rsidR="0035729A" w:rsidRDefault="0035729A">
          <w:pPr>
            <w:rPr>
              <w:sz w:val="10"/>
              <w:szCs w:val="10"/>
            </w:rPr>
          </w:pPr>
        </w:p>
        <w:tbl>
          <w:tblPr>
            <w:tblStyle w:val="affffff3"/>
            <w:tblW w:w="5812" w:type="dxa"/>
            <w:tblInd w:w="1167" w:type="dxa"/>
            <w:tblLayout w:type="fixed"/>
            <w:tblLook w:val="0400" w:firstRow="0" w:lastRow="0" w:firstColumn="0" w:lastColumn="0" w:noHBand="0" w:noVBand="1"/>
          </w:tblPr>
          <w:tblGrid>
            <w:gridCol w:w="2410"/>
            <w:gridCol w:w="3402"/>
          </w:tblGrid>
          <w:tr w:rsidR="0035729A" w14:paraId="39DA49D4" w14:textId="77777777">
            <w:trPr>
              <w:trHeight w:val="427"/>
            </w:trPr>
            <w:tc>
              <w:tcPr>
                <w:tcW w:w="2410" w:type="dxa"/>
                <w:vAlign w:val="bottom"/>
              </w:tcPr>
              <w:p w14:paraId="7D883C7D" w14:textId="77777777" w:rsidR="0035729A" w:rsidRDefault="007E5634">
                <w:pPr>
                  <w:tabs>
                    <w:tab w:val="right" w:pos="8838"/>
                  </w:tabs>
                  <w:ind w:right="-105"/>
                  <w:rPr>
                    <w:b/>
                    <w:bCs/>
                  </w:rPr>
                </w:pPr>
                <w:r>
                  <w:rPr>
                    <w:b/>
                    <w:bCs/>
                  </w:rPr>
                  <w:t>Recurso de Revisión:</w:t>
                </w:r>
              </w:p>
            </w:tc>
            <w:tc>
              <w:tcPr>
                <w:tcW w:w="3402" w:type="dxa"/>
              </w:tcPr>
              <w:p w14:paraId="6E858523" w14:textId="77777777" w:rsidR="0035729A" w:rsidRDefault="0035729A">
                <w:pPr>
                  <w:tabs>
                    <w:tab w:val="right" w:pos="8838"/>
                  </w:tabs>
                  <w:ind w:left="-28" w:right="-107"/>
                  <w:rPr>
                    <w:b/>
                    <w:bCs/>
                  </w:rPr>
                </w:pPr>
              </w:p>
              <w:p w14:paraId="135187FA" w14:textId="77777777" w:rsidR="0035729A" w:rsidRDefault="007E5634">
                <w:pPr>
                  <w:tabs>
                    <w:tab w:val="right" w:pos="8838"/>
                  </w:tabs>
                  <w:ind w:left="-28" w:right="-107"/>
                  <w:rPr>
                    <w:b/>
                    <w:bCs/>
                  </w:rPr>
                </w:pPr>
                <w:r>
                  <w:rPr>
                    <w:b/>
                    <w:bCs/>
                  </w:rPr>
                  <w:t>10911/INFOEM/IP/RR/2025</w:t>
                </w:r>
              </w:p>
            </w:tc>
          </w:tr>
          <w:tr w:rsidR="0035729A" w14:paraId="76657DA4" w14:textId="77777777">
            <w:trPr>
              <w:trHeight w:val="141"/>
            </w:trPr>
            <w:tc>
              <w:tcPr>
                <w:tcW w:w="2410" w:type="dxa"/>
              </w:tcPr>
              <w:p w14:paraId="064F12DA" w14:textId="77777777" w:rsidR="0035729A" w:rsidRDefault="007E5634">
                <w:pPr>
                  <w:tabs>
                    <w:tab w:val="right" w:pos="8838"/>
                  </w:tabs>
                  <w:ind w:right="-105"/>
                  <w:rPr>
                    <w:b/>
                    <w:bCs/>
                  </w:rPr>
                </w:pPr>
                <w:r>
                  <w:rPr>
                    <w:b/>
                    <w:bCs/>
                  </w:rPr>
                  <w:t>Recurrente:</w:t>
                </w:r>
              </w:p>
            </w:tc>
            <w:tc>
              <w:tcPr>
                <w:tcW w:w="3402" w:type="dxa"/>
              </w:tcPr>
              <w:p w14:paraId="2292D797" w14:textId="77777777" w:rsidR="0035729A" w:rsidRDefault="0035729A">
                <w:pPr>
                  <w:tabs>
                    <w:tab w:val="right" w:pos="8838"/>
                  </w:tabs>
                  <w:ind w:right="-107"/>
                </w:pPr>
              </w:p>
            </w:tc>
          </w:tr>
          <w:tr w:rsidR="0035729A" w14:paraId="1A2486DD" w14:textId="77777777">
            <w:trPr>
              <w:trHeight w:val="276"/>
            </w:trPr>
            <w:tc>
              <w:tcPr>
                <w:tcW w:w="2410" w:type="dxa"/>
              </w:tcPr>
              <w:p w14:paraId="2E91E8DA" w14:textId="77777777" w:rsidR="0035729A" w:rsidRDefault="007E5634">
                <w:pPr>
                  <w:tabs>
                    <w:tab w:val="right" w:pos="8838"/>
                  </w:tabs>
                  <w:ind w:right="-105"/>
                  <w:rPr>
                    <w:b/>
                    <w:bCs/>
                  </w:rPr>
                </w:pPr>
                <w:r>
                  <w:rPr>
                    <w:b/>
                    <w:bCs/>
                  </w:rPr>
                  <w:t>Sujeto Obligado:</w:t>
                </w:r>
              </w:p>
            </w:tc>
            <w:tc>
              <w:tcPr>
                <w:tcW w:w="3402" w:type="dxa"/>
              </w:tcPr>
              <w:p w14:paraId="2E9EB8CE" w14:textId="77777777" w:rsidR="0035729A" w:rsidRDefault="007E5634">
                <w:pPr>
                  <w:tabs>
                    <w:tab w:val="right" w:pos="8838"/>
                  </w:tabs>
                  <w:ind w:right="33"/>
                </w:pPr>
                <w:r>
                  <w:t>Ayuntamiento de Tianguistenco</w:t>
                </w:r>
              </w:p>
            </w:tc>
          </w:tr>
          <w:tr w:rsidR="0035729A" w14:paraId="14752C6B" w14:textId="77777777">
            <w:trPr>
              <w:trHeight w:val="276"/>
            </w:trPr>
            <w:tc>
              <w:tcPr>
                <w:tcW w:w="2410" w:type="dxa"/>
              </w:tcPr>
              <w:p w14:paraId="06567F77" w14:textId="77777777" w:rsidR="0035729A" w:rsidRDefault="007E5634">
                <w:pPr>
                  <w:tabs>
                    <w:tab w:val="right" w:pos="8838"/>
                  </w:tabs>
                  <w:ind w:right="-105"/>
                  <w:rPr>
                    <w:b/>
                    <w:bCs/>
                  </w:rPr>
                </w:pPr>
                <w:r>
                  <w:rPr>
                    <w:b/>
                    <w:bCs/>
                  </w:rPr>
                  <w:t>Comisionado Ponente:</w:t>
                </w:r>
              </w:p>
            </w:tc>
            <w:tc>
              <w:tcPr>
                <w:tcW w:w="3402" w:type="dxa"/>
              </w:tcPr>
              <w:p w14:paraId="3F64AE08" w14:textId="77777777" w:rsidR="0035729A" w:rsidRDefault="007E5634">
                <w:pPr>
                  <w:tabs>
                    <w:tab w:val="right" w:pos="8838"/>
                  </w:tabs>
                  <w:ind w:right="-107"/>
                </w:pPr>
                <w:r>
                  <w:t>Luis Gustavo Parra Noriega</w:t>
                </w:r>
              </w:p>
            </w:tc>
          </w:tr>
        </w:tbl>
        <w:p w14:paraId="6E35D198" w14:textId="77777777" w:rsidR="0035729A" w:rsidRDefault="0035729A">
          <w:pPr>
            <w:tabs>
              <w:tab w:val="right" w:pos="8838"/>
            </w:tabs>
            <w:ind w:left="-28"/>
            <w:rPr>
              <w:rFonts w:ascii="Arial" w:eastAsia="Arial" w:hAnsi="Arial" w:cs="Arial"/>
              <w:b/>
              <w:bCs/>
            </w:rPr>
          </w:pPr>
        </w:p>
      </w:tc>
    </w:tr>
  </w:tbl>
  <w:p w14:paraId="793464FA" w14:textId="77777777" w:rsidR="0035729A" w:rsidRDefault="0035729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80862"/>
    <w:multiLevelType w:val="multilevel"/>
    <w:tmpl w:val="6ABAD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2A7DBB"/>
    <w:multiLevelType w:val="multilevel"/>
    <w:tmpl w:val="71BCC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6322A4"/>
    <w:multiLevelType w:val="multilevel"/>
    <w:tmpl w:val="56E05E16"/>
    <w:lvl w:ilvl="0">
      <w:start w:val="2"/>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AB543B"/>
    <w:multiLevelType w:val="multilevel"/>
    <w:tmpl w:val="3DB0102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105843"/>
    <w:multiLevelType w:val="multilevel"/>
    <w:tmpl w:val="8AAA1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FF6687"/>
    <w:multiLevelType w:val="multilevel"/>
    <w:tmpl w:val="477E2D6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DB426B"/>
    <w:multiLevelType w:val="multilevel"/>
    <w:tmpl w:val="904AF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C295C81"/>
    <w:multiLevelType w:val="hybridMultilevel"/>
    <w:tmpl w:val="1D5258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CC94914"/>
    <w:multiLevelType w:val="hybridMultilevel"/>
    <w:tmpl w:val="89BA42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D2D4FD0"/>
    <w:multiLevelType w:val="multilevel"/>
    <w:tmpl w:val="47CCB6EE"/>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32F47E9"/>
    <w:multiLevelType w:val="multilevel"/>
    <w:tmpl w:val="10365E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72498C"/>
    <w:multiLevelType w:val="multilevel"/>
    <w:tmpl w:val="72CC7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76A132C"/>
    <w:multiLevelType w:val="hybridMultilevel"/>
    <w:tmpl w:val="867E03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4234052E"/>
    <w:multiLevelType w:val="multilevel"/>
    <w:tmpl w:val="E3A49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A530F8A"/>
    <w:multiLevelType w:val="multilevel"/>
    <w:tmpl w:val="84EE0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E915ABC"/>
    <w:multiLevelType w:val="multilevel"/>
    <w:tmpl w:val="68E212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2DF470A"/>
    <w:multiLevelType w:val="multilevel"/>
    <w:tmpl w:val="09B01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E115D21"/>
    <w:multiLevelType w:val="multilevel"/>
    <w:tmpl w:val="FF9E10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E5D2C57"/>
    <w:multiLevelType w:val="multilevel"/>
    <w:tmpl w:val="97668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4AC34EC"/>
    <w:multiLevelType w:val="multilevel"/>
    <w:tmpl w:val="12F00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0"/>
  </w:num>
  <w:num w:numId="3">
    <w:abstractNumId w:val="6"/>
  </w:num>
  <w:num w:numId="4">
    <w:abstractNumId w:val="13"/>
  </w:num>
  <w:num w:numId="5">
    <w:abstractNumId w:val="10"/>
  </w:num>
  <w:num w:numId="6">
    <w:abstractNumId w:val="4"/>
  </w:num>
  <w:num w:numId="7">
    <w:abstractNumId w:val="18"/>
  </w:num>
  <w:num w:numId="8">
    <w:abstractNumId w:val="19"/>
  </w:num>
  <w:num w:numId="9">
    <w:abstractNumId w:val="11"/>
  </w:num>
  <w:num w:numId="10">
    <w:abstractNumId w:val="15"/>
  </w:num>
  <w:num w:numId="11">
    <w:abstractNumId w:val="9"/>
  </w:num>
  <w:num w:numId="12">
    <w:abstractNumId w:val="2"/>
  </w:num>
  <w:num w:numId="13">
    <w:abstractNumId w:val="5"/>
  </w:num>
  <w:num w:numId="14">
    <w:abstractNumId w:val="17"/>
  </w:num>
  <w:num w:numId="15">
    <w:abstractNumId w:val="1"/>
  </w:num>
  <w:num w:numId="16">
    <w:abstractNumId w:val="3"/>
  </w:num>
  <w:num w:numId="17">
    <w:abstractNumId w:val="16"/>
  </w:num>
  <w:num w:numId="18">
    <w:abstractNumId w:val="8"/>
  </w:num>
  <w:num w:numId="19">
    <w:abstractNumId w:val="12"/>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29A"/>
    <w:rsid w:val="001E7BAD"/>
    <w:rsid w:val="002244C0"/>
    <w:rsid w:val="002329DD"/>
    <w:rsid w:val="0035729A"/>
    <w:rsid w:val="003E0710"/>
    <w:rsid w:val="005565DB"/>
    <w:rsid w:val="0060286F"/>
    <w:rsid w:val="006D698B"/>
    <w:rsid w:val="007E5634"/>
    <w:rsid w:val="00855E36"/>
    <w:rsid w:val="00974143"/>
    <w:rsid w:val="00CD5F6C"/>
    <w:rsid w:val="00DF397C"/>
    <w:rsid w:val="00E8125D"/>
    <w:rsid w:val="00EC0A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7A1737"/>
  <w15:docId w15:val="{549C602A-215D-FA4E-AD13-AD6899149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table" w:customStyle="1" w:styleId="afffffc">
    <w:basedOn w:val="TableNormal1"/>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12">
    <w:name w:val="Mención sin resolver12"/>
    <w:basedOn w:val="Fuentedeprrafopredeter"/>
    <w:uiPriority w:val="99"/>
    <w:semiHidden/>
    <w:unhideWhenUsed/>
    <w:rsid w:val="00FA1522"/>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docplayer.es/5455342-Nuevas-tecnologias-biometricas-instituto-nacional-de-ciencias-penales-procuraduria-general-de-la-republica-version-1-0.htm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Vnw8tTTgQmfIjPyqXZeMNoqIpQ==">CgMxLjAyDWguZW5ubGdxN3F2ODUyCGguZ2pkZ3hzMg5oLnR0c3I1ZzgzZWFyaTIOaC43ejJobTFkc3RjMm4yCWguMzVua3VuMjIOaC5jaWZmcmZpejYwcHAyDmgucHFidm9yODIzOTNuMgloLjJldDkycDAyDmgudXZxYTgzdnBkdXhsMg5oLmMyYmliNTZ6YXNpMTIOaC4yYjcyeTBocmpkb2gyDmguZGRxY3E4N3NvZ3NxMg5oLjlteWl1cTY5MXNveTIOaC4ycHA2Z3JiZW44N2oyDmguZ3N5ajN4aXNoZmh4Mg1oLjJiOHpkdDd2b3g3Mg5oLnk5c202ZHh3eHMwYTIOaC5zZ3M1NTNieWpnb20yDWguaDF1aTM5OWowMDgyDmguYXJneTIxcW5rbWhyMg5oLnJ1cWtiYXZ0d2djODgAciExeHQ0V0MwTU1GX2xHTmZBdVFGeU9fT0tadHJrTW51Sk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31C75A-28A4-49DD-84FB-C48CF72BE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11028</Words>
  <Characters>60655</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2026-02-09T15:30:00Z</cp:lastPrinted>
  <dcterms:created xsi:type="dcterms:W3CDTF">2026-02-09T15:30:00Z</dcterms:created>
  <dcterms:modified xsi:type="dcterms:W3CDTF">2026-02-09T15:30:00Z</dcterms:modified>
</cp:coreProperties>
</file>