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FFD" w:rsidRDefault="00383357">
      <w:pPr>
        <w:spacing w:line="360" w:lineRule="auto"/>
        <w:jc w:val="both"/>
        <w:rPr>
          <w:rFonts w:ascii="Palatino Linotype" w:eastAsia="Palatino Linotype" w:hAnsi="Palatino Linotype" w:cs="Palatino Linotype"/>
          <w:sz w:val="22"/>
          <w:szCs w:val="22"/>
        </w:rPr>
      </w:pPr>
      <w:bookmarkStart w:id="0" w:name="_GoBack"/>
      <w:bookmarkEnd w:id="0"/>
      <w:r>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bCs/>
          <w:sz w:val="22"/>
          <w:szCs w:val="22"/>
        </w:rPr>
        <w:t>ocho de abril de dos mil veintiséis</w:t>
      </w:r>
      <w:r>
        <w:rPr>
          <w:rFonts w:ascii="Palatino Linotype" w:eastAsia="Palatino Linotype" w:hAnsi="Palatino Linotype" w:cs="Palatino Linotype"/>
          <w:sz w:val="22"/>
          <w:szCs w:val="22"/>
        </w:rPr>
        <w:t>.</w:t>
      </w:r>
    </w:p>
    <w:p w:rsidR="001E3FFD" w:rsidRDefault="001E3FFD">
      <w:pPr>
        <w:spacing w:line="360" w:lineRule="auto"/>
        <w:jc w:val="both"/>
        <w:rPr>
          <w:rFonts w:ascii="Palatino Linotype" w:eastAsia="Palatino Linotype" w:hAnsi="Palatino Linotype" w:cs="Palatino Linotype"/>
          <w:b/>
          <w:bCs/>
          <w:sz w:val="22"/>
          <w:szCs w:val="22"/>
        </w:rPr>
      </w:pPr>
      <w:bookmarkStart w:id="1" w:name="_heading=h.ohkm1cugq8fa" w:colFirst="0" w:colLast="0"/>
      <w:bookmarkEnd w:id="1"/>
    </w:p>
    <w:p w:rsidR="001E3FFD" w:rsidRDefault="00383357">
      <w:pPr>
        <w:spacing w:line="360" w:lineRule="auto"/>
        <w:jc w:val="both"/>
        <w:rPr>
          <w:rFonts w:ascii="Palatino Linotype" w:eastAsia="Palatino Linotype" w:hAnsi="Palatino Linotype" w:cs="Palatino Linotype"/>
          <w:sz w:val="22"/>
          <w:szCs w:val="22"/>
        </w:rPr>
      </w:pPr>
      <w:bookmarkStart w:id="2" w:name="_heading=h.gjdgxs" w:colFirst="0" w:colLast="0"/>
      <w:bookmarkEnd w:id="2"/>
      <w:r>
        <w:rPr>
          <w:rFonts w:ascii="Palatino Linotype" w:eastAsia="Palatino Linotype" w:hAnsi="Palatino Linotype" w:cs="Palatino Linotype"/>
          <w:b/>
          <w:bCs/>
          <w:sz w:val="22"/>
          <w:szCs w:val="22"/>
        </w:rPr>
        <w:t>VISTOS</w:t>
      </w:r>
      <w:r>
        <w:rPr>
          <w:rFonts w:ascii="Palatino Linotype" w:eastAsia="Palatino Linotype" w:hAnsi="Palatino Linotype" w:cs="Palatino Linotype"/>
          <w:sz w:val="22"/>
          <w:szCs w:val="22"/>
        </w:rPr>
        <w:t xml:space="preserve"> los expedientes electrónicos formados con motivo de los Recursos de Revisión </w:t>
      </w:r>
      <w:r>
        <w:rPr>
          <w:rFonts w:ascii="Palatino Linotype" w:eastAsia="Palatino Linotype" w:hAnsi="Palatino Linotype" w:cs="Palatino Linotype"/>
          <w:b/>
          <w:bCs/>
          <w:sz w:val="22"/>
          <w:szCs w:val="22"/>
        </w:rPr>
        <w:t xml:space="preserve"> 01768/INFOEM/IP/RR/2026, 01769/INFOEM/IP/RR/2026 y 01770/INFOEM/IP/RR/2026 </w:t>
      </w:r>
      <w:r>
        <w:rPr>
          <w:rFonts w:ascii="Palatino Linotype" w:eastAsia="Palatino Linotype" w:hAnsi="Palatino Linotype" w:cs="Palatino Linotype"/>
          <w:sz w:val="22"/>
          <w:szCs w:val="22"/>
        </w:rPr>
        <w:t>acumulados, promovidos por  </w:t>
      </w:r>
      <w:r>
        <w:rPr>
          <w:rFonts w:ascii="Palatino Linotype" w:eastAsia="Palatino Linotype" w:hAnsi="Palatino Linotype" w:cs="Palatino Linotype"/>
          <w:b/>
          <w:bCs/>
          <w:sz w:val="22"/>
          <w:szCs w:val="22"/>
        </w:rPr>
        <w:t>una persona que no proporciona datos de identificación</w:t>
      </w:r>
      <w:r>
        <w:rPr>
          <w:rFonts w:ascii="Palatino Linotype" w:eastAsia="Palatino Linotype" w:hAnsi="Palatino Linotype" w:cs="Palatino Linotype"/>
          <w:sz w:val="22"/>
          <w:szCs w:val="22"/>
        </w:rPr>
        <w:t xml:space="preserve">, a través del Sistema de Acceso a la Información Mexiquense (SAIMEX), a quien en lo sucesivo se le identificará como </w:t>
      </w:r>
      <w:r>
        <w:rPr>
          <w:rFonts w:ascii="Palatino Linotype" w:eastAsia="Palatino Linotype" w:hAnsi="Palatino Linotype" w:cs="Palatino Linotype"/>
          <w:b/>
          <w:bCs/>
          <w:sz w:val="22"/>
          <w:szCs w:val="22"/>
        </w:rPr>
        <w:t>EL RECURRENTE</w:t>
      </w:r>
      <w:r>
        <w:rPr>
          <w:rFonts w:ascii="Palatino Linotype" w:eastAsia="Palatino Linotype" w:hAnsi="Palatino Linotype" w:cs="Palatino Linotype"/>
          <w:sz w:val="22"/>
          <w:szCs w:val="22"/>
        </w:rPr>
        <w:t xml:space="preserve">, en contra de las respuestas del </w:t>
      </w:r>
      <w:r>
        <w:rPr>
          <w:rFonts w:ascii="Palatino Linotype" w:eastAsia="Palatino Linotype" w:hAnsi="Palatino Linotype" w:cs="Palatino Linotype"/>
          <w:b/>
          <w:bCs/>
          <w:sz w:val="22"/>
          <w:szCs w:val="22"/>
        </w:rPr>
        <w:t xml:space="preserve">Ayuntamiento de Toluca </w:t>
      </w:r>
      <w:r>
        <w:rPr>
          <w:rFonts w:ascii="Palatino Linotype" w:eastAsia="Palatino Linotype" w:hAnsi="Palatino Linotype" w:cs="Palatino Linotype"/>
          <w:sz w:val="22"/>
          <w:szCs w:val="22"/>
        </w:rPr>
        <w:t xml:space="preserve">, en adelante </w:t>
      </w:r>
      <w:r>
        <w:rPr>
          <w:rFonts w:ascii="Palatino Linotype" w:eastAsia="Palatino Linotype" w:hAnsi="Palatino Linotype" w:cs="Palatino Linotype"/>
          <w:b/>
          <w:bCs/>
          <w:sz w:val="22"/>
          <w:szCs w:val="22"/>
        </w:rPr>
        <w:t>EL SUJETO OBLIGADO</w:t>
      </w:r>
      <w:r>
        <w:rPr>
          <w:rFonts w:ascii="Palatino Linotype" w:eastAsia="Palatino Linotype" w:hAnsi="Palatino Linotype" w:cs="Palatino Linotype"/>
          <w:sz w:val="22"/>
          <w:szCs w:val="22"/>
        </w:rPr>
        <w:t>, se procede a dictar la presente resolución, con base en los siguientes:</w:t>
      </w:r>
    </w:p>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spacing w:line="360" w:lineRule="auto"/>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 N T E C E D E N T E S</w:t>
      </w:r>
    </w:p>
    <w:p w:rsidR="001E3FFD" w:rsidRDefault="001E3FFD">
      <w:pPr>
        <w:spacing w:line="360" w:lineRule="auto"/>
        <w:rPr>
          <w:rFonts w:ascii="Palatino Linotype" w:eastAsia="Palatino Linotype" w:hAnsi="Palatino Linotype" w:cs="Palatino Linotype"/>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día </w:t>
      </w:r>
      <w:r>
        <w:rPr>
          <w:rFonts w:ascii="Palatino Linotype" w:eastAsia="Palatino Linotype" w:hAnsi="Palatino Linotype" w:cs="Palatino Linotype"/>
          <w:b/>
          <w:bCs/>
          <w:sz w:val="22"/>
          <w:szCs w:val="22"/>
        </w:rPr>
        <w:t xml:space="preserve">dos de enero de dos mil veintiséis, </w:t>
      </w:r>
      <w:r>
        <w:rPr>
          <w:rFonts w:ascii="Palatino Linotype" w:eastAsia="Palatino Linotype" w:hAnsi="Palatino Linotype" w:cs="Palatino Linotype"/>
          <w:sz w:val="22"/>
          <w:szCs w:val="22"/>
        </w:rPr>
        <w:t xml:space="preserve">se presentó ante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vía </w:t>
      </w:r>
      <w:r>
        <w:rPr>
          <w:rFonts w:ascii="Palatino Linotype" w:eastAsia="Palatino Linotype" w:hAnsi="Palatino Linotype" w:cs="Palatino Linotype"/>
          <w:b/>
          <w:bCs/>
          <w:sz w:val="22"/>
          <w:szCs w:val="22"/>
        </w:rPr>
        <w:t>SAIMEX</w:t>
      </w:r>
      <w:r>
        <w:rPr>
          <w:rFonts w:ascii="Palatino Linotype" w:eastAsia="Palatino Linotype" w:hAnsi="Palatino Linotype" w:cs="Palatino Linotype"/>
          <w:sz w:val="22"/>
          <w:szCs w:val="22"/>
        </w:rPr>
        <w:t>, las solicitudes de información pública registradas con los números</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b/>
          <w:bCs/>
          <w:sz w:val="22"/>
          <w:szCs w:val="22"/>
        </w:rPr>
        <w:t>00234/TOLUCA/IP/2026, 00240/TOLUCA/IP/2026 y 00241/TOLUCA/IP/2026</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 xml:space="preserve">sin embargo el Sistema de Acceso a la Información tomo como fecha de ingreso el </w:t>
      </w:r>
      <w:r>
        <w:rPr>
          <w:rFonts w:ascii="Palatino Linotype" w:eastAsia="Palatino Linotype" w:hAnsi="Palatino Linotype" w:cs="Palatino Linotype"/>
          <w:b/>
          <w:bCs/>
          <w:color w:val="000000"/>
          <w:sz w:val="22"/>
          <w:szCs w:val="22"/>
        </w:rPr>
        <w:t xml:space="preserve">doce de enero subsecuente, </w:t>
      </w:r>
      <w:r>
        <w:rPr>
          <w:rFonts w:ascii="Palatino Linotype" w:eastAsia="Palatino Linotype" w:hAnsi="Palatino Linotype" w:cs="Palatino Linotype"/>
          <w:color w:val="000000"/>
          <w:sz w:val="22"/>
          <w:szCs w:val="22"/>
        </w:rPr>
        <w:t>toda vez que este Órgano Garante se encontraba en periodo vacacional, las solicitudes de información consistieron en obtener la siguiente información</w:t>
      </w:r>
      <w:r>
        <w:rPr>
          <w:rFonts w:ascii="Palatino Linotype" w:eastAsia="Palatino Linotype" w:hAnsi="Palatino Linotype" w:cs="Palatino Linotype"/>
          <w:sz w:val="22"/>
          <w:szCs w:val="22"/>
        </w:rPr>
        <w:t>:</w:t>
      </w:r>
    </w:p>
    <w:tbl>
      <w:tblPr>
        <w:tblStyle w:val="a"/>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240"/>
      </w:tblGrid>
      <w:tr w:rsidR="001E3FFD">
        <w:tc>
          <w:tcPr>
            <w:tcW w:w="3539" w:type="dxa"/>
          </w:tcPr>
          <w:p w:rsidR="001E3FFD" w:rsidRDefault="00383357">
            <w:pPr>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Solicitud de información</w:t>
            </w:r>
          </w:p>
        </w:tc>
        <w:tc>
          <w:tcPr>
            <w:tcW w:w="5240" w:type="dxa"/>
          </w:tcPr>
          <w:p w:rsidR="001E3FFD" w:rsidRDefault="00383357">
            <w:pPr>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Información solicitada </w:t>
            </w:r>
          </w:p>
        </w:tc>
      </w:tr>
      <w:tr w:rsidR="001E3FFD">
        <w:tc>
          <w:tcPr>
            <w:tcW w:w="3539" w:type="dxa"/>
          </w:tcPr>
          <w:p w:rsidR="001E3FFD" w:rsidRDefault="00383357">
            <w:pPr>
              <w:ind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00234/TOLUCA/IP/2026</w:t>
            </w:r>
          </w:p>
        </w:tc>
        <w:tc>
          <w:tcPr>
            <w:tcW w:w="5240"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“se solicitan todos los oficios que se recibieron y lo que se emitieron en el mes de enero 2025 en la Secretaría Técnica del Consejo Municipal de Seguridad Pública”</w:t>
            </w:r>
          </w:p>
        </w:tc>
      </w:tr>
      <w:tr w:rsidR="001E3FFD">
        <w:tc>
          <w:tcPr>
            <w:tcW w:w="3539"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00240/TOLUCA/IP/2026 </w:t>
            </w:r>
          </w:p>
        </w:tc>
        <w:tc>
          <w:tcPr>
            <w:tcW w:w="5240"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“se solicitan todos los oficios que se recibieron y lo que se emitieron en el mes de julio 2025 en la Secretaría Técnica del Consejo Municipal de Seguridad Pública”</w:t>
            </w:r>
          </w:p>
        </w:tc>
      </w:tr>
      <w:tr w:rsidR="001E3FFD">
        <w:tc>
          <w:tcPr>
            <w:tcW w:w="3539" w:type="dxa"/>
          </w:tcPr>
          <w:p w:rsidR="001E3FFD" w:rsidRDefault="00383357">
            <w:pPr>
              <w:ind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00241/TOLUCA/IP/2026</w:t>
            </w:r>
          </w:p>
        </w:tc>
        <w:tc>
          <w:tcPr>
            <w:tcW w:w="5240"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“se solicitan todos los oficios que se recibieron y lo que se emitieron en el mes de agosto 2025 en la Secretaría Técnica del Consejo Municipal de Seguridad Pública”</w:t>
            </w:r>
          </w:p>
        </w:tc>
      </w:tr>
    </w:tbl>
    <w:p w:rsidR="001E3FFD" w:rsidRDefault="001E3FFD">
      <w:pPr>
        <w:ind w:left="1134" w:right="851"/>
        <w:jc w:val="both"/>
        <w:rPr>
          <w:rFonts w:ascii="Palatino Linotype" w:eastAsia="Palatino Linotype" w:hAnsi="Palatino Linotype" w:cs="Palatino Linotype"/>
          <w:i/>
          <w:iCs/>
          <w:sz w:val="22"/>
          <w:szCs w:val="22"/>
        </w:rPr>
      </w:pPr>
    </w:p>
    <w:p w:rsidR="001E3FFD" w:rsidRDefault="00383357">
      <w:pPr>
        <w:numPr>
          <w:ilvl w:val="0"/>
          <w:numId w:val="2"/>
        </w:numPr>
        <w:spacing w:line="360" w:lineRule="auto"/>
        <w:ind w:left="709" w:right="474"/>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Modalidad de entrega</w:t>
      </w:r>
      <w:r>
        <w:rPr>
          <w:rFonts w:ascii="Palatino Linotype" w:eastAsia="Palatino Linotype" w:hAnsi="Palatino Linotype" w:cs="Palatino Linotype"/>
          <w:sz w:val="22"/>
          <w:szCs w:val="22"/>
        </w:rPr>
        <w:t>: vía Sistema de Acceso a la Información.</w:t>
      </w:r>
    </w:p>
    <w:p w:rsidR="001E3FFD" w:rsidRDefault="001E3FFD">
      <w:pPr>
        <w:spacing w:line="360" w:lineRule="auto"/>
        <w:jc w:val="both"/>
        <w:rPr>
          <w:rFonts w:ascii="Palatino Linotype" w:eastAsia="Palatino Linotype" w:hAnsi="Palatino Linotype" w:cs="Palatino Linotype"/>
          <w:i/>
          <w:iCs/>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lo anterior, el </w:t>
      </w:r>
      <w:r>
        <w:rPr>
          <w:rFonts w:ascii="Palatino Linotype" w:eastAsia="Palatino Linotype" w:hAnsi="Palatino Linotype" w:cs="Palatino Linotype"/>
          <w:b/>
          <w:bCs/>
          <w:sz w:val="22"/>
          <w:szCs w:val="22"/>
        </w:rPr>
        <w:t xml:space="preserve">doce de enero de dos mil veintiséis,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giro los requerimientos de información para atender las solicitudes de información </w:t>
      </w:r>
      <w:r>
        <w:rPr>
          <w:rFonts w:ascii="Palatino Linotype" w:eastAsia="Palatino Linotype" w:hAnsi="Palatino Linotype" w:cs="Palatino Linotype"/>
          <w:b/>
          <w:bCs/>
          <w:sz w:val="22"/>
          <w:szCs w:val="22"/>
        </w:rPr>
        <w:t>00234/TOLUCA/IP/2026, 00240/TOLUCA/IP/2026 y 00241/TOLUCA/IP/2026.</w:t>
      </w:r>
    </w:p>
    <w:p w:rsidR="001E3FFD" w:rsidRDefault="001E3FFD">
      <w:pPr>
        <w:rPr>
          <w:rFonts w:ascii="Palatino Linotype" w:eastAsia="Palatino Linotype" w:hAnsi="Palatino Linotype" w:cs="Palatino Linotype"/>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esa línea, en fecha </w:t>
      </w:r>
      <w:r>
        <w:rPr>
          <w:rFonts w:ascii="Palatino Linotype" w:eastAsia="Palatino Linotype" w:hAnsi="Palatino Linotype" w:cs="Palatino Linotype"/>
          <w:b/>
          <w:bCs/>
          <w:sz w:val="22"/>
          <w:szCs w:val="22"/>
        </w:rPr>
        <w:t xml:space="preserve">tres de febrero de dos mil veintiséis,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dio respuesta a las solicitudes de información </w:t>
      </w:r>
      <w:r>
        <w:rPr>
          <w:rFonts w:ascii="Palatino Linotype" w:eastAsia="Palatino Linotype" w:hAnsi="Palatino Linotype" w:cs="Palatino Linotype"/>
          <w:b/>
          <w:bCs/>
          <w:sz w:val="22"/>
          <w:szCs w:val="22"/>
        </w:rPr>
        <w:t xml:space="preserve">00234/TOLUCA/IP/2026, 00240/TOLUCA/IP/2026 y 00241/TOLUCA/IP/2026, </w:t>
      </w:r>
      <w:r>
        <w:rPr>
          <w:rFonts w:ascii="Palatino Linotype" w:eastAsia="Palatino Linotype" w:hAnsi="Palatino Linotype" w:cs="Palatino Linotype"/>
          <w:sz w:val="22"/>
          <w:szCs w:val="22"/>
        </w:rPr>
        <w:t xml:space="preserve">con los siguientes documentos cuyo contenido grosso modo es: </w:t>
      </w:r>
    </w:p>
    <w:tbl>
      <w:tblPr>
        <w:tblStyle w:val="a0"/>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665"/>
      </w:tblGrid>
      <w:tr w:rsidR="001E3FFD">
        <w:tc>
          <w:tcPr>
            <w:tcW w:w="3114"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Solicitud de Información </w:t>
            </w:r>
          </w:p>
        </w:tc>
        <w:tc>
          <w:tcPr>
            <w:tcW w:w="5665"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Respuesta </w:t>
            </w:r>
          </w:p>
        </w:tc>
      </w:tr>
      <w:tr w:rsidR="001E3FFD">
        <w:tc>
          <w:tcPr>
            <w:tcW w:w="3114"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00234/TOLUCA/IP/2026</w:t>
            </w:r>
            <w:r>
              <w:rPr>
                <w:rFonts w:ascii="Palatino Linotype" w:eastAsia="Palatino Linotype" w:hAnsi="Palatino Linotype" w:cs="Palatino Linotype"/>
                <w:b/>
                <w:bCs/>
                <w:i/>
                <w:iCs/>
                <w:sz w:val="22"/>
                <w:szCs w:val="22"/>
              </w:rPr>
              <w:tab/>
            </w:r>
          </w:p>
        </w:tc>
        <w:tc>
          <w:tcPr>
            <w:tcW w:w="5665"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Oficio_019 - SAIMEX0234_anexo_E.pdf: </w:t>
            </w:r>
            <w:r>
              <w:rPr>
                <w:rFonts w:ascii="Palatino Linotype" w:eastAsia="Palatino Linotype" w:hAnsi="Palatino Linotype" w:cs="Palatino Linotype"/>
                <w:i/>
                <w:iCs/>
                <w:sz w:val="22"/>
                <w:szCs w:val="22"/>
              </w:rPr>
              <w:t>oficios emitidos por la Secretaría Técnica del Consejo Municipal de Seguridad, de los cuales hacen falta los oficios número</w:t>
            </w:r>
            <w:r>
              <w:rPr>
                <w:rFonts w:ascii="Palatino Linotype" w:eastAsia="Palatino Linotype" w:hAnsi="Palatino Linotype" w:cs="Palatino Linotype"/>
                <w:b/>
                <w:bCs/>
                <w:i/>
                <w:iCs/>
                <w:sz w:val="22"/>
                <w:szCs w:val="22"/>
              </w:rPr>
              <w:t xml:space="preserve"> </w:t>
            </w:r>
            <w:r>
              <w:rPr>
                <w:rFonts w:ascii="Palatino Linotype" w:eastAsia="Palatino Linotype" w:hAnsi="Palatino Linotype" w:cs="Palatino Linotype"/>
                <w:i/>
                <w:iCs/>
                <w:sz w:val="22"/>
                <w:szCs w:val="22"/>
              </w:rPr>
              <w:t xml:space="preserve">treinta y ocho y treinta nueve, cuarenta y uno, cuarenta y dos y cuarenta y tres y cincuenta. </w:t>
            </w:r>
          </w:p>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Oficio_019 - SAIMEX0234.pdf: </w:t>
            </w:r>
            <w:r>
              <w:rPr>
                <w:rFonts w:ascii="Palatino Linotype" w:eastAsia="Palatino Linotype" w:hAnsi="Palatino Linotype" w:cs="Palatino Linotype"/>
                <w:i/>
                <w:iCs/>
                <w:sz w:val="22"/>
                <w:szCs w:val="22"/>
              </w:rPr>
              <w:t xml:space="preserve">oficio del Secretario Técnico del Consejo Municipal de Seguridad Pública, mediante el cual informa que se anexa la información solicitada con el sustento del Acuerdo Número </w:t>
            </w:r>
            <w:r>
              <w:rPr>
                <w:rFonts w:ascii="Palatino Linotype" w:eastAsia="Palatino Linotype" w:hAnsi="Palatino Linotype" w:cs="Palatino Linotype"/>
                <w:b/>
                <w:bCs/>
                <w:i/>
                <w:iCs/>
                <w:sz w:val="22"/>
                <w:szCs w:val="22"/>
              </w:rPr>
              <w:t xml:space="preserve">CT/Se/38/02/2026, </w:t>
            </w:r>
            <w:r>
              <w:rPr>
                <w:rFonts w:ascii="Palatino Linotype" w:eastAsia="Palatino Linotype" w:hAnsi="Palatino Linotype" w:cs="Palatino Linotype"/>
                <w:i/>
                <w:iCs/>
                <w:sz w:val="22"/>
                <w:szCs w:val="22"/>
              </w:rPr>
              <w:t>del veintidós de enero de dos mil veintidós, en la Trigésima Octava Sesión Extraordinaria del Comité de Transparencia.</w:t>
            </w:r>
          </w:p>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Oficio_019 - SAIMEX0234_anexo_R.pdf: </w:t>
            </w:r>
            <w:r>
              <w:rPr>
                <w:rFonts w:ascii="Palatino Linotype" w:eastAsia="Palatino Linotype" w:hAnsi="Palatino Linotype" w:cs="Palatino Linotype"/>
                <w:i/>
                <w:iCs/>
                <w:sz w:val="22"/>
                <w:szCs w:val="22"/>
              </w:rPr>
              <w:t xml:space="preserve">oficios recibidos en la Secretaría Técnica del Consejo Municipal de Seguridad en el mes de enero de dos mil veinticinco. </w:t>
            </w:r>
          </w:p>
        </w:tc>
      </w:tr>
      <w:tr w:rsidR="001E3FFD">
        <w:tc>
          <w:tcPr>
            <w:tcW w:w="3114"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00240/TOLUCA/IP/2026 </w:t>
            </w:r>
          </w:p>
        </w:tc>
        <w:tc>
          <w:tcPr>
            <w:tcW w:w="5665"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Oficio_025 - SAIMEX0240_anexo_R.pdf: </w:t>
            </w:r>
            <w:r>
              <w:rPr>
                <w:rFonts w:ascii="Palatino Linotype" w:eastAsia="Palatino Linotype" w:hAnsi="Palatino Linotype" w:cs="Palatino Linotype"/>
                <w:i/>
                <w:iCs/>
                <w:sz w:val="22"/>
                <w:szCs w:val="22"/>
              </w:rPr>
              <w:t xml:space="preserve">oficios recibidos en la Secretaría Técnica del Consejo Municipal de Seguridad en el mes de julio de dos mil veinticinco. </w:t>
            </w:r>
          </w:p>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 xml:space="preserve">Oficio_025 - SAIMEX0240_anexo_E.pdf: </w:t>
            </w:r>
            <w:r>
              <w:rPr>
                <w:rFonts w:ascii="Palatino Linotype" w:eastAsia="Palatino Linotype" w:hAnsi="Palatino Linotype" w:cs="Palatino Linotype"/>
                <w:i/>
                <w:iCs/>
                <w:sz w:val="22"/>
                <w:szCs w:val="22"/>
              </w:rPr>
              <w:t>oficios emitidos por la Secretaría Técnica del Consejo Municipal de Seguridad, de los cuales hace falta</w:t>
            </w:r>
            <w:r>
              <w:rPr>
                <w:rFonts w:ascii="Palatino Linotype" w:eastAsia="Palatino Linotype" w:hAnsi="Palatino Linotype" w:cs="Palatino Linotype"/>
                <w:b/>
                <w:bCs/>
                <w:i/>
                <w:iCs/>
                <w:sz w:val="22"/>
                <w:szCs w:val="22"/>
              </w:rPr>
              <w:t xml:space="preserve"> </w:t>
            </w:r>
            <w:r>
              <w:rPr>
                <w:rFonts w:ascii="Palatino Linotype" w:eastAsia="Palatino Linotype" w:hAnsi="Palatino Linotype" w:cs="Palatino Linotype"/>
                <w:i/>
                <w:iCs/>
                <w:sz w:val="22"/>
                <w:szCs w:val="22"/>
              </w:rPr>
              <w:t xml:space="preserve">el oficio trescientos treinta y nueve. </w:t>
            </w:r>
          </w:p>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Oficio_025 - SAIMEX0240.pdf: </w:t>
            </w:r>
            <w:r>
              <w:rPr>
                <w:rFonts w:ascii="Palatino Linotype" w:eastAsia="Palatino Linotype" w:hAnsi="Palatino Linotype" w:cs="Palatino Linotype"/>
                <w:i/>
                <w:iCs/>
                <w:sz w:val="22"/>
                <w:szCs w:val="22"/>
              </w:rPr>
              <w:t xml:space="preserve">oficio del Secretario Técnico del Consejo Municipal de Seguridad Pública, mediante el cual informa que se anexa la información solicitada con el sustento del Acuerdo Número </w:t>
            </w:r>
            <w:r>
              <w:rPr>
                <w:rFonts w:ascii="Palatino Linotype" w:eastAsia="Palatino Linotype" w:hAnsi="Palatino Linotype" w:cs="Palatino Linotype"/>
                <w:b/>
                <w:bCs/>
                <w:i/>
                <w:iCs/>
                <w:sz w:val="22"/>
                <w:szCs w:val="22"/>
              </w:rPr>
              <w:t xml:space="preserve">CT/Se/38/02/2026, </w:t>
            </w:r>
            <w:r>
              <w:rPr>
                <w:rFonts w:ascii="Palatino Linotype" w:eastAsia="Palatino Linotype" w:hAnsi="Palatino Linotype" w:cs="Palatino Linotype"/>
                <w:i/>
                <w:iCs/>
                <w:sz w:val="22"/>
                <w:szCs w:val="22"/>
              </w:rPr>
              <w:t xml:space="preserve">del veintidós de enero de dos mil veintidós, en la Trigésima Octava Sesión Extraordinaria del Comité de Transparencia. </w:t>
            </w:r>
          </w:p>
        </w:tc>
      </w:tr>
      <w:tr w:rsidR="001E3FFD">
        <w:tc>
          <w:tcPr>
            <w:tcW w:w="3114"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00241/TOLUCA/IP/2026</w:t>
            </w:r>
          </w:p>
        </w:tc>
        <w:tc>
          <w:tcPr>
            <w:tcW w:w="5665"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Oficio_026 - SAIMEX0241_anexo_E.pdf: </w:t>
            </w:r>
            <w:r>
              <w:rPr>
                <w:rFonts w:ascii="Palatino Linotype" w:eastAsia="Palatino Linotype" w:hAnsi="Palatino Linotype" w:cs="Palatino Linotype"/>
                <w:i/>
                <w:iCs/>
                <w:sz w:val="22"/>
                <w:szCs w:val="22"/>
              </w:rPr>
              <w:t>oficios emitidos por la Secretaría Técnica del Consejo Municipal de Seguridad, de los cuales hacen falta</w:t>
            </w:r>
            <w:r>
              <w:rPr>
                <w:rFonts w:ascii="Palatino Linotype" w:eastAsia="Palatino Linotype" w:hAnsi="Palatino Linotype" w:cs="Palatino Linotype"/>
                <w:b/>
                <w:bCs/>
                <w:i/>
                <w:iCs/>
                <w:sz w:val="22"/>
                <w:szCs w:val="22"/>
              </w:rPr>
              <w:t xml:space="preserve"> </w:t>
            </w:r>
            <w:r>
              <w:rPr>
                <w:rFonts w:ascii="Palatino Linotype" w:eastAsia="Palatino Linotype" w:hAnsi="Palatino Linotype" w:cs="Palatino Linotype"/>
                <w:i/>
                <w:iCs/>
                <w:sz w:val="22"/>
                <w:szCs w:val="22"/>
              </w:rPr>
              <w:t xml:space="preserve">los oficios trescientos ochenta y ocho, trescientos noventa y ocho, cuatrocientos tres y cuatrocientos treinta y cuatro. </w:t>
            </w:r>
          </w:p>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Oficio_026 - SAIMEX0241_anexo_R.pdf:</w:t>
            </w:r>
            <w:r>
              <w:rPr>
                <w:rFonts w:ascii="Palatino Linotype" w:eastAsia="Palatino Linotype" w:hAnsi="Palatino Linotype" w:cs="Palatino Linotype"/>
                <w:i/>
                <w:iCs/>
                <w:sz w:val="22"/>
                <w:szCs w:val="22"/>
              </w:rPr>
              <w:t xml:space="preserve"> oficios recibidos en la Secretaría Técnica del Consejo Municipal de Seguridad en el mes de agosto de dos mil veinticinco</w:t>
            </w:r>
          </w:p>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Oficio_026 - SAIMEX0241.pdf: </w:t>
            </w:r>
            <w:r>
              <w:rPr>
                <w:rFonts w:ascii="Palatino Linotype" w:eastAsia="Palatino Linotype" w:hAnsi="Palatino Linotype" w:cs="Palatino Linotype"/>
                <w:i/>
                <w:iCs/>
                <w:sz w:val="22"/>
                <w:szCs w:val="22"/>
              </w:rPr>
              <w:t xml:space="preserve">oficio del Secretario Técnico del Consejo Municipal de Seguridad Pública, mediante el cual informa que se anexa la información solicitada con el sustento del Acuerdo Número </w:t>
            </w:r>
            <w:r>
              <w:rPr>
                <w:rFonts w:ascii="Palatino Linotype" w:eastAsia="Palatino Linotype" w:hAnsi="Palatino Linotype" w:cs="Palatino Linotype"/>
                <w:b/>
                <w:bCs/>
                <w:i/>
                <w:iCs/>
                <w:sz w:val="22"/>
                <w:szCs w:val="22"/>
              </w:rPr>
              <w:t xml:space="preserve">CT/Se/38/02/2026, </w:t>
            </w:r>
            <w:r>
              <w:rPr>
                <w:rFonts w:ascii="Palatino Linotype" w:eastAsia="Palatino Linotype" w:hAnsi="Palatino Linotype" w:cs="Palatino Linotype"/>
                <w:i/>
                <w:iCs/>
                <w:sz w:val="22"/>
                <w:szCs w:val="22"/>
              </w:rPr>
              <w:t>del veintidós de enero de dos mil veintidós, en la Trigésima Octava Sesión Extraordinaria del Comité de Transparencia.</w:t>
            </w:r>
          </w:p>
        </w:tc>
      </w:tr>
    </w:tbl>
    <w:p w:rsidR="001E3FFD" w:rsidRDefault="001E3FFD">
      <w:pPr>
        <w:ind w:right="900"/>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once de febrero de dos mil veintiséis</w:t>
      </w:r>
      <w:r>
        <w:rPr>
          <w:rFonts w:ascii="Palatino Linotype" w:eastAsia="Palatino Linotype" w:hAnsi="Palatino Linotype" w:cs="Palatino Linotype"/>
          <w:sz w:val="22"/>
          <w:szCs w:val="22"/>
        </w:rPr>
        <w:t xml:space="preserve">, el solicitante interpuso recurso de revisión en las solicitudes de información </w:t>
      </w:r>
      <w:r>
        <w:rPr>
          <w:rFonts w:ascii="Palatino Linotype" w:eastAsia="Palatino Linotype" w:hAnsi="Palatino Linotype" w:cs="Palatino Linotype"/>
          <w:b/>
          <w:bCs/>
          <w:sz w:val="22"/>
          <w:szCs w:val="22"/>
        </w:rPr>
        <w:t>00234/TOLUCA/IP/2026, 00240/TOLUCA/IP/2026 y 00241/TOLUCA/IP/2026</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sz w:val="22"/>
          <w:szCs w:val="22"/>
        </w:rPr>
        <w:t xml:space="preserve">en contra de las respuestas emitidas a las por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señalando las siguientes razones o motivos de inconformidad:</w:t>
      </w:r>
    </w:p>
    <w:p w:rsidR="001E3FFD" w:rsidRDefault="001E3FFD">
      <w:pPr>
        <w:spacing w:line="360" w:lineRule="auto"/>
        <w:jc w:val="both"/>
        <w:rPr>
          <w:rFonts w:ascii="Palatino Linotype" w:eastAsia="Palatino Linotype" w:hAnsi="Palatino Linotype" w:cs="Palatino Linotype"/>
          <w:sz w:val="22"/>
          <w:szCs w:val="22"/>
        </w:rPr>
      </w:pPr>
    </w:p>
    <w:tbl>
      <w:tblPr>
        <w:tblStyle w:val="a1"/>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665"/>
      </w:tblGrid>
      <w:tr w:rsidR="001E3FFD">
        <w:tc>
          <w:tcPr>
            <w:tcW w:w="3114"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Recurso de Revisión  </w:t>
            </w:r>
          </w:p>
        </w:tc>
        <w:tc>
          <w:tcPr>
            <w:tcW w:w="5665"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Acto Impugnado y Razones o Motivos de Inconformidad </w:t>
            </w:r>
          </w:p>
        </w:tc>
      </w:tr>
      <w:tr w:rsidR="001E3FFD">
        <w:tc>
          <w:tcPr>
            <w:tcW w:w="3114" w:type="dxa"/>
          </w:tcPr>
          <w:p w:rsidR="001E3FFD" w:rsidRDefault="001E3FFD">
            <w:pPr>
              <w:jc w:val="both"/>
              <w:rPr>
                <w:rFonts w:ascii="Palatino Linotype" w:eastAsia="Palatino Linotype" w:hAnsi="Palatino Linotype" w:cs="Palatino Linotype"/>
                <w:b/>
                <w:bCs/>
                <w:i/>
                <w:iCs/>
                <w:sz w:val="22"/>
                <w:szCs w:val="22"/>
              </w:rPr>
            </w:pPr>
          </w:p>
          <w:p w:rsidR="001E3FFD" w:rsidRDefault="00383357">
            <w:pPr>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Recurso de Revisión 1768/INFOEM/IP/RR/2026</w:t>
            </w:r>
          </w:p>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b/>
            </w:r>
          </w:p>
        </w:tc>
        <w:tc>
          <w:tcPr>
            <w:tcW w:w="5665" w:type="dxa"/>
          </w:tcPr>
          <w:p w:rsidR="001E3FFD" w:rsidRDefault="00383357">
            <w:pPr>
              <w:ind w:right="7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sz w:val="22"/>
                <w:szCs w:val="22"/>
              </w:rPr>
              <w:t>Acto impugnado</w:t>
            </w:r>
            <w:r>
              <w:rPr>
                <w:rFonts w:ascii="Palatino Linotype" w:eastAsia="Palatino Linotype" w:hAnsi="Palatino Linotype" w:cs="Palatino Linotype"/>
                <w:b/>
                <w:bCs/>
                <w:i/>
                <w:iCs/>
                <w:color w:val="000000"/>
                <w:sz w:val="22"/>
                <w:szCs w:val="22"/>
              </w:rPr>
              <w:t xml:space="preserve">: </w:t>
            </w:r>
            <w:r>
              <w:rPr>
                <w:rFonts w:ascii="Palatino Linotype" w:eastAsia="Palatino Linotype" w:hAnsi="Palatino Linotype" w:cs="Palatino Linotype"/>
                <w:i/>
                <w:iCs/>
                <w:color w:val="000000"/>
                <w:sz w:val="22"/>
                <w:szCs w:val="22"/>
              </w:rPr>
              <w:t xml:space="preserve">“El sujeto obligado incumplió con su obligación de garantizar el derecho de acceso a la información, no entregó la información solicitada de forma completa ni congruente, dicha omisión vulnera lo dispuesto en el artículo </w:t>
            </w:r>
            <w:r>
              <w:rPr>
                <w:rFonts w:ascii="Palatino Linotype" w:eastAsia="Palatino Linotype" w:hAnsi="Palatino Linotype" w:cs="Palatino Linotype"/>
                <w:i/>
                <w:iCs/>
                <w:color w:val="000000"/>
                <w:sz w:val="22"/>
                <w:szCs w:val="22"/>
              </w:rPr>
              <w:lastRenderedPageBreak/>
              <w:t>6° de la Carta Magna la Ley de Transparencia y Acceso a la Información Pública del Estado de México y Municipios.”</w:t>
            </w:r>
          </w:p>
          <w:p w:rsidR="001E3FFD" w:rsidRDefault="001E3FFD">
            <w:pPr>
              <w:ind w:right="74"/>
              <w:jc w:val="both"/>
              <w:rPr>
                <w:rFonts w:ascii="Palatino Linotype" w:eastAsia="Palatino Linotype" w:hAnsi="Palatino Linotype" w:cs="Palatino Linotype"/>
                <w:i/>
                <w:iCs/>
                <w:color w:val="000000"/>
                <w:sz w:val="22"/>
                <w:szCs w:val="22"/>
              </w:rPr>
            </w:pPr>
          </w:p>
          <w:p w:rsidR="001E3FFD" w:rsidRDefault="00383357">
            <w:pPr>
              <w:ind w:right="7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Razones o Motivos de inconformidad:</w:t>
            </w:r>
            <w:r>
              <w:rPr>
                <w:rFonts w:ascii="Palatino Linotype" w:eastAsia="Palatino Linotype" w:hAnsi="Palatino Linotype" w:cs="Palatino Linotype"/>
                <w:i/>
                <w:iCs/>
                <w:color w:val="000000"/>
                <w:sz w:val="22"/>
                <w:szCs w:val="22"/>
              </w:rPr>
              <w:t xml:space="preserve"> ““El sujeto obligado incumplió con su obligación de garantizar el derecho de acceso a la información, no entregó la información solicitada de forma completa ni congruente, dicha omisión vulnera lo dispuesto en el artículo 6° de la Carta Magna la Ley de Transparencia y Acceso a la Información Pública del Estado de México y Municipios.”</w:t>
            </w:r>
          </w:p>
          <w:p w:rsidR="001E3FFD" w:rsidRDefault="001E3FFD">
            <w:pPr>
              <w:ind w:right="851"/>
              <w:jc w:val="both"/>
              <w:rPr>
                <w:rFonts w:ascii="Palatino Linotype" w:eastAsia="Palatino Linotype" w:hAnsi="Palatino Linotype" w:cs="Palatino Linotype"/>
                <w:b/>
                <w:bCs/>
                <w:i/>
                <w:iCs/>
                <w:sz w:val="22"/>
                <w:szCs w:val="22"/>
              </w:rPr>
            </w:pPr>
          </w:p>
        </w:tc>
      </w:tr>
      <w:tr w:rsidR="001E3FFD">
        <w:tc>
          <w:tcPr>
            <w:tcW w:w="3114" w:type="dxa"/>
          </w:tcPr>
          <w:p w:rsidR="001E3FFD" w:rsidRDefault="00383357">
            <w:pPr>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lastRenderedPageBreak/>
              <w:t xml:space="preserve">Recurso de Revisión 1769/INFOEM/IP/RR/2026 </w:t>
            </w:r>
          </w:p>
          <w:p w:rsidR="001E3FFD" w:rsidRDefault="001E3FFD">
            <w:pPr>
              <w:jc w:val="both"/>
              <w:rPr>
                <w:rFonts w:ascii="Palatino Linotype" w:eastAsia="Palatino Linotype" w:hAnsi="Palatino Linotype" w:cs="Palatino Linotype"/>
                <w:b/>
                <w:bCs/>
                <w:i/>
                <w:iCs/>
                <w:sz w:val="22"/>
                <w:szCs w:val="22"/>
              </w:rPr>
            </w:pPr>
          </w:p>
          <w:p w:rsidR="001E3FFD" w:rsidRDefault="001E3FFD">
            <w:pPr>
              <w:jc w:val="both"/>
              <w:rPr>
                <w:rFonts w:ascii="Palatino Linotype" w:eastAsia="Palatino Linotype" w:hAnsi="Palatino Linotype" w:cs="Palatino Linotype"/>
                <w:i/>
                <w:iCs/>
                <w:sz w:val="22"/>
                <w:szCs w:val="22"/>
              </w:rPr>
            </w:pPr>
          </w:p>
        </w:tc>
        <w:tc>
          <w:tcPr>
            <w:tcW w:w="5665" w:type="dxa"/>
          </w:tcPr>
          <w:p w:rsidR="001E3FFD" w:rsidRDefault="00383357">
            <w:pPr>
              <w:ind w:right="7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sz w:val="22"/>
                <w:szCs w:val="22"/>
              </w:rPr>
              <w:t>Acto impugnado</w:t>
            </w:r>
            <w:r>
              <w:rPr>
                <w:rFonts w:ascii="Palatino Linotype" w:eastAsia="Palatino Linotype" w:hAnsi="Palatino Linotype" w:cs="Palatino Linotype"/>
                <w:b/>
                <w:bCs/>
                <w:i/>
                <w:iCs/>
                <w:color w:val="000000"/>
                <w:sz w:val="22"/>
                <w:szCs w:val="22"/>
              </w:rPr>
              <w:t xml:space="preserve">: </w:t>
            </w:r>
            <w:r>
              <w:rPr>
                <w:rFonts w:ascii="Palatino Linotype" w:eastAsia="Palatino Linotype" w:hAnsi="Palatino Linotype" w:cs="Palatino Linotype"/>
                <w:i/>
                <w:iCs/>
                <w:color w:val="000000"/>
                <w:sz w:val="22"/>
                <w:szCs w:val="22"/>
              </w:rPr>
              <w:t>“El sujeto obligado incumplió con su obligación de garantizar el derecho de acceso a la información, no entregó la información solicitada de forma completa ni congruente, dicha omisión vulnera lo dispuesto en el artículo 6° de la Carta Magna la Ley de Transparencia y Acceso a la Información Pública del Estado de México y Municipios.”</w:t>
            </w:r>
          </w:p>
          <w:p w:rsidR="001E3FFD" w:rsidRDefault="001E3FFD">
            <w:pPr>
              <w:ind w:right="74"/>
              <w:jc w:val="both"/>
              <w:rPr>
                <w:rFonts w:ascii="Palatino Linotype" w:eastAsia="Palatino Linotype" w:hAnsi="Palatino Linotype" w:cs="Palatino Linotype"/>
                <w:i/>
                <w:iCs/>
                <w:color w:val="000000"/>
                <w:sz w:val="22"/>
                <w:szCs w:val="22"/>
              </w:rPr>
            </w:pPr>
          </w:p>
          <w:p w:rsidR="001E3FFD" w:rsidRDefault="00383357">
            <w:pPr>
              <w:ind w:right="7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Razones o Motivos de inconformidad:</w:t>
            </w:r>
            <w:r>
              <w:rPr>
                <w:rFonts w:ascii="Palatino Linotype" w:eastAsia="Palatino Linotype" w:hAnsi="Palatino Linotype" w:cs="Palatino Linotype"/>
                <w:i/>
                <w:iCs/>
                <w:color w:val="000000"/>
                <w:sz w:val="22"/>
                <w:szCs w:val="22"/>
              </w:rPr>
              <w:t xml:space="preserve"> ““El sujeto obligado incumplió con su obligación de garantizar el derecho de acceso a la información, no entregó la información solicitada de forma completa ni congruente, dicha omisión vulnera lo dispuesto en el artículo 6° de la Carta Magna la Ley de Transparencia y Acceso a la Información Pública del Estado de México y Municipios.”</w:t>
            </w:r>
          </w:p>
          <w:p w:rsidR="001E3FFD" w:rsidRDefault="001E3FFD">
            <w:pPr>
              <w:ind w:right="851"/>
              <w:jc w:val="both"/>
              <w:rPr>
                <w:rFonts w:ascii="Palatino Linotype" w:eastAsia="Palatino Linotype" w:hAnsi="Palatino Linotype" w:cs="Palatino Linotype"/>
                <w:b/>
                <w:bCs/>
                <w:i/>
                <w:iCs/>
                <w:sz w:val="22"/>
                <w:szCs w:val="22"/>
              </w:rPr>
            </w:pPr>
          </w:p>
        </w:tc>
      </w:tr>
      <w:tr w:rsidR="001E3FFD">
        <w:tc>
          <w:tcPr>
            <w:tcW w:w="3114" w:type="dxa"/>
          </w:tcPr>
          <w:p w:rsidR="001E3FFD" w:rsidRDefault="00383357">
            <w:pPr>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Recurso de Revisión 1770/INFOEM/IP/RR/2026: </w:t>
            </w:r>
          </w:p>
          <w:p w:rsidR="001E3FFD" w:rsidRDefault="001E3FFD">
            <w:pPr>
              <w:jc w:val="both"/>
              <w:rPr>
                <w:rFonts w:ascii="Palatino Linotype" w:eastAsia="Palatino Linotype" w:hAnsi="Palatino Linotype" w:cs="Palatino Linotype"/>
                <w:b/>
                <w:bCs/>
                <w:i/>
                <w:iCs/>
                <w:sz w:val="22"/>
                <w:szCs w:val="22"/>
              </w:rPr>
            </w:pPr>
          </w:p>
          <w:p w:rsidR="001E3FFD" w:rsidRDefault="001E3FFD">
            <w:pPr>
              <w:jc w:val="both"/>
              <w:rPr>
                <w:rFonts w:ascii="Palatino Linotype" w:eastAsia="Palatino Linotype" w:hAnsi="Palatino Linotype" w:cs="Palatino Linotype"/>
                <w:i/>
                <w:iCs/>
                <w:sz w:val="22"/>
                <w:szCs w:val="22"/>
              </w:rPr>
            </w:pPr>
          </w:p>
        </w:tc>
        <w:tc>
          <w:tcPr>
            <w:tcW w:w="5665" w:type="dxa"/>
          </w:tcPr>
          <w:p w:rsidR="001E3FFD" w:rsidRDefault="00383357">
            <w:pPr>
              <w:ind w:right="7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sz w:val="22"/>
                <w:szCs w:val="22"/>
              </w:rPr>
              <w:t>Acto impugnado</w:t>
            </w:r>
            <w:r>
              <w:rPr>
                <w:rFonts w:ascii="Palatino Linotype" w:eastAsia="Palatino Linotype" w:hAnsi="Palatino Linotype" w:cs="Palatino Linotype"/>
                <w:b/>
                <w:bCs/>
                <w:i/>
                <w:iCs/>
                <w:color w:val="000000"/>
                <w:sz w:val="22"/>
                <w:szCs w:val="22"/>
              </w:rPr>
              <w:t xml:space="preserve">: </w:t>
            </w:r>
            <w:r>
              <w:rPr>
                <w:rFonts w:ascii="Palatino Linotype" w:eastAsia="Palatino Linotype" w:hAnsi="Palatino Linotype" w:cs="Palatino Linotype"/>
                <w:i/>
                <w:iCs/>
                <w:color w:val="000000"/>
                <w:sz w:val="22"/>
                <w:szCs w:val="22"/>
              </w:rPr>
              <w:t>“El sujeto obligado incumplió con su obligación de garantizar el derecho de acceso a la información, no entregó la información solicitada de forma completa ni congruente, dicha omisión vulnera lo dispuesto en el artículo 6° de la Carta Magna la Ley de Transparencia y Acceso a la Información Pública del Estado de México y Municipios.”</w:t>
            </w:r>
          </w:p>
          <w:p w:rsidR="001E3FFD" w:rsidRDefault="001E3FFD">
            <w:pPr>
              <w:ind w:right="74"/>
              <w:jc w:val="both"/>
              <w:rPr>
                <w:rFonts w:ascii="Palatino Linotype" w:eastAsia="Palatino Linotype" w:hAnsi="Palatino Linotype" w:cs="Palatino Linotype"/>
                <w:i/>
                <w:iCs/>
                <w:color w:val="000000"/>
                <w:sz w:val="22"/>
                <w:szCs w:val="22"/>
              </w:rPr>
            </w:pPr>
          </w:p>
          <w:p w:rsidR="001E3FFD" w:rsidRDefault="00383357">
            <w:pPr>
              <w:ind w:right="7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Razones o Motivos de inconformidad:</w:t>
            </w:r>
            <w:r>
              <w:rPr>
                <w:rFonts w:ascii="Palatino Linotype" w:eastAsia="Palatino Linotype" w:hAnsi="Palatino Linotype" w:cs="Palatino Linotype"/>
                <w:i/>
                <w:iCs/>
                <w:color w:val="000000"/>
                <w:sz w:val="22"/>
                <w:szCs w:val="22"/>
              </w:rPr>
              <w:t xml:space="preserve"> ““El sujeto obligado incumplió con su obligación de garantizar el derecho de acceso a la información, no entregó la información solicitada de forma completa ni congruente, dicha omisión vulnera lo dispuesto en el artículo 6° de la Carta Magna la </w:t>
            </w:r>
            <w:r>
              <w:rPr>
                <w:rFonts w:ascii="Palatino Linotype" w:eastAsia="Palatino Linotype" w:hAnsi="Palatino Linotype" w:cs="Palatino Linotype"/>
                <w:i/>
                <w:iCs/>
                <w:color w:val="000000"/>
                <w:sz w:val="22"/>
                <w:szCs w:val="22"/>
              </w:rPr>
              <w:lastRenderedPageBreak/>
              <w:t>Ley de Transparencia y Acceso a la Información Pública del Estado de México y Municipios.”</w:t>
            </w:r>
          </w:p>
          <w:p w:rsidR="001E3FFD" w:rsidRDefault="001E3FFD">
            <w:pPr>
              <w:ind w:right="851"/>
              <w:jc w:val="both"/>
              <w:rPr>
                <w:rFonts w:ascii="Palatino Linotype" w:eastAsia="Palatino Linotype" w:hAnsi="Palatino Linotype" w:cs="Palatino Linotype"/>
                <w:b/>
                <w:bCs/>
                <w:i/>
                <w:iCs/>
                <w:sz w:val="22"/>
                <w:szCs w:val="22"/>
              </w:rPr>
            </w:pPr>
          </w:p>
        </w:tc>
      </w:tr>
    </w:tbl>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Consecutivamente</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sz w:val="22"/>
          <w:szCs w:val="22"/>
        </w:rPr>
        <w:t xml:space="preserve">con fundamento en lo dispuesto por el artículo 185 fracción I de la Ley de Transparencia y Acceso a la Información Pública del Estado de </w:t>
      </w:r>
      <w:r>
        <w:rPr>
          <w:rFonts w:ascii="Palatino Linotype" w:eastAsia="Palatino Linotype" w:hAnsi="Palatino Linotype" w:cs="Palatino Linotype"/>
          <w:color w:val="000000"/>
          <w:sz w:val="22"/>
          <w:szCs w:val="22"/>
        </w:rPr>
        <w:t>México</w:t>
      </w:r>
      <w:r>
        <w:rPr>
          <w:rFonts w:ascii="Palatino Linotype" w:eastAsia="Palatino Linotype" w:hAnsi="Palatino Linotype" w:cs="Palatino Linotype"/>
          <w:sz w:val="22"/>
          <w:szCs w:val="22"/>
        </w:rPr>
        <w:t xml:space="preserve"> y Municipios, los recursos de referencia, fueron turnados al </w:t>
      </w:r>
      <w:r>
        <w:rPr>
          <w:rFonts w:ascii="Palatino Linotype" w:eastAsia="Palatino Linotype" w:hAnsi="Palatino Linotype" w:cs="Palatino Linotype"/>
          <w:b/>
          <w:bCs/>
          <w:sz w:val="22"/>
          <w:szCs w:val="22"/>
        </w:rPr>
        <w:t xml:space="preserve">Comisionado Presidente José Martínez Vilchis y a las Comisionadas María del Rosario Mejía Ayala y Guadalupe Ramírez Peña, </w:t>
      </w:r>
      <w:r>
        <w:rPr>
          <w:rFonts w:ascii="Palatino Linotype" w:eastAsia="Palatino Linotype" w:hAnsi="Palatino Linotype" w:cs="Palatino Linotype"/>
          <w:sz w:val="22"/>
          <w:szCs w:val="22"/>
        </w:rPr>
        <w:t xml:space="preserve"> respectivamente,</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para su análisis. </w:t>
      </w:r>
    </w:p>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Comisionados Ponentes de origen con fundamento en lo dispuesto por el artículo 185 </w:t>
      </w:r>
      <w:r>
        <w:rPr>
          <w:rFonts w:ascii="Palatino Linotype" w:eastAsia="Palatino Linotype" w:hAnsi="Palatino Linotype" w:cs="Palatino Linotype"/>
          <w:sz w:val="22"/>
          <w:szCs w:val="22"/>
        </w:rPr>
        <w:t>fracción</w:t>
      </w:r>
      <w:r>
        <w:rPr>
          <w:rFonts w:ascii="Palatino Linotype" w:eastAsia="Palatino Linotype" w:hAnsi="Palatino Linotype" w:cs="Palatino Linotype"/>
          <w:color w:val="000000"/>
          <w:sz w:val="22"/>
          <w:szCs w:val="22"/>
        </w:rPr>
        <w:t xml:space="preserve"> II de la ley de la materia, a través de los </w:t>
      </w:r>
      <w:r>
        <w:rPr>
          <w:rFonts w:ascii="Palatino Linotype" w:eastAsia="Palatino Linotype" w:hAnsi="Palatino Linotype" w:cs="Palatino Linotype"/>
          <w:b/>
          <w:bCs/>
          <w:color w:val="000000"/>
          <w:sz w:val="22"/>
          <w:szCs w:val="22"/>
        </w:rPr>
        <w:t xml:space="preserve">acuerdos de admisión </w:t>
      </w:r>
      <w:r>
        <w:rPr>
          <w:rFonts w:ascii="Palatino Linotype" w:eastAsia="Palatino Linotype" w:hAnsi="Palatino Linotype" w:cs="Palatino Linotype"/>
          <w:color w:val="000000"/>
          <w:sz w:val="22"/>
          <w:szCs w:val="22"/>
        </w:rPr>
        <w:t xml:space="preserve">de fecha </w:t>
      </w:r>
      <w:r>
        <w:rPr>
          <w:rFonts w:ascii="Palatino Linotype" w:eastAsia="Palatino Linotype" w:hAnsi="Palatino Linotype" w:cs="Palatino Linotype"/>
          <w:b/>
          <w:bCs/>
          <w:color w:val="000000"/>
          <w:sz w:val="22"/>
          <w:szCs w:val="22"/>
        </w:rPr>
        <w:t>doce, dieciséis y diecisiete de febrero de dos mil veintiséis</w:t>
      </w:r>
      <w:r>
        <w:rPr>
          <w:rFonts w:ascii="Palatino Linotype" w:eastAsia="Palatino Linotype" w:hAnsi="Palatino Linotype" w:cs="Palatino Linotype"/>
          <w:color w:val="000000"/>
          <w:sz w:val="22"/>
          <w:szCs w:val="22"/>
        </w:rPr>
        <w:t xml:space="preserve">, pusieron a disposición de las partes el expediente electrónico vía SAIMEX a efecto de que en un plazo máximo de siete días </w:t>
      </w:r>
      <w:r>
        <w:rPr>
          <w:rFonts w:ascii="Palatino Linotype" w:eastAsia="Palatino Linotype" w:hAnsi="Palatino Linotype" w:cs="Palatino Linotype"/>
          <w:sz w:val="22"/>
          <w:szCs w:val="22"/>
        </w:rPr>
        <w:t>manifestara</w:t>
      </w:r>
      <w:r>
        <w:rPr>
          <w:rFonts w:ascii="Palatino Linotype" w:eastAsia="Palatino Linotype" w:hAnsi="Palatino Linotype" w:cs="Palatino Linotype"/>
          <w:color w:val="000000"/>
          <w:sz w:val="22"/>
          <w:szCs w:val="22"/>
        </w:rPr>
        <w:t xml:space="preserve"> lo que a su derecho conviniera, </w:t>
      </w:r>
      <w:r>
        <w:rPr>
          <w:rFonts w:ascii="Palatino Linotype" w:eastAsia="Palatino Linotype" w:hAnsi="Palatino Linotype" w:cs="Palatino Linotype"/>
          <w:sz w:val="22"/>
          <w:szCs w:val="22"/>
        </w:rPr>
        <w:t>ofreciera</w:t>
      </w:r>
      <w:r>
        <w:rPr>
          <w:rFonts w:ascii="Palatino Linotype" w:eastAsia="Palatino Linotype" w:hAnsi="Palatino Linotype" w:cs="Palatino Linotype"/>
          <w:color w:val="000000"/>
          <w:sz w:val="22"/>
          <w:szCs w:val="22"/>
        </w:rPr>
        <w:t xml:space="preserve"> pruebas y alegatos según corresponda al caso concreto, de esta forma para que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sz w:val="22"/>
          <w:szCs w:val="22"/>
        </w:rPr>
        <w:t>presentará</w:t>
      </w:r>
      <w:r>
        <w:rPr>
          <w:rFonts w:ascii="Palatino Linotype" w:eastAsia="Palatino Linotype" w:hAnsi="Palatino Linotype" w:cs="Palatino Linotype"/>
          <w:color w:val="000000"/>
          <w:sz w:val="22"/>
          <w:szCs w:val="22"/>
        </w:rPr>
        <w:t xml:space="preserve"> el Informe Justificado procedente.</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Posteriormente el Pleno de este Órgano Autónomo, mediante acuerdo del </w:t>
      </w:r>
      <w:r>
        <w:rPr>
          <w:rFonts w:ascii="Palatino Linotype" w:eastAsia="Palatino Linotype" w:hAnsi="Palatino Linotype" w:cs="Palatino Linotype"/>
          <w:b/>
          <w:bCs/>
          <w:sz w:val="22"/>
          <w:szCs w:val="22"/>
        </w:rPr>
        <w:t>veinticinco de febrero de dos mil veintiséis</w:t>
      </w:r>
      <w:r>
        <w:rPr>
          <w:rFonts w:ascii="Palatino Linotype" w:eastAsia="Palatino Linotype" w:hAnsi="Palatino Linotype" w:cs="Palatino Linotype"/>
          <w:sz w:val="22"/>
          <w:szCs w:val="22"/>
        </w:rPr>
        <w:t xml:space="preserve">; se ordenó la acumulación de los recursos de revisión de mérito, a efecto de que la Ponencia de la </w:t>
      </w:r>
      <w:r>
        <w:rPr>
          <w:rFonts w:ascii="Palatino Linotype" w:eastAsia="Palatino Linotype" w:hAnsi="Palatino Linotype" w:cs="Palatino Linotype"/>
          <w:b/>
          <w:bCs/>
          <w:sz w:val="22"/>
          <w:szCs w:val="22"/>
        </w:rPr>
        <w:t xml:space="preserve">Comisionada María del Rosario Mejía Ayala </w:t>
      </w:r>
      <w:r>
        <w:rPr>
          <w:rFonts w:ascii="Palatino Linotype" w:eastAsia="Palatino Linotype" w:hAnsi="Palatino Linotype" w:cs="Palatino Linotype"/>
          <w:sz w:val="22"/>
          <w:szCs w:val="22"/>
        </w:rPr>
        <w:t xml:space="preserve">formulará y presentará el proyecto de resolución correspondiente, de conformidad con el numeral ONCE incisos b) y c) de los Lineamientos para la Recepción, Trámite y Resolución de las Solicitudes de Acceso a la Información Pública, así como de los Recursos </w:t>
      </w:r>
      <w:r>
        <w:rPr>
          <w:rFonts w:ascii="Palatino Linotype" w:eastAsia="Palatino Linotype" w:hAnsi="Palatino Linotype" w:cs="Palatino Linotype"/>
          <w:sz w:val="22"/>
          <w:szCs w:val="22"/>
        </w:rPr>
        <w:lastRenderedPageBreak/>
        <w:t>de Revisión que deberán observar los Sujetos Obligados por la Ley de Transparencia Estatal</w:t>
      </w:r>
      <w:r>
        <w:rPr>
          <w:rFonts w:ascii="Palatino Linotype" w:eastAsia="Palatino Linotype" w:hAnsi="Palatino Linotype" w:cs="Palatino Linotype"/>
          <w:i/>
          <w:iCs/>
          <w:sz w:val="22"/>
          <w:szCs w:val="22"/>
          <w:vertAlign w:val="superscript"/>
        </w:rPr>
        <w:footnoteReference w:id="1"/>
      </w:r>
      <w:r>
        <w:rPr>
          <w:rFonts w:ascii="Palatino Linotype" w:eastAsia="Palatino Linotype" w:hAnsi="Palatino Linotype" w:cs="Palatino Linotype"/>
          <w:sz w:val="22"/>
          <w:szCs w:val="22"/>
        </w:rPr>
        <w:t>, que señala:</w:t>
      </w:r>
    </w:p>
    <w:p w:rsidR="001E3FFD" w:rsidRDefault="00383357">
      <w:pPr>
        <w:tabs>
          <w:tab w:val="left" w:pos="0"/>
          <w:tab w:val="left" w:pos="1134"/>
          <w:tab w:val="left" w:pos="7938"/>
        </w:tabs>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“ONCE.</w:t>
      </w:r>
      <w:r>
        <w:rPr>
          <w:rFonts w:ascii="Palatino Linotype" w:eastAsia="Palatino Linotype" w:hAnsi="Palatino Linotype" w:cs="Palatino Linotype"/>
          <w:i/>
          <w:iCs/>
          <w:sz w:val="22"/>
          <w:szCs w:val="22"/>
        </w:rPr>
        <w:t xml:space="preserve"> El Instituto, para mejor resolver y evitar la emisión de resoluciones contradictorias, podrá acordar la acumulación de los expedientes de recursos de revisión, de oficio o a petición de parte cuando:</w:t>
      </w:r>
    </w:p>
    <w:p w:rsidR="001E3FFD" w:rsidRDefault="00383357">
      <w:pPr>
        <w:tabs>
          <w:tab w:val="left" w:pos="0"/>
          <w:tab w:val="left" w:pos="426"/>
          <w:tab w:val="left" w:pos="7938"/>
        </w:tabs>
        <w:ind w:left="567" w:right="851" w:firstLine="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i/>
          <w:iCs/>
          <w:sz w:val="22"/>
          <w:szCs w:val="22"/>
        </w:rPr>
        <w:tab/>
      </w:r>
    </w:p>
    <w:p w:rsidR="001E3FFD" w:rsidRDefault="00383357">
      <w:pPr>
        <w:tabs>
          <w:tab w:val="left" w:pos="0"/>
          <w:tab w:val="left" w:pos="426"/>
          <w:tab w:val="left" w:pos="7938"/>
        </w:tabs>
        <w:ind w:left="567" w:right="851" w:firstLine="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b) Las partes o los actos impugnados sean iguales</w:t>
      </w:r>
    </w:p>
    <w:p w:rsidR="001E3FFD" w:rsidRDefault="00383357">
      <w:pPr>
        <w:tabs>
          <w:tab w:val="left" w:pos="0"/>
          <w:tab w:val="left" w:pos="7938"/>
        </w:tabs>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c) Cuando se trate del mismo solicitante, el mismo SUJETO OBLIGADO, aunque se trate de solicitudes diversas;</w:t>
      </w:r>
    </w:p>
    <w:p w:rsidR="001E3FFD" w:rsidRDefault="00383357">
      <w:pPr>
        <w:tabs>
          <w:tab w:val="left" w:pos="0"/>
          <w:tab w:val="left" w:pos="426"/>
          <w:tab w:val="left" w:pos="7938"/>
        </w:tabs>
        <w:ind w:left="567" w:right="851" w:firstLine="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E3FFD" w:rsidRDefault="00383357">
      <w:pPr>
        <w:tabs>
          <w:tab w:val="left" w:pos="0"/>
          <w:tab w:val="left" w:pos="426"/>
        </w:tabs>
        <w:ind w:left="567" w:right="851" w:firstLine="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(Énfasis añadido)</w:t>
      </w:r>
    </w:p>
    <w:p w:rsidR="001E3FFD" w:rsidRDefault="001E3FFD">
      <w:pPr>
        <w:tabs>
          <w:tab w:val="left" w:pos="0"/>
          <w:tab w:val="left" w:pos="426"/>
        </w:tabs>
        <w:ind w:left="567" w:right="851" w:firstLine="567"/>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así que,</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sz w:val="22"/>
          <w:szCs w:val="22"/>
        </w:rPr>
        <w:t>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1E3FFD" w:rsidRDefault="00383357">
      <w:pPr>
        <w:ind w:left="1134" w:right="85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Código de Procedimientos Administrativos del Estado de México.</w:t>
      </w:r>
    </w:p>
    <w:p w:rsidR="001E3FFD" w:rsidRDefault="00383357">
      <w:pPr>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18.-</w:t>
      </w:r>
      <w:r>
        <w:rPr>
          <w:rFonts w:ascii="Palatino Linotype" w:eastAsia="Palatino Linotype" w:hAnsi="Palatino Linotype" w:cs="Palatino Linotype"/>
          <w:i/>
          <w:iCs/>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1E3FFD" w:rsidRDefault="00383357">
      <w:pPr>
        <w:ind w:left="1134" w:right="85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Ley de Transparencia y Acceso a la Información Pública del Estado de México y Municipios</w:t>
      </w:r>
    </w:p>
    <w:p w:rsidR="001E3FFD" w:rsidRDefault="00383357">
      <w:pPr>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195.</w:t>
      </w:r>
      <w:r>
        <w:rPr>
          <w:rFonts w:ascii="Palatino Linotype" w:eastAsia="Palatino Linotype" w:hAnsi="Palatino Linotype" w:cs="Palatino Linotype"/>
          <w:i/>
          <w:iCs/>
          <w:sz w:val="22"/>
          <w:szCs w:val="22"/>
        </w:rPr>
        <w:t xml:space="preserve"> En la tramitación del recurso de revisión se aplicarán supletoriamente las disposiciones contenidas en el Código de Procedimientos Administrativos del Estado de México.”</w:t>
      </w:r>
    </w:p>
    <w:p w:rsidR="001E3FFD" w:rsidRDefault="00383357">
      <w:pPr>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(Énfasis añadido)</w:t>
      </w:r>
    </w:p>
    <w:p w:rsidR="001E3FFD" w:rsidRDefault="001E3FFD">
      <w:pPr>
        <w:ind w:left="360" w:firstLine="360"/>
        <w:rPr>
          <w:rFonts w:ascii="Palatino Linotype" w:eastAsia="Palatino Linotype" w:hAnsi="Palatino Linotype" w:cs="Palatino Linotype"/>
          <w:i/>
          <w:iCs/>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lo anterior,  tal y como se observa en los expedientes electrónicos el </w:t>
      </w:r>
      <w:r>
        <w:rPr>
          <w:rFonts w:ascii="Palatino Linotype" w:eastAsia="Palatino Linotype" w:hAnsi="Palatino Linotype" w:cs="Palatino Linotype"/>
          <w:b/>
          <w:bCs/>
          <w:sz w:val="22"/>
          <w:szCs w:val="22"/>
        </w:rPr>
        <w:t xml:space="preserve">diecisiete, diecinueve, veinte, veinticuatro y veinticinco de febrero de dos mil veintiséis, </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entrego la siguiente información en la etapa de manifestaciones de cada recurso de revisión. </w:t>
      </w:r>
    </w:p>
    <w:tbl>
      <w:tblPr>
        <w:tblStyle w:val="a2"/>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665"/>
      </w:tblGrid>
      <w:tr w:rsidR="001E3FFD">
        <w:tc>
          <w:tcPr>
            <w:tcW w:w="3114"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Recurso de Revisión  </w:t>
            </w:r>
          </w:p>
        </w:tc>
        <w:tc>
          <w:tcPr>
            <w:tcW w:w="5665"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Información entregada en la etapa de manifestaciones</w:t>
            </w:r>
          </w:p>
        </w:tc>
      </w:tr>
      <w:tr w:rsidR="001E3FFD">
        <w:tc>
          <w:tcPr>
            <w:tcW w:w="3114" w:type="dxa"/>
          </w:tcPr>
          <w:p w:rsidR="001E3FFD" w:rsidRDefault="001E3FFD">
            <w:pPr>
              <w:jc w:val="both"/>
              <w:rPr>
                <w:rFonts w:ascii="Palatino Linotype" w:eastAsia="Palatino Linotype" w:hAnsi="Palatino Linotype" w:cs="Palatino Linotype"/>
                <w:b/>
                <w:bCs/>
                <w:i/>
                <w:iCs/>
                <w:sz w:val="22"/>
                <w:szCs w:val="22"/>
              </w:rPr>
            </w:pPr>
          </w:p>
          <w:p w:rsidR="001E3FFD" w:rsidRDefault="00383357">
            <w:pPr>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Recurso de Revisión 1768/INFOEM/IP/RR/2026</w:t>
            </w:r>
          </w:p>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b/>
            </w:r>
          </w:p>
        </w:tc>
        <w:tc>
          <w:tcPr>
            <w:tcW w:w="5665" w:type="dxa"/>
          </w:tcPr>
          <w:p w:rsidR="001E3FFD" w:rsidRDefault="00383357">
            <w:pPr>
              <w:spacing w:after="160"/>
              <w:ind w:right="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234.rar: </w:t>
            </w:r>
            <w:r>
              <w:rPr>
                <w:rFonts w:ascii="Palatino Linotype" w:eastAsia="Palatino Linotype" w:hAnsi="Palatino Linotype" w:cs="Palatino Linotype"/>
                <w:i/>
                <w:iCs/>
                <w:sz w:val="22"/>
                <w:szCs w:val="22"/>
              </w:rPr>
              <w:t xml:space="preserve">carpeta zip que contiene los documentos entregados en respuesta inicial. </w:t>
            </w:r>
          </w:p>
          <w:p w:rsidR="001E3FFD" w:rsidRDefault="00383357">
            <w:pPr>
              <w:spacing w:after="160"/>
              <w:ind w:right="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1768-2026-STCMSP.pdf: </w:t>
            </w:r>
            <w:r>
              <w:rPr>
                <w:rFonts w:ascii="Palatino Linotype" w:eastAsia="Palatino Linotype" w:hAnsi="Palatino Linotype" w:cs="Palatino Linotype"/>
                <w:i/>
                <w:iCs/>
                <w:sz w:val="22"/>
                <w:szCs w:val="22"/>
              </w:rPr>
              <w:t>oficio del Secretario Técnico del Consejo Municipal de Seguridad Pública, mediante el cual ratifica su respuesta inicial.</w:t>
            </w:r>
          </w:p>
          <w:p w:rsidR="001E3FFD" w:rsidRDefault="00383357">
            <w:pPr>
              <w:spacing w:after="160"/>
              <w:ind w:right="7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1768 Ratificación.pdf: </w:t>
            </w:r>
            <w:r>
              <w:rPr>
                <w:rFonts w:ascii="Palatino Linotype" w:eastAsia="Palatino Linotype" w:hAnsi="Palatino Linotype" w:cs="Palatino Linotype"/>
                <w:i/>
                <w:iCs/>
                <w:sz w:val="22"/>
                <w:szCs w:val="22"/>
              </w:rPr>
              <w:t>oficio de Titular de la Unidad de Transparencia, mediante el cual se ratifica la respuesta del Secretario Técnico del Consejo Municipal de Seguridad Pública.</w:t>
            </w:r>
          </w:p>
        </w:tc>
      </w:tr>
      <w:tr w:rsidR="001E3FFD">
        <w:tc>
          <w:tcPr>
            <w:tcW w:w="3114" w:type="dxa"/>
          </w:tcPr>
          <w:p w:rsidR="001E3FFD" w:rsidRDefault="00383357">
            <w:pPr>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Recurso de Revisión 1769/INFOEM/IP/RR/2026 </w:t>
            </w:r>
          </w:p>
          <w:p w:rsidR="001E3FFD" w:rsidRDefault="001E3FFD">
            <w:pPr>
              <w:jc w:val="both"/>
              <w:rPr>
                <w:rFonts w:ascii="Palatino Linotype" w:eastAsia="Palatino Linotype" w:hAnsi="Palatino Linotype" w:cs="Palatino Linotype"/>
                <w:b/>
                <w:bCs/>
                <w:i/>
                <w:iCs/>
                <w:sz w:val="22"/>
                <w:szCs w:val="22"/>
              </w:rPr>
            </w:pPr>
          </w:p>
          <w:p w:rsidR="001E3FFD" w:rsidRDefault="001E3FFD">
            <w:pPr>
              <w:jc w:val="both"/>
              <w:rPr>
                <w:rFonts w:ascii="Palatino Linotype" w:eastAsia="Palatino Linotype" w:hAnsi="Palatino Linotype" w:cs="Palatino Linotype"/>
                <w:i/>
                <w:iCs/>
                <w:sz w:val="22"/>
                <w:szCs w:val="22"/>
              </w:rPr>
            </w:pPr>
          </w:p>
        </w:tc>
        <w:tc>
          <w:tcPr>
            <w:tcW w:w="5665" w:type="dxa"/>
          </w:tcPr>
          <w:p w:rsidR="001E3FFD" w:rsidRDefault="00383357">
            <w:pPr>
              <w:ind w:right="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240.rar: </w:t>
            </w:r>
            <w:r>
              <w:rPr>
                <w:rFonts w:ascii="Palatino Linotype" w:eastAsia="Palatino Linotype" w:hAnsi="Palatino Linotype" w:cs="Palatino Linotype"/>
                <w:i/>
                <w:iCs/>
                <w:sz w:val="22"/>
                <w:szCs w:val="22"/>
              </w:rPr>
              <w:t xml:space="preserve">carpeta zip que contiene los documentos entregados en respuesta inicial. </w:t>
            </w:r>
          </w:p>
          <w:p w:rsidR="001E3FFD" w:rsidRDefault="00383357">
            <w:pPr>
              <w:ind w:right="75"/>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Oficio_025 - SAIMEX0240.pdf: </w:t>
            </w:r>
            <w:r>
              <w:rPr>
                <w:rFonts w:ascii="Palatino Linotype" w:eastAsia="Palatino Linotype" w:hAnsi="Palatino Linotype" w:cs="Palatino Linotype"/>
                <w:i/>
                <w:iCs/>
                <w:sz w:val="22"/>
                <w:szCs w:val="22"/>
              </w:rPr>
              <w:t xml:space="preserve">oficio del Secretario Técnico del Consejo Municipal de Seguridad Pública, mediante el cual informa que se anexa la información solicitada con el sustento del Acuerdo Número </w:t>
            </w:r>
            <w:r>
              <w:rPr>
                <w:rFonts w:ascii="Palatino Linotype" w:eastAsia="Palatino Linotype" w:hAnsi="Palatino Linotype" w:cs="Palatino Linotype"/>
                <w:b/>
                <w:bCs/>
                <w:i/>
                <w:iCs/>
                <w:sz w:val="22"/>
                <w:szCs w:val="22"/>
              </w:rPr>
              <w:t xml:space="preserve">CT/Se/38/02/2026, </w:t>
            </w:r>
            <w:r>
              <w:rPr>
                <w:rFonts w:ascii="Palatino Linotype" w:eastAsia="Palatino Linotype" w:hAnsi="Palatino Linotype" w:cs="Palatino Linotype"/>
                <w:i/>
                <w:iCs/>
                <w:sz w:val="22"/>
                <w:szCs w:val="22"/>
              </w:rPr>
              <w:t xml:space="preserve">del veintidós de enero de dos mil veintidós, en la Trigésima Octava Sesión Extraordinaria del Comité de Transparencia. </w:t>
            </w:r>
          </w:p>
          <w:p w:rsidR="001E3FFD" w:rsidRDefault="00383357">
            <w:pPr>
              <w:ind w:right="75"/>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Oficio_025 - SAIMEX0240_anexo_E.pdf: </w:t>
            </w:r>
            <w:r>
              <w:rPr>
                <w:rFonts w:ascii="Palatino Linotype" w:eastAsia="Palatino Linotype" w:hAnsi="Palatino Linotype" w:cs="Palatino Linotype"/>
                <w:i/>
                <w:iCs/>
                <w:sz w:val="22"/>
                <w:szCs w:val="22"/>
              </w:rPr>
              <w:t>oficios emitidos por la Secretaría Técnica del Consejo Municipal de Seguridad, de los cuales hace falta</w:t>
            </w:r>
            <w:r>
              <w:rPr>
                <w:rFonts w:ascii="Palatino Linotype" w:eastAsia="Palatino Linotype" w:hAnsi="Palatino Linotype" w:cs="Palatino Linotype"/>
                <w:b/>
                <w:bCs/>
                <w:i/>
                <w:iCs/>
                <w:sz w:val="22"/>
                <w:szCs w:val="22"/>
              </w:rPr>
              <w:t xml:space="preserve"> </w:t>
            </w:r>
            <w:r>
              <w:rPr>
                <w:rFonts w:ascii="Palatino Linotype" w:eastAsia="Palatino Linotype" w:hAnsi="Palatino Linotype" w:cs="Palatino Linotype"/>
                <w:i/>
                <w:iCs/>
                <w:sz w:val="22"/>
                <w:szCs w:val="22"/>
              </w:rPr>
              <w:t xml:space="preserve">el oficio trescientos treinta y nueve. </w:t>
            </w:r>
          </w:p>
          <w:p w:rsidR="001E3FFD" w:rsidRDefault="00383357">
            <w:pPr>
              <w:ind w:right="75"/>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Oficio_025 - SAIMEX0240_anexo_R.pdf: </w:t>
            </w:r>
            <w:r>
              <w:rPr>
                <w:rFonts w:ascii="Palatino Linotype" w:eastAsia="Palatino Linotype" w:hAnsi="Palatino Linotype" w:cs="Palatino Linotype"/>
                <w:i/>
                <w:iCs/>
                <w:sz w:val="22"/>
                <w:szCs w:val="22"/>
              </w:rPr>
              <w:t>oficios recibidos en la Secretaría Técnica del Consejo Municipal de Seguridad en el mes de julio de dos mil veinticinco</w:t>
            </w:r>
          </w:p>
          <w:p w:rsidR="001E3FFD" w:rsidRDefault="00383357">
            <w:pPr>
              <w:ind w:right="75"/>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Ratificación1769.pdf: </w:t>
            </w:r>
            <w:r>
              <w:rPr>
                <w:rFonts w:ascii="Palatino Linotype" w:eastAsia="Palatino Linotype" w:hAnsi="Palatino Linotype" w:cs="Palatino Linotype"/>
                <w:i/>
                <w:iCs/>
                <w:sz w:val="22"/>
                <w:szCs w:val="22"/>
              </w:rPr>
              <w:t xml:space="preserve">oficio de Titular de la Unidad de Transparencia, mediante el cual se ratifica la respuesta del </w:t>
            </w:r>
            <w:r>
              <w:rPr>
                <w:rFonts w:ascii="Palatino Linotype" w:eastAsia="Palatino Linotype" w:hAnsi="Palatino Linotype" w:cs="Palatino Linotype"/>
                <w:i/>
                <w:iCs/>
                <w:sz w:val="22"/>
                <w:szCs w:val="22"/>
              </w:rPr>
              <w:lastRenderedPageBreak/>
              <w:t>Secretario Técnico del Consejo Municipal de Seguridad Pública.</w:t>
            </w:r>
          </w:p>
          <w:p w:rsidR="001E3FFD" w:rsidRDefault="00383357">
            <w:pPr>
              <w:ind w:right="75"/>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1769-2026-STCMSP.pdf: </w:t>
            </w:r>
            <w:r>
              <w:rPr>
                <w:rFonts w:ascii="Palatino Linotype" w:eastAsia="Palatino Linotype" w:hAnsi="Palatino Linotype" w:cs="Palatino Linotype"/>
                <w:i/>
                <w:iCs/>
                <w:sz w:val="22"/>
                <w:szCs w:val="22"/>
              </w:rPr>
              <w:t>oficio del Secretario Técnico del Consejo Municipal de Seguridad Pública, mediante el cual ratifica su respuesta inicial.</w:t>
            </w:r>
          </w:p>
        </w:tc>
      </w:tr>
      <w:tr w:rsidR="001E3FFD">
        <w:tc>
          <w:tcPr>
            <w:tcW w:w="3114" w:type="dxa"/>
          </w:tcPr>
          <w:p w:rsidR="001E3FFD" w:rsidRDefault="00383357">
            <w:pPr>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lastRenderedPageBreak/>
              <w:t xml:space="preserve">Recurso de Revisión 1770/INFOEM/IP/RR/2026: </w:t>
            </w:r>
          </w:p>
          <w:p w:rsidR="001E3FFD" w:rsidRDefault="001E3FFD">
            <w:pPr>
              <w:jc w:val="both"/>
              <w:rPr>
                <w:rFonts w:ascii="Palatino Linotype" w:eastAsia="Palatino Linotype" w:hAnsi="Palatino Linotype" w:cs="Palatino Linotype"/>
                <w:b/>
                <w:bCs/>
                <w:i/>
                <w:iCs/>
                <w:sz w:val="22"/>
                <w:szCs w:val="22"/>
              </w:rPr>
            </w:pPr>
          </w:p>
          <w:p w:rsidR="001E3FFD" w:rsidRDefault="001E3FFD">
            <w:pPr>
              <w:jc w:val="both"/>
              <w:rPr>
                <w:rFonts w:ascii="Palatino Linotype" w:eastAsia="Palatino Linotype" w:hAnsi="Palatino Linotype" w:cs="Palatino Linotype"/>
                <w:i/>
                <w:iCs/>
                <w:sz w:val="22"/>
                <w:szCs w:val="22"/>
              </w:rPr>
            </w:pPr>
          </w:p>
        </w:tc>
        <w:tc>
          <w:tcPr>
            <w:tcW w:w="5665" w:type="dxa"/>
          </w:tcPr>
          <w:p w:rsidR="001E3FFD" w:rsidRDefault="00383357">
            <w:pPr>
              <w:ind w:right="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241.rar: </w:t>
            </w:r>
            <w:r>
              <w:rPr>
                <w:rFonts w:ascii="Palatino Linotype" w:eastAsia="Palatino Linotype" w:hAnsi="Palatino Linotype" w:cs="Palatino Linotype"/>
                <w:i/>
                <w:iCs/>
                <w:sz w:val="22"/>
                <w:szCs w:val="22"/>
              </w:rPr>
              <w:t xml:space="preserve">carpeta zip que contiene los documentos entregados en respuesta inicial. </w:t>
            </w:r>
          </w:p>
          <w:p w:rsidR="001E3FFD" w:rsidRDefault="00383357">
            <w:pPr>
              <w:ind w:right="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Ratificación1770.pdf: </w:t>
            </w:r>
            <w:r>
              <w:rPr>
                <w:rFonts w:ascii="Palatino Linotype" w:eastAsia="Palatino Linotype" w:hAnsi="Palatino Linotype" w:cs="Palatino Linotype"/>
                <w:i/>
                <w:iCs/>
                <w:sz w:val="22"/>
                <w:szCs w:val="22"/>
              </w:rPr>
              <w:t>oficio de Titular de la Unidad de Transparencia, mediante el cual se ratifica la respuesta del Secretario Técnico del Consejo Municipal de Seguridad Pública.</w:t>
            </w:r>
          </w:p>
          <w:p w:rsidR="001E3FFD" w:rsidRDefault="00383357">
            <w:pPr>
              <w:ind w:right="7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1770-2026-STCMSP.pdf: </w:t>
            </w:r>
            <w:r>
              <w:rPr>
                <w:rFonts w:ascii="Palatino Linotype" w:eastAsia="Palatino Linotype" w:hAnsi="Palatino Linotype" w:cs="Palatino Linotype"/>
                <w:i/>
                <w:iCs/>
                <w:sz w:val="22"/>
                <w:szCs w:val="22"/>
              </w:rPr>
              <w:t>oficio del Secretario Técnico del Consejo Municipal de Seguridad Pública, mediante el cual ratifica su respuesta inicial.</w:t>
            </w:r>
          </w:p>
        </w:tc>
      </w:tr>
    </w:tbl>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bookmarkStart w:id="3" w:name="_heading=h.3znysh7" w:colFirst="0" w:colLast="0"/>
      <w:bookmarkEnd w:id="3"/>
      <w:r>
        <w:rPr>
          <w:rFonts w:ascii="Palatino Linotype" w:eastAsia="Palatino Linotype" w:hAnsi="Palatino Linotype" w:cs="Palatino Linotype"/>
          <w:sz w:val="22"/>
          <w:szCs w:val="22"/>
        </w:rPr>
        <w:t xml:space="preserve">Por su parte el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 xml:space="preserve">fue omiso en realizar  manifestaciones que a su derecho conviniera y asistiera. </w:t>
      </w:r>
      <w:r>
        <w:rPr>
          <w:rFonts w:ascii="Palatino Linotype" w:eastAsia="Palatino Linotype" w:hAnsi="Palatino Linotype" w:cs="Palatino Linotype"/>
          <w:b/>
          <w:bCs/>
          <w:sz w:val="22"/>
          <w:szCs w:val="22"/>
        </w:rPr>
        <w:t xml:space="preserve"> </w:t>
      </w: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sz w:val="22"/>
          <w:szCs w:val="22"/>
        </w:rPr>
        <w:t xml:space="preserve">Finalmente, la Comisionada Ponente mediante acuerdo de fecha </w:t>
      </w:r>
      <w:r>
        <w:rPr>
          <w:rFonts w:ascii="Palatino Linotype" w:eastAsia="Palatino Linotype" w:hAnsi="Palatino Linotype" w:cs="Palatino Linotype"/>
          <w:b/>
          <w:bCs/>
          <w:sz w:val="22"/>
          <w:szCs w:val="22"/>
        </w:rPr>
        <w:t>ocho de abril de dos mil veintiséis</w:t>
      </w:r>
      <w:r>
        <w:rPr>
          <w:rFonts w:ascii="Palatino Linotype" w:eastAsia="Palatino Linotype" w:hAnsi="Palatino Linotype" w:cs="Palatino Linotype"/>
          <w:sz w:val="22"/>
          <w:szCs w:val="22"/>
        </w:rPr>
        <w:t xml:space="preserve">, decretó el cierre de instrucción de los expedientes, por lo que no habiendo más que hacer constar, y _________________________________________________. </w:t>
      </w:r>
    </w:p>
    <w:p w:rsidR="001E3FFD" w:rsidRDefault="001E3FFD">
      <w:pPr>
        <w:spacing w:line="360" w:lineRule="auto"/>
        <w:jc w:val="both"/>
        <w:rPr>
          <w:rFonts w:ascii="Palatino Linotype" w:eastAsia="Palatino Linotype" w:hAnsi="Palatino Linotype" w:cs="Palatino Linotype"/>
          <w:sz w:val="22"/>
          <w:szCs w:val="22"/>
        </w:rPr>
      </w:pPr>
    </w:p>
    <w:p w:rsidR="001E3FFD" w:rsidRDefault="001E3FFD">
      <w:pPr>
        <w:spacing w:line="360" w:lineRule="auto"/>
        <w:jc w:val="both"/>
        <w:rPr>
          <w:rFonts w:ascii="Palatino Linotype" w:eastAsia="Palatino Linotype" w:hAnsi="Palatino Linotype" w:cs="Palatino Linotype"/>
          <w:sz w:val="22"/>
          <w:szCs w:val="22"/>
        </w:rPr>
      </w:pPr>
    </w:p>
    <w:p w:rsidR="001E3FFD" w:rsidRDefault="001E3FFD">
      <w:pPr>
        <w:spacing w:line="360" w:lineRule="auto"/>
        <w:jc w:val="both"/>
        <w:rPr>
          <w:rFonts w:ascii="Palatino Linotype" w:eastAsia="Palatino Linotype" w:hAnsi="Palatino Linotype" w:cs="Palatino Linotype"/>
          <w:sz w:val="22"/>
          <w:szCs w:val="22"/>
        </w:rPr>
      </w:pPr>
    </w:p>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spacing w:line="360" w:lineRule="auto"/>
        <w:jc w:val="center"/>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 O N S I D E R A N D O</w:t>
      </w:r>
    </w:p>
    <w:p w:rsidR="001E3FFD" w:rsidRDefault="001E3FFD">
      <w:pPr>
        <w:spacing w:line="360" w:lineRule="auto"/>
        <w:jc w:val="center"/>
        <w:rPr>
          <w:rFonts w:ascii="Palatino Linotype" w:eastAsia="Palatino Linotype" w:hAnsi="Palatino Linotype" w:cs="Palatino Linotype"/>
          <w:b/>
          <w:bCs/>
          <w:sz w:val="22"/>
          <w:szCs w:val="22"/>
        </w:rPr>
      </w:pPr>
    </w:p>
    <w:p w:rsidR="001E3FFD" w:rsidRDefault="00383357">
      <w:pPr>
        <w:keepNext/>
        <w:keepLines/>
        <w:spacing w:line="360" w:lineRule="auto"/>
        <w:rPr>
          <w:rFonts w:ascii="Palatino Linotype" w:eastAsia="Palatino Linotype" w:hAnsi="Palatino Linotype" w:cs="Palatino Linotype"/>
          <w:b/>
          <w:bCs/>
          <w:sz w:val="22"/>
          <w:szCs w:val="22"/>
        </w:rPr>
      </w:pPr>
      <w:bookmarkStart w:id="4" w:name="_heading=h.2et92p0" w:colFirst="0" w:colLast="0"/>
      <w:bookmarkEnd w:id="4"/>
      <w:r>
        <w:rPr>
          <w:rFonts w:ascii="Palatino Linotype" w:eastAsia="Palatino Linotype" w:hAnsi="Palatino Linotype" w:cs="Palatino Linotype"/>
          <w:b/>
          <w:bCs/>
          <w:sz w:val="22"/>
          <w:szCs w:val="22"/>
        </w:rPr>
        <w:t>PRIMERO. De la competencia</w:t>
      </w: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bookmarkStart w:id="5" w:name="_heading=h.tyjcwt" w:colFirst="0" w:colLast="0"/>
      <w:bookmarkEnd w:id="5"/>
      <w:r>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es competente para conocer y resolver </w:t>
      </w:r>
      <w:r>
        <w:rPr>
          <w:rFonts w:ascii="Palatino Linotype" w:eastAsia="Palatino Linotype" w:hAnsi="Palatino Linotype" w:cs="Palatino Linotype"/>
          <w:sz w:val="22"/>
          <w:szCs w:val="22"/>
        </w:rPr>
        <w:lastRenderedPageBreak/>
        <w:t>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tabs>
          <w:tab w:val="left" w:pos="426"/>
        </w:tabs>
        <w:spacing w:line="360" w:lineRule="auto"/>
        <w:jc w:val="both"/>
        <w:rPr>
          <w:rFonts w:ascii="Palatino Linotype" w:eastAsia="Palatino Linotype" w:hAnsi="Palatino Linotype" w:cs="Palatino Linotype"/>
          <w:b/>
          <w:bCs/>
          <w:color w:val="000000"/>
          <w:sz w:val="22"/>
          <w:szCs w:val="22"/>
        </w:rPr>
      </w:pPr>
      <w:bookmarkStart w:id="6" w:name="_heading=h.3dy6vkm" w:colFirst="0" w:colLast="0"/>
      <w:bookmarkEnd w:id="6"/>
      <w:r>
        <w:rPr>
          <w:rFonts w:ascii="Palatino Linotype" w:eastAsia="Palatino Linotype" w:hAnsi="Palatino Linotype" w:cs="Palatino Linotype"/>
          <w:b/>
          <w:bCs/>
          <w:color w:val="000000"/>
          <w:sz w:val="22"/>
          <w:szCs w:val="22"/>
        </w:rPr>
        <w:t>SEGUNDO. De la oportunidad y procedencia.</w:t>
      </w: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bookmarkStart w:id="7" w:name="_heading=h.1t3h5sf" w:colFirst="0" w:colLast="0"/>
      <w:bookmarkEnd w:id="7"/>
      <w:r>
        <w:rPr>
          <w:rFonts w:ascii="Palatino Linotype" w:eastAsia="Palatino Linotype" w:hAnsi="Palatino Linotype" w:cs="Palatino Linotype"/>
          <w:sz w:val="22"/>
          <w:szCs w:val="22"/>
        </w:rPr>
        <w:t xml:space="preserve">Los medios de impugnación fueron presentados a través del </w:t>
      </w:r>
      <w:r>
        <w:rPr>
          <w:rFonts w:ascii="Palatino Linotype" w:eastAsia="Palatino Linotype" w:hAnsi="Palatino Linotype" w:cs="Palatino Linotype"/>
          <w:b/>
          <w:bCs/>
          <w:sz w:val="22"/>
          <w:szCs w:val="22"/>
        </w:rPr>
        <w:t>SAIMEX,</w:t>
      </w:r>
      <w:r>
        <w:rPr>
          <w:rFonts w:ascii="Palatino Linotype" w:eastAsia="Palatino Linotype" w:hAnsi="Palatino Linotype" w:cs="Palatino Linotype"/>
          <w:sz w:val="22"/>
          <w:szCs w:val="22"/>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entregó sus respuestas el </w:t>
      </w:r>
      <w:r>
        <w:rPr>
          <w:rFonts w:ascii="Palatino Linotype" w:eastAsia="Palatino Linotype" w:hAnsi="Palatino Linotype" w:cs="Palatino Linotype"/>
          <w:b/>
          <w:bCs/>
          <w:sz w:val="22"/>
          <w:szCs w:val="22"/>
        </w:rPr>
        <w:t>tres de febrero de dos mil veintiséis</w:t>
      </w:r>
      <w:r>
        <w:rPr>
          <w:rFonts w:ascii="Palatino Linotype" w:eastAsia="Palatino Linotype" w:hAnsi="Palatino Linotype" w:cs="Palatino Linotype"/>
          <w:sz w:val="22"/>
          <w:szCs w:val="22"/>
        </w:rPr>
        <w:t xml:space="preserve">, de tal forma que el plazo para interponer el recurso de revisión transcurrió del </w:t>
      </w:r>
      <w:r>
        <w:rPr>
          <w:rFonts w:ascii="Palatino Linotype" w:eastAsia="Palatino Linotype" w:hAnsi="Palatino Linotype" w:cs="Palatino Linotype"/>
          <w:b/>
          <w:bCs/>
          <w:sz w:val="22"/>
          <w:szCs w:val="22"/>
        </w:rPr>
        <w:t>cuatro al veinticuatro de febrero de dos mil veintiséis</w:t>
      </w:r>
      <w:r>
        <w:rPr>
          <w:rFonts w:ascii="Palatino Linotype" w:eastAsia="Palatino Linotype" w:hAnsi="Palatino Linotype" w:cs="Palatino Linotype"/>
          <w:sz w:val="22"/>
          <w:szCs w:val="22"/>
        </w:rPr>
        <w:t xml:space="preserve"> consecuencia, el ahora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presentó sus inconformidades el </w:t>
      </w:r>
      <w:r>
        <w:rPr>
          <w:rFonts w:ascii="Palatino Linotype" w:eastAsia="Palatino Linotype" w:hAnsi="Palatino Linotype" w:cs="Palatino Linotype"/>
          <w:b/>
          <w:bCs/>
          <w:sz w:val="22"/>
          <w:szCs w:val="22"/>
        </w:rPr>
        <w:t xml:space="preserve">once de febrero de dos mil veintiséis, </w:t>
      </w:r>
      <w:r>
        <w:rPr>
          <w:rFonts w:ascii="Palatino Linotype" w:eastAsia="Palatino Linotype" w:hAnsi="Palatino Linotype" w:cs="Palatino Linotype"/>
          <w:sz w:val="22"/>
          <w:szCs w:val="22"/>
        </w:rPr>
        <w:t xml:space="preserve"> es decir dentro del lapso legalmente establecido para tal efecto.</w:t>
      </w:r>
    </w:p>
    <w:p w:rsidR="001E3FFD" w:rsidRDefault="001E3FFD">
      <w:pPr>
        <w:jc w:val="both"/>
        <w:rPr>
          <w:rFonts w:ascii="Palatino Linotype" w:eastAsia="Palatino Linotype" w:hAnsi="Palatino Linotype" w:cs="Palatino Linotype"/>
          <w:i/>
          <w:iCs/>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E3FFD" w:rsidRDefault="001E3FFD">
      <w:pPr>
        <w:jc w:val="both"/>
        <w:rPr>
          <w:rFonts w:ascii="Palatino Linotype" w:eastAsia="Palatino Linotype" w:hAnsi="Palatino Linotype" w:cs="Palatino Linotype"/>
          <w:sz w:val="22"/>
          <w:szCs w:val="22"/>
        </w:rPr>
      </w:pP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w:t>
      </w:r>
      <w:r>
        <w:rPr>
          <w:rFonts w:ascii="Palatino Linotype" w:eastAsia="Palatino Linotype" w:hAnsi="Palatino Linotype" w:cs="Palatino Linotype"/>
          <w:b/>
          <w:bCs/>
          <w:i/>
          <w:iCs/>
          <w:sz w:val="22"/>
          <w:szCs w:val="22"/>
        </w:rPr>
        <w:t>Las solicitudes anónimas</w:t>
      </w:r>
      <w:r>
        <w:rPr>
          <w:rFonts w:ascii="Palatino Linotype" w:eastAsia="Palatino Linotype" w:hAnsi="Palatino Linotype" w:cs="Palatino Linotype"/>
          <w:i/>
          <w:iCs/>
          <w:sz w:val="22"/>
          <w:szCs w:val="22"/>
        </w:rPr>
        <w:t xml:space="preserve">, con nombre incompleto o seudónimo </w:t>
      </w:r>
      <w:r>
        <w:rPr>
          <w:rFonts w:ascii="Palatino Linotype" w:eastAsia="Palatino Linotype" w:hAnsi="Palatino Linotype" w:cs="Palatino Linotype"/>
          <w:b/>
          <w:bCs/>
          <w:i/>
          <w:iCs/>
          <w:sz w:val="22"/>
          <w:szCs w:val="22"/>
        </w:rPr>
        <w:t>serán procedentes para su trámite por parte del sujeto obligado ante quEien se presente</w:t>
      </w:r>
      <w:r>
        <w:rPr>
          <w:rFonts w:ascii="Palatino Linotype" w:eastAsia="Palatino Linotype" w:hAnsi="Palatino Linotype" w:cs="Palatino Linotype"/>
          <w:i/>
          <w:iCs/>
          <w:sz w:val="22"/>
          <w:szCs w:val="22"/>
        </w:rPr>
        <w:t>. No podrá requerirse información adicional con motivo del nombre proporcionado por el solicitante."</w:t>
      </w:r>
    </w:p>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Robusteciendo lo anterior se encuentra lo dispuesto en el artículo 6, Apartado A, fracciones III de la Constitución Política de los Estados Unidos Mexicanos que establece:</w:t>
      </w:r>
    </w:p>
    <w:p w:rsidR="001E3FFD" w:rsidRDefault="001E3FFD">
      <w:pPr>
        <w:spacing w:line="360" w:lineRule="auto"/>
        <w:ind w:right="900" w:firstLine="1134"/>
        <w:jc w:val="both"/>
        <w:rPr>
          <w:rFonts w:ascii="Palatino Linotype" w:eastAsia="Palatino Linotype" w:hAnsi="Palatino Linotype" w:cs="Palatino Linotype"/>
          <w:i/>
          <w:iCs/>
          <w:sz w:val="22"/>
          <w:szCs w:val="22"/>
        </w:rPr>
      </w:pP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6.-</w:t>
      </w:r>
      <w:r>
        <w:rPr>
          <w:rFonts w:ascii="Palatino Linotype" w:eastAsia="Palatino Linotype" w:hAnsi="Palatino Linotype" w:cs="Palatino Linotype"/>
          <w:i/>
          <w:iCs/>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efectos de lo dispuesto en el presente artículo se observará lo siguiente:</w:t>
      </w:r>
    </w:p>
    <w:p w:rsidR="001E3FFD" w:rsidRDefault="001E3FFD">
      <w:pPr>
        <w:ind w:left="567" w:right="900" w:firstLine="1134"/>
        <w:jc w:val="both"/>
        <w:rPr>
          <w:rFonts w:ascii="Palatino Linotype" w:eastAsia="Palatino Linotype" w:hAnsi="Palatino Linotype" w:cs="Palatino Linotype"/>
          <w:i/>
          <w:iCs/>
          <w:sz w:val="22"/>
          <w:szCs w:val="22"/>
        </w:rPr>
      </w:pP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 Para el ejercicio del derecho de acceso a la información, la Federación, los Estados y el Distrito Federal, en el ámbito de sus respectivas competencias, se regirán por los siguientes principios y bases:</w:t>
      </w:r>
    </w:p>
    <w:p w:rsidR="001E3FFD" w:rsidRDefault="001E3FFD">
      <w:pPr>
        <w:ind w:left="567" w:right="900" w:firstLine="1134"/>
        <w:jc w:val="both"/>
        <w:rPr>
          <w:rFonts w:ascii="Palatino Linotype" w:eastAsia="Palatino Linotype" w:hAnsi="Palatino Linotype" w:cs="Palatino Linotype"/>
          <w:i/>
          <w:iCs/>
          <w:sz w:val="22"/>
          <w:szCs w:val="22"/>
        </w:rPr>
      </w:pP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III. Toda persona, sin necesidad de acreditar interés alguno o justificar su utilización, tendrá acceso gratuito a la información pública, a sus datos personales o a la rectificación de éstos.” </w:t>
      </w:r>
      <w:r>
        <w:rPr>
          <w:rFonts w:ascii="Palatino Linotype" w:eastAsia="Palatino Linotype" w:hAnsi="Palatino Linotype" w:cs="Palatino Linotype"/>
          <w:sz w:val="22"/>
          <w:szCs w:val="22"/>
        </w:rPr>
        <w:t>(Sic)</w:t>
      </w:r>
    </w:p>
    <w:p w:rsidR="001E3FFD" w:rsidRDefault="001E3FFD">
      <w:pPr>
        <w:spacing w:line="360" w:lineRule="auto"/>
        <w:ind w:left="567" w:right="474"/>
        <w:jc w:val="both"/>
        <w:rPr>
          <w:rFonts w:ascii="Palatino Linotype" w:eastAsia="Palatino Linotype" w:hAnsi="Palatino Linotype" w:cs="Palatino Linotype"/>
          <w:i/>
          <w:iCs/>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como el artículo 5 fracción III, párrafo vigésimo noveno, trigésimo y trigésimo primero, de la Constitución Política del Estado Libre y Soberano de México, que determina lo siguiente:</w:t>
      </w:r>
    </w:p>
    <w:p w:rsidR="001E3FFD" w:rsidRDefault="001E3FFD">
      <w:pPr>
        <w:spacing w:line="360" w:lineRule="auto"/>
        <w:ind w:right="474"/>
        <w:jc w:val="both"/>
        <w:rPr>
          <w:rFonts w:ascii="Palatino Linotype" w:eastAsia="Palatino Linotype" w:hAnsi="Palatino Linotype" w:cs="Palatino Linotype"/>
          <w:i/>
          <w:iCs/>
          <w:sz w:val="22"/>
          <w:szCs w:val="22"/>
        </w:rPr>
      </w:pP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5.-</w:t>
      </w:r>
      <w:r>
        <w:rPr>
          <w:rFonts w:ascii="Palatino Linotype" w:eastAsia="Palatino Linotype" w:hAnsi="Palatino Linotype" w:cs="Palatino Linotype"/>
          <w:i/>
          <w:iCs/>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w:t>
      </w:r>
      <w:r>
        <w:rPr>
          <w:rFonts w:ascii="Palatino Linotype" w:eastAsia="Palatino Linotype" w:hAnsi="Palatino Linotype" w:cs="Palatino Linotype"/>
          <w:i/>
          <w:iCs/>
          <w:sz w:val="22"/>
          <w:szCs w:val="22"/>
        </w:rPr>
        <w:lastRenderedPageBreak/>
        <w:t>restringirse ni suspenderse salvo en los casos y bajo las condiciones que la Constitución Política de los Estados Unidos Mexicanos establece”.(Sic)</w:t>
      </w: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Toda persona en el Estado de México, tiene derecho al libre acceso a la información plural y oportuna, así como a buscar recibir y difundir información e ideas de toda índole por cualquier medio de expresión.</w:t>
      </w: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El derecho a la información será garantizado por el Estado. La ley establecerá las previsiones que permitan asegurar la protección, el respeto y la difusión de este derecho.</w:t>
      </w: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III. Toda persona, sin necesidad de acreditar interés alguno o justificar su utilización, tendrá acceso gratuito a la información pública, a sus datos personales o a la rectificación de éstos;</w:t>
      </w: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Palatino Linotype" w:hAnsi="Palatino Linotype" w:cs="Palatino Linotype"/>
          <w:sz w:val="22"/>
          <w:szCs w:val="22"/>
        </w:rPr>
        <w:t>(Sic)</w:t>
      </w:r>
    </w:p>
    <w:p w:rsidR="001E3FFD" w:rsidRDefault="001E3FFD">
      <w:pPr>
        <w:spacing w:line="360" w:lineRule="auto"/>
        <w:ind w:left="426" w:right="476"/>
        <w:jc w:val="both"/>
        <w:rPr>
          <w:rFonts w:ascii="Palatino Linotype" w:eastAsia="Palatino Linotype" w:hAnsi="Palatino Linotype" w:cs="Palatino Linotype"/>
          <w:i/>
          <w:iCs/>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otra parte, del contenido del artículo 1 de la Constitución Política de los Estados Unidos mexicanos, se destaca lo siguiente:</w:t>
      </w: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w:t>
      </w:r>
      <w:r>
        <w:rPr>
          <w:rFonts w:ascii="Palatino Linotype" w:eastAsia="Palatino Linotype" w:hAnsi="Palatino Linotype" w:cs="Palatino Linotype"/>
          <w:i/>
          <w:iCs/>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1E3FFD" w:rsidRDefault="001E3FFD">
      <w:pPr>
        <w:spacing w:line="360" w:lineRule="auto"/>
        <w:ind w:left="426" w:right="474"/>
        <w:jc w:val="both"/>
        <w:rPr>
          <w:rFonts w:ascii="Palatino Linotype" w:eastAsia="Palatino Linotype" w:hAnsi="Palatino Linotype" w:cs="Palatino Linotype"/>
          <w:i/>
          <w:iCs/>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iCs/>
          <w:sz w:val="22"/>
          <w:szCs w:val="22"/>
        </w:rPr>
        <w:t>derecho fundamental exime a quien lo ejerce</w:t>
      </w:r>
      <w:r>
        <w:rPr>
          <w:rFonts w:ascii="Palatino Linotype" w:eastAsia="Palatino Linotype" w:hAnsi="Palatino Linotype" w:cs="Palatino Linotype"/>
          <w:sz w:val="22"/>
          <w:szCs w:val="22"/>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consecuencia, dado lo expuesto y fundado con anterioridad, se estima que el requisito relativo al nombre del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w:t>
      </w:r>
      <w:r>
        <w:rPr>
          <w:rFonts w:ascii="Palatino Linotype" w:eastAsia="Palatino Linotype" w:hAnsi="Palatino Linotype" w:cs="Palatino Linotype"/>
          <w:sz w:val="22"/>
          <w:szCs w:val="22"/>
        </w:rPr>
        <w:lastRenderedPageBreak/>
        <w:t>desprende que la parte recurrente, es la misma que realizó la solicitud de acceso a la información pública que ahora se impugna.</w:t>
      </w: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E3FFD" w:rsidRDefault="001E3FFD">
      <w:pPr>
        <w:spacing w:line="360" w:lineRule="auto"/>
        <w:rPr>
          <w:rFonts w:ascii="Palatino Linotype" w:eastAsia="Palatino Linotype" w:hAnsi="Palatino Linotype" w:cs="Palatino Linotype"/>
          <w:sz w:val="22"/>
          <w:szCs w:val="22"/>
        </w:rPr>
      </w:pPr>
    </w:p>
    <w:p w:rsidR="001E3FFD" w:rsidRDefault="00383357">
      <w:pPr>
        <w:keepNext/>
        <w:keepLines/>
        <w:spacing w:line="360" w:lineRule="auto"/>
        <w:rPr>
          <w:rFonts w:ascii="Palatino Linotype" w:eastAsia="Palatino Linotype" w:hAnsi="Palatino Linotype" w:cs="Palatino Linotype"/>
          <w:b/>
          <w:bCs/>
          <w:color w:val="000000"/>
          <w:sz w:val="22"/>
          <w:szCs w:val="22"/>
        </w:rPr>
      </w:pPr>
      <w:bookmarkStart w:id="8" w:name="_heading=h.4d34og8" w:colFirst="0" w:colLast="0"/>
      <w:bookmarkEnd w:id="8"/>
      <w:r>
        <w:rPr>
          <w:rFonts w:ascii="Palatino Linotype" w:eastAsia="Palatino Linotype" w:hAnsi="Palatino Linotype" w:cs="Palatino Linotype"/>
          <w:b/>
          <w:bCs/>
          <w:color w:val="000000"/>
          <w:sz w:val="22"/>
          <w:szCs w:val="22"/>
        </w:rPr>
        <w:t xml:space="preserve">TERCERO. Del planteamiento de la </w:t>
      </w:r>
      <w:r>
        <w:rPr>
          <w:rFonts w:ascii="Palatino Linotype" w:eastAsia="Palatino Linotype" w:hAnsi="Palatino Linotype" w:cs="Palatino Linotype"/>
          <w:b/>
          <w:bCs/>
          <w:i/>
          <w:iCs/>
          <w:color w:val="000000"/>
          <w:sz w:val="22"/>
          <w:szCs w:val="22"/>
        </w:rPr>
        <w:t>Litis</w:t>
      </w:r>
      <w:r>
        <w:rPr>
          <w:rFonts w:ascii="Palatino Linotype" w:eastAsia="Palatino Linotype" w:hAnsi="Palatino Linotype" w:cs="Palatino Linotype"/>
          <w:b/>
          <w:bCs/>
          <w:color w:val="000000"/>
          <w:sz w:val="22"/>
          <w:szCs w:val="22"/>
        </w:rPr>
        <w:t>.</w:t>
      </w:r>
    </w:p>
    <w:p w:rsidR="001E3FFD" w:rsidRDefault="00383357">
      <w:pPr>
        <w:numPr>
          <w:ilvl w:val="0"/>
          <w:numId w:val="3"/>
        </w:numPr>
        <w:spacing w:line="360" w:lineRule="auto"/>
        <w:ind w:left="0" w:firstLine="0"/>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De las constancias en el expediente al rubro indicado, se desprende que el particular solicitó la información que a continuación se desagrega:</w:t>
      </w:r>
    </w:p>
    <w:tbl>
      <w:tblPr>
        <w:tblStyle w:val="a3"/>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240"/>
      </w:tblGrid>
      <w:tr w:rsidR="001E3FFD">
        <w:tc>
          <w:tcPr>
            <w:tcW w:w="3539" w:type="dxa"/>
          </w:tcPr>
          <w:p w:rsidR="001E3FFD" w:rsidRDefault="00383357">
            <w:pPr>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Solicitud de Información</w:t>
            </w:r>
          </w:p>
        </w:tc>
        <w:tc>
          <w:tcPr>
            <w:tcW w:w="5240" w:type="dxa"/>
          </w:tcPr>
          <w:p w:rsidR="001E3FFD" w:rsidRDefault="00383357">
            <w:pPr>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información solicitada </w:t>
            </w:r>
          </w:p>
        </w:tc>
      </w:tr>
      <w:tr w:rsidR="001E3FFD">
        <w:tc>
          <w:tcPr>
            <w:tcW w:w="3539" w:type="dxa"/>
          </w:tcPr>
          <w:p w:rsidR="001E3FFD" w:rsidRDefault="00383357">
            <w:pPr>
              <w:ind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00234/TOLUCA/IP/2026</w:t>
            </w:r>
          </w:p>
        </w:tc>
        <w:tc>
          <w:tcPr>
            <w:tcW w:w="5240"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oficios que se recibieron y lo que se emitieron en el mes de enero 2025 en la Secretaría Técnica del Consejo Municipal de Seguridad Pública</w:t>
            </w:r>
          </w:p>
        </w:tc>
      </w:tr>
      <w:tr w:rsidR="001E3FFD">
        <w:tc>
          <w:tcPr>
            <w:tcW w:w="3539"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00240/TOLUCA/IP/2026 </w:t>
            </w:r>
          </w:p>
        </w:tc>
        <w:tc>
          <w:tcPr>
            <w:tcW w:w="5240"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Oficios que se recibieron y lo que se emitieron en el mes de julio 2025 en la Secretaría Técnica del Consejo Municipal de Seguridad Pública.</w:t>
            </w:r>
          </w:p>
          <w:p w:rsidR="001E3FFD" w:rsidRDefault="001E3FFD">
            <w:pPr>
              <w:jc w:val="both"/>
              <w:rPr>
                <w:rFonts w:ascii="Palatino Linotype" w:eastAsia="Palatino Linotype" w:hAnsi="Palatino Linotype" w:cs="Palatino Linotype"/>
                <w:i/>
                <w:iCs/>
                <w:sz w:val="22"/>
                <w:szCs w:val="22"/>
              </w:rPr>
            </w:pPr>
          </w:p>
        </w:tc>
      </w:tr>
      <w:tr w:rsidR="001E3FFD">
        <w:tc>
          <w:tcPr>
            <w:tcW w:w="3539" w:type="dxa"/>
          </w:tcPr>
          <w:p w:rsidR="001E3FFD" w:rsidRDefault="00383357">
            <w:pPr>
              <w:ind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00241/TOLUCA/IP/2026</w:t>
            </w:r>
          </w:p>
        </w:tc>
        <w:tc>
          <w:tcPr>
            <w:tcW w:w="5240" w:type="dxa"/>
          </w:tcPr>
          <w:p w:rsidR="001E3FFD" w:rsidRDefault="00383357">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Oficios que se recibieron y lo que se emitieron en el mes de agosto 2025 en la Secretaría Técnica del Consejo Municipal de Seguridad Pública.</w:t>
            </w:r>
          </w:p>
        </w:tc>
      </w:tr>
    </w:tbl>
    <w:p w:rsidR="001E3FFD" w:rsidRDefault="001E3FFD">
      <w:pPr>
        <w:pBdr>
          <w:top w:val="nil"/>
          <w:left w:val="nil"/>
          <w:bottom w:val="nil"/>
          <w:right w:val="nil"/>
          <w:between w:val="nil"/>
        </w:pBdr>
        <w:ind w:left="720"/>
        <w:jc w:val="both"/>
        <w:rPr>
          <w:rFonts w:ascii="Palatino Linotype" w:eastAsia="Palatino Linotype" w:hAnsi="Palatino Linotype" w:cs="Palatino Linotype"/>
          <w:b/>
          <w:bCs/>
          <w:i/>
          <w:iCs/>
          <w:color w:val="000000"/>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respuesta,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entregó la información que fue descrita en el párrafo cuatro de la presente resolución.  </w:t>
      </w:r>
    </w:p>
    <w:p w:rsidR="001E3FFD" w:rsidRDefault="001E3FFD">
      <w:pPr>
        <w:tabs>
          <w:tab w:val="left" w:pos="1225"/>
        </w:tabs>
        <w:spacing w:line="360" w:lineRule="auto"/>
        <w:jc w:val="both"/>
        <w:rPr>
          <w:rFonts w:ascii="Palatino Linotype" w:eastAsia="Palatino Linotype" w:hAnsi="Palatino Linotype" w:cs="Palatino Linotype"/>
          <w:b/>
          <w:bCs/>
          <w:i/>
          <w:iCs/>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dichas condiciones,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xml:space="preserve"> a resolver en este recurso se circunscribe a determinar si se actualizan las causales de procedencia previstas en el artículo 179, </w:t>
      </w:r>
      <w:r>
        <w:rPr>
          <w:rFonts w:ascii="Palatino Linotype" w:eastAsia="Palatino Linotype" w:hAnsi="Palatino Linotype" w:cs="Palatino Linotype"/>
          <w:b/>
          <w:bCs/>
          <w:sz w:val="22"/>
          <w:szCs w:val="22"/>
        </w:rPr>
        <w:t xml:space="preserve">fracción V </w:t>
      </w:r>
      <w:r>
        <w:rPr>
          <w:rFonts w:ascii="Palatino Linotype" w:eastAsia="Palatino Linotype" w:hAnsi="Palatino Linotype" w:cs="Palatino Linotype"/>
          <w:sz w:val="22"/>
          <w:szCs w:val="22"/>
        </w:rPr>
        <w:t>de la</w:t>
      </w:r>
      <w:r>
        <w:rPr>
          <w:rFonts w:ascii="Palatino Linotype" w:eastAsia="Palatino Linotype" w:hAnsi="Palatino Linotype" w:cs="Palatino Linotype"/>
          <w:color w:val="000000"/>
          <w:sz w:val="22"/>
          <w:szCs w:val="22"/>
        </w:rPr>
        <w:t xml:space="preserve"> Ley</w:t>
      </w:r>
      <w:r>
        <w:rPr>
          <w:rFonts w:ascii="Palatino Linotype" w:eastAsia="Palatino Linotype" w:hAnsi="Palatino Linotype" w:cs="Palatino Linotype"/>
          <w:b/>
          <w:bCs/>
          <w:sz w:val="22"/>
          <w:szCs w:val="22"/>
        </w:rPr>
        <w:t xml:space="preserve"> de Transparencia y Acceso a la Información Pública del Estado de </w:t>
      </w:r>
      <w:r>
        <w:rPr>
          <w:rFonts w:ascii="Palatino Linotype" w:eastAsia="Palatino Linotype" w:hAnsi="Palatino Linotype" w:cs="Palatino Linotype"/>
          <w:sz w:val="22"/>
          <w:szCs w:val="22"/>
        </w:rPr>
        <w:t>México</w:t>
      </w:r>
      <w:r>
        <w:rPr>
          <w:rFonts w:ascii="Palatino Linotype" w:eastAsia="Palatino Linotype" w:hAnsi="Palatino Linotype" w:cs="Palatino Linotype"/>
          <w:b/>
          <w:bCs/>
          <w:sz w:val="22"/>
          <w:szCs w:val="22"/>
        </w:rPr>
        <w:t xml:space="preserve"> y Municipios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00000"/>
          <w:sz w:val="22"/>
          <w:szCs w:val="22"/>
        </w:rPr>
        <w:lastRenderedPageBreak/>
        <w:t xml:space="preserve">fracción que </w:t>
      </w:r>
      <w:r>
        <w:rPr>
          <w:rFonts w:ascii="Palatino Linotype" w:eastAsia="Palatino Linotype" w:hAnsi="Palatino Linotype" w:cs="Palatino Linotype"/>
          <w:sz w:val="22"/>
          <w:szCs w:val="22"/>
        </w:rPr>
        <w:t>determina</w:t>
      </w:r>
      <w:r>
        <w:rPr>
          <w:rFonts w:ascii="Palatino Linotype" w:eastAsia="Palatino Linotype" w:hAnsi="Palatino Linotype" w:cs="Palatino Linotype"/>
          <w:color w:val="000000"/>
          <w:sz w:val="22"/>
          <w:szCs w:val="22"/>
        </w:rPr>
        <w:t xml:space="preserve"> la hipótesis jurídica relativa a la entrega de información incompleta; </w:t>
      </w:r>
      <w:r>
        <w:rPr>
          <w:rFonts w:ascii="Palatino Linotype" w:eastAsia="Palatino Linotype" w:hAnsi="Palatino Linotype" w:cs="Palatino Linotype"/>
          <w:sz w:val="22"/>
          <w:szCs w:val="22"/>
        </w:rPr>
        <w:t xml:space="preserve">contexto del cual se dolió </w:t>
      </w:r>
      <w:r>
        <w:rPr>
          <w:rFonts w:ascii="Palatino Linotype" w:eastAsia="Palatino Linotype" w:hAnsi="Palatino Linotype" w:cs="Palatino Linotype"/>
          <w:b/>
          <w:bCs/>
          <w:sz w:val="22"/>
          <w:szCs w:val="22"/>
        </w:rPr>
        <w:t xml:space="preserve">EL RECURRENTE </w:t>
      </w:r>
      <w:r>
        <w:rPr>
          <w:rFonts w:ascii="Palatino Linotype" w:eastAsia="Palatino Linotype" w:hAnsi="Palatino Linotype" w:cs="Palatino Linotype"/>
          <w:sz w:val="22"/>
          <w:szCs w:val="22"/>
        </w:rPr>
        <w:t>al momento de interponer su inconformidad.</w:t>
      </w:r>
    </w:p>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De modo tal que los recursos de revisión se abocaran en determinar si el </w:t>
      </w:r>
      <w:r>
        <w:rPr>
          <w:rFonts w:ascii="Palatino Linotype" w:eastAsia="Palatino Linotype" w:hAnsi="Palatino Linotype" w:cs="Palatino Linotype"/>
          <w:b/>
          <w:bCs/>
          <w:sz w:val="22"/>
          <w:szCs w:val="22"/>
        </w:rPr>
        <w:t>SUJETO</w:t>
      </w:r>
      <w:r>
        <w:rPr>
          <w:rFonts w:ascii="Palatino Linotype" w:eastAsia="Palatino Linotype" w:hAnsi="Palatino Linotype" w:cs="Palatino Linotype"/>
          <w:b/>
          <w:bCs/>
          <w:color w:val="000000"/>
          <w:sz w:val="22"/>
          <w:szCs w:val="22"/>
        </w:rPr>
        <w:t xml:space="preserve"> OBLIGADO</w:t>
      </w:r>
      <w:r>
        <w:rPr>
          <w:rFonts w:ascii="Palatino Linotype" w:eastAsia="Palatino Linotype" w:hAnsi="Palatino Linotype" w:cs="Palatino Linotype"/>
          <w:color w:val="000000"/>
          <w:sz w:val="22"/>
          <w:szCs w:val="22"/>
        </w:rPr>
        <w:t xml:space="preserve"> con sus respuestas ciertamente actualiza la causal de procedencia</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antes señaladas;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1E3FFD" w:rsidRDefault="001E3FFD">
      <w:pPr>
        <w:spacing w:line="360" w:lineRule="auto"/>
        <w:ind w:left="709"/>
        <w:rPr>
          <w:rFonts w:ascii="Palatino Linotype" w:eastAsia="Palatino Linotype" w:hAnsi="Palatino Linotype" w:cs="Palatino Linotype"/>
          <w:sz w:val="22"/>
          <w:szCs w:val="22"/>
        </w:rPr>
      </w:pPr>
    </w:p>
    <w:p w:rsidR="001E3FFD" w:rsidRDefault="00383357">
      <w:pPr>
        <w:keepNext/>
        <w:keepLines/>
        <w:spacing w:line="360" w:lineRule="auto"/>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CUARTO. Del estudio y resolución del asunto</w:t>
      </w:r>
    </w:p>
    <w:p w:rsidR="001E3FFD" w:rsidRDefault="00383357">
      <w:pPr>
        <w:keepNext/>
        <w:keepLines/>
        <w:numPr>
          <w:ilvl w:val="0"/>
          <w:numId w:val="1"/>
        </w:numPr>
        <w:spacing w:after="240" w:line="360" w:lineRule="auto"/>
        <w:ind w:left="786"/>
        <w:rPr>
          <w:rFonts w:ascii="Palatino Linotype" w:eastAsia="Palatino Linotype" w:hAnsi="Palatino Linotype" w:cs="Palatino Linotype"/>
          <w:b/>
          <w:bCs/>
          <w:sz w:val="22"/>
          <w:szCs w:val="22"/>
        </w:rPr>
      </w:pPr>
      <w:bookmarkStart w:id="9" w:name="_heading=h.2s8eyo1" w:colFirst="0" w:colLast="0"/>
      <w:bookmarkEnd w:id="9"/>
      <w:r>
        <w:rPr>
          <w:rFonts w:ascii="Palatino Linotype" w:eastAsia="Palatino Linotype" w:hAnsi="Palatino Linotype" w:cs="Palatino Linotype"/>
          <w:b/>
          <w:bCs/>
          <w:sz w:val="22"/>
          <w:szCs w:val="22"/>
        </w:rPr>
        <w:t>Del derecho de acceso a la información.</w:t>
      </w:r>
    </w:p>
    <w:p w:rsidR="001E3FFD" w:rsidRDefault="0038335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1E3FFD" w:rsidRDefault="001E3FFD">
      <w:pPr>
        <w:spacing w:line="360" w:lineRule="auto"/>
        <w:ind w:right="48"/>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Definiendo el Derecho de Acceso a la Información Pública como: </w:t>
      </w:r>
      <w:r>
        <w:rPr>
          <w:rFonts w:ascii="Palatino Linotype" w:eastAsia="Palatino Linotype" w:hAnsi="Palatino Linotype" w:cs="Palatino Linotype"/>
          <w:i/>
          <w:iCs/>
          <w:color w:val="000000"/>
          <w:sz w:val="22"/>
          <w:szCs w:val="22"/>
        </w:rPr>
        <w:t>La igualdad de oportunidades para recibir, buscar e impartir información</w:t>
      </w:r>
      <w:r>
        <w:rPr>
          <w:rFonts w:ascii="Palatino Linotype" w:eastAsia="Palatino Linotype" w:hAnsi="Palatino Linotype" w:cs="Palatino Linotype"/>
          <w:i/>
          <w:iCs/>
          <w:sz w:val="22"/>
          <w:szCs w:val="22"/>
          <w:vertAlign w:val="superscript"/>
        </w:rPr>
        <w:footnoteReference w:id="2"/>
      </w:r>
      <w:r>
        <w:rPr>
          <w:rFonts w:ascii="Palatino Linotype" w:eastAsia="Palatino Linotype" w:hAnsi="Palatino Linotype" w:cs="Palatino Linotype"/>
          <w:i/>
          <w:iCs/>
          <w:color w:val="000000"/>
          <w:sz w:val="22"/>
          <w:szCs w:val="22"/>
        </w:rPr>
        <w:t xml:space="preserve">en posesión de cualquier autoridad, entidad, órgano y organismo de los poderes Ejecutivo, Legislativo y Judicial, órganos autónomos, partidos políticos, fideicomisos y fondos públicos, así como de cualquier persona física, moral o </w:t>
      </w:r>
      <w:r>
        <w:rPr>
          <w:rFonts w:ascii="Palatino Linotype" w:eastAsia="Palatino Linotype" w:hAnsi="Palatino Linotype" w:cs="Palatino Linotype"/>
          <w:i/>
          <w:iCs/>
          <w:color w:val="000000"/>
          <w:sz w:val="22"/>
          <w:szCs w:val="22"/>
        </w:rPr>
        <w:lastRenderedPageBreak/>
        <w:t>sindicato que reciba y ejerza recursos públicos o realice actos de autoridad en el ámbito federal, estatal y municipal,</w:t>
      </w:r>
      <w:r>
        <w:rPr>
          <w:rFonts w:ascii="Palatino Linotype" w:eastAsia="Palatino Linotype" w:hAnsi="Palatino Linotype" w:cs="Palatino Linotype"/>
          <w:i/>
          <w:iCs/>
          <w:sz w:val="22"/>
          <w:szCs w:val="22"/>
          <w:vertAlign w:val="superscript"/>
        </w:rPr>
        <w:footnoteReference w:id="3"/>
      </w:r>
      <w:r>
        <w:rPr>
          <w:rFonts w:ascii="Palatino Linotype" w:eastAsia="Palatino Linotype" w:hAnsi="Palatino Linotype" w:cs="Palatino Linotype"/>
          <w:color w:val="000000"/>
          <w:sz w:val="22"/>
          <w:szCs w:val="22"/>
        </w:rPr>
        <w:t>que se constituye como una herramienta fundamental para ejercer</w:t>
      </w:r>
      <w:r>
        <w:rPr>
          <w:rFonts w:ascii="Palatino Linotype" w:eastAsia="Palatino Linotype" w:hAnsi="Palatino Linotype" w:cs="Palatino Linotype"/>
          <w:i/>
          <w:iCs/>
          <w:color w:val="000000"/>
          <w:sz w:val="22"/>
          <w:szCs w:val="22"/>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iCs/>
          <w:sz w:val="22"/>
          <w:szCs w:val="22"/>
          <w:vertAlign w:val="superscript"/>
        </w:rPr>
        <w:footnoteReference w:id="4"/>
      </w:r>
      <w:r>
        <w:rPr>
          <w:rFonts w:ascii="Palatino Linotype" w:eastAsia="Palatino Linotype" w:hAnsi="Palatino Linotype" w:cs="Palatino Linotype"/>
          <w:color w:val="000000"/>
          <w:sz w:val="22"/>
          <w:szCs w:val="22"/>
        </w:rPr>
        <w:t>fomentando</w:t>
      </w:r>
      <w:r>
        <w:rPr>
          <w:rFonts w:ascii="Palatino Linotype" w:eastAsia="Palatino Linotype" w:hAnsi="Palatino Linotype" w:cs="Palatino Linotype"/>
          <w:i/>
          <w:iCs/>
          <w:color w:val="000000"/>
          <w:sz w:val="22"/>
          <w:szCs w:val="22"/>
        </w:rPr>
        <w:t xml:space="preserve"> la transparencia de las actividades estatales y </w:t>
      </w:r>
      <w:r>
        <w:rPr>
          <w:rFonts w:ascii="Palatino Linotype" w:eastAsia="Palatino Linotype" w:hAnsi="Palatino Linotype" w:cs="Palatino Linotype"/>
          <w:color w:val="000000"/>
          <w:sz w:val="22"/>
          <w:szCs w:val="22"/>
        </w:rPr>
        <w:t>promoviendo</w:t>
      </w:r>
      <w:r>
        <w:rPr>
          <w:rFonts w:ascii="Palatino Linotype" w:eastAsia="Palatino Linotype" w:hAnsi="Palatino Linotype" w:cs="Palatino Linotype"/>
          <w:i/>
          <w:iCs/>
          <w:color w:val="000000"/>
          <w:sz w:val="22"/>
          <w:szCs w:val="22"/>
        </w:rPr>
        <w:t xml:space="preserve"> la responsabilidad de los funcionarios sobre su gestión pública,</w:t>
      </w:r>
      <w:r>
        <w:rPr>
          <w:rFonts w:ascii="Palatino Linotype" w:eastAsia="Palatino Linotype" w:hAnsi="Palatino Linotype" w:cs="Palatino Linotype"/>
          <w:i/>
          <w:iCs/>
          <w:sz w:val="22"/>
          <w:szCs w:val="22"/>
          <w:vertAlign w:val="superscript"/>
        </w:rPr>
        <w:footnoteReference w:id="5"/>
      </w:r>
      <w:r>
        <w:rPr>
          <w:rFonts w:ascii="Palatino Linotype" w:eastAsia="Palatino Linotype" w:hAnsi="Palatino Linotype" w:cs="Palatino Linotype"/>
          <w:color w:val="000000"/>
          <w:sz w:val="22"/>
          <w:szCs w:val="22"/>
        </w:rPr>
        <w:t>que permite</w:t>
      </w:r>
      <w:r>
        <w:rPr>
          <w:rFonts w:ascii="Palatino Linotype" w:eastAsia="Palatino Linotype" w:hAnsi="Palatino Linotype" w:cs="Palatino Linotype"/>
          <w:i/>
          <w:iCs/>
          <w:color w:val="000000"/>
          <w:sz w:val="22"/>
          <w:szCs w:val="22"/>
        </w:rPr>
        <w:t xml:space="preserve"> saber qué están haciendo los gobiernos por sus pueblos, sin lo cual la verdad languidecería y la participación en el gobierno permanecería fragmentada.</w:t>
      </w:r>
    </w:p>
    <w:p w:rsidR="001E3FFD" w:rsidRDefault="001E3FFD">
      <w:pPr>
        <w:spacing w:line="360" w:lineRule="auto"/>
        <w:ind w:right="49"/>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México, además de los derechos, están reconocidas las garantías para su protección, en ese sentido el párrafo tercero de artículo primero de la Constitución Política de los Estados Unidos Mexicanos dispone lo siguiente:</w:t>
      </w: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w:t>
      </w:r>
      <w:r>
        <w:rPr>
          <w:rFonts w:ascii="Palatino Linotype" w:eastAsia="Palatino Linotype" w:hAnsi="Palatino Linotype" w:cs="Palatino Linotype"/>
          <w:i/>
          <w:iCs/>
          <w:sz w:val="22"/>
          <w:szCs w:val="22"/>
        </w:rPr>
        <w:t xml:space="preserve"> </w:t>
      </w: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E3FFD" w:rsidRDefault="0038335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iCs/>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1E3FFD" w:rsidRDefault="00383357">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sz w:val="22"/>
          <w:szCs w:val="22"/>
        </w:rPr>
        <w:t>”.</w:t>
      </w:r>
    </w:p>
    <w:p w:rsidR="001E3FFD" w:rsidRDefault="001E3FFD">
      <w:pPr>
        <w:ind w:left="1134" w:right="900"/>
        <w:jc w:val="both"/>
        <w:rPr>
          <w:rFonts w:ascii="Palatino Linotype" w:eastAsia="Palatino Linotype" w:hAnsi="Palatino Linotype" w:cs="Palatino Linotype"/>
          <w:b/>
          <w:bCs/>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1E3FFD" w:rsidRDefault="001E3FFD">
      <w:pPr>
        <w:spacing w:line="360" w:lineRule="auto"/>
        <w:ind w:right="49"/>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1E3FFD" w:rsidRDefault="00383357">
      <w:pPr>
        <w:tabs>
          <w:tab w:val="left" w:pos="7938"/>
        </w:tabs>
        <w:spacing w:after="240"/>
        <w:ind w:left="1134" w:right="900"/>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Constitución Política de los Estados Unidos Mexicanos</w:t>
      </w:r>
    </w:p>
    <w:p w:rsidR="001E3FFD" w:rsidRDefault="00383357">
      <w:pPr>
        <w:tabs>
          <w:tab w:val="left" w:pos="7938"/>
        </w:tabs>
        <w:spacing w:before="240" w:after="240"/>
        <w:ind w:left="1134" w:right="900"/>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“Artículo 6.</w:t>
      </w:r>
    </w:p>
    <w:p w:rsidR="001E3FFD" w:rsidRDefault="00383357">
      <w:pPr>
        <w:tabs>
          <w:tab w:val="left" w:pos="7938"/>
        </w:tabs>
        <w:spacing w:before="240" w:after="240"/>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E3FFD" w:rsidRDefault="00383357">
      <w:pPr>
        <w:tabs>
          <w:tab w:val="left" w:pos="7938"/>
        </w:tabs>
        <w:spacing w:before="240" w:after="240"/>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efectos de lo dispuesto en el presente artículo se observará lo siguiente:</w:t>
      </w:r>
    </w:p>
    <w:p w:rsidR="001E3FFD" w:rsidRDefault="00383357">
      <w:pPr>
        <w:tabs>
          <w:tab w:val="left" w:pos="7938"/>
        </w:tabs>
        <w:spacing w:before="240" w:after="240"/>
        <w:ind w:left="1134" w:right="900"/>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Para el ejercicio del derecho de acceso a la información</w:t>
      </w:r>
      <w:r>
        <w:rPr>
          <w:rFonts w:ascii="Palatino Linotype" w:eastAsia="Palatino Linotype" w:hAnsi="Palatino Linotype" w:cs="Palatino Linotype"/>
          <w:i/>
          <w:iCs/>
          <w:sz w:val="22"/>
          <w:szCs w:val="22"/>
        </w:rPr>
        <w:t xml:space="preserve">, la Federación y </w:t>
      </w:r>
      <w:r>
        <w:rPr>
          <w:rFonts w:ascii="Palatino Linotype" w:eastAsia="Palatino Linotype" w:hAnsi="Palatino Linotype" w:cs="Palatino Linotype"/>
          <w:b/>
          <w:bCs/>
          <w:i/>
          <w:iCs/>
          <w:sz w:val="22"/>
          <w:szCs w:val="22"/>
        </w:rPr>
        <w:t>las entidades federativas, en el ámbito de sus respectivas competencias, se regirán por los siguientes principios y bases:</w:t>
      </w:r>
    </w:p>
    <w:p w:rsidR="001E3FFD" w:rsidRDefault="00383357">
      <w:pPr>
        <w:tabs>
          <w:tab w:val="left" w:pos="7938"/>
        </w:tabs>
        <w:spacing w:before="240" w:after="240"/>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 Toda la información en posesión de cualquier</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autoridad</w:t>
      </w:r>
      <w:r>
        <w:rPr>
          <w:rFonts w:ascii="Palatino Linotype" w:eastAsia="Palatino Linotype" w:hAnsi="Palatino Linotype" w:cs="Palatino Linotype"/>
          <w:i/>
          <w:iCs/>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bCs/>
          <w:i/>
          <w:iCs/>
          <w:sz w:val="22"/>
          <w:szCs w:val="22"/>
        </w:rPr>
        <w:t>municipal</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es pública</w:t>
      </w:r>
      <w:r>
        <w:rPr>
          <w:rFonts w:ascii="Palatino Linotype" w:eastAsia="Palatino Linotype" w:hAnsi="Palatino Linotype" w:cs="Palatino Linotype"/>
          <w:i/>
          <w:iCs/>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bCs/>
          <w:i/>
          <w:iCs/>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rsidR="001E3FFD" w:rsidRDefault="001E3FFD">
      <w:pPr>
        <w:tabs>
          <w:tab w:val="left" w:pos="567"/>
          <w:tab w:val="left" w:pos="7938"/>
        </w:tabs>
        <w:spacing w:before="240"/>
        <w:ind w:left="1134" w:right="900"/>
        <w:jc w:val="both"/>
        <w:rPr>
          <w:rFonts w:ascii="Palatino Linotype" w:eastAsia="Palatino Linotype" w:hAnsi="Palatino Linotype" w:cs="Palatino Linotype"/>
          <w:b/>
          <w:bCs/>
          <w:i/>
          <w:iCs/>
          <w:sz w:val="22"/>
          <w:szCs w:val="22"/>
        </w:rPr>
      </w:pPr>
    </w:p>
    <w:p w:rsidR="001E3FFD" w:rsidRDefault="00383357">
      <w:pPr>
        <w:tabs>
          <w:tab w:val="left" w:pos="7938"/>
        </w:tabs>
        <w:spacing w:after="240"/>
        <w:ind w:left="1134" w:right="900"/>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Constitución Política del Estado Libre y Soberano de México</w:t>
      </w:r>
    </w:p>
    <w:p w:rsidR="001E3FFD" w:rsidRDefault="00383357">
      <w:pPr>
        <w:tabs>
          <w:tab w:val="left" w:pos="7938"/>
        </w:tabs>
        <w:spacing w:before="240" w:after="240"/>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5</w:t>
      </w:r>
      <w:r>
        <w:rPr>
          <w:rFonts w:ascii="Palatino Linotype" w:eastAsia="Palatino Linotype" w:hAnsi="Palatino Linotype" w:cs="Palatino Linotype"/>
          <w:i/>
          <w:iCs/>
          <w:sz w:val="22"/>
          <w:szCs w:val="22"/>
        </w:rPr>
        <w:t xml:space="preserve">.- </w:t>
      </w:r>
    </w:p>
    <w:p w:rsidR="001E3FFD" w:rsidRDefault="00383357">
      <w:pPr>
        <w:tabs>
          <w:tab w:val="left" w:pos="7938"/>
        </w:tabs>
        <w:spacing w:before="240" w:after="240"/>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E3FFD" w:rsidRDefault="00383357">
      <w:pPr>
        <w:tabs>
          <w:tab w:val="left" w:pos="7938"/>
        </w:tabs>
        <w:spacing w:before="240" w:after="240"/>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iCs/>
          <w:sz w:val="22"/>
          <w:szCs w:val="22"/>
        </w:rPr>
        <w:t>.</w:t>
      </w:r>
    </w:p>
    <w:p w:rsidR="001E3FFD" w:rsidRDefault="00383357">
      <w:pPr>
        <w:tabs>
          <w:tab w:val="left" w:pos="7938"/>
        </w:tabs>
        <w:spacing w:before="240" w:after="240"/>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E3FFD" w:rsidRDefault="00383357">
      <w:pPr>
        <w:tabs>
          <w:tab w:val="left" w:pos="7938"/>
        </w:tabs>
        <w:spacing w:before="240" w:after="240"/>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Este derecho se regirá por los principios y bases siguientes</w:t>
      </w:r>
      <w:r>
        <w:rPr>
          <w:rFonts w:ascii="Palatino Linotype" w:eastAsia="Palatino Linotype" w:hAnsi="Palatino Linotype" w:cs="Palatino Linotype"/>
          <w:i/>
          <w:iCs/>
          <w:sz w:val="22"/>
          <w:szCs w:val="22"/>
        </w:rPr>
        <w:t>:</w:t>
      </w:r>
    </w:p>
    <w:p w:rsidR="001E3FFD" w:rsidRDefault="00383357">
      <w:pPr>
        <w:tabs>
          <w:tab w:val="left" w:pos="7938"/>
        </w:tabs>
        <w:spacing w:before="240" w:after="240"/>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 Toda la información en posesión de cualquier autoridad, entidad, órgano y organismos de los</w:t>
      </w:r>
      <w:r>
        <w:rPr>
          <w:rFonts w:ascii="Palatino Linotype" w:eastAsia="Palatino Linotype" w:hAnsi="Palatino Linotype" w:cs="Palatino Linotype"/>
          <w:i/>
          <w:iCs/>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bCs/>
          <w:i/>
          <w:iCs/>
          <w:sz w:val="22"/>
          <w:szCs w:val="22"/>
        </w:rPr>
        <w:t>municipales</w:t>
      </w:r>
      <w:r>
        <w:rPr>
          <w:rFonts w:ascii="Palatino Linotype" w:eastAsia="Palatino Linotype" w:hAnsi="Palatino Linotype" w:cs="Palatino Linotype"/>
          <w:i/>
          <w:iCs/>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bCs/>
          <w:i/>
          <w:iCs/>
          <w:sz w:val="22"/>
          <w:szCs w:val="22"/>
        </w:rPr>
        <w:t>es pública</w:t>
      </w:r>
      <w:r>
        <w:rPr>
          <w:rFonts w:ascii="Palatino Linotype" w:eastAsia="Palatino Linotype" w:hAnsi="Palatino Linotype" w:cs="Palatino Linotype"/>
          <w:i/>
          <w:iCs/>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bCs/>
          <w:i/>
          <w:iCs/>
          <w:sz w:val="22"/>
          <w:szCs w:val="22"/>
        </w:rPr>
        <w:t>En la interpretación de este derecho deberá prevalecer el principio de máxima publicidad</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Los sujetos obligados deberán documentar todo acto que derive del ejercicio de sus facultades, competencias o funciones</w:t>
      </w:r>
      <w:r>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rsidR="001E3FFD" w:rsidRDefault="001E3FFD">
      <w:pPr>
        <w:tabs>
          <w:tab w:val="left" w:pos="567"/>
        </w:tabs>
        <w:spacing w:before="240" w:after="240"/>
        <w:ind w:right="567"/>
        <w:jc w:val="both"/>
        <w:rPr>
          <w:rFonts w:ascii="Palatino Linotype" w:eastAsia="Palatino Linotype" w:hAnsi="Palatino Linotype" w:cs="Palatino Linotype"/>
          <w:b/>
          <w:bCs/>
          <w:i/>
          <w:iCs/>
          <w:sz w:val="22"/>
          <w:szCs w:val="22"/>
        </w:rPr>
      </w:pPr>
    </w:p>
    <w:p w:rsidR="001E3FFD" w:rsidRDefault="00383357">
      <w:pPr>
        <w:numPr>
          <w:ilvl w:val="0"/>
          <w:numId w:val="3"/>
        </w:numPr>
        <w:spacing w:before="240"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iCs/>
          <w:sz w:val="22"/>
          <w:szCs w:val="22"/>
        </w:rPr>
        <w:t>por los principios de simplicidad, rapidez gratuidad del procedimiento, auxilio y orientación a los particulares</w:t>
      </w:r>
      <w:r>
        <w:rPr>
          <w:rFonts w:ascii="Palatino Linotype" w:eastAsia="Palatino Linotype" w:hAnsi="Palatino Linotype" w:cs="Palatino Linotype"/>
          <w:sz w:val="22"/>
          <w:szCs w:val="22"/>
        </w:rPr>
        <w:t>, contemplando el derecho de las personas con discapacidad y hablantes de lengua indígena.</w:t>
      </w:r>
    </w:p>
    <w:p w:rsidR="001E3FFD" w:rsidRDefault="001E3FFD">
      <w:pPr>
        <w:spacing w:line="360" w:lineRule="auto"/>
        <w:ind w:right="49"/>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El Derecho de Acceso a la Información se garantiza y respeta oportunamente, y según lo que dispone la Ley, las </w:t>
      </w:r>
      <w:r>
        <w:rPr>
          <w:rFonts w:ascii="Palatino Linotype" w:eastAsia="Palatino Linotype" w:hAnsi="Palatino Linotype" w:cs="Palatino Linotype"/>
          <w:i/>
          <w:iCs/>
          <w:sz w:val="22"/>
          <w:szCs w:val="22"/>
        </w:rPr>
        <w:t>solicitudes de acceso a la información</w:t>
      </w:r>
      <w:r>
        <w:rPr>
          <w:rFonts w:ascii="Palatino Linotype" w:eastAsia="Palatino Linotype" w:hAnsi="Palatino Linotype" w:cs="Palatino Linotype"/>
          <w:sz w:val="22"/>
          <w:szCs w:val="22"/>
        </w:rPr>
        <w:t>.</w:t>
      </w:r>
    </w:p>
    <w:p w:rsidR="001E3FFD" w:rsidRDefault="001E3FFD">
      <w:pPr>
        <w:spacing w:line="360" w:lineRule="auto"/>
        <w:ind w:right="49"/>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bookmarkStart w:id="10" w:name="_heading=h.17dp8vu" w:colFirst="0" w:colLast="0"/>
      <w:bookmarkEnd w:id="10"/>
      <w:r>
        <w:rPr>
          <w:rFonts w:ascii="Palatino Linotype" w:eastAsia="Palatino Linotype" w:hAnsi="Palatino Linotype" w:cs="Palatino Linotype"/>
          <w:sz w:val="22"/>
          <w:szCs w:val="22"/>
        </w:rPr>
        <w:t xml:space="preserve">Así entonces, se procede analizar, en primer lugar, si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1E3FFD" w:rsidRDefault="001E3FFD">
      <w:pPr>
        <w:spacing w:line="360" w:lineRule="auto"/>
        <w:ind w:right="49"/>
        <w:jc w:val="both"/>
        <w:rPr>
          <w:rFonts w:ascii="Palatino Linotype" w:eastAsia="Palatino Linotype" w:hAnsi="Palatino Linotype" w:cs="Palatino Linotype"/>
          <w:sz w:val="22"/>
          <w:szCs w:val="22"/>
        </w:rPr>
      </w:pPr>
    </w:p>
    <w:p w:rsidR="001E3FFD" w:rsidRDefault="00383357">
      <w:pPr>
        <w:keepNext/>
        <w:keepLines/>
        <w:spacing w:after="240" w:line="360" w:lineRule="auto"/>
        <w:rPr>
          <w:rFonts w:ascii="Palatino Linotype" w:eastAsia="Palatino Linotype" w:hAnsi="Palatino Linotype" w:cs="Palatino Linotype"/>
          <w:b/>
          <w:bCs/>
          <w:sz w:val="22"/>
          <w:szCs w:val="22"/>
        </w:rPr>
      </w:pPr>
      <w:bookmarkStart w:id="11" w:name="_heading=h.3rdcrjn" w:colFirst="0" w:colLast="0"/>
      <w:bookmarkEnd w:id="11"/>
      <w:r>
        <w:rPr>
          <w:rFonts w:ascii="Palatino Linotype" w:eastAsia="Palatino Linotype" w:hAnsi="Palatino Linotype" w:cs="Palatino Linotype"/>
          <w:b/>
          <w:bCs/>
          <w:sz w:val="22"/>
          <w:szCs w:val="22"/>
        </w:rPr>
        <w:t>II. De la información solicitada y la respuesta del SUJETO OBLIGADO</w:t>
      </w: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como las solicitudes de información versan en oficios emitidos y remitidos por la </w:t>
      </w:r>
      <w:r>
        <w:rPr>
          <w:rFonts w:ascii="Palatino Linotype" w:eastAsia="Palatino Linotype" w:hAnsi="Palatino Linotype" w:cs="Palatino Linotype"/>
          <w:b/>
          <w:bCs/>
          <w:i/>
          <w:iCs/>
          <w:sz w:val="22"/>
          <w:szCs w:val="22"/>
        </w:rPr>
        <w:t>Secretaría Técnica del Consejo Municipal de Seguridad Pública</w:t>
      </w:r>
      <w:r>
        <w:rPr>
          <w:rFonts w:ascii="Palatino Linotype" w:eastAsia="Palatino Linotype" w:hAnsi="Palatino Linotype" w:cs="Palatino Linotype"/>
          <w:sz w:val="22"/>
          <w:szCs w:val="22"/>
        </w:rPr>
        <w:t xml:space="preserve">, es que se hace el análisis el estudio de manera conjunta, situación por la cual se analizan las respuestas proporcionadas por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y la información solicitada por el </w:t>
      </w:r>
      <w:r>
        <w:rPr>
          <w:rFonts w:ascii="Palatino Linotype" w:eastAsia="Palatino Linotype" w:hAnsi="Palatino Linotype" w:cs="Palatino Linotype"/>
          <w:b/>
          <w:bCs/>
          <w:sz w:val="22"/>
          <w:szCs w:val="22"/>
        </w:rPr>
        <w:t xml:space="preserve">RECURRENTE. </w:t>
      </w:r>
    </w:p>
    <w:p w:rsidR="001E3FFD" w:rsidRDefault="001E3FFD">
      <w:pPr>
        <w:spacing w:line="360" w:lineRule="auto"/>
        <w:rPr>
          <w:rFonts w:ascii="Palatino Linotype" w:eastAsia="Palatino Linotype" w:hAnsi="Palatino Linotype" w:cs="Palatino Linotype"/>
          <w:b/>
          <w:bCs/>
          <w:i/>
          <w:iCs/>
          <w:sz w:val="22"/>
          <w:szCs w:val="22"/>
        </w:rPr>
      </w:pPr>
    </w:p>
    <w:tbl>
      <w:tblPr>
        <w:tblStyle w:val="a4"/>
        <w:tblW w:w="8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6"/>
        <w:gridCol w:w="3089"/>
        <w:gridCol w:w="2011"/>
        <w:gridCol w:w="1872"/>
      </w:tblGrid>
      <w:tr w:rsidR="001E3FFD">
        <w:tc>
          <w:tcPr>
            <w:tcW w:w="1807" w:type="dxa"/>
          </w:tcPr>
          <w:p w:rsidR="001E3FFD" w:rsidRDefault="00383357">
            <w:pPr>
              <w:ind w:right="49"/>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Información solicitada</w:t>
            </w:r>
          </w:p>
        </w:tc>
        <w:tc>
          <w:tcPr>
            <w:tcW w:w="3089" w:type="dxa"/>
          </w:tcPr>
          <w:p w:rsidR="001E3FFD" w:rsidRDefault="00383357">
            <w:pPr>
              <w:ind w:right="49"/>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Respuesta inicial</w:t>
            </w:r>
          </w:p>
        </w:tc>
        <w:tc>
          <w:tcPr>
            <w:tcW w:w="2011" w:type="dxa"/>
          </w:tcPr>
          <w:p w:rsidR="001E3FFD" w:rsidRDefault="00383357">
            <w:pPr>
              <w:ind w:right="49"/>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manifestaciones</w:t>
            </w:r>
          </w:p>
        </w:tc>
        <w:tc>
          <w:tcPr>
            <w:tcW w:w="1872" w:type="dxa"/>
          </w:tcPr>
          <w:p w:rsidR="001E3FFD" w:rsidRDefault="00383357">
            <w:pPr>
              <w:ind w:right="49"/>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Colma </w:t>
            </w:r>
          </w:p>
        </w:tc>
      </w:tr>
      <w:tr w:rsidR="001E3FFD">
        <w:tc>
          <w:tcPr>
            <w:tcW w:w="1807" w:type="dxa"/>
          </w:tcPr>
          <w:p w:rsidR="001E3FFD" w:rsidRDefault="00383357">
            <w:pPr>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1.- oficios que se recibieron y lo que se emitieron en el mes de enero 2025 en la Secretaría Técnica del Consejo Municipal de </w:t>
            </w:r>
            <w:r>
              <w:rPr>
                <w:rFonts w:ascii="Palatino Linotype" w:eastAsia="Palatino Linotype" w:hAnsi="Palatino Linotype" w:cs="Palatino Linotype"/>
                <w:b/>
                <w:bCs/>
                <w:i/>
                <w:iCs/>
                <w:sz w:val="22"/>
                <w:szCs w:val="22"/>
              </w:rPr>
              <w:lastRenderedPageBreak/>
              <w:t>Seguridad Pública</w:t>
            </w:r>
          </w:p>
        </w:tc>
        <w:tc>
          <w:tcPr>
            <w:tcW w:w="3089" w:type="dxa"/>
          </w:tcPr>
          <w:p w:rsidR="001E3FFD" w:rsidRDefault="00383357">
            <w:pPr>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 xml:space="preserve">Oficio_019 - SAIMEX0234_anexo_E.pdf: </w:t>
            </w:r>
            <w:r>
              <w:rPr>
                <w:rFonts w:ascii="Palatino Linotype" w:eastAsia="Palatino Linotype" w:hAnsi="Palatino Linotype" w:cs="Palatino Linotype"/>
                <w:i/>
                <w:iCs/>
                <w:sz w:val="22"/>
                <w:szCs w:val="22"/>
              </w:rPr>
              <w:t>oficios emitidos por la Secretaría Técnica del Consejo Municipal de Seguridad, de los cuales hacen falta los oficios número</w:t>
            </w:r>
            <w:r>
              <w:rPr>
                <w:rFonts w:ascii="Palatino Linotype" w:eastAsia="Palatino Linotype" w:hAnsi="Palatino Linotype" w:cs="Palatino Linotype"/>
                <w:b/>
                <w:bCs/>
                <w:i/>
                <w:iCs/>
                <w:sz w:val="22"/>
                <w:szCs w:val="22"/>
              </w:rPr>
              <w:t xml:space="preserve"> </w:t>
            </w:r>
            <w:r>
              <w:rPr>
                <w:rFonts w:ascii="Palatino Linotype" w:eastAsia="Palatino Linotype" w:hAnsi="Palatino Linotype" w:cs="Palatino Linotype"/>
                <w:i/>
                <w:iCs/>
                <w:sz w:val="22"/>
                <w:szCs w:val="22"/>
              </w:rPr>
              <w:t xml:space="preserve">treinta y ocho y treinta nueve, cuarenta y uno, cuarenta y dos y cuarenta y tres y cincuenta. </w:t>
            </w:r>
          </w:p>
          <w:p w:rsidR="001E3FFD" w:rsidRDefault="00383357">
            <w:pPr>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Oficio_019 - SAIMEX0234.pdf: </w:t>
            </w:r>
            <w:r>
              <w:rPr>
                <w:rFonts w:ascii="Palatino Linotype" w:eastAsia="Palatino Linotype" w:hAnsi="Palatino Linotype" w:cs="Palatino Linotype"/>
                <w:i/>
                <w:iCs/>
                <w:sz w:val="22"/>
                <w:szCs w:val="22"/>
              </w:rPr>
              <w:t xml:space="preserve">oficio del </w:t>
            </w:r>
            <w:r>
              <w:rPr>
                <w:rFonts w:ascii="Palatino Linotype" w:eastAsia="Palatino Linotype" w:hAnsi="Palatino Linotype" w:cs="Palatino Linotype"/>
                <w:i/>
                <w:iCs/>
                <w:sz w:val="22"/>
                <w:szCs w:val="22"/>
              </w:rPr>
              <w:lastRenderedPageBreak/>
              <w:t xml:space="preserve">Secretario Técnico del Consejo Municipal de Seguridad Pública, mediante el cual informa que se anexa la información solicitada con el sustento del Acuerdo Número </w:t>
            </w:r>
            <w:r>
              <w:rPr>
                <w:rFonts w:ascii="Palatino Linotype" w:eastAsia="Palatino Linotype" w:hAnsi="Palatino Linotype" w:cs="Palatino Linotype"/>
                <w:b/>
                <w:bCs/>
                <w:i/>
                <w:iCs/>
                <w:sz w:val="22"/>
                <w:szCs w:val="22"/>
              </w:rPr>
              <w:t xml:space="preserve">CT/Se/38/02/2026, </w:t>
            </w:r>
            <w:r>
              <w:rPr>
                <w:rFonts w:ascii="Palatino Linotype" w:eastAsia="Palatino Linotype" w:hAnsi="Palatino Linotype" w:cs="Palatino Linotype"/>
                <w:i/>
                <w:iCs/>
                <w:sz w:val="22"/>
                <w:szCs w:val="22"/>
              </w:rPr>
              <w:t>del veintidós de enero de dos mil veintidós, en la Trigésima Octava Sesión Extraordinaria del Comité de Transparencia.</w:t>
            </w:r>
          </w:p>
          <w:p w:rsidR="001E3FFD" w:rsidRDefault="00383357">
            <w:pPr>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Oficio_019 - SAIMEX0234_anexo_R.pdf: </w:t>
            </w:r>
            <w:r>
              <w:rPr>
                <w:rFonts w:ascii="Palatino Linotype" w:eastAsia="Palatino Linotype" w:hAnsi="Palatino Linotype" w:cs="Palatino Linotype"/>
                <w:i/>
                <w:iCs/>
                <w:sz w:val="22"/>
                <w:szCs w:val="22"/>
              </w:rPr>
              <w:t xml:space="preserve">oficios recibidos en la Secretaría Técnica del Consejo Municipal de Seguridad en el mes de enero de dos mil veinticinco. </w:t>
            </w:r>
          </w:p>
          <w:p w:rsidR="001E3FFD" w:rsidRDefault="001E3FFD">
            <w:pPr>
              <w:ind w:right="49"/>
              <w:jc w:val="both"/>
              <w:rPr>
                <w:rFonts w:ascii="Palatino Linotype" w:eastAsia="Palatino Linotype" w:hAnsi="Palatino Linotype" w:cs="Palatino Linotype"/>
                <w:i/>
                <w:iCs/>
                <w:sz w:val="22"/>
                <w:szCs w:val="22"/>
              </w:rPr>
            </w:pPr>
          </w:p>
        </w:tc>
        <w:tc>
          <w:tcPr>
            <w:tcW w:w="2011" w:type="dxa"/>
          </w:tcPr>
          <w:p w:rsidR="001E3FFD" w:rsidRDefault="00383357">
            <w:pPr>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Ratificación de la información entregada</w:t>
            </w:r>
          </w:p>
        </w:tc>
        <w:tc>
          <w:tcPr>
            <w:tcW w:w="1872" w:type="dxa"/>
          </w:tcPr>
          <w:p w:rsidR="001E3FFD" w:rsidRDefault="00383357">
            <w:pPr>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No colma, toda vez que hace falta número de oficios emitidos</w:t>
            </w:r>
          </w:p>
        </w:tc>
      </w:tr>
      <w:tr w:rsidR="001E3FFD">
        <w:tc>
          <w:tcPr>
            <w:tcW w:w="1807" w:type="dxa"/>
          </w:tcPr>
          <w:p w:rsidR="001E3FFD" w:rsidRDefault="00383357">
            <w:pPr>
              <w:ind w:right="49"/>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2.-</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Oficios que se recibieron y lo que se emitieron en el mes de julio 2025 en la Secretaría Técnica del Consejo Municipal de Seguridad Pública.</w:t>
            </w:r>
          </w:p>
          <w:p w:rsidR="001E3FFD" w:rsidRDefault="001E3FFD">
            <w:pPr>
              <w:ind w:right="49"/>
              <w:jc w:val="both"/>
              <w:rPr>
                <w:rFonts w:ascii="Palatino Linotype" w:eastAsia="Palatino Linotype" w:hAnsi="Palatino Linotype" w:cs="Palatino Linotype"/>
                <w:b/>
                <w:bCs/>
                <w:i/>
                <w:iCs/>
                <w:sz w:val="22"/>
                <w:szCs w:val="22"/>
              </w:rPr>
            </w:pPr>
          </w:p>
        </w:tc>
        <w:tc>
          <w:tcPr>
            <w:tcW w:w="3089" w:type="dxa"/>
          </w:tcPr>
          <w:p w:rsidR="001E3FFD" w:rsidRDefault="00383357">
            <w:pPr>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Oficios que se recibieron y lo que se emitieron en el mes de julio 2025 en la Secretaría Técnica del Consejo Municipal de Seguridad Pública.</w:t>
            </w:r>
          </w:p>
          <w:p w:rsidR="001E3FFD" w:rsidRDefault="00383357">
            <w:pPr>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Oficio_025 - SAIMEX0240_anexo_R.pdf: </w:t>
            </w:r>
            <w:r>
              <w:rPr>
                <w:rFonts w:ascii="Palatino Linotype" w:eastAsia="Palatino Linotype" w:hAnsi="Palatino Linotype" w:cs="Palatino Linotype"/>
                <w:i/>
                <w:iCs/>
                <w:sz w:val="22"/>
                <w:szCs w:val="22"/>
              </w:rPr>
              <w:t xml:space="preserve">oficios recibidos en la Secretaría Técnica del Consejo Municipal de Seguridad en el mes de julio de dos mil veinticinco. </w:t>
            </w:r>
          </w:p>
          <w:p w:rsidR="001E3FFD" w:rsidRDefault="00383357">
            <w:pPr>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Oficio_025 - SAIMEX0240_anexo_E.pdf: </w:t>
            </w:r>
            <w:r>
              <w:rPr>
                <w:rFonts w:ascii="Palatino Linotype" w:eastAsia="Palatino Linotype" w:hAnsi="Palatino Linotype" w:cs="Palatino Linotype"/>
                <w:i/>
                <w:iCs/>
                <w:sz w:val="22"/>
                <w:szCs w:val="22"/>
              </w:rPr>
              <w:t>oficios emitidos por la Secretaría Técnica del Consejo Municipal de Seguridad, de los cuales hace falta</w:t>
            </w:r>
            <w:r>
              <w:rPr>
                <w:rFonts w:ascii="Palatino Linotype" w:eastAsia="Palatino Linotype" w:hAnsi="Palatino Linotype" w:cs="Palatino Linotype"/>
                <w:b/>
                <w:bCs/>
                <w:i/>
                <w:iCs/>
                <w:sz w:val="22"/>
                <w:szCs w:val="22"/>
              </w:rPr>
              <w:t xml:space="preserve"> </w:t>
            </w:r>
            <w:r>
              <w:rPr>
                <w:rFonts w:ascii="Palatino Linotype" w:eastAsia="Palatino Linotype" w:hAnsi="Palatino Linotype" w:cs="Palatino Linotype"/>
                <w:i/>
                <w:iCs/>
                <w:sz w:val="22"/>
                <w:szCs w:val="22"/>
              </w:rPr>
              <w:t xml:space="preserve">el oficio trescientos treinta y nueve. </w:t>
            </w:r>
          </w:p>
          <w:p w:rsidR="001E3FFD" w:rsidRDefault="00383357">
            <w:pPr>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Oficio_025 - SAIMEX0240.pdf: </w:t>
            </w:r>
            <w:r>
              <w:rPr>
                <w:rFonts w:ascii="Palatino Linotype" w:eastAsia="Palatino Linotype" w:hAnsi="Palatino Linotype" w:cs="Palatino Linotype"/>
                <w:i/>
                <w:iCs/>
                <w:sz w:val="22"/>
                <w:szCs w:val="22"/>
              </w:rPr>
              <w:t xml:space="preserve">oficio del </w:t>
            </w:r>
            <w:r>
              <w:rPr>
                <w:rFonts w:ascii="Palatino Linotype" w:eastAsia="Palatino Linotype" w:hAnsi="Palatino Linotype" w:cs="Palatino Linotype"/>
                <w:i/>
                <w:iCs/>
                <w:sz w:val="22"/>
                <w:szCs w:val="22"/>
              </w:rPr>
              <w:lastRenderedPageBreak/>
              <w:t xml:space="preserve">Secretario Técnico del Consejo Municipal de Seguridad Pública, mediante el cual informa que se anexa la información solicitada con el sustento del Acuerdo Número </w:t>
            </w:r>
            <w:r>
              <w:rPr>
                <w:rFonts w:ascii="Palatino Linotype" w:eastAsia="Palatino Linotype" w:hAnsi="Palatino Linotype" w:cs="Palatino Linotype"/>
                <w:b/>
                <w:bCs/>
                <w:i/>
                <w:iCs/>
                <w:sz w:val="22"/>
                <w:szCs w:val="22"/>
              </w:rPr>
              <w:t xml:space="preserve">CT/Se/38/02/2026, </w:t>
            </w:r>
            <w:r>
              <w:rPr>
                <w:rFonts w:ascii="Palatino Linotype" w:eastAsia="Palatino Linotype" w:hAnsi="Palatino Linotype" w:cs="Palatino Linotype"/>
                <w:i/>
                <w:iCs/>
                <w:sz w:val="22"/>
                <w:szCs w:val="22"/>
              </w:rPr>
              <w:t xml:space="preserve">del veintidós de enero de dos mil veintidós, en la Trigésima Octava Sesión Extraordinaria del Comité de Transparencia. </w:t>
            </w:r>
          </w:p>
          <w:p w:rsidR="001E3FFD" w:rsidRDefault="001E3FFD">
            <w:pPr>
              <w:ind w:right="49"/>
              <w:jc w:val="both"/>
              <w:rPr>
                <w:rFonts w:ascii="Palatino Linotype" w:eastAsia="Palatino Linotype" w:hAnsi="Palatino Linotype" w:cs="Palatino Linotype"/>
                <w:i/>
                <w:iCs/>
                <w:sz w:val="22"/>
                <w:szCs w:val="22"/>
              </w:rPr>
            </w:pPr>
          </w:p>
        </w:tc>
        <w:tc>
          <w:tcPr>
            <w:tcW w:w="2011" w:type="dxa"/>
          </w:tcPr>
          <w:p w:rsidR="001E3FFD" w:rsidRDefault="00383357">
            <w:pPr>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Ratificación de la información entregada</w:t>
            </w:r>
          </w:p>
        </w:tc>
        <w:tc>
          <w:tcPr>
            <w:tcW w:w="1872" w:type="dxa"/>
          </w:tcPr>
          <w:p w:rsidR="001E3FFD" w:rsidRDefault="00383357">
            <w:pPr>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No colma, toda vez que hace falta número de oficios emitidos</w:t>
            </w:r>
          </w:p>
        </w:tc>
      </w:tr>
      <w:tr w:rsidR="001E3FFD">
        <w:tc>
          <w:tcPr>
            <w:tcW w:w="1807" w:type="dxa"/>
          </w:tcPr>
          <w:p w:rsidR="001E3FFD" w:rsidRDefault="00383357">
            <w:pPr>
              <w:ind w:right="49"/>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3.-  Oficios que se recibieron y lo que se emitieron en el mes de agosto 2025 en la Secretaría Técnica del Consejo Municipal de Seguridad Pública.</w:t>
            </w:r>
          </w:p>
        </w:tc>
        <w:tc>
          <w:tcPr>
            <w:tcW w:w="3089" w:type="dxa"/>
          </w:tcPr>
          <w:p w:rsidR="001E3FFD" w:rsidRDefault="00383357">
            <w:pPr>
              <w:ind w:right="18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Oficio_026 - SAIMEX0241_anexo_E.pdf: </w:t>
            </w:r>
            <w:r>
              <w:rPr>
                <w:rFonts w:ascii="Palatino Linotype" w:eastAsia="Palatino Linotype" w:hAnsi="Palatino Linotype" w:cs="Palatino Linotype"/>
                <w:i/>
                <w:iCs/>
                <w:sz w:val="22"/>
                <w:szCs w:val="22"/>
              </w:rPr>
              <w:t>oficios emitidos por la Secretaría Técnica del Consejo Municipal de Seguridad, de los cuales hacen falta</w:t>
            </w:r>
            <w:r>
              <w:rPr>
                <w:rFonts w:ascii="Palatino Linotype" w:eastAsia="Palatino Linotype" w:hAnsi="Palatino Linotype" w:cs="Palatino Linotype"/>
                <w:b/>
                <w:bCs/>
                <w:i/>
                <w:iCs/>
                <w:sz w:val="22"/>
                <w:szCs w:val="22"/>
              </w:rPr>
              <w:t xml:space="preserve"> </w:t>
            </w:r>
            <w:r>
              <w:rPr>
                <w:rFonts w:ascii="Palatino Linotype" w:eastAsia="Palatino Linotype" w:hAnsi="Palatino Linotype" w:cs="Palatino Linotype"/>
                <w:i/>
                <w:iCs/>
                <w:sz w:val="22"/>
                <w:szCs w:val="22"/>
              </w:rPr>
              <w:t xml:space="preserve">los oficios trescientos ochenta y ocho, trescientos noventa y ocho, cuatrocientos tres y cuatrocientos treinta y cuatro. </w:t>
            </w:r>
          </w:p>
          <w:p w:rsidR="001E3FFD" w:rsidRDefault="00383357">
            <w:pPr>
              <w:ind w:right="18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Oficio_026 - SAIMEX0241_anexo_R.pdf:</w:t>
            </w:r>
            <w:r>
              <w:rPr>
                <w:rFonts w:ascii="Palatino Linotype" w:eastAsia="Palatino Linotype" w:hAnsi="Palatino Linotype" w:cs="Palatino Linotype"/>
                <w:i/>
                <w:iCs/>
                <w:sz w:val="22"/>
                <w:szCs w:val="22"/>
              </w:rPr>
              <w:t xml:space="preserve"> oficios recibidos en la Secretaría Técnica del Consejo Municipal de Seguridad en el mes de agosto de dos mil veinticinco</w:t>
            </w:r>
          </w:p>
          <w:p w:rsidR="001E3FFD" w:rsidRDefault="00383357">
            <w:pPr>
              <w:ind w:right="18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Oficio_026 - SAIMEX0241.pdf: </w:t>
            </w:r>
            <w:r>
              <w:rPr>
                <w:rFonts w:ascii="Palatino Linotype" w:eastAsia="Palatino Linotype" w:hAnsi="Palatino Linotype" w:cs="Palatino Linotype"/>
                <w:i/>
                <w:iCs/>
                <w:sz w:val="22"/>
                <w:szCs w:val="22"/>
              </w:rPr>
              <w:t xml:space="preserve">oficio del Secretario Técnico del Consejo Municipal de Seguridad Pública, mediante el cual informa que se anexa la información solicitada con el sustento del Acuerdo Número </w:t>
            </w:r>
            <w:r>
              <w:rPr>
                <w:rFonts w:ascii="Palatino Linotype" w:eastAsia="Palatino Linotype" w:hAnsi="Palatino Linotype" w:cs="Palatino Linotype"/>
                <w:b/>
                <w:bCs/>
                <w:i/>
                <w:iCs/>
                <w:sz w:val="22"/>
                <w:szCs w:val="22"/>
              </w:rPr>
              <w:t xml:space="preserve">CT/Se/38/02/2026, </w:t>
            </w:r>
            <w:r>
              <w:rPr>
                <w:rFonts w:ascii="Palatino Linotype" w:eastAsia="Palatino Linotype" w:hAnsi="Palatino Linotype" w:cs="Palatino Linotype"/>
                <w:i/>
                <w:iCs/>
                <w:sz w:val="22"/>
                <w:szCs w:val="22"/>
              </w:rPr>
              <w:t xml:space="preserve">del </w:t>
            </w:r>
            <w:r>
              <w:rPr>
                <w:rFonts w:ascii="Palatino Linotype" w:eastAsia="Palatino Linotype" w:hAnsi="Palatino Linotype" w:cs="Palatino Linotype"/>
                <w:i/>
                <w:iCs/>
                <w:sz w:val="22"/>
                <w:szCs w:val="22"/>
              </w:rPr>
              <w:lastRenderedPageBreak/>
              <w:t>veintidós de enero de dos mil veintidós, en la Trigésima Octava Sesión Extraordinaria del Comité de Transparencia.</w:t>
            </w:r>
          </w:p>
          <w:p w:rsidR="001E3FFD" w:rsidRDefault="001E3FFD">
            <w:pPr>
              <w:ind w:right="184"/>
              <w:jc w:val="both"/>
              <w:rPr>
                <w:rFonts w:ascii="Palatino Linotype" w:eastAsia="Palatino Linotype" w:hAnsi="Palatino Linotype" w:cs="Palatino Linotype"/>
                <w:i/>
                <w:iCs/>
                <w:sz w:val="22"/>
                <w:szCs w:val="22"/>
              </w:rPr>
            </w:pPr>
          </w:p>
        </w:tc>
        <w:tc>
          <w:tcPr>
            <w:tcW w:w="2011" w:type="dxa"/>
          </w:tcPr>
          <w:p w:rsidR="001E3FFD" w:rsidRDefault="00383357">
            <w:pPr>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Ratificación de la información entregada</w:t>
            </w:r>
          </w:p>
        </w:tc>
        <w:tc>
          <w:tcPr>
            <w:tcW w:w="1872" w:type="dxa"/>
          </w:tcPr>
          <w:p w:rsidR="001E3FFD" w:rsidRDefault="00383357">
            <w:pPr>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No colma, toda vez que hace falta número de oficios emitidos.</w:t>
            </w:r>
          </w:p>
          <w:p w:rsidR="001E3FFD" w:rsidRDefault="00383357">
            <w:pPr>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Además se debe de señalar que se clasificó información como confidencial, respecto de datos de contacto, sin embargo al no entregarse el Acta del Comité de Transparencia, no se tiene la certeza de que los oficios que tienen dicha información como clasificada se encuentre de manera correcta.  </w:t>
            </w:r>
          </w:p>
        </w:tc>
      </w:tr>
    </w:tbl>
    <w:p w:rsidR="001E3FFD" w:rsidRDefault="001E3FFD">
      <w:pPr>
        <w:spacing w:line="360" w:lineRule="auto"/>
        <w:ind w:right="49"/>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 tabla anterior, se tiene que el derecho de acceso a la información del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fue colmado parcialmente</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toda vez que tal y como se precisó en la descripción de la información entregada hicieron falta números consecutivos de oficios para cada una de las solicitudes de información. </w:t>
      </w:r>
    </w:p>
    <w:p w:rsidR="001E3FFD" w:rsidRDefault="001E3FFD">
      <w:pPr>
        <w:spacing w:line="360" w:lineRule="auto"/>
        <w:ind w:right="49"/>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Seguidamente, se debe de mencionar que se pronunció el área habilitada del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toda vez que se entregaron los oficios enviados por la </w:t>
      </w:r>
      <w:r>
        <w:rPr>
          <w:rFonts w:ascii="Palatino Linotype" w:eastAsia="Palatino Linotype" w:hAnsi="Palatino Linotype" w:cs="Palatino Linotype"/>
          <w:b/>
          <w:bCs/>
          <w:i/>
          <w:iCs/>
          <w:sz w:val="22"/>
          <w:szCs w:val="22"/>
        </w:rPr>
        <w:t>Secretaría Técnica del Consejo Municipal de Seguridad Pública</w:t>
      </w:r>
      <w:r>
        <w:rPr>
          <w:rFonts w:ascii="Palatino Linotype" w:eastAsia="Palatino Linotype" w:hAnsi="Palatino Linotype" w:cs="Palatino Linotype"/>
          <w:sz w:val="22"/>
          <w:szCs w:val="22"/>
        </w:rPr>
        <w:t xml:space="preserve">, misma que de acuerdo con el Manual de Organización de la Presidencia Municipal, tiene las siguientes funciones. </w:t>
      </w:r>
    </w:p>
    <w:p w:rsidR="001E3FFD" w:rsidRDefault="001E3FFD">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00030000 Secretaría Técnica del Consejo Municipal de Seguridad Pública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Objetivo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Vincular al ayuntamiento con instancias federales, estatales y municipales en materia de seguridad pública municipal y de prevención social de la violencia y la delincuencia de acuerdo a la normatividad aplicable, atendiendo aspectos administrativos y de planeación para generar acuerdos y acciones que se reflejen en los programas municipales en estas materias.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Funciones: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 Fungir como enlace ante las instancias federales y estatales en materia de seguridad pública y prevención social de la violencia y la delincuencia, proveyendo la información que le sea solicitada por las mismas;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2. Procurar el cumplimiento a las disposiciones y acuerdos de los Consejos Nacional, Estatal, Intermunicipal y Municipal de Seguridad Pública, coadyuvando con la o el Contralor Interno Municipal en la evaluación del cumplimiento de los acuerdos y resoluciones de dichos Consejos;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lastRenderedPageBreak/>
        <w:t xml:space="preserve">3. Dar seguimiento a las sesiones y acuerdos de las diversas Comisiones que derivan del Consejo Municipal de Seguridad Pública;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4. Brindar atención y orientación permanente a la ciudadanía sobre solicitudes, fomentando la cultura de la denuncia y difusión de la misma;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5. Fomentar la participación ciudadana al interior del Consejo Municipal de Seguridad Pública;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6. Fungir como enlace y verificar ante el Centro de Control de Confianza Estatal que el estado de fuerza municipal, así como las y los servidores públicos obligados, cumplan con lo previsto en materia de Control de Confianza;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7. Coordinar el desarrollo de las sesiones del Consejo Municipal de Seguridad Pública de conformidad con la normatividad estatal vigente; debiendo integrar, conservar y actualizar el archivo de los asuntos tratados en dicho Consejo, así como difundir las actividades que se desarrollan en el mismo;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8. Promover la capacitación de los integrantes del Consejo Municipal y demás personal del municipio relacionado con la seguridad pública, la prevención social de la violencia y la delincuencia y la participación ciudadana;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9. Dar seguimiento a las actividades que realiza la Dirección General de Seguridad y Protección para el registro y actualización de la licencia oficial colectiva para la portación de armas de fuego;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10. Elaborar y proponer de manera coordinada con la Dirección General de Seguridad y Protección al Presidente del Consejo, los Programas Municipales de Seguridad Pública y Prevención Social de la Violencia y la Delincuencia con Participación Ciudadana;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11. Fungir como enlace ante el Centro de Prevención del Delito del Secretariado Ejecutivo con la finalidad de coordinar junto con la Dirección General de Seguridad y Protección la ejecución y evaluación de programas, políticas y estrategias en la materia, proveyendo la información que le sea solicitada;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12. Proponer al Consejo Municipal de Seguridad Pública la celebración de convenios que contribuyan a la consecución de los fines de la seguridad pública y del Consejo Municipal;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13. Fungir como enlace ante la Universidad Mexiquense de Seguridad y coadyuvar con la o el Comisario o la o el Director General de Seguridad y Protección para mantener en permanente actualización y profesionalización al estado de fuerza municipal; </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14. Fungir como enlace ante el Secretariado Ejecutivo del Sistema Nacional de Seguridad Pública y el Secretariado Ejecutivo del Sistema Estatal de Seguridad Pública para la supervisión sobre el avance físico-financiero </w:t>
      </w:r>
      <w:r>
        <w:rPr>
          <w:rFonts w:ascii="Palatino Linotype" w:eastAsia="Palatino Linotype" w:hAnsi="Palatino Linotype" w:cs="Palatino Linotype"/>
          <w:i/>
          <w:iCs/>
          <w:color w:val="000000"/>
          <w:sz w:val="22"/>
          <w:szCs w:val="22"/>
        </w:rPr>
        <w:lastRenderedPageBreak/>
        <w:t>correspondiente al ejercicio de recursos de fondos y subsidios de origen federal, estatal o municipal aplicados a la prestación del servicio de seguridad pública y la prevención de la violencia y la delincuencia; y</w:t>
      </w:r>
    </w:p>
    <w:p w:rsidR="001E3FFD" w:rsidRDefault="00383357">
      <w:pPr>
        <w:pBdr>
          <w:top w:val="nil"/>
          <w:left w:val="nil"/>
          <w:bottom w:val="nil"/>
          <w:right w:val="nil"/>
          <w:between w:val="nil"/>
        </w:pBdr>
        <w:ind w:left="1134" w:right="851"/>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 15. Realizar todas aquellas actividades que sean inherentes y aplicables al área de su competencia y las demás que le sean encomendadas por instrucción de la o el Presidente Municipal.</w:t>
      </w: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rPr>
          <w:rFonts w:ascii="Palatino Linotype" w:eastAsia="Palatino Linotype" w:hAnsi="Palatino Linotype" w:cs="Palatino Linotype"/>
          <w:b/>
          <w:bCs/>
          <w:i/>
          <w:iCs/>
          <w:sz w:val="22"/>
          <w:szCs w:val="22"/>
        </w:rPr>
      </w:pPr>
      <w:r>
        <w:rPr>
          <w:rFonts w:ascii="Palatino Linotype" w:eastAsia="Palatino Linotype" w:hAnsi="Palatino Linotype" w:cs="Palatino Linotype"/>
          <w:sz w:val="22"/>
          <w:szCs w:val="22"/>
        </w:rPr>
        <w:t xml:space="preserve">De las funciones que tiene la </w:t>
      </w:r>
      <w:r>
        <w:rPr>
          <w:rFonts w:ascii="Palatino Linotype" w:eastAsia="Palatino Linotype" w:hAnsi="Palatino Linotype" w:cs="Palatino Linotype"/>
          <w:b/>
          <w:bCs/>
          <w:i/>
          <w:iCs/>
          <w:sz w:val="22"/>
          <w:szCs w:val="22"/>
        </w:rPr>
        <w:t xml:space="preserve">Secretaría Técnica del Consejo Municipal de Seguridad Pública </w:t>
      </w:r>
      <w:r>
        <w:rPr>
          <w:rFonts w:ascii="Palatino Linotype" w:eastAsia="Palatino Linotype" w:hAnsi="Palatino Linotype" w:cs="Palatino Linotype"/>
          <w:sz w:val="22"/>
          <w:szCs w:val="22"/>
        </w:rPr>
        <w:t xml:space="preserve">, se tiene que debe de generar oficios para la comunicación y atención de los asuntos que por sus funciones desarrolla. </w:t>
      </w:r>
    </w:p>
    <w:p w:rsidR="001E3FFD" w:rsidRDefault="001E3FFD">
      <w:pPr>
        <w:spacing w:line="360" w:lineRule="auto"/>
        <w:ind w:right="49"/>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esa línea, se debe de precisar que para que sea colmado el derecho de acceso a la información del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deberá de entregar los oficios que hicieron falta por cada solicitud de información. </w:t>
      </w: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Sin embargo de ser el caso que los oficios faltantes no se hubieran generado porque se hubieran cancelado, bastará con que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lo haga del conocimiento del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 xml:space="preserve">de conformidad con el artículo 19 párrafo segundo de la Ley de Transparencia y Acceso a la Información Pública del Estado de México y Municipios. </w:t>
      </w: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se debe de analizar que para el caso de los oficios entregados en respuesta al recurso de revisión  01770/INFOEM/IP/RR/2026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entrego oficios de los cuales se observa que se clasifica la información de contacto de comunicación de servidores públicos, de los cuales no se tiene la certeza que sean número particulares, tal y como se muestra en las siguientes capturas de pantalla. </w:t>
      </w:r>
      <w:r>
        <w:rPr>
          <w:noProof/>
        </w:rPr>
        <w:drawing>
          <wp:anchor distT="0" distB="0" distL="114300" distR="114300" simplePos="0" relativeHeight="251658240" behindDoc="0" locked="0" layoutInCell="1" hidden="0" allowOverlap="1">
            <wp:simplePos x="0" y="0"/>
            <wp:positionH relativeFrom="column">
              <wp:posOffset>-720335</wp:posOffset>
            </wp:positionH>
            <wp:positionV relativeFrom="paragraph">
              <wp:posOffset>892586</wp:posOffset>
            </wp:positionV>
            <wp:extent cx="3359669" cy="2140647"/>
            <wp:effectExtent l="0" t="0" r="0" b="0"/>
            <wp:wrapNone/>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359669" cy="2140647"/>
                    </a:xfrm>
                    <a:prstGeom prst="rect">
                      <a:avLst/>
                    </a:prstGeom>
                    <a:ln/>
                  </pic:spPr>
                </pic:pic>
              </a:graphicData>
            </a:graphic>
          </wp:anchor>
        </w:drawing>
      </w:r>
    </w:p>
    <w:p w:rsidR="001E3FFD" w:rsidRDefault="00383357">
      <w:pPr>
        <w:pBdr>
          <w:top w:val="nil"/>
          <w:left w:val="nil"/>
          <w:bottom w:val="nil"/>
          <w:right w:val="nil"/>
          <w:between w:val="nil"/>
        </w:pBdr>
        <w:ind w:left="720"/>
        <w:rPr>
          <w:rFonts w:ascii="Palatino Linotype" w:eastAsia="Palatino Linotype" w:hAnsi="Palatino Linotype" w:cs="Palatino Linotype"/>
          <w:color w:val="000000"/>
          <w:sz w:val="22"/>
          <w:szCs w:val="22"/>
        </w:rPr>
      </w:pPr>
      <w:r>
        <w:rPr>
          <w:noProof/>
        </w:rPr>
        <w:drawing>
          <wp:anchor distT="0" distB="0" distL="114300" distR="114300" simplePos="0" relativeHeight="251659264" behindDoc="0" locked="0" layoutInCell="1" hidden="0" allowOverlap="1">
            <wp:simplePos x="0" y="0"/>
            <wp:positionH relativeFrom="column">
              <wp:posOffset>2772355</wp:posOffset>
            </wp:positionH>
            <wp:positionV relativeFrom="paragraph">
              <wp:posOffset>73169</wp:posOffset>
            </wp:positionV>
            <wp:extent cx="3180429" cy="3866163"/>
            <wp:effectExtent l="0" t="0" r="0" b="0"/>
            <wp:wrapNone/>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180429" cy="3866163"/>
                    </a:xfrm>
                    <a:prstGeom prst="rect">
                      <a:avLst/>
                    </a:prstGeom>
                    <a:ln/>
                  </pic:spPr>
                </pic:pic>
              </a:graphicData>
            </a:graphic>
          </wp:anchor>
        </w:drawing>
      </w: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spacing w:line="360" w:lineRule="auto"/>
        <w:ind w:right="49"/>
        <w:jc w:val="both"/>
        <w:rPr>
          <w:rFonts w:ascii="Palatino Linotype" w:eastAsia="Palatino Linotype" w:hAnsi="Palatino Linotype" w:cs="Palatino Linotype"/>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38335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esa línea, se tiene que al no tener la certeza de que los datos de contacto corresponden a números telefónicos o correos electrónicos en uso de particulares y no de servidores públicos por no haberse entregado el Acta del Comité de Transparencia que de manera fundada y motivada, es que dicho oficios deberán de ser ordenados en correcta versión pública.</w:t>
      </w:r>
    </w:p>
    <w:p w:rsidR="001E3FFD" w:rsidRDefault="0038335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ser el caso que los datos si correspondan a datos en uso de particulares y no de servidores públicos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deberá de entregar el Acta del Comité de Transparencia, mediante el cual de manera fundada y motivada fundamente y motive las razones de la clasificación de la información como confidencial de conformidad con el artículo 143 fracción I de la Ley de Transparencia y Acceso a la Información Pública del Estado de México y Municipios. </w:t>
      </w:r>
    </w:p>
    <w:p w:rsidR="001E3FFD" w:rsidRDefault="0038335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Finalmente se tiene que de la información que puedan contener los oficios pueden integrarse por información que deba de ser clasificada como confidencial, la cual de manera enunciativa más no limitativa puede ser la siguiente.</w:t>
      </w: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383357">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Registro Federal de Contribuyentes</w:t>
      </w:r>
      <w:r>
        <w:rPr>
          <w:rFonts w:ascii="Palatino Linotype" w:eastAsia="Palatino Linotype" w:hAnsi="Palatino Linotype" w:cs="Palatino Linotype"/>
          <w:color w:val="000000"/>
          <w:sz w:val="22"/>
          <w:szCs w:val="22"/>
        </w:rPr>
        <w:t xml:space="preserve"> (RFC)</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w:t>
      </w:r>
      <w:r>
        <w:rPr>
          <w:rFonts w:ascii="Palatino Linotype" w:eastAsia="Palatino Linotype" w:hAnsi="Palatino Linotype" w:cs="Palatino Linotype"/>
          <w:sz w:val="22"/>
          <w:szCs w:val="22"/>
        </w:rPr>
        <w:t>donde</w:t>
      </w:r>
      <w:r>
        <w:rPr>
          <w:rFonts w:ascii="Palatino Linotype" w:eastAsia="Palatino Linotype" w:hAnsi="Palatino Linotype" w:cs="Palatino Linotype"/>
          <w:color w:val="000000"/>
          <w:sz w:val="22"/>
          <w:szCs w:val="22"/>
        </w:rPr>
        <w:t xml:space="preserve"> consta la clave que asigna este órgano desconcentrado de la Secretaría de Hacienda y Crédito Público, de acuerdo con el artículo 27 del Código Fiscal de la Federación.</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la clave del Registro Federal de Contribuyentes es el medio de control que tiene la Secretaría de Hacienda y Crédito Público, a través del Servicio de </w:t>
      </w:r>
      <w:r>
        <w:rPr>
          <w:rFonts w:ascii="Palatino Linotype" w:eastAsia="Palatino Linotype" w:hAnsi="Palatino Linotype" w:cs="Palatino Linotype"/>
          <w:sz w:val="22"/>
          <w:szCs w:val="22"/>
        </w:rPr>
        <w:t>Administración</w:t>
      </w:r>
      <w:r>
        <w:rPr>
          <w:rFonts w:ascii="Palatino Linotype" w:eastAsia="Palatino Linotype" w:hAnsi="Palatino Linotype" w:cs="Palatino Linotype"/>
          <w:color w:val="000000"/>
          <w:sz w:val="22"/>
          <w:szCs w:val="22"/>
        </w:rPr>
        <w:t xml:space="preserve">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 </w:t>
      </w:r>
      <w:r>
        <w:rPr>
          <w:rFonts w:ascii="Palatino Linotype" w:eastAsia="Palatino Linotype" w:hAnsi="Palatino Linotype" w:cs="Palatino Linotype"/>
          <w:sz w:val="22"/>
          <w:szCs w:val="22"/>
        </w:rPr>
        <w:t>anterior</w:t>
      </w:r>
      <w:r>
        <w:rPr>
          <w:rFonts w:ascii="Palatino Linotype" w:eastAsia="Palatino Linotype" w:hAnsi="Palatino Linotype" w:cs="Palatino Linotype"/>
          <w:color w:val="000000"/>
          <w:sz w:val="22"/>
          <w:szCs w:val="22"/>
        </w:rPr>
        <w:t>, resulta congruente con el Criterio 19/17 emitido por el Instituto Nacional de Transparencia, Acceso a la Información y Protección de Datos Personales, en el cual se señala lo siguiente:</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b/>
          <w:bCs/>
          <w:i/>
          <w:iCs/>
          <w:color w:val="000000"/>
          <w:sz w:val="22"/>
          <w:szCs w:val="22"/>
        </w:rPr>
        <w:t>Registro Federal de Contribuyentes (RFC) de personas físicas</w:t>
      </w:r>
      <w:r>
        <w:rPr>
          <w:rFonts w:ascii="Palatino Linotype" w:eastAsia="Palatino Linotype" w:hAnsi="Palatino Linotype" w:cs="Palatino Linotype"/>
          <w:i/>
          <w:iCs/>
          <w:color w:val="000000"/>
          <w:sz w:val="22"/>
          <w:szCs w:val="22"/>
        </w:rPr>
        <w:t>. El RFC es una clave de carácter fiscal, única e irrepetible, que permite identificar al titular, su edad y fecha de nacimiento, por lo que es un dato personal de carácter confidencial.”</w:t>
      </w:r>
    </w:p>
    <w:p w:rsidR="001E3FFD" w:rsidRDefault="001E3FFD">
      <w:pPr>
        <w:ind w:left="1134" w:right="900"/>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Clave única de Registro de Población –CURP-.</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artículo 36 de la Constitución Política de los Estados Unidos Mexicanos, dispone la </w:t>
      </w:r>
      <w:r>
        <w:rPr>
          <w:rFonts w:ascii="Palatino Linotype" w:eastAsia="Palatino Linotype" w:hAnsi="Palatino Linotype" w:cs="Palatino Linotype"/>
          <w:sz w:val="22"/>
          <w:szCs w:val="22"/>
        </w:rPr>
        <w:t>obligación</w:t>
      </w:r>
      <w:r>
        <w:rPr>
          <w:rFonts w:ascii="Palatino Linotype" w:eastAsia="Palatino Linotype" w:hAnsi="Palatino Linotype" w:cs="Palatino Linotype"/>
          <w:color w:val="000000"/>
          <w:sz w:val="22"/>
          <w:szCs w:val="22"/>
        </w:rPr>
        <w:t xml:space="preserve"> de los ciudadanos de inscribirse en el Registro Nacional de Ciudadanos. </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Acorde</w:t>
      </w:r>
      <w:r>
        <w:rPr>
          <w:rFonts w:ascii="Palatino Linotype" w:eastAsia="Palatino Linotype" w:hAnsi="Palatino Linotype" w:cs="Palatino Linotype"/>
          <w:color w:val="000000"/>
          <w:sz w:val="22"/>
          <w:szCs w:val="22"/>
        </w:rPr>
        <w:t xml:space="preserv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1E3FFD" w:rsidRDefault="001E3FFD">
      <w:pPr>
        <w:spacing w:line="360" w:lineRule="auto"/>
        <w:jc w:val="both"/>
        <w:rPr>
          <w:rFonts w:ascii="Palatino Linotype" w:eastAsia="Palatino Linotype" w:hAnsi="Palatino Linotype" w:cs="Palatino Linotype"/>
          <w:b/>
          <w:bCs/>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conformidad con lo precisado por la propia Secretaría de Gobernación en la dirección </w:t>
      </w:r>
      <w:hyperlink r:id="rId10">
        <w:r>
          <w:rPr>
            <w:rFonts w:ascii="Palatino Linotype" w:eastAsia="Palatino Linotype" w:hAnsi="Palatino Linotype" w:cs="Palatino Linotype"/>
            <w:color w:val="0563C1"/>
            <w:sz w:val="22"/>
            <w:szCs w:val="22"/>
            <w:u w:val="single"/>
          </w:rPr>
          <w:t>https://consultas.curp.gob.mx/CurpSP/html/informacionecurpPS.html</w:t>
        </w:r>
      </w:hyperlink>
      <w:r>
        <w:rPr>
          <w:rFonts w:ascii="Palatino Linotype" w:eastAsia="Palatino Linotype" w:hAnsi="Palatino Linotype" w:cs="Palatino Linotype"/>
          <w:color w:val="000000"/>
          <w:sz w:val="22"/>
          <w:szCs w:val="22"/>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Pr>
          <w:rFonts w:ascii="Palatino Linotype" w:eastAsia="Palatino Linotype" w:hAnsi="Palatino Linotype" w:cs="Palatino Linotype"/>
          <w:b/>
          <w:bCs/>
          <w:color w:val="000000"/>
          <w:sz w:val="22"/>
          <w:szCs w:val="22"/>
        </w:rPr>
        <w:t xml:space="preserve">se generan a partir de los datos contenidos en el documento probatorio de la identidad del interesado </w:t>
      </w:r>
      <w:r>
        <w:rPr>
          <w:rFonts w:ascii="Palatino Linotype" w:eastAsia="Palatino Linotype" w:hAnsi="Palatino Linotype" w:cs="Palatino Linotype"/>
          <w:color w:val="000000"/>
          <w:sz w:val="22"/>
          <w:szCs w:val="22"/>
        </w:rPr>
        <w:t>(acta de nacimiento, carta de naturalización o documento migratorio) de la siguiente forma:</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 El primero y segundo apellidos, así como al nombre de pila.</w:t>
      </w:r>
    </w:p>
    <w:p w:rsidR="001E3FFD" w:rsidRDefault="00383357">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 La fecha de nacimiento.</w:t>
      </w:r>
    </w:p>
    <w:p w:rsidR="001E3FFD" w:rsidRDefault="00383357">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 El sexo.</w:t>
      </w:r>
    </w:p>
    <w:p w:rsidR="001E3FFD" w:rsidRDefault="00383357">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 La entidad federativa de nacimiento.</w:t>
      </w:r>
    </w:p>
    <w:p w:rsidR="001E3FFD" w:rsidRDefault="00383357">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dos últimos elementos de la CURP evitan la duplicidad de la Clave y garantizan su correcta integración.</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Resulta aplicable en la especie, como argumento orientador, el Criterio 3/10, emitido por el INAI.</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Clave Única de Registro de Población (CURP) es un dato personal confidencial. </w:t>
      </w:r>
      <w:r>
        <w:rPr>
          <w:rFonts w:ascii="Palatino Linotype" w:eastAsia="Palatino Linotype" w:hAnsi="Palatino Linotype" w:cs="Palatino Linotype"/>
          <w:i/>
          <w:iCs/>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1E3FFD" w:rsidRDefault="001E3FFD">
      <w:pPr>
        <w:ind w:left="1134" w:right="900"/>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w:t>
      </w:r>
      <w:r>
        <w:rPr>
          <w:rFonts w:ascii="Palatino Linotype" w:eastAsia="Palatino Linotype" w:hAnsi="Palatino Linotype" w:cs="Palatino Linotype"/>
          <w:sz w:val="22"/>
          <w:szCs w:val="22"/>
        </w:rPr>
        <w:t>acuerdo</w:t>
      </w:r>
      <w:r>
        <w:rPr>
          <w:rFonts w:ascii="Palatino Linotype" w:eastAsia="Palatino Linotype" w:hAnsi="Palatino Linotype" w:cs="Palatino Linotype"/>
          <w:color w:val="000000"/>
          <w:sz w:val="22"/>
          <w:szCs w:val="22"/>
        </w:rPr>
        <w:t xml:space="preserve"> con lo anterior, se la clave CURP, es un dato personal confidencial, en términos del artículo 143, fracción I, de la Ley de Transparencia y Acceso a la Información Pública del Estado de México y Municipios.</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Nombre de persona física, Domicilio</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El </w:t>
      </w:r>
      <w:r>
        <w:rPr>
          <w:rFonts w:ascii="Palatino Linotype" w:eastAsia="Palatino Linotype" w:hAnsi="Palatino Linotype" w:cs="Palatino Linotype"/>
          <w:sz w:val="22"/>
          <w:szCs w:val="22"/>
        </w:rPr>
        <w:t>nombre</w:t>
      </w:r>
      <w:r>
        <w:rPr>
          <w:rFonts w:ascii="Palatino Linotype" w:eastAsia="Palatino Linotype" w:hAnsi="Palatino Linotype" w:cs="Palatino Linotype"/>
          <w:color w:val="000000"/>
          <w:sz w:val="22"/>
          <w:szCs w:val="22"/>
        </w:rPr>
        <w:t xml:space="preserv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Pr>
          <w:rFonts w:ascii="Palatino Linotype" w:eastAsia="Palatino Linotype" w:hAnsi="Palatino Linotype" w:cs="Palatino Linotype"/>
          <w:i/>
          <w:iCs/>
          <w:color w:val="000000"/>
          <w:sz w:val="22"/>
          <w:szCs w:val="22"/>
        </w:rPr>
        <w:t>perse</w:t>
      </w:r>
      <w:r>
        <w:rPr>
          <w:rFonts w:ascii="Palatino Linotype" w:eastAsia="Palatino Linotype" w:hAnsi="Palatino Linotype" w:cs="Palatino Linotype"/>
          <w:color w:val="000000"/>
          <w:sz w:val="22"/>
          <w:szCs w:val="22"/>
        </w:rPr>
        <w:t xml:space="preserve"> es un elemento que hace a una persona física identificada o identificable, por lo que, se considera un dato personal.</w:t>
      </w:r>
    </w:p>
    <w:p w:rsidR="001E3FFD" w:rsidRDefault="001E3FFD">
      <w:pPr>
        <w:spacing w:line="360" w:lineRule="auto"/>
        <w:jc w:val="both"/>
        <w:rPr>
          <w:rFonts w:ascii="Palatino Linotype" w:eastAsia="Palatino Linotype" w:hAnsi="Palatino Linotype" w:cs="Palatino Linotype"/>
          <w:b/>
          <w:bCs/>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de acuerdo a lo señalado en los artículos 2.3 y 2.5, fracción V del Código Civil del Estado de México, el domicilio es un atributo de la personalidad y un derecho </w:t>
      </w:r>
      <w:r>
        <w:rPr>
          <w:rFonts w:ascii="Palatino Linotype" w:eastAsia="Palatino Linotype" w:hAnsi="Palatino Linotype" w:cs="Palatino Linotype"/>
          <w:sz w:val="22"/>
          <w:szCs w:val="22"/>
        </w:rPr>
        <w:t>de</w:t>
      </w:r>
      <w:r>
        <w:rPr>
          <w:rFonts w:ascii="Palatino Linotype" w:eastAsia="Palatino Linotype" w:hAnsi="Palatino Linotype" w:cs="Palatino Linotype"/>
          <w:color w:val="000000"/>
          <w:sz w:val="22"/>
          <w:szCs w:val="22"/>
        </w:rPr>
        <w:t xml:space="preserv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Pr>
          <w:rFonts w:ascii="Palatino Linotype" w:eastAsia="Palatino Linotype" w:hAnsi="Palatino Linotype" w:cs="Palatino Linotype"/>
          <w:b/>
          <w:bCs/>
          <w:color w:val="000000"/>
          <w:sz w:val="22"/>
          <w:szCs w:val="22"/>
        </w:rPr>
        <w:t>el domicilio particular</w:t>
      </w:r>
      <w:r>
        <w:rPr>
          <w:rFonts w:ascii="Palatino Linotype" w:eastAsia="Palatino Linotype" w:hAnsi="Palatino Linotype" w:cs="Palatino Linotype"/>
          <w:color w:val="000000"/>
          <w:sz w:val="22"/>
          <w:szCs w:val="22"/>
        </w:rPr>
        <w:t xml:space="preserve"> es confidencial, en términos del artículo 143, fracción I de la Ley de Transparencia y Acceso a la Información Pública del Estado de México y Municipios. </w:t>
      </w:r>
    </w:p>
    <w:p w:rsidR="001E3FFD" w:rsidRDefault="001E3FFD">
      <w:pPr>
        <w:spacing w:line="360" w:lineRule="auto"/>
        <w:jc w:val="both"/>
        <w:rPr>
          <w:rFonts w:ascii="Palatino Linotype" w:eastAsia="Palatino Linotype" w:hAnsi="Palatino Linotype" w:cs="Palatino Linotype"/>
          <w:color w:val="000000"/>
          <w:sz w:val="22"/>
          <w:szCs w:val="22"/>
        </w:rPr>
      </w:pPr>
    </w:p>
    <w:p w:rsidR="001E3FFD" w:rsidRDefault="00383357">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Estado civil.</w:t>
      </w:r>
    </w:p>
    <w:p w:rsidR="001E3FFD" w:rsidRDefault="001E3FFD">
      <w:pPr>
        <w:spacing w:line="360" w:lineRule="auto"/>
        <w:jc w:val="both"/>
        <w:rPr>
          <w:rFonts w:ascii="Palatino Linotype" w:eastAsia="Palatino Linotype" w:hAnsi="Palatino Linotype" w:cs="Palatino Linotype"/>
          <w:b/>
          <w:bCs/>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w:t>
      </w:r>
      <w:r>
        <w:rPr>
          <w:rFonts w:ascii="Palatino Linotype" w:eastAsia="Palatino Linotype" w:hAnsi="Palatino Linotype" w:cs="Palatino Linotype"/>
          <w:sz w:val="22"/>
          <w:szCs w:val="22"/>
        </w:rPr>
        <w:lastRenderedPageBreak/>
        <w:t>personas es irrelevante, ya que tener uno u otro no influye en el mejor o menor desempeño de un cargo público.</w:t>
      </w:r>
    </w:p>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38335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Teléfono y celular particular.</w:t>
      </w:r>
    </w:p>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número asignado a un teléfono particular o celular permite localizar a una persona física identificada o identificable, ya sea a través de un dispositivo móvil o bien, en un lugar como el domicilio. </w:t>
      </w:r>
    </w:p>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tales consideraciones, dicho dato personal es susceptible de ser clasificado como confidencial, con fundamento en el artículo 143, fracción I de la Ley de Transparencia y Acceso a la Información Pública.</w:t>
      </w:r>
    </w:p>
    <w:p w:rsidR="001E3FFD" w:rsidRDefault="001E3FFD">
      <w:pPr>
        <w:spacing w:line="360" w:lineRule="auto"/>
        <w:ind w:right="49"/>
        <w:jc w:val="both"/>
        <w:rPr>
          <w:rFonts w:ascii="Palatino Linotype" w:eastAsia="Palatino Linotype" w:hAnsi="Palatino Linotype" w:cs="Palatino Linotype"/>
          <w:color w:val="000000"/>
          <w:sz w:val="22"/>
          <w:szCs w:val="22"/>
        </w:rPr>
      </w:pPr>
    </w:p>
    <w:p w:rsidR="001E3FFD" w:rsidRDefault="00383357">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Correo electrónico particular.</w:t>
      </w:r>
    </w:p>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cabe señalar que el correo electrónico corresponde a un dato personal que actualiza la causal de clasificación establecida en el artículo 143, fracción I de la Ley de Transparencia y Acceso a la Información Pública del Estado de México y Municipios.</w:t>
      </w: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Seguidamente, se debe de analizar que la información que pueda encontrarse en el contenido de los oficios también puede ser clasificada como reservada, la cual de manera enunciativa más no limitativa es la siguiente. </w:t>
      </w: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orden de ideas si bien por regla general los nombres de los trabajadores gubernamentales son información pública de oficio, existe una excepción relativa a aquellos que </w:t>
      </w:r>
      <w:r>
        <w:rPr>
          <w:rFonts w:ascii="Palatino Linotype" w:eastAsia="Palatino Linotype" w:hAnsi="Palatino Linotype" w:cs="Palatino Linotype"/>
          <w:sz w:val="22"/>
          <w:szCs w:val="22"/>
        </w:rPr>
        <w:t>realicen</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color w:val="000000"/>
          <w:sz w:val="22"/>
          <w:szCs w:val="22"/>
        </w:rPr>
        <w:t>actividades operativas en materia de seguridad</w:t>
      </w:r>
      <w:r>
        <w:rPr>
          <w:rFonts w:ascii="Palatino Linotype" w:eastAsia="Palatino Linotype" w:hAnsi="Palatino Linotype" w:cs="Palatino Linotype"/>
          <w:color w:val="000000"/>
          <w:sz w:val="22"/>
          <w:szCs w:val="22"/>
        </w:rPr>
        <w:t>, como es el caso de los elementos operativos y la policía municipal.</w:t>
      </w: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1E3FFD" w:rsidRDefault="001E3FF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tal situación, se considera que dar a conocer el nombre de los elementos operativos, que incluye a los policías municipales, puede poner en riesgo la vida, seguridad y salud de </w:t>
      </w:r>
      <w:r>
        <w:rPr>
          <w:rFonts w:ascii="Palatino Linotype" w:eastAsia="Palatino Linotype" w:hAnsi="Palatino Linotype" w:cs="Palatino Linotype"/>
          <w:sz w:val="22"/>
          <w:szCs w:val="22"/>
        </w:rPr>
        <w:t>estos</w:t>
      </w:r>
      <w:r>
        <w:rPr>
          <w:rFonts w:ascii="Palatino Linotype" w:eastAsia="Palatino Linotype" w:hAnsi="Palatino Linotype" w:cs="Palatino Linotype"/>
          <w:color w:val="000000"/>
          <w:sz w:val="22"/>
          <w:szCs w:val="22"/>
        </w:rPr>
        <w:t>,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1E3FFD" w:rsidRDefault="001E3FF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Por</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00000"/>
          <w:sz w:val="22"/>
          <w:szCs w:val="22"/>
        </w:rPr>
        <w:t>tales</w:t>
      </w:r>
      <w:r>
        <w:rPr>
          <w:rFonts w:ascii="Palatino Linotype" w:eastAsia="Palatino Linotype" w:hAnsi="Palatino Linotype" w:cs="Palatino Linotype"/>
          <w:sz w:val="22"/>
          <w:szCs w:val="22"/>
        </w:rPr>
        <w:t xml:space="preserve"> consideraciones, resulta procedente la reserva del </w:t>
      </w:r>
      <w:r>
        <w:rPr>
          <w:rFonts w:ascii="Palatino Linotype" w:eastAsia="Palatino Linotype" w:hAnsi="Palatino Linotype" w:cs="Palatino Linotype"/>
          <w:b/>
          <w:bCs/>
          <w:sz w:val="22"/>
          <w:szCs w:val="22"/>
        </w:rPr>
        <w:t>nombre de los elementos operativos</w:t>
      </w:r>
      <w:r>
        <w:rPr>
          <w:rFonts w:ascii="Palatino Linotype" w:eastAsia="Palatino Linotype" w:hAnsi="Palatino Linotype" w:cs="Palatino Linotype"/>
          <w:sz w:val="22"/>
          <w:szCs w:val="22"/>
        </w:rPr>
        <w:t xml:space="preserve"> de la </w:t>
      </w:r>
      <w:r>
        <w:rPr>
          <w:rFonts w:ascii="Palatino Linotype" w:eastAsia="Palatino Linotype" w:hAnsi="Palatino Linotype" w:cs="Palatino Linotype"/>
          <w:b/>
          <w:bCs/>
          <w:sz w:val="22"/>
          <w:szCs w:val="22"/>
        </w:rPr>
        <w:t>Dirección General de Seguridad y Protección</w:t>
      </w:r>
      <w:r>
        <w:rPr>
          <w:rFonts w:ascii="Palatino Linotype" w:eastAsia="Palatino Linotype" w:hAnsi="Palatino Linotype" w:cs="Palatino Linotype"/>
          <w:sz w:val="22"/>
          <w:szCs w:val="22"/>
        </w:rPr>
        <w:t>, en términos del artículo 140, fracción IV, de la Ley de Transparencia y Acceso a la Información Pública del Estado de México y Municipios.</w:t>
      </w: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Precisado lo anterior, resulta conducente dar vista a </w:t>
      </w:r>
      <w:r>
        <w:rPr>
          <w:rFonts w:ascii="Palatino Linotype" w:eastAsia="Palatino Linotype" w:hAnsi="Palatino Linotype" w:cs="Palatino Linotype"/>
          <w:b/>
          <w:bCs/>
          <w:sz w:val="22"/>
          <w:szCs w:val="22"/>
        </w:rPr>
        <w:t>la Secretaría Técnica del Pleno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toda vez que de la revisión de los oficios se tiene que se dieron a conocer el nombre de personal operativo que no pudo asistir a los exámenes de control de confianza por atender sus funciones de combate para la realización de los operativos organizados por el Ayuntamiento de Toluca,  </w:t>
      </w:r>
      <w:r>
        <w:rPr>
          <w:rFonts w:ascii="Palatino Linotype" w:eastAsia="Palatino Linotype" w:hAnsi="Palatino Linotype" w:cs="Palatino Linotype"/>
          <w:sz w:val="22"/>
          <w:szCs w:val="22"/>
        </w:rPr>
        <w:t xml:space="preserve">para que en el ejercicio de las competencias reservadas integre y remita al Órgano Interno de </w:t>
      </w:r>
      <w:r>
        <w:rPr>
          <w:rFonts w:ascii="Palatino Linotype" w:eastAsia="Palatino Linotype" w:hAnsi="Palatino Linotype" w:cs="Palatino Linotype"/>
          <w:color w:val="000000"/>
          <w:sz w:val="22"/>
          <w:szCs w:val="22"/>
        </w:rPr>
        <w:t>Control</w:t>
      </w:r>
      <w:r>
        <w:rPr>
          <w:rFonts w:ascii="Palatino Linotype" w:eastAsia="Palatino Linotype" w:hAnsi="Palatino Linotype" w:cs="Palatino Linotype"/>
          <w:sz w:val="22"/>
          <w:szCs w:val="22"/>
        </w:rPr>
        <w:t xml:space="preserve"> un expediente formado con motivo de las presuntas infracciones de carácter omisivo cometidas en detrimento al derecho de acceso a la información.  </w:t>
      </w:r>
    </w:p>
    <w:p w:rsidR="001E3FFD" w:rsidRDefault="001E3FFD">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efecto, la Secretaría técnica del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w:t>
      </w:r>
      <w:r>
        <w:rPr>
          <w:rFonts w:ascii="Palatino Linotype" w:eastAsia="Palatino Linotype" w:hAnsi="Palatino Linotype" w:cs="Palatino Linotype"/>
          <w:sz w:val="22"/>
          <w:szCs w:val="22"/>
        </w:rPr>
        <w:lastRenderedPageBreak/>
        <w:t>Transparencia Acceso a la Información Pública del Estado de México y Municipios específicamente en sus artículos 190 y 222, que señalan lo siguiente:</w:t>
      </w:r>
    </w:p>
    <w:p w:rsidR="001E3FFD" w:rsidRDefault="001E3FFD">
      <w:pPr>
        <w:pBdr>
          <w:top w:val="nil"/>
          <w:left w:val="nil"/>
          <w:bottom w:val="nil"/>
          <w:right w:val="nil"/>
          <w:between w:val="nil"/>
        </w:pBdr>
        <w:ind w:left="360"/>
        <w:rPr>
          <w:color w:val="000000"/>
          <w:sz w:val="22"/>
          <w:szCs w:val="22"/>
        </w:rPr>
      </w:pPr>
    </w:p>
    <w:p w:rsidR="001E3FFD" w:rsidRDefault="00383357">
      <w:pPr>
        <w:pBdr>
          <w:top w:val="nil"/>
          <w:left w:val="nil"/>
          <w:bottom w:val="nil"/>
          <w:right w:val="nil"/>
          <w:between w:val="nil"/>
        </w:pBdr>
        <w:ind w:left="1134" w:right="822"/>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1E3FFD" w:rsidRDefault="001E3FFD">
      <w:pPr>
        <w:pBdr>
          <w:top w:val="nil"/>
          <w:left w:val="nil"/>
          <w:bottom w:val="nil"/>
          <w:right w:val="nil"/>
          <w:between w:val="nil"/>
        </w:pBdr>
        <w:ind w:left="1134" w:right="822"/>
        <w:jc w:val="both"/>
        <w:rPr>
          <w:rFonts w:ascii="Palatino Linotype" w:eastAsia="Palatino Linotype" w:hAnsi="Palatino Linotype" w:cs="Palatino Linotype"/>
          <w:i/>
          <w:iCs/>
          <w:color w:val="000000"/>
          <w:sz w:val="22"/>
          <w:szCs w:val="22"/>
        </w:rPr>
      </w:pPr>
    </w:p>
    <w:p w:rsidR="001E3FFD" w:rsidRDefault="00383357">
      <w:pPr>
        <w:pBdr>
          <w:top w:val="nil"/>
          <w:left w:val="nil"/>
          <w:bottom w:val="nil"/>
          <w:right w:val="nil"/>
          <w:between w:val="nil"/>
        </w:pBdr>
        <w:ind w:left="1134" w:right="822"/>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Artículo 222. Son causas de responsabilidad administrativa de los servidores públicos de los sujetos obligados, por incumplimiento de las obligaciones establecidas en la materia de la presente Ley, las siguientes:</w:t>
      </w:r>
    </w:p>
    <w:p w:rsidR="001E3FFD" w:rsidRDefault="00383357">
      <w:pPr>
        <w:pBdr>
          <w:top w:val="nil"/>
          <w:left w:val="nil"/>
          <w:bottom w:val="nil"/>
          <w:right w:val="nil"/>
          <w:between w:val="nil"/>
        </w:pBdr>
        <w:ind w:left="1134" w:right="822"/>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rsidR="001E3FFD" w:rsidRDefault="00383357">
      <w:pPr>
        <w:pBdr>
          <w:top w:val="nil"/>
          <w:left w:val="nil"/>
          <w:bottom w:val="nil"/>
          <w:right w:val="nil"/>
          <w:between w:val="nil"/>
        </w:pBdr>
        <w:ind w:left="1134" w:right="822"/>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I. Cualquier acto u omisión que provoque la suspensión o deficiencia en la atención de las solicitudes de información;</w:t>
      </w:r>
    </w:p>
    <w:p w:rsidR="001E3FFD" w:rsidRDefault="00383357">
      <w:pPr>
        <w:pBdr>
          <w:top w:val="nil"/>
          <w:left w:val="nil"/>
          <w:bottom w:val="nil"/>
          <w:right w:val="nil"/>
          <w:between w:val="nil"/>
        </w:pBdr>
        <w:ind w:left="1134" w:right="822"/>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rsidR="001E3FFD" w:rsidRDefault="00383357">
      <w:pPr>
        <w:pBdr>
          <w:top w:val="nil"/>
          <w:left w:val="nil"/>
          <w:bottom w:val="nil"/>
          <w:right w:val="nil"/>
          <w:between w:val="nil"/>
        </w:pBdr>
        <w:ind w:left="1134"/>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IV. Entregar información clasificada como reservada;</w:t>
      </w:r>
    </w:p>
    <w:p w:rsidR="001E3FFD" w:rsidRDefault="00383357">
      <w:pPr>
        <w:pBdr>
          <w:top w:val="nil"/>
          <w:left w:val="nil"/>
          <w:bottom w:val="nil"/>
          <w:right w:val="nil"/>
          <w:between w:val="nil"/>
        </w:pBdr>
        <w:ind w:left="1134" w:right="822"/>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 </w:t>
      </w:r>
    </w:p>
    <w:p w:rsidR="001E3FFD" w:rsidRDefault="001E3FFD">
      <w:pPr>
        <w:tabs>
          <w:tab w:val="left" w:pos="0"/>
        </w:tabs>
        <w:spacing w:line="360" w:lineRule="auto"/>
        <w:ind w:left="1134"/>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rsidR="001E3FFD" w:rsidRDefault="001E3FF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1E3FFD" w:rsidRDefault="00383357">
      <w:pPr>
        <w:tabs>
          <w:tab w:val="left" w:pos="1134"/>
        </w:tabs>
        <w:spacing w:after="160"/>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“Artículo 19. Corresponde a la Secretaría Técnica del Pleno ejercer las atribuciones siguientes:</w:t>
      </w:r>
    </w:p>
    <w:p w:rsidR="001E3FFD" w:rsidRDefault="00383357">
      <w:pPr>
        <w:pBdr>
          <w:top w:val="nil"/>
          <w:left w:val="nil"/>
          <w:bottom w:val="nil"/>
          <w:right w:val="nil"/>
          <w:between w:val="nil"/>
        </w:pBdr>
        <w:tabs>
          <w:tab w:val="left" w:pos="1134"/>
        </w:tabs>
        <w:spacing w:before="240"/>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rsidR="001E3FFD" w:rsidRDefault="00383357">
      <w:pPr>
        <w:pBdr>
          <w:top w:val="nil"/>
          <w:left w:val="nil"/>
          <w:bottom w:val="nil"/>
          <w:right w:val="nil"/>
          <w:between w:val="nil"/>
        </w:pBdr>
        <w:tabs>
          <w:tab w:val="left" w:pos="1134"/>
        </w:tabs>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XXVII. Remitir al Órgano Interno de Control de los Sujetos Obligados o, en su caso, a la autoridad que corresponda, el expediente que contenga las presuntas infracciones cometidas en el marco de la Ley de Transparencia, para </w:t>
      </w:r>
      <w:r>
        <w:rPr>
          <w:rFonts w:ascii="Palatino Linotype" w:eastAsia="Palatino Linotype" w:hAnsi="Palatino Linotype" w:cs="Palatino Linotype"/>
          <w:i/>
          <w:iCs/>
          <w:color w:val="000000"/>
          <w:sz w:val="22"/>
          <w:szCs w:val="22"/>
        </w:rPr>
        <w:lastRenderedPageBreak/>
        <w:t>la promoción de responsabilidades y sanciones, así como dar seguimiento al resultado de los procedimientos instaurados;</w:t>
      </w:r>
    </w:p>
    <w:p w:rsidR="001E3FFD" w:rsidRDefault="00383357">
      <w:pPr>
        <w:pBdr>
          <w:top w:val="nil"/>
          <w:left w:val="nil"/>
          <w:bottom w:val="nil"/>
          <w:right w:val="nil"/>
          <w:between w:val="nil"/>
        </w:pBdr>
        <w:tabs>
          <w:tab w:val="left" w:pos="1134"/>
        </w:tabs>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rsidR="001E3FFD" w:rsidRDefault="001E3FFD">
      <w:pPr>
        <w:pBdr>
          <w:top w:val="nil"/>
          <w:left w:val="nil"/>
          <w:bottom w:val="nil"/>
          <w:right w:val="nil"/>
          <w:between w:val="nil"/>
        </w:pBdr>
        <w:tabs>
          <w:tab w:val="left" w:pos="1134"/>
        </w:tabs>
        <w:spacing w:after="240" w:line="360" w:lineRule="auto"/>
        <w:ind w:left="1134" w:right="900"/>
        <w:jc w:val="both"/>
        <w:rPr>
          <w:rFonts w:ascii="Palatino Linotype" w:eastAsia="Palatino Linotype" w:hAnsi="Palatino Linotype" w:cs="Palatino Linotype"/>
          <w:i/>
          <w:iCs/>
          <w:color w:val="000000"/>
          <w:sz w:val="22"/>
          <w:szCs w:val="22"/>
        </w:rPr>
      </w:pPr>
    </w:p>
    <w:p w:rsidR="001E3FFD" w:rsidRDefault="00383357">
      <w:pPr>
        <w:numPr>
          <w:ilvl w:val="0"/>
          <w:numId w:val="3"/>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que es menester en este asunto, dar vista a la Secretaría Técnica del Pleno a efecto de que ejerza las atribuciones previstas en la normatividad aplicable y comunique al  Órgano de Control Interno de este Instituto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1E3FFD" w:rsidRDefault="00383357">
      <w:pPr>
        <w:keepNext/>
        <w:keepLines/>
        <w:spacing w:after="160" w:line="360" w:lineRule="auto"/>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QUINTO. De la versión pública.</w:t>
      </w:r>
    </w:p>
    <w:p w:rsidR="001E3FFD" w:rsidRDefault="00383357">
      <w:pPr>
        <w:keepNext/>
        <w:keepLines/>
        <w:numPr>
          <w:ilvl w:val="0"/>
          <w:numId w:val="4"/>
        </w:numPr>
        <w:tabs>
          <w:tab w:val="left" w:pos="284"/>
        </w:tabs>
        <w:spacing w:after="160" w:line="360" w:lineRule="auto"/>
        <w:ind w:left="0" w:firstLine="0"/>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Nociones generales. </w:t>
      </w:r>
    </w:p>
    <w:p w:rsidR="001E3FFD" w:rsidRDefault="00383357">
      <w:pPr>
        <w:numPr>
          <w:ilvl w:val="0"/>
          <w:numId w:val="3"/>
        </w:numP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Debe destacarse, que debido a la información solicitada por el </w:t>
      </w:r>
      <w:r>
        <w:rPr>
          <w:rFonts w:ascii="Palatino Linotype" w:eastAsia="Palatino Linotype" w:hAnsi="Palatino Linotype" w:cs="Palatino Linotype"/>
          <w:b/>
          <w:bCs/>
          <w:color w:val="000000"/>
          <w:sz w:val="22"/>
          <w:szCs w:val="22"/>
        </w:rPr>
        <w:t xml:space="preserve">RECURRENTE, pueden </w:t>
      </w:r>
      <w:r>
        <w:rPr>
          <w:rFonts w:ascii="Palatino Linotype" w:eastAsia="Palatino Linotype" w:hAnsi="Palatino Linotype" w:cs="Palatino Linotype"/>
          <w:color w:val="000000"/>
          <w:sz w:val="22"/>
          <w:szCs w:val="22"/>
        </w:rPr>
        <w:t>obrar</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 xml:space="preserve">datos personales susceptibles de protegerse, así como información susceptible de </w:t>
      </w:r>
      <w:r>
        <w:rPr>
          <w:rFonts w:ascii="Palatino Linotype" w:eastAsia="Palatino Linotype" w:hAnsi="Palatino Linotype" w:cs="Palatino Linotype"/>
          <w:sz w:val="22"/>
          <w:szCs w:val="22"/>
        </w:rPr>
        <w:t>clasificarse</w:t>
      </w:r>
      <w:r>
        <w:rPr>
          <w:rFonts w:ascii="Palatino Linotype" w:eastAsia="Palatino Linotype" w:hAnsi="Palatino Linotype" w:cs="Palatino Linotype"/>
          <w:color w:val="000000"/>
          <w:sz w:val="22"/>
          <w:szCs w:val="22"/>
        </w:rPr>
        <w:t xml:space="preserve"> como confidencial,  por lo que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deberá de hacer la adecuada versión pública, protegiendo los datos que no son susceptibles de ser proporcionados. </w:t>
      </w:r>
    </w:p>
    <w:p w:rsidR="001E3FFD" w:rsidRDefault="001E3FFD">
      <w:pPr>
        <w:tabs>
          <w:tab w:val="left" w:pos="0"/>
          <w:tab w:val="left" w:pos="284"/>
        </w:tabs>
        <w:spacing w:line="360" w:lineRule="auto"/>
        <w:ind w:right="49"/>
        <w:jc w:val="both"/>
        <w:rPr>
          <w:rFonts w:ascii="Palatino Linotype" w:eastAsia="Palatino Linotype" w:hAnsi="Palatino Linotype" w:cs="Palatino Linotype"/>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No pasa desapercibido para este Órgano Garante que los sujetos obligados</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 xml:space="preserve">serán responsables de los datos personales en su posesión y que, en caso de localizarse datos </w:t>
      </w:r>
      <w:r>
        <w:rPr>
          <w:rFonts w:ascii="Palatino Linotype" w:eastAsia="Palatino Linotype" w:hAnsi="Palatino Linotype" w:cs="Palatino Linotype"/>
          <w:color w:val="000000"/>
          <w:sz w:val="22"/>
          <w:szCs w:val="22"/>
        </w:rPr>
        <w:lastRenderedPageBreak/>
        <w:t>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1E3FFD" w:rsidRDefault="001E3FFD">
      <w:pPr>
        <w:tabs>
          <w:tab w:val="left" w:pos="284"/>
        </w:tabs>
        <w:spacing w:after="160" w:line="360" w:lineRule="auto"/>
        <w:ind w:right="49"/>
        <w:jc w:val="both"/>
        <w:rPr>
          <w:rFonts w:ascii="Palatino Linotype" w:eastAsia="Palatino Linotype" w:hAnsi="Palatino Linotype" w:cs="Palatino Linotype"/>
          <w:color w:val="000000"/>
          <w:sz w:val="22"/>
          <w:szCs w:val="22"/>
        </w:rPr>
      </w:pPr>
    </w:p>
    <w:tbl>
      <w:tblPr>
        <w:tblStyle w:val="a5"/>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1E3FFD">
        <w:tc>
          <w:tcPr>
            <w:tcW w:w="2689" w:type="dxa"/>
          </w:tcPr>
          <w:p w:rsidR="001E3FFD" w:rsidRDefault="00383357">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Requisitos previos.</w:t>
            </w:r>
          </w:p>
        </w:tc>
        <w:tc>
          <w:tcPr>
            <w:tcW w:w="6520" w:type="dxa"/>
          </w:tcPr>
          <w:p w:rsidR="001E3FFD" w:rsidRDefault="00383357">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1E3FFD" w:rsidRDefault="00383357">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rsidR="001E3FFD" w:rsidRDefault="00383357">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rsidR="001E3FFD" w:rsidRDefault="00383357">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1E3FFD">
        <w:tc>
          <w:tcPr>
            <w:tcW w:w="2689" w:type="dxa"/>
          </w:tcPr>
          <w:p w:rsidR="001E3FFD" w:rsidRDefault="00383357">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b) Supuestos de clasificación.</w:t>
            </w:r>
          </w:p>
        </w:tc>
        <w:tc>
          <w:tcPr>
            <w:tcW w:w="6520" w:type="dxa"/>
          </w:tcPr>
          <w:p w:rsidR="001E3FFD" w:rsidRDefault="00383357">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rsidR="001E3FFD" w:rsidRDefault="00383357">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1E3FFD" w:rsidRDefault="00383357">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E3FFD">
        <w:tc>
          <w:tcPr>
            <w:tcW w:w="2689" w:type="dxa"/>
          </w:tcPr>
          <w:p w:rsidR="001E3FFD" w:rsidRDefault="00383357">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 Formalidades para emitir el acuerdo de clasificación.</w:t>
            </w:r>
          </w:p>
        </w:tc>
        <w:tc>
          <w:tcPr>
            <w:tcW w:w="6520" w:type="dxa"/>
          </w:tcPr>
          <w:p w:rsidR="001E3FFD" w:rsidRDefault="00383357">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rsidR="001E3FFD" w:rsidRDefault="00383357">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Es necesario que </w:t>
            </w:r>
            <w:r>
              <w:rPr>
                <w:rFonts w:ascii="Palatino Linotype" w:eastAsia="Palatino Linotype" w:hAnsi="Palatino Linotype" w:cs="Palatino Linotype"/>
                <w:b/>
                <w:bCs/>
                <w:color w:val="000000"/>
                <w:sz w:val="22"/>
                <w:szCs w:val="22"/>
                <w:u w:val="single"/>
              </w:rPr>
              <w:t>el acto reúna con los requisitos elementales</w:t>
            </w:r>
            <w:r>
              <w:rPr>
                <w:rFonts w:ascii="Palatino Linotype" w:eastAsia="Palatino Linotype" w:hAnsi="Palatino Linotype" w:cs="Palatino Linotype"/>
                <w:color w:val="000000"/>
                <w:sz w:val="22"/>
                <w:szCs w:val="22"/>
              </w:rPr>
              <w:t>, entre ellos, que la autoridad que va a emitir el acto de autoridad sea la legalmente facultada para ello.</w:t>
            </w:r>
          </w:p>
          <w:p w:rsidR="001E3FFD" w:rsidRDefault="00383357">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E3FFD">
        <w:tc>
          <w:tcPr>
            <w:tcW w:w="2689" w:type="dxa"/>
          </w:tcPr>
          <w:p w:rsidR="001E3FFD" w:rsidRDefault="001E3FFD">
            <w:pPr>
              <w:tabs>
                <w:tab w:val="left" w:pos="284"/>
              </w:tabs>
              <w:spacing w:line="360" w:lineRule="auto"/>
              <w:rPr>
                <w:rFonts w:ascii="Palatino Linotype" w:eastAsia="Palatino Linotype" w:hAnsi="Palatino Linotype" w:cs="Palatino Linotype"/>
                <w:sz w:val="22"/>
                <w:szCs w:val="22"/>
              </w:rPr>
            </w:pPr>
          </w:p>
          <w:p w:rsidR="001E3FFD" w:rsidRDefault="00383357">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d) Requisitos de fondo del acuerdo de clasificación. </w:t>
            </w:r>
          </w:p>
        </w:tc>
        <w:tc>
          <w:tcPr>
            <w:tcW w:w="6520" w:type="dxa"/>
          </w:tcPr>
          <w:p w:rsidR="001E3FFD" w:rsidRDefault="00383357">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color w:val="000000"/>
                <w:sz w:val="22"/>
                <w:szCs w:val="22"/>
              </w:rPr>
              <w:t>Sujetos Obligados</w:t>
            </w:r>
            <w:r>
              <w:rPr>
                <w:rFonts w:ascii="Palatino Linotype" w:eastAsia="Palatino Linotype" w:hAnsi="Palatino Linotype" w:cs="Palatino Linotype"/>
                <w:color w:val="000000"/>
                <w:sz w:val="22"/>
                <w:szCs w:val="22"/>
              </w:rPr>
              <w:t xml:space="preserve">, por lo que deberán fundar y motivar debidamente la clasificación. </w:t>
            </w:r>
          </w:p>
          <w:p w:rsidR="001E3FFD" w:rsidRDefault="00383357">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lo anterior, se desprende que para una correcta </w:t>
            </w:r>
            <w:r>
              <w:rPr>
                <w:rFonts w:ascii="Palatino Linotype" w:eastAsia="Palatino Linotype" w:hAnsi="Palatino Linotype" w:cs="Palatino Linotype"/>
                <w:b/>
                <w:bCs/>
                <w:color w:val="000000"/>
                <w:sz w:val="22"/>
                <w:szCs w:val="22"/>
              </w:rPr>
              <w:t>clasificación total o parcial</w:t>
            </w:r>
            <w:r>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1E3FFD" w:rsidRDefault="00383357">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1E3FFD" w:rsidRDefault="00383357">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rsidR="001E3FFD" w:rsidRDefault="00383357">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w:t>
            </w:r>
            <w:r>
              <w:rPr>
                <w:rFonts w:ascii="Palatino Linotype" w:eastAsia="Palatino Linotype" w:hAnsi="Palatino Linotype" w:cs="Palatino Linotype"/>
                <w:b/>
                <w:bCs/>
                <w:color w:val="000000"/>
                <w:sz w:val="22"/>
                <w:szCs w:val="22"/>
                <w:u w:val="single"/>
              </w:rPr>
              <w:t>para cada caso además de fundar y motivar</w:t>
            </w:r>
            <w:r>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E3FFD">
        <w:tc>
          <w:tcPr>
            <w:tcW w:w="2689" w:type="dxa"/>
          </w:tcPr>
          <w:p w:rsidR="001E3FFD" w:rsidRDefault="00383357">
            <w:pPr>
              <w:tabs>
                <w:tab w:val="left" w:pos="284"/>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520" w:type="dxa"/>
          </w:tcPr>
          <w:p w:rsidR="001E3FFD" w:rsidRDefault="00383357">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rsidR="001E3FFD" w:rsidRDefault="00383357">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w:t>
            </w:r>
            <w:r>
              <w:rPr>
                <w:rFonts w:ascii="Palatino Linotype" w:eastAsia="Palatino Linotype" w:hAnsi="Palatino Linotype" w:cs="Palatino Linotype"/>
                <w:color w:val="000000"/>
                <w:sz w:val="22"/>
                <w:szCs w:val="22"/>
              </w:rPr>
              <w:lastRenderedPageBreak/>
              <w:t xml:space="preserve">que como recientemente ha discutido la Suprema Corte de Justicia de la Nación, los servidores públicos nos encontramos sujetos a un régimen menor de protección. </w:t>
            </w:r>
          </w:p>
          <w:p w:rsidR="001E3FFD" w:rsidRDefault="00383357">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1E3FFD" w:rsidRDefault="001E3FFD">
      <w:pPr>
        <w:tabs>
          <w:tab w:val="left" w:pos="284"/>
        </w:tabs>
        <w:spacing w:line="360" w:lineRule="auto"/>
        <w:jc w:val="both"/>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 el servidor público incumple con estas formalidades y entrega la información sin proteger los datos personales incumple con lo que estipula las disposiciones legales establecidas. </w:t>
      </w: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383357">
      <w:pPr>
        <w:numPr>
          <w:ilvl w:val="0"/>
          <w:numId w:val="3"/>
        </w:numPr>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anteriormente expuesto y fundado, este </w:t>
      </w:r>
      <w:r>
        <w:rPr>
          <w:rFonts w:ascii="Palatino Linotype" w:eastAsia="Palatino Linotype" w:hAnsi="Palatino Linotype" w:cs="Palatino Linotype"/>
          <w:b/>
          <w:bCs/>
          <w:color w:val="000000"/>
          <w:sz w:val="22"/>
          <w:szCs w:val="22"/>
        </w:rPr>
        <w:t>ÓRGANO GARANTE</w:t>
      </w:r>
      <w:r>
        <w:rPr>
          <w:rFonts w:ascii="Palatino Linotype" w:eastAsia="Palatino Linotype" w:hAnsi="Palatino Linotype" w:cs="Palatino Linotype"/>
          <w:color w:val="000000"/>
          <w:sz w:val="22"/>
          <w:szCs w:val="22"/>
        </w:rPr>
        <w:t xml:space="preserve"> emite los siguientes:</w:t>
      </w:r>
    </w:p>
    <w:p w:rsidR="001E3FFD" w:rsidRDefault="001E3FFD">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E3FFD" w:rsidRDefault="001E3FF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1E3FFD" w:rsidRDefault="00383357">
      <w:pPr>
        <w:keepNext/>
        <w:keepLines/>
        <w:spacing w:line="360" w:lineRule="auto"/>
        <w:jc w:val="center"/>
        <w:rPr>
          <w:rFonts w:ascii="Palatino Linotype" w:eastAsia="Palatino Linotype" w:hAnsi="Palatino Linotype" w:cs="Palatino Linotype"/>
          <w:b/>
          <w:bCs/>
          <w:color w:val="000000"/>
          <w:sz w:val="22"/>
          <w:szCs w:val="22"/>
        </w:rPr>
      </w:pPr>
      <w:bookmarkStart w:id="12" w:name="_heading=h.35nkun2" w:colFirst="0" w:colLast="0"/>
      <w:bookmarkEnd w:id="12"/>
      <w:r>
        <w:rPr>
          <w:rFonts w:ascii="Palatino Linotype" w:eastAsia="Palatino Linotype" w:hAnsi="Palatino Linotype" w:cs="Palatino Linotype"/>
          <w:b/>
          <w:bCs/>
          <w:color w:val="000000"/>
          <w:sz w:val="22"/>
          <w:szCs w:val="22"/>
        </w:rPr>
        <w:t xml:space="preserve">R E S O L U T I V O S </w:t>
      </w:r>
    </w:p>
    <w:p w:rsidR="001E3FFD" w:rsidRDefault="001E3FFD">
      <w:pPr>
        <w:spacing w:line="360" w:lineRule="auto"/>
        <w:rPr>
          <w:rFonts w:ascii="Palatino Linotype" w:eastAsia="Palatino Linotype" w:hAnsi="Palatino Linotype" w:cs="Palatino Linotype"/>
          <w:sz w:val="22"/>
          <w:szCs w:val="22"/>
        </w:rPr>
      </w:pPr>
    </w:p>
    <w:p w:rsidR="001E3FFD" w:rsidRDefault="00383357">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PRIMERO</w:t>
      </w:r>
      <w:r>
        <w:rPr>
          <w:rFonts w:ascii="Palatino Linotype" w:eastAsia="Palatino Linotype" w:hAnsi="Palatino Linotype" w:cs="Palatino Linotype"/>
          <w:sz w:val="22"/>
          <w:szCs w:val="22"/>
        </w:rPr>
        <w:t xml:space="preserve">. Resultan parcialmente fundadas las razones o motivos de inconformidad hechos valer en el Recursos de Revisión </w:t>
      </w:r>
      <w:r>
        <w:rPr>
          <w:rFonts w:ascii="Palatino Linotype" w:eastAsia="Palatino Linotype" w:hAnsi="Palatino Linotype" w:cs="Palatino Linotype"/>
          <w:b/>
          <w:bCs/>
          <w:sz w:val="22"/>
          <w:szCs w:val="22"/>
        </w:rPr>
        <w:t xml:space="preserve"> 01768/INFOEM/IP/RR/2026, 01769/INFOEM/IP/RR/2026 y 01770/INFOEM/IP/RR/2026, </w:t>
      </w:r>
      <w:r>
        <w:rPr>
          <w:rFonts w:ascii="Palatino Linotype" w:eastAsia="Palatino Linotype" w:hAnsi="Palatino Linotype" w:cs="Palatino Linotype"/>
          <w:sz w:val="22"/>
          <w:szCs w:val="22"/>
        </w:rPr>
        <w:t xml:space="preserve">en términos de los Considerandos </w:t>
      </w:r>
      <w:r>
        <w:rPr>
          <w:rFonts w:ascii="Palatino Linotype" w:eastAsia="Palatino Linotype" w:hAnsi="Palatino Linotype" w:cs="Palatino Linotype"/>
          <w:b/>
          <w:bCs/>
          <w:sz w:val="22"/>
          <w:szCs w:val="22"/>
        </w:rPr>
        <w:t xml:space="preserve">Cuarto y Quinto </w:t>
      </w:r>
      <w:r>
        <w:rPr>
          <w:rFonts w:ascii="Palatino Linotype" w:eastAsia="Palatino Linotype" w:hAnsi="Palatino Linotype" w:cs="Palatino Linotype"/>
          <w:sz w:val="22"/>
          <w:szCs w:val="22"/>
        </w:rPr>
        <w:t xml:space="preserve">de la presente resolución. </w:t>
      </w:r>
    </w:p>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spacing w:line="360" w:lineRule="auto"/>
        <w:jc w:val="both"/>
        <w:rPr>
          <w:rFonts w:ascii="Palatino Linotype" w:eastAsia="Palatino Linotype" w:hAnsi="Palatino Linotype" w:cs="Palatino Linotype"/>
          <w:color w:val="000000"/>
          <w:sz w:val="22"/>
          <w:szCs w:val="22"/>
        </w:rPr>
      </w:pPr>
      <w:bookmarkStart w:id="13" w:name="_heading=h.26in1rg" w:colFirst="0" w:colLast="0"/>
      <w:bookmarkEnd w:id="13"/>
      <w:r>
        <w:rPr>
          <w:rFonts w:ascii="Palatino Linotype" w:eastAsia="Palatino Linotype" w:hAnsi="Palatino Linotype" w:cs="Palatino Linotype"/>
          <w:b/>
          <w:bCs/>
          <w:sz w:val="22"/>
          <w:szCs w:val="22"/>
        </w:rPr>
        <w:lastRenderedPageBreak/>
        <w:t xml:space="preserve">SEGUNDO. </w:t>
      </w:r>
      <w:r>
        <w:rPr>
          <w:rFonts w:ascii="Palatino Linotype" w:eastAsia="Palatino Linotype" w:hAnsi="Palatino Linotype" w:cs="Palatino Linotype"/>
          <w:color w:val="000000"/>
          <w:sz w:val="22"/>
          <w:szCs w:val="22"/>
        </w:rPr>
        <w:t xml:space="preserve">Se </w:t>
      </w:r>
      <w:r>
        <w:rPr>
          <w:rFonts w:ascii="Palatino Linotype" w:eastAsia="Palatino Linotype" w:hAnsi="Palatino Linotype" w:cs="Palatino Linotype"/>
          <w:b/>
          <w:bCs/>
          <w:color w:val="000000"/>
          <w:sz w:val="22"/>
          <w:szCs w:val="22"/>
        </w:rPr>
        <w:t xml:space="preserve">MODIFICAN </w:t>
      </w:r>
      <w:r>
        <w:rPr>
          <w:rFonts w:ascii="Palatino Linotype" w:eastAsia="Palatino Linotype" w:hAnsi="Palatino Linotype" w:cs="Palatino Linotype"/>
          <w:color w:val="000000"/>
          <w:sz w:val="22"/>
          <w:szCs w:val="22"/>
        </w:rPr>
        <w:t xml:space="preserve">las respuestas emitidas por el </w:t>
      </w:r>
      <w:r>
        <w:rPr>
          <w:rFonts w:ascii="Palatino Linotype" w:eastAsia="Palatino Linotype" w:hAnsi="Palatino Linotype" w:cs="Palatino Linotype"/>
          <w:b/>
          <w:bCs/>
          <w:color w:val="000000"/>
          <w:sz w:val="22"/>
          <w:szCs w:val="22"/>
        </w:rPr>
        <w:t xml:space="preserve">Ayuntamiento de Toluca  </w:t>
      </w:r>
      <w:r>
        <w:rPr>
          <w:rFonts w:ascii="Palatino Linotype" w:eastAsia="Palatino Linotype" w:hAnsi="Palatino Linotype" w:cs="Palatino Linotype"/>
          <w:color w:val="000000"/>
          <w:sz w:val="22"/>
          <w:szCs w:val="22"/>
        </w:rPr>
        <w:t xml:space="preserve">y se </w:t>
      </w:r>
      <w:r>
        <w:rPr>
          <w:rFonts w:ascii="Palatino Linotype" w:eastAsia="Palatino Linotype" w:hAnsi="Palatino Linotype" w:cs="Palatino Linotype"/>
          <w:b/>
          <w:bCs/>
          <w:color w:val="000000"/>
          <w:sz w:val="22"/>
          <w:szCs w:val="22"/>
        </w:rPr>
        <w:t>ORDENA</w:t>
      </w:r>
      <w:r>
        <w:rPr>
          <w:rFonts w:ascii="Palatino Linotype" w:eastAsia="Palatino Linotype" w:hAnsi="Palatino Linotype" w:cs="Palatino Linotype"/>
          <w:color w:val="000000"/>
          <w:sz w:val="22"/>
          <w:szCs w:val="22"/>
        </w:rPr>
        <w:t xml:space="preserve"> entregar vía Sistema de Acceso a la Información Mexiquense </w:t>
      </w:r>
      <w:r>
        <w:rPr>
          <w:rFonts w:ascii="Palatino Linotype" w:eastAsia="Palatino Linotype" w:hAnsi="Palatino Linotype" w:cs="Palatino Linotype"/>
          <w:b/>
          <w:bCs/>
          <w:color w:val="000000"/>
          <w:sz w:val="22"/>
          <w:szCs w:val="22"/>
        </w:rPr>
        <w:t>(SAIMEX)</w:t>
      </w:r>
      <w:r>
        <w:rPr>
          <w:rFonts w:ascii="Palatino Linotype" w:eastAsia="Palatino Linotype" w:hAnsi="Palatino Linotype" w:cs="Palatino Linotype"/>
          <w:color w:val="000000"/>
          <w:sz w:val="22"/>
          <w:szCs w:val="22"/>
        </w:rPr>
        <w:t xml:space="preserve">, la siguiente información, de ser el caso en versión pública versión pública. </w:t>
      </w:r>
    </w:p>
    <w:p w:rsidR="001E3FFD" w:rsidRDefault="001E3FFD">
      <w:pPr>
        <w:spacing w:line="360" w:lineRule="auto"/>
        <w:ind w:right="851"/>
        <w:jc w:val="both"/>
        <w:rPr>
          <w:rFonts w:ascii="Palatino Linotype" w:eastAsia="Palatino Linotype" w:hAnsi="Palatino Linotype" w:cs="Palatino Linotype"/>
          <w:color w:val="000000"/>
          <w:sz w:val="22"/>
          <w:szCs w:val="22"/>
        </w:rPr>
      </w:pPr>
    </w:p>
    <w:p w:rsidR="001E3FFD" w:rsidRDefault="00383357">
      <w:pPr>
        <w:ind w:left="1134" w:right="85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1.- Oficios emitidos por la  Secretaría Técnica del Consejo Municipal de Seguridad Pública, faltantes en respuesta las solicitudes de información 00234/TOLUCA/IP/2026, 00240/TOLUCA/IP/2026 y 00241/TOLUCA/IP/2026; y</w:t>
      </w:r>
    </w:p>
    <w:p w:rsidR="001E3FFD" w:rsidRDefault="001E3FFD">
      <w:pPr>
        <w:ind w:right="851"/>
        <w:jc w:val="both"/>
        <w:rPr>
          <w:rFonts w:ascii="Palatino Linotype" w:eastAsia="Palatino Linotype" w:hAnsi="Palatino Linotype" w:cs="Palatino Linotype"/>
          <w:b/>
          <w:bCs/>
          <w:i/>
          <w:iCs/>
          <w:sz w:val="22"/>
          <w:szCs w:val="22"/>
        </w:rPr>
      </w:pPr>
    </w:p>
    <w:p w:rsidR="001E3FFD" w:rsidRDefault="00383357">
      <w:pPr>
        <w:ind w:left="1134" w:right="85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2.- Oficios remitidos en respuesta inicial al recurso de revisión 01770/INFOEM/IP/RR/2026, que contienen clasificación de información como confidencial de datos de contacto, en correcta versión pública. </w:t>
      </w:r>
    </w:p>
    <w:p w:rsidR="001E3FFD" w:rsidRDefault="001E3FFD">
      <w:pPr>
        <w:rPr>
          <w:rFonts w:ascii="Palatino Linotype" w:eastAsia="Palatino Linotype" w:hAnsi="Palatino Linotype" w:cs="Palatino Linotype"/>
          <w:b/>
          <w:bCs/>
          <w:color w:val="000000"/>
          <w:sz w:val="22"/>
          <w:szCs w:val="22"/>
        </w:rPr>
      </w:pPr>
    </w:p>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tabs>
          <w:tab w:val="left" w:pos="8080"/>
        </w:tabs>
        <w:spacing w:line="360" w:lineRule="auto"/>
        <w:ind w:right="49"/>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Pr>
          <w:rFonts w:ascii="Palatino Linotype" w:eastAsia="Palatino Linotype" w:hAnsi="Palatino Linotype" w:cs="Palatino Linotype"/>
          <w:b/>
          <w:bCs/>
          <w:sz w:val="22"/>
          <w:szCs w:val="22"/>
        </w:rPr>
        <w:t>RECURRENTE.</w:t>
      </w:r>
    </w:p>
    <w:p w:rsidR="001E3FFD" w:rsidRDefault="001E3FFD">
      <w:pPr>
        <w:rPr>
          <w:rFonts w:ascii="Palatino Linotype" w:eastAsia="Palatino Linotype" w:hAnsi="Palatino Linotype" w:cs="Palatino Linotype"/>
          <w:sz w:val="22"/>
          <w:szCs w:val="22"/>
        </w:rPr>
      </w:pPr>
    </w:p>
    <w:p w:rsidR="001E3FFD" w:rsidRDefault="00383357">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ser el caso que los oficios faltantes no se hubieran generado porque se hubieran cancelado, bastará con que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lo haga del conocimiento del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 xml:space="preserve">de conformidad con el artículo 19 párrafo segundo de la Ley de Transparencia y Acceso a la Información Pública del Estado de México y Municipios. </w:t>
      </w:r>
    </w:p>
    <w:p w:rsidR="001E3FFD" w:rsidRDefault="001E3FFD">
      <w:pPr>
        <w:tabs>
          <w:tab w:val="left" w:pos="8080"/>
        </w:tabs>
        <w:spacing w:line="360" w:lineRule="auto"/>
        <w:ind w:right="49"/>
        <w:jc w:val="both"/>
        <w:rPr>
          <w:rFonts w:ascii="Palatino Linotype" w:eastAsia="Palatino Linotype" w:hAnsi="Palatino Linotype" w:cs="Palatino Linotype"/>
          <w:sz w:val="22"/>
          <w:szCs w:val="22"/>
        </w:rPr>
      </w:pPr>
    </w:p>
    <w:p w:rsidR="001E3FFD" w:rsidRDefault="00383357">
      <w:pPr>
        <w:spacing w:line="360" w:lineRule="auto"/>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sz w:val="22"/>
          <w:szCs w:val="22"/>
        </w:rPr>
        <w:t xml:space="preserve">TERCERO. </w:t>
      </w:r>
      <w:r>
        <w:rPr>
          <w:rFonts w:ascii="Palatino Linotype" w:eastAsia="Palatino Linotype" w:hAnsi="Palatino Linotype" w:cs="Palatino Linotype"/>
          <w:color w:val="222222"/>
          <w:sz w:val="22"/>
          <w:szCs w:val="22"/>
        </w:rPr>
        <w:t xml:space="preserve">NOTIFÍQUESE la presente resolución al Titular de la Unidad de Transparencia del Sujeto Obligado vía SAIMEX, para que conforme al artículo 186 último párrafo, 189 </w:t>
      </w:r>
      <w:r>
        <w:rPr>
          <w:rFonts w:ascii="Palatino Linotype" w:eastAsia="Palatino Linotype" w:hAnsi="Palatino Linotype" w:cs="Palatino Linotype"/>
          <w:color w:val="222222"/>
          <w:sz w:val="22"/>
          <w:szCs w:val="22"/>
        </w:rPr>
        <w:lastRenderedPageBreak/>
        <w:t xml:space="preserve">segundo párrafo y 194 de la Ley de Transparencia y Acceso a la Información Pública del Estado de México y Municipios; </w:t>
      </w:r>
      <w:r>
        <w:rPr>
          <w:rFonts w:ascii="Palatino Linotype" w:eastAsia="Palatino Linotype" w:hAnsi="Palatino Linotype" w:cs="Palatino Linotype"/>
          <w:b/>
          <w:bCs/>
          <w:color w:val="222222"/>
          <w:sz w:val="22"/>
          <w:szCs w:val="22"/>
        </w:rPr>
        <w:t xml:space="preserve">dé cumplimiento a lo ordenado dentro del plazo de diez días hábiles, </w:t>
      </w:r>
      <w:r>
        <w:rPr>
          <w:rFonts w:ascii="Palatino Linotype" w:eastAsia="Palatino Linotype" w:hAnsi="Palatino Linotype" w:cs="Palatino Linotype"/>
          <w:color w:val="222222"/>
          <w:sz w:val="22"/>
          <w:szCs w:val="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1E3FFD" w:rsidRDefault="001E3FFD">
      <w:pPr>
        <w:spacing w:line="360" w:lineRule="auto"/>
        <w:jc w:val="both"/>
        <w:rPr>
          <w:rFonts w:ascii="Palatino Linotype" w:eastAsia="Palatino Linotype" w:hAnsi="Palatino Linotype" w:cs="Palatino Linotype"/>
          <w:b/>
          <w:bCs/>
          <w:sz w:val="22"/>
          <w:szCs w:val="22"/>
        </w:rPr>
      </w:pPr>
    </w:p>
    <w:p w:rsidR="001E3FFD" w:rsidRDefault="0038335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CUARTO. </w:t>
      </w:r>
      <w:r>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1E3FFD" w:rsidRDefault="001E3FFD">
      <w:pPr>
        <w:spacing w:line="360" w:lineRule="auto"/>
        <w:jc w:val="both"/>
        <w:rPr>
          <w:rFonts w:ascii="Palatino Linotype" w:eastAsia="Palatino Linotype" w:hAnsi="Palatino Linotype" w:cs="Palatino Linotype"/>
          <w:sz w:val="22"/>
          <w:szCs w:val="22"/>
        </w:rPr>
      </w:pPr>
    </w:p>
    <w:p w:rsidR="001E3FFD" w:rsidRDefault="00383357">
      <w:pPr>
        <w:tabs>
          <w:tab w:val="left" w:pos="8080"/>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QUINTO. </w:t>
      </w:r>
      <w:r>
        <w:rPr>
          <w:rFonts w:ascii="Palatino Linotype" w:eastAsia="Palatino Linotype" w:hAnsi="Palatino Linotype" w:cs="Palatino Linotype"/>
          <w:sz w:val="22"/>
          <w:szCs w:val="22"/>
        </w:rPr>
        <w:t xml:space="preserve">Notifíquese a </w:t>
      </w:r>
      <w:r>
        <w:rPr>
          <w:rFonts w:ascii="Palatino Linotype" w:eastAsia="Palatino Linotype" w:hAnsi="Palatino Linotype" w:cs="Palatino Linotype"/>
          <w:b/>
          <w:bCs/>
          <w:sz w:val="22"/>
          <w:szCs w:val="22"/>
        </w:rPr>
        <w:t>EL RECURRENTE</w:t>
      </w:r>
      <w:r>
        <w:rPr>
          <w:rFonts w:ascii="Palatino Linotype" w:eastAsia="Palatino Linotype" w:hAnsi="Palatino Linotype" w:cs="Palatino Linotype"/>
          <w:sz w:val="22"/>
          <w:szCs w:val="22"/>
        </w:rPr>
        <w:t xml:space="preserve"> la presente resolución, vía SAIMEX.</w:t>
      </w:r>
    </w:p>
    <w:p w:rsidR="001E3FFD" w:rsidRDefault="001E3FFD">
      <w:pPr>
        <w:tabs>
          <w:tab w:val="left" w:pos="8080"/>
        </w:tabs>
        <w:spacing w:line="360" w:lineRule="auto"/>
        <w:ind w:right="49"/>
        <w:jc w:val="both"/>
        <w:rPr>
          <w:rFonts w:ascii="Palatino Linotype" w:eastAsia="Palatino Linotype" w:hAnsi="Palatino Linotype" w:cs="Palatino Linotype"/>
          <w:sz w:val="22"/>
          <w:szCs w:val="22"/>
        </w:rPr>
      </w:pPr>
    </w:p>
    <w:p w:rsidR="001E3FFD" w:rsidRDefault="00383357">
      <w:pPr>
        <w:shd w:val="clear" w:color="auto" w:fill="FFFFFF"/>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SEXTO.</w:t>
      </w:r>
      <w:r>
        <w:rPr>
          <w:rFonts w:ascii="Palatino Linotype" w:eastAsia="Palatino Linotype" w:hAnsi="Palatino Linotype" w:cs="Palatino Linotype"/>
          <w:sz w:val="22"/>
          <w:szCs w:val="22"/>
        </w:rPr>
        <w:t xml:space="preserve"> Se hace del conocimiento de </w:t>
      </w:r>
      <w:r>
        <w:rPr>
          <w:rFonts w:ascii="Palatino Linotype" w:eastAsia="Palatino Linotype" w:hAnsi="Palatino Linotype" w:cs="Palatino Linotype"/>
          <w:b/>
          <w:bCs/>
          <w:sz w:val="22"/>
          <w:szCs w:val="22"/>
        </w:rPr>
        <w:t>EL RECURRENTE</w:t>
      </w:r>
      <w:r>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1E3FFD" w:rsidRDefault="001E3FFD">
      <w:pPr>
        <w:shd w:val="clear" w:color="auto" w:fill="FFFFFF"/>
        <w:spacing w:line="360" w:lineRule="auto"/>
        <w:jc w:val="both"/>
        <w:rPr>
          <w:rFonts w:ascii="Palatino Linotype" w:eastAsia="Palatino Linotype" w:hAnsi="Palatino Linotype" w:cs="Palatino Linotype"/>
          <w:sz w:val="22"/>
          <w:szCs w:val="22"/>
        </w:rPr>
      </w:pPr>
    </w:p>
    <w:p w:rsidR="001E3FFD" w:rsidRDefault="00383357">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SÉPTIMO. </w:t>
      </w:r>
      <w:r>
        <w:rPr>
          <w:rFonts w:ascii="Palatino Linotype" w:eastAsia="Palatino Linotype" w:hAnsi="Palatino Linotype" w:cs="Palatino Linotype"/>
          <w:sz w:val="22"/>
          <w:szCs w:val="22"/>
        </w:rPr>
        <w:t xml:space="preserve">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w:t>
      </w:r>
      <w:r>
        <w:rPr>
          <w:rFonts w:ascii="Palatino Linotype" w:eastAsia="Palatino Linotype" w:hAnsi="Palatino Linotype" w:cs="Palatino Linotype"/>
          <w:b/>
          <w:bCs/>
          <w:sz w:val="22"/>
          <w:szCs w:val="22"/>
        </w:rPr>
        <w:t>Considerando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CUARTO</w:t>
      </w:r>
      <w:r>
        <w:rPr>
          <w:rFonts w:ascii="Palatino Linotype" w:eastAsia="Palatino Linotype" w:hAnsi="Palatino Linotype" w:cs="Palatino Linotype"/>
          <w:sz w:val="22"/>
          <w:szCs w:val="22"/>
        </w:rPr>
        <w:t xml:space="preserve"> de la presente resolución.</w:t>
      </w:r>
    </w:p>
    <w:p w:rsidR="001E3FFD" w:rsidRDefault="001E3FFD">
      <w:pPr>
        <w:shd w:val="clear" w:color="auto" w:fill="FFFFFF"/>
        <w:tabs>
          <w:tab w:val="left" w:pos="284"/>
        </w:tabs>
        <w:spacing w:line="360" w:lineRule="auto"/>
        <w:jc w:val="both"/>
        <w:rPr>
          <w:rFonts w:ascii="Palatino Linotype" w:eastAsia="Palatino Linotype" w:hAnsi="Palatino Linotype" w:cs="Palatino Linotype"/>
          <w:sz w:val="22"/>
          <w:szCs w:val="22"/>
        </w:rPr>
      </w:pPr>
    </w:p>
    <w:p w:rsidR="007A5A45" w:rsidRPr="007A5A45" w:rsidRDefault="007A5A45" w:rsidP="007A5A45">
      <w:pPr>
        <w:spacing w:before="240" w:after="240" w:line="360" w:lineRule="auto"/>
        <w:ind w:firstLine="1"/>
        <w:jc w:val="both"/>
        <w:rPr>
          <w:rFonts w:ascii="Palatino Linotype" w:hAnsi="Palatino Linotype"/>
          <w:sz w:val="22"/>
        </w:rPr>
      </w:pPr>
      <w:bookmarkStart w:id="14" w:name="_Hlk99014733"/>
      <w:r w:rsidRPr="007A5A45">
        <w:rPr>
          <w:rFonts w:ascii="Palatino Linotype" w:hAnsi="Palatino Linotype" w:cs="Palatino Linotype"/>
          <w:sz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104886">
        <w:rPr>
          <w:rFonts w:ascii="Palatino Linotype" w:hAnsi="Palatino Linotype" w:cs="Palatino Linotype"/>
          <w:sz w:val="22"/>
        </w:rPr>
        <w:t xml:space="preserve">EMITIENDO VOTO PARTICULAR </w:t>
      </w:r>
      <w:r w:rsidRPr="007A5A45">
        <w:rPr>
          <w:rFonts w:ascii="Palatino Linotype" w:hAnsi="Palatino Linotype" w:cs="Palatino Linotype"/>
          <w:sz w:val="22"/>
        </w:rPr>
        <w:t xml:space="preserve">Y GUADALUPE RAMÍREZ PEÑA; EN LA DÉCIMA SEGUNDA SESIÓN ORDINARIA, CELEBRADA EL OCHO (08) DE ABRIL DE DOS MIL VEINTISÉIS, ANTE EL SECRETARIO TÉCNICO DEL PLENO </w:t>
      </w:r>
      <w:r w:rsidRPr="007A5A45">
        <w:rPr>
          <w:rFonts w:ascii="Palatino Linotype" w:hAnsi="Palatino Linotype" w:cs="Palatino Linotype"/>
          <w:color w:val="000000" w:themeColor="text1"/>
          <w:sz w:val="22"/>
        </w:rPr>
        <w:t>ALEXIS TAPIA RAMÍREZ.</w:t>
      </w:r>
    </w:p>
    <w:bookmarkEnd w:id="14"/>
    <w:p w:rsidR="001E3FFD" w:rsidRPr="007A5A45" w:rsidRDefault="001E3FFD">
      <w:pPr>
        <w:spacing w:line="360" w:lineRule="auto"/>
        <w:rPr>
          <w:rFonts w:ascii="Palatino Linotype" w:eastAsia="Palatino Linotype" w:hAnsi="Palatino Linotype" w:cs="Palatino Linotype"/>
          <w:sz w:val="20"/>
          <w:szCs w:val="22"/>
        </w:rPr>
      </w:pPr>
    </w:p>
    <w:p w:rsidR="001E3FFD" w:rsidRPr="007A5A45" w:rsidRDefault="001E3FFD">
      <w:pPr>
        <w:spacing w:line="360" w:lineRule="auto"/>
        <w:rPr>
          <w:rFonts w:ascii="Palatino Linotype" w:eastAsia="Palatino Linotype" w:hAnsi="Palatino Linotype" w:cs="Palatino Linotype"/>
          <w:sz w:val="20"/>
          <w:szCs w:val="22"/>
        </w:rPr>
      </w:pPr>
    </w:p>
    <w:p w:rsidR="001E3FFD" w:rsidRPr="007A5A45" w:rsidRDefault="001E3FFD">
      <w:pPr>
        <w:spacing w:line="360" w:lineRule="auto"/>
        <w:rPr>
          <w:rFonts w:ascii="Palatino Linotype" w:eastAsia="Palatino Linotype" w:hAnsi="Palatino Linotype" w:cs="Palatino Linotype"/>
          <w:sz w:val="20"/>
          <w:szCs w:val="22"/>
        </w:rPr>
      </w:pPr>
    </w:p>
    <w:p w:rsidR="001E3FFD" w:rsidRPr="007A5A45" w:rsidRDefault="001E3FFD">
      <w:pPr>
        <w:spacing w:line="360" w:lineRule="auto"/>
        <w:rPr>
          <w:rFonts w:ascii="Palatino Linotype" w:eastAsia="Palatino Linotype" w:hAnsi="Palatino Linotype" w:cs="Palatino Linotype"/>
          <w:sz w:val="20"/>
          <w:szCs w:val="22"/>
        </w:rPr>
      </w:pPr>
    </w:p>
    <w:p w:rsidR="001E3FFD" w:rsidRPr="007A5A45" w:rsidRDefault="001E3FFD">
      <w:pPr>
        <w:spacing w:line="360" w:lineRule="auto"/>
        <w:rPr>
          <w:rFonts w:ascii="Palatino Linotype" w:eastAsia="Palatino Linotype" w:hAnsi="Palatino Linotype" w:cs="Palatino Linotype"/>
          <w:sz w:val="20"/>
          <w:szCs w:val="22"/>
        </w:rPr>
      </w:pPr>
    </w:p>
    <w:p w:rsidR="001E3FFD" w:rsidRPr="007A5A45" w:rsidRDefault="001E3FFD">
      <w:pPr>
        <w:spacing w:line="360" w:lineRule="auto"/>
        <w:rPr>
          <w:rFonts w:ascii="Palatino Linotype" w:eastAsia="Palatino Linotype" w:hAnsi="Palatino Linotype" w:cs="Palatino Linotype"/>
          <w:sz w:val="20"/>
          <w:szCs w:val="22"/>
        </w:rPr>
      </w:pPr>
    </w:p>
    <w:p w:rsidR="001E3FFD" w:rsidRDefault="001E3FFD">
      <w:pPr>
        <w:spacing w:line="360" w:lineRule="auto"/>
        <w:rPr>
          <w:rFonts w:ascii="Palatino Linotype" w:eastAsia="Palatino Linotype" w:hAnsi="Palatino Linotype" w:cs="Palatino Linotype"/>
          <w:sz w:val="22"/>
          <w:szCs w:val="22"/>
        </w:rPr>
      </w:pPr>
    </w:p>
    <w:p w:rsidR="001E3FFD" w:rsidRDefault="001E3FFD">
      <w:pPr>
        <w:spacing w:line="360" w:lineRule="auto"/>
        <w:rPr>
          <w:rFonts w:ascii="Palatino Linotype" w:eastAsia="Palatino Linotype" w:hAnsi="Palatino Linotype" w:cs="Palatino Linotype"/>
          <w:sz w:val="22"/>
          <w:szCs w:val="22"/>
        </w:rPr>
      </w:pPr>
    </w:p>
    <w:p w:rsidR="001E3FFD" w:rsidRDefault="001E3FFD">
      <w:pPr>
        <w:spacing w:line="360" w:lineRule="auto"/>
        <w:rPr>
          <w:rFonts w:ascii="Palatino Linotype" w:eastAsia="Palatino Linotype" w:hAnsi="Palatino Linotype" w:cs="Palatino Linotype"/>
          <w:sz w:val="22"/>
          <w:szCs w:val="22"/>
        </w:rPr>
      </w:pPr>
    </w:p>
    <w:p w:rsidR="001E3FFD" w:rsidRDefault="001E3FFD">
      <w:pPr>
        <w:spacing w:line="360" w:lineRule="auto"/>
        <w:rPr>
          <w:rFonts w:ascii="Palatino Linotype" w:eastAsia="Palatino Linotype" w:hAnsi="Palatino Linotype" w:cs="Palatino Linotype"/>
          <w:sz w:val="22"/>
          <w:szCs w:val="22"/>
        </w:rPr>
      </w:pPr>
    </w:p>
    <w:p w:rsidR="001E3FFD" w:rsidRDefault="001E3FFD">
      <w:pPr>
        <w:spacing w:line="360" w:lineRule="auto"/>
        <w:rPr>
          <w:rFonts w:ascii="Palatino Linotype" w:eastAsia="Palatino Linotype" w:hAnsi="Palatino Linotype" w:cs="Palatino Linotype"/>
          <w:sz w:val="22"/>
          <w:szCs w:val="22"/>
        </w:rPr>
      </w:pPr>
    </w:p>
    <w:p w:rsidR="001E3FFD" w:rsidRDefault="001E3FFD">
      <w:pPr>
        <w:spacing w:line="360" w:lineRule="auto"/>
        <w:rPr>
          <w:rFonts w:ascii="Palatino Linotype" w:eastAsia="Palatino Linotype" w:hAnsi="Palatino Linotype" w:cs="Palatino Linotype"/>
          <w:sz w:val="22"/>
          <w:szCs w:val="22"/>
        </w:rPr>
      </w:pPr>
    </w:p>
    <w:p w:rsidR="001E3FFD" w:rsidRDefault="001E3FFD">
      <w:pPr>
        <w:spacing w:line="360" w:lineRule="auto"/>
        <w:rPr>
          <w:rFonts w:ascii="Palatino Linotype" w:eastAsia="Palatino Linotype" w:hAnsi="Palatino Linotype" w:cs="Palatino Linotype"/>
          <w:sz w:val="22"/>
          <w:szCs w:val="22"/>
        </w:rPr>
      </w:pPr>
    </w:p>
    <w:p w:rsidR="001E3FFD" w:rsidRDefault="001E3FFD">
      <w:pPr>
        <w:spacing w:line="360" w:lineRule="auto"/>
        <w:rPr>
          <w:rFonts w:ascii="Palatino Linotype" w:eastAsia="Palatino Linotype" w:hAnsi="Palatino Linotype" w:cs="Palatino Linotype"/>
          <w:sz w:val="22"/>
          <w:szCs w:val="22"/>
        </w:rPr>
      </w:pPr>
    </w:p>
    <w:p w:rsidR="001E3FFD" w:rsidRDefault="001E3FFD">
      <w:pPr>
        <w:spacing w:line="360" w:lineRule="auto"/>
        <w:rPr>
          <w:rFonts w:ascii="Palatino Linotype" w:eastAsia="Palatino Linotype" w:hAnsi="Palatino Linotype" w:cs="Palatino Linotype"/>
          <w:sz w:val="22"/>
          <w:szCs w:val="22"/>
        </w:rPr>
      </w:pPr>
    </w:p>
    <w:p w:rsidR="001E3FFD" w:rsidRDefault="001E3FFD">
      <w:pPr>
        <w:spacing w:line="360" w:lineRule="auto"/>
        <w:rPr>
          <w:rFonts w:ascii="Palatino Linotype" w:eastAsia="Palatino Linotype" w:hAnsi="Palatino Linotype" w:cs="Palatino Linotype"/>
          <w:sz w:val="22"/>
          <w:szCs w:val="22"/>
        </w:rPr>
      </w:pPr>
    </w:p>
    <w:p w:rsidR="001E3FFD" w:rsidRDefault="001E3FFD">
      <w:pPr>
        <w:spacing w:line="360" w:lineRule="auto"/>
        <w:rPr>
          <w:rFonts w:ascii="Palatino Linotype" w:eastAsia="Palatino Linotype" w:hAnsi="Palatino Linotype" w:cs="Palatino Linotype"/>
          <w:sz w:val="22"/>
          <w:szCs w:val="22"/>
        </w:rPr>
      </w:pPr>
    </w:p>
    <w:p w:rsidR="001E3FFD" w:rsidRDefault="001E3FFD">
      <w:pPr>
        <w:rPr>
          <w:rFonts w:ascii="Palatino Linotype" w:eastAsia="Palatino Linotype" w:hAnsi="Palatino Linotype" w:cs="Palatino Linotype"/>
          <w:sz w:val="22"/>
          <w:szCs w:val="22"/>
        </w:rPr>
      </w:pPr>
    </w:p>
    <w:p w:rsidR="001E3FFD" w:rsidRDefault="001E3FFD">
      <w:pPr>
        <w:rPr>
          <w:rFonts w:ascii="Palatino Linotype" w:eastAsia="Palatino Linotype" w:hAnsi="Palatino Linotype" w:cs="Palatino Linotype"/>
          <w:sz w:val="22"/>
          <w:szCs w:val="22"/>
        </w:rPr>
      </w:pPr>
    </w:p>
    <w:p w:rsidR="001E3FFD" w:rsidRDefault="001E3FFD">
      <w:pPr>
        <w:rPr>
          <w:rFonts w:ascii="Palatino Linotype" w:eastAsia="Palatino Linotype" w:hAnsi="Palatino Linotype" w:cs="Palatino Linotype"/>
          <w:sz w:val="22"/>
          <w:szCs w:val="22"/>
        </w:rPr>
      </w:pPr>
    </w:p>
    <w:p w:rsidR="001E3FFD" w:rsidRDefault="001E3FFD">
      <w:pPr>
        <w:rPr>
          <w:rFonts w:ascii="Palatino Linotype" w:eastAsia="Palatino Linotype" w:hAnsi="Palatino Linotype" w:cs="Palatino Linotype"/>
          <w:sz w:val="22"/>
          <w:szCs w:val="22"/>
        </w:rPr>
      </w:pPr>
    </w:p>
    <w:p w:rsidR="001E3FFD" w:rsidRDefault="001E3FFD">
      <w:pPr>
        <w:rPr>
          <w:rFonts w:ascii="Palatino Linotype" w:eastAsia="Palatino Linotype" w:hAnsi="Palatino Linotype" w:cs="Palatino Linotype"/>
          <w:sz w:val="22"/>
          <w:szCs w:val="22"/>
        </w:rPr>
      </w:pPr>
    </w:p>
    <w:p w:rsidR="001E3FFD" w:rsidRDefault="001E3FFD">
      <w:pPr>
        <w:rPr>
          <w:rFonts w:ascii="Palatino Linotype" w:eastAsia="Palatino Linotype" w:hAnsi="Palatino Linotype" w:cs="Palatino Linotype"/>
          <w:sz w:val="22"/>
          <w:szCs w:val="22"/>
        </w:rPr>
      </w:pPr>
    </w:p>
    <w:p w:rsidR="001E3FFD" w:rsidRDefault="001E3FFD">
      <w:pPr>
        <w:rPr>
          <w:rFonts w:ascii="Palatino Linotype" w:eastAsia="Palatino Linotype" w:hAnsi="Palatino Linotype" w:cs="Palatino Linotype"/>
          <w:sz w:val="22"/>
          <w:szCs w:val="22"/>
        </w:rPr>
      </w:pPr>
    </w:p>
    <w:p w:rsidR="001E3FFD" w:rsidRDefault="001E3FFD">
      <w:pPr>
        <w:rPr>
          <w:rFonts w:ascii="Palatino Linotype" w:eastAsia="Palatino Linotype" w:hAnsi="Palatino Linotype" w:cs="Palatino Linotype"/>
          <w:sz w:val="22"/>
          <w:szCs w:val="22"/>
        </w:rPr>
      </w:pPr>
    </w:p>
    <w:p w:rsidR="001E3FFD" w:rsidRDefault="001E3FFD">
      <w:pPr>
        <w:rPr>
          <w:rFonts w:ascii="Palatino Linotype" w:eastAsia="Palatino Linotype" w:hAnsi="Palatino Linotype" w:cs="Palatino Linotype"/>
          <w:sz w:val="22"/>
          <w:szCs w:val="22"/>
        </w:rPr>
      </w:pPr>
    </w:p>
    <w:p w:rsidR="001E3FFD" w:rsidRDefault="001E3FFD">
      <w:pPr>
        <w:rPr>
          <w:sz w:val="22"/>
          <w:szCs w:val="22"/>
        </w:rPr>
      </w:pPr>
    </w:p>
    <w:p w:rsidR="001E3FFD" w:rsidRDefault="001E3FFD">
      <w:pPr>
        <w:rPr>
          <w:sz w:val="22"/>
          <w:szCs w:val="22"/>
        </w:rPr>
      </w:pPr>
    </w:p>
    <w:p w:rsidR="001E3FFD" w:rsidRDefault="001E3FFD">
      <w:pPr>
        <w:rPr>
          <w:sz w:val="22"/>
          <w:szCs w:val="22"/>
        </w:rPr>
      </w:pPr>
    </w:p>
    <w:sectPr w:rsidR="001E3FFD">
      <w:headerReference w:type="default" r:id="rId11"/>
      <w:footerReference w:type="default" r:id="rId12"/>
      <w:headerReference w:type="first" r:id="rId13"/>
      <w:footerReference w:type="first" r:id="rId14"/>
      <w:pgSz w:w="12240" w:h="15840"/>
      <w:pgMar w:top="2410" w:right="175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C5E" w:rsidRDefault="006F6C5E">
      <w:r>
        <w:separator/>
      </w:r>
    </w:p>
  </w:endnote>
  <w:endnote w:type="continuationSeparator" w:id="0">
    <w:p w:rsidR="006F6C5E" w:rsidRDefault="006F6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embedRegular r:id="rId1" w:fontKey="{236ACF8B-8105-4B0B-AF81-9F273E509C8C}"/>
    <w:embedBold r:id="rId2" w:fontKey="{A6B6CD4C-75DD-4BB2-A19C-7918A3B79EB6}"/>
    <w:embedItalic r:id="rId3" w:fontKey="{A21BAEC1-AFB4-4258-8FE5-6010135A6144}"/>
    <w:embedBoldItalic r:id="rId4" w:fontKey="{739CAA0B-2B4F-4C65-9CD7-C39CC5A0556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0DA3F654-5005-464B-9C01-A6B0F822A8F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58523F1B-00BE-43D2-B5E1-70B9CD67E26C}"/>
  </w:font>
  <w:font w:name="Calibri">
    <w:panose1 w:val="020F0502020204030204"/>
    <w:charset w:val="00"/>
    <w:family w:val="swiss"/>
    <w:pitch w:val="variable"/>
    <w:sig w:usb0="E4002EFF" w:usb1="C200247B" w:usb2="00000009" w:usb3="00000000" w:csb0="000001FF" w:csb1="00000000"/>
    <w:embedRegular r:id="rId7" w:fontKey="{75D8838F-A7AE-44D7-BF08-8982CD0571A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775059A0-E178-46CB-A800-0F0B100790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FFD" w:rsidRDefault="0038335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AA341D">
      <w:rPr>
        <w:rFonts w:ascii="Arial" w:eastAsia="Arial" w:hAnsi="Arial" w:cs="Arial"/>
        <w:b/>
        <w:bCs/>
        <w:noProof/>
        <w:color w:val="000000"/>
        <w:sz w:val="20"/>
        <w:szCs w:val="20"/>
      </w:rPr>
      <w:t>22</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AA341D">
      <w:rPr>
        <w:rFonts w:ascii="Arial" w:eastAsia="Arial" w:hAnsi="Arial" w:cs="Arial"/>
        <w:b/>
        <w:bCs/>
        <w:noProof/>
        <w:color w:val="000000"/>
        <w:sz w:val="20"/>
        <w:szCs w:val="20"/>
      </w:rPr>
      <w:t>43</w:t>
    </w:r>
    <w:r>
      <w:rPr>
        <w:rFonts w:ascii="Arial" w:eastAsia="Arial" w:hAnsi="Arial" w:cs="Arial"/>
        <w:b/>
        <w:bCs/>
        <w:color w:val="000000"/>
        <w:sz w:val="20"/>
        <w:szCs w:val="20"/>
      </w:rPr>
      <w:fldChar w:fldCharType="end"/>
    </w:r>
  </w:p>
  <w:p w:rsidR="001E3FFD" w:rsidRDefault="001E3FFD">
    <w:pPr>
      <w:pBdr>
        <w:top w:val="nil"/>
        <w:left w:val="nil"/>
        <w:bottom w:val="nil"/>
        <w:right w:val="nil"/>
        <w:between w:val="nil"/>
      </w:pBdr>
      <w:tabs>
        <w:tab w:val="center" w:pos="4252"/>
        <w:tab w:val="right" w:pos="8504"/>
      </w:tabs>
      <w:rPr>
        <w:color w:val="000000"/>
      </w:rPr>
    </w:pPr>
  </w:p>
  <w:p w:rsidR="001E3FFD" w:rsidRDefault="001E3FF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FFD" w:rsidRDefault="0038335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AA341D">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AA341D">
      <w:rPr>
        <w:rFonts w:ascii="Arial" w:eastAsia="Arial" w:hAnsi="Arial" w:cs="Arial"/>
        <w:b/>
        <w:bCs/>
        <w:noProof/>
        <w:color w:val="000000"/>
        <w:sz w:val="20"/>
        <w:szCs w:val="20"/>
      </w:rPr>
      <w:t>43</w:t>
    </w:r>
    <w:r>
      <w:rPr>
        <w:rFonts w:ascii="Arial" w:eastAsia="Arial" w:hAnsi="Arial" w:cs="Arial"/>
        <w:b/>
        <w:bCs/>
        <w:color w:val="000000"/>
        <w:sz w:val="20"/>
        <w:szCs w:val="20"/>
      </w:rPr>
      <w:fldChar w:fldCharType="end"/>
    </w:r>
  </w:p>
  <w:p w:rsidR="001E3FFD" w:rsidRDefault="001E3FF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C5E" w:rsidRDefault="006F6C5E">
      <w:r>
        <w:separator/>
      </w:r>
    </w:p>
  </w:footnote>
  <w:footnote w:type="continuationSeparator" w:id="0">
    <w:p w:rsidR="006F6C5E" w:rsidRDefault="006F6C5E">
      <w:r>
        <w:continuationSeparator/>
      </w:r>
    </w:p>
  </w:footnote>
  <w:footnote w:id="1">
    <w:p w:rsidR="001E3FFD" w:rsidRDefault="0038335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rsidR="001E3FFD" w:rsidRDefault="0038335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3">
    <w:p w:rsidR="001E3FFD" w:rsidRDefault="0038335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4">
    <w:p w:rsidR="001E3FFD" w:rsidRDefault="0038335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5">
    <w:p w:rsidR="001E3FFD" w:rsidRDefault="0038335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FFD" w:rsidRDefault="00104886">
    <w:pPr>
      <w:widowControl w:val="0"/>
      <w:pBdr>
        <w:top w:val="nil"/>
        <w:left w:val="nil"/>
        <w:bottom w:val="nil"/>
        <w:right w:val="nil"/>
        <w:between w:val="nil"/>
      </w:pBdr>
      <w:spacing w:line="276" w:lineRule="auto"/>
      <w:rPr>
        <w:rFonts w:ascii="Calibri" w:eastAsia="Calibri" w:hAnsi="Calibri" w:cs="Calibri"/>
        <w:color w:val="000000"/>
        <w:sz w:val="20"/>
        <w:szCs w:val="20"/>
      </w:rPr>
    </w:pPr>
    <w:r>
      <w:rPr>
        <w:noProof/>
      </w:rPr>
      <w:drawing>
        <wp:anchor distT="0" distB="0" distL="0" distR="0" simplePos="0" relativeHeight="251660288" behindDoc="1" locked="0" layoutInCell="1" hidden="0" allowOverlap="1" wp14:anchorId="27918202" wp14:editId="14354662">
          <wp:simplePos x="0" y="0"/>
          <wp:positionH relativeFrom="column">
            <wp:posOffset>-1121134</wp:posOffset>
          </wp:positionH>
          <wp:positionV relativeFrom="paragraph">
            <wp:posOffset>-544526</wp:posOffset>
          </wp:positionV>
          <wp:extent cx="7813085" cy="101700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6"/>
      <w:tblW w:w="6945" w:type="dxa"/>
      <w:tblInd w:w="2977" w:type="dxa"/>
      <w:tblLayout w:type="fixed"/>
      <w:tblLook w:val="0400" w:firstRow="0" w:lastRow="0" w:firstColumn="0" w:lastColumn="0" w:noHBand="0" w:noVBand="1"/>
    </w:tblPr>
    <w:tblGrid>
      <w:gridCol w:w="2552"/>
      <w:gridCol w:w="4393"/>
    </w:tblGrid>
    <w:tr w:rsidR="001E3FFD">
      <w:tc>
        <w:tcPr>
          <w:tcW w:w="2552" w:type="dxa"/>
          <w:vAlign w:val="center"/>
        </w:tcPr>
        <w:p w:rsidR="001E3FFD" w:rsidRDefault="0038335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4394" w:type="dxa"/>
          <w:vAlign w:val="center"/>
        </w:tcPr>
        <w:p w:rsidR="001E3FFD" w:rsidRDefault="00383357">
          <w:pPr>
            <w:ind w:right="-123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01768/INFOEM/IP/RR/2026 y acumulados </w:t>
          </w:r>
        </w:p>
      </w:tc>
    </w:tr>
    <w:tr w:rsidR="001E3FFD">
      <w:trPr>
        <w:trHeight w:val="228"/>
      </w:trPr>
      <w:tc>
        <w:tcPr>
          <w:tcW w:w="2552" w:type="dxa"/>
          <w:vAlign w:val="center"/>
        </w:tcPr>
        <w:p w:rsidR="001E3FFD" w:rsidRDefault="0038335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tc>
      <w:tc>
        <w:tcPr>
          <w:tcW w:w="4394" w:type="dxa"/>
          <w:vAlign w:val="center"/>
        </w:tcPr>
        <w:p w:rsidR="001E3FFD" w:rsidRDefault="00383357">
          <w:pPr>
            <w:ind w:right="-1235"/>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Toluca</w:t>
          </w:r>
        </w:p>
      </w:tc>
    </w:tr>
    <w:tr w:rsidR="001E3FFD">
      <w:tc>
        <w:tcPr>
          <w:tcW w:w="2552" w:type="dxa"/>
          <w:vAlign w:val="center"/>
        </w:tcPr>
        <w:p w:rsidR="001E3FFD" w:rsidRDefault="0038335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4394" w:type="dxa"/>
          <w:vAlign w:val="center"/>
        </w:tcPr>
        <w:p w:rsidR="001E3FFD" w:rsidRDefault="00383357">
          <w:pPr>
            <w:ind w:right="-123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rsidR="001E3FFD" w:rsidRDefault="0038335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FFD" w:rsidRDefault="00383357">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rPr>
      <w:drawing>
        <wp:anchor distT="0" distB="0" distL="0" distR="0" simplePos="0" relativeHeight="251658240" behindDoc="1" locked="0" layoutInCell="1" hidden="0" allowOverlap="1">
          <wp:simplePos x="0" y="0"/>
          <wp:positionH relativeFrom="column">
            <wp:posOffset>-1080134</wp:posOffset>
          </wp:positionH>
          <wp:positionV relativeFrom="paragraph">
            <wp:posOffset>-411477</wp:posOffset>
          </wp:positionV>
          <wp:extent cx="7813085" cy="10170000"/>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7"/>
      <w:tblW w:w="6662" w:type="dxa"/>
      <w:tblInd w:w="3119" w:type="dxa"/>
      <w:tblLayout w:type="fixed"/>
      <w:tblLook w:val="0400" w:firstRow="0" w:lastRow="0" w:firstColumn="0" w:lastColumn="0" w:noHBand="0" w:noVBand="1"/>
    </w:tblPr>
    <w:tblGrid>
      <w:gridCol w:w="2551"/>
      <w:gridCol w:w="4111"/>
    </w:tblGrid>
    <w:tr w:rsidR="001E3FFD">
      <w:tc>
        <w:tcPr>
          <w:tcW w:w="2551" w:type="dxa"/>
          <w:vAlign w:val="center"/>
        </w:tcPr>
        <w:p w:rsidR="001E3FFD" w:rsidRDefault="0038335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4111" w:type="dxa"/>
          <w:vAlign w:val="center"/>
        </w:tcPr>
        <w:p w:rsidR="001E3FFD" w:rsidRDefault="00383357">
          <w:pPr>
            <w:ind w:right="-1235"/>
            <w:rPr>
              <w:rFonts w:ascii="Palatino Linotype" w:eastAsia="Palatino Linotype" w:hAnsi="Palatino Linotype" w:cs="Palatino Linotype"/>
              <w:sz w:val="21"/>
              <w:szCs w:val="21"/>
            </w:rPr>
          </w:pPr>
          <w:r>
            <w:rPr>
              <w:rFonts w:ascii="Palatino Linotype" w:eastAsia="Palatino Linotype" w:hAnsi="Palatino Linotype" w:cs="Palatino Linotype"/>
              <w:sz w:val="21"/>
              <w:szCs w:val="21"/>
            </w:rPr>
            <w:t>01768/INFOEM/IP/RR/2026 y acumulados</w:t>
          </w:r>
        </w:p>
      </w:tc>
    </w:tr>
    <w:tr w:rsidR="001E3FFD">
      <w:tc>
        <w:tcPr>
          <w:tcW w:w="2551" w:type="dxa"/>
          <w:vAlign w:val="center"/>
        </w:tcPr>
        <w:p w:rsidR="001E3FFD" w:rsidRDefault="00383357">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4111" w:type="dxa"/>
          <w:vAlign w:val="center"/>
        </w:tcPr>
        <w:p w:rsidR="001E3FFD" w:rsidRDefault="001E3FFD">
          <w:pPr>
            <w:ind w:right="-1235"/>
            <w:rPr>
              <w:rFonts w:ascii="Palatino Linotype" w:eastAsia="Palatino Linotype" w:hAnsi="Palatino Linotype" w:cs="Palatino Linotype"/>
              <w:sz w:val="21"/>
              <w:szCs w:val="21"/>
            </w:rPr>
          </w:pPr>
        </w:p>
      </w:tc>
    </w:tr>
    <w:tr w:rsidR="001E3FFD">
      <w:trPr>
        <w:trHeight w:val="228"/>
      </w:trPr>
      <w:tc>
        <w:tcPr>
          <w:tcW w:w="2551" w:type="dxa"/>
          <w:vAlign w:val="center"/>
        </w:tcPr>
        <w:p w:rsidR="001E3FFD" w:rsidRDefault="0038335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tc>
      <w:tc>
        <w:tcPr>
          <w:tcW w:w="4111" w:type="dxa"/>
          <w:vAlign w:val="center"/>
        </w:tcPr>
        <w:p w:rsidR="001E3FFD" w:rsidRDefault="00383357">
          <w:pPr>
            <w:ind w:left="35" w:right="-1235" w:hanging="35"/>
            <w:rPr>
              <w:rFonts w:ascii="Palatino Linotype" w:eastAsia="Palatino Linotype" w:hAnsi="Palatino Linotype" w:cs="Palatino Linotype"/>
              <w:sz w:val="21"/>
              <w:szCs w:val="21"/>
            </w:rPr>
          </w:pPr>
          <w:r>
            <w:rPr>
              <w:rFonts w:ascii="Palatino Linotype" w:eastAsia="Palatino Linotype" w:hAnsi="Palatino Linotype" w:cs="Palatino Linotype"/>
              <w:color w:val="000000"/>
              <w:sz w:val="21"/>
              <w:szCs w:val="21"/>
            </w:rPr>
            <w:t xml:space="preserve">Ayuntamiento de Toluca </w:t>
          </w:r>
        </w:p>
      </w:tc>
    </w:tr>
    <w:tr w:rsidR="001E3FFD">
      <w:tc>
        <w:tcPr>
          <w:tcW w:w="2551" w:type="dxa"/>
          <w:vAlign w:val="center"/>
        </w:tcPr>
        <w:p w:rsidR="001E3FFD" w:rsidRDefault="0038335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4111" w:type="dxa"/>
          <w:vAlign w:val="center"/>
        </w:tcPr>
        <w:p w:rsidR="001E3FFD" w:rsidRDefault="00383357">
          <w:pPr>
            <w:ind w:right="-1235"/>
            <w:rPr>
              <w:rFonts w:ascii="Palatino Linotype" w:eastAsia="Palatino Linotype" w:hAnsi="Palatino Linotype" w:cs="Palatino Linotype"/>
              <w:sz w:val="21"/>
              <w:szCs w:val="21"/>
            </w:rPr>
          </w:pPr>
          <w:r>
            <w:rPr>
              <w:rFonts w:ascii="Palatino Linotype" w:eastAsia="Palatino Linotype" w:hAnsi="Palatino Linotype" w:cs="Palatino Linotype"/>
              <w:sz w:val="21"/>
              <w:szCs w:val="21"/>
            </w:rPr>
            <w:t>María del Rosario Mejía Ayala</w:t>
          </w:r>
        </w:p>
      </w:tc>
    </w:tr>
  </w:tbl>
  <w:p w:rsidR="001E3FFD" w:rsidRDefault="001E3FFD">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E6718"/>
    <w:multiLevelType w:val="multilevel"/>
    <w:tmpl w:val="9192FD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7B7542"/>
    <w:multiLevelType w:val="multilevel"/>
    <w:tmpl w:val="6504A2D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A6494D"/>
    <w:multiLevelType w:val="multilevel"/>
    <w:tmpl w:val="9ECED8B4"/>
    <w:lvl w:ilvl="0">
      <w:start w:val="1"/>
      <w:numFmt w:val="decimal"/>
      <w:lvlText w:val="%1."/>
      <w:lvlJc w:val="left"/>
      <w:pPr>
        <w:ind w:left="928"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F95787"/>
    <w:multiLevelType w:val="multilevel"/>
    <w:tmpl w:val="3E525A6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 w15:restartNumberingAfterBreak="0">
    <w:nsid w:val="72A75033"/>
    <w:multiLevelType w:val="multilevel"/>
    <w:tmpl w:val="DFB6D48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FFD"/>
    <w:rsid w:val="00104886"/>
    <w:rsid w:val="001E3FFD"/>
    <w:rsid w:val="00383357"/>
    <w:rsid w:val="006F6C5E"/>
    <w:rsid w:val="007A5A45"/>
    <w:rsid w:val="00914336"/>
    <w:rsid w:val="00AA341D"/>
    <w:rsid w:val="00B668D7"/>
    <w:rsid w:val="00DC03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3CAD54-CEFF-4456-B5B6-05DF5AA6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D0722"/>
    <w:pPr>
      <w:ind w:left="720"/>
      <w:contextualSpacing/>
    </w:pPr>
  </w:style>
  <w:style w:type="table" w:styleId="Tablaconcuadrcula">
    <w:name w:val="Table Grid"/>
    <w:basedOn w:val="Tablanormal"/>
    <w:uiPriority w:val="39"/>
    <w:rsid w:val="006D0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D0722"/>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6D0722"/>
    <w:pPr>
      <w:tabs>
        <w:tab w:val="center" w:pos="4419"/>
        <w:tab w:val="right" w:pos="8838"/>
      </w:tabs>
    </w:pPr>
  </w:style>
  <w:style w:type="character" w:customStyle="1" w:styleId="EncabezadoCar">
    <w:name w:val="Encabezado Car"/>
    <w:basedOn w:val="Fuentedeprrafopredeter"/>
    <w:link w:val="Encabezado"/>
    <w:uiPriority w:val="99"/>
    <w:rsid w:val="006D0722"/>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6D0722"/>
    <w:pPr>
      <w:tabs>
        <w:tab w:val="center" w:pos="4419"/>
        <w:tab w:val="right" w:pos="8838"/>
      </w:tabs>
    </w:pPr>
  </w:style>
  <w:style w:type="character" w:customStyle="1" w:styleId="PiedepginaCar">
    <w:name w:val="Pie de página Car"/>
    <w:basedOn w:val="Fuentedeprrafopredeter"/>
    <w:link w:val="Piedepgina"/>
    <w:uiPriority w:val="99"/>
    <w:rsid w:val="006D0722"/>
    <w:rPr>
      <w:rFonts w:ascii="Times New Roman" w:eastAsia="Times New Roman" w:hAnsi="Times New Roman" w:cs="Times New Roman"/>
      <w:sz w:val="24"/>
      <w:szCs w:val="24"/>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fkEmPElrieqa4XQp4i7oW2A2Ag==">CgMxLjAyDmgub2hrbTFjdWdxOGZhMghoLmdqZGd4czIJaC4zem55c2g3MgloLjJldDkycDAyCGgudHlqY3d0MgloLjNkeTZ2a20yCWguMXQzaDVzZjIJaC40ZDM0b2c4MgloLjJzOGV5bzEyCWguMTdkcDh2dTIJaC4zcmRjcmpuMgloLjM1bmt1bjIyCWguMjZpbjFyZzgAciExNlhIYjg2UzZ1RzJsaW0xX3lfU1hPeVZJVllFRFMxNXE=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43</Pages>
  <Words>10422</Words>
  <Characters>57326</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67613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6</cp:revision>
  <cp:lastPrinted>2026-04-10T16:05:00Z</cp:lastPrinted>
  <dcterms:created xsi:type="dcterms:W3CDTF">2026-03-25T00:23:00Z</dcterms:created>
  <dcterms:modified xsi:type="dcterms:W3CDTF">2026-04-10T20:10:00Z</dcterms:modified>
</cp:coreProperties>
</file>