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62310" w14:textId="34CA3566" w:rsidR="00111532" w:rsidRPr="00DE3591" w:rsidRDefault="007268C0" w:rsidP="00BD610E">
      <w:pPr>
        <w:spacing w:after="0" w:line="360" w:lineRule="auto"/>
        <w:ind w:right="49"/>
        <w:jc w:val="both"/>
        <w:rPr>
          <w:rFonts w:ascii="Palatino Linotype" w:eastAsia="Palatino Linotype" w:hAnsi="Palatino Linotype" w:cs="Palatino Linotype"/>
        </w:rPr>
      </w:pPr>
      <w:bookmarkStart w:id="0" w:name="_heading=h.2qw5u0sw9sip" w:colFirst="0" w:colLast="0"/>
      <w:bookmarkEnd w:id="0"/>
      <w:r w:rsidRPr="00DE359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314084" w:rsidRPr="00DE3591">
        <w:rPr>
          <w:rFonts w:ascii="Palatino Linotype" w:eastAsia="Palatino Linotype" w:hAnsi="Palatino Linotype" w:cs="Palatino Linotype"/>
        </w:rPr>
        <w:t xml:space="preserve">stado de México, de fecha </w:t>
      </w:r>
      <w:r w:rsidR="008F0F2C" w:rsidRPr="00DE3591">
        <w:rPr>
          <w:rFonts w:ascii="Palatino Linotype" w:eastAsia="Palatino Linotype" w:hAnsi="Palatino Linotype" w:cs="Palatino Linotype"/>
          <w:b/>
        </w:rPr>
        <w:t>ocho</w:t>
      </w:r>
      <w:r w:rsidRPr="00DE3591">
        <w:rPr>
          <w:rFonts w:ascii="Palatino Linotype" w:eastAsia="Palatino Linotype" w:hAnsi="Palatino Linotype" w:cs="Palatino Linotype"/>
          <w:b/>
          <w:bCs/>
        </w:rPr>
        <w:t xml:space="preserve"> de </w:t>
      </w:r>
      <w:r w:rsidR="008F0F2C" w:rsidRPr="00DE3591">
        <w:rPr>
          <w:rFonts w:ascii="Palatino Linotype" w:eastAsia="Palatino Linotype" w:hAnsi="Palatino Linotype" w:cs="Palatino Linotype"/>
          <w:b/>
          <w:bCs/>
        </w:rPr>
        <w:t>abril</w:t>
      </w:r>
      <w:r w:rsidRPr="00DE3591">
        <w:rPr>
          <w:rFonts w:ascii="Palatino Linotype" w:eastAsia="Palatino Linotype" w:hAnsi="Palatino Linotype" w:cs="Palatino Linotype"/>
          <w:b/>
          <w:bCs/>
        </w:rPr>
        <w:t xml:space="preserve"> de dos mil veinti</w:t>
      </w:r>
      <w:r w:rsidR="00841B36" w:rsidRPr="00DE3591">
        <w:rPr>
          <w:rFonts w:ascii="Palatino Linotype" w:eastAsia="Palatino Linotype" w:hAnsi="Palatino Linotype" w:cs="Palatino Linotype"/>
          <w:b/>
          <w:bCs/>
        </w:rPr>
        <w:t>séis</w:t>
      </w:r>
      <w:r w:rsidRPr="00DE3591">
        <w:rPr>
          <w:rFonts w:ascii="Palatino Linotype" w:eastAsia="Palatino Linotype" w:hAnsi="Palatino Linotype" w:cs="Palatino Linotype"/>
        </w:rPr>
        <w:t>.</w:t>
      </w:r>
      <w:r w:rsidR="00E63BB0" w:rsidRPr="00DE3591">
        <w:rPr>
          <w:rFonts w:ascii="Palatino Linotype" w:eastAsia="Palatino Linotype" w:hAnsi="Palatino Linotype" w:cs="Palatino Linotype"/>
        </w:rPr>
        <w:t xml:space="preserve"> </w:t>
      </w:r>
    </w:p>
    <w:p w14:paraId="538BC5F3" w14:textId="77777777" w:rsidR="00111532" w:rsidRPr="00DE3591" w:rsidRDefault="00111532" w:rsidP="008F0F2C">
      <w:pPr>
        <w:spacing w:after="0" w:line="360" w:lineRule="auto"/>
        <w:ind w:right="49"/>
        <w:jc w:val="both"/>
        <w:rPr>
          <w:rFonts w:ascii="Palatino Linotype" w:eastAsia="Palatino Linotype" w:hAnsi="Palatino Linotype" w:cs="Palatino Linotype"/>
        </w:rPr>
      </w:pPr>
    </w:p>
    <w:p w14:paraId="3435CA67" w14:textId="4BB38F98" w:rsidR="00111532" w:rsidRPr="00DE3591" w:rsidRDefault="007268C0" w:rsidP="008F0F2C">
      <w:pPr>
        <w:spacing w:line="360" w:lineRule="auto"/>
        <w:jc w:val="both"/>
        <w:rPr>
          <w:rFonts w:ascii="Palatino Linotype" w:eastAsia="Times New Roman" w:hAnsi="Palatino Linotype" w:cs="Times New Roman"/>
        </w:rPr>
      </w:pPr>
      <w:r w:rsidRPr="00DE3591">
        <w:rPr>
          <w:rFonts w:ascii="Palatino Linotype" w:eastAsia="Palatino Linotype" w:hAnsi="Palatino Linotype" w:cs="Palatino Linotype"/>
        </w:rPr>
        <w:t xml:space="preserve">Visto el expediente relativo al recurso de revisión </w:t>
      </w:r>
      <w:r w:rsidR="008F0F2C" w:rsidRPr="00DE3591">
        <w:rPr>
          <w:rFonts w:ascii="Palatino Linotype" w:eastAsia="Palatino Linotype" w:hAnsi="Palatino Linotype" w:cs="Palatino Linotype"/>
          <w:b/>
          <w:bCs/>
        </w:rPr>
        <w:t>10819/INFOEM/IP/RR/2025</w:t>
      </w:r>
      <w:r w:rsidRPr="00DE3591">
        <w:rPr>
          <w:rFonts w:ascii="Palatino Linotype" w:eastAsia="Palatino Linotype" w:hAnsi="Palatino Linotype" w:cs="Palatino Linotype"/>
        </w:rPr>
        <w:t xml:space="preserve">, interpuesto por </w:t>
      </w:r>
      <w:r w:rsidR="005D6F73" w:rsidRPr="005D6F73">
        <w:rPr>
          <w:rFonts w:ascii="Palatino Linotype" w:eastAsia="Palatino Linotype" w:hAnsi="Palatino Linotype" w:cs="Palatino Linotype"/>
          <w:b/>
          <w:sz w:val="20"/>
        </w:rPr>
        <w:t>XXX XXXXXXX</w:t>
      </w:r>
      <w:r w:rsidR="00F04FE9" w:rsidRPr="00DE3591">
        <w:rPr>
          <w:rFonts w:ascii="Palatino Linotype" w:eastAsia="Palatino Linotype" w:hAnsi="Palatino Linotype" w:cs="Palatino Linotype"/>
          <w:b/>
        </w:rPr>
        <w:t>,</w:t>
      </w:r>
      <w:r w:rsidRPr="00DE3591">
        <w:rPr>
          <w:rFonts w:ascii="Palatino Linotype" w:eastAsia="Palatino Linotype" w:hAnsi="Palatino Linotype" w:cs="Palatino Linotype"/>
        </w:rPr>
        <w:t xml:space="preserve"> en lo sucesivo se le denominará la parte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xml:space="preserve">, en contra la respuesta a su solicitud de información identificada con número de folio </w:t>
      </w:r>
      <w:r w:rsidRPr="00DE3591">
        <w:rPr>
          <w:rFonts w:ascii="Palatino Linotype" w:eastAsia="Palatino Linotype" w:hAnsi="Palatino Linotype" w:cs="Palatino Linotype"/>
          <w:b/>
        </w:rPr>
        <w:t>00</w:t>
      </w:r>
      <w:r w:rsidR="008F0F2C" w:rsidRPr="00DE3591">
        <w:rPr>
          <w:rFonts w:ascii="Palatino Linotype" w:eastAsia="Palatino Linotype" w:hAnsi="Palatino Linotype" w:cs="Palatino Linotype"/>
          <w:b/>
        </w:rPr>
        <w:t>691</w:t>
      </w:r>
      <w:r w:rsidRPr="00DE3591">
        <w:rPr>
          <w:rFonts w:ascii="Palatino Linotype" w:eastAsia="Palatino Linotype" w:hAnsi="Palatino Linotype" w:cs="Palatino Linotype"/>
          <w:b/>
        </w:rPr>
        <w:t>/</w:t>
      </w:r>
      <w:r w:rsidR="008F0F2C" w:rsidRPr="00DE3591">
        <w:rPr>
          <w:rFonts w:ascii="Palatino Linotype" w:eastAsia="Palatino Linotype" w:hAnsi="Palatino Linotype" w:cs="Palatino Linotype"/>
          <w:b/>
        </w:rPr>
        <w:t>INFOEM</w:t>
      </w:r>
      <w:r w:rsidR="00F04FE9" w:rsidRPr="00DE3591">
        <w:rPr>
          <w:rFonts w:ascii="Palatino Linotype" w:eastAsia="Palatino Linotype" w:hAnsi="Palatino Linotype" w:cs="Palatino Linotype"/>
          <w:b/>
        </w:rPr>
        <w:t>/</w:t>
      </w:r>
      <w:r w:rsidRPr="00DE3591">
        <w:rPr>
          <w:rFonts w:ascii="Palatino Linotype" w:eastAsia="Palatino Linotype" w:hAnsi="Palatino Linotype" w:cs="Palatino Linotype"/>
          <w:b/>
        </w:rPr>
        <w:t xml:space="preserve">IP/2025 </w:t>
      </w:r>
      <w:r w:rsidRPr="00DE3591">
        <w:rPr>
          <w:rFonts w:ascii="Palatino Linotype" w:eastAsia="Palatino Linotype" w:hAnsi="Palatino Linotype" w:cs="Palatino Linotype"/>
        </w:rPr>
        <w:t>proporcionada por parte del</w:t>
      </w:r>
      <w:r w:rsidR="00F04FE9" w:rsidRPr="00DE3591">
        <w:rPr>
          <w:rFonts w:ascii="Palatino Linotype" w:eastAsia="Palatino Linotype" w:hAnsi="Palatino Linotype" w:cs="Palatino Linotype"/>
        </w:rPr>
        <w:t xml:space="preserve"> </w:t>
      </w:r>
      <w:r w:rsidR="008F0F2C" w:rsidRPr="00DE3591">
        <w:rPr>
          <w:rFonts w:ascii="Palatino Linotype" w:eastAsia="Times New Roman" w:hAnsi="Palatino Linotype" w:cs="Times New Roman"/>
          <w:b/>
          <w:bCs/>
        </w:rPr>
        <w:t>Instituto de Transparencia, Acceso a la Información Pública y Protección de Datos Personales del Estado de México y Municipios</w:t>
      </w:r>
      <w:r w:rsidRPr="00DE3591">
        <w:rPr>
          <w:rFonts w:ascii="Palatino Linotype" w:eastAsia="Palatino Linotype" w:hAnsi="Palatino Linotype" w:cs="Palatino Linotype"/>
        </w:rPr>
        <w:t xml:space="preserve">, en lo sucesivo el </w:t>
      </w:r>
      <w:r w:rsidRPr="00DE3591">
        <w:rPr>
          <w:rFonts w:ascii="Palatino Linotype" w:eastAsia="Palatino Linotype" w:hAnsi="Palatino Linotype" w:cs="Palatino Linotype"/>
          <w:b/>
        </w:rPr>
        <w:t>Sujeto Obligado</w:t>
      </w:r>
      <w:r w:rsidRPr="00DE3591">
        <w:rPr>
          <w:rFonts w:ascii="Palatino Linotype" w:eastAsia="Palatino Linotype" w:hAnsi="Palatino Linotype" w:cs="Palatino Linotype"/>
        </w:rPr>
        <w:t>; se procede a dictar la presente resolución, con base en los siguientes:</w:t>
      </w:r>
    </w:p>
    <w:p w14:paraId="776F0FC3" w14:textId="77777777" w:rsidR="00B15E6A" w:rsidRPr="00DE3591" w:rsidRDefault="00B15E6A" w:rsidP="00BD610E">
      <w:pPr>
        <w:spacing w:after="0" w:line="360" w:lineRule="auto"/>
        <w:ind w:right="49"/>
        <w:jc w:val="both"/>
        <w:rPr>
          <w:rFonts w:ascii="Palatino Linotype" w:eastAsia="Palatino Linotype" w:hAnsi="Palatino Linotype" w:cs="Palatino Linotype"/>
        </w:rPr>
      </w:pPr>
    </w:p>
    <w:p w14:paraId="0EA2A411" w14:textId="77777777" w:rsidR="00111532" w:rsidRPr="00DE3591" w:rsidRDefault="007268C0" w:rsidP="00BD610E">
      <w:pPr>
        <w:spacing w:after="0" w:line="360" w:lineRule="auto"/>
        <w:ind w:right="49"/>
        <w:jc w:val="center"/>
        <w:rPr>
          <w:rFonts w:ascii="Palatino Linotype" w:eastAsia="Palatino Linotype" w:hAnsi="Palatino Linotype" w:cs="Palatino Linotype"/>
          <w:b/>
        </w:rPr>
      </w:pPr>
      <w:r w:rsidRPr="00DE3591">
        <w:rPr>
          <w:rFonts w:ascii="Palatino Linotype" w:eastAsia="Palatino Linotype" w:hAnsi="Palatino Linotype" w:cs="Palatino Linotype"/>
          <w:b/>
        </w:rPr>
        <w:t>I.</w:t>
      </w:r>
      <w:r w:rsidRPr="00DE3591">
        <w:rPr>
          <w:rFonts w:ascii="Palatino Linotype" w:eastAsia="Palatino Linotype" w:hAnsi="Palatino Linotype" w:cs="Palatino Linotype"/>
          <w:b/>
        </w:rPr>
        <w:tab/>
        <w:t>A N T E C E D E N T E S</w:t>
      </w:r>
    </w:p>
    <w:p w14:paraId="107CE111" w14:textId="77777777" w:rsidR="00111532" w:rsidRPr="00DE3591" w:rsidRDefault="00111532" w:rsidP="00BD610E">
      <w:pPr>
        <w:spacing w:after="0" w:line="360" w:lineRule="auto"/>
        <w:ind w:right="49"/>
        <w:jc w:val="both"/>
        <w:rPr>
          <w:rFonts w:ascii="Palatino Linotype" w:eastAsia="Palatino Linotype" w:hAnsi="Palatino Linotype" w:cs="Palatino Linotype"/>
        </w:rPr>
      </w:pPr>
    </w:p>
    <w:p w14:paraId="21D30831" w14:textId="6BB6AE5D" w:rsidR="00111532" w:rsidRPr="00DE3591" w:rsidRDefault="007268C0" w:rsidP="00BD610E">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E3591">
        <w:rPr>
          <w:rFonts w:ascii="Palatino Linotype" w:eastAsia="Palatino Linotype" w:hAnsi="Palatino Linotype" w:cs="Palatino Linotype"/>
          <w:b/>
        </w:rPr>
        <w:t>Solicitud de acceso a la información.</w:t>
      </w:r>
      <w:r w:rsidRPr="00DE3591">
        <w:rPr>
          <w:rFonts w:ascii="Palatino Linotype" w:eastAsia="Palatino Linotype" w:hAnsi="Palatino Linotype" w:cs="Palatino Linotype"/>
        </w:rPr>
        <w:t xml:space="preserve"> Con fecha </w:t>
      </w:r>
      <w:r w:rsidR="008F0F2C" w:rsidRPr="00DE3591">
        <w:rPr>
          <w:rFonts w:ascii="Palatino Linotype" w:eastAsia="Palatino Linotype" w:hAnsi="Palatino Linotype" w:cs="Palatino Linotype"/>
          <w:b/>
        </w:rPr>
        <w:t>once</w:t>
      </w:r>
      <w:r w:rsidR="000F173D" w:rsidRPr="00DE3591">
        <w:rPr>
          <w:rFonts w:ascii="Palatino Linotype" w:eastAsia="Palatino Linotype" w:hAnsi="Palatino Linotype" w:cs="Palatino Linotype"/>
          <w:b/>
          <w:bCs/>
        </w:rPr>
        <w:t xml:space="preserve"> de </w:t>
      </w:r>
      <w:r w:rsidR="008F0F2C" w:rsidRPr="00DE3591">
        <w:rPr>
          <w:rFonts w:ascii="Palatino Linotype" w:eastAsia="Palatino Linotype" w:hAnsi="Palatino Linotype" w:cs="Palatino Linotype"/>
          <w:b/>
          <w:bCs/>
        </w:rPr>
        <w:t>agosto</w:t>
      </w:r>
      <w:r w:rsidR="00F50686" w:rsidRPr="00DE3591">
        <w:rPr>
          <w:rFonts w:ascii="Palatino Linotype" w:eastAsia="Palatino Linotype" w:hAnsi="Palatino Linotype" w:cs="Palatino Linotype"/>
          <w:b/>
        </w:rPr>
        <w:t xml:space="preserve"> </w:t>
      </w:r>
      <w:r w:rsidRPr="00DE3591">
        <w:rPr>
          <w:rFonts w:ascii="Palatino Linotype" w:eastAsia="Palatino Linotype" w:hAnsi="Palatino Linotype" w:cs="Palatino Linotype"/>
          <w:b/>
        </w:rPr>
        <w:t>de dos mil veinticinco</w:t>
      </w:r>
      <w:r w:rsidRPr="00DE3591">
        <w:rPr>
          <w:rFonts w:ascii="Palatino Linotype" w:eastAsia="Palatino Linotype" w:hAnsi="Palatino Linotype" w:cs="Palatino Linotype"/>
        </w:rPr>
        <w:t xml:space="preserve">, la parte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xml:space="preserve"> formuló solicitud de acceso a información pública al</w:t>
      </w:r>
      <w:r w:rsidRPr="00DE3591">
        <w:rPr>
          <w:rFonts w:ascii="Palatino Linotype" w:eastAsia="Palatino Linotype" w:hAnsi="Palatino Linotype" w:cs="Palatino Linotype"/>
          <w:b/>
        </w:rPr>
        <w:t xml:space="preserve"> SUJETO OBLIGADO, </w:t>
      </w:r>
      <w:r w:rsidRPr="00DE3591">
        <w:rPr>
          <w:rFonts w:ascii="Palatino Linotype" w:eastAsia="Palatino Linotype" w:hAnsi="Palatino Linotype" w:cs="Palatino Linotype"/>
        </w:rPr>
        <w:t xml:space="preserve">a través del Sistema de Acceso a la Información Mexiquense, en adelante SAIMEX, en la que requirió lo siguiente: </w:t>
      </w:r>
    </w:p>
    <w:p w14:paraId="37EE106D" w14:textId="77777777" w:rsidR="00111532" w:rsidRPr="00DE3591" w:rsidRDefault="00111532" w:rsidP="00BD610E">
      <w:pPr>
        <w:spacing w:after="0" w:line="360" w:lineRule="auto"/>
        <w:ind w:right="49"/>
        <w:jc w:val="both"/>
        <w:rPr>
          <w:rFonts w:ascii="Palatino Linotype" w:eastAsia="Palatino Linotype" w:hAnsi="Palatino Linotype" w:cs="Palatino Linotype"/>
        </w:rPr>
      </w:pPr>
    </w:p>
    <w:p w14:paraId="42F8EA28" w14:textId="04D0A2F5" w:rsidR="00111532" w:rsidRPr="00DE3591" w:rsidRDefault="007268C0" w:rsidP="00BD610E">
      <w:pPr>
        <w:spacing w:after="0" w:line="360" w:lineRule="auto"/>
        <w:ind w:left="851" w:right="843"/>
        <w:jc w:val="both"/>
        <w:rPr>
          <w:rFonts w:ascii="Palatino Linotype" w:eastAsia="Palatino Linotype" w:hAnsi="Palatino Linotype" w:cs="Palatino Linotype"/>
          <w:i/>
        </w:rPr>
      </w:pPr>
      <w:bookmarkStart w:id="1" w:name="_heading=h.lgwl3bsbzc6a" w:colFirst="0" w:colLast="0"/>
      <w:bookmarkEnd w:id="1"/>
      <w:r w:rsidRPr="00DE3591">
        <w:rPr>
          <w:rFonts w:ascii="Palatino Linotype" w:eastAsia="Palatino Linotype" w:hAnsi="Palatino Linotype" w:cs="Palatino Linotype"/>
          <w:i/>
        </w:rPr>
        <w:t>“</w:t>
      </w:r>
      <w:r w:rsidR="008F0F2C" w:rsidRPr="00DE3591">
        <w:rPr>
          <w:rFonts w:ascii="Palatino Linotype" w:eastAsia="Palatino Linotype" w:hAnsi="Palatino Linotype" w:cs="Palatino Linotype"/>
          <w:i/>
        </w:rPr>
        <w:t>Lo señalado en el PDF</w:t>
      </w:r>
      <w:r w:rsidRPr="00DE3591">
        <w:rPr>
          <w:rFonts w:ascii="Palatino Linotype" w:eastAsia="Palatino Linotype" w:hAnsi="Palatino Linotype" w:cs="Palatino Linotype"/>
          <w:i/>
        </w:rPr>
        <w:t xml:space="preserve">”. </w:t>
      </w:r>
    </w:p>
    <w:p w14:paraId="623BE216" w14:textId="77777777" w:rsidR="00111532" w:rsidRPr="00DE3591" w:rsidRDefault="00111532" w:rsidP="008F0F2C">
      <w:pPr>
        <w:spacing w:after="0" w:line="360" w:lineRule="auto"/>
        <w:ind w:right="560"/>
        <w:jc w:val="both"/>
        <w:rPr>
          <w:rFonts w:ascii="Palatino Linotype" w:eastAsia="Palatino Linotype" w:hAnsi="Palatino Linotype" w:cs="Palatino Linotype"/>
          <w:i/>
        </w:rPr>
      </w:pPr>
    </w:p>
    <w:p w14:paraId="530855DD" w14:textId="77777777" w:rsidR="008F0F2C" w:rsidRPr="00DE3591" w:rsidRDefault="008F0F2C" w:rsidP="008F0F2C">
      <w:pPr>
        <w:spacing w:after="0" w:line="360" w:lineRule="auto"/>
        <w:ind w:right="560"/>
        <w:jc w:val="both"/>
        <w:rPr>
          <w:rFonts w:ascii="Palatino Linotype" w:eastAsia="Palatino Linotype" w:hAnsi="Palatino Linotype" w:cs="Palatino Linotype"/>
          <w:i/>
        </w:rPr>
      </w:pPr>
    </w:p>
    <w:p w14:paraId="01D2D65B" w14:textId="77777777" w:rsidR="008F0F2C" w:rsidRPr="00DE3591" w:rsidRDefault="008F0F2C" w:rsidP="008F0F2C">
      <w:pPr>
        <w:spacing w:after="0" w:line="360" w:lineRule="auto"/>
        <w:ind w:right="560"/>
        <w:jc w:val="both"/>
        <w:rPr>
          <w:rFonts w:ascii="Palatino Linotype" w:eastAsia="Palatino Linotype" w:hAnsi="Palatino Linotype" w:cs="Palatino Linotype"/>
          <w:i/>
        </w:rPr>
      </w:pPr>
    </w:p>
    <w:p w14:paraId="10761716" w14:textId="38286F1E" w:rsidR="008F0F2C" w:rsidRPr="00DE3591" w:rsidRDefault="008F0F2C" w:rsidP="008F0F2C">
      <w:pPr>
        <w:spacing w:after="0" w:line="360" w:lineRule="auto"/>
        <w:ind w:right="560"/>
        <w:jc w:val="both"/>
        <w:rPr>
          <w:rFonts w:ascii="Palatino Linotype" w:eastAsia="Palatino Linotype" w:hAnsi="Palatino Linotype" w:cs="Palatino Linotype"/>
        </w:rPr>
      </w:pPr>
      <w:r w:rsidRPr="00DE3591">
        <w:rPr>
          <w:rFonts w:ascii="Palatino Linotype" w:eastAsia="Palatino Linotype" w:hAnsi="Palatino Linotype" w:cs="Palatino Linotype"/>
        </w:rPr>
        <w:t>El Recurrente adjuntó los siguientes documentos electrónicos:</w:t>
      </w:r>
    </w:p>
    <w:p w14:paraId="5195CB79" w14:textId="77777777" w:rsidR="008F0F2C" w:rsidRPr="00DE3591" w:rsidRDefault="008F0F2C" w:rsidP="008F0F2C">
      <w:pPr>
        <w:pStyle w:val="Prrafodelista"/>
        <w:numPr>
          <w:ilvl w:val="0"/>
          <w:numId w:val="14"/>
        </w:numPr>
        <w:spacing w:after="0" w:line="360" w:lineRule="auto"/>
        <w:ind w:right="560"/>
        <w:jc w:val="both"/>
        <w:rPr>
          <w:rFonts w:ascii="Palatino Linotype" w:eastAsia="Palatino Linotype" w:hAnsi="Palatino Linotype" w:cs="Palatino Linotype"/>
          <w:b/>
        </w:rPr>
      </w:pPr>
      <w:r w:rsidRPr="00DE3591">
        <w:rPr>
          <w:rFonts w:ascii="Palatino Linotype" w:eastAsia="Palatino Linotype" w:hAnsi="Palatino Linotype" w:cs="Palatino Linotype"/>
          <w:b/>
        </w:rPr>
        <w:lastRenderedPageBreak/>
        <w:t>Solicitud a los acosadores del INFOEM.pdf</w:t>
      </w:r>
    </w:p>
    <w:p w14:paraId="0D51FA3F" w14:textId="6A076C90" w:rsidR="008F0F2C" w:rsidRPr="00DE3591" w:rsidRDefault="008F0F2C" w:rsidP="008F0F2C">
      <w:pPr>
        <w:pStyle w:val="Default"/>
        <w:ind w:left="567" w:right="843"/>
        <w:jc w:val="both"/>
        <w:rPr>
          <w:rFonts w:ascii="Palatino Linotype" w:hAnsi="Palatino Linotype"/>
          <w:color w:val="auto"/>
          <w:sz w:val="22"/>
          <w:szCs w:val="22"/>
        </w:rPr>
      </w:pPr>
      <w:r w:rsidRPr="00DE3591">
        <w:rPr>
          <w:rFonts w:ascii="Palatino Linotype" w:hAnsi="Palatino Linotype"/>
          <w:color w:val="auto"/>
          <w:sz w:val="22"/>
          <w:szCs w:val="22"/>
        </w:rPr>
        <w:t>“</w:t>
      </w:r>
      <w:r w:rsidRPr="00DE3591">
        <w:rPr>
          <w:rFonts w:ascii="Palatino Linotype" w:hAnsi="Palatino Linotype"/>
          <w:b/>
          <w:i/>
          <w:color w:val="auto"/>
          <w:sz w:val="22"/>
          <w:szCs w:val="22"/>
        </w:rPr>
        <w:t>Solicito todos y cada uno de los documentos generados por el INFOEM desde su creación hasta la fecha, sin exclusión alguna. Esto incluye actas, acuerdos, resoluciones, minutas, contratos, convenios, lineamientos, informes, versiones públicas, reportes, oficios, estudios, comunicaciones internas y externas, registros, bases de datos y cualquier otro documento, físico o digital, elaborado, recibido o emitido por el instituto o por cada servidor público que haya laborado o labore en él.</w:t>
      </w:r>
      <w:r w:rsidRPr="00DE3591">
        <w:rPr>
          <w:rFonts w:ascii="Palatino Linotype" w:hAnsi="Palatino Linotype"/>
          <w:color w:val="auto"/>
          <w:sz w:val="22"/>
          <w:szCs w:val="22"/>
        </w:rPr>
        <w:t xml:space="preserve"> </w:t>
      </w:r>
    </w:p>
    <w:p w14:paraId="1CFA01AE" w14:textId="77777777" w:rsidR="008F0F2C" w:rsidRPr="00DE3591" w:rsidRDefault="008F0F2C" w:rsidP="008F0F2C">
      <w:pPr>
        <w:pStyle w:val="Default"/>
        <w:ind w:left="567" w:right="843"/>
        <w:jc w:val="both"/>
        <w:rPr>
          <w:rFonts w:ascii="Palatino Linotype" w:hAnsi="Palatino Linotype"/>
          <w:i/>
          <w:color w:val="auto"/>
          <w:sz w:val="22"/>
          <w:szCs w:val="22"/>
        </w:rPr>
      </w:pPr>
      <w:r w:rsidRPr="00DE3591">
        <w:rPr>
          <w:rFonts w:ascii="Palatino Linotype" w:hAnsi="Palatino Linotype"/>
          <w:i/>
          <w:color w:val="auto"/>
          <w:sz w:val="22"/>
          <w:szCs w:val="22"/>
        </w:rPr>
        <w:t xml:space="preserve">Exijo que los documentos generados en formato digital se entreguen en datos abiertos y en formatos editables. No acepto documentos escaneados ni formatos que impidan la reutilización. </w:t>
      </w:r>
    </w:p>
    <w:p w14:paraId="3E1F2BEE" w14:textId="77777777" w:rsidR="008F0F2C" w:rsidRPr="00DE3591" w:rsidRDefault="008F0F2C" w:rsidP="008F0F2C">
      <w:pPr>
        <w:pStyle w:val="Default"/>
        <w:ind w:left="567" w:right="843"/>
        <w:jc w:val="both"/>
        <w:rPr>
          <w:rFonts w:ascii="Palatino Linotype" w:hAnsi="Palatino Linotype"/>
          <w:i/>
          <w:color w:val="auto"/>
          <w:sz w:val="22"/>
          <w:szCs w:val="22"/>
        </w:rPr>
      </w:pPr>
      <w:r w:rsidRPr="00DE3591">
        <w:rPr>
          <w:rFonts w:ascii="Palatino Linotype" w:hAnsi="Palatino Linotype"/>
          <w:i/>
          <w:color w:val="auto"/>
          <w:sz w:val="22"/>
          <w:szCs w:val="22"/>
        </w:rPr>
        <w:t xml:space="preserve">La entrega debe realizarse exclusivamente por medios digitales, mediante ligas funcionales, accesibles y sin restricciones, enviadas al correo mia.khalifa.transparencia@gmail.com. Pueden usar plataformas gratuitas y reconocidas para subir la información, como Google Drive, OneDrive, Dropbox, Mega o cualquier otra que garantice descarga sencilla y acceso sin costo durante un tiempo razonable. </w:t>
      </w:r>
    </w:p>
    <w:p w14:paraId="4CE51A62" w14:textId="77777777" w:rsidR="008F0F2C" w:rsidRPr="00DE3591" w:rsidRDefault="008F0F2C" w:rsidP="008F0F2C">
      <w:pPr>
        <w:pStyle w:val="Default"/>
        <w:ind w:left="567" w:right="843"/>
        <w:jc w:val="both"/>
        <w:rPr>
          <w:rFonts w:ascii="Palatino Linotype" w:hAnsi="Palatino Linotype"/>
          <w:i/>
          <w:color w:val="auto"/>
          <w:sz w:val="22"/>
          <w:szCs w:val="22"/>
        </w:rPr>
      </w:pPr>
      <w:r w:rsidRPr="00DE3591">
        <w:rPr>
          <w:rFonts w:ascii="Palatino Linotype" w:hAnsi="Palatino Linotype"/>
          <w:i/>
          <w:color w:val="auto"/>
          <w:sz w:val="22"/>
          <w:szCs w:val="22"/>
        </w:rPr>
        <w:t xml:space="preserve">No aceptaré ningún cambio de modalidad, y la que jamás aceptaré es la consulta directa. Que el SAIMEX tenga limitaciones es problema suyo, no mío. No quiero que usen eso como excusa para hacer lo mismo de siempre: negar o retrasar la entrega de la información. </w:t>
      </w:r>
    </w:p>
    <w:p w14:paraId="774F74D5" w14:textId="792B2202" w:rsidR="008F0F2C" w:rsidRPr="00DE3591" w:rsidRDefault="008F0F2C" w:rsidP="008F0F2C">
      <w:pPr>
        <w:spacing w:after="0" w:line="360" w:lineRule="auto"/>
        <w:ind w:left="567" w:right="843"/>
        <w:jc w:val="both"/>
        <w:rPr>
          <w:rFonts w:ascii="Palatino Linotype" w:eastAsia="Palatino Linotype" w:hAnsi="Palatino Linotype" w:cs="Palatino Linotype"/>
          <w:b/>
        </w:rPr>
      </w:pPr>
      <w:r w:rsidRPr="00DE3591">
        <w:rPr>
          <w:rFonts w:ascii="Palatino Linotype" w:hAnsi="Palatino Linotype"/>
          <w:i/>
        </w:rPr>
        <w:t>Esta solicitud se presenta conforme a la ley y debe cumplirse en tiempo y forma.</w:t>
      </w:r>
      <w:r w:rsidRPr="00DE3591">
        <w:rPr>
          <w:rFonts w:ascii="Palatino Linotype" w:hAnsi="Palatino Linotype"/>
        </w:rPr>
        <w:t>” (sic)</w:t>
      </w:r>
    </w:p>
    <w:p w14:paraId="023BAE24" w14:textId="3DB411E5" w:rsidR="008F0F2C" w:rsidRPr="00DE3591" w:rsidRDefault="008F0F2C" w:rsidP="008F0F2C">
      <w:pPr>
        <w:pStyle w:val="Prrafodelista"/>
        <w:numPr>
          <w:ilvl w:val="0"/>
          <w:numId w:val="14"/>
        </w:numPr>
        <w:spacing w:after="0" w:line="360" w:lineRule="auto"/>
        <w:ind w:right="560"/>
        <w:jc w:val="both"/>
        <w:rPr>
          <w:rFonts w:ascii="Palatino Linotype" w:eastAsia="Palatino Linotype" w:hAnsi="Palatino Linotype" w:cs="Palatino Linotype"/>
          <w:b/>
        </w:rPr>
      </w:pPr>
      <w:r w:rsidRPr="00DE3591">
        <w:rPr>
          <w:rFonts w:ascii="Palatino Linotype" w:eastAsia="Palatino Linotype" w:hAnsi="Palatino Linotype" w:cs="Palatino Linotype"/>
          <w:b/>
        </w:rPr>
        <w:t xml:space="preserve">Captura de pantalla.jpg: </w:t>
      </w:r>
      <w:r w:rsidRPr="00DE3591">
        <w:rPr>
          <w:rFonts w:ascii="Palatino Linotype" w:eastAsia="Palatino Linotype" w:hAnsi="Palatino Linotype" w:cs="Palatino Linotype"/>
        </w:rPr>
        <w:t>Contiene una captura de pantalla en el que se menciona que se tuvo una solicitud para acceder a una cuenta de correo electrónico de google.</w:t>
      </w:r>
    </w:p>
    <w:p w14:paraId="404929C6" w14:textId="77777777" w:rsidR="008F0F2C" w:rsidRPr="00DE3591" w:rsidRDefault="008F0F2C" w:rsidP="008F0F2C">
      <w:pPr>
        <w:spacing w:after="0" w:line="360" w:lineRule="auto"/>
        <w:ind w:right="560"/>
        <w:jc w:val="both"/>
        <w:rPr>
          <w:rFonts w:ascii="Palatino Linotype" w:eastAsia="Palatino Linotype" w:hAnsi="Palatino Linotype" w:cs="Palatino Linotype"/>
          <w:i/>
        </w:rPr>
      </w:pPr>
    </w:p>
    <w:p w14:paraId="2E5D52DD" w14:textId="6BD42FB9" w:rsidR="00111532" w:rsidRPr="00DE3591" w:rsidRDefault="007268C0" w:rsidP="00BD610E">
      <w:pP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b/>
        </w:rPr>
        <w:t>Modalidad elegida para la entrega de la información:</w:t>
      </w:r>
      <w:r w:rsidRPr="00DE3591">
        <w:rPr>
          <w:rFonts w:ascii="Palatino Linotype" w:eastAsia="Palatino Linotype" w:hAnsi="Palatino Linotype" w:cs="Palatino Linotype"/>
        </w:rPr>
        <w:t xml:space="preserve"> </w:t>
      </w:r>
      <w:r w:rsidR="008F0F2C" w:rsidRPr="00DE3591">
        <w:rPr>
          <w:rFonts w:ascii="Palatino Linotype" w:eastAsia="Palatino Linotype" w:hAnsi="Palatino Linotype" w:cs="Palatino Linotype"/>
        </w:rPr>
        <w:t>El que dice el PDF adjunto</w:t>
      </w:r>
      <w:r w:rsidR="00247B31" w:rsidRPr="00DE3591">
        <w:rPr>
          <w:rFonts w:ascii="Palatino Linotype" w:eastAsia="Palatino Linotype" w:hAnsi="Palatino Linotype" w:cs="Palatino Linotype"/>
        </w:rPr>
        <w:t>.</w:t>
      </w:r>
    </w:p>
    <w:p w14:paraId="3E5D8BC5" w14:textId="14E1EDEC" w:rsidR="008F0F2C" w:rsidRPr="00DE3591" w:rsidRDefault="007268C0" w:rsidP="00BD610E">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 xml:space="preserve">2. </w:t>
      </w:r>
      <w:r w:rsidR="008F0F2C" w:rsidRPr="00DE3591">
        <w:rPr>
          <w:rFonts w:ascii="Palatino Linotype" w:eastAsia="Palatino Linotype" w:hAnsi="Palatino Linotype" w:cs="Palatino Linotype"/>
          <w:b/>
        </w:rPr>
        <w:t xml:space="preserve">Prórroga. </w:t>
      </w:r>
      <w:r w:rsidR="008F0F2C" w:rsidRPr="00DE3591">
        <w:rPr>
          <w:rFonts w:ascii="Palatino Linotype" w:eastAsia="Palatino Linotype" w:hAnsi="Palatino Linotype" w:cs="Palatino Linotype"/>
        </w:rPr>
        <w:t>El veintiocho de agosto de dos mil veinticinco, el Sujeto Obligado solicitó una prórroga para dar respuesta a la solicitud, a través de un acuerdo del Comité de Transparencia</w:t>
      </w:r>
      <w:r w:rsidR="00150B66" w:rsidRPr="00DE3591">
        <w:rPr>
          <w:rFonts w:ascii="Palatino Linotype" w:eastAsia="Palatino Linotype" w:hAnsi="Palatino Linotype" w:cs="Palatino Linotype"/>
        </w:rPr>
        <w:t>.</w:t>
      </w:r>
    </w:p>
    <w:p w14:paraId="58760001" w14:textId="2312AB7A" w:rsidR="00111532" w:rsidRPr="00DE3591" w:rsidRDefault="008F0F2C" w:rsidP="00BD610E">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lastRenderedPageBreak/>
        <w:t xml:space="preserve">3. </w:t>
      </w:r>
      <w:r w:rsidR="007268C0" w:rsidRPr="00DE3591">
        <w:rPr>
          <w:rFonts w:ascii="Palatino Linotype" w:eastAsia="Palatino Linotype" w:hAnsi="Palatino Linotype" w:cs="Palatino Linotype"/>
          <w:b/>
        </w:rPr>
        <w:t>Respuesta.</w:t>
      </w:r>
      <w:r w:rsidR="007268C0" w:rsidRPr="00DE3591">
        <w:rPr>
          <w:rFonts w:ascii="Palatino Linotype" w:eastAsia="Palatino Linotype" w:hAnsi="Palatino Linotype" w:cs="Palatino Linotype"/>
        </w:rPr>
        <w:t xml:space="preserve"> Con fecha </w:t>
      </w:r>
      <w:r w:rsidR="00150B66" w:rsidRPr="00DE3591">
        <w:rPr>
          <w:rFonts w:ascii="Palatino Linotype" w:eastAsia="Palatino Linotype" w:hAnsi="Palatino Linotype" w:cs="Palatino Linotype"/>
          <w:b/>
        </w:rPr>
        <w:t>diez</w:t>
      </w:r>
      <w:r w:rsidR="007268C0" w:rsidRPr="00DE3591">
        <w:rPr>
          <w:rFonts w:ascii="Palatino Linotype" w:eastAsia="Palatino Linotype" w:hAnsi="Palatino Linotype" w:cs="Palatino Linotype"/>
          <w:b/>
        </w:rPr>
        <w:t xml:space="preserve"> de </w:t>
      </w:r>
      <w:r w:rsidR="00150B66" w:rsidRPr="00DE3591">
        <w:rPr>
          <w:rFonts w:ascii="Palatino Linotype" w:eastAsia="Palatino Linotype" w:hAnsi="Palatino Linotype" w:cs="Palatino Linotype"/>
          <w:b/>
        </w:rPr>
        <w:t>septiembre</w:t>
      </w:r>
      <w:r w:rsidR="007268C0" w:rsidRPr="00DE3591">
        <w:rPr>
          <w:rFonts w:ascii="Palatino Linotype" w:eastAsia="Palatino Linotype" w:hAnsi="Palatino Linotype" w:cs="Palatino Linotype"/>
          <w:b/>
        </w:rPr>
        <w:t xml:space="preserve"> de dos mil veinticinco</w:t>
      </w:r>
      <w:r w:rsidR="007268C0" w:rsidRPr="00DE3591">
        <w:rPr>
          <w:rFonts w:ascii="Palatino Linotype" w:eastAsia="Palatino Linotype" w:hAnsi="Palatino Linotype" w:cs="Palatino Linotype"/>
        </w:rPr>
        <w:t xml:space="preserve"> el </w:t>
      </w:r>
      <w:r w:rsidR="007268C0" w:rsidRPr="00DE3591">
        <w:rPr>
          <w:rFonts w:ascii="Palatino Linotype" w:eastAsia="Palatino Linotype" w:hAnsi="Palatino Linotype" w:cs="Palatino Linotype"/>
          <w:b/>
        </w:rPr>
        <w:t>SUJETO OBLIGADO</w:t>
      </w:r>
      <w:r w:rsidR="007268C0" w:rsidRPr="00DE3591">
        <w:rPr>
          <w:rFonts w:ascii="Palatino Linotype" w:eastAsia="Palatino Linotype" w:hAnsi="Palatino Linotype" w:cs="Palatino Linotype"/>
        </w:rPr>
        <w:t xml:space="preserve"> envió su respuesta a la solicitud de acceso a la información a través del SAIMEX, la cual versa como sigue:</w:t>
      </w:r>
    </w:p>
    <w:p w14:paraId="41280156" w14:textId="77777777" w:rsidR="00150B66" w:rsidRPr="00DE3591" w:rsidRDefault="007268C0" w:rsidP="00150B66">
      <w:pPr>
        <w:spacing w:after="0" w:line="360" w:lineRule="auto"/>
        <w:ind w:left="851"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r w:rsidR="00150B66" w:rsidRPr="00DE359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C824CC" w14:textId="77777777" w:rsidR="00150B66" w:rsidRPr="00DE3591" w:rsidRDefault="00150B66" w:rsidP="00150B66">
      <w:pPr>
        <w:spacing w:after="0" w:line="360" w:lineRule="auto"/>
        <w:ind w:left="851"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Con fundamento en el artículo 53 fracción II de la Ley de Transparencia y Acceso a la Información Pública del Estado de México y Municipios, se adjunta la respuesta a su solicitud de información pública.</w:t>
      </w:r>
    </w:p>
    <w:p w14:paraId="373876CF" w14:textId="77777777" w:rsidR="00150B66" w:rsidRPr="00DE3591" w:rsidRDefault="00150B66" w:rsidP="00150B66">
      <w:pPr>
        <w:spacing w:after="0" w:line="360" w:lineRule="auto"/>
        <w:ind w:left="851"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ATENTAMENTE</w:t>
      </w:r>
    </w:p>
    <w:p w14:paraId="0CC1F2C6" w14:textId="0C32AEBB" w:rsidR="00111532" w:rsidRPr="00DE3591" w:rsidRDefault="00150B66" w:rsidP="00150B66">
      <w:pPr>
        <w:spacing w:after="0" w:line="360" w:lineRule="auto"/>
        <w:ind w:left="851"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Mtra. Melissa Xiomara Guadalupe Horcasitas Gómez</w:t>
      </w:r>
      <w:r w:rsidR="007268C0" w:rsidRPr="00DE3591">
        <w:rPr>
          <w:rFonts w:ascii="Palatino Linotype" w:eastAsia="Palatino Linotype" w:hAnsi="Palatino Linotype" w:cs="Palatino Linotype"/>
          <w:i/>
        </w:rPr>
        <w:t>”</w:t>
      </w:r>
    </w:p>
    <w:p w14:paraId="078B424A" w14:textId="77777777" w:rsidR="00111532" w:rsidRPr="00DE3591" w:rsidRDefault="00111532" w:rsidP="00BD610E">
      <w:pPr>
        <w:spacing w:after="0" w:line="360" w:lineRule="auto"/>
        <w:ind w:right="843"/>
        <w:jc w:val="both"/>
        <w:rPr>
          <w:rFonts w:ascii="Palatino Linotype" w:eastAsia="Palatino Linotype" w:hAnsi="Palatino Linotype" w:cs="Palatino Linotype"/>
          <w:i/>
        </w:rPr>
      </w:pPr>
    </w:p>
    <w:p w14:paraId="2CCDBCF7" w14:textId="77777777" w:rsidR="003B3E0E" w:rsidRPr="00DE3591" w:rsidRDefault="007268C0" w:rsidP="00BD610E">
      <w:pPr>
        <w:spacing w:after="0" w:line="360" w:lineRule="auto"/>
        <w:ind w:right="843"/>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Asimismo, </w:t>
      </w:r>
      <w:r w:rsidR="000F173D" w:rsidRPr="00DE3591">
        <w:rPr>
          <w:rFonts w:ascii="Palatino Linotype" w:eastAsia="Palatino Linotype" w:hAnsi="Palatino Linotype" w:cs="Palatino Linotype"/>
        </w:rPr>
        <w:t xml:space="preserve">el Sujeto Obligado </w:t>
      </w:r>
      <w:r w:rsidRPr="00DE3591">
        <w:rPr>
          <w:rFonts w:ascii="Palatino Linotype" w:eastAsia="Palatino Linotype" w:hAnsi="Palatino Linotype" w:cs="Palatino Linotype"/>
        </w:rPr>
        <w:t xml:space="preserve">adjuntó a su respuesta </w:t>
      </w:r>
      <w:r w:rsidR="003B3E0E" w:rsidRPr="00DE3591">
        <w:rPr>
          <w:rFonts w:ascii="Palatino Linotype" w:eastAsia="Palatino Linotype" w:hAnsi="Palatino Linotype" w:cs="Palatino Linotype"/>
        </w:rPr>
        <w:t>los documentos electrónicos siguientes:</w:t>
      </w:r>
    </w:p>
    <w:p w14:paraId="33A86E28" w14:textId="77777777" w:rsidR="003B3E0E" w:rsidRPr="00DE3591" w:rsidRDefault="003B3E0E" w:rsidP="00BD610E">
      <w:pPr>
        <w:spacing w:after="0" w:line="360" w:lineRule="auto"/>
        <w:ind w:right="843"/>
        <w:jc w:val="both"/>
        <w:rPr>
          <w:rFonts w:ascii="Palatino Linotype" w:eastAsia="Palatino Linotype" w:hAnsi="Palatino Linotype" w:cs="Palatino Linotype"/>
        </w:rPr>
      </w:pPr>
    </w:p>
    <w:p w14:paraId="561EF662" w14:textId="4C3AE46F" w:rsidR="00150B66" w:rsidRPr="00DE3591" w:rsidRDefault="00150B66" w:rsidP="00150B66">
      <w:pPr>
        <w:pStyle w:val="Prrafodelista"/>
        <w:numPr>
          <w:ilvl w:val="0"/>
          <w:numId w:val="11"/>
        </w:numPr>
        <w:spacing w:after="0" w:line="360" w:lineRule="auto"/>
        <w:ind w:right="843"/>
        <w:jc w:val="both"/>
        <w:rPr>
          <w:rFonts w:ascii="Palatino Linotype" w:eastAsia="Palatino Linotype" w:hAnsi="Palatino Linotype" w:cs="Palatino Linotype"/>
        </w:rPr>
      </w:pPr>
      <w:r w:rsidRPr="00DE3591">
        <w:rPr>
          <w:rFonts w:ascii="Palatino Linotype" w:eastAsia="Palatino Linotype" w:hAnsi="Palatino Linotype" w:cs="Palatino Linotype"/>
          <w:b/>
        </w:rPr>
        <w:t xml:space="preserve">2025ROf813CambioModalidadINFOEM.pdf: </w:t>
      </w:r>
      <w:r w:rsidRPr="00DE3591">
        <w:rPr>
          <w:rFonts w:ascii="Palatino Linotype" w:eastAsia="Palatino Linotype" w:hAnsi="Palatino Linotype" w:cs="Palatino Linotype"/>
        </w:rPr>
        <w:t>Oficio suscrito por el Director General de Informática mediante el cual refiere que se registró en la bitácora de incidencias por representar un peso de 39798.017 TB, lo cual supera las capacidades del SAIMEX.</w:t>
      </w:r>
    </w:p>
    <w:p w14:paraId="0692E388" w14:textId="6C58CB1D" w:rsidR="00D859BB" w:rsidRPr="00DE3591" w:rsidRDefault="00150B66" w:rsidP="004A6D10">
      <w:pPr>
        <w:pStyle w:val="Prrafodelista"/>
        <w:numPr>
          <w:ilvl w:val="0"/>
          <w:numId w:val="11"/>
        </w:numPr>
        <w:spacing w:after="0" w:line="360" w:lineRule="auto"/>
        <w:ind w:right="843"/>
        <w:jc w:val="both"/>
        <w:rPr>
          <w:rFonts w:ascii="Palatino Linotype" w:eastAsia="Palatino Linotype" w:hAnsi="Palatino Linotype" w:cs="Palatino Linotype"/>
        </w:rPr>
      </w:pPr>
      <w:r w:rsidRPr="00DE3591">
        <w:rPr>
          <w:rFonts w:ascii="Palatino Linotype" w:eastAsia="Palatino Linotype" w:hAnsi="Palatino Linotype" w:cs="Palatino Linotype"/>
          <w:b/>
        </w:rPr>
        <w:t>MemoPropuestaCambioModalidadEntregaSIP00691_2025UT.pdf</w:t>
      </w:r>
      <w:r w:rsidR="00D859BB" w:rsidRPr="00DE3591">
        <w:rPr>
          <w:rFonts w:ascii="Palatino Linotype" w:eastAsia="Palatino Linotype" w:hAnsi="Palatino Linotype" w:cs="Palatino Linotype"/>
          <w:b/>
        </w:rPr>
        <w:t xml:space="preserve">: </w:t>
      </w:r>
      <w:r w:rsidR="00D859BB" w:rsidRPr="00DE3591">
        <w:rPr>
          <w:rFonts w:ascii="Palatino Linotype" w:eastAsia="Palatino Linotype" w:hAnsi="Palatino Linotype" w:cs="Palatino Linotype"/>
        </w:rPr>
        <w:t>Memorandum suscrito por el Titular de la Unidad de Transparencia mediante el cual indicó que se turnó la solicitud a todas las unidades administrativas, advirtiendo que el cúmulo de información asciende a 39798.017 Tb (Terabytes)</w:t>
      </w:r>
      <w:r w:rsidR="00D859BB" w:rsidRPr="00DE3591">
        <w:rPr>
          <w:rFonts w:ascii="Palatino Linotype" w:eastAsia="Palatino Linotype" w:hAnsi="Palatino Linotype" w:cs="Palatino Linotype"/>
          <w:b/>
        </w:rPr>
        <w:t xml:space="preserve">, </w:t>
      </w:r>
      <w:r w:rsidR="00D859BB" w:rsidRPr="00DE3591">
        <w:rPr>
          <w:rFonts w:ascii="Palatino Linotype" w:eastAsia="Palatino Linotype" w:hAnsi="Palatino Linotype" w:cs="Palatino Linotype"/>
        </w:rPr>
        <w:t>razón por la que se solicitó a la Dirección General de Informática el registro de incidencias correspondiente por la imposibilidad de atender la solicitud a través del SAIMEX.</w:t>
      </w:r>
      <w:r w:rsidR="00D859BB" w:rsidRPr="00DE3591">
        <w:rPr>
          <w:rFonts w:ascii="Palatino Linotype" w:eastAsia="Palatino Linotype" w:hAnsi="Palatino Linotype" w:cs="Palatino Linotype"/>
          <w:b/>
        </w:rPr>
        <w:t xml:space="preserve"> </w:t>
      </w:r>
      <w:r w:rsidR="00D859BB" w:rsidRPr="00DE3591">
        <w:rPr>
          <w:rFonts w:ascii="Palatino Linotype" w:eastAsia="Palatino Linotype" w:hAnsi="Palatino Linotype" w:cs="Palatino Linotype"/>
        </w:rPr>
        <w:t>Asimismo, se solicitó al Comité de Transparencia que se confirmara el cambio de modalidad.</w:t>
      </w:r>
      <w:r w:rsidR="00457A0F" w:rsidRPr="00DE3591">
        <w:rPr>
          <w:rFonts w:ascii="Palatino Linotype" w:eastAsia="Palatino Linotype" w:hAnsi="Palatino Linotype" w:cs="Palatino Linotype"/>
        </w:rPr>
        <w:t xml:space="preserve"> Por último, refiere que el particular solicitó la entrega por correo electrónico; sin embargo, cargar la información, indica que supera el peso permitido. Adjunta imágenes de referencia.</w:t>
      </w:r>
    </w:p>
    <w:p w14:paraId="11DFBA82" w14:textId="2C44B07C" w:rsidR="00150B66" w:rsidRPr="00DE3591" w:rsidRDefault="00150B66" w:rsidP="00150B66">
      <w:pPr>
        <w:pStyle w:val="Prrafodelista"/>
        <w:numPr>
          <w:ilvl w:val="0"/>
          <w:numId w:val="11"/>
        </w:numPr>
        <w:spacing w:after="0" w:line="360" w:lineRule="auto"/>
        <w:ind w:right="843"/>
        <w:jc w:val="both"/>
        <w:rPr>
          <w:rFonts w:ascii="Palatino Linotype" w:eastAsia="Palatino Linotype" w:hAnsi="Palatino Linotype" w:cs="Palatino Linotype"/>
          <w:b/>
        </w:rPr>
      </w:pPr>
      <w:r w:rsidRPr="00DE3591">
        <w:rPr>
          <w:rFonts w:ascii="Palatino Linotype" w:eastAsia="Palatino Linotype" w:hAnsi="Palatino Linotype" w:cs="Palatino Linotype"/>
          <w:b/>
        </w:rPr>
        <w:t>Anexos Respuestas.zip</w:t>
      </w:r>
      <w:r w:rsidR="00DE1BA7" w:rsidRPr="00DE3591">
        <w:rPr>
          <w:rFonts w:ascii="Palatino Linotype" w:eastAsia="Palatino Linotype" w:hAnsi="Palatino Linotype" w:cs="Palatino Linotype"/>
          <w:b/>
        </w:rPr>
        <w:t xml:space="preserve">: </w:t>
      </w:r>
      <w:r w:rsidR="00DE1BA7" w:rsidRPr="00DE3591">
        <w:rPr>
          <w:rFonts w:ascii="Palatino Linotype" w:eastAsia="Palatino Linotype" w:hAnsi="Palatino Linotype" w:cs="Palatino Linotype"/>
        </w:rPr>
        <w:t xml:space="preserve">Respuestas de las unidades administrativas en las que exponen </w:t>
      </w:r>
      <w:r w:rsidR="005C464F" w:rsidRPr="00DE3591">
        <w:rPr>
          <w:rFonts w:ascii="Palatino Linotype" w:eastAsia="Palatino Linotype" w:hAnsi="Palatino Linotype" w:cs="Palatino Linotype"/>
        </w:rPr>
        <w:t>el peso de la información a proporcionar en la respuesta a la solicitud.</w:t>
      </w:r>
    </w:p>
    <w:p w14:paraId="4F02CDE4" w14:textId="006F1A57" w:rsidR="00150B66" w:rsidRPr="00DE3591" w:rsidRDefault="00150B66" w:rsidP="00150B66">
      <w:pPr>
        <w:pStyle w:val="Prrafodelista"/>
        <w:numPr>
          <w:ilvl w:val="0"/>
          <w:numId w:val="11"/>
        </w:numPr>
        <w:spacing w:after="0" w:line="360" w:lineRule="auto"/>
        <w:ind w:right="843"/>
        <w:jc w:val="both"/>
        <w:rPr>
          <w:rFonts w:ascii="Palatino Linotype" w:eastAsia="Palatino Linotype" w:hAnsi="Palatino Linotype" w:cs="Palatino Linotype"/>
        </w:rPr>
      </w:pPr>
      <w:r w:rsidRPr="00DE3591">
        <w:rPr>
          <w:rFonts w:ascii="Palatino Linotype" w:eastAsia="Palatino Linotype" w:hAnsi="Palatino Linotype" w:cs="Palatino Linotype"/>
          <w:b/>
        </w:rPr>
        <w:t>OficioConsultaCapacidadesSAIMEXSIP00691_2025UT.pdf</w:t>
      </w:r>
      <w:r w:rsidR="005C464F" w:rsidRPr="00DE3591">
        <w:rPr>
          <w:rFonts w:ascii="Palatino Linotype" w:eastAsia="Palatino Linotype" w:hAnsi="Palatino Linotype" w:cs="Palatino Linotype"/>
          <w:b/>
        </w:rPr>
        <w:t xml:space="preserve">: </w:t>
      </w:r>
      <w:r w:rsidR="005C464F" w:rsidRPr="00DE3591">
        <w:rPr>
          <w:rFonts w:ascii="Palatino Linotype" w:eastAsia="Palatino Linotype" w:hAnsi="Palatino Linotype" w:cs="Palatino Linotype"/>
        </w:rPr>
        <w:t xml:space="preserve">Oficio de la Titular de la Unidad de Transparencia dirigido al Director General de Informática en el que refiere que le indique si es posible remitir la información a través del SAIMEX, de no ser así, se pide se registre la incidencia en la bitácora correspondiente. </w:t>
      </w:r>
    </w:p>
    <w:p w14:paraId="39A1744D" w14:textId="27943B09" w:rsidR="00150B66" w:rsidRPr="00DE3591" w:rsidRDefault="00150B66" w:rsidP="00150B66">
      <w:pPr>
        <w:pStyle w:val="Prrafodelista"/>
        <w:numPr>
          <w:ilvl w:val="0"/>
          <w:numId w:val="11"/>
        </w:numPr>
        <w:spacing w:after="0" w:line="360" w:lineRule="auto"/>
        <w:ind w:right="843"/>
        <w:jc w:val="both"/>
        <w:rPr>
          <w:rFonts w:ascii="Palatino Linotype" w:eastAsia="Palatino Linotype" w:hAnsi="Palatino Linotype" w:cs="Palatino Linotype"/>
          <w:b/>
        </w:rPr>
      </w:pPr>
      <w:r w:rsidRPr="00DE3591">
        <w:rPr>
          <w:rFonts w:ascii="Palatino Linotype" w:eastAsia="Palatino Linotype" w:hAnsi="Palatino Linotype" w:cs="Palatino Linotype"/>
          <w:b/>
        </w:rPr>
        <w:t>RespuestaSolicitud00691_2025UT.pdf</w:t>
      </w:r>
      <w:r w:rsidR="00F70366" w:rsidRPr="00DE3591">
        <w:rPr>
          <w:rFonts w:ascii="Palatino Linotype" w:eastAsia="Palatino Linotype" w:hAnsi="Palatino Linotype" w:cs="Palatino Linotype"/>
          <w:b/>
        </w:rPr>
        <w:t xml:space="preserve">: </w:t>
      </w:r>
      <w:r w:rsidR="00CE0326" w:rsidRPr="00DE3591">
        <w:rPr>
          <w:rFonts w:ascii="Palatino Linotype" w:eastAsia="Palatino Linotype" w:hAnsi="Palatino Linotype" w:cs="Palatino Linotype"/>
        </w:rPr>
        <w:t>Oficio suscrito por el Titular de la Unidad de Transparencia mediante el cual indica la imposibilidad de atender la solicitud a través del SAIMEX y correo electrónico</w:t>
      </w:r>
      <w:r w:rsidR="00AD51C1" w:rsidRPr="00DE3591">
        <w:rPr>
          <w:rFonts w:ascii="Palatino Linotype" w:eastAsia="Palatino Linotype" w:hAnsi="Palatino Linotype" w:cs="Palatino Linotype"/>
        </w:rPr>
        <w:t xml:space="preserve"> derivado del peso de la información. Asimismo, señala el cambio de modalidad a consulta directa, el plazo que estará disponible la información y señaló todas las modalidades en las que se puede proporcionar la información como consulta directa, copias simples o certificadas o medios electrónicos usb, disco duro o CD.ROM</w:t>
      </w:r>
    </w:p>
    <w:p w14:paraId="109AC2CE" w14:textId="51CA366C" w:rsidR="00150B66" w:rsidRPr="00DE3591" w:rsidRDefault="00150B66" w:rsidP="00150B66">
      <w:pPr>
        <w:pStyle w:val="Prrafodelista"/>
        <w:numPr>
          <w:ilvl w:val="0"/>
          <w:numId w:val="11"/>
        </w:numPr>
        <w:spacing w:after="0" w:line="360" w:lineRule="auto"/>
        <w:ind w:right="843"/>
        <w:jc w:val="both"/>
        <w:rPr>
          <w:rFonts w:ascii="Palatino Linotype" w:eastAsia="Palatino Linotype" w:hAnsi="Palatino Linotype" w:cs="Palatino Linotype"/>
          <w:b/>
        </w:rPr>
      </w:pPr>
      <w:r w:rsidRPr="00DE3591">
        <w:rPr>
          <w:rFonts w:ascii="Palatino Linotype" w:eastAsia="Palatino Linotype" w:hAnsi="Palatino Linotype" w:cs="Palatino Linotype"/>
          <w:b/>
        </w:rPr>
        <w:t>Acta 21a Ses. Ext. del C.T. 2025.pdf</w:t>
      </w:r>
      <w:r w:rsidR="00AD51C1" w:rsidRPr="00DE3591">
        <w:rPr>
          <w:rFonts w:ascii="Palatino Linotype" w:eastAsia="Palatino Linotype" w:hAnsi="Palatino Linotype" w:cs="Palatino Linotype"/>
          <w:b/>
        </w:rPr>
        <w:t xml:space="preserve">: </w:t>
      </w:r>
      <w:r w:rsidR="00AD51C1" w:rsidRPr="00DE3591">
        <w:rPr>
          <w:rFonts w:ascii="Palatino Linotype" w:eastAsia="Palatino Linotype" w:hAnsi="Palatino Linotype" w:cs="Palatino Linotype"/>
        </w:rPr>
        <w:t>Acuerdo del Comité de Transparencia mediante el cual se confirmó el cambio de modalidad a consulta directa</w:t>
      </w:r>
      <w:r w:rsidR="0044566E" w:rsidRPr="00DE3591">
        <w:rPr>
          <w:rFonts w:ascii="Palatino Linotype" w:eastAsia="Palatino Linotype" w:hAnsi="Palatino Linotype" w:cs="Palatino Linotype"/>
        </w:rPr>
        <w:t>.</w:t>
      </w:r>
      <w:r w:rsidR="0044566E" w:rsidRPr="00DE3591">
        <w:rPr>
          <w:rFonts w:ascii="Palatino Linotype" w:eastAsia="Palatino Linotype" w:hAnsi="Palatino Linotype" w:cs="Palatino Linotype"/>
          <w:b/>
        </w:rPr>
        <w:t xml:space="preserve"> </w:t>
      </w:r>
    </w:p>
    <w:p w14:paraId="7D12A22E" w14:textId="77777777" w:rsidR="00150B66" w:rsidRPr="00DE3591" w:rsidRDefault="00150B66" w:rsidP="00150B66">
      <w:pPr>
        <w:pStyle w:val="Prrafodelista"/>
        <w:spacing w:after="0" w:line="360" w:lineRule="auto"/>
        <w:ind w:right="843"/>
        <w:jc w:val="both"/>
        <w:rPr>
          <w:rFonts w:ascii="Palatino Linotype" w:eastAsia="Palatino Linotype" w:hAnsi="Palatino Linotype" w:cs="Palatino Linotype"/>
          <w:b/>
        </w:rPr>
      </w:pPr>
    </w:p>
    <w:p w14:paraId="58AFAE90" w14:textId="1A725D2D" w:rsidR="00111532" w:rsidRPr="00DE3591" w:rsidRDefault="004A6D10" w:rsidP="004A6D1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b/>
        </w:rPr>
        <w:t>4</w:t>
      </w:r>
      <w:r w:rsidR="007268C0" w:rsidRPr="00DE3591">
        <w:rPr>
          <w:rFonts w:ascii="Palatino Linotype" w:eastAsia="Palatino Linotype" w:hAnsi="Palatino Linotype" w:cs="Palatino Linotype"/>
          <w:b/>
        </w:rPr>
        <w:t>. Interposición del Recurso de Revisión</w:t>
      </w:r>
      <w:r w:rsidR="007268C0" w:rsidRPr="00DE3591">
        <w:rPr>
          <w:rFonts w:ascii="Palatino Linotype" w:eastAsia="Palatino Linotype" w:hAnsi="Palatino Linotype" w:cs="Palatino Linotype"/>
        </w:rPr>
        <w:t xml:space="preserve">. La parte Solicitante, derivado de la respuesta del </w:t>
      </w:r>
      <w:r w:rsidR="007268C0" w:rsidRPr="00DE3591">
        <w:rPr>
          <w:rFonts w:ascii="Palatino Linotype" w:eastAsia="Palatino Linotype" w:hAnsi="Palatino Linotype" w:cs="Palatino Linotype"/>
          <w:b/>
        </w:rPr>
        <w:t>Sujeto Obligado</w:t>
      </w:r>
      <w:r w:rsidR="007268C0" w:rsidRPr="00DE3591">
        <w:rPr>
          <w:rFonts w:ascii="Palatino Linotype" w:eastAsia="Palatino Linotype" w:hAnsi="Palatino Linotype" w:cs="Palatino Linotype"/>
        </w:rPr>
        <w:t xml:space="preserve"> interpuso Recurso de Revisión a través del </w:t>
      </w:r>
      <w:r w:rsidR="007268C0" w:rsidRPr="00DE3591">
        <w:rPr>
          <w:rFonts w:ascii="Palatino Linotype" w:eastAsia="Palatino Linotype" w:hAnsi="Palatino Linotype" w:cs="Palatino Linotype"/>
          <w:b/>
        </w:rPr>
        <w:t>SAIMEX</w:t>
      </w:r>
      <w:r w:rsidR="007268C0" w:rsidRPr="00DE3591">
        <w:rPr>
          <w:rFonts w:ascii="Palatino Linotype" w:eastAsia="Palatino Linotype" w:hAnsi="Palatino Linotype" w:cs="Palatino Linotype"/>
        </w:rPr>
        <w:t xml:space="preserve"> en fecha </w:t>
      </w:r>
      <w:r w:rsidRPr="00DE3591">
        <w:rPr>
          <w:rFonts w:ascii="Palatino Linotype" w:eastAsia="Palatino Linotype" w:hAnsi="Palatino Linotype" w:cs="Palatino Linotype"/>
          <w:b/>
        </w:rPr>
        <w:t>quince</w:t>
      </w:r>
      <w:r w:rsidR="006775E6" w:rsidRPr="00DE3591">
        <w:rPr>
          <w:rFonts w:ascii="Palatino Linotype" w:eastAsia="Palatino Linotype" w:hAnsi="Palatino Linotype" w:cs="Palatino Linotype"/>
          <w:b/>
          <w:bCs/>
        </w:rPr>
        <w:t xml:space="preserve"> de </w:t>
      </w:r>
      <w:r w:rsidRPr="00DE3591">
        <w:rPr>
          <w:rFonts w:ascii="Palatino Linotype" w:eastAsia="Palatino Linotype" w:hAnsi="Palatino Linotype" w:cs="Palatino Linotype"/>
          <w:b/>
          <w:bCs/>
        </w:rPr>
        <w:t>septiembre</w:t>
      </w:r>
      <w:r w:rsidR="007268C0" w:rsidRPr="00DE3591">
        <w:rPr>
          <w:rFonts w:ascii="Palatino Linotype" w:eastAsia="Palatino Linotype" w:hAnsi="Palatino Linotype" w:cs="Palatino Linotype"/>
          <w:b/>
        </w:rPr>
        <w:t xml:space="preserve"> de dos mil veinticinco</w:t>
      </w:r>
      <w:r w:rsidR="007268C0" w:rsidRPr="00DE3591">
        <w:rPr>
          <w:rFonts w:ascii="Palatino Linotype" w:eastAsia="Palatino Linotype" w:hAnsi="Palatino Linotype" w:cs="Palatino Linotype"/>
        </w:rPr>
        <w:t>, a través del cual expresó lo siguiente:</w:t>
      </w:r>
    </w:p>
    <w:p w14:paraId="66C8B934" w14:textId="77777777" w:rsidR="00111532" w:rsidRPr="00DE3591" w:rsidRDefault="00111532" w:rsidP="004A6D1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75F980" w14:textId="08017E00" w:rsidR="00111532" w:rsidRPr="00DE3591" w:rsidRDefault="007268C0" w:rsidP="009C217F">
      <w:pPr>
        <w:spacing w:after="0" w:line="360" w:lineRule="auto"/>
        <w:ind w:left="426" w:right="560"/>
        <w:jc w:val="both"/>
        <w:rPr>
          <w:rFonts w:ascii="Palatino Linotype" w:eastAsia="Palatino Linotype" w:hAnsi="Palatino Linotype" w:cs="Palatino Linotype"/>
        </w:rPr>
      </w:pPr>
      <w:r w:rsidRPr="00DE3591">
        <w:rPr>
          <w:rFonts w:ascii="Palatino Linotype" w:eastAsia="Palatino Linotype" w:hAnsi="Palatino Linotype" w:cs="Palatino Linotype"/>
          <w:b/>
        </w:rPr>
        <w:t xml:space="preserve">Acto impugnado. </w:t>
      </w:r>
      <w:r w:rsidRPr="00DE3591">
        <w:rPr>
          <w:rFonts w:ascii="Palatino Linotype" w:eastAsia="Palatino Linotype" w:hAnsi="Palatino Linotype" w:cs="Palatino Linotype"/>
        </w:rPr>
        <w:t>“</w:t>
      </w:r>
      <w:r w:rsidR="004A6D10" w:rsidRPr="00DE3591">
        <w:rPr>
          <w:rFonts w:ascii="Palatino Linotype" w:eastAsia="Palatino Linotype" w:hAnsi="Palatino Linotype" w:cs="Palatino Linotype"/>
          <w:i/>
        </w:rPr>
        <w:t>La respuesta otorgada y el ilegal cambio de modalidad</w:t>
      </w:r>
      <w:r w:rsidRPr="00DE3591">
        <w:rPr>
          <w:rFonts w:ascii="Palatino Linotype" w:eastAsia="Palatino Linotype" w:hAnsi="Palatino Linotype" w:cs="Palatino Linotype"/>
        </w:rPr>
        <w:t xml:space="preserve">”. </w:t>
      </w:r>
    </w:p>
    <w:p w14:paraId="71F175C5" w14:textId="77777777" w:rsidR="00111532" w:rsidRPr="00DE3591" w:rsidRDefault="00111532" w:rsidP="009C217F">
      <w:pPr>
        <w:spacing w:after="0" w:line="360" w:lineRule="auto"/>
        <w:ind w:left="426"/>
        <w:jc w:val="both"/>
        <w:rPr>
          <w:rFonts w:ascii="Palatino Linotype" w:eastAsia="Palatino Linotype" w:hAnsi="Palatino Linotype" w:cs="Palatino Linotype"/>
        </w:rPr>
      </w:pPr>
    </w:p>
    <w:p w14:paraId="573FF157" w14:textId="7E368254" w:rsidR="00111532" w:rsidRPr="00DE3591" w:rsidRDefault="007268C0" w:rsidP="004A6D10">
      <w:pPr>
        <w:jc w:val="both"/>
        <w:rPr>
          <w:rFonts w:ascii="Palatino Linotype" w:eastAsia="Palatino Linotype" w:hAnsi="Palatino Linotype" w:cs="Palatino Linotype"/>
          <w:i/>
        </w:rPr>
      </w:pPr>
      <w:r w:rsidRPr="00DE3591">
        <w:rPr>
          <w:rFonts w:ascii="Palatino Linotype" w:eastAsia="Palatino Linotype" w:hAnsi="Palatino Linotype" w:cs="Palatino Linotype"/>
          <w:b/>
        </w:rPr>
        <w:t>Razones o motivos de la inconformidad</w:t>
      </w:r>
      <w:r w:rsidRPr="00DE3591">
        <w:rPr>
          <w:rFonts w:ascii="Palatino Linotype" w:eastAsia="Palatino Linotype" w:hAnsi="Palatino Linotype" w:cs="Palatino Linotype"/>
          <w:b/>
          <w:i/>
        </w:rPr>
        <w:t xml:space="preserve">: </w:t>
      </w:r>
      <w:r w:rsidRPr="00DE3591">
        <w:rPr>
          <w:rFonts w:ascii="Palatino Linotype" w:eastAsia="Palatino Linotype" w:hAnsi="Palatino Linotype" w:cs="Palatino Linotype"/>
          <w:i/>
        </w:rPr>
        <w:t>“</w:t>
      </w:r>
      <w:r w:rsidR="004A6D10" w:rsidRPr="00DE3591">
        <w:rPr>
          <w:rFonts w:ascii="Palatino Linotype" w:eastAsia="Times New Roman" w:hAnsi="Palatino Linotype" w:cs="Times New Roman"/>
          <w:i/>
        </w:rPr>
        <w:t>Lo señalado en el documento adjunto</w:t>
      </w:r>
      <w:r w:rsidRPr="00DE3591">
        <w:rPr>
          <w:rFonts w:ascii="Palatino Linotype" w:eastAsia="Palatino Linotype" w:hAnsi="Palatino Linotype" w:cs="Palatino Linotype"/>
          <w:i/>
        </w:rPr>
        <w:t xml:space="preserve">”. </w:t>
      </w:r>
    </w:p>
    <w:p w14:paraId="0A92D188" w14:textId="77777777" w:rsidR="00B628C5" w:rsidRPr="00DE3591" w:rsidRDefault="00B628C5" w:rsidP="00BD610E">
      <w:pPr>
        <w:pBdr>
          <w:top w:val="nil"/>
          <w:left w:val="nil"/>
          <w:bottom w:val="nil"/>
          <w:right w:val="nil"/>
          <w:between w:val="nil"/>
        </w:pBdr>
        <w:tabs>
          <w:tab w:val="left" w:pos="1276"/>
        </w:tabs>
        <w:spacing w:after="0" w:line="360" w:lineRule="auto"/>
        <w:ind w:left="851" w:right="560"/>
        <w:jc w:val="both"/>
        <w:rPr>
          <w:rFonts w:ascii="Palatino Linotype" w:eastAsia="Palatino Linotype" w:hAnsi="Palatino Linotype" w:cs="Palatino Linotype"/>
          <w:b/>
          <w:i/>
        </w:rPr>
      </w:pPr>
    </w:p>
    <w:p w14:paraId="3365F1C9" w14:textId="6137A26E" w:rsidR="004A6D10" w:rsidRPr="00DE3591" w:rsidRDefault="00B628C5" w:rsidP="004A6D10">
      <w:pPr>
        <w:pStyle w:val="Prrafodelista"/>
        <w:numPr>
          <w:ilvl w:val="0"/>
          <w:numId w:val="10"/>
        </w:numPr>
        <w:rPr>
          <w:rFonts w:ascii="Palatino Linotype" w:eastAsia="Palatino Linotype" w:hAnsi="Palatino Linotype" w:cs="Palatino Linotype"/>
          <w:b/>
        </w:rPr>
      </w:pPr>
      <w:r w:rsidRPr="00DE3591">
        <w:rPr>
          <w:rFonts w:ascii="Palatino Linotype" w:eastAsia="Palatino Linotype" w:hAnsi="Palatino Linotype" w:cs="Palatino Linotype"/>
        </w:rPr>
        <w:t xml:space="preserve">El Recurrente adjuntó el documento electrónico denominado </w:t>
      </w:r>
      <w:r w:rsidR="004A6D10" w:rsidRPr="00DE3591">
        <w:rPr>
          <w:rFonts w:ascii="Palatino Linotype" w:eastAsia="Palatino Linotype" w:hAnsi="Palatino Linotype" w:cs="Palatino Linotype"/>
          <w:b/>
        </w:rPr>
        <w:t>Carta de Interposición de RR. Solicitud 00691.pdf que contiene lo siguiente:</w:t>
      </w:r>
    </w:p>
    <w:p w14:paraId="2E5F4FB9" w14:textId="77777777" w:rsidR="004A6D10" w:rsidRPr="00DE3591" w:rsidRDefault="004A6D10" w:rsidP="004A6D10">
      <w:pPr>
        <w:rPr>
          <w:rFonts w:ascii="Palatino Linotype" w:eastAsia="Palatino Linotype" w:hAnsi="Palatino Linotype" w:cs="Palatino Linotype"/>
          <w:b/>
        </w:rPr>
      </w:pPr>
    </w:p>
    <w:p w14:paraId="3C6DDD98" w14:textId="38A32398"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“Expresamente manifesté que la única modalidad que no deseaba era la consulta directa y, sin embargo, la Titular de la Unidad de Transparencia, de manera arbitraria, modificó mi solicitud imponiendo precisamente esa modalidad, contraviniendo mi derecho como solicitante. Desde un inicio precisé que, aun en el supuesto de recibir cinco mil o un millón de correos electrónicos, prefería esa opción a la consulta directa; por lo tanto, resulta evidente que mi voluntad fue ignorada deliberadamente.</w:t>
      </w:r>
    </w:p>
    <w:p w14:paraId="5DDAD719" w14:textId="3C4A926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Con solo revisar mi solicitud puede advertirse que en ningún momento pedí que la entrega se realizara por medio del SAIMEX; precisamente para que no usaran ese pretexto fui clara al señalar que no aceptaba la modalidad de consulta directa. Aun así, la Titular de la Unidad lo asumió de manera unilateral e hizo lo que se le dio la gana, desconociendo lo que expresamente pedí.</w:t>
      </w:r>
    </w:p>
    <w:p w14:paraId="13DF4F83" w14:textId="51F131F2"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noProof/>
        </w:rPr>
        <w:drawing>
          <wp:inline distT="0" distB="0" distL="0" distR="0" wp14:anchorId="2D15FC70" wp14:editId="3F822144">
            <wp:extent cx="5087060" cy="638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7060" cy="638264"/>
                    </a:xfrm>
                    <a:prstGeom prst="rect">
                      <a:avLst/>
                    </a:prstGeom>
                  </pic:spPr>
                </pic:pic>
              </a:graphicData>
            </a:graphic>
          </wp:inline>
        </w:drawing>
      </w:r>
    </w:p>
    <w:p w14:paraId="2F7AD3D8"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¿Dónde dice que elegí SAIMEX? Y mi solicitud es clara respecto de los medios en los que quiero la información.</w:t>
      </w:r>
    </w:p>
    <w:p w14:paraId="161DBF51"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Lo que solicité fue muy claro: que la información se entregara exclusivamente por medios digitales, mediante correos electrónicos o bien a través de plataformas gratuitas y reconocidas como Google Drive, OneDrive, Dropbox, Mega o cualquier otra que garantizara descarga sencilla y sin costo durante un tiempo razonable. No había margen para interpretaciones ni excusas: mi petición fue concreta, legal y viable.</w:t>
      </w:r>
    </w:p>
    <w:p w14:paraId="0BFE0511" w14:textId="0E414299"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Sin embargo, en su infinita “sabiduría”, decidieron imponer la consulta directa. Y, para colmo, cuando pretendieron justificarlo, se escudaron en limitaciones como si fuera imposible enviar la información en varios correos. Lo obvio era dividir los archivos en envíos múltiples y cumplir con lo solicitado. Pero la hueva monumental y la incompetencia descarada pesaron más, y prefirieron no hacer absolutamente nada, inventando la salida fácil de cambiar unilateralmente la modalidad. Eso no es aplicar la ley: es burlarse del solicitante y del derecho de acceso a la información.</w:t>
      </w:r>
    </w:p>
    <w:p w14:paraId="78A49596"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p>
    <w:p w14:paraId="041F2D70"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Conforme al artículo 164 de la Ley de Transparencia, cualquier modificación de modalidad debía ser sugerida, y la Unidad estaba obligada a ofrecerme otras opciones para que yo eligiera la que resultara más viable. Pero claro, ofrecer alternativas implica trabajar, y aquí parece que se especializan en no hacerlo.</w:t>
      </w:r>
    </w:p>
    <w:p w14:paraId="3B1ECCFF"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Lo verdaderamente ridículo es que un Instituto que presume ser garante del derecho de acceso a la información ni siquiera sea capaz de entender una instrucción tan básica como “no quiero consulta directa”. Eso ya no es un error administrativo: es cinismo institucional. Si los comisionados no ven la gravedad, es porque viven tan cómodos en su oficina climatizada que confunden la opacidad con un trámite normal.</w:t>
      </w:r>
    </w:p>
    <w:p w14:paraId="27AB2C07"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Al INFOEM le encanta presentarse como ejemplo de transparencia, pero en los hechos funciona como una muralla burocrática: todo lo filtra, todo lo detiene, todo lo complica. Son campeones de la simulación, expertos en inventar trámites para no trabajar. Si existiera un premio a la creatividad para fabricar excusas, seguro se lo llevaban cada año.</w:t>
      </w:r>
    </w:p>
    <w:p w14:paraId="6CC4D6C4"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Lo más irónico es que presumen tener “servidores públicos especializados”, pero lo único que demuestran es que ni siquiera saben usar las herramientas más elementales para entregar documentos. ¿Qué sigue? ¿Decir que tampoco saben adjuntar un PDF? Con razón el ciudadano percibe que son un elefante blanco: grande, costoso y absolutamente inútil.</w:t>
      </w:r>
    </w:p>
    <w:p w14:paraId="56700F51" w14:textId="77777777"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Los comisionados, mientras tanto, se limitan a mirar hacia otro lado. Seguramente están más preocupados por la foto en el próximo evento que por garantizar derechos. Les importa más la pose de “referentes en transparencia” que la realidad de un organismo que se hunde en su propia ineficiencia.</w:t>
      </w:r>
    </w:p>
    <w:p w14:paraId="5D0B898F" w14:textId="1C8D8054" w:rsidR="004A6D10" w:rsidRPr="00DE3591" w:rsidRDefault="004A6D10" w:rsidP="004A6D10">
      <w:pPr>
        <w:spacing w:line="24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El día que esta información salga a la luz —y va a salir—, quedará claro que el INFOEM no es un garante, sino un obstáculo. Y la ciudadanía confirmará lo que ya sospecha: que detrás de los discursos solemnes no hay otra cosa más que un club de burócratas que viven del presupuesto y cuya máxima aportación a la sociedad es demostrar lo difícil que puede ser enviar un simple correo electrónico.”</w:t>
      </w:r>
    </w:p>
    <w:p w14:paraId="2B151D77" w14:textId="77777777" w:rsidR="004A6D10" w:rsidRPr="00DE3591" w:rsidRDefault="004A6D10" w:rsidP="004A6D10">
      <w:pPr>
        <w:rPr>
          <w:rFonts w:ascii="Palatino Linotype" w:eastAsia="Palatino Linotype" w:hAnsi="Palatino Linotype" w:cs="Palatino Linotype"/>
          <w:b/>
        </w:rPr>
      </w:pPr>
    </w:p>
    <w:p w14:paraId="4F6CE1B1" w14:textId="6B25AEEC" w:rsidR="00111532" w:rsidRPr="00DE3591" w:rsidRDefault="004A6D10" w:rsidP="00BD610E">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DE3591">
        <w:rPr>
          <w:rFonts w:ascii="Palatino Linotype" w:eastAsia="Palatino Linotype" w:hAnsi="Palatino Linotype" w:cs="Palatino Linotype"/>
          <w:b/>
        </w:rPr>
        <w:t>5</w:t>
      </w:r>
      <w:r w:rsidR="007268C0" w:rsidRPr="00DE3591">
        <w:rPr>
          <w:rFonts w:ascii="Palatino Linotype" w:eastAsia="Palatino Linotype" w:hAnsi="Palatino Linotype" w:cs="Palatino Linotype"/>
          <w:b/>
        </w:rPr>
        <w:t>. Turno.</w:t>
      </w:r>
      <w:r w:rsidR="007268C0" w:rsidRPr="00DE359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8F0F2C" w:rsidRPr="00DE3591">
        <w:rPr>
          <w:rFonts w:ascii="Palatino Linotype" w:eastAsia="Palatino Linotype" w:hAnsi="Palatino Linotype" w:cs="Palatino Linotype"/>
          <w:b/>
          <w:bCs/>
        </w:rPr>
        <w:t>10819/INFOEM/IP/RR/2025</w:t>
      </w:r>
      <w:r w:rsidR="007268C0" w:rsidRPr="00DE3591">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F1B1559" w14:textId="77777777" w:rsidR="00111532" w:rsidRPr="00DE3591" w:rsidRDefault="00111532"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D0ECD33" w14:textId="2A1DC7FC" w:rsidR="00111532" w:rsidRPr="00DE3591" w:rsidRDefault="004A6D10"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rPr>
        <w:t>6</w:t>
      </w:r>
      <w:r w:rsidR="007268C0" w:rsidRPr="00DE3591">
        <w:rPr>
          <w:rFonts w:ascii="Palatino Linotype" w:eastAsia="Palatino Linotype" w:hAnsi="Palatino Linotype" w:cs="Palatino Linotype"/>
        </w:rPr>
        <w:t xml:space="preserve">. </w:t>
      </w:r>
      <w:r w:rsidR="007268C0" w:rsidRPr="00DE3591">
        <w:rPr>
          <w:rFonts w:ascii="Palatino Linotype" w:eastAsia="Palatino Linotype" w:hAnsi="Palatino Linotype" w:cs="Palatino Linotype"/>
          <w:b/>
        </w:rPr>
        <w:t>Admisión del recurso de revisión</w:t>
      </w:r>
      <w:r w:rsidR="007268C0" w:rsidRPr="00DE3591">
        <w:rPr>
          <w:rFonts w:ascii="Palatino Linotype" w:eastAsia="Palatino Linotype" w:hAnsi="Palatino Linotype" w:cs="Palatino Linotype"/>
        </w:rPr>
        <w:t xml:space="preserve">: En fecha </w:t>
      </w:r>
      <w:r w:rsidRPr="00DE3591">
        <w:rPr>
          <w:rFonts w:ascii="Palatino Linotype" w:eastAsia="Palatino Linotype" w:hAnsi="Palatino Linotype" w:cs="Palatino Linotype"/>
          <w:b/>
        </w:rPr>
        <w:t>diecinueve</w:t>
      </w:r>
      <w:r w:rsidR="003B3E0E" w:rsidRPr="00DE3591">
        <w:rPr>
          <w:rFonts w:ascii="Palatino Linotype" w:eastAsia="Palatino Linotype" w:hAnsi="Palatino Linotype" w:cs="Palatino Linotype"/>
          <w:b/>
        </w:rPr>
        <w:t xml:space="preserve"> de septiembre de dos mil veinticinco</w:t>
      </w:r>
      <w:r w:rsidR="007268C0" w:rsidRPr="00DE359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BE2FD82" w14:textId="77777777" w:rsidR="00111532" w:rsidRPr="00DE3591" w:rsidRDefault="00111532"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4C17962" w14:textId="64C1FD10" w:rsidR="00B05786" w:rsidRPr="00DE3591" w:rsidRDefault="004A6D10"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DE3591">
        <w:rPr>
          <w:rFonts w:ascii="Palatino Linotype" w:eastAsia="Palatino Linotype" w:hAnsi="Palatino Linotype" w:cs="Palatino Linotype"/>
          <w:b/>
        </w:rPr>
        <w:t>7</w:t>
      </w:r>
      <w:r w:rsidR="007268C0" w:rsidRPr="00DE3591">
        <w:rPr>
          <w:rFonts w:ascii="Palatino Linotype" w:eastAsia="Palatino Linotype" w:hAnsi="Palatino Linotype" w:cs="Palatino Linotype"/>
          <w:b/>
        </w:rPr>
        <w:t xml:space="preserve">. Manifestaciones. </w:t>
      </w:r>
      <w:r w:rsidR="007268C0" w:rsidRPr="00DE3591">
        <w:rPr>
          <w:rFonts w:ascii="Palatino Linotype" w:eastAsia="Palatino Linotype" w:hAnsi="Palatino Linotype" w:cs="Palatino Linotype"/>
        </w:rPr>
        <w:t xml:space="preserve">En fecha </w:t>
      </w:r>
      <w:r w:rsidRPr="00DE3591">
        <w:rPr>
          <w:rFonts w:ascii="Palatino Linotype" w:eastAsia="Palatino Linotype" w:hAnsi="Palatino Linotype" w:cs="Palatino Linotype"/>
          <w:b/>
        </w:rPr>
        <w:t>veintiséis</w:t>
      </w:r>
      <w:r w:rsidR="003B3E0E" w:rsidRPr="00DE3591">
        <w:rPr>
          <w:rFonts w:ascii="Palatino Linotype" w:eastAsia="Palatino Linotype" w:hAnsi="Palatino Linotype" w:cs="Palatino Linotype"/>
        </w:rPr>
        <w:t xml:space="preserve"> </w:t>
      </w:r>
      <w:r w:rsidR="007268C0" w:rsidRPr="00DE3591">
        <w:rPr>
          <w:rFonts w:ascii="Palatino Linotype" w:eastAsia="Palatino Linotype" w:hAnsi="Palatino Linotype" w:cs="Palatino Linotype"/>
          <w:b/>
        </w:rPr>
        <w:t xml:space="preserve">de </w:t>
      </w:r>
      <w:r w:rsidR="003B3E0E" w:rsidRPr="00DE3591">
        <w:rPr>
          <w:rFonts w:ascii="Palatino Linotype" w:eastAsia="Palatino Linotype" w:hAnsi="Palatino Linotype" w:cs="Palatino Linotype"/>
          <w:b/>
        </w:rPr>
        <w:t>septiembre</w:t>
      </w:r>
      <w:r w:rsidR="00B628C5" w:rsidRPr="00DE3591">
        <w:rPr>
          <w:rFonts w:ascii="Palatino Linotype" w:eastAsia="Palatino Linotype" w:hAnsi="Palatino Linotype" w:cs="Palatino Linotype"/>
          <w:b/>
        </w:rPr>
        <w:t xml:space="preserve"> </w:t>
      </w:r>
      <w:r w:rsidR="007268C0" w:rsidRPr="00DE3591">
        <w:rPr>
          <w:rFonts w:ascii="Palatino Linotype" w:eastAsia="Palatino Linotype" w:hAnsi="Palatino Linotype" w:cs="Palatino Linotype"/>
          <w:b/>
        </w:rPr>
        <w:t>de dos mil veinti</w:t>
      </w:r>
      <w:r w:rsidR="003B3E0E" w:rsidRPr="00DE3591">
        <w:rPr>
          <w:rFonts w:ascii="Palatino Linotype" w:eastAsia="Palatino Linotype" w:hAnsi="Palatino Linotype" w:cs="Palatino Linotype"/>
          <w:b/>
        </w:rPr>
        <w:t>cinco</w:t>
      </w:r>
      <w:r w:rsidR="00B628C5" w:rsidRPr="00DE3591">
        <w:rPr>
          <w:rFonts w:ascii="Palatino Linotype" w:eastAsia="Palatino Linotype" w:hAnsi="Palatino Linotype" w:cs="Palatino Linotype"/>
          <w:b/>
        </w:rPr>
        <w:t>,</w:t>
      </w:r>
      <w:r w:rsidR="007268C0" w:rsidRPr="00DE3591">
        <w:rPr>
          <w:rFonts w:ascii="Palatino Linotype" w:eastAsia="Palatino Linotype" w:hAnsi="Palatino Linotype" w:cs="Palatino Linotype"/>
        </w:rPr>
        <w:t xml:space="preserve"> el </w:t>
      </w:r>
      <w:r w:rsidR="007268C0" w:rsidRPr="00DE3591">
        <w:rPr>
          <w:rFonts w:ascii="Palatino Linotype" w:eastAsia="Palatino Linotype" w:hAnsi="Palatino Linotype" w:cs="Palatino Linotype"/>
          <w:b/>
        </w:rPr>
        <w:t>Sujeto Obligado</w:t>
      </w:r>
      <w:r w:rsidR="007268C0" w:rsidRPr="00DE3591">
        <w:rPr>
          <w:rFonts w:ascii="Palatino Linotype" w:eastAsia="Palatino Linotype" w:hAnsi="Palatino Linotype" w:cs="Palatino Linotype"/>
        </w:rPr>
        <w:t xml:space="preserve"> rindió su informe justificado</w:t>
      </w:r>
      <w:r w:rsidRPr="00DE3591">
        <w:rPr>
          <w:rFonts w:ascii="Palatino Linotype" w:eastAsia="Palatino Linotype" w:hAnsi="Palatino Linotype" w:cs="Palatino Linotype"/>
        </w:rPr>
        <w:t xml:space="preserve"> a través del documento electrónico denominado </w:t>
      </w:r>
      <w:r w:rsidRPr="00DE3591">
        <w:rPr>
          <w:rFonts w:ascii="Palatino Linotype" w:eastAsia="Palatino Linotype" w:hAnsi="Palatino Linotype" w:cs="Palatino Linotype"/>
          <w:b/>
        </w:rPr>
        <w:t>InformeJustificadoRecurso10819UT_2025.pdf</w:t>
      </w:r>
      <w:r w:rsidRPr="00DE3591">
        <w:rPr>
          <w:rFonts w:ascii="Palatino Linotype" w:eastAsia="Palatino Linotype" w:hAnsi="Palatino Linotype" w:cs="Palatino Linotype"/>
        </w:rPr>
        <w:t xml:space="preserve">, mediante el cual ratifica su respuesta inicial. </w:t>
      </w:r>
      <w:r w:rsidR="000F37C8" w:rsidRPr="00DE3591">
        <w:rPr>
          <w:rFonts w:ascii="Palatino Linotype" w:eastAsia="Palatino Linotype" w:hAnsi="Palatino Linotype" w:cs="Palatino Linotype"/>
        </w:rPr>
        <w:t xml:space="preserve">El contenido del informe justificado se puso a disposición del Recurrente el </w:t>
      </w:r>
      <w:r w:rsidRPr="00DE3591">
        <w:rPr>
          <w:rFonts w:ascii="Palatino Linotype" w:eastAsia="Palatino Linotype" w:hAnsi="Palatino Linotype" w:cs="Palatino Linotype"/>
          <w:b/>
        </w:rPr>
        <w:t>veintitrés</w:t>
      </w:r>
      <w:r w:rsidR="000F37C8" w:rsidRPr="00DE3591">
        <w:rPr>
          <w:rFonts w:ascii="Palatino Linotype" w:eastAsia="Palatino Linotype" w:hAnsi="Palatino Linotype" w:cs="Palatino Linotype"/>
          <w:b/>
          <w:bCs/>
        </w:rPr>
        <w:t xml:space="preserve"> </w:t>
      </w:r>
      <w:r w:rsidR="00D250D2" w:rsidRPr="00DE3591">
        <w:rPr>
          <w:rFonts w:ascii="Palatino Linotype" w:eastAsia="Palatino Linotype" w:hAnsi="Palatino Linotype" w:cs="Palatino Linotype"/>
          <w:b/>
          <w:bCs/>
        </w:rPr>
        <w:t xml:space="preserve">de </w:t>
      </w:r>
      <w:r w:rsidR="003B3E0E" w:rsidRPr="00DE3591">
        <w:rPr>
          <w:rFonts w:ascii="Palatino Linotype" w:eastAsia="Palatino Linotype" w:hAnsi="Palatino Linotype" w:cs="Palatino Linotype"/>
          <w:b/>
          <w:bCs/>
        </w:rPr>
        <w:t>marzo</w:t>
      </w:r>
      <w:r w:rsidR="00D250D2" w:rsidRPr="00DE3591">
        <w:rPr>
          <w:rFonts w:ascii="Palatino Linotype" w:eastAsia="Palatino Linotype" w:hAnsi="Palatino Linotype" w:cs="Palatino Linotype"/>
          <w:b/>
          <w:bCs/>
        </w:rPr>
        <w:t xml:space="preserve"> </w:t>
      </w:r>
      <w:r w:rsidR="000F37C8" w:rsidRPr="00DE3591">
        <w:rPr>
          <w:rFonts w:ascii="Palatino Linotype" w:eastAsia="Palatino Linotype" w:hAnsi="Palatino Linotype" w:cs="Palatino Linotype"/>
          <w:b/>
          <w:bCs/>
        </w:rPr>
        <w:t>de dos mil veintiséis.</w:t>
      </w:r>
    </w:p>
    <w:p w14:paraId="3B053051" w14:textId="77777777" w:rsidR="009F58F4" w:rsidRPr="00DE3591" w:rsidRDefault="009F58F4"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25B44170" w14:textId="06AD3207" w:rsidR="009F58F4" w:rsidRPr="00DE3591" w:rsidRDefault="009F58F4"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DE3591">
        <w:rPr>
          <w:rFonts w:ascii="Palatino Linotype" w:eastAsia="Palatino Linotype" w:hAnsi="Palatino Linotype" w:cs="Palatino Linotype"/>
          <w:b/>
          <w:bCs/>
        </w:rPr>
        <w:t>Por su parte, el Recurrente el veinticuatro de marzo de dos mil veintiséis realizó manifestaciones, en los siguientes términos:</w:t>
      </w:r>
    </w:p>
    <w:p w14:paraId="634D352B" w14:textId="77777777" w:rsidR="009F58F4" w:rsidRPr="00DE3591" w:rsidRDefault="009F58F4"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6CEAC361" w14:textId="6F188294"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“Manifestaciones al informe justificado</w:t>
      </w:r>
    </w:p>
    <w:p w14:paraId="055640AD"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En relación con el informe justificado rendido por la Unidad d e Transparencia del Sujeto</w:t>
      </w:r>
    </w:p>
    <w:p w14:paraId="58FBD7A1"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Obligado, se formulan las siguientes manifestaciones:</w:t>
      </w:r>
    </w:p>
    <w:p w14:paraId="59C7E998" w14:textId="337BAEF2"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El informe justificado no sólo es insuficiente para desvirtuar los agravios hechos valer, sino que los confirma plenamente. De las constancias exhibidas únicamente se advierte, en el mejor de los casos, un intento relacionado con Google Drive; sin embargo, no existe prueba alguna d e que se hubiera intentado la remisión por correo electrónico, ni el uso d e OneDrive, Dropbox, Mega, ni d e cualquier otra plataforma de libre uso, acceso sencillo y gratuita que permitiera la entrega efectiva d e la información. Es decir, el Sujeto Obligado tomó una de varias alternativas planteadas de manera expresamente enunciativa y no limitativa, probó únicamente esa, y después pretendió presentar esa actuación mínima como si equivaliera a una gestión exhaustiva. Francamente, un estándar d e cumplimiento tan bajo sólo podría parecer suficiente para quien no tenía verdadero interés en entregar la información. La parte recurrente fue clara desde el inicio: se propusieron diversas opciones tecnológicas para facilitar la entrega de los archivos, precisamente para evitar que la autoridad se refugiara en las ya conocidas limitaciones del SAIMEX. Pese a ello, el Sujeto Obligado optó por ignorar la amplitud de lo solicitado, reducir arbitrariamente el abanico de posibilidades a una sola herramienta y, una vez agotada esa única opción que decidió utilizar, concluir con notable comodidad que existía una imposibilidad técnica. En otras palabras, convirtió en pretexto su propia falta d e diligencia y ahora pretende que esa omisión sea convalidada como si se tratara de un impedimento real, objetivo y plenamente acreditado.</w:t>
      </w:r>
    </w:p>
    <w:p w14:paraId="5317ADD6"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7549A494" w14:textId="4D1B952A"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Debe subrayarse, además, que en ningún momento esta parte solicitó que la totalidad de la información fuera remitida en una sola descarga o en un solo correo electrónico. Esa idea es una construcción unilateral del propio Sujeto Obligado, útil únicamente para fabricar una dificultad que jamás estuvo planteada. La entrega pudo realizarse de manera fraccionada, progresiva o escalonada, permitiendo que conforme se recibieran los archivos éstos fueran descargados oportunamente. Pero ni siquiera eso se intentó. No hay constancia de pruebas de envío parciales, de segmentación de archivos, de remisión sucesiva por correos, ni de exploración de mecanismos alternos equivalentes. Lo que sí hay es una notoria ausencia de esfuerzo, revestida después de lenguaje administrativo.</w:t>
      </w:r>
    </w:p>
    <w:p w14:paraId="5C4891F3"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735E5782" w14:textId="2F14E9B3"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 xml:space="preserve">Más grave aún, esta parte señaló expresamente que la única modalidad que no aceptaba era la consulta directa. A pesar d e esa manifestación inequívoca, el Sujeto Obligado desatendió las alternativas propuestas y acabó orientando su respuesta hacia una restricción material del acceso, como si la voluntad de la persona solicitante fuera un simple dato decorativo del expediente. Desde esa lógica, el derecho de acceso a la información deja de ser un derecho exigible y se transforma en una concesión condicionada a la comodidad operativa de la autoridad. Sin duda, una interpretación muy creativa del principio de máxima publicidad. </w:t>
      </w:r>
    </w:p>
    <w:p w14:paraId="17C0E3A8"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2E18AC44" w14:textId="630B7014"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También resulta revelador que se pretenda presentar como obstáculo extraordinario lo que en realidad es una operación digital elemental. Existen numerosas plataformas gratuitas, accesibles y de uso cotidiano que permiten cargar, conservar y compartir archivos durante periodos razonables, sin costo para la persona solicitante. No se trata de herramientas remotas, complejas o inaccesibles; se trata de medios ordinarios que cualquier oficina pública mínimamente diligente conoce o puede implementar sin</w:t>
      </w:r>
    </w:p>
    <w:p w14:paraId="6A561173" w14:textId="4C9D5FC8"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mayor dificultad. Por ello, sostener que la imposibilidad de usar una sola herramienta agota todas las opciones posibles no sólo es técnicamente pobre, sino jurídicamente inaceptable. Si la obligación constitucional de garantizar un derecho humano queda supeditada a la suerte de una única plataforma, entonces el problema no es tecnológico, sino de voluntad institucional.</w:t>
      </w:r>
    </w:p>
    <w:p w14:paraId="0E3067EE"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6581CDE8" w14:textId="24995BEC"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Por otra parte, el argumento relativo a la c a p a c i d a d del SAlMEX es abiertamente inconducente. Esta parte no exigió la entrega por esa vía; por el contrario, propuso diversas rutas alternas justamente para evitar que las limitaciones del sistema fueran utilizadas como excusa. El Sujeto Obligado, sin embargo, decidió regresar una y otra vez a ese mismo punto, como si bastara invocar las deficiencias de una herramienta institucional para tener por cumplida su obligación. Después de tantos años de operación del sistema d e transparencia, insistir en esa fórmula defensiva no sólo resulta desgastado, sino bastante revelador de una práctica burocrática que ha preferido administrar obstáculos antes que removerlos.</w:t>
      </w:r>
    </w:p>
    <w:p w14:paraId="78270398"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36E9682F" w14:textId="607F938C"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La deficiente actuación d e la Titular d e la Unidad d e Transparencia no p u e d e verse como un simple error aislado, sino como una forma de gestión que, en los hechos, obstaculiza el a c c e s o a la información y favorece la opacidad. No agotó las alternativas expresamente señaladas por esta parte, no acreditó intentos reales de entrega por vías distintas a la única que decidió utilizar y, aun así, rindió un informe</w:t>
      </w:r>
    </w:p>
    <w:p w14:paraId="7EA16676" w14:textId="7EA52D7F"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 xml:space="preserve">justificado pretendiendo hacer pasar esa actuación mínima como si hubiera sido suficiente. Más que una conducta orientada a garantizar un derecho humano, lo que se aprecia es una administración del incumplimiento revestida de formalidades. </w:t>
      </w:r>
    </w:p>
    <w:p w14:paraId="294F5561"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08243EBC" w14:textId="040B8E4A"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Igualmente grave resulta q u e este tipo d e actuaciones p u e d a n ser toleradas o convalidadas desde el propio Órgano Garante. En particular, preocupa que el Comisionado Presidente, en su calidad de superior jerárquico de la Titular de la Unidad de Transparencia, conozca y vote un asunto en el que precisamente se cuestiona la legalidad y suficiencia de la actuación desplegada por un área que se encuentra bajo su conducción. En tales condiciones, existe cuando menos una razón objetiva para cuestionar la plena imparcialidad con la que habría d e resolverse el presente recurso, pues una determinación que confirme la respuesta impugnada no sólo validaría el actuar de la servidora pública subordinada, sino también una forma de proceder institucional que, de manera sistemática, termina dificultando que la ciudadanía a c c e d a y revise la actuación del propio Instituto. No se trata d e una mera inconformidad con el sentido que eventualmente p u e d a adoptarse, sino d e advertir que la imparcialidad d e b e preservarse también en su apariencia externa. Si quien encabeza el Instituto participa en la resolución de un recurso en el que está en tela de juicio la actuación de un área bajo su mando, y a d e m á s lo h a c e para sostener una práctica q u e en los hechos restringe el a c c e s o a la</w:t>
      </w:r>
    </w:p>
    <w:p w14:paraId="5755CE12" w14:textId="3EE1CED0"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información pública, se genera una duda razonable sobre la objetividad d e su intervención. Sería, por decir lo menos, una manera poco afortunada de cerrar una gestión: no corrigiendo una práctica restrictiva, sino respaldándola desde la posición jerárquica más alta.</w:t>
      </w:r>
    </w:p>
    <w:p w14:paraId="4A1EC5BE"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654AEA56" w14:textId="6E6F7701"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 xml:space="preserve">Por ello, esta parte estima que el Comisionado Presidente debió abstenerse d e conocer y votar el presente asunto, o bien ser recusado, precisamente para evitar q u e su intervención termine proyectando la idea d e que el Instituto no sólo permite estas prácticas, sino que además las protege cuando son impugnadas por la ciudadanía. La garantía del derecho de acceso a la información exige algo más que discursos institucionales; exige que quienes resuelven lo hagan sin cargas jerárquicas, sin interés en convalidar la actuación d e sus subordinados y sin dejar margen a la sospecha de q u e la o p a c i d a d se administra d e s d e dentro. </w:t>
      </w:r>
    </w:p>
    <w:p w14:paraId="6447F3C9" w14:textId="398EF566"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En consecuencia, el informe justificado carece de eficacia probatoria para sostener la legalidad d e la actuación impugnada. No acredita una imposibilidad material seria, objetiva y documentada; no demuestra que se hubiera intentado el envío por correo electrónico; no prueba el uso de las plataformas expresamente sugeridas; no acredita haber explorado otras alternativas equivalentes; y tampoco justifica por qué se desatendió la modalidad solicitada, excluyendo la consulta directa. Lo único que verdaderamente demuestra es que el Sujeto Obligado eligió la vía más restrictiva para la persona solicitante y la más cómoda para sí mismo. Si esa fuera la medida del cumplimiento en materia de transparencia, entonces el derecho de acceso quedaría r e d u c i d o a un ritual administrativo sin c o n t e n i d o real.</w:t>
      </w:r>
    </w:p>
    <w:p w14:paraId="25CA10F1" w14:textId="77777777"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p>
    <w:p w14:paraId="5338A310" w14:textId="7F60570C" w:rsidR="009F58F4" w:rsidRPr="00DE3591" w:rsidRDefault="009F58F4" w:rsidP="009F58F4">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rPr>
      </w:pPr>
      <w:r w:rsidRPr="00DE3591">
        <w:rPr>
          <w:rFonts w:ascii="Palatino Linotype" w:eastAsia="Palatino Linotype" w:hAnsi="Palatino Linotype" w:cs="Palatino Linotype"/>
          <w:i/>
          <w:iCs/>
        </w:rPr>
        <w:t>Por lo anterior, se solicita a ese Órgano Garante que al resolver el presente recurso valore que el Sujeto Obligado no desplegó una actuación diligente, no agotó las alternativas tecnológicas disponibles, no justificó d e manera suficiente la supuesta imposibilidad material y no respetó la modalidad expresamente requerida. En tales condiciones, el informe justificado no debe ser tenido como elemento apto para sostener la respuesta impugnada, sino como una confirmación adicional d e que la autoridad prefirió la ruta del pretexto antes que la del cumplimiento. Ojalá que, al menos al dictar resolución, se recuerde que el derecho humano de acceso a la información está para garantizarse, no para administrarse a partir de excusas técnicas.” (Sic)</w:t>
      </w:r>
    </w:p>
    <w:p w14:paraId="35FF1246" w14:textId="77777777" w:rsidR="00D250D2" w:rsidRPr="00DE3591" w:rsidRDefault="00D250D2"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p>
    <w:p w14:paraId="200EA02F" w14:textId="695240FE" w:rsidR="00BD112A" w:rsidRPr="00DE3591" w:rsidRDefault="004A6D10" w:rsidP="00BD112A">
      <w:pPr>
        <w:pBdr>
          <w:top w:val="nil"/>
          <w:left w:val="nil"/>
          <w:bottom w:val="nil"/>
          <w:right w:val="nil"/>
          <w:between w:val="nil"/>
        </w:pBd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8</w:t>
      </w:r>
      <w:r w:rsidR="00BD112A" w:rsidRPr="00DE3591">
        <w:rPr>
          <w:rFonts w:ascii="Palatino Linotype" w:eastAsia="Palatino Linotype" w:hAnsi="Palatino Linotype" w:cs="Palatino Linotype"/>
          <w:b/>
        </w:rPr>
        <w:t xml:space="preserve">. Ampliación de plazo. El </w:t>
      </w:r>
      <w:r w:rsidR="00D50B4E" w:rsidRPr="00DE3591">
        <w:rPr>
          <w:rFonts w:ascii="Palatino Linotype" w:eastAsia="Palatino Linotype" w:hAnsi="Palatino Linotype" w:cs="Palatino Linotype"/>
          <w:b/>
        </w:rPr>
        <w:t>veintitrés</w:t>
      </w:r>
      <w:r w:rsidR="00BD112A" w:rsidRPr="00DE3591">
        <w:rPr>
          <w:rFonts w:ascii="Palatino Linotype" w:eastAsia="Palatino Linotype" w:hAnsi="Palatino Linotype" w:cs="Palatino Linotype"/>
          <w:b/>
        </w:rPr>
        <w:t xml:space="preserve"> de marzo de dos mil veintiséis</w:t>
      </w:r>
      <w:r w:rsidR="00BD112A" w:rsidRPr="00DE359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C2400A4"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C397E0D"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4A596E9"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9B287B"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6CED98"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3E3C42D" w14:textId="77777777" w:rsidR="00BD112A" w:rsidRPr="00DE3591" w:rsidRDefault="00BD112A" w:rsidP="00BD112A">
      <w:pPr>
        <w:numPr>
          <w:ilvl w:val="0"/>
          <w:numId w:val="12"/>
        </w:numPr>
        <w:tabs>
          <w:tab w:val="left" w:pos="993"/>
        </w:tabs>
        <w:spacing w:before="240" w:after="240" w:line="360" w:lineRule="auto"/>
        <w:ind w:left="567" w:right="900" w:firstLine="0"/>
        <w:jc w:val="both"/>
        <w:rPr>
          <w:rFonts w:ascii="Palatino Linotype" w:eastAsia="Palatino Linotype" w:hAnsi="Palatino Linotype" w:cs="Palatino Linotype"/>
        </w:rPr>
      </w:pPr>
      <w:r w:rsidRPr="00DE3591">
        <w:rPr>
          <w:rFonts w:ascii="Palatino Linotype" w:eastAsia="Palatino Linotype" w:hAnsi="Palatino Linotype" w:cs="Palatino Linotype"/>
          <w:b/>
        </w:rPr>
        <w:t>Complejidad del Asunto:</w:t>
      </w:r>
      <w:r w:rsidRPr="00DE3591">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3E9B1AA" w14:textId="77777777" w:rsidR="00BD112A" w:rsidRPr="00DE3591" w:rsidRDefault="00BD112A" w:rsidP="00BD112A">
      <w:pPr>
        <w:numPr>
          <w:ilvl w:val="0"/>
          <w:numId w:val="12"/>
        </w:numPr>
        <w:tabs>
          <w:tab w:val="left" w:pos="993"/>
        </w:tabs>
        <w:spacing w:before="240" w:after="240" w:line="360" w:lineRule="auto"/>
        <w:ind w:left="567" w:right="900" w:firstLine="0"/>
        <w:jc w:val="both"/>
        <w:rPr>
          <w:rFonts w:ascii="Palatino Linotype" w:eastAsia="Palatino Linotype" w:hAnsi="Palatino Linotype" w:cs="Palatino Linotype"/>
        </w:rPr>
      </w:pPr>
      <w:r w:rsidRPr="00DE3591">
        <w:rPr>
          <w:rFonts w:ascii="Palatino Linotype" w:eastAsia="Palatino Linotype" w:hAnsi="Palatino Linotype" w:cs="Palatino Linotype"/>
          <w:b/>
        </w:rPr>
        <w:t>Actividad Procesal del interesado</w:t>
      </w:r>
      <w:r w:rsidRPr="00DE3591">
        <w:rPr>
          <w:rFonts w:ascii="Palatino Linotype" w:eastAsia="Palatino Linotype" w:hAnsi="Palatino Linotype" w:cs="Palatino Linotype"/>
        </w:rPr>
        <w:t>. Acciones u omisiones del interesado.</w:t>
      </w:r>
    </w:p>
    <w:p w14:paraId="57518CE4" w14:textId="77777777" w:rsidR="00BD112A" w:rsidRPr="00DE3591" w:rsidRDefault="00BD112A" w:rsidP="00BD112A">
      <w:pPr>
        <w:numPr>
          <w:ilvl w:val="0"/>
          <w:numId w:val="12"/>
        </w:numPr>
        <w:tabs>
          <w:tab w:val="left" w:pos="993"/>
        </w:tabs>
        <w:spacing w:before="240" w:after="240" w:line="360" w:lineRule="auto"/>
        <w:ind w:left="567" w:right="900" w:firstLine="0"/>
        <w:jc w:val="both"/>
        <w:rPr>
          <w:rFonts w:ascii="Palatino Linotype" w:eastAsia="Palatino Linotype" w:hAnsi="Palatino Linotype" w:cs="Palatino Linotype"/>
        </w:rPr>
      </w:pPr>
      <w:r w:rsidRPr="00DE3591">
        <w:rPr>
          <w:rFonts w:ascii="Palatino Linotype" w:eastAsia="Palatino Linotype" w:hAnsi="Palatino Linotype" w:cs="Palatino Linotype"/>
          <w:b/>
        </w:rPr>
        <w:t>Conducta de la Autoridad:</w:t>
      </w:r>
      <w:r w:rsidRPr="00DE3591">
        <w:rPr>
          <w:rFonts w:ascii="Palatino Linotype" w:eastAsia="Palatino Linotype" w:hAnsi="Palatino Linotype" w:cs="Palatino Linotype"/>
        </w:rPr>
        <w:t xml:space="preserve"> Las Acciones u omisiones realizadas en el procedimiento. Así como si la autoridad actuó con la debida diligencia.</w:t>
      </w:r>
    </w:p>
    <w:p w14:paraId="6E96E144" w14:textId="77777777" w:rsidR="00BD112A" w:rsidRPr="00DE3591" w:rsidRDefault="00BD112A" w:rsidP="00BD112A">
      <w:pPr>
        <w:numPr>
          <w:ilvl w:val="0"/>
          <w:numId w:val="12"/>
        </w:numPr>
        <w:tabs>
          <w:tab w:val="left" w:pos="993"/>
        </w:tabs>
        <w:spacing w:before="240" w:after="240" w:line="360" w:lineRule="auto"/>
        <w:ind w:left="567" w:right="900" w:firstLine="0"/>
        <w:jc w:val="both"/>
        <w:rPr>
          <w:rFonts w:ascii="Palatino Linotype" w:eastAsia="Palatino Linotype" w:hAnsi="Palatino Linotype" w:cs="Palatino Linotype"/>
        </w:rPr>
      </w:pPr>
      <w:r w:rsidRPr="00DE3591">
        <w:rPr>
          <w:rFonts w:ascii="Palatino Linotype" w:eastAsia="Palatino Linotype" w:hAnsi="Palatino Linotype" w:cs="Palatino Linotype"/>
          <w:b/>
        </w:rPr>
        <w:t>La afectación generada en la situación jurídica de la persona involucrada en el proceso:</w:t>
      </w:r>
      <w:r w:rsidRPr="00DE3591">
        <w:rPr>
          <w:rFonts w:ascii="Palatino Linotype" w:eastAsia="Palatino Linotype" w:hAnsi="Palatino Linotype" w:cs="Palatino Linotype"/>
        </w:rPr>
        <w:t xml:space="preserve"> Violación a sus derechos humanos.</w:t>
      </w:r>
    </w:p>
    <w:p w14:paraId="2D4CD0C3"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F18168"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E359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E3591">
        <w:rPr>
          <w:rFonts w:ascii="Palatino Linotype" w:eastAsia="Palatino Linotype" w:hAnsi="Palatino Linotype" w:cs="Palatino Linotype"/>
        </w:rPr>
        <w:t>, visible en la Gaceta del Seminario Judicial de la Federación con el registro digital 205635.</w:t>
      </w:r>
    </w:p>
    <w:p w14:paraId="29FE784E"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5A1630" w14:textId="77777777" w:rsidR="00BD112A" w:rsidRPr="00DE3591" w:rsidRDefault="00BD112A" w:rsidP="00BD112A">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511FEB5" w14:textId="77777777" w:rsidR="00BD112A" w:rsidRPr="00DE3591" w:rsidRDefault="00BD112A" w:rsidP="00BD112A">
      <w:pPr>
        <w:spacing w:before="240" w:after="240" w:line="360" w:lineRule="auto"/>
        <w:ind w:left="851" w:right="900"/>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 </w:t>
      </w:r>
      <w:r w:rsidRPr="00DE3591">
        <w:rPr>
          <w:rFonts w:ascii="Palatino Linotype" w:eastAsia="Palatino Linotype" w:hAnsi="Palatino Linotype" w:cs="Palatino Linotype"/>
          <w:b/>
          <w:i/>
        </w:rPr>
        <w:t>“PLAZO RAZONABLE PARA RESOLVER. DIMENSIÓN Y EFECTOS DE ESTE CONCEPTO CUANDO SE ADUCE EXCESIVA CARGA DE TRABAJO</w:t>
      </w:r>
      <w:r w:rsidRPr="00DE3591">
        <w:rPr>
          <w:rFonts w:ascii="Palatino Linotype" w:eastAsia="Palatino Linotype" w:hAnsi="Palatino Linotype" w:cs="Palatino Linotype"/>
          <w:i/>
        </w:rPr>
        <w:t>.”</w:t>
      </w:r>
      <w:r w:rsidRPr="00DE3591">
        <w:rPr>
          <w:rFonts w:ascii="Palatino Linotype" w:eastAsia="Palatino Linotype" w:hAnsi="Palatino Linotype" w:cs="Palatino Linotype"/>
        </w:rPr>
        <w:t xml:space="preserve"> consultable en el Seminario Judicial de la Federación y su gaceta, con el registro digital 2002351.</w:t>
      </w:r>
    </w:p>
    <w:p w14:paraId="4E656CB3" w14:textId="77777777" w:rsidR="00BD112A" w:rsidRPr="00DE3591" w:rsidRDefault="00BD112A" w:rsidP="00BD112A">
      <w:pPr>
        <w:spacing w:before="240" w:after="240" w:line="360" w:lineRule="auto"/>
        <w:ind w:left="851" w:right="900"/>
        <w:jc w:val="both"/>
        <w:rPr>
          <w:rFonts w:ascii="Palatino Linotype" w:eastAsia="Palatino Linotype" w:hAnsi="Palatino Linotype" w:cs="Palatino Linotype"/>
        </w:rPr>
      </w:pPr>
      <w:r w:rsidRPr="00DE3591">
        <w:rPr>
          <w:rFonts w:ascii="Palatino Linotype" w:eastAsia="Palatino Linotype" w:hAnsi="Palatino Linotype" w:cs="Palatino Linotype"/>
          <w:b/>
          <w:i/>
        </w:rPr>
        <w:t>“PLAZO RAZONABLE PARA RESOLVER. CONCEPTO Y ELEMENTOS QUE LO INTEGRAN A LA LUZ DEL DERECHO INTERNACIONAL DE LOS DERECHOS HUMANOS.”</w:t>
      </w:r>
      <w:r w:rsidRPr="00DE3591">
        <w:rPr>
          <w:rFonts w:ascii="Palatino Linotype" w:eastAsia="Palatino Linotype" w:hAnsi="Palatino Linotype" w:cs="Palatino Linotype"/>
        </w:rPr>
        <w:t>, visible en el Seminario Judicial de la Federación y su gaceta, con el registro digital 2002350.</w:t>
      </w:r>
    </w:p>
    <w:p w14:paraId="5F469544" w14:textId="77777777" w:rsidR="00BD112A" w:rsidRPr="00DE3591" w:rsidRDefault="00BD112A" w:rsidP="00BD112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61A2620" w14:textId="77777777" w:rsidR="00BD112A" w:rsidRPr="00DE3591" w:rsidRDefault="00BD112A" w:rsidP="00BD112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0E99D80" w14:textId="6DF3AAAE" w:rsidR="00111532" w:rsidRPr="00DE3591" w:rsidRDefault="004A6D10" w:rsidP="00BD112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b/>
        </w:rPr>
        <w:t>9</w:t>
      </w:r>
      <w:r w:rsidR="007268C0" w:rsidRPr="00DE3591">
        <w:rPr>
          <w:rFonts w:ascii="Palatino Linotype" w:eastAsia="Palatino Linotype" w:hAnsi="Palatino Linotype" w:cs="Palatino Linotype"/>
          <w:b/>
        </w:rPr>
        <w:t>. Cierre de instrucción</w:t>
      </w:r>
      <w:r w:rsidR="007268C0" w:rsidRPr="00DE3591">
        <w:rPr>
          <w:rFonts w:ascii="Palatino Linotype" w:eastAsia="Palatino Linotype" w:hAnsi="Palatino Linotype" w:cs="Palatino Linotype"/>
        </w:rPr>
        <w:t xml:space="preserve">. En fecha </w:t>
      </w:r>
      <w:r w:rsidR="00EA6E6B" w:rsidRPr="00DE3591">
        <w:rPr>
          <w:rFonts w:ascii="Palatino Linotype" w:eastAsia="Palatino Linotype" w:hAnsi="Palatino Linotype" w:cs="Palatino Linotype"/>
          <w:b/>
        </w:rPr>
        <w:t>ocho de abril</w:t>
      </w:r>
      <w:r w:rsidR="00D250D2" w:rsidRPr="00DE3591">
        <w:rPr>
          <w:rFonts w:ascii="Palatino Linotype" w:eastAsia="Palatino Linotype" w:hAnsi="Palatino Linotype" w:cs="Palatino Linotype"/>
          <w:b/>
        </w:rPr>
        <w:t xml:space="preserve"> </w:t>
      </w:r>
      <w:r w:rsidR="00121FAA" w:rsidRPr="00DE3591">
        <w:rPr>
          <w:rFonts w:ascii="Palatino Linotype" w:eastAsia="Palatino Linotype" w:hAnsi="Palatino Linotype" w:cs="Palatino Linotype"/>
          <w:b/>
        </w:rPr>
        <w:t>de dos mil</w:t>
      </w:r>
      <w:r w:rsidR="007268C0" w:rsidRPr="00DE3591">
        <w:rPr>
          <w:rFonts w:ascii="Palatino Linotype" w:eastAsia="Palatino Linotype" w:hAnsi="Palatino Linotype" w:cs="Palatino Linotype"/>
          <w:b/>
        </w:rPr>
        <w:t xml:space="preserve"> veinti</w:t>
      </w:r>
      <w:r w:rsidR="00E74093" w:rsidRPr="00DE3591">
        <w:rPr>
          <w:rFonts w:ascii="Palatino Linotype" w:eastAsia="Palatino Linotype" w:hAnsi="Palatino Linotype" w:cs="Palatino Linotype"/>
          <w:b/>
        </w:rPr>
        <w:t>séis</w:t>
      </w:r>
      <w:r w:rsidR="007268C0" w:rsidRPr="00DE359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D4BE19D" w14:textId="77777777" w:rsidR="00111532" w:rsidRPr="00DE3591" w:rsidRDefault="00111532" w:rsidP="00BD610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31AFAAA" w14:textId="3D63F55D" w:rsidR="00111532" w:rsidRPr="00DE3591" w:rsidRDefault="007268C0" w:rsidP="00BD610E">
      <w:pPr>
        <w:spacing w:after="0"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7E7CBE6" w14:textId="77777777" w:rsidR="00EA6E6B" w:rsidRPr="00DE3591" w:rsidRDefault="00EA6E6B" w:rsidP="00BD610E">
      <w:pPr>
        <w:spacing w:after="0" w:line="360" w:lineRule="auto"/>
        <w:ind w:right="49"/>
        <w:jc w:val="both"/>
        <w:rPr>
          <w:rFonts w:ascii="Palatino Linotype" w:eastAsia="Palatino Linotype" w:hAnsi="Palatino Linotype" w:cs="Palatino Linotype"/>
        </w:rPr>
      </w:pPr>
    </w:p>
    <w:p w14:paraId="5286059A" w14:textId="77777777" w:rsidR="00EA6E6B" w:rsidRPr="00DE3591" w:rsidRDefault="00EA6E6B" w:rsidP="00BD610E">
      <w:pPr>
        <w:spacing w:after="0" w:line="360" w:lineRule="auto"/>
        <w:ind w:right="49"/>
        <w:jc w:val="both"/>
        <w:rPr>
          <w:rFonts w:ascii="Palatino Linotype" w:eastAsia="Palatino Linotype" w:hAnsi="Palatino Linotype" w:cs="Palatino Linotype"/>
        </w:rPr>
      </w:pPr>
    </w:p>
    <w:p w14:paraId="7A91D6FC" w14:textId="77777777" w:rsidR="00EA6E6B" w:rsidRPr="00DE3591" w:rsidRDefault="00EA6E6B" w:rsidP="00BD610E">
      <w:pPr>
        <w:spacing w:after="0" w:line="360" w:lineRule="auto"/>
        <w:ind w:right="49"/>
        <w:jc w:val="both"/>
        <w:rPr>
          <w:rFonts w:ascii="Palatino Linotype" w:eastAsia="Palatino Linotype" w:hAnsi="Palatino Linotype" w:cs="Palatino Linotype"/>
        </w:rPr>
      </w:pPr>
    </w:p>
    <w:p w14:paraId="3D0EF455" w14:textId="77777777" w:rsidR="00111532" w:rsidRPr="00DE3591" w:rsidRDefault="00111532" w:rsidP="00BD610E">
      <w:pPr>
        <w:spacing w:after="0" w:line="360" w:lineRule="auto"/>
        <w:ind w:right="49"/>
        <w:jc w:val="both"/>
        <w:rPr>
          <w:rFonts w:ascii="Palatino Linotype" w:eastAsia="Palatino Linotype" w:hAnsi="Palatino Linotype" w:cs="Palatino Linotype"/>
        </w:rPr>
      </w:pPr>
    </w:p>
    <w:p w14:paraId="01C0354B" w14:textId="77777777" w:rsidR="00111532" w:rsidRPr="00DE3591" w:rsidRDefault="007268C0" w:rsidP="00BD610E">
      <w:pPr>
        <w:spacing w:after="0" w:line="360" w:lineRule="auto"/>
        <w:ind w:right="49"/>
        <w:jc w:val="center"/>
        <w:rPr>
          <w:rFonts w:ascii="Palatino Linotype" w:eastAsia="Palatino Linotype" w:hAnsi="Palatino Linotype" w:cs="Palatino Linotype"/>
          <w:b/>
        </w:rPr>
      </w:pPr>
      <w:r w:rsidRPr="00DE3591">
        <w:rPr>
          <w:rFonts w:ascii="Palatino Linotype" w:eastAsia="Palatino Linotype" w:hAnsi="Palatino Linotype" w:cs="Palatino Linotype"/>
          <w:b/>
        </w:rPr>
        <w:t>II.</w:t>
      </w:r>
      <w:r w:rsidRPr="00DE3591">
        <w:rPr>
          <w:rFonts w:ascii="Palatino Linotype" w:eastAsia="Palatino Linotype" w:hAnsi="Palatino Linotype" w:cs="Palatino Linotype"/>
          <w:b/>
        </w:rPr>
        <w:tab/>
        <w:t>C O N S I D E R A N D O:</w:t>
      </w:r>
    </w:p>
    <w:p w14:paraId="45C926DB" w14:textId="77777777" w:rsidR="00111532" w:rsidRPr="00DE3591" w:rsidRDefault="00111532" w:rsidP="00BD610E">
      <w:pPr>
        <w:spacing w:after="0" w:line="360" w:lineRule="auto"/>
        <w:ind w:right="49"/>
        <w:jc w:val="both"/>
        <w:rPr>
          <w:rFonts w:ascii="Palatino Linotype" w:eastAsia="Palatino Linotype" w:hAnsi="Palatino Linotype" w:cs="Palatino Linotype"/>
        </w:rPr>
      </w:pPr>
    </w:p>
    <w:p w14:paraId="50E48AA2" w14:textId="3B2916EF" w:rsidR="00111532" w:rsidRPr="00DE3591" w:rsidRDefault="007268C0" w:rsidP="00BD610E">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Primero. Competencia.</w:t>
      </w:r>
      <w:r w:rsidRPr="00DE359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xml:space="preserve">, conforme a lo dispuesto en los artículos 6, apartado A de la Constitución Política de los Estados Unidos Mexicanos; </w:t>
      </w:r>
      <w:r w:rsidR="004C2D4A" w:rsidRPr="00DE3591">
        <w:rPr>
          <w:rFonts w:ascii="Palatino Linotype" w:hAnsi="Palatino Linotype"/>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DE3591">
        <w:rPr>
          <w:rFonts w:ascii="Palatino Linotype" w:eastAsia="Palatino Linotype" w:hAnsi="Palatino Linotype" w:cs="Palatino Linotype"/>
        </w:rPr>
        <w:t>;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A748FB" w14:textId="77777777" w:rsidR="00111532" w:rsidRPr="00DE3591" w:rsidRDefault="00111532" w:rsidP="00BD610E">
      <w:pPr>
        <w:spacing w:after="0" w:line="360" w:lineRule="auto"/>
        <w:ind w:right="49"/>
        <w:jc w:val="both"/>
        <w:rPr>
          <w:rFonts w:ascii="Palatino Linotype" w:eastAsia="Palatino Linotype" w:hAnsi="Palatino Linotype" w:cs="Palatino Linotype"/>
        </w:rPr>
      </w:pPr>
    </w:p>
    <w:p w14:paraId="2EA7C71C" w14:textId="77777777" w:rsidR="00111532" w:rsidRPr="00DE3591" w:rsidRDefault="007268C0" w:rsidP="00BD610E">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Segundo. Oportunidad y Procedibilidad del Recurso de Revisión</w:t>
      </w:r>
      <w:r w:rsidRPr="00DE359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58E55A9" w14:textId="77777777" w:rsidR="00111532" w:rsidRPr="00DE3591" w:rsidRDefault="00111532" w:rsidP="00BD610E">
      <w:pPr>
        <w:spacing w:after="0" w:line="360" w:lineRule="auto"/>
        <w:jc w:val="both"/>
        <w:rPr>
          <w:rFonts w:ascii="Palatino Linotype" w:eastAsia="Palatino Linotype" w:hAnsi="Palatino Linotype" w:cs="Palatino Linotype"/>
        </w:rPr>
      </w:pPr>
    </w:p>
    <w:p w14:paraId="70792216" w14:textId="56D7BFE1" w:rsidR="00111532" w:rsidRPr="00DE3591" w:rsidRDefault="007268C0" w:rsidP="00BD610E">
      <w:pPr>
        <w:spacing w:after="0" w:line="360" w:lineRule="auto"/>
        <w:jc w:val="both"/>
        <w:rPr>
          <w:rFonts w:ascii="Palatino Linotype" w:eastAsia="Palatino Linotype" w:hAnsi="Palatino Linotype" w:cs="Palatino Linotype"/>
        </w:rPr>
      </w:pPr>
      <w:bookmarkStart w:id="2" w:name="_heading=h.3znysh7" w:colFirst="0" w:colLast="0"/>
      <w:bookmarkEnd w:id="2"/>
      <w:r w:rsidRPr="00DE359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E3591">
        <w:rPr>
          <w:rFonts w:ascii="Palatino Linotype" w:eastAsia="Palatino Linotype" w:hAnsi="Palatino Linotype" w:cs="Palatino Linotype"/>
          <w:b/>
        </w:rPr>
        <w:t>Sujeto Obligado</w:t>
      </w:r>
      <w:r w:rsidRPr="00DE3591">
        <w:rPr>
          <w:rFonts w:ascii="Palatino Linotype" w:eastAsia="Palatino Linotype" w:hAnsi="Palatino Linotype" w:cs="Palatino Linotype"/>
        </w:rPr>
        <w:t xml:space="preserve"> remitió respuesta el </w:t>
      </w:r>
      <w:r w:rsidR="00D50B4E" w:rsidRPr="00DE3591">
        <w:rPr>
          <w:rFonts w:ascii="Palatino Linotype" w:eastAsia="Palatino Linotype" w:hAnsi="Palatino Linotype" w:cs="Palatino Linotype"/>
          <w:b/>
        </w:rPr>
        <w:t>diez</w:t>
      </w:r>
      <w:r w:rsidRPr="00DE3591">
        <w:rPr>
          <w:rFonts w:ascii="Palatino Linotype" w:eastAsia="Palatino Linotype" w:hAnsi="Palatino Linotype" w:cs="Palatino Linotype"/>
          <w:b/>
        </w:rPr>
        <w:t xml:space="preserve"> de </w:t>
      </w:r>
      <w:r w:rsidR="00D50B4E" w:rsidRPr="00DE3591">
        <w:rPr>
          <w:rFonts w:ascii="Palatino Linotype" w:eastAsia="Palatino Linotype" w:hAnsi="Palatino Linotype" w:cs="Palatino Linotype"/>
          <w:b/>
        </w:rPr>
        <w:t>septiembre</w:t>
      </w:r>
      <w:r w:rsidRPr="00DE3591">
        <w:rPr>
          <w:rFonts w:ascii="Palatino Linotype" w:eastAsia="Palatino Linotype" w:hAnsi="Palatino Linotype" w:cs="Palatino Linotype"/>
          <w:b/>
        </w:rPr>
        <w:t xml:space="preserve"> de dos mil veinticinco</w:t>
      </w:r>
      <w:r w:rsidRPr="00DE3591">
        <w:rPr>
          <w:rFonts w:ascii="Palatino Linotype" w:eastAsia="Palatino Linotype" w:hAnsi="Palatino Linotype" w:cs="Palatino Linotype"/>
        </w:rPr>
        <w:t>,</w:t>
      </w:r>
      <w:r w:rsidRPr="00DE3591">
        <w:rPr>
          <w:rFonts w:ascii="Palatino Linotype" w:eastAsia="Palatino Linotype" w:hAnsi="Palatino Linotype" w:cs="Palatino Linotype"/>
          <w:b/>
        </w:rPr>
        <w:t xml:space="preserve"> </w:t>
      </w:r>
      <w:r w:rsidRPr="00DE3591">
        <w:rPr>
          <w:rFonts w:ascii="Palatino Linotype" w:eastAsia="Palatino Linotype" w:hAnsi="Palatino Linotype" w:cs="Palatino Linotype"/>
        </w:rPr>
        <w:t xml:space="preserve">mientras que el recurso de revisión interpuesto por la parte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xml:space="preserve">, se tuvo por presentado el </w:t>
      </w:r>
      <w:r w:rsidR="00D50B4E" w:rsidRPr="00DE3591">
        <w:rPr>
          <w:rFonts w:ascii="Palatino Linotype" w:eastAsia="Palatino Linotype" w:hAnsi="Palatino Linotype" w:cs="Palatino Linotype"/>
          <w:b/>
        </w:rPr>
        <w:t>quince</w:t>
      </w:r>
      <w:r w:rsidRPr="00DE3591">
        <w:rPr>
          <w:rFonts w:ascii="Palatino Linotype" w:eastAsia="Palatino Linotype" w:hAnsi="Palatino Linotype" w:cs="Palatino Linotype"/>
          <w:b/>
        </w:rPr>
        <w:t xml:space="preserve"> de </w:t>
      </w:r>
      <w:r w:rsidR="00D50B4E" w:rsidRPr="00DE3591">
        <w:rPr>
          <w:rFonts w:ascii="Palatino Linotype" w:eastAsia="Palatino Linotype" w:hAnsi="Palatino Linotype" w:cs="Palatino Linotype"/>
          <w:b/>
        </w:rPr>
        <w:t>septiembre</w:t>
      </w:r>
      <w:r w:rsidR="00487FA8" w:rsidRPr="00DE3591">
        <w:rPr>
          <w:rFonts w:ascii="Palatino Linotype" w:eastAsia="Palatino Linotype" w:hAnsi="Palatino Linotype" w:cs="Palatino Linotype"/>
          <w:b/>
        </w:rPr>
        <w:t xml:space="preserve"> </w:t>
      </w:r>
      <w:r w:rsidRPr="00DE3591">
        <w:rPr>
          <w:rFonts w:ascii="Palatino Linotype" w:eastAsia="Palatino Linotype" w:hAnsi="Palatino Linotype" w:cs="Palatino Linotype"/>
          <w:b/>
        </w:rPr>
        <w:t>de dos mil veinticinco</w:t>
      </w:r>
      <w:r w:rsidRPr="00DE3591">
        <w:rPr>
          <w:rFonts w:ascii="Palatino Linotype" w:eastAsia="Palatino Linotype" w:hAnsi="Palatino Linotype" w:cs="Palatino Linotype"/>
        </w:rPr>
        <w:t>, esto es, al</w:t>
      </w:r>
      <w:r w:rsidRPr="00DE3591">
        <w:rPr>
          <w:rFonts w:ascii="Palatino Linotype" w:eastAsia="Palatino Linotype" w:hAnsi="Palatino Linotype" w:cs="Palatino Linotype"/>
          <w:b/>
        </w:rPr>
        <w:t xml:space="preserve"> </w:t>
      </w:r>
      <w:r w:rsidR="00D50B4E" w:rsidRPr="00DE3591">
        <w:rPr>
          <w:rFonts w:ascii="Palatino Linotype" w:eastAsia="Palatino Linotype" w:hAnsi="Palatino Linotype" w:cs="Palatino Linotype"/>
          <w:b/>
        </w:rPr>
        <w:t xml:space="preserve">tercer </w:t>
      </w:r>
      <w:r w:rsidRPr="00DE3591">
        <w:rPr>
          <w:rFonts w:ascii="Palatino Linotype" w:eastAsia="Palatino Linotype" w:hAnsi="Palatino Linotype" w:cs="Palatino Linotype"/>
          <w:b/>
          <w:bCs/>
        </w:rPr>
        <w:t>día hábil</w:t>
      </w:r>
      <w:r w:rsidRPr="00DE3591">
        <w:rPr>
          <w:rFonts w:ascii="Palatino Linotype" w:eastAsia="Palatino Linotype" w:hAnsi="Palatino Linotype" w:cs="Palatino Linotype"/>
        </w:rPr>
        <w:t xml:space="preserve"> en que se tuvo conocimiento de la respuesta. </w:t>
      </w:r>
    </w:p>
    <w:p w14:paraId="721DA332" w14:textId="77777777" w:rsidR="00111532" w:rsidRPr="00DE3591" w:rsidRDefault="00111532" w:rsidP="00BD610E">
      <w:pPr>
        <w:spacing w:after="0" w:line="360" w:lineRule="auto"/>
        <w:jc w:val="both"/>
        <w:rPr>
          <w:rFonts w:ascii="Palatino Linotype" w:eastAsia="Palatino Linotype" w:hAnsi="Palatino Linotype" w:cs="Palatino Linotype"/>
        </w:rPr>
      </w:pPr>
    </w:p>
    <w:p w14:paraId="760AA315" w14:textId="77777777" w:rsidR="00111532" w:rsidRPr="00DE3591" w:rsidRDefault="007268C0" w:rsidP="00BD610E">
      <w:pPr>
        <w:spacing w:after="0" w:line="360" w:lineRule="auto"/>
        <w:jc w:val="both"/>
        <w:rPr>
          <w:rFonts w:ascii="Palatino Linotype" w:eastAsia="Palatino Linotype" w:hAnsi="Palatino Linotype" w:cs="Palatino Linotype"/>
          <w:b/>
        </w:rPr>
      </w:pPr>
      <w:r w:rsidRPr="00DE3591">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DE3591">
        <w:rPr>
          <w:rFonts w:ascii="Palatino Linotype" w:eastAsia="Palatino Linotype" w:hAnsi="Palatino Linotype" w:cs="Palatino Linotype"/>
          <w:b/>
        </w:rPr>
        <w:t>SAIMEX.</w:t>
      </w:r>
    </w:p>
    <w:p w14:paraId="4E39BC8A" w14:textId="77777777" w:rsidR="004E71B7" w:rsidRPr="00DE3591" w:rsidRDefault="004E71B7" w:rsidP="00BD610E">
      <w:pPr>
        <w:spacing w:after="0" w:line="360" w:lineRule="auto"/>
        <w:jc w:val="both"/>
        <w:rPr>
          <w:rFonts w:ascii="Palatino Linotype" w:eastAsia="Palatino Linotype" w:hAnsi="Palatino Linotype" w:cs="Palatino Linotype"/>
          <w:b/>
        </w:rPr>
      </w:pPr>
    </w:p>
    <w:p w14:paraId="782B4C4D" w14:textId="507BC2EF" w:rsidR="00111532" w:rsidRPr="00DE3591" w:rsidRDefault="007268C0" w:rsidP="00BD610E">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con el artículo 179, fracción </w:t>
      </w:r>
      <w:r w:rsidR="00D50B4E" w:rsidRPr="00DE3591">
        <w:rPr>
          <w:rFonts w:ascii="Palatino Linotype" w:eastAsia="Palatino Linotype" w:hAnsi="Palatino Linotype" w:cs="Palatino Linotype"/>
        </w:rPr>
        <w:t>VII</w:t>
      </w:r>
      <w:r w:rsidR="00281A00" w:rsidRPr="00DE3591">
        <w:rPr>
          <w:rFonts w:ascii="Palatino Linotype" w:eastAsia="Palatino Linotype" w:hAnsi="Palatino Linotype" w:cs="Palatino Linotype"/>
        </w:rPr>
        <w:t>I</w:t>
      </w:r>
      <w:r w:rsidRPr="00DE3591">
        <w:rPr>
          <w:rFonts w:ascii="Palatino Linotype" w:eastAsia="Palatino Linotype" w:hAnsi="Palatino Linotype" w:cs="Palatino Linotype"/>
        </w:rPr>
        <w:t xml:space="preserve"> del ordenamiento legal citado, que a la letra dice: </w:t>
      </w:r>
    </w:p>
    <w:p w14:paraId="301B0EB9" w14:textId="77777777" w:rsidR="00111532" w:rsidRPr="00DE3591" w:rsidRDefault="00111532" w:rsidP="00BD610E">
      <w:pPr>
        <w:spacing w:after="0" w:line="360" w:lineRule="auto"/>
        <w:jc w:val="both"/>
        <w:rPr>
          <w:rFonts w:ascii="Palatino Linotype" w:eastAsia="Palatino Linotype" w:hAnsi="Palatino Linotype" w:cs="Palatino Linotype"/>
        </w:rPr>
      </w:pPr>
    </w:p>
    <w:p w14:paraId="10D30DE9" w14:textId="77777777" w:rsidR="00F50686" w:rsidRPr="00DE3591" w:rsidRDefault="007268C0" w:rsidP="00E63BB0">
      <w:pPr>
        <w:spacing w:after="0" w:line="36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r w:rsidRPr="00DE3591">
        <w:rPr>
          <w:rFonts w:ascii="Palatino Linotype" w:eastAsia="Palatino Linotype" w:hAnsi="Palatino Linotype" w:cs="Palatino Linotype"/>
          <w:b/>
          <w:i/>
        </w:rPr>
        <w:t>Artículo 179.</w:t>
      </w:r>
      <w:r w:rsidRPr="00DE3591">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7854F00" w14:textId="77777777" w:rsidR="00F50686" w:rsidRPr="00DE3591" w:rsidRDefault="00F50686" w:rsidP="00E63BB0">
      <w:pPr>
        <w:spacing w:after="0" w:line="36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p>
    <w:p w14:paraId="68D5312F" w14:textId="5FCEA464" w:rsidR="00F50686" w:rsidRPr="00DE3591" w:rsidRDefault="00D50B4E" w:rsidP="00D50B4E">
      <w:pPr>
        <w:spacing w:after="0" w:line="360" w:lineRule="auto"/>
        <w:ind w:left="567" w:right="843"/>
        <w:jc w:val="both"/>
        <w:rPr>
          <w:rFonts w:ascii="Palatino Linotype" w:eastAsia="Palatino Linotype" w:hAnsi="Palatino Linotype" w:cs="Palatino Linotype"/>
          <w:i/>
          <w:lang w:val="es-ES"/>
        </w:rPr>
      </w:pPr>
      <w:r w:rsidRPr="00DE3591">
        <w:rPr>
          <w:rFonts w:ascii="Palatino Linotype" w:eastAsia="Palatino Linotype" w:hAnsi="Palatino Linotype" w:cs="Palatino Linotype"/>
          <w:b/>
          <w:bCs/>
          <w:i/>
          <w:lang w:val="es-ES"/>
        </w:rPr>
        <w:t>VIII. La notificación, entrega o puesta a disposición de información en una modalidad o formato distinto al solicitado;</w:t>
      </w:r>
    </w:p>
    <w:p w14:paraId="2ED6072C" w14:textId="7E00F55C" w:rsidR="00111532" w:rsidRPr="00DE3591" w:rsidRDefault="007268C0" w:rsidP="00E63BB0">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p>
    <w:p w14:paraId="5C43697A" w14:textId="77777777" w:rsidR="008121CB" w:rsidRPr="00DE3591" w:rsidRDefault="008121CB" w:rsidP="008121CB">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 xml:space="preserve">Tercero. Materia de la revisión. </w:t>
      </w:r>
      <w:r w:rsidRPr="00DE359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E359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E3591">
        <w:rPr>
          <w:rFonts w:ascii="Palatino Linotype" w:eastAsia="Palatino Linotype" w:hAnsi="Palatino Linotype" w:cs="Palatino Linotype"/>
        </w:rPr>
        <w:t xml:space="preserve">de la parte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o en su defecto, en caso de ser procedente, ordenar la entrega de información.</w:t>
      </w:r>
    </w:p>
    <w:p w14:paraId="21326129" w14:textId="77777777" w:rsidR="008121CB" w:rsidRPr="00DE3591" w:rsidRDefault="008121CB" w:rsidP="008121CB">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b/>
        </w:rPr>
        <w:t xml:space="preserve">Cuarto. Estudio del asunto. </w:t>
      </w:r>
      <w:r w:rsidRPr="00DE3591">
        <w:rPr>
          <w:rFonts w:ascii="Palatino Linotype" w:eastAsia="Palatino Linotype" w:hAnsi="Palatino Linotype" w:cs="Palatino Linotype"/>
        </w:rPr>
        <w:t xml:space="preserve">En principio, es conveniente analizar si la respuesta del </w:t>
      </w:r>
      <w:r w:rsidRPr="00DE3591">
        <w:rPr>
          <w:rFonts w:ascii="Palatino Linotype" w:eastAsia="Palatino Linotype" w:hAnsi="Palatino Linotype" w:cs="Palatino Linotype"/>
          <w:b/>
        </w:rPr>
        <w:t>SUJETO OBLIGADO</w:t>
      </w:r>
      <w:r w:rsidRPr="00DE359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C634B1" w14:textId="77777777" w:rsidR="008121CB" w:rsidRPr="00DE3591" w:rsidRDefault="008121CB" w:rsidP="008121CB">
      <w:pPr>
        <w:spacing w:line="360" w:lineRule="auto"/>
        <w:jc w:val="both"/>
        <w:rPr>
          <w:rFonts w:ascii="Palatino Linotype" w:eastAsia="Palatino Linotype" w:hAnsi="Palatino Linotype" w:cs="Palatino Linotype"/>
        </w:rPr>
      </w:pPr>
    </w:p>
    <w:p w14:paraId="62E03920" w14:textId="77777777" w:rsidR="008121CB" w:rsidRPr="00DE3591" w:rsidRDefault="008121CB" w:rsidP="008121CB">
      <w:pPr>
        <w:spacing w:line="276" w:lineRule="auto"/>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r w:rsidRPr="00DE3591">
        <w:rPr>
          <w:rFonts w:ascii="Palatino Linotype" w:eastAsia="Palatino Linotype" w:hAnsi="Palatino Linotype" w:cs="Palatino Linotype"/>
          <w:b/>
          <w:i/>
        </w:rPr>
        <w:t>Artículo 4</w:t>
      </w:r>
      <w:r w:rsidRPr="00DE359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FC5DC3" w14:textId="77777777" w:rsidR="008121CB" w:rsidRPr="00DE3591" w:rsidRDefault="008121CB" w:rsidP="008121CB">
      <w:pPr>
        <w:spacing w:line="276" w:lineRule="auto"/>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E359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A5D336" w14:textId="77777777" w:rsidR="008121CB" w:rsidRPr="00DE3591" w:rsidRDefault="008121CB" w:rsidP="008121CB">
      <w:pPr>
        <w:spacing w:line="276" w:lineRule="auto"/>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E3591">
        <w:rPr>
          <w:rFonts w:ascii="Palatino Linotype" w:eastAsia="Palatino Linotype" w:hAnsi="Palatino Linotype" w:cs="Palatino Linotype"/>
          <w:i/>
        </w:rPr>
        <w:t>.”</w:t>
      </w:r>
    </w:p>
    <w:p w14:paraId="6EA4A27E" w14:textId="77777777" w:rsidR="008121CB" w:rsidRPr="00DE3591" w:rsidRDefault="008121CB" w:rsidP="008121CB">
      <w:pPr>
        <w:spacing w:line="276" w:lineRule="auto"/>
        <w:jc w:val="both"/>
        <w:rPr>
          <w:rFonts w:ascii="Palatino Linotype" w:eastAsia="Palatino Linotype" w:hAnsi="Palatino Linotype" w:cs="Palatino Linotype"/>
        </w:rPr>
      </w:pPr>
    </w:p>
    <w:p w14:paraId="3CFAC0D9" w14:textId="77777777" w:rsidR="008121CB" w:rsidRPr="00DE3591" w:rsidRDefault="008121CB" w:rsidP="008121CB">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4E0990E" w14:textId="77777777" w:rsidR="008121CB" w:rsidRPr="00DE3591" w:rsidRDefault="008121CB" w:rsidP="008121CB">
      <w:pPr>
        <w:spacing w:line="276" w:lineRule="auto"/>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b/>
          <w:i/>
        </w:rPr>
        <w:t>“Artículo 12.-</w:t>
      </w:r>
      <w:r w:rsidRPr="00DE359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5C5CA99" w14:textId="77777777" w:rsidR="008121CB" w:rsidRPr="00DE3591" w:rsidRDefault="008121CB" w:rsidP="008121CB">
      <w:pPr>
        <w:spacing w:line="276" w:lineRule="auto"/>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E3591">
        <w:rPr>
          <w:rFonts w:ascii="Palatino Linotype" w:eastAsia="Palatino Linotype" w:hAnsi="Palatino Linotype" w:cs="Palatino Linotype"/>
          <w:i/>
        </w:rPr>
        <w:t xml:space="preserve">. </w:t>
      </w:r>
      <w:r w:rsidRPr="00DE3591">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F1057FE" w14:textId="77777777" w:rsidR="008121CB" w:rsidRPr="00DE3591" w:rsidRDefault="008121CB" w:rsidP="008121CB">
      <w:pPr>
        <w:spacing w:line="360" w:lineRule="auto"/>
        <w:ind w:right="-93"/>
        <w:jc w:val="both"/>
        <w:rPr>
          <w:rFonts w:ascii="Palatino Linotype" w:eastAsia="Palatino Linotype" w:hAnsi="Palatino Linotype" w:cs="Palatino Linotype"/>
        </w:rPr>
      </w:pPr>
      <w:r w:rsidRPr="00DE359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D4682A3" w14:textId="77777777" w:rsidR="008121CB" w:rsidRPr="00DE3591" w:rsidRDefault="008121CB" w:rsidP="008121CB">
      <w:pPr>
        <w:spacing w:line="360" w:lineRule="auto"/>
        <w:ind w:right="-93"/>
        <w:jc w:val="both"/>
        <w:rPr>
          <w:rFonts w:ascii="Palatino Linotype" w:eastAsia="Palatino Linotype" w:hAnsi="Palatino Linotype" w:cs="Palatino Linotype"/>
        </w:rPr>
      </w:pPr>
      <w:r w:rsidRPr="00DE3591">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DE3591">
        <w:rPr>
          <w:rFonts w:ascii="Palatino Linotype" w:eastAsia="Palatino Linotype" w:hAnsi="Palatino Linotype" w:cs="Palatino Linotype"/>
          <w:b/>
        </w:rPr>
        <w:t xml:space="preserve"> </w:t>
      </w:r>
    </w:p>
    <w:p w14:paraId="29291FDF"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r w:rsidRPr="00DE3591">
        <w:rPr>
          <w:rFonts w:ascii="Palatino Linotype" w:eastAsia="Palatino Linotype" w:hAnsi="Palatino Linotype" w:cs="Palatino Linotype"/>
          <w:b/>
          <w:i/>
        </w:rPr>
        <w:t>No existe obligación de elaborar documentos ad hoc para atender las solicitudes de acceso a la información.</w:t>
      </w:r>
      <w:r w:rsidRPr="00DE3591">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401CD3F" w14:textId="77777777" w:rsidR="008121CB" w:rsidRPr="00DE3591" w:rsidRDefault="008121CB" w:rsidP="008121CB">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71A842" w14:textId="77777777" w:rsidR="008121CB" w:rsidRPr="00DE3591" w:rsidRDefault="008121CB" w:rsidP="008121CB">
      <w:pPr>
        <w:spacing w:line="360" w:lineRule="auto"/>
        <w:ind w:right="49"/>
        <w:jc w:val="both"/>
        <w:rPr>
          <w:rFonts w:ascii="Palatino Linotype" w:eastAsia="Palatino Linotype" w:hAnsi="Palatino Linotype" w:cs="Palatino Linotype"/>
        </w:rPr>
      </w:pPr>
      <w:r w:rsidRPr="00DE359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B329BB" w14:textId="77777777" w:rsidR="008121CB" w:rsidRPr="00DE3591" w:rsidRDefault="008121CB" w:rsidP="008121CB">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99B1CA"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r w:rsidRPr="00DE3591">
        <w:rPr>
          <w:rFonts w:ascii="Palatino Linotype" w:eastAsia="Palatino Linotype" w:hAnsi="Palatino Linotype" w:cs="Palatino Linotype"/>
          <w:b/>
          <w:i/>
        </w:rPr>
        <w:t xml:space="preserve">Artículo 3. </w:t>
      </w:r>
      <w:r w:rsidRPr="00DE3591">
        <w:rPr>
          <w:rFonts w:ascii="Palatino Linotype" w:eastAsia="Palatino Linotype" w:hAnsi="Palatino Linotype" w:cs="Palatino Linotype"/>
          <w:i/>
        </w:rPr>
        <w:t>Para los efectos de la presente Ley se entenderá por:</w:t>
      </w:r>
    </w:p>
    <w:p w14:paraId="04467046"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w:t>
      </w:r>
    </w:p>
    <w:p w14:paraId="1D4DD166"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b/>
          <w:i/>
        </w:rPr>
        <w:t>XI. Documento:</w:t>
      </w:r>
      <w:r w:rsidRPr="00DE3591">
        <w:rPr>
          <w:rFonts w:ascii="Palatino Linotype" w:eastAsia="Palatino Linotype" w:hAnsi="Palatino Linotype" w:cs="Palatino Linotype"/>
          <w:i/>
        </w:rPr>
        <w:t xml:space="preserve"> Los expedientes, reportes, estudios, actas</w:t>
      </w:r>
      <w:r w:rsidRPr="00DE3591">
        <w:rPr>
          <w:rFonts w:ascii="Palatino Linotype" w:eastAsia="Palatino Linotype" w:hAnsi="Palatino Linotype" w:cs="Palatino Linotype"/>
          <w:b/>
          <w:i/>
        </w:rPr>
        <w:t>,</w:t>
      </w:r>
      <w:r w:rsidRPr="00DE359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D66F0B9" w14:textId="77777777" w:rsidR="008121CB" w:rsidRPr="00DE3591" w:rsidRDefault="008121CB" w:rsidP="008121CB">
      <w:pPr>
        <w:spacing w:line="360" w:lineRule="auto"/>
        <w:ind w:left="851" w:right="899"/>
        <w:jc w:val="both"/>
        <w:rPr>
          <w:rFonts w:ascii="Palatino Linotype" w:eastAsia="Palatino Linotype" w:hAnsi="Palatino Linotype" w:cs="Palatino Linotype"/>
        </w:rPr>
      </w:pPr>
    </w:p>
    <w:p w14:paraId="012DCBAB" w14:textId="77777777" w:rsidR="008121CB" w:rsidRPr="00DE3591" w:rsidRDefault="008121CB" w:rsidP="008121CB">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581EB9" w14:textId="77777777" w:rsidR="008121CB" w:rsidRPr="00DE3591" w:rsidRDefault="008121CB" w:rsidP="008121CB">
      <w:pPr>
        <w:ind w:left="567" w:right="616"/>
        <w:jc w:val="both"/>
        <w:rPr>
          <w:rFonts w:ascii="Palatino Linotype" w:eastAsia="Palatino Linotype" w:hAnsi="Palatino Linotype" w:cs="Palatino Linotype"/>
          <w:b/>
          <w:i/>
        </w:rPr>
      </w:pPr>
      <w:r w:rsidRPr="00DE3591">
        <w:rPr>
          <w:rFonts w:ascii="Palatino Linotype" w:eastAsia="Palatino Linotype" w:hAnsi="Palatino Linotype" w:cs="Palatino Linotype"/>
          <w:b/>
        </w:rPr>
        <w:t>“</w:t>
      </w:r>
      <w:r w:rsidRPr="00DE3591">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DE359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9F7D9D"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En consecuencia el acceso a la información se refiere a que se cumplan cualquiera de los siguientes tres supuestos:</w:t>
      </w:r>
    </w:p>
    <w:p w14:paraId="03A2EB25" w14:textId="77777777" w:rsidR="008121CB" w:rsidRPr="00DE3591" w:rsidRDefault="008121CB" w:rsidP="008121CB">
      <w:pPr>
        <w:ind w:left="567" w:right="616"/>
        <w:jc w:val="both"/>
        <w:rPr>
          <w:rFonts w:ascii="Palatino Linotype" w:eastAsia="Palatino Linotype" w:hAnsi="Palatino Linotype" w:cs="Palatino Linotype"/>
          <w:i/>
        </w:rPr>
      </w:pPr>
      <w:r w:rsidRPr="00DE359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C23AEA1" w14:textId="77777777" w:rsidR="008121CB" w:rsidRPr="00DE3591" w:rsidRDefault="008121CB" w:rsidP="008121CB">
      <w:pPr>
        <w:ind w:left="567" w:right="616"/>
        <w:jc w:val="both"/>
        <w:rPr>
          <w:rFonts w:ascii="Palatino Linotype" w:eastAsia="Palatino Linotype" w:hAnsi="Palatino Linotype" w:cs="Palatino Linotype"/>
          <w:b/>
          <w:i/>
        </w:rPr>
      </w:pPr>
      <w:r w:rsidRPr="00DE3591">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1FEF1535" w14:textId="77777777" w:rsidR="008121CB" w:rsidRPr="00DE3591" w:rsidRDefault="008121CB" w:rsidP="008121CB">
      <w:pPr>
        <w:ind w:left="567" w:right="616"/>
        <w:jc w:val="both"/>
        <w:rPr>
          <w:rFonts w:ascii="Palatino Linotype" w:eastAsia="Palatino Linotype" w:hAnsi="Palatino Linotype" w:cs="Palatino Linotype"/>
          <w:b/>
          <w:i/>
        </w:rPr>
      </w:pPr>
      <w:r w:rsidRPr="00DE3591">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320D4701" w14:textId="77777777" w:rsidR="008121CB" w:rsidRPr="00DE3591" w:rsidRDefault="008121CB" w:rsidP="008121CB">
      <w:pPr>
        <w:tabs>
          <w:tab w:val="left" w:pos="8647"/>
        </w:tabs>
        <w:spacing w:line="360" w:lineRule="auto"/>
        <w:jc w:val="both"/>
        <w:rPr>
          <w:rFonts w:ascii="Palatino Linotype" w:eastAsia="Palatino Linotype" w:hAnsi="Palatino Linotype" w:cs="Palatino Linotype"/>
          <w:b/>
        </w:rPr>
      </w:pPr>
    </w:p>
    <w:p w14:paraId="4269C668" w14:textId="7AC06822" w:rsidR="008121CB" w:rsidRPr="00DE3591" w:rsidRDefault="008121CB" w:rsidP="008121CB">
      <w:pPr>
        <w:spacing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Del análisis de la solicitud de información motivo del recurso de revisión que ahora se resuelve, se tiene que el Recurrente solicitó al </w:t>
      </w:r>
      <w:r w:rsidR="00325FF4" w:rsidRPr="00DE3591">
        <w:rPr>
          <w:rFonts w:ascii="Palatino Linotype" w:eastAsia="Palatino Linotype" w:hAnsi="Palatino Linotype" w:cs="Palatino Linotype"/>
        </w:rPr>
        <w:t xml:space="preserve">Sujeto Obligado </w:t>
      </w:r>
      <w:r w:rsidRPr="00DE3591">
        <w:rPr>
          <w:rFonts w:ascii="Palatino Linotype" w:eastAsia="Palatino Linotype" w:hAnsi="Palatino Linotype" w:cs="Palatino Linotype"/>
        </w:rPr>
        <w:t>la siguiente información:</w:t>
      </w:r>
    </w:p>
    <w:p w14:paraId="15857FF9" w14:textId="0B9F54ED" w:rsidR="00D50B4E" w:rsidRPr="00DE3591" w:rsidRDefault="00D50B4E" w:rsidP="00325FF4">
      <w:pPr>
        <w:pStyle w:val="Prrafodelista"/>
        <w:numPr>
          <w:ilvl w:val="0"/>
          <w:numId w:val="10"/>
        </w:numPr>
        <w:pBdr>
          <w:top w:val="nil"/>
          <w:left w:val="nil"/>
          <w:bottom w:val="nil"/>
          <w:right w:val="nil"/>
          <w:between w:val="nil"/>
        </w:pBdr>
        <w:spacing w:after="0" w:line="360" w:lineRule="auto"/>
        <w:ind w:left="567" w:right="134"/>
        <w:jc w:val="both"/>
        <w:rPr>
          <w:rFonts w:ascii="Palatino Linotype" w:eastAsia="Palatino Linotype" w:hAnsi="Palatino Linotype" w:cs="Palatino Linotype"/>
          <w:b/>
        </w:rPr>
      </w:pPr>
      <w:r w:rsidRPr="00DE3591">
        <w:rPr>
          <w:rFonts w:ascii="Palatino Linotype" w:eastAsia="Palatino Linotype" w:hAnsi="Palatino Linotype" w:cs="Palatino Linotype"/>
          <w:b/>
        </w:rPr>
        <w:t>Todos los documentos generados por el INFOEM desde su creación al once de agosto de dos mil veinticinco.</w:t>
      </w:r>
    </w:p>
    <w:p w14:paraId="2695999C" w14:textId="77777777" w:rsidR="00D50B4E" w:rsidRPr="00DE3591" w:rsidRDefault="00D50B4E" w:rsidP="00D50B4E">
      <w:pPr>
        <w:pBdr>
          <w:top w:val="nil"/>
          <w:left w:val="nil"/>
          <w:bottom w:val="nil"/>
          <w:right w:val="nil"/>
          <w:between w:val="nil"/>
        </w:pBdr>
        <w:spacing w:after="0" w:line="360" w:lineRule="auto"/>
        <w:ind w:right="134"/>
        <w:jc w:val="both"/>
        <w:rPr>
          <w:rFonts w:ascii="Palatino Linotype" w:eastAsia="Palatino Linotype" w:hAnsi="Palatino Linotype" w:cs="Palatino Linotype"/>
          <w:b/>
        </w:rPr>
      </w:pPr>
    </w:p>
    <w:p w14:paraId="4595234B" w14:textId="755CCC72" w:rsidR="00B261EE" w:rsidRPr="00DE3591" w:rsidRDefault="00325FF4" w:rsidP="00BD610E">
      <w:pPr>
        <w:pBdr>
          <w:top w:val="nil"/>
          <w:left w:val="nil"/>
          <w:bottom w:val="nil"/>
          <w:right w:val="nil"/>
          <w:between w:val="nil"/>
        </w:pBdr>
        <w:spacing w:after="0" w:line="360" w:lineRule="auto"/>
        <w:ind w:right="134"/>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El Sujeto Obligado </w:t>
      </w:r>
      <w:r w:rsidR="00DB621F" w:rsidRPr="00DE3591">
        <w:rPr>
          <w:rFonts w:ascii="Palatino Linotype" w:eastAsia="Palatino Linotype" w:hAnsi="Palatino Linotype" w:cs="Palatino Linotype"/>
        </w:rPr>
        <w:t xml:space="preserve">indicó que la </w:t>
      </w:r>
      <w:r w:rsidR="00B261EE" w:rsidRPr="00DE3591">
        <w:rPr>
          <w:rFonts w:ascii="Palatino Linotype" w:eastAsia="Palatino Linotype" w:hAnsi="Palatino Linotype" w:cs="Palatino Linotype"/>
        </w:rPr>
        <w:t xml:space="preserve">información se integra por un total de </w:t>
      </w:r>
      <w:r w:rsidR="00CA2DD9" w:rsidRPr="00DE3591">
        <w:rPr>
          <w:rFonts w:ascii="Palatino Linotype" w:eastAsia="Palatino Linotype" w:hAnsi="Palatino Linotype" w:cs="Palatino Linotype"/>
        </w:rPr>
        <w:t>39798.017 Tb (Terabytes), por lo que se encuentra imposibilitado a enviar la información a través del SAIMEX o correo electrónico.</w:t>
      </w:r>
    </w:p>
    <w:p w14:paraId="38313ED4" w14:textId="77777777" w:rsidR="00CA2DD9" w:rsidRPr="00DE3591" w:rsidRDefault="00CA2DD9" w:rsidP="00BD610E">
      <w:pPr>
        <w:pBdr>
          <w:top w:val="nil"/>
          <w:left w:val="nil"/>
          <w:bottom w:val="nil"/>
          <w:right w:val="nil"/>
          <w:between w:val="nil"/>
        </w:pBdr>
        <w:spacing w:after="0" w:line="360" w:lineRule="auto"/>
        <w:ind w:right="134"/>
        <w:jc w:val="both"/>
        <w:rPr>
          <w:rFonts w:ascii="Palatino Linotype" w:eastAsia="Palatino Linotype" w:hAnsi="Palatino Linotype" w:cs="Palatino Linotype"/>
        </w:rPr>
      </w:pPr>
    </w:p>
    <w:p w14:paraId="0461CE51"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Ahora bien </w:t>
      </w:r>
      <w:r w:rsidRPr="00DE3591">
        <w:rPr>
          <w:rFonts w:ascii="Palatino Linotype" w:eastAsia="Palatino Linotype" w:hAnsi="Palatino Linotype" w:cs="Palatino Linotype"/>
          <w:b/>
          <w:u w:val="single"/>
        </w:rPr>
        <w:t>respecto al análisis del cambio de modalidad</w:t>
      </w:r>
      <w:r w:rsidRPr="00DE3591">
        <w:rPr>
          <w:rFonts w:ascii="Palatino Linotype" w:eastAsia="Palatino Linotype" w:hAnsi="Palatino Linotype" w:cs="Palatino Linotype"/>
        </w:rPr>
        <w:t xml:space="preserve">, resulta importante señalar que en primera instancia,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37349AEB"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78280AA0"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Por su parte, el artículo 158, dispone que, de manera excepcional, cuando de manera fundada y motivada lo determine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32C937D"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5022E386"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DE3591">
        <w:rPr>
          <w:rFonts w:ascii="Palatino Linotype" w:eastAsia="Palatino Linotype" w:hAnsi="Palatino Linotype" w:cs="Palatino Linotype"/>
          <w:vertAlign w:val="superscript"/>
        </w:rPr>
        <w:t xml:space="preserve"> </w:t>
      </w:r>
      <w:r w:rsidRPr="00DE3591">
        <w:rPr>
          <w:rFonts w:ascii="Palatino Linotype" w:eastAsia="Palatino Linotype" w:hAnsi="Palatino Linotype" w:cs="Palatino Linotype"/>
          <w:vertAlign w:val="superscript"/>
        </w:rPr>
        <w:footnoteReference w:id="1"/>
      </w:r>
      <w:r w:rsidRPr="00DE3591">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657F5F99"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62835B34" w14:textId="77777777" w:rsidR="00CA2DD9" w:rsidRPr="00DE3591" w:rsidRDefault="00CA2DD9" w:rsidP="00CA2DD9">
      <w:pPr>
        <w:spacing w:after="0" w:line="276" w:lineRule="auto"/>
        <w:ind w:left="851" w:right="851"/>
        <w:jc w:val="both"/>
        <w:rPr>
          <w:rFonts w:ascii="Palatino Linotype" w:eastAsia="Palatino Linotype" w:hAnsi="Palatino Linotype" w:cs="Palatino Linotype"/>
          <w:i/>
        </w:rPr>
      </w:pPr>
      <w:r w:rsidRPr="00DE3591">
        <w:rPr>
          <w:rFonts w:ascii="Palatino Linotype" w:eastAsia="Palatino Linotype" w:hAnsi="Palatino Linotype" w:cs="Palatino Linotype"/>
          <w:b/>
          <w:i/>
        </w:rPr>
        <w:t>“FUNDAMENTACIÓN Y MOTIVACIÓN DE LOS ACTOS ADMINISTRATIVOS</w:t>
      </w:r>
      <w:r w:rsidRPr="00DE3591">
        <w:rPr>
          <w:rFonts w:ascii="Palatino Linotype" w:eastAsia="Palatino Linotype" w:hAnsi="Palatino Linotype" w:cs="Palatino Linotype"/>
          <w:i/>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644EC5EF" w14:textId="77777777" w:rsidR="00CA2DD9" w:rsidRPr="00DE3591" w:rsidRDefault="00CA2DD9" w:rsidP="00CA2DD9">
      <w:pPr>
        <w:spacing w:after="0" w:line="360" w:lineRule="auto"/>
        <w:ind w:left="851" w:right="851"/>
        <w:jc w:val="both"/>
        <w:rPr>
          <w:rFonts w:ascii="Palatino Linotype" w:eastAsia="Palatino Linotype" w:hAnsi="Palatino Linotype" w:cs="Palatino Linotype"/>
          <w:i/>
        </w:rPr>
      </w:pPr>
    </w:p>
    <w:p w14:paraId="3D0C5F2E"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1EAC3D22"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50B1F786" w14:textId="77777777" w:rsidR="00CA2DD9" w:rsidRPr="00DE3591" w:rsidRDefault="00CA2DD9" w:rsidP="00CA2DD9">
      <w:pPr>
        <w:spacing w:after="0" w:line="276" w:lineRule="auto"/>
        <w:ind w:left="851" w:right="851"/>
        <w:jc w:val="both"/>
        <w:rPr>
          <w:rFonts w:ascii="Palatino Linotype" w:eastAsia="Palatino Linotype" w:hAnsi="Palatino Linotype" w:cs="Palatino Linotype"/>
          <w:i/>
        </w:rPr>
      </w:pPr>
      <w:r w:rsidRPr="00DE3591">
        <w:rPr>
          <w:rFonts w:ascii="Palatino Linotype" w:eastAsia="Palatino Linotype" w:hAnsi="Palatino Linotype" w:cs="Palatino Linotype"/>
          <w:b/>
          <w:i/>
        </w:rPr>
        <w:t xml:space="preserve"> “Artículo 160.</w:t>
      </w:r>
      <w:r w:rsidRPr="00DE3591">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671B608" w14:textId="77777777" w:rsidR="00CA2DD9" w:rsidRPr="00DE3591" w:rsidRDefault="00CA2DD9" w:rsidP="00CA2DD9">
      <w:pPr>
        <w:spacing w:after="0" w:line="276" w:lineRule="auto"/>
        <w:ind w:left="851" w:right="851"/>
        <w:jc w:val="both"/>
        <w:rPr>
          <w:rFonts w:ascii="Palatino Linotype" w:eastAsia="Palatino Linotype" w:hAnsi="Palatino Linotype" w:cs="Palatino Linotype"/>
          <w:i/>
        </w:rPr>
      </w:pPr>
      <w:r w:rsidRPr="00DE3591">
        <w:rPr>
          <w:rFonts w:ascii="Palatino Linotype" w:eastAsia="Palatino Linotype" w:hAnsi="Palatino Linotype" w:cs="Palatino Linotype"/>
          <w:b/>
          <w:i/>
        </w:rPr>
        <w:t>Artículo 164.</w:t>
      </w:r>
      <w:r w:rsidRPr="00DE3591">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DE3591">
        <w:rPr>
          <w:rFonts w:ascii="Palatino Linotype" w:eastAsia="Palatino Linotype" w:hAnsi="Palatino Linotype" w:cs="Palatino Linotype"/>
          <w:i/>
          <w:u w:val="single"/>
        </w:rPr>
        <w:t>el sujeto obligado deberá ofrecer otra u otras modalidades de entrega.</w:t>
      </w:r>
      <w:r w:rsidRPr="00DE3591">
        <w:rPr>
          <w:rFonts w:ascii="Palatino Linotype" w:eastAsia="Palatino Linotype" w:hAnsi="Palatino Linotype" w:cs="Palatino Linotype"/>
          <w:i/>
        </w:rPr>
        <w:t xml:space="preserve"> En cualquier caso, se deberá fundar y motivar la necesidad de ofrecer otras modalidades.” (Énfasis añadido)</w:t>
      </w:r>
    </w:p>
    <w:p w14:paraId="63612F64" w14:textId="77777777" w:rsidR="00CA2DD9" w:rsidRPr="00DE3591" w:rsidRDefault="00CA2DD9" w:rsidP="00CA2DD9">
      <w:pPr>
        <w:spacing w:after="0" w:line="276" w:lineRule="auto"/>
        <w:ind w:left="851" w:right="851"/>
        <w:jc w:val="both"/>
        <w:rPr>
          <w:rFonts w:ascii="Palatino Linotype" w:eastAsia="Palatino Linotype" w:hAnsi="Palatino Linotype" w:cs="Palatino Linotype"/>
        </w:rPr>
      </w:pPr>
    </w:p>
    <w:p w14:paraId="2263EB0B"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E3CC50F"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2C60B5E7"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Así, cuando se justifique el impedimento, </w:t>
      </w:r>
      <w:r w:rsidRPr="00DE3591">
        <w:rPr>
          <w:rFonts w:ascii="Palatino Linotype" w:eastAsia="Palatino Linotype" w:hAnsi="Palatino Linotype" w:cs="Palatino Linotype"/>
          <w:b/>
        </w:rPr>
        <w:t>los Sujetos Obligados deberán ofrecer al particular otras modalidades de entrega que permita la información</w:t>
      </w:r>
      <w:r w:rsidRPr="00DE3591">
        <w:rPr>
          <w:rFonts w:ascii="Palatino Linotype" w:eastAsia="Palatino Linotype" w:hAnsi="Palatino Linotype" w:cs="Palatino Linotype"/>
        </w:rPr>
        <w:t xml:space="preserve">, como consulta directa en las oficinas de la Unidad de Transparencia, </w:t>
      </w:r>
      <w:r w:rsidRPr="00DE3591">
        <w:rPr>
          <w:rFonts w:ascii="Palatino Linotype" w:eastAsia="Palatino Linotype" w:hAnsi="Palatino Linotype" w:cs="Palatino Linotype"/>
          <w:b/>
        </w:rPr>
        <w:t>la expedición de copias simples o certificadas, o la reproducción en cualquier otro medio, incluidos los electrónicos</w:t>
      </w:r>
      <w:r w:rsidRPr="00DE3591">
        <w:rPr>
          <w:rFonts w:ascii="Palatino Linotype" w:eastAsia="Palatino Linotype" w:hAnsi="Palatino Linotype" w:cs="Palatino Linotype"/>
        </w:rPr>
        <w:t>, lo que se robustece con el criterio 08/17, emitido por el Pleno del Instituto Nacional de Transparencia, Acceso a la Información y Protección de Datos Personales, el cual establece lo siguiente:</w:t>
      </w:r>
    </w:p>
    <w:p w14:paraId="152F36A9"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4F50BFC5" w14:textId="77777777" w:rsidR="00CA2DD9" w:rsidRPr="00DE3591" w:rsidRDefault="00CA2DD9" w:rsidP="00CA2DD9">
      <w:pPr>
        <w:spacing w:after="0" w:line="276" w:lineRule="auto"/>
        <w:ind w:left="851" w:right="902"/>
        <w:jc w:val="both"/>
        <w:rPr>
          <w:rFonts w:ascii="Palatino Linotype" w:eastAsia="Palatino Linotype" w:hAnsi="Palatino Linotype" w:cs="Palatino Linotype"/>
          <w:b/>
          <w:i/>
          <w:u w:val="single"/>
        </w:rPr>
      </w:pPr>
      <w:r w:rsidRPr="00DE3591">
        <w:rPr>
          <w:rFonts w:ascii="Palatino Linotype" w:eastAsia="Palatino Linotype" w:hAnsi="Palatino Linotype" w:cs="Palatino Linotype"/>
          <w:b/>
          <w:i/>
        </w:rPr>
        <w:t>“Modalidad de entrega. Procedencia de proporcionar la información solicitada en una diversa a la elegida por el solicitante.</w:t>
      </w:r>
      <w:r w:rsidRPr="00DE3591">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DE3591">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67D9C241" w14:textId="77777777" w:rsidR="00CA2DD9" w:rsidRPr="00DE3591" w:rsidRDefault="00CA2DD9" w:rsidP="00CA2DD9">
      <w:pPr>
        <w:spacing w:after="0" w:line="276" w:lineRule="auto"/>
        <w:ind w:left="851" w:right="902"/>
        <w:jc w:val="both"/>
        <w:rPr>
          <w:rFonts w:ascii="Palatino Linotype" w:eastAsia="Palatino Linotype" w:hAnsi="Palatino Linotype" w:cs="Palatino Linotype"/>
          <w:b/>
          <w:i/>
          <w:u w:val="single"/>
        </w:rPr>
      </w:pPr>
    </w:p>
    <w:p w14:paraId="27FE21B7" w14:textId="77777777" w:rsidR="00CA2DD9" w:rsidRPr="00DE3591" w:rsidRDefault="00CA2DD9" w:rsidP="00CA2DD9">
      <w:pPr>
        <w:spacing w:after="0" w:line="360" w:lineRule="auto"/>
        <w:jc w:val="both"/>
        <w:rPr>
          <w:rFonts w:ascii="Palatino Linotype" w:eastAsia="Palatino Linotype" w:hAnsi="Palatino Linotype" w:cs="Palatino Linotype"/>
          <w:b/>
        </w:rPr>
      </w:pPr>
      <w:r w:rsidRPr="00DE3591">
        <w:rPr>
          <w:rFonts w:ascii="Palatino Linotype" w:eastAsia="Palatino Linotype" w:hAnsi="Palatino Linotype" w:cs="Palatino Linotype"/>
        </w:rPr>
        <w:t>Del citado criterio, se desprende que cuando</w:t>
      </w:r>
      <w:r w:rsidRPr="00DE3591">
        <w:rPr>
          <w:rFonts w:ascii="Palatino Linotype" w:eastAsia="Palatino Linotype" w:hAnsi="Palatino Linotype" w:cs="Palatino Linotype"/>
          <w:b/>
        </w:rPr>
        <w:t xml:space="preserve"> la información no pueda entregarse o enviarse en la modalidad elegida, </w:t>
      </w:r>
      <w:r w:rsidRPr="00DE3591">
        <w:rPr>
          <w:rFonts w:ascii="Palatino Linotype" w:eastAsia="Palatino Linotype" w:hAnsi="Palatino Linotype" w:cs="Palatino Linotype"/>
        </w:rPr>
        <w:t xml:space="preserve">para que la obligación de acceso a la información se tenga por cumplida, </w:t>
      </w:r>
      <w:r w:rsidRPr="00DE3591">
        <w:rPr>
          <w:rFonts w:ascii="Palatino Linotype" w:eastAsia="Palatino Linotype" w:hAnsi="Palatino Linotype" w:cs="Palatino Linotype"/>
          <w:b/>
        </w:rPr>
        <w:t>el Sujeto Obligado deberá ofrecer otra u otras modalidades de entrega.</w:t>
      </w:r>
      <w:r w:rsidRPr="00DE3591">
        <w:rPr>
          <w:rFonts w:ascii="Palatino Linotype" w:eastAsia="Palatino Linotype" w:hAnsi="Palatino Linotype" w:cs="Palatino Linotype"/>
        </w:rPr>
        <w:t xml:space="preserve"> En cualquier caso, </w:t>
      </w:r>
      <w:r w:rsidRPr="00DE3591">
        <w:rPr>
          <w:rFonts w:ascii="Palatino Linotype" w:eastAsia="Palatino Linotype" w:hAnsi="Palatino Linotype" w:cs="Palatino Linotype"/>
          <w:b/>
        </w:rPr>
        <w:t>se deberá fundar y motivar la necesidad de ofrecer otras modalidades</w:t>
      </w:r>
      <w:r w:rsidRPr="00DE3591">
        <w:rPr>
          <w:rFonts w:ascii="Palatino Linotype" w:eastAsia="Palatino Linotype" w:hAnsi="Palatino Linotype" w:cs="Palatino Linotype"/>
        </w:rPr>
        <w:t xml:space="preserve"> que lo permitan, </w:t>
      </w:r>
      <w:r w:rsidRPr="00DE3591">
        <w:rPr>
          <w:rFonts w:ascii="Palatino Linotype" w:eastAsia="Palatino Linotype" w:hAnsi="Palatino Linotype" w:cs="Palatino Linotype"/>
          <w:b/>
        </w:rPr>
        <w:t>procurando reducir los costos de entrega.</w:t>
      </w:r>
    </w:p>
    <w:p w14:paraId="5B6024BF" w14:textId="77777777" w:rsidR="00CA2DD9" w:rsidRPr="00DE3591" w:rsidRDefault="00CA2DD9" w:rsidP="00CA2DD9">
      <w:pPr>
        <w:spacing w:after="0" w:line="360" w:lineRule="auto"/>
        <w:jc w:val="both"/>
        <w:rPr>
          <w:rFonts w:ascii="Palatino Linotype" w:eastAsia="Palatino Linotype" w:hAnsi="Palatino Linotype" w:cs="Palatino Linotype"/>
          <w:b/>
        </w:rPr>
      </w:pPr>
    </w:p>
    <w:p w14:paraId="126EA73B" w14:textId="77777777" w:rsidR="00CA2DD9" w:rsidRPr="00DE3591" w:rsidRDefault="00CA2DD9" w:rsidP="00CA2DD9">
      <w:pPr>
        <w:widowControl w:val="0"/>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A122EDE"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669CC979" w14:textId="77777777" w:rsidR="00CA2DD9" w:rsidRPr="00DE3591" w:rsidRDefault="00CA2DD9" w:rsidP="00CA2DD9">
      <w:pPr>
        <w:numPr>
          <w:ilvl w:val="0"/>
          <w:numId w:val="15"/>
        </w:num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Las razones por las cuales la información implicaba un análisis, estudio o procesamiento de datos;</w:t>
      </w:r>
    </w:p>
    <w:p w14:paraId="27EA0418" w14:textId="77777777" w:rsidR="00CA2DD9" w:rsidRPr="00DE3591" w:rsidRDefault="00CA2DD9" w:rsidP="00CA2DD9">
      <w:pPr>
        <w:spacing w:after="0" w:line="360" w:lineRule="auto"/>
        <w:ind w:left="720"/>
        <w:jc w:val="both"/>
        <w:rPr>
          <w:rFonts w:ascii="Palatino Linotype" w:eastAsia="Palatino Linotype" w:hAnsi="Palatino Linotype" w:cs="Palatino Linotype"/>
        </w:rPr>
      </w:pPr>
    </w:p>
    <w:p w14:paraId="57ABDE17" w14:textId="77777777" w:rsidR="00CA2DD9" w:rsidRPr="00DE3591" w:rsidRDefault="00CA2DD9" w:rsidP="00CA2DD9">
      <w:pPr>
        <w:numPr>
          <w:ilvl w:val="0"/>
          <w:numId w:val="15"/>
        </w:numPr>
        <w:spacing w:after="0" w:line="360" w:lineRule="auto"/>
        <w:ind w:left="567" w:right="901" w:hanging="141"/>
        <w:jc w:val="both"/>
        <w:rPr>
          <w:rFonts w:ascii="Palatino Linotype" w:eastAsia="Palatino Linotype" w:hAnsi="Palatino Linotype" w:cs="Palatino Linotype"/>
        </w:rPr>
      </w:pPr>
      <w:r w:rsidRPr="00DE3591">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7773FC3B" w14:textId="77777777" w:rsidR="00CA2DD9" w:rsidRPr="00DE3591" w:rsidRDefault="00CA2DD9" w:rsidP="00CA2DD9">
      <w:pPr>
        <w:spacing w:after="0" w:line="360" w:lineRule="auto"/>
        <w:ind w:left="567" w:right="901" w:hanging="141"/>
        <w:jc w:val="both"/>
        <w:rPr>
          <w:rFonts w:ascii="Palatino Linotype" w:eastAsia="Palatino Linotype" w:hAnsi="Palatino Linotype" w:cs="Palatino Linotype"/>
        </w:rPr>
      </w:pPr>
    </w:p>
    <w:p w14:paraId="37A06882" w14:textId="77777777" w:rsidR="00CA2DD9" w:rsidRPr="00DE3591" w:rsidRDefault="00CA2DD9" w:rsidP="00CA2DD9">
      <w:pPr>
        <w:numPr>
          <w:ilvl w:val="0"/>
          <w:numId w:val="15"/>
        </w:numPr>
        <w:spacing w:after="0" w:line="360" w:lineRule="auto"/>
        <w:ind w:left="567" w:right="901" w:hanging="141"/>
        <w:jc w:val="both"/>
        <w:rPr>
          <w:rFonts w:ascii="Palatino Linotype" w:eastAsia="Palatino Linotype" w:hAnsi="Palatino Linotype" w:cs="Palatino Linotype"/>
        </w:rPr>
      </w:pPr>
      <w:r w:rsidRPr="00DE3591">
        <w:rPr>
          <w:rFonts w:ascii="Palatino Linotype" w:eastAsia="Palatino Linotype" w:hAnsi="Palatino Linotype" w:cs="Palatino Linotype"/>
        </w:rPr>
        <w:t>La cantidad de recursos humanos y materiales con los que cuenta el Sujeto Obligado son insuficientes.</w:t>
      </w:r>
    </w:p>
    <w:p w14:paraId="1FD60D7C" w14:textId="77777777" w:rsidR="00CA2DD9" w:rsidRPr="00DE3591" w:rsidRDefault="00CA2DD9" w:rsidP="00CA2DD9">
      <w:pPr>
        <w:spacing w:after="0" w:line="360" w:lineRule="auto"/>
        <w:ind w:right="901"/>
        <w:jc w:val="both"/>
        <w:rPr>
          <w:rFonts w:ascii="Palatino Linotype" w:eastAsia="Palatino Linotype" w:hAnsi="Palatino Linotype" w:cs="Palatino Linotype"/>
        </w:rPr>
      </w:pPr>
    </w:p>
    <w:p w14:paraId="71D001BF" w14:textId="6218715E"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Ahora bien, entrando en materia, debe resaltarse que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xml:space="preserve"> realiza el cambio de modalidad para la entrega de la información mediante Consulta Directa, copias simples o certificadas además de que se podrá hacer entrega sin costo alguno de la información si la persona proporciona los medios electrónicos, además refiere que la información estará a disposición en el plazo establecido en el artículo 166 de la Ley de Transparencia Local para consulta de la información que da atención a la solicitud, teniendo soporte en el oficio signado por el Director General de Informática del INFOEM, mediante el cual informa que la incidencia técnica ha quedado registrada en la bitácora de incidencias, toda vez que implica </w:t>
      </w:r>
      <w:r w:rsidR="00584285" w:rsidRPr="00DE3591">
        <w:rPr>
          <w:rFonts w:ascii="Palatino Linotype" w:eastAsia="Palatino Linotype" w:hAnsi="Palatino Linotype" w:cs="Palatino Linotype"/>
        </w:rPr>
        <w:t xml:space="preserve">la entrega de </w:t>
      </w:r>
      <w:r w:rsidR="00584285" w:rsidRPr="00DE3591">
        <w:rPr>
          <w:rFonts w:ascii="Palatino Linotype" w:eastAsia="Palatino Linotype" w:hAnsi="Palatino Linotype" w:cs="Palatino Linotype"/>
          <w:b/>
        </w:rPr>
        <w:t xml:space="preserve">39798.017 Tb (Terabytes), </w:t>
      </w:r>
      <w:r w:rsidRPr="00DE3591">
        <w:rPr>
          <w:rFonts w:ascii="Palatino Linotype" w:eastAsia="Palatino Linotype" w:hAnsi="Palatino Linotype" w:cs="Palatino Linotype"/>
        </w:rPr>
        <w:t>lo cual sobrepasa las capacidades técnicas del Sistema de Acceso a la Información Mexiquen</w:t>
      </w:r>
      <w:r w:rsidR="00584285" w:rsidRPr="00DE3591">
        <w:rPr>
          <w:rFonts w:ascii="Palatino Linotype" w:eastAsia="Palatino Linotype" w:hAnsi="Palatino Linotype" w:cs="Palatino Linotype"/>
        </w:rPr>
        <w:t>se (SAIMEX), asimismo, se demostró que la información no puede ser remitida mediante correo electrónico, derivado al peso de la información.</w:t>
      </w:r>
    </w:p>
    <w:p w14:paraId="53DFE2F6"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4F12EAD5" w14:textId="77777777" w:rsidR="00CA2DD9" w:rsidRPr="00DE3591" w:rsidRDefault="00CA2DD9" w:rsidP="00CA2DD9">
      <w:pPr>
        <w:spacing w:after="240" w:line="360" w:lineRule="auto"/>
        <w:ind w:right="-28"/>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Expuesto lo anterior, conviene esquematizar los argumentos expuestos con anterioridad para efecto de determinar si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xml:space="preserve"> cumplió con los elementos necesarios para el cambio de modalidad:</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71"/>
      </w:tblGrid>
      <w:tr w:rsidR="00EA6E6B" w:rsidRPr="00DE3591" w14:paraId="679EDEFB" w14:textId="77777777" w:rsidTr="000F6CD2">
        <w:tc>
          <w:tcPr>
            <w:tcW w:w="1696" w:type="dxa"/>
            <w:shd w:val="clear" w:color="auto" w:fill="E7E6E6"/>
          </w:tcPr>
          <w:p w14:paraId="23C7C3B3" w14:textId="77777777" w:rsidR="00CA2DD9" w:rsidRPr="00DE3591" w:rsidRDefault="00CA2DD9" w:rsidP="002F5224">
            <w:pPr>
              <w:jc w:val="center"/>
              <w:rPr>
                <w:rFonts w:ascii="Palatino Linotype" w:eastAsia="Palatino Linotype" w:hAnsi="Palatino Linotype" w:cs="Palatino Linotype"/>
                <w:b/>
              </w:rPr>
            </w:pPr>
            <w:r w:rsidRPr="00DE3591">
              <w:rPr>
                <w:rFonts w:ascii="Palatino Linotype" w:eastAsia="Palatino Linotype" w:hAnsi="Palatino Linotype" w:cs="Palatino Linotype"/>
                <w:b/>
              </w:rPr>
              <w:t>Elementos del cambio de modalidad</w:t>
            </w:r>
          </w:p>
        </w:tc>
        <w:tc>
          <w:tcPr>
            <w:tcW w:w="7371" w:type="dxa"/>
            <w:shd w:val="clear" w:color="auto" w:fill="E7E6E6"/>
          </w:tcPr>
          <w:p w14:paraId="41AB6718" w14:textId="77777777" w:rsidR="00CA2DD9" w:rsidRPr="00DE3591" w:rsidRDefault="00CA2DD9" w:rsidP="002F5224">
            <w:pPr>
              <w:jc w:val="center"/>
              <w:rPr>
                <w:rFonts w:ascii="Palatino Linotype" w:eastAsia="Palatino Linotype" w:hAnsi="Palatino Linotype" w:cs="Palatino Linotype"/>
                <w:b/>
              </w:rPr>
            </w:pPr>
            <w:r w:rsidRPr="00DE3591">
              <w:rPr>
                <w:rFonts w:ascii="Palatino Linotype" w:eastAsia="Palatino Linotype" w:hAnsi="Palatino Linotype" w:cs="Palatino Linotype"/>
                <w:b/>
              </w:rPr>
              <w:t>Contenido</w:t>
            </w:r>
          </w:p>
        </w:tc>
      </w:tr>
      <w:tr w:rsidR="00EA6E6B" w:rsidRPr="00DE3591" w14:paraId="08E63B40" w14:textId="77777777" w:rsidTr="000F6CD2">
        <w:tc>
          <w:tcPr>
            <w:tcW w:w="1696" w:type="dxa"/>
          </w:tcPr>
          <w:p w14:paraId="54DD262A" w14:textId="77777777" w:rsidR="00CA2DD9" w:rsidRPr="00DE3591" w:rsidRDefault="00CA2DD9"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Número de folio de la solicitud</w:t>
            </w:r>
          </w:p>
        </w:tc>
        <w:tc>
          <w:tcPr>
            <w:tcW w:w="7371" w:type="dxa"/>
          </w:tcPr>
          <w:p w14:paraId="430DF113" w14:textId="3E1F57EB" w:rsidR="00CA2DD9" w:rsidRPr="00DE3591" w:rsidRDefault="000F6CD2"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537C9714" wp14:editId="6DBCC9C2">
                  <wp:extent cx="1991003" cy="247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1003" cy="247685"/>
                          </a:xfrm>
                          <a:prstGeom prst="rect">
                            <a:avLst/>
                          </a:prstGeom>
                        </pic:spPr>
                      </pic:pic>
                    </a:graphicData>
                  </a:graphic>
                </wp:inline>
              </w:drawing>
            </w:r>
          </w:p>
        </w:tc>
      </w:tr>
      <w:tr w:rsidR="00EA6E6B" w:rsidRPr="00DE3591" w14:paraId="10301E26" w14:textId="77777777" w:rsidTr="000F6CD2">
        <w:tc>
          <w:tcPr>
            <w:tcW w:w="1696" w:type="dxa"/>
          </w:tcPr>
          <w:p w14:paraId="037BB575" w14:textId="77777777" w:rsidR="00CA2DD9" w:rsidRPr="00DE3591" w:rsidRDefault="00CA2DD9"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Referencia al peso de la información.</w:t>
            </w:r>
          </w:p>
        </w:tc>
        <w:tc>
          <w:tcPr>
            <w:tcW w:w="7371" w:type="dxa"/>
          </w:tcPr>
          <w:p w14:paraId="3BED0D9D" w14:textId="506C400A" w:rsidR="00CA2DD9" w:rsidRPr="00DE3591" w:rsidRDefault="000F6CD2" w:rsidP="002F5224">
            <w:pPr>
              <w:spacing w:line="360" w:lineRule="auto"/>
              <w:jc w:val="center"/>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63E19055" wp14:editId="5F6AEF68">
                  <wp:extent cx="2067213" cy="285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7213" cy="285790"/>
                          </a:xfrm>
                          <a:prstGeom prst="rect">
                            <a:avLst/>
                          </a:prstGeom>
                        </pic:spPr>
                      </pic:pic>
                    </a:graphicData>
                  </a:graphic>
                </wp:inline>
              </w:drawing>
            </w:r>
          </w:p>
        </w:tc>
      </w:tr>
      <w:tr w:rsidR="00EA6E6B" w:rsidRPr="00DE3591" w14:paraId="41E94F0C" w14:textId="77777777" w:rsidTr="000F6CD2">
        <w:tc>
          <w:tcPr>
            <w:tcW w:w="1696" w:type="dxa"/>
          </w:tcPr>
          <w:p w14:paraId="210150AD" w14:textId="77777777" w:rsidR="00CA2DD9" w:rsidRPr="00DE3591" w:rsidRDefault="00CA2DD9"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Referencia a otras modalidades de entrega de la información.</w:t>
            </w:r>
          </w:p>
        </w:tc>
        <w:tc>
          <w:tcPr>
            <w:tcW w:w="7371" w:type="dxa"/>
          </w:tcPr>
          <w:p w14:paraId="4A80D184" w14:textId="77777777" w:rsidR="00CA2DD9" w:rsidRPr="00DE3591" w:rsidRDefault="00CA2DD9" w:rsidP="002F5224">
            <w:pPr>
              <w:spacing w:line="360" w:lineRule="auto"/>
              <w:rPr>
                <w:rFonts w:ascii="Palatino Linotype" w:eastAsia="Palatino Linotype" w:hAnsi="Palatino Linotype" w:cs="Palatino Linotype"/>
              </w:rPr>
            </w:pPr>
            <w:r w:rsidRPr="00DE3591">
              <w:rPr>
                <w:rFonts w:ascii="Palatino Linotype" w:eastAsia="Palatino Linotype" w:hAnsi="Palatino Linotype" w:cs="Palatino Linotype"/>
              </w:rPr>
              <w:t>Además de la consulta directa se señala que:</w:t>
            </w:r>
          </w:p>
          <w:p w14:paraId="57D2829B" w14:textId="666C0277" w:rsidR="00CA2DD9" w:rsidRPr="00DE3591" w:rsidRDefault="008E0B74" w:rsidP="008E0B74">
            <w:pPr>
              <w:spacing w:line="360" w:lineRule="auto"/>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0D89D185" wp14:editId="7B37831A">
                  <wp:extent cx="4543425" cy="259461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3425" cy="2594610"/>
                          </a:xfrm>
                          <a:prstGeom prst="rect">
                            <a:avLst/>
                          </a:prstGeom>
                        </pic:spPr>
                      </pic:pic>
                    </a:graphicData>
                  </a:graphic>
                </wp:inline>
              </w:drawing>
            </w:r>
          </w:p>
        </w:tc>
      </w:tr>
      <w:tr w:rsidR="00EA6E6B" w:rsidRPr="00DE3591" w14:paraId="3DAF34C7" w14:textId="77777777" w:rsidTr="000F6CD2">
        <w:tc>
          <w:tcPr>
            <w:tcW w:w="1696" w:type="dxa"/>
          </w:tcPr>
          <w:p w14:paraId="2E8A57ED" w14:textId="77777777" w:rsidR="00CA2DD9" w:rsidRPr="00DE3591" w:rsidRDefault="00CA2DD9"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Referencia que la información se pone a disposición por 60 días</w:t>
            </w:r>
          </w:p>
        </w:tc>
        <w:tc>
          <w:tcPr>
            <w:tcW w:w="7371" w:type="dxa"/>
          </w:tcPr>
          <w:p w14:paraId="0C5BED67" w14:textId="28C58F68" w:rsidR="00CA2DD9" w:rsidRPr="00DE3591" w:rsidRDefault="000F6CD2" w:rsidP="002F5224">
            <w:pPr>
              <w:spacing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3E1B5309" wp14:editId="394D5A56">
                  <wp:extent cx="4674235" cy="27565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4235" cy="2756535"/>
                          </a:xfrm>
                          <a:prstGeom prst="rect">
                            <a:avLst/>
                          </a:prstGeom>
                        </pic:spPr>
                      </pic:pic>
                    </a:graphicData>
                  </a:graphic>
                </wp:inline>
              </w:drawing>
            </w:r>
          </w:p>
        </w:tc>
      </w:tr>
      <w:tr w:rsidR="00EA6E6B" w:rsidRPr="00DE3591" w14:paraId="51D18BCF" w14:textId="77777777" w:rsidTr="000F6CD2">
        <w:tc>
          <w:tcPr>
            <w:tcW w:w="1696" w:type="dxa"/>
          </w:tcPr>
          <w:p w14:paraId="05887E27" w14:textId="77777777" w:rsidR="00CA2DD9" w:rsidRPr="00DE3591" w:rsidRDefault="00CA2DD9"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Registro  de su incidencia ante informática</w:t>
            </w:r>
          </w:p>
        </w:tc>
        <w:tc>
          <w:tcPr>
            <w:tcW w:w="7371" w:type="dxa"/>
          </w:tcPr>
          <w:p w14:paraId="605C590F" w14:textId="5197A83D" w:rsidR="00CA2DD9" w:rsidRPr="00DE3591" w:rsidRDefault="000F6CD2" w:rsidP="002F5224">
            <w:pPr>
              <w:spacing w:line="360" w:lineRule="auto"/>
              <w:jc w:val="center"/>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421E0CBE" wp14:editId="15DBB409">
                  <wp:extent cx="4674235" cy="4352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4235" cy="4352925"/>
                          </a:xfrm>
                          <a:prstGeom prst="rect">
                            <a:avLst/>
                          </a:prstGeom>
                        </pic:spPr>
                      </pic:pic>
                    </a:graphicData>
                  </a:graphic>
                </wp:inline>
              </w:drawing>
            </w:r>
          </w:p>
        </w:tc>
      </w:tr>
      <w:tr w:rsidR="000F6CD2" w:rsidRPr="00DE3591" w14:paraId="4772410B" w14:textId="77777777" w:rsidTr="000F6CD2">
        <w:tc>
          <w:tcPr>
            <w:tcW w:w="1696" w:type="dxa"/>
          </w:tcPr>
          <w:p w14:paraId="6BB85047" w14:textId="5CB769B8" w:rsidR="000F6CD2" w:rsidRPr="00DE3591" w:rsidRDefault="000F6CD2" w:rsidP="002F5224">
            <w:pPr>
              <w:jc w:val="center"/>
              <w:rPr>
                <w:rFonts w:ascii="Palatino Linotype" w:eastAsia="Palatino Linotype" w:hAnsi="Palatino Linotype" w:cs="Palatino Linotype"/>
              </w:rPr>
            </w:pPr>
            <w:r w:rsidRPr="00DE3591">
              <w:rPr>
                <w:rFonts w:ascii="Palatino Linotype" w:eastAsia="Palatino Linotype" w:hAnsi="Palatino Linotype" w:cs="Palatino Linotype"/>
              </w:rPr>
              <w:t>Acuerdo del Comité de Transparencia.</w:t>
            </w:r>
          </w:p>
        </w:tc>
        <w:tc>
          <w:tcPr>
            <w:tcW w:w="7371" w:type="dxa"/>
          </w:tcPr>
          <w:p w14:paraId="35018365" w14:textId="77777777" w:rsidR="000F6CD2" w:rsidRPr="00DE3591" w:rsidRDefault="008E0B74" w:rsidP="002F5224">
            <w:pPr>
              <w:spacing w:line="360" w:lineRule="auto"/>
              <w:jc w:val="center"/>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476E2F86" wp14:editId="33BEAD0C">
                  <wp:extent cx="3714750" cy="9802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9376" cy="989353"/>
                          </a:xfrm>
                          <a:prstGeom prst="rect">
                            <a:avLst/>
                          </a:prstGeom>
                        </pic:spPr>
                      </pic:pic>
                    </a:graphicData>
                  </a:graphic>
                </wp:inline>
              </w:drawing>
            </w:r>
          </w:p>
          <w:p w14:paraId="18EC973A" w14:textId="0A864A93" w:rsidR="008E0B74" w:rsidRPr="00DE3591" w:rsidRDefault="008E0B74" w:rsidP="002F5224">
            <w:pPr>
              <w:spacing w:line="360" w:lineRule="auto"/>
              <w:jc w:val="center"/>
              <w:rPr>
                <w:rFonts w:ascii="Palatino Linotype" w:eastAsia="Palatino Linotype" w:hAnsi="Palatino Linotype" w:cs="Palatino Linotype"/>
              </w:rPr>
            </w:pPr>
            <w:r w:rsidRPr="00DE3591">
              <w:rPr>
                <w:rFonts w:ascii="Palatino Linotype" w:eastAsia="Palatino Linotype" w:hAnsi="Palatino Linotype" w:cs="Palatino Linotype"/>
                <w:noProof/>
              </w:rPr>
              <w:drawing>
                <wp:inline distT="0" distB="0" distL="0" distR="0" wp14:anchorId="5CE79B01" wp14:editId="3C3258A5">
                  <wp:extent cx="4543425" cy="4203700"/>
                  <wp:effectExtent l="0" t="0" r="952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4203700"/>
                          </a:xfrm>
                          <a:prstGeom prst="rect">
                            <a:avLst/>
                          </a:prstGeom>
                        </pic:spPr>
                      </pic:pic>
                    </a:graphicData>
                  </a:graphic>
                </wp:inline>
              </w:drawing>
            </w:r>
          </w:p>
        </w:tc>
      </w:tr>
    </w:tbl>
    <w:p w14:paraId="6EED6B99" w14:textId="77777777" w:rsidR="00CA2DD9" w:rsidRPr="00DE3591" w:rsidRDefault="00CA2DD9" w:rsidP="00CA2DD9">
      <w:pPr>
        <w:spacing w:after="240" w:line="360" w:lineRule="auto"/>
        <w:ind w:right="-28"/>
        <w:jc w:val="both"/>
        <w:rPr>
          <w:rFonts w:ascii="Palatino Linotype" w:eastAsia="Palatino Linotype" w:hAnsi="Palatino Linotype" w:cs="Palatino Linotype"/>
        </w:rPr>
      </w:pPr>
    </w:p>
    <w:p w14:paraId="32434C0B" w14:textId="52C44C54" w:rsidR="00351DA6" w:rsidRPr="00DE3591" w:rsidRDefault="00CA2DD9" w:rsidP="00CA2DD9">
      <w:pPr>
        <w:spacing w:before="240"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De manera que, en el presente asunto</w:t>
      </w:r>
      <w:r w:rsidR="001C7AB4" w:rsidRPr="00DE3591">
        <w:rPr>
          <w:rFonts w:ascii="Palatino Linotype" w:eastAsia="Palatino Linotype" w:hAnsi="Palatino Linotype" w:cs="Palatino Linotype"/>
        </w:rPr>
        <w:t xml:space="preserve"> el particular solicitó toda la información generada por el Sujeto Obligado desde su creación en el año </w:t>
      </w:r>
      <w:r w:rsidR="00A32571" w:rsidRPr="00DE3591">
        <w:rPr>
          <w:rFonts w:ascii="Palatino Linotype" w:eastAsia="Palatino Linotype" w:hAnsi="Palatino Linotype" w:cs="Palatino Linotype"/>
        </w:rPr>
        <w:t xml:space="preserve">dos mil cuatro </w:t>
      </w:r>
      <w:r w:rsidR="0097124F" w:rsidRPr="00DE3591">
        <w:rPr>
          <w:rFonts w:ascii="Palatino Linotype" w:eastAsia="Palatino Linotype" w:hAnsi="Palatino Linotype" w:cs="Palatino Linotype"/>
        </w:rPr>
        <w:t>al once de agosto de dos mil veinticinco</w:t>
      </w:r>
      <w:r w:rsidR="00A32571" w:rsidRPr="00DE3591">
        <w:rPr>
          <w:rFonts w:ascii="Palatino Linotype" w:eastAsia="Palatino Linotype" w:hAnsi="Palatino Linotype" w:cs="Palatino Linotype"/>
        </w:rPr>
        <w:t>, lo que se traduce en 39798.017 Tb (Terabytes).</w:t>
      </w:r>
    </w:p>
    <w:p w14:paraId="6E94458D" w14:textId="4D230003" w:rsidR="00351DA6" w:rsidRPr="00DE3591" w:rsidRDefault="00351DA6" w:rsidP="00CA2DD9">
      <w:pPr>
        <w:spacing w:before="240"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Además, es importante mencionar que si bien, el Recurrente solicitó como mocalidad de entrega correo electrónico, el Sujeto Obligado señaló esta imposibilidad a través de imágenes que dan certeza que se intentó cumplir esta modalidad; sin embargo, los correos electrónicos únicamente soportan un peso de 25 megabytes, por lo que, al ser la cantidad 39798.017 Tb (Terabytes), el Sujeto Obligado tendría que remitir más de un millón de correos, lo cual resulta en una carga desproporcionada para este último, además de que sería necesario fraccionar la información a efecto de remitir la cantidad exacta en cada correo electrónico. En consecuencia, cumplir con esta modalidad, en este caso en particular </w:t>
      </w:r>
      <w:r w:rsidR="00EF1A16" w:rsidRPr="00DE3591">
        <w:rPr>
          <w:rFonts w:ascii="Palatino Linotype" w:eastAsia="Palatino Linotype" w:hAnsi="Palatino Linotype" w:cs="Palatino Linotype"/>
        </w:rPr>
        <w:t xml:space="preserve">no es conducente. </w:t>
      </w:r>
    </w:p>
    <w:p w14:paraId="581F5A9D" w14:textId="08727D4A" w:rsidR="00EF1A16" w:rsidRPr="00DE3591" w:rsidRDefault="00EF1A16" w:rsidP="00EF1A16">
      <w:pPr>
        <w:spacing w:before="240"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Además, se advierte que el Sujeto Obligado refirió que la información tiene un peso aproximado de 39798.017 Tb (Terabytes), lo cual es una cifra muy elevada, pero lo cierto es que el Recurrente solicitó toda la información generada, desde expedientes, reportes, estudios, actas</w:t>
      </w:r>
      <w:r w:rsidRPr="00DE3591">
        <w:rPr>
          <w:rFonts w:ascii="Palatino Linotype" w:eastAsia="Palatino Linotype" w:hAnsi="Palatino Linotype" w:cs="Palatino Linotype"/>
          <w:b/>
        </w:rPr>
        <w:t>,</w:t>
      </w:r>
      <w:r w:rsidRPr="00DE3591">
        <w:rPr>
          <w:rFonts w:ascii="Palatino Linotype" w:eastAsia="Palatino Linotype" w:hAnsi="Palatino Linotype" w:cs="Palatino Linotype"/>
        </w:rPr>
        <w:t xml:space="preserve"> resoluciones, oficios, correspondencia, acuerdos, directivas, directrices, circulares, contratos, convenios, instructivos, notas, memorandos, estadísticas, videograbaciones o bien, cualquier otro registro que documente el ejercicio de las facultades, funciones y competencias de cada servidor público de cada unidad administrativa desde que se creo el Organismo Garante, es decir, del año 2004 al año 2025, siendo un total de veintiun años aproximadamente, razón por la que se sustenta el peso referido por el Sujeto Obligado y con ello, la necesidad del cambio de modalidad. </w:t>
      </w:r>
    </w:p>
    <w:p w14:paraId="7EC19DC6" w14:textId="77777777" w:rsidR="00A32571" w:rsidRPr="00DE3591" w:rsidRDefault="00A32571" w:rsidP="00CA2DD9">
      <w:pPr>
        <w:spacing w:after="0" w:line="360" w:lineRule="auto"/>
        <w:jc w:val="both"/>
        <w:rPr>
          <w:rFonts w:ascii="Palatino Linotype" w:eastAsia="Palatino Linotype" w:hAnsi="Palatino Linotype" w:cs="Palatino Linotype"/>
        </w:rPr>
      </w:pPr>
    </w:p>
    <w:p w14:paraId="0532CAB2"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Por lo anterior, en primera instancia, se puede observar que el cambio de modalidad propuesto por </w:t>
      </w:r>
      <w:r w:rsidRPr="00DE3591">
        <w:rPr>
          <w:rFonts w:ascii="Palatino Linotype" w:eastAsia="Palatino Linotype" w:hAnsi="Palatino Linotype" w:cs="Palatino Linotype"/>
          <w:b/>
        </w:rPr>
        <w:t xml:space="preserve">EL SUJETO OBLIGADO </w:t>
      </w:r>
      <w:r w:rsidRPr="00DE3591">
        <w:rPr>
          <w:rFonts w:ascii="Palatino Linotype" w:eastAsia="Palatino Linotype" w:hAnsi="Palatino Linotype" w:cs="Palatino Linotype"/>
        </w:rPr>
        <w:t xml:space="preserve">cumple con las formalidades establecidas por los ordenamientos en materia de transparencia, tomando en consideración que se hizo del conocimiento de </w:t>
      </w:r>
      <w:r w:rsidRPr="00DE3591">
        <w:rPr>
          <w:rFonts w:ascii="Palatino Linotype" w:eastAsia="Palatino Linotype" w:hAnsi="Palatino Linotype" w:cs="Palatino Linotype"/>
          <w:b/>
        </w:rPr>
        <w:t>LA PARTE RECURRENTE</w:t>
      </w:r>
      <w:r w:rsidRPr="00DE3591">
        <w:rPr>
          <w:rFonts w:ascii="Palatino Linotype" w:eastAsia="Palatino Linotype" w:hAnsi="Palatino Linotype" w:cs="Palatino Linotype"/>
        </w:rPr>
        <w:t xml:space="preserve"> que no sólo pone a disposición la información en Consulta Directa para conocer de la información de su interés, sino también se informó que podía obtenerla mediante copias simples o certificadas además de que se podrá hacer entrega sin costo alguno si proporcionan el dispositivo electrónico para el almacenamiento de la información, y puso a disposición del particular la información en el plazo establecido por el segundo párrafo del artículo 166 de la Ley de la Materia. </w:t>
      </w:r>
    </w:p>
    <w:p w14:paraId="0896BA47" w14:textId="77777777" w:rsidR="00CA2DD9" w:rsidRPr="00DE3591" w:rsidRDefault="00CA2DD9" w:rsidP="00CA2DD9">
      <w:pPr>
        <w:spacing w:after="0" w:line="360" w:lineRule="auto"/>
        <w:ind w:right="-28"/>
        <w:jc w:val="both"/>
        <w:rPr>
          <w:rFonts w:ascii="Palatino Linotype" w:eastAsia="Palatino Linotype" w:hAnsi="Palatino Linotype" w:cs="Palatino Linotype"/>
        </w:rPr>
      </w:pPr>
    </w:p>
    <w:p w14:paraId="1974DE55" w14:textId="77777777" w:rsidR="00CA2DD9" w:rsidRPr="00DE3591" w:rsidRDefault="00CA2DD9" w:rsidP="00CA2DD9">
      <w:pPr>
        <w:pStyle w:val="NormalWeb"/>
        <w:spacing w:before="0" w:beforeAutospacing="0" w:after="0" w:afterAutospacing="0" w:line="360" w:lineRule="auto"/>
        <w:contextualSpacing/>
        <w:jc w:val="both"/>
        <w:rPr>
          <w:rFonts w:ascii="Palatino Linotype" w:hAnsi="Palatino Linotype"/>
          <w:sz w:val="22"/>
          <w:szCs w:val="22"/>
        </w:rPr>
      </w:pPr>
      <w:r w:rsidRPr="00DE3591">
        <w:rPr>
          <w:rFonts w:ascii="Palatino Linotype" w:hAnsi="Palatino Linotype"/>
          <w:sz w:val="22"/>
          <w:szCs w:val="22"/>
        </w:rPr>
        <w:t>En ese sentido, es necesario precisar que, para el cumplimiento de esta resolución, Sujeto Obligado contará con un plazo establecido de</w:t>
      </w:r>
      <w:r w:rsidRPr="00DE3591">
        <w:rPr>
          <w:rFonts w:ascii="Palatino Linotype" w:hAnsi="Palatino Linotype"/>
          <w:bCs/>
          <w:sz w:val="22"/>
          <w:szCs w:val="22"/>
        </w:rPr>
        <w:t xml:space="preserve"> sesenta días, mismo plazo que deberá computarse posterior a la notificación de la presente resolución</w:t>
      </w:r>
      <w:r w:rsidRPr="00DE3591">
        <w:rPr>
          <w:rFonts w:ascii="Palatino Linotype" w:hAnsi="Palatino Linotype"/>
          <w:sz w:val="22"/>
          <w:szCs w:val="22"/>
        </w:rPr>
        <w:t>, para que, con ello, pueda atenderse en sus términos.</w:t>
      </w:r>
    </w:p>
    <w:p w14:paraId="3382209F" w14:textId="77777777" w:rsidR="00CA2DD9" w:rsidRPr="00DE3591" w:rsidRDefault="00CA2DD9" w:rsidP="00CA2DD9">
      <w:pPr>
        <w:spacing w:after="0" w:line="360" w:lineRule="auto"/>
        <w:contextualSpacing/>
        <w:jc w:val="both"/>
        <w:rPr>
          <w:rFonts w:ascii="Palatino Linotype" w:eastAsia="Palatino Linotype" w:hAnsi="Palatino Linotype" w:cs="Palatino Linotype"/>
        </w:rPr>
      </w:pPr>
    </w:p>
    <w:p w14:paraId="222A4104" w14:textId="77777777" w:rsidR="00CA2DD9" w:rsidRPr="00DE3591" w:rsidRDefault="00CA2DD9" w:rsidP="00CA2DD9">
      <w:pPr>
        <w:spacing w:after="0" w:line="360" w:lineRule="auto"/>
        <w:contextualSpacing/>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Finalmente, si dentro del transcurso del término señalado en el párrafo anterior, </w:t>
      </w:r>
      <w:r w:rsidRPr="00DE3591">
        <w:rPr>
          <w:rFonts w:ascii="Palatino Linotype" w:eastAsia="Palatino Linotype" w:hAnsi="Palatino Linotype" w:cs="Palatino Linotype"/>
          <w:b/>
        </w:rPr>
        <w:t xml:space="preserve">LA PARTE RECURRENTE </w:t>
      </w:r>
      <w:r w:rsidRPr="00DE3591">
        <w:rPr>
          <w:rFonts w:ascii="Palatino Linotype" w:eastAsia="Palatino Linotype" w:hAnsi="Palatino Linotype" w:cs="Palatino Linotype"/>
        </w:rPr>
        <w:t xml:space="preserve">acude por la información,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xml:space="preserve"> debe remitir a este Instituto, por conducto de la Secretaría Técnica del Pleno, el acuse de recibo de la información de </w:t>
      </w:r>
      <w:r w:rsidRPr="00DE3591">
        <w:rPr>
          <w:rFonts w:ascii="Palatino Linotype" w:eastAsia="Palatino Linotype" w:hAnsi="Palatino Linotype" w:cs="Palatino Linotype"/>
          <w:b/>
        </w:rPr>
        <w:t>LA PARTE RECURRENTE</w:t>
      </w:r>
      <w:r w:rsidRPr="00DE3591">
        <w:rPr>
          <w:rFonts w:ascii="Palatino Linotype" w:eastAsia="Palatino Linotype" w:hAnsi="Palatino Linotype" w:cs="Palatino Linotype"/>
        </w:rPr>
        <w:t xml:space="preserve">; sin embargo, si una vez fenecido el plazo, el solicitante no acudiera por los documentos ordenados,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mediante acuerdo dará por concluida la solicitud y podrá, de ser el caso, realizar la destrucción del material en el que se reprodujo, situación que también deberá informar a este Instituto, por el mismo conducto.</w:t>
      </w:r>
    </w:p>
    <w:p w14:paraId="6A1195F4"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3FB2B43E" w14:textId="64CEA864" w:rsidR="00CA2DD9" w:rsidRPr="00DE3591" w:rsidRDefault="00CA2DD9" w:rsidP="00CA2DD9">
      <w:pPr>
        <w:spacing w:after="0" w:line="360" w:lineRule="auto"/>
        <w:ind w:right="51"/>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Así, derivado de que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xml:space="preserve"> acreditó la imposibilidad técnica con motivo de la remisión de la información y que él mismo,  siguió el procedimiento previsto para tales efectos, se observa que </w:t>
      </w:r>
      <w:r w:rsidRPr="00DE3591">
        <w:rPr>
          <w:rFonts w:ascii="Palatino Linotype" w:eastAsia="Palatino Linotype" w:hAnsi="Palatino Linotype" w:cs="Palatino Linotype"/>
          <w:b/>
        </w:rPr>
        <w:t>EL SUJETO OBLIGADO</w:t>
      </w:r>
      <w:r w:rsidRPr="00DE3591">
        <w:rPr>
          <w:rFonts w:ascii="Palatino Linotype" w:eastAsia="Palatino Linotype" w:hAnsi="Palatino Linotype" w:cs="Palatino Linotype"/>
        </w:rPr>
        <w:t xml:space="preserve"> colmó lo solicitado por </w:t>
      </w:r>
      <w:r w:rsidRPr="00DE3591">
        <w:rPr>
          <w:rFonts w:ascii="Palatino Linotype" w:eastAsia="Palatino Linotype" w:hAnsi="Palatino Linotype" w:cs="Palatino Linotype"/>
          <w:b/>
        </w:rPr>
        <w:t>LA PARTE RECURRENTE</w:t>
      </w:r>
      <w:r w:rsidRPr="00DE3591">
        <w:rPr>
          <w:rFonts w:ascii="Palatino Linotype" w:eastAsia="Palatino Linotype" w:hAnsi="Palatino Linotype" w:cs="Palatino Linotype"/>
        </w:rPr>
        <w:t xml:space="preserve"> con su respuesta inicial, con el cual justifica la imposibilidad técnica de remitir la información vía SAIMEX y la pone a disposición de </w:t>
      </w:r>
      <w:r w:rsidRPr="00DE3591">
        <w:rPr>
          <w:rFonts w:ascii="Palatino Linotype" w:eastAsia="Palatino Linotype" w:hAnsi="Palatino Linotype" w:cs="Palatino Linotype"/>
          <w:b/>
        </w:rPr>
        <w:t>LA PARTE RECURRENTE</w:t>
      </w:r>
      <w:r w:rsidRPr="00DE3591">
        <w:rPr>
          <w:rFonts w:ascii="Palatino Linotype" w:eastAsia="Palatino Linotype" w:hAnsi="Palatino Linotype" w:cs="Palatino Linotype"/>
        </w:rPr>
        <w:t xml:space="preserve"> a efectos de que éste se haga llegar de ésta, al respecto, se concluye que los motivos de inconformidad devienen infundados, siendo procedente </w:t>
      </w:r>
      <w:r w:rsidRPr="00DE3591">
        <w:rPr>
          <w:rFonts w:ascii="Palatino Linotype" w:eastAsia="Palatino Linotype" w:hAnsi="Palatino Linotype" w:cs="Palatino Linotype"/>
          <w:i/>
        </w:rPr>
        <w:t xml:space="preserve">Confirmar </w:t>
      </w:r>
      <w:r w:rsidRPr="00DE3591">
        <w:rPr>
          <w:rFonts w:ascii="Palatino Linotype" w:eastAsia="Palatino Linotype" w:hAnsi="Palatino Linotype" w:cs="Palatino Linotype"/>
        </w:rPr>
        <w:t xml:space="preserve">la respuesta proporcionada por </w:t>
      </w:r>
      <w:r w:rsidRPr="00DE3591">
        <w:rPr>
          <w:rFonts w:ascii="Palatino Linotype" w:eastAsia="Palatino Linotype" w:hAnsi="Palatino Linotype" w:cs="Palatino Linotype"/>
          <w:b/>
        </w:rPr>
        <w:t xml:space="preserve">EL SUJETO OBLIGADO </w:t>
      </w:r>
      <w:r w:rsidRPr="00DE3591">
        <w:rPr>
          <w:rFonts w:ascii="Palatino Linotype" w:eastAsia="Palatino Linotype" w:hAnsi="Palatino Linotype" w:cs="Palatino Linotype"/>
        </w:rPr>
        <w:t>en términos del artículo 186 fracción II de la Ley de Transparencia y Acceso a la Información Pública del Estado de México y Municipios.</w:t>
      </w:r>
    </w:p>
    <w:p w14:paraId="2C37C1FF" w14:textId="77777777" w:rsidR="00A32571" w:rsidRPr="00DE3591" w:rsidRDefault="00A32571" w:rsidP="00CA2DD9">
      <w:pPr>
        <w:spacing w:after="0" w:line="360" w:lineRule="auto"/>
        <w:ind w:right="51"/>
        <w:jc w:val="both"/>
        <w:rPr>
          <w:rFonts w:ascii="Palatino Linotype" w:eastAsia="Palatino Linotype" w:hAnsi="Palatino Linotype" w:cs="Palatino Linotype"/>
        </w:rPr>
      </w:pPr>
    </w:p>
    <w:p w14:paraId="6D5BA083" w14:textId="2FDBCA33" w:rsidR="00A32571" w:rsidRPr="00DE3591" w:rsidRDefault="00A32571" w:rsidP="00CA2DD9">
      <w:pPr>
        <w:spacing w:after="0" w:line="360" w:lineRule="auto"/>
        <w:ind w:right="51"/>
        <w:jc w:val="both"/>
        <w:rPr>
          <w:rFonts w:ascii="Palatino Linotype" w:eastAsia="Palatino Linotype" w:hAnsi="Palatino Linotype" w:cs="Palatino Linotype"/>
        </w:rPr>
      </w:pPr>
      <w:r w:rsidRPr="00DE3591">
        <w:rPr>
          <w:rFonts w:ascii="Palatino Linotype" w:hAnsi="Palatino Linotype"/>
        </w:rPr>
        <w:t>No pasa desapercibido que la persona solicitante realizó diversos planteamientos subjetivos, como parte de agravio “</w:t>
      </w:r>
      <w:r w:rsidRPr="00DE3591">
        <w:rPr>
          <w:rFonts w:ascii="Palatino Linotype" w:hAnsi="Palatino Linotype"/>
          <w:i/>
          <w:iCs/>
        </w:rPr>
        <w:t>Eso ya no es un error administrativo: es cinismo institucional. Si los comisionados no ven la gravedad, es porque viven tan cómodos en su oficina climatizada que confunden la opacidad con un trámite normal.</w:t>
      </w:r>
      <w:r w:rsidR="006F7845" w:rsidRPr="00DE3591">
        <w:t xml:space="preserve"> </w:t>
      </w:r>
      <w:r w:rsidR="006F7845" w:rsidRPr="00DE3591">
        <w:rPr>
          <w:rFonts w:ascii="Palatino Linotype" w:hAnsi="Palatino Linotype"/>
          <w:i/>
          <w:iCs/>
        </w:rPr>
        <w:t>Al INFOEM le encanta presentarse como ejemplo de transparencia, pero en los hec</w:t>
      </w:r>
      <w:bookmarkStart w:id="3" w:name="_GoBack"/>
      <w:bookmarkEnd w:id="3"/>
      <w:r w:rsidR="006F7845" w:rsidRPr="00DE3591">
        <w:rPr>
          <w:rFonts w:ascii="Palatino Linotype" w:hAnsi="Palatino Linotype"/>
          <w:i/>
          <w:iCs/>
        </w:rPr>
        <w:t>hos funciona como una muralla burocrática: todo lo filtra, todo lo detiene, todo lo complica. Son campeones de la simulación, expertos en inventar trámites para no trabajar. Si existiera un premio a la creatividad para fabricar excusas, seguro se lo llevaban cada año.</w:t>
      </w:r>
      <w:r w:rsidRPr="00DE3591">
        <w:rPr>
          <w:rFonts w:ascii="Palatino Linotype" w:hAnsi="Palatino Linotype"/>
          <w:i/>
          <w:iCs/>
        </w:rPr>
        <w:t>”</w:t>
      </w:r>
      <w:r w:rsidRPr="00DE3591">
        <w:rPr>
          <w:rFonts w:ascii="Palatino Linotype" w:hAnsi="Palatino Linotype"/>
        </w:rPr>
        <w:t xml:space="preserve">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32B2D68A" w14:textId="77777777" w:rsidR="00CA2DD9" w:rsidRPr="00DE3591" w:rsidRDefault="00CA2DD9" w:rsidP="00CA2DD9">
      <w:pPr>
        <w:spacing w:before="240" w:after="24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E2D7B4F" w14:textId="77777777" w:rsidR="00CA2DD9" w:rsidRPr="00DE3591" w:rsidRDefault="00CA2DD9" w:rsidP="00CA2DD9">
      <w:pPr>
        <w:spacing w:after="0" w:line="360" w:lineRule="auto"/>
        <w:jc w:val="both"/>
        <w:rPr>
          <w:rFonts w:ascii="Palatino Linotype" w:eastAsia="Palatino Linotype" w:hAnsi="Palatino Linotype" w:cs="Palatino Linotype"/>
        </w:rPr>
      </w:pPr>
    </w:p>
    <w:p w14:paraId="41E053DA" w14:textId="77777777" w:rsidR="00CA2DD9" w:rsidRPr="00DE3591" w:rsidRDefault="00CA2DD9" w:rsidP="00CA2DD9">
      <w:pPr>
        <w:spacing w:after="0" w:line="360" w:lineRule="auto"/>
        <w:ind w:right="-93"/>
        <w:jc w:val="center"/>
        <w:rPr>
          <w:rFonts w:ascii="Palatino Linotype" w:eastAsia="Palatino Linotype" w:hAnsi="Palatino Linotype" w:cs="Palatino Linotype"/>
          <w:b/>
        </w:rPr>
      </w:pPr>
      <w:r w:rsidRPr="00DE3591">
        <w:rPr>
          <w:rFonts w:ascii="Palatino Linotype" w:eastAsia="Palatino Linotype" w:hAnsi="Palatino Linotype" w:cs="Palatino Linotype"/>
          <w:b/>
        </w:rPr>
        <w:t>R E S U E L V E:</w:t>
      </w:r>
    </w:p>
    <w:p w14:paraId="55FD96FA" w14:textId="77777777" w:rsidR="00CA2DD9" w:rsidRPr="00DE3591" w:rsidRDefault="00CA2DD9" w:rsidP="00CA2DD9">
      <w:pPr>
        <w:spacing w:after="0" w:line="360" w:lineRule="auto"/>
        <w:ind w:right="-93"/>
        <w:jc w:val="center"/>
        <w:rPr>
          <w:rFonts w:ascii="Palatino Linotype" w:eastAsia="Palatino Linotype" w:hAnsi="Palatino Linotype" w:cs="Palatino Linotype"/>
        </w:rPr>
      </w:pPr>
    </w:p>
    <w:p w14:paraId="7C95EB47" w14:textId="3ED10D2D" w:rsidR="00CA2DD9" w:rsidRPr="00DE3591" w:rsidRDefault="00CA2DD9" w:rsidP="00CA2DD9">
      <w:pPr>
        <w:spacing w:after="0" w:line="360" w:lineRule="auto"/>
        <w:ind w:right="51"/>
        <w:jc w:val="both"/>
        <w:rPr>
          <w:rFonts w:ascii="Palatino Linotype" w:eastAsia="Palatino Linotype" w:hAnsi="Palatino Linotype" w:cs="Palatino Linotype"/>
          <w:b/>
        </w:rPr>
      </w:pPr>
      <w:r w:rsidRPr="00DE3591">
        <w:rPr>
          <w:rFonts w:ascii="Palatino Linotype" w:eastAsia="Palatino Linotype" w:hAnsi="Palatino Linotype" w:cs="Palatino Linotype"/>
          <w:b/>
        </w:rPr>
        <w:t xml:space="preserve">PRIMERO. </w:t>
      </w:r>
      <w:r w:rsidRPr="00DE3591">
        <w:rPr>
          <w:rFonts w:ascii="Palatino Linotype" w:eastAsia="Palatino Linotype" w:hAnsi="Palatino Linotype" w:cs="Palatino Linotype"/>
        </w:rPr>
        <w:t xml:space="preserve">Resultan infundados los motivos de inconformidad aducidos por el </w:t>
      </w:r>
      <w:r w:rsidRPr="00DE3591">
        <w:rPr>
          <w:rFonts w:ascii="Palatino Linotype" w:eastAsia="Palatino Linotype" w:hAnsi="Palatino Linotype" w:cs="Palatino Linotype"/>
          <w:b/>
        </w:rPr>
        <w:t>RECURRENTE</w:t>
      </w:r>
      <w:r w:rsidRPr="00DE3591">
        <w:rPr>
          <w:rFonts w:ascii="Palatino Linotype" w:eastAsia="Palatino Linotype" w:hAnsi="Palatino Linotype" w:cs="Palatino Linotype"/>
        </w:rPr>
        <w:t xml:space="preserve"> en el recurso de revisión </w:t>
      </w:r>
      <w:r w:rsidRPr="00DE3591">
        <w:rPr>
          <w:rFonts w:ascii="Palatino Linotype" w:eastAsia="Palatino Linotype" w:hAnsi="Palatino Linotype" w:cs="Palatino Linotype"/>
          <w:b/>
        </w:rPr>
        <w:t xml:space="preserve">10819/INFOEM/IP/RR/2025 </w:t>
      </w:r>
      <w:r w:rsidRPr="00DE3591">
        <w:rPr>
          <w:rFonts w:ascii="Palatino Linotype" w:eastAsia="Palatino Linotype" w:hAnsi="Palatino Linotype" w:cs="Palatino Linotype"/>
        </w:rPr>
        <w:t xml:space="preserve">por lo que, en términos del Considerando Cuarto de esta resolución, se </w:t>
      </w:r>
      <w:r w:rsidRPr="00DE3591">
        <w:rPr>
          <w:rFonts w:ascii="Palatino Linotype" w:eastAsia="Palatino Linotype" w:hAnsi="Palatino Linotype" w:cs="Palatino Linotype"/>
          <w:b/>
        </w:rPr>
        <w:t>CONFIRMA</w:t>
      </w:r>
      <w:r w:rsidRPr="00DE3591">
        <w:rPr>
          <w:rFonts w:ascii="Palatino Linotype" w:eastAsia="Palatino Linotype" w:hAnsi="Palatino Linotype" w:cs="Palatino Linotype"/>
        </w:rPr>
        <w:t xml:space="preserve"> la respuesta del </w:t>
      </w:r>
      <w:r w:rsidRPr="00DE3591">
        <w:rPr>
          <w:rFonts w:ascii="Palatino Linotype" w:eastAsia="Palatino Linotype" w:hAnsi="Palatino Linotype" w:cs="Palatino Linotype"/>
          <w:b/>
        </w:rPr>
        <w:t>SUJETO OBLIGADO.</w:t>
      </w:r>
    </w:p>
    <w:p w14:paraId="1E7009AB" w14:textId="77777777" w:rsidR="00CA2DD9" w:rsidRPr="00DE3591" w:rsidRDefault="00CA2DD9" w:rsidP="00CA2DD9">
      <w:pPr>
        <w:spacing w:after="0" w:line="360" w:lineRule="auto"/>
        <w:jc w:val="both"/>
        <w:rPr>
          <w:rFonts w:ascii="Palatino Linotype" w:eastAsia="Palatino Linotype" w:hAnsi="Palatino Linotype" w:cs="Palatino Linotype"/>
        </w:rPr>
      </w:pPr>
      <w:r w:rsidRPr="00DE3591">
        <w:rPr>
          <w:rFonts w:ascii="Palatino Linotype" w:eastAsia="Palatino Linotype" w:hAnsi="Palatino Linotype" w:cs="Palatino Linotype"/>
        </w:rPr>
        <w:t xml:space="preserve"> </w:t>
      </w:r>
    </w:p>
    <w:p w14:paraId="4B2F96CC" w14:textId="77777777" w:rsidR="00CA2DD9" w:rsidRPr="00DE3591" w:rsidRDefault="00CA2DD9" w:rsidP="00CA2DD9">
      <w:pPr>
        <w:spacing w:after="0" w:line="360" w:lineRule="auto"/>
        <w:ind w:right="51"/>
        <w:jc w:val="both"/>
        <w:rPr>
          <w:rFonts w:ascii="Palatino Linotype" w:eastAsia="Palatino Linotype" w:hAnsi="Palatino Linotype" w:cs="Palatino Linotype"/>
        </w:rPr>
      </w:pPr>
      <w:r w:rsidRPr="00DE3591">
        <w:rPr>
          <w:rFonts w:ascii="Palatino Linotype" w:eastAsia="Palatino Linotype" w:hAnsi="Palatino Linotype" w:cs="Palatino Linotype"/>
          <w:b/>
        </w:rPr>
        <w:t>SEGUNDO. NOTIFÍQUESE </w:t>
      </w:r>
      <w:r w:rsidRPr="00DE3591">
        <w:rPr>
          <w:rFonts w:ascii="Palatino Linotype" w:eastAsia="Palatino Linotype" w:hAnsi="Palatino Linotype" w:cs="Palatino Linotype"/>
        </w:rPr>
        <w:t xml:space="preserve">vía SAIMEX la presente resolución al Titular de la Unidad de Transparencia del </w:t>
      </w:r>
      <w:r w:rsidRPr="00DE3591">
        <w:rPr>
          <w:rFonts w:ascii="Palatino Linotype" w:eastAsia="Palatino Linotype" w:hAnsi="Palatino Linotype" w:cs="Palatino Linotype"/>
          <w:b/>
        </w:rPr>
        <w:t>SUJETO OBLIGADO</w:t>
      </w:r>
      <w:r w:rsidRPr="00DE3591">
        <w:rPr>
          <w:rFonts w:ascii="Palatino Linotype" w:eastAsia="Palatino Linotype" w:hAnsi="Palatino Linotype" w:cs="Palatino Linotype"/>
        </w:rPr>
        <w:t>, para su conocimiento.</w:t>
      </w:r>
    </w:p>
    <w:p w14:paraId="7BB8FA5B" w14:textId="77777777" w:rsidR="00CA2DD9" w:rsidRPr="00DE3591" w:rsidRDefault="00CA2DD9" w:rsidP="00CA2DD9">
      <w:pPr>
        <w:spacing w:after="0" w:line="360" w:lineRule="auto"/>
        <w:ind w:right="51"/>
        <w:jc w:val="both"/>
        <w:rPr>
          <w:rFonts w:ascii="Palatino Linotype" w:eastAsia="Palatino Linotype" w:hAnsi="Palatino Linotype" w:cs="Palatino Linotype"/>
        </w:rPr>
      </w:pPr>
    </w:p>
    <w:p w14:paraId="026964A2" w14:textId="77777777" w:rsidR="00CA2DD9" w:rsidRPr="00DE3591" w:rsidRDefault="00CA2DD9" w:rsidP="00CA2DD9">
      <w:pPr>
        <w:spacing w:after="0" w:line="360" w:lineRule="auto"/>
        <w:ind w:right="51"/>
        <w:jc w:val="both"/>
        <w:rPr>
          <w:rFonts w:ascii="Palatino Linotype" w:eastAsia="Palatino Linotype" w:hAnsi="Palatino Linotype" w:cs="Palatino Linotype"/>
        </w:rPr>
      </w:pPr>
      <w:r w:rsidRPr="00DE3591">
        <w:rPr>
          <w:rFonts w:ascii="Palatino Linotype" w:eastAsia="Palatino Linotype" w:hAnsi="Palatino Linotype" w:cs="Palatino Linotype"/>
          <w:b/>
        </w:rPr>
        <w:t>TERCERO. NOTIFÍQUESE </w:t>
      </w:r>
      <w:r w:rsidRPr="00DE3591">
        <w:rPr>
          <w:rFonts w:ascii="Palatino Linotype" w:eastAsia="Palatino Linotype" w:hAnsi="Palatino Linotype" w:cs="Palatino Linotype"/>
        </w:rPr>
        <w:t>vía SAIMEX</w:t>
      </w:r>
      <w:r w:rsidRPr="00DE3591">
        <w:rPr>
          <w:rFonts w:ascii="Palatino Linotype" w:eastAsia="Palatino Linotype" w:hAnsi="Palatino Linotype" w:cs="Palatino Linotype"/>
          <w:b/>
        </w:rPr>
        <w:t xml:space="preserve"> </w:t>
      </w:r>
      <w:r w:rsidRPr="00DE3591">
        <w:rPr>
          <w:rFonts w:ascii="Palatino Linotype" w:eastAsia="Palatino Linotype" w:hAnsi="Palatino Linotype" w:cs="Palatino Linotype"/>
        </w:rPr>
        <w:t>a</w:t>
      </w:r>
      <w:r w:rsidRPr="00DE3591">
        <w:rPr>
          <w:rFonts w:ascii="Palatino Linotype" w:eastAsia="Palatino Linotype" w:hAnsi="Palatino Linotype" w:cs="Palatino Linotype"/>
          <w:b/>
        </w:rPr>
        <w:t xml:space="preserve"> LA PARTE RECURRENTE</w:t>
      </w:r>
      <w:r w:rsidRPr="00DE3591">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556935AD" w14:textId="77777777" w:rsidR="00CA2DD9" w:rsidRPr="00DE3591" w:rsidRDefault="00CA2DD9" w:rsidP="00BD610E">
      <w:pPr>
        <w:pBdr>
          <w:top w:val="nil"/>
          <w:left w:val="nil"/>
          <w:bottom w:val="nil"/>
          <w:right w:val="nil"/>
          <w:between w:val="nil"/>
        </w:pBdr>
        <w:spacing w:after="0" w:line="360" w:lineRule="auto"/>
        <w:ind w:right="134"/>
        <w:jc w:val="both"/>
        <w:rPr>
          <w:rFonts w:ascii="Palatino Linotype" w:eastAsia="Palatino Linotype" w:hAnsi="Palatino Linotype" w:cs="Palatino Linotype"/>
        </w:rPr>
      </w:pPr>
    </w:p>
    <w:p w14:paraId="0BC14E49" w14:textId="5EED1431" w:rsidR="00111532" w:rsidRPr="00EA6E6B" w:rsidRDefault="007268C0" w:rsidP="00BD610E">
      <w:pPr>
        <w:spacing w:after="0" w:line="360" w:lineRule="auto"/>
        <w:ind w:right="-93"/>
        <w:jc w:val="both"/>
        <w:rPr>
          <w:rFonts w:ascii="Palatino Linotype" w:eastAsia="Palatino Linotype" w:hAnsi="Palatino Linotype" w:cs="Palatino Linotype"/>
        </w:rPr>
      </w:pPr>
      <w:bookmarkStart w:id="4" w:name="_heading=h.jm729bhb23qj" w:colFirst="0" w:colLast="0"/>
      <w:bookmarkEnd w:id="4"/>
      <w:r w:rsidRPr="00DE359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w:t>
      </w:r>
      <w:r w:rsidR="00584F2C" w:rsidRPr="00DE3591">
        <w:rPr>
          <w:rFonts w:ascii="Palatino Linotype" w:eastAsia="Palatino Linotype" w:hAnsi="Palatino Linotype" w:cs="Palatino Linotype"/>
        </w:rPr>
        <w:t>DÉCIMA</w:t>
      </w:r>
      <w:r w:rsidR="008F0F2C" w:rsidRPr="00DE3591">
        <w:rPr>
          <w:rFonts w:ascii="Palatino Linotype" w:eastAsia="Palatino Linotype" w:hAnsi="Palatino Linotype" w:cs="Palatino Linotype"/>
        </w:rPr>
        <w:t xml:space="preserve"> SEGUNDA</w:t>
      </w:r>
      <w:r w:rsidR="00584F2C" w:rsidRPr="00DE3591">
        <w:rPr>
          <w:rFonts w:ascii="Palatino Linotype" w:eastAsia="Palatino Linotype" w:hAnsi="Palatino Linotype" w:cs="Palatino Linotype"/>
        </w:rPr>
        <w:t xml:space="preserve"> SESIÓN</w:t>
      </w:r>
      <w:r w:rsidR="00281EE2" w:rsidRPr="00DE3591">
        <w:rPr>
          <w:rFonts w:ascii="Palatino Linotype" w:eastAsia="Palatino Linotype" w:hAnsi="Palatino Linotype" w:cs="Palatino Linotype"/>
        </w:rPr>
        <w:t xml:space="preserve"> ORDINARIA CELEBRADA EL </w:t>
      </w:r>
      <w:r w:rsidR="008F0F2C" w:rsidRPr="00DE3591">
        <w:rPr>
          <w:rFonts w:ascii="Palatino Linotype" w:eastAsia="Palatino Linotype" w:hAnsi="Palatino Linotype" w:cs="Palatino Linotype"/>
        </w:rPr>
        <w:t>OCHO</w:t>
      </w:r>
      <w:r w:rsidR="00BD610E" w:rsidRPr="00DE3591">
        <w:rPr>
          <w:rFonts w:ascii="Palatino Linotype" w:eastAsia="Palatino Linotype" w:hAnsi="Palatino Linotype" w:cs="Palatino Linotype"/>
        </w:rPr>
        <w:t xml:space="preserve"> </w:t>
      </w:r>
      <w:r w:rsidRPr="00DE3591">
        <w:rPr>
          <w:rFonts w:ascii="Palatino Linotype" w:eastAsia="Palatino Linotype" w:hAnsi="Palatino Linotype" w:cs="Palatino Linotype"/>
        </w:rPr>
        <w:t xml:space="preserve">DE </w:t>
      </w:r>
      <w:r w:rsidR="008F0F2C" w:rsidRPr="00DE3591">
        <w:rPr>
          <w:rFonts w:ascii="Palatino Linotype" w:eastAsia="Palatino Linotype" w:hAnsi="Palatino Linotype" w:cs="Palatino Linotype"/>
        </w:rPr>
        <w:t>ABRIL</w:t>
      </w:r>
      <w:r w:rsidR="00281EE2" w:rsidRPr="00DE3591">
        <w:rPr>
          <w:rFonts w:ascii="Palatino Linotype" w:eastAsia="Palatino Linotype" w:hAnsi="Palatino Linotype" w:cs="Palatino Linotype"/>
        </w:rPr>
        <w:t xml:space="preserve"> </w:t>
      </w:r>
      <w:r w:rsidRPr="00DE3591">
        <w:rPr>
          <w:rFonts w:ascii="Palatino Linotype" w:eastAsia="Palatino Linotype" w:hAnsi="Palatino Linotype" w:cs="Palatino Linotype"/>
        </w:rPr>
        <w:t>DE DOS MIL VEINTI</w:t>
      </w:r>
      <w:r w:rsidR="00841B36" w:rsidRPr="00DE3591">
        <w:rPr>
          <w:rFonts w:ascii="Palatino Linotype" w:eastAsia="Palatino Linotype" w:hAnsi="Palatino Linotype" w:cs="Palatino Linotype"/>
        </w:rPr>
        <w:t>SÉIS,</w:t>
      </w:r>
      <w:r w:rsidRPr="00DE3591">
        <w:rPr>
          <w:rFonts w:ascii="Palatino Linotype" w:eastAsia="Palatino Linotype" w:hAnsi="Palatino Linotype" w:cs="Palatino Linotype"/>
        </w:rPr>
        <w:t xml:space="preserve"> ANTE EL SECRETARIO TÉCNICO DEL PLENO ALEXIS TAPIA RAMÍREZ.</w:t>
      </w:r>
    </w:p>
    <w:p w14:paraId="11E50277"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199C4EB3"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1C83D6BC"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08D1BC7F"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71391193"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35643282"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5FF273AD"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734C9481"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5BE9FED7"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3AE26030" w14:textId="77777777" w:rsidR="00111532" w:rsidRPr="00EA6E6B" w:rsidRDefault="00111532" w:rsidP="00BD610E">
      <w:pPr>
        <w:spacing w:after="0" w:line="360" w:lineRule="auto"/>
        <w:ind w:right="49"/>
        <w:jc w:val="both"/>
        <w:rPr>
          <w:rFonts w:ascii="Palatino Linotype" w:eastAsia="Palatino Linotype" w:hAnsi="Palatino Linotype" w:cs="Palatino Linotype"/>
        </w:rPr>
      </w:pPr>
    </w:p>
    <w:p w14:paraId="22F7B546"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13F20EAE"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4829F14B"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0C1A9A0C"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739482FE"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237232CD"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6F13A4EE"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5FAB4315"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483969F3"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5DA269A4"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3ABB94AA"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494320AA"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2F48EA9B"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p w14:paraId="1B5D15C7" w14:textId="77777777" w:rsidR="00903DD8" w:rsidRPr="00EA6E6B" w:rsidRDefault="00903DD8" w:rsidP="00BD610E">
      <w:pPr>
        <w:spacing w:after="0" w:line="360" w:lineRule="auto"/>
        <w:ind w:right="49"/>
        <w:jc w:val="both"/>
        <w:rPr>
          <w:rFonts w:ascii="Palatino Linotype" w:eastAsia="Palatino Linotype" w:hAnsi="Palatino Linotype" w:cs="Palatino Linotype"/>
        </w:rPr>
      </w:pPr>
    </w:p>
    <w:sectPr w:rsidR="00903DD8" w:rsidRPr="00EA6E6B">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8F98" w14:textId="77777777" w:rsidR="002D32F7" w:rsidRDefault="002D32F7">
      <w:pPr>
        <w:spacing w:after="0" w:line="240" w:lineRule="auto"/>
      </w:pPr>
      <w:r>
        <w:separator/>
      </w:r>
    </w:p>
  </w:endnote>
  <w:endnote w:type="continuationSeparator" w:id="0">
    <w:p w14:paraId="20D66A64" w14:textId="77777777" w:rsidR="002D32F7" w:rsidRDefault="002D3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C237" w14:textId="0A7BEB2E" w:rsidR="004A6D10" w:rsidRDefault="004A6D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D6F73">
      <w:rPr>
        <w:b/>
        <w:noProof/>
        <w:color w:val="000000"/>
        <w:sz w:val="24"/>
        <w:szCs w:val="24"/>
      </w:rPr>
      <w:t>34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D6F73">
      <w:rPr>
        <w:b/>
        <w:noProof/>
        <w:color w:val="000000"/>
        <w:sz w:val="24"/>
        <w:szCs w:val="24"/>
      </w:rPr>
      <w:t>36</w:t>
    </w:r>
    <w:r>
      <w:rPr>
        <w:b/>
        <w:color w:val="000000"/>
        <w:sz w:val="24"/>
        <w:szCs w:val="24"/>
      </w:rPr>
      <w:fldChar w:fldCharType="end"/>
    </w:r>
  </w:p>
  <w:p w14:paraId="249A6D42" w14:textId="77777777" w:rsidR="004A6D10" w:rsidRDefault="004A6D1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5778" w14:textId="142BA264" w:rsidR="004A6D10" w:rsidRDefault="004A6D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D6F7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D6F73">
      <w:rPr>
        <w:b/>
        <w:noProof/>
        <w:color w:val="000000"/>
        <w:sz w:val="24"/>
        <w:szCs w:val="24"/>
      </w:rPr>
      <w:t>36</w:t>
    </w:r>
    <w:r>
      <w:rPr>
        <w:b/>
        <w:color w:val="000000"/>
        <w:sz w:val="24"/>
        <w:szCs w:val="24"/>
      </w:rPr>
      <w:fldChar w:fldCharType="end"/>
    </w:r>
  </w:p>
  <w:p w14:paraId="73CE73BA" w14:textId="77777777" w:rsidR="004A6D10" w:rsidRDefault="004A6D1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59D54" w14:textId="77777777" w:rsidR="002D32F7" w:rsidRDefault="002D32F7">
      <w:pPr>
        <w:spacing w:after="0" w:line="240" w:lineRule="auto"/>
      </w:pPr>
      <w:r>
        <w:separator/>
      </w:r>
    </w:p>
  </w:footnote>
  <w:footnote w:type="continuationSeparator" w:id="0">
    <w:p w14:paraId="5E2A6CE4" w14:textId="77777777" w:rsidR="002D32F7" w:rsidRDefault="002D32F7">
      <w:pPr>
        <w:spacing w:after="0" w:line="240" w:lineRule="auto"/>
      </w:pPr>
      <w:r>
        <w:continuationSeparator/>
      </w:r>
    </w:p>
  </w:footnote>
  <w:footnote w:id="1">
    <w:p w14:paraId="684AA90E" w14:textId="77777777" w:rsidR="00CA2DD9" w:rsidRDefault="00CA2DD9" w:rsidP="00CA2DD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D8AFA" w14:textId="77777777" w:rsidR="004A6D10" w:rsidRDefault="004A6D10">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1ACAE6E" wp14:editId="68AC9A55">
          <wp:simplePos x="0" y="0"/>
          <wp:positionH relativeFrom="column">
            <wp:posOffset>-717547</wp:posOffset>
          </wp:positionH>
          <wp:positionV relativeFrom="paragraph">
            <wp:posOffset>-402586</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4A6D10" w14:paraId="7B9E895B" w14:textId="77777777">
      <w:tc>
        <w:tcPr>
          <w:tcW w:w="2551" w:type="dxa"/>
          <w:vAlign w:val="center"/>
        </w:tcPr>
        <w:p w14:paraId="26998ACA"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Recurso de Revisión:</w:t>
          </w:r>
        </w:p>
      </w:tc>
      <w:tc>
        <w:tcPr>
          <w:tcW w:w="3052" w:type="dxa"/>
          <w:vAlign w:val="center"/>
        </w:tcPr>
        <w:p w14:paraId="6B6E256C" w14:textId="5361337D" w:rsidR="004A6D10" w:rsidRPr="001C0E07" w:rsidRDefault="004A6D10"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bCs/>
              <w:sz w:val="20"/>
            </w:rPr>
            <w:t>10819/INFOEM/IP/RR/2025</w:t>
          </w:r>
        </w:p>
      </w:tc>
    </w:tr>
    <w:tr w:rsidR="004A6D10" w14:paraId="517C1E5B" w14:textId="77777777">
      <w:trPr>
        <w:trHeight w:val="228"/>
      </w:trPr>
      <w:tc>
        <w:tcPr>
          <w:tcW w:w="2551" w:type="dxa"/>
          <w:vAlign w:val="center"/>
        </w:tcPr>
        <w:p w14:paraId="74EB9DE2" w14:textId="0BC40ED7" w:rsidR="004A6D10" w:rsidRPr="001C0E07" w:rsidRDefault="004A6D10"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Sujeto obligado:</w:t>
          </w:r>
        </w:p>
      </w:tc>
      <w:tc>
        <w:tcPr>
          <w:tcW w:w="3052" w:type="dxa"/>
          <w:vAlign w:val="center"/>
        </w:tcPr>
        <w:p w14:paraId="0E14DD57" w14:textId="140C1D37" w:rsidR="004A6D10" w:rsidRPr="001C0E07" w:rsidRDefault="004A6D10" w:rsidP="00841B3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Instituto de Transparencia, Acceso a la Información Pública y Protección de Datos Personales del Estado de México y Municipios</w:t>
          </w:r>
        </w:p>
      </w:tc>
    </w:tr>
    <w:tr w:rsidR="004A6D10" w14:paraId="7E3E43B4" w14:textId="77777777">
      <w:tc>
        <w:tcPr>
          <w:tcW w:w="2551" w:type="dxa"/>
          <w:vAlign w:val="center"/>
        </w:tcPr>
        <w:p w14:paraId="21A57B67"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Comisionada ponente:</w:t>
          </w:r>
        </w:p>
      </w:tc>
      <w:tc>
        <w:tcPr>
          <w:tcW w:w="3052" w:type="dxa"/>
          <w:vAlign w:val="center"/>
        </w:tcPr>
        <w:p w14:paraId="647BD8EF"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Guadalupe Ramírez Peña</w:t>
          </w:r>
        </w:p>
      </w:tc>
    </w:tr>
  </w:tbl>
  <w:p w14:paraId="35B84C66" w14:textId="77777777" w:rsidR="004A6D10" w:rsidRDefault="004A6D1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3A1D" w14:textId="77777777" w:rsidR="004A6D10" w:rsidRDefault="004A6D10">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0A9B00E" wp14:editId="48D3E89F">
          <wp:simplePos x="0" y="0"/>
          <wp:positionH relativeFrom="column">
            <wp:posOffset>-761289</wp:posOffset>
          </wp:positionH>
          <wp:positionV relativeFrom="paragraph">
            <wp:posOffset>-183512</wp:posOffset>
          </wp:positionV>
          <wp:extent cx="7809876" cy="10165823"/>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62" w:type="dxa"/>
      <w:tblInd w:w="3611" w:type="dxa"/>
      <w:tblLayout w:type="fixed"/>
      <w:tblLook w:val="0400" w:firstRow="0" w:lastRow="0" w:firstColumn="0" w:lastColumn="0" w:noHBand="0" w:noVBand="1"/>
    </w:tblPr>
    <w:tblGrid>
      <w:gridCol w:w="2578"/>
      <w:gridCol w:w="3084"/>
    </w:tblGrid>
    <w:tr w:rsidR="004A6D10" w14:paraId="2F57A214" w14:textId="77777777" w:rsidTr="00F04FE9">
      <w:trPr>
        <w:trHeight w:val="169"/>
      </w:trPr>
      <w:tc>
        <w:tcPr>
          <w:tcW w:w="2578" w:type="dxa"/>
          <w:vAlign w:val="center"/>
        </w:tcPr>
        <w:p w14:paraId="0DBB41C1"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Recurso de Revisión:</w:t>
          </w:r>
        </w:p>
      </w:tc>
      <w:tc>
        <w:tcPr>
          <w:tcW w:w="3084" w:type="dxa"/>
          <w:vAlign w:val="center"/>
        </w:tcPr>
        <w:p w14:paraId="63D64D12" w14:textId="5DB26DEE" w:rsidR="004A6D10" w:rsidRPr="001C0E07" w:rsidRDefault="004A6D10" w:rsidP="008F0F2C">
          <w:pPr>
            <w:pBdr>
              <w:top w:val="nil"/>
              <w:left w:val="nil"/>
              <w:bottom w:val="nil"/>
              <w:right w:val="nil"/>
              <w:between w:val="nil"/>
            </w:pBdr>
            <w:tabs>
              <w:tab w:val="center" w:pos="4419"/>
              <w:tab w:val="right" w:pos="8838"/>
            </w:tabs>
            <w:spacing w:after="0" w:line="240" w:lineRule="auto"/>
            <w:ind w:right="-115"/>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bCs/>
              <w:sz w:val="20"/>
            </w:rPr>
            <w:t>10819/INFOEM/IP/RR/2025</w:t>
          </w:r>
        </w:p>
      </w:tc>
    </w:tr>
    <w:tr w:rsidR="004A6D10" w14:paraId="0D359C28" w14:textId="77777777" w:rsidTr="00F04FE9">
      <w:trPr>
        <w:trHeight w:val="169"/>
      </w:trPr>
      <w:tc>
        <w:tcPr>
          <w:tcW w:w="2578" w:type="dxa"/>
          <w:vAlign w:val="center"/>
        </w:tcPr>
        <w:p w14:paraId="4FF19A61"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Recurrente:</w:t>
          </w:r>
        </w:p>
      </w:tc>
      <w:tc>
        <w:tcPr>
          <w:tcW w:w="3084" w:type="dxa"/>
          <w:vAlign w:val="center"/>
        </w:tcPr>
        <w:p w14:paraId="02BC4F29" w14:textId="053BEEAE" w:rsidR="004A6D10" w:rsidRPr="001C0E07" w:rsidRDefault="005D6F73" w:rsidP="005D6F73">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sz w:val="20"/>
            </w:rPr>
          </w:pPr>
          <w:r>
            <w:rPr>
              <w:rFonts w:ascii="Palatino Linotype" w:eastAsia="Palatino Linotype" w:hAnsi="Palatino Linotype" w:cs="Palatino Linotype"/>
              <w:b/>
              <w:color w:val="000000"/>
              <w:sz w:val="20"/>
            </w:rPr>
            <w:t>XXX XXXXXXX</w:t>
          </w:r>
        </w:p>
      </w:tc>
    </w:tr>
    <w:tr w:rsidR="004A6D10" w14:paraId="6E3F8E15" w14:textId="77777777" w:rsidTr="00F04FE9">
      <w:trPr>
        <w:trHeight w:val="128"/>
      </w:trPr>
      <w:tc>
        <w:tcPr>
          <w:tcW w:w="2578" w:type="dxa"/>
          <w:vAlign w:val="center"/>
        </w:tcPr>
        <w:p w14:paraId="669F847B" w14:textId="58AAC997" w:rsidR="004A6D10" w:rsidRPr="001C0E07" w:rsidRDefault="004A6D10" w:rsidP="00F04FE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Sujeto obligado:</w:t>
          </w:r>
        </w:p>
      </w:tc>
      <w:tc>
        <w:tcPr>
          <w:tcW w:w="3084" w:type="dxa"/>
          <w:vAlign w:val="center"/>
        </w:tcPr>
        <w:p w14:paraId="10AA3F00" w14:textId="1CC463AF" w:rsidR="004A6D10" w:rsidRPr="001C0E07" w:rsidRDefault="004A6D1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sz w:val="20"/>
            </w:rPr>
          </w:pPr>
          <w:r w:rsidRPr="001C0E07">
            <w:rPr>
              <w:rFonts w:ascii="Palatino Linotype" w:eastAsia="Times New Roman" w:hAnsi="Palatino Linotype" w:cs="Times New Roman"/>
              <w:b/>
              <w:bCs/>
              <w:sz w:val="20"/>
              <w:szCs w:val="14"/>
            </w:rPr>
            <w:t>Instituto de Transparencia, Acceso a la Información Pública y Protección de Datos Personales del Estado de México y Municipios</w:t>
          </w:r>
          <w:r w:rsidRPr="001C0E07">
            <w:rPr>
              <w:rFonts w:ascii="Palatino Linotype" w:eastAsia="Palatino Linotype" w:hAnsi="Palatino Linotype" w:cs="Palatino Linotype"/>
              <w:b/>
              <w:color w:val="000000"/>
              <w:sz w:val="20"/>
            </w:rPr>
            <w:t xml:space="preserve"> </w:t>
          </w:r>
        </w:p>
      </w:tc>
    </w:tr>
    <w:tr w:rsidR="004A6D10" w14:paraId="782B2503" w14:textId="77777777" w:rsidTr="00F04FE9">
      <w:trPr>
        <w:trHeight w:val="169"/>
      </w:trPr>
      <w:tc>
        <w:tcPr>
          <w:tcW w:w="2578" w:type="dxa"/>
          <w:vAlign w:val="center"/>
        </w:tcPr>
        <w:p w14:paraId="173AA67B"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Comisionada ponente:</w:t>
          </w:r>
        </w:p>
      </w:tc>
      <w:tc>
        <w:tcPr>
          <w:tcW w:w="3084" w:type="dxa"/>
          <w:vAlign w:val="center"/>
        </w:tcPr>
        <w:p w14:paraId="4011710F" w14:textId="77777777" w:rsidR="004A6D10" w:rsidRPr="001C0E07" w:rsidRDefault="004A6D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rPr>
          </w:pPr>
          <w:r w:rsidRPr="001C0E07">
            <w:rPr>
              <w:rFonts w:ascii="Palatino Linotype" w:eastAsia="Palatino Linotype" w:hAnsi="Palatino Linotype" w:cs="Palatino Linotype"/>
              <w:b/>
              <w:color w:val="000000"/>
              <w:sz w:val="20"/>
            </w:rPr>
            <w:t>Guadalupe Ramírez Peña</w:t>
          </w:r>
        </w:p>
      </w:tc>
    </w:tr>
  </w:tbl>
  <w:p w14:paraId="2A37D8C1" w14:textId="77777777" w:rsidR="004A6D10" w:rsidRDefault="004A6D10">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E00F2"/>
    <w:multiLevelType w:val="hybridMultilevel"/>
    <w:tmpl w:val="39365CA4"/>
    <w:lvl w:ilvl="0" w:tplc="00504234">
      <w:start w:val="2"/>
      <w:numFmt w:val="bullet"/>
      <w:lvlText w:val="-"/>
      <w:lvlJc w:val="left"/>
      <w:pPr>
        <w:ind w:left="1080" w:hanging="360"/>
      </w:pPr>
      <w:rPr>
        <w:rFonts w:ascii="Palatino Linotype" w:eastAsia="Palatino Linotype" w:hAnsi="Palatino Linotype" w:cs="Palatino Linotype"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4924837"/>
    <w:multiLevelType w:val="hybridMultilevel"/>
    <w:tmpl w:val="6A441DD6"/>
    <w:lvl w:ilvl="0" w:tplc="F9AAB42C">
      <w:start w:val="2"/>
      <w:numFmt w:val="bullet"/>
      <w:lvlText w:val="-"/>
      <w:lvlJc w:val="left"/>
      <w:pPr>
        <w:ind w:left="1080" w:hanging="360"/>
      </w:pPr>
      <w:rPr>
        <w:rFonts w:ascii="Palatino Linotype" w:eastAsia="Palatino Linotype" w:hAnsi="Palatino Linotype" w:cs="Palatino Linotype"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27CA3C37"/>
    <w:multiLevelType w:val="hybridMultilevel"/>
    <w:tmpl w:val="B2782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E00849"/>
    <w:multiLevelType w:val="hybridMultilevel"/>
    <w:tmpl w:val="31643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2358D"/>
    <w:multiLevelType w:val="multilevel"/>
    <w:tmpl w:val="24645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803E0F"/>
    <w:multiLevelType w:val="multilevel"/>
    <w:tmpl w:val="2604E00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284E09"/>
    <w:multiLevelType w:val="multilevel"/>
    <w:tmpl w:val="0A302E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C03322"/>
    <w:multiLevelType w:val="hybridMultilevel"/>
    <w:tmpl w:val="9D5A2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400A87"/>
    <w:multiLevelType w:val="multilevel"/>
    <w:tmpl w:val="3FBC68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61B077CD"/>
    <w:multiLevelType w:val="hybridMultilevel"/>
    <w:tmpl w:val="A0F679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A52CB0"/>
    <w:multiLevelType w:val="hybridMultilevel"/>
    <w:tmpl w:val="27EA9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DD6D6A"/>
    <w:multiLevelType w:val="hybridMultilevel"/>
    <w:tmpl w:val="825ED9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84A05C5"/>
    <w:multiLevelType w:val="hybridMultilevel"/>
    <w:tmpl w:val="98E86F8E"/>
    <w:lvl w:ilvl="0" w:tplc="74A8AC1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878748A"/>
    <w:multiLevelType w:val="multilevel"/>
    <w:tmpl w:val="4A9EF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7"/>
  </w:num>
  <w:num w:numId="3">
    <w:abstractNumId w:val="6"/>
  </w:num>
  <w:num w:numId="4">
    <w:abstractNumId w:val="13"/>
  </w:num>
  <w:num w:numId="5">
    <w:abstractNumId w:val="12"/>
  </w:num>
  <w:num w:numId="6">
    <w:abstractNumId w:val="0"/>
  </w:num>
  <w:num w:numId="7">
    <w:abstractNumId w:val="8"/>
  </w:num>
  <w:num w:numId="8">
    <w:abstractNumId w:val="2"/>
  </w:num>
  <w:num w:numId="9">
    <w:abstractNumId w:val="10"/>
  </w:num>
  <w:num w:numId="10">
    <w:abstractNumId w:val="4"/>
  </w:num>
  <w:num w:numId="11">
    <w:abstractNumId w:val="11"/>
  </w:num>
  <w:num w:numId="12">
    <w:abstractNumId w:val="1"/>
  </w:num>
  <w:num w:numId="13">
    <w:abstractNumId w:val="9"/>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32"/>
    <w:rsid w:val="00042295"/>
    <w:rsid w:val="000429D8"/>
    <w:rsid w:val="000470C0"/>
    <w:rsid w:val="00081B9F"/>
    <w:rsid w:val="00095B33"/>
    <w:rsid w:val="000A7431"/>
    <w:rsid w:val="000C1BE9"/>
    <w:rsid w:val="000D7317"/>
    <w:rsid w:val="000F173D"/>
    <w:rsid w:val="000F37C8"/>
    <w:rsid w:val="000F6CD2"/>
    <w:rsid w:val="001050FE"/>
    <w:rsid w:val="00111532"/>
    <w:rsid w:val="00121FAA"/>
    <w:rsid w:val="00130C4C"/>
    <w:rsid w:val="00132E82"/>
    <w:rsid w:val="00150B66"/>
    <w:rsid w:val="001C0E07"/>
    <w:rsid w:val="001C7AB4"/>
    <w:rsid w:val="001D735D"/>
    <w:rsid w:val="00246485"/>
    <w:rsid w:val="00247B31"/>
    <w:rsid w:val="002570F0"/>
    <w:rsid w:val="002664D4"/>
    <w:rsid w:val="00281A00"/>
    <w:rsid w:val="00281EE2"/>
    <w:rsid w:val="002C3F3A"/>
    <w:rsid w:val="002D32F7"/>
    <w:rsid w:val="002D5CFF"/>
    <w:rsid w:val="002E365D"/>
    <w:rsid w:val="002F2CB2"/>
    <w:rsid w:val="00314084"/>
    <w:rsid w:val="003211F2"/>
    <w:rsid w:val="00325FF4"/>
    <w:rsid w:val="003516F7"/>
    <w:rsid w:val="00351DA6"/>
    <w:rsid w:val="00357D5A"/>
    <w:rsid w:val="003708EE"/>
    <w:rsid w:val="00374F2D"/>
    <w:rsid w:val="00396D18"/>
    <w:rsid w:val="003B3E0E"/>
    <w:rsid w:val="003C1A3C"/>
    <w:rsid w:val="003E5F70"/>
    <w:rsid w:val="003F421D"/>
    <w:rsid w:val="003F7B19"/>
    <w:rsid w:val="00420C0E"/>
    <w:rsid w:val="004400CB"/>
    <w:rsid w:val="0044566E"/>
    <w:rsid w:val="00452790"/>
    <w:rsid w:val="00457A0F"/>
    <w:rsid w:val="00487FA8"/>
    <w:rsid w:val="00497986"/>
    <w:rsid w:val="004A0072"/>
    <w:rsid w:val="004A6D10"/>
    <w:rsid w:val="004C2D4A"/>
    <w:rsid w:val="004C7B72"/>
    <w:rsid w:val="004D18E8"/>
    <w:rsid w:val="004D375A"/>
    <w:rsid w:val="004E71B7"/>
    <w:rsid w:val="004F5419"/>
    <w:rsid w:val="00511D2E"/>
    <w:rsid w:val="00521BF8"/>
    <w:rsid w:val="00522A3C"/>
    <w:rsid w:val="00563232"/>
    <w:rsid w:val="00584285"/>
    <w:rsid w:val="00584F2C"/>
    <w:rsid w:val="005964FC"/>
    <w:rsid w:val="005A0571"/>
    <w:rsid w:val="005A591A"/>
    <w:rsid w:val="005A6406"/>
    <w:rsid w:val="005A7395"/>
    <w:rsid w:val="005A74C2"/>
    <w:rsid w:val="005C464F"/>
    <w:rsid w:val="005D14E9"/>
    <w:rsid w:val="005D6F73"/>
    <w:rsid w:val="006006F7"/>
    <w:rsid w:val="00620D94"/>
    <w:rsid w:val="00631A52"/>
    <w:rsid w:val="006377EA"/>
    <w:rsid w:val="006775E6"/>
    <w:rsid w:val="00681C70"/>
    <w:rsid w:val="006960DA"/>
    <w:rsid w:val="006A5584"/>
    <w:rsid w:val="006B64E9"/>
    <w:rsid w:val="006D2B11"/>
    <w:rsid w:val="006E7920"/>
    <w:rsid w:val="006E7FCE"/>
    <w:rsid w:val="006F7845"/>
    <w:rsid w:val="00710B3C"/>
    <w:rsid w:val="007268C0"/>
    <w:rsid w:val="00761337"/>
    <w:rsid w:val="00776D32"/>
    <w:rsid w:val="00780658"/>
    <w:rsid w:val="00801C27"/>
    <w:rsid w:val="008121CB"/>
    <w:rsid w:val="00841B36"/>
    <w:rsid w:val="008622E7"/>
    <w:rsid w:val="00863063"/>
    <w:rsid w:val="008655F3"/>
    <w:rsid w:val="00890B5C"/>
    <w:rsid w:val="00895332"/>
    <w:rsid w:val="008A667A"/>
    <w:rsid w:val="008B025D"/>
    <w:rsid w:val="008B2D4E"/>
    <w:rsid w:val="008B38A0"/>
    <w:rsid w:val="008E0B74"/>
    <w:rsid w:val="008F0F2C"/>
    <w:rsid w:val="008F18E0"/>
    <w:rsid w:val="008F1B09"/>
    <w:rsid w:val="008F31F2"/>
    <w:rsid w:val="008F7E65"/>
    <w:rsid w:val="00903DD8"/>
    <w:rsid w:val="00917D30"/>
    <w:rsid w:val="0097124F"/>
    <w:rsid w:val="00971E8B"/>
    <w:rsid w:val="009A17F5"/>
    <w:rsid w:val="009A5733"/>
    <w:rsid w:val="009C217F"/>
    <w:rsid w:val="009E20CA"/>
    <w:rsid w:val="009E4804"/>
    <w:rsid w:val="009E5892"/>
    <w:rsid w:val="009F58F4"/>
    <w:rsid w:val="00A06D7D"/>
    <w:rsid w:val="00A1102A"/>
    <w:rsid w:val="00A32571"/>
    <w:rsid w:val="00A621E4"/>
    <w:rsid w:val="00A74890"/>
    <w:rsid w:val="00A837C1"/>
    <w:rsid w:val="00AA18AD"/>
    <w:rsid w:val="00AA2497"/>
    <w:rsid w:val="00AB6FEC"/>
    <w:rsid w:val="00AC3FF9"/>
    <w:rsid w:val="00AC5FF9"/>
    <w:rsid w:val="00AC7B09"/>
    <w:rsid w:val="00AD51C1"/>
    <w:rsid w:val="00AE1ECB"/>
    <w:rsid w:val="00B04DA8"/>
    <w:rsid w:val="00B05786"/>
    <w:rsid w:val="00B15E6A"/>
    <w:rsid w:val="00B17FD9"/>
    <w:rsid w:val="00B24EBB"/>
    <w:rsid w:val="00B261EE"/>
    <w:rsid w:val="00B46313"/>
    <w:rsid w:val="00B47B87"/>
    <w:rsid w:val="00B52575"/>
    <w:rsid w:val="00B53B05"/>
    <w:rsid w:val="00B628C5"/>
    <w:rsid w:val="00B641F6"/>
    <w:rsid w:val="00B66AA2"/>
    <w:rsid w:val="00BB54F4"/>
    <w:rsid w:val="00BB76CB"/>
    <w:rsid w:val="00BD112A"/>
    <w:rsid w:val="00BD610E"/>
    <w:rsid w:val="00C034F4"/>
    <w:rsid w:val="00C06335"/>
    <w:rsid w:val="00C3797D"/>
    <w:rsid w:val="00C709B8"/>
    <w:rsid w:val="00C75FBA"/>
    <w:rsid w:val="00CA2DD9"/>
    <w:rsid w:val="00CB70A4"/>
    <w:rsid w:val="00CE0326"/>
    <w:rsid w:val="00D12250"/>
    <w:rsid w:val="00D23D17"/>
    <w:rsid w:val="00D250D2"/>
    <w:rsid w:val="00D31622"/>
    <w:rsid w:val="00D359ED"/>
    <w:rsid w:val="00D50B4E"/>
    <w:rsid w:val="00D60FAE"/>
    <w:rsid w:val="00D67C4C"/>
    <w:rsid w:val="00D859BB"/>
    <w:rsid w:val="00DA5434"/>
    <w:rsid w:val="00DB59CF"/>
    <w:rsid w:val="00DB621F"/>
    <w:rsid w:val="00DD4398"/>
    <w:rsid w:val="00DE1BA7"/>
    <w:rsid w:val="00DE3591"/>
    <w:rsid w:val="00E34591"/>
    <w:rsid w:val="00E40677"/>
    <w:rsid w:val="00E63BB0"/>
    <w:rsid w:val="00E72CD7"/>
    <w:rsid w:val="00E74093"/>
    <w:rsid w:val="00E74823"/>
    <w:rsid w:val="00EA6E6B"/>
    <w:rsid w:val="00EC6833"/>
    <w:rsid w:val="00ED10E8"/>
    <w:rsid w:val="00EF1A16"/>
    <w:rsid w:val="00EF2405"/>
    <w:rsid w:val="00F009BB"/>
    <w:rsid w:val="00F04FE9"/>
    <w:rsid w:val="00F44569"/>
    <w:rsid w:val="00F46AED"/>
    <w:rsid w:val="00F50686"/>
    <w:rsid w:val="00F70366"/>
    <w:rsid w:val="00F760E1"/>
    <w:rsid w:val="00FC7A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7521A6"/>
  <w15:docId w15:val="{5BBF9D58-4D2F-49B0-9023-4DE348B9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Sinespaciado">
    <w:name w:val="No Spacing"/>
    <w:aliases w:val="Francesa,INAI,Fundamentos"/>
    <w:link w:val="SinespaciadoCar"/>
    <w:uiPriority w:val="1"/>
    <w:qFormat/>
    <w:rsid w:val="00EB53E5"/>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Fundamentos Car"/>
    <w:link w:val="Sinespaciado"/>
    <w:uiPriority w:val="1"/>
    <w:locked/>
    <w:rsid w:val="00EB53E5"/>
    <w:rPr>
      <w:rFonts w:ascii="Times New Roman" w:eastAsia="Times New Roman" w:hAnsi="Times New Roman" w:cs="Times New Roman"/>
      <w:sz w:val="24"/>
      <w:szCs w:val="24"/>
      <w:lang w:val="es-ES" w:eastAsia="es-ES"/>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paragraph" w:customStyle="1" w:styleId="Default">
    <w:name w:val="Default"/>
    <w:rsid w:val="008F0F2C"/>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384">
      <w:bodyDiv w:val="1"/>
      <w:marLeft w:val="0"/>
      <w:marRight w:val="0"/>
      <w:marTop w:val="0"/>
      <w:marBottom w:val="0"/>
      <w:divBdr>
        <w:top w:val="none" w:sz="0" w:space="0" w:color="auto"/>
        <w:left w:val="none" w:sz="0" w:space="0" w:color="auto"/>
        <w:bottom w:val="none" w:sz="0" w:space="0" w:color="auto"/>
        <w:right w:val="none" w:sz="0" w:space="0" w:color="auto"/>
      </w:divBdr>
    </w:div>
    <w:div w:id="44305402">
      <w:bodyDiv w:val="1"/>
      <w:marLeft w:val="0"/>
      <w:marRight w:val="0"/>
      <w:marTop w:val="0"/>
      <w:marBottom w:val="0"/>
      <w:divBdr>
        <w:top w:val="none" w:sz="0" w:space="0" w:color="auto"/>
        <w:left w:val="none" w:sz="0" w:space="0" w:color="auto"/>
        <w:bottom w:val="none" w:sz="0" w:space="0" w:color="auto"/>
        <w:right w:val="none" w:sz="0" w:space="0" w:color="auto"/>
      </w:divBdr>
    </w:div>
    <w:div w:id="72704896">
      <w:bodyDiv w:val="1"/>
      <w:marLeft w:val="0"/>
      <w:marRight w:val="0"/>
      <w:marTop w:val="0"/>
      <w:marBottom w:val="0"/>
      <w:divBdr>
        <w:top w:val="none" w:sz="0" w:space="0" w:color="auto"/>
        <w:left w:val="none" w:sz="0" w:space="0" w:color="auto"/>
        <w:bottom w:val="none" w:sz="0" w:space="0" w:color="auto"/>
        <w:right w:val="none" w:sz="0" w:space="0" w:color="auto"/>
      </w:divBdr>
    </w:div>
    <w:div w:id="180555417">
      <w:bodyDiv w:val="1"/>
      <w:marLeft w:val="0"/>
      <w:marRight w:val="0"/>
      <w:marTop w:val="0"/>
      <w:marBottom w:val="0"/>
      <w:divBdr>
        <w:top w:val="none" w:sz="0" w:space="0" w:color="auto"/>
        <w:left w:val="none" w:sz="0" w:space="0" w:color="auto"/>
        <w:bottom w:val="none" w:sz="0" w:space="0" w:color="auto"/>
        <w:right w:val="none" w:sz="0" w:space="0" w:color="auto"/>
      </w:divBdr>
    </w:div>
    <w:div w:id="208955542">
      <w:bodyDiv w:val="1"/>
      <w:marLeft w:val="0"/>
      <w:marRight w:val="0"/>
      <w:marTop w:val="0"/>
      <w:marBottom w:val="0"/>
      <w:divBdr>
        <w:top w:val="none" w:sz="0" w:space="0" w:color="auto"/>
        <w:left w:val="none" w:sz="0" w:space="0" w:color="auto"/>
        <w:bottom w:val="none" w:sz="0" w:space="0" w:color="auto"/>
        <w:right w:val="none" w:sz="0" w:space="0" w:color="auto"/>
      </w:divBdr>
    </w:div>
    <w:div w:id="234707210">
      <w:bodyDiv w:val="1"/>
      <w:marLeft w:val="0"/>
      <w:marRight w:val="0"/>
      <w:marTop w:val="0"/>
      <w:marBottom w:val="0"/>
      <w:divBdr>
        <w:top w:val="none" w:sz="0" w:space="0" w:color="auto"/>
        <w:left w:val="none" w:sz="0" w:space="0" w:color="auto"/>
        <w:bottom w:val="none" w:sz="0" w:space="0" w:color="auto"/>
        <w:right w:val="none" w:sz="0" w:space="0" w:color="auto"/>
      </w:divBdr>
    </w:div>
    <w:div w:id="345181114">
      <w:bodyDiv w:val="1"/>
      <w:marLeft w:val="0"/>
      <w:marRight w:val="0"/>
      <w:marTop w:val="0"/>
      <w:marBottom w:val="0"/>
      <w:divBdr>
        <w:top w:val="none" w:sz="0" w:space="0" w:color="auto"/>
        <w:left w:val="none" w:sz="0" w:space="0" w:color="auto"/>
        <w:bottom w:val="none" w:sz="0" w:space="0" w:color="auto"/>
        <w:right w:val="none" w:sz="0" w:space="0" w:color="auto"/>
      </w:divBdr>
    </w:div>
    <w:div w:id="565340281">
      <w:bodyDiv w:val="1"/>
      <w:marLeft w:val="0"/>
      <w:marRight w:val="0"/>
      <w:marTop w:val="0"/>
      <w:marBottom w:val="0"/>
      <w:divBdr>
        <w:top w:val="none" w:sz="0" w:space="0" w:color="auto"/>
        <w:left w:val="none" w:sz="0" w:space="0" w:color="auto"/>
        <w:bottom w:val="none" w:sz="0" w:space="0" w:color="auto"/>
        <w:right w:val="none" w:sz="0" w:space="0" w:color="auto"/>
      </w:divBdr>
    </w:div>
    <w:div w:id="613293914">
      <w:bodyDiv w:val="1"/>
      <w:marLeft w:val="0"/>
      <w:marRight w:val="0"/>
      <w:marTop w:val="0"/>
      <w:marBottom w:val="0"/>
      <w:divBdr>
        <w:top w:val="none" w:sz="0" w:space="0" w:color="auto"/>
        <w:left w:val="none" w:sz="0" w:space="0" w:color="auto"/>
        <w:bottom w:val="none" w:sz="0" w:space="0" w:color="auto"/>
        <w:right w:val="none" w:sz="0" w:space="0" w:color="auto"/>
      </w:divBdr>
    </w:div>
    <w:div w:id="665205517">
      <w:bodyDiv w:val="1"/>
      <w:marLeft w:val="0"/>
      <w:marRight w:val="0"/>
      <w:marTop w:val="0"/>
      <w:marBottom w:val="0"/>
      <w:divBdr>
        <w:top w:val="none" w:sz="0" w:space="0" w:color="auto"/>
        <w:left w:val="none" w:sz="0" w:space="0" w:color="auto"/>
        <w:bottom w:val="none" w:sz="0" w:space="0" w:color="auto"/>
        <w:right w:val="none" w:sz="0" w:space="0" w:color="auto"/>
      </w:divBdr>
    </w:div>
    <w:div w:id="678048884">
      <w:bodyDiv w:val="1"/>
      <w:marLeft w:val="0"/>
      <w:marRight w:val="0"/>
      <w:marTop w:val="0"/>
      <w:marBottom w:val="0"/>
      <w:divBdr>
        <w:top w:val="none" w:sz="0" w:space="0" w:color="auto"/>
        <w:left w:val="none" w:sz="0" w:space="0" w:color="auto"/>
        <w:bottom w:val="none" w:sz="0" w:space="0" w:color="auto"/>
        <w:right w:val="none" w:sz="0" w:space="0" w:color="auto"/>
      </w:divBdr>
    </w:div>
    <w:div w:id="693502592">
      <w:bodyDiv w:val="1"/>
      <w:marLeft w:val="0"/>
      <w:marRight w:val="0"/>
      <w:marTop w:val="0"/>
      <w:marBottom w:val="0"/>
      <w:divBdr>
        <w:top w:val="none" w:sz="0" w:space="0" w:color="auto"/>
        <w:left w:val="none" w:sz="0" w:space="0" w:color="auto"/>
        <w:bottom w:val="none" w:sz="0" w:space="0" w:color="auto"/>
        <w:right w:val="none" w:sz="0" w:space="0" w:color="auto"/>
      </w:divBdr>
    </w:div>
    <w:div w:id="761221934">
      <w:bodyDiv w:val="1"/>
      <w:marLeft w:val="0"/>
      <w:marRight w:val="0"/>
      <w:marTop w:val="0"/>
      <w:marBottom w:val="0"/>
      <w:divBdr>
        <w:top w:val="none" w:sz="0" w:space="0" w:color="auto"/>
        <w:left w:val="none" w:sz="0" w:space="0" w:color="auto"/>
        <w:bottom w:val="none" w:sz="0" w:space="0" w:color="auto"/>
        <w:right w:val="none" w:sz="0" w:space="0" w:color="auto"/>
      </w:divBdr>
    </w:div>
    <w:div w:id="857624822">
      <w:bodyDiv w:val="1"/>
      <w:marLeft w:val="0"/>
      <w:marRight w:val="0"/>
      <w:marTop w:val="0"/>
      <w:marBottom w:val="0"/>
      <w:divBdr>
        <w:top w:val="none" w:sz="0" w:space="0" w:color="auto"/>
        <w:left w:val="none" w:sz="0" w:space="0" w:color="auto"/>
        <w:bottom w:val="none" w:sz="0" w:space="0" w:color="auto"/>
        <w:right w:val="none" w:sz="0" w:space="0" w:color="auto"/>
      </w:divBdr>
    </w:div>
    <w:div w:id="921455504">
      <w:bodyDiv w:val="1"/>
      <w:marLeft w:val="0"/>
      <w:marRight w:val="0"/>
      <w:marTop w:val="0"/>
      <w:marBottom w:val="0"/>
      <w:divBdr>
        <w:top w:val="none" w:sz="0" w:space="0" w:color="auto"/>
        <w:left w:val="none" w:sz="0" w:space="0" w:color="auto"/>
        <w:bottom w:val="none" w:sz="0" w:space="0" w:color="auto"/>
        <w:right w:val="none" w:sz="0" w:space="0" w:color="auto"/>
      </w:divBdr>
    </w:div>
    <w:div w:id="934703867">
      <w:bodyDiv w:val="1"/>
      <w:marLeft w:val="0"/>
      <w:marRight w:val="0"/>
      <w:marTop w:val="0"/>
      <w:marBottom w:val="0"/>
      <w:divBdr>
        <w:top w:val="none" w:sz="0" w:space="0" w:color="auto"/>
        <w:left w:val="none" w:sz="0" w:space="0" w:color="auto"/>
        <w:bottom w:val="none" w:sz="0" w:space="0" w:color="auto"/>
        <w:right w:val="none" w:sz="0" w:space="0" w:color="auto"/>
      </w:divBdr>
    </w:div>
    <w:div w:id="953369205">
      <w:bodyDiv w:val="1"/>
      <w:marLeft w:val="0"/>
      <w:marRight w:val="0"/>
      <w:marTop w:val="0"/>
      <w:marBottom w:val="0"/>
      <w:divBdr>
        <w:top w:val="none" w:sz="0" w:space="0" w:color="auto"/>
        <w:left w:val="none" w:sz="0" w:space="0" w:color="auto"/>
        <w:bottom w:val="none" w:sz="0" w:space="0" w:color="auto"/>
        <w:right w:val="none" w:sz="0" w:space="0" w:color="auto"/>
      </w:divBdr>
    </w:div>
    <w:div w:id="968558417">
      <w:bodyDiv w:val="1"/>
      <w:marLeft w:val="0"/>
      <w:marRight w:val="0"/>
      <w:marTop w:val="0"/>
      <w:marBottom w:val="0"/>
      <w:divBdr>
        <w:top w:val="none" w:sz="0" w:space="0" w:color="auto"/>
        <w:left w:val="none" w:sz="0" w:space="0" w:color="auto"/>
        <w:bottom w:val="none" w:sz="0" w:space="0" w:color="auto"/>
        <w:right w:val="none" w:sz="0" w:space="0" w:color="auto"/>
      </w:divBdr>
    </w:div>
    <w:div w:id="985284513">
      <w:bodyDiv w:val="1"/>
      <w:marLeft w:val="0"/>
      <w:marRight w:val="0"/>
      <w:marTop w:val="0"/>
      <w:marBottom w:val="0"/>
      <w:divBdr>
        <w:top w:val="none" w:sz="0" w:space="0" w:color="auto"/>
        <w:left w:val="none" w:sz="0" w:space="0" w:color="auto"/>
        <w:bottom w:val="none" w:sz="0" w:space="0" w:color="auto"/>
        <w:right w:val="none" w:sz="0" w:space="0" w:color="auto"/>
      </w:divBdr>
    </w:div>
    <w:div w:id="1039357743">
      <w:bodyDiv w:val="1"/>
      <w:marLeft w:val="0"/>
      <w:marRight w:val="0"/>
      <w:marTop w:val="0"/>
      <w:marBottom w:val="0"/>
      <w:divBdr>
        <w:top w:val="none" w:sz="0" w:space="0" w:color="auto"/>
        <w:left w:val="none" w:sz="0" w:space="0" w:color="auto"/>
        <w:bottom w:val="none" w:sz="0" w:space="0" w:color="auto"/>
        <w:right w:val="none" w:sz="0" w:space="0" w:color="auto"/>
      </w:divBdr>
    </w:div>
    <w:div w:id="1195650337">
      <w:bodyDiv w:val="1"/>
      <w:marLeft w:val="0"/>
      <w:marRight w:val="0"/>
      <w:marTop w:val="0"/>
      <w:marBottom w:val="0"/>
      <w:divBdr>
        <w:top w:val="none" w:sz="0" w:space="0" w:color="auto"/>
        <w:left w:val="none" w:sz="0" w:space="0" w:color="auto"/>
        <w:bottom w:val="none" w:sz="0" w:space="0" w:color="auto"/>
        <w:right w:val="none" w:sz="0" w:space="0" w:color="auto"/>
      </w:divBdr>
    </w:div>
    <w:div w:id="1410616029">
      <w:bodyDiv w:val="1"/>
      <w:marLeft w:val="0"/>
      <w:marRight w:val="0"/>
      <w:marTop w:val="0"/>
      <w:marBottom w:val="0"/>
      <w:divBdr>
        <w:top w:val="none" w:sz="0" w:space="0" w:color="auto"/>
        <w:left w:val="none" w:sz="0" w:space="0" w:color="auto"/>
        <w:bottom w:val="none" w:sz="0" w:space="0" w:color="auto"/>
        <w:right w:val="none" w:sz="0" w:space="0" w:color="auto"/>
      </w:divBdr>
    </w:div>
    <w:div w:id="1568303748">
      <w:bodyDiv w:val="1"/>
      <w:marLeft w:val="0"/>
      <w:marRight w:val="0"/>
      <w:marTop w:val="0"/>
      <w:marBottom w:val="0"/>
      <w:divBdr>
        <w:top w:val="none" w:sz="0" w:space="0" w:color="auto"/>
        <w:left w:val="none" w:sz="0" w:space="0" w:color="auto"/>
        <w:bottom w:val="none" w:sz="0" w:space="0" w:color="auto"/>
        <w:right w:val="none" w:sz="0" w:space="0" w:color="auto"/>
      </w:divBdr>
    </w:div>
    <w:div w:id="1597977867">
      <w:bodyDiv w:val="1"/>
      <w:marLeft w:val="0"/>
      <w:marRight w:val="0"/>
      <w:marTop w:val="0"/>
      <w:marBottom w:val="0"/>
      <w:divBdr>
        <w:top w:val="none" w:sz="0" w:space="0" w:color="auto"/>
        <w:left w:val="none" w:sz="0" w:space="0" w:color="auto"/>
        <w:bottom w:val="none" w:sz="0" w:space="0" w:color="auto"/>
        <w:right w:val="none" w:sz="0" w:space="0" w:color="auto"/>
      </w:divBdr>
    </w:div>
    <w:div w:id="1600330330">
      <w:bodyDiv w:val="1"/>
      <w:marLeft w:val="0"/>
      <w:marRight w:val="0"/>
      <w:marTop w:val="0"/>
      <w:marBottom w:val="0"/>
      <w:divBdr>
        <w:top w:val="none" w:sz="0" w:space="0" w:color="auto"/>
        <w:left w:val="none" w:sz="0" w:space="0" w:color="auto"/>
        <w:bottom w:val="none" w:sz="0" w:space="0" w:color="auto"/>
        <w:right w:val="none" w:sz="0" w:space="0" w:color="auto"/>
      </w:divBdr>
    </w:div>
    <w:div w:id="1698117886">
      <w:bodyDiv w:val="1"/>
      <w:marLeft w:val="0"/>
      <w:marRight w:val="0"/>
      <w:marTop w:val="0"/>
      <w:marBottom w:val="0"/>
      <w:divBdr>
        <w:top w:val="none" w:sz="0" w:space="0" w:color="auto"/>
        <w:left w:val="none" w:sz="0" w:space="0" w:color="auto"/>
        <w:bottom w:val="none" w:sz="0" w:space="0" w:color="auto"/>
        <w:right w:val="none" w:sz="0" w:space="0" w:color="auto"/>
      </w:divBdr>
    </w:div>
    <w:div w:id="1718775071">
      <w:bodyDiv w:val="1"/>
      <w:marLeft w:val="0"/>
      <w:marRight w:val="0"/>
      <w:marTop w:val="0"/>
      <w:marBottom w:val="0"/>
      <w:divBdr>
        <w:top w:val="none" w:sz="0" w:space="0" w:color="auto"/>
        <w:left w:val="none" w:sz="0" w:space="0" w:color="auto"/>
        <w:bottom w:val="none" w:sz="0" w:space="0" w:color="auto"/>
        <w:right w:val="none" w:sz="0" w:space="0" w:color="auto"/>
      </w:divBdr>
    </w:div>
    <w:div w:id="1723363656">
      <w:bodyDiv w:val="1"/>
      <w:marLeft w:val="0"/>
      <w:marRight w:val="0"/>
      <w:marTop w:val="0"/>
      <w:marBottom w:val="0"/>
      <w:divBdr>
        <w:top w:val="none" w:sz="0" w:space="0" w:color="auto"/>
        <w:left w:val="none" w:sz="0" w:space="0" w:color="auto"/>
        <w:bottom w:val="none" w:sz="0" w:space="0" w:color="auto"/>
        <w:right w:val="none" w:sz="0" w:space="0" w:color="auto"/>
      </w:divBdr>
    </w:div>
    <w:div w:id="1738019373">
      <w:bodyDiv w:val="1"/>
      <w:marLeft w:val="0"/>
      <w:marRight w:val="0"/>
      <w:marTop w:val="0"/>
      <w:marBottom w:val="0"/>
      <w:divBdr>
        <w:top w:val="none" w:sz="0" w:space="0" w:color="auto"/>
        <w:left w:val="none" w:sz="0" w:space="0" w:color="auto"/>
        <w:bottom w:val="none" w:sz="0" w:space="0" w:color="auto"/>
        <w:right w:val="none" w:sz="0" w:space="0" w:color="auto"/>
      </w:divBdr>
    </w:div>
    <w:div w:id="1743024278">
      <w:bodyDiv w:val="1"/>
      <w:marLeft w:val="0"/>
      <w:marRight w:val="0"/>
      <w:marTop w:val="0"/>
      <w:marBottom w:val="0"/>
      <w:divBdr>
        <w:top w:val="none" w:sz="0" w:space="0" w:color="auto"/>
        <w:left w:val="none" w:sz="0" w:space="0" w:color="auto"/>
        <w:bottom w:val="none" w:sz="0" w:space="0" w:color="auto"/>
        <w:right w:val="none" w:sz="0" w:space="0" w:color="auto"/>
      </w:divBdr>
    </w:div>
    <w:div w:id="1819885426">
      <w:bodyDiv w:val="1"/>
      <w:marLeft w:val="0"/>
      <w:marRight w:val="0"/>
      <w:marTop w:val="0"/>
      <w:marBottom w:val="0"/>
      <w:divBdr>
        <w:top w:val="none" w:sz="0" w:space="0" w:color="auto"/>
        <w:left w:val="none" w:sz="0" w:space="0" w:color="auto"/>
        <w:bottom w:val="none" w:sz="0" w:space="0" w:color="auto"/>
        <w:right w:val="none" w:sz="0" w:space="0" w:color="auto"/>
      </w:divBdr>
    </w:div>
    <w:div w:id="1864056798">
      <w:bodyDiv w:val="1"/>
      <w:marLeft w:val="0"/>
      <w:marRight w:val="0"/>
      <w:marTop w:val="0"/>
      <w:marBottom w:val="0"/>
      <w:divBdr>
        <w:top w:val="none" w:sz="0" w:space="0" w:color="auto"/>
        <w:left w:val="none" w:sz="0" w:space="0" w:color="auto"/>
        <w:bottom w:val="none" w:sz="0" w:space="0" w:color="auto"/>
        <w:right w:val="none" w:sz="0" w:space="0" w:color="auto"/>
      </w:divBdr>
    </w:div>
    <w:div w:id="1886139850">
      <w:bodyDiv w:val="1"/>
      <w:marLeft w:val="0"/>
      <w:marRight w:val="0"/>
      <w:marTop w:val="0"/>
      <w:marBottom w:val="0"/>
      <w:divBdr>
        <w:top w:val="none" w:sz="0" w:space="0" w:color="auto"/>
        <w:left w:val="none" w:sz="0" w:space="0" w:color="auto"/>
        <w:bottom w:val="none" w:sz="0" w:space="0" w:color="auto"/>
        <w:right w:val="none" w:sz="0" w:space="0" w:color="auto"/>
      </w:divBdr>
    </w:div>
    <w:div w:id="2003661861">
      <w:bodyDiv w:val="1"/>
      <w:marLeft w:val="0"/>
      <w:marRight w:val="0"/>
      <w:marTop w:val="0"/>
      <w:marBottom w:val="0"/>
      <w:divBdr>
        <w:top w:val="none" w:sz="0" w:space="0" w:color="auto"/>
        <w:left w:val="none" w:sz="0" w:space="0" w:color="auto"/>
        <w:bottom w:val="none" w:sz="0" w:space="0" w:color="auto"/>
        <w:right w:val="none" w:sz="0" w:space="0" w:color="auto"/>
      </w:divBdr>
    </w:div>
    <w:div w:id="2031950226">
      <w:bodyDiv w:val="1"/>
      <w:marLeft w:val="0"/>
      <w:marRight w:val="0"/>
      <w:marTop w:val="0"/>
      <w:marBottom w:val="0"/>
      <w:divBdr>
        <w:top w:val="none" w:sz="0" w:space="0" w:color="auto"/>
        <w:left w:val="none" w:sz="0" w:space="0" w:color="auto"/>
        <w:bottom w:val="none" w:sz="0" w:space="0" w:color="auto"/>
        <w:right w:val="none" w:sz="0" w:space="0" w:color="auto"/>
      </w:divBdr>
    </w:div>
    <w:div w:id="2081365192">
      <w:bodyDiv w:val="1"/>
      <w:marLeft w:val="0"/>
      <w:marRight w:val="0"/>
      <w:marTop w:val="0"/>
      <w:marBottom w:val="0"/>
      <w:divBdr>
        <w:top w:val="none" w:sz="0" w:space="0" w:color="auto"/>
        <w:left w:val="none" w:sz="0" w:space="0" w:color="auto"/>
        <w:bottom w:val="none" w:sz="0" w:space="0" w:color="auto"/>
        <w:right w:val="none" w:sz="0" w:space="0" w:color="auto"/>
      </w:divBdr>
    </w:div>
    <w:div w:id="2088845079">
      <w:bodyDiv w:val="1"/>
      <w:marLeft w:val="0"/>
      <w:marRight w:val="0"/>
      <w:marTop w:val="0"/>
      <w:marBottom w:val="0"/>
      <w:divBdr>
        <w:top w:val="none" w:sz="0" w:space="0" w:color="auto"/>
        <w:left w:val="none" w:sz="0" w:space="0" w:color="auto"/>
        <w:bottom w:val="none" w:sz="0" w:space="0" w:color="auto"/>
        <w:right w:val="none" w:sz="0" w:space="0" w:color="auto"/>
      </w:divBdr>
    </w:div>
    <w:div w:id="2118601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09F+FpNaBhAepHP/ABhp+8BuQ==">CgMxLjAyDmguMnF3NXUwc3c5c2lwMg5oLmxnd2wzYnNiemM2YTIJaC4zem55c2g3Mg5oLmptNzI5YmhiMjNxajgAciExYi1hZTdsalMzbDdDUjNuRmpBbEwyZ1F3Zm1rc3NtWjI=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8544</Words>
  <Characters>46997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2026-04-10T18:51:00Z</cp:lastPrinted>
  <dcterms:created xsi:type="dcterms:W3CDTF">2026-04-25T02:40:00Z</dcterms:created>
  <dcterms:modified xsi:type="dcterms:W3CDTF">2026-04-25T02:40:00Z</dcterms:modified>
</cp:coreProperties>
</file>