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DA7" w:rsidRPr="00A43775" w:rsidRDefault="00AB7E1C">
      <w:pPr>
        <w:spacing w:line="360" w:lineRule="auto"/>
        <w:ind w:right="-567"/>
        <w:jc w:val="both"/>
        <w:rPr>
          <w:rFonts w:ascii="Palatino Linotype" w:eastAsia="Palatino Linotype" w:hAnsi="Palatino Linotype" w:cs="Palatino Linotype"/>
        </w:rPr>
      </w:pPr>
      <w:r w:rsidRPr="00A43775">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veintidós</w:t>
      </w:r>
      <w:r w:rsidR="00A43775" w:rsidRPr="00A43775">
        <w:rPr>
          <w:rFonts w:ascii="Palatino Linotype" w:eastAsia="Palatino Linotype" w:hAnsi="Palatino Linotype" w:cs="Palatino Linotype"/>
        </w:rPr>
        <w:t xml:space="preserve"> (22)</w:t>
      </w:r>
      <w:r w:rsidRPr="00A43775">
        <w:rPr>
          <w:rFonts w:ascii="Palatino Linotype" w:eastAsia="Palatino Linotype" w:hAnsi="Palatino Linotype" w:cs="Palatino Linotype"/>
        </w:rPr>
        <w:t xml:space="preserve"> </w:t>
      </w:r>
      <w:r w:rsidR="0037154E" w:rsidRPr="00A43775">
        <w:rPr>
          <w:rFonts w:ascii="Palatino Linotype" w:eastAsia="Palatino Linotype" w:hAnsi="Palatino Linotype" w:cs="Palatino Linotype"/>
        </w:rPr>
        <w:t>de abril de dos mil veintiséis.</w:t>
      </w:r>
    </w:p>
    <w:p w:rsidR="00086DA7" w:rsidRPr="00A43775" w:rsidRDefault="00086DA7">
      <w:pPr>
        <w:spacing w:line="360" w:lineRule="auto"/>
        <w:jc w:val="both"/>
        <w:rPr>
          <w:rFonts w:ascii="Palatino Linotype" w:eastAsia="Palatino Linotype" w:hAnsi="Palatino Linotype" w:cs="Palatino Linotype"/>
          <w:b/>
          <w:bCs/>
        </w:rPr>
      </w:pPr>
    </w:p>
    <w:p w:rsidR="00086DA7" w:rsidRPr="00A43775" w:rsidRDefault="00AB7E1C">
      <w:pPr>
        <w:spacing w:line="360" w:lineRule="auto"/>
        <w:ind w:right="-457"/>
        <w:jc w:val="both"/>
        <w:rPr>
          <w:rFonts w:ascii="Palatino Linotype" w:eastAsia="Palatino Linotype" w:hAnsi="Palatino Linotype" w:cs="Palatino Linotype"/>
        </w:rPr>
      </w:pPr>
      <w:bookmarkStart w:id="0" w:name="_heading=h.gjdgxs" w:colFirst="0" w:colLast="0"/>
      <w:bookmarkEnd w:id="0"/>
      <w:r w:rsidRPr="00A43775">
        <w:rPr>
          <w:rFonts w:ascii="Palatino Linotype" w:eastAsia="Palatino Linotype" w:hAnsi="Palatino Linotype" w:cs="Palatino Linotype"/>
          <w:b/>
          <w:bCs/>
        </w:rPr>
        <w:t>VISTO</w:t>
      </w:r>
      <w:r w:rsidRPr="00A43775">
        <w:rPr>
          <w:rFonts w:ascii="Palatino Linotype" w:eastAsia="Palatino Linotype" w:hAnsi="Palatino Linotype" w:cs="Palatino Linotype"/>
        </w:rPr>
        <w:t xml:space="preserve"> el expediente electrónico formado con motivo del recurso de revisión </w:t>
      </w:r>
      <w:r w:rsidRPr="00A43775">
        <w:rPr>
          <w:rFonts w:ascii="Palatino Linotype" w:eastAsia="Palatino Linotype" w:hAnsi="Palatino Linotype" w:cs="Palatino Linotype"/>
          <w:b/>
          <w:bCs/>
        </w:rPr>
        <w:t xml:space="preserve">13723/INFOEM/IP/RR/2025 </w:t>
      </w:r>
      <w:r w:rsidRPr="00A43775">
        <w:rPr>
          <w:rFonts w:ascii="Palatino Linotype" w:eastAsia="Palatino Linotype" w:hAnsi="Palatino Linotype" w:cs="Palatino Linotype"/>
        </w:rPr>
        <w:t xml:space="preserve">promovido por </w:t>
      </w:r>
      <w:r w:rsidR="00310C56">
        <w:rPr>
          <w:rFonts w:ascii="Palatino Linotype" w:eastAsia="Palatino Linotype" w:hAnsi="Palatino Linotype" w:cs="Palatino Linotype"/>
          <w:b/>
          <w:bCs/>
        </w:rPr>
        <w:t>XXXX</w:t>
      </w:r>
      <w:r w:rsidRPr="00A43775">
        <w:rPr>
          <w:rFonts w:ascii="Palatino Linotype" w:eastAsia="Palatino Linotype" w:hAnsi="Palatino Linotype" w:cs="Palatino Linotype"/>
        </w:rPr>
        <w:t>, a través del</w:t>
      </w:r>
      <w:r w:rsidRPr="00A43775">
        <w:rPr>
          <w:rFonts w:ascii="Palatino Linotype" w:eastAsia="Palatino Linotype" w:hAnsi="Palatino Linotype" w:cs="Palatino Linotype"/>
          <w:b/>
          <w:bCs/>
        </w:rPr>
        <w:t xml:space="preserve"> Sistema de Acceso a la Información Mexiquense (SAIMEX),</w:t>
      </w:r>
      <w:r w:rsidRPr="00A43775">
        <w:rPr>
          <w:rFonts w:ascii="Palatino Linotype" w:eastAsia="Palatino Linotype" w:hAnsi="Palatino Linotype" w:cs="Palatino Linotype"/>
        </w:rPr>
        <w:t xml:space="preserve"> a quien en lo sucesivo se identificará como </w:t>
      </w:r>
      <w:r w:rsidRPr="00A43775">
        <w:rPr>
          <w:rFonts w:ascii="Palatino Linotype" w:eastAsia="Palatino Linotype" w:hAnsi="Palatino Linotype" w:cs="Palatino Linotype"/>
          <w:b/>
          <w:bCs/>
        </w:rPr>
        <w:t>EL RECURRENTE</w:t>
      </w:r>
      <w:r w:rsidRPr="00A43775">
        <w:rPr>
          <w:rFonts w:ascii="Palatino Linotype" w:eastAsia="Palatino Linotype" w:hAnsi="Palatino Linotype" w:cs="Palatino Linotype"/>
        </w:rPr>
        <w:t xml:space="preserve">, en contra de la respuesta del </w:t>
      </w:r>
      <w:r w:rsidRPr="00A43775">
        <w:rPr>
          <w:rFonts w:ascii="Palatino Linotype" w:eastAsia="Palatino Linotype" w:hAnsi="Palatino Linotype" w:cs="Palatino Linotype"/>
          <w:b/>
          <w:bCs/>
        </w:rPr>
        <w:t xml:space="preserve">Ayuntamiento de Toluca, </w:t>
      </w:r>
      <w:r w:rsidRPr="00A43775">
        <w:rPr>
          <w:rFonts w:ascii="Palatino Linotype" w:eastAsia="Palatino Linotype" w:hAnsi="Palatino Linotype" w:cs="Palatino Linotype"/>
        </w:rPr>
        <w:t>en adelante el</w:t>
      </w:r>
      <w:r w:rsidRPr="00A43775">
        <w:rPr>
          <w:rFonts w:ascii="Palatino Linotype" w:eastAsia="Palatino Linotype" w:hAnsi="Palatino Linotype" w:cs="Palatino Linotype"/>
          <w:b/>
          <w:bCs/>
        </w:rPr>
        <w:t xml:space="preserve"> SUJETO OBLIGADO</w:t>
      </w:r>
      <w:r w:rsidRPr="00A43775">
        <w:rPr>
          <w:rFonts w:ascii="Palatino Linotype" w:eastAsia="Palatino Linotype" w:hAnsi="Palatino Linotype" w:cs="Palatino Linotype"/>
        </w:rPr>
        <w:t>, por lo que se procede a dictar la presente resolución, con base en los siguientes:</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spacing w:line="360" w:lineRule="auto"/>
        <w:jc w:val="center"/>
        <w:rPr>
          <w:rFonts w:ascii="Palatino Linotype" w:eastAsia="Palatino Linotype" w:hAnsi="Palatino Linotype" w:cs="Palatino Linotype"/>
          <w:b/>
          <w:bCs/>
        </w:rPr>
      </w:pPr>
      <w:r w:rsidRPr="00A43775">
        <w:rPr>
          <w:rFonts w:ascii="Palatino Linotype" w:eastAsia="Palatino Linotype" w:hAnsi="Palatino Linotype" w:cs="Palatino Linotype"/>
          <w:b/>
          <w:bCs/>
        </w:rPr>
        <w:t>A N T E C E D E N T E S</w:t>
      </w:r>
    </w:p>
    <w:p w:rsidR="00086DA7" w:rsidRPr="00A43775" w:rsidRDefault="00086DA7">
      <w:pPr>
        <w:spacing w:line="360" w:lineRule="auto"/>
        <w:rPr>
          <w:rFonts w:ascii="Palatino Linotype" w:eastAsia="Palatino Linotype" w:hAnsi="Palatino Linotype" w:cs="Palatino Linotype"/>
        </w:rPr>
      </w:pPr>
    </w:p>
    <w:p w:rsidR="00086DA7" w:rsidRPr="00A43775" w:rsidRDefault="00AB7E1C">
      <w:pPr>
        <w:numPr>
          <w:ilvl w:val="0"/>
          <w:numId w:val="3"/>
        </w:numPr>
        <w:spacing w:line="360" w:lineRule="auto"/>
        <w:ind w:left="0" w:right="-457" w:firstLine="0"/>
        <w:jc w:val="both"/>
      </w:pPr>
      <w:r w:rsidRPr="00A43775">
        <w:rPr>
          <w:rFonts w:ascii="Palatino Linotype" w:eastAsia="Palatino Linotype" w:hAnsi="Palatino Linotype" w:cs="Palatino Linotype"/>
        </w:rPr>
        <w:t xml:space="preserve">El fecha </w:t>
      </w:r>
      <w:r w:rsidRPr="00A43775">
        <w:rPr>
          <w:rFonts w:ascii="Palatino Linotype" w:eastAsia="Palatino Linotype" w:hAnsi="Palatino Linotype" w:cs="Palatino Linotype"/>
          <w:b/>
          <w:bCs/>
        </w:rPr>
        <w:t>dieciocho de noviembre de dos mil veinticinco</w:t>
      </w:r>
      <w:r w:rsidRPr="00A43775">
        <w:rPr>
          <w:rFonts w:ascii="Palatino Linotype" w:eastAsia="Palatino Linotype" w:hAnsi="Palatino Linotype" w:cs="Palatino Linotype"/>
        </w:rPr>
        <w:t xml:space="preserve">, </w:t>
      </w:r>
      <w:r w:rsidRPr="00A43775">
        <w:rPr>
          <w:rFonts w:ascii="Palatino Linotype" w:eastAsia="Palatino Linotype" w:hAnsi="Palatino Linotype" w:cs="Palatino Linotype"/>
          <w:b/>
          <w:bCs/>
        </w:rPr>
        <w:t>EL RECURRENTE,</w:t>
      </w:r>
      <w:r w:rsidRPr="00A43775">
        <w:rPr>
          <w:rFonts w:ascii="Palatino Linotype" w:eastAsia="Palatino Linotype" w:hAnsi="Palatino Linotype" w:cs="Palatino Linotype"/>
        </w:rPr>
        <w:t xml:space="preserve"> ante el </w:t>
      </w:r>
      <w:r w:rsidRPr="00A43775">
        <w:rPr>
          <w:rFonts w:ascii="Palatino Linotype" w:eastAsia="Palatino Linotype" w:hAnsi="Palatino Linotype" w:cs="Palatino Linotype"/>
          <w:b/>
          <w:bCs/>
        </w:rPr>
        <w:t>SUJETO OBLIGADO</w:t>
      </w:r>
      <w:r w:rsidRPr="00A43775">
        <w:rPr>
          <w:rFonts w:ascii="Palatino Linotype" w:eastAsia="Palatino Linotype" w:hAnsi="Palatino Linotype" w:cs="Palatino Linotype"/>
        </w:rPr>
        <w:t xml:space="preserve"> vía Sistema de Acceso a la Información Mexiquense (</w:t>
      </w:r>
      <w:r w:rsidRPr="00A43775">
        <w:rPr>
          <w:rFonts w:ascii="Palatino Linotype" w:eastAsia="Palatino Linotype" w:hAnsi="Palatino Linotype" w:cs="Palatino Linotype"/>
          <w:b/>
          <w:bCs/>
        </w:rPr>
        <w:t>SAIMEX)</w:t>
      </w:r>
      <w:r w:rsidRPr="00A43775">
        <w:rPr>
          <w:rFonts w:ascii="Palatino Linotype" w:eastAsia="Palatino Linotype" w:hAnsi="Palatino Linotype" w:cs="Palatino Linotype"/>
        </w:rPr>
        <w:t xml:space="preserve">, presentó las solicitudes de información registrada con el folio </w:t>
      </w:r>
      <w:r w:rsidRPr="00A43775">
        <w:rPr>
          <w:rFonts w:ascii="Palatino Linotype" w:eastAsia="Palatino Linotype" w:hAnsi="Palatino Linotype" w:cs="Palatino Linotype"/>
          <w:b/>
          <w:bCs/>
        </w:rPr>
        <w:t xml:space="preserve">06559/TOLUCA/IP/2025, </w:t>
      </w:r>
      <w:r w:rsidRPr="00A43775">
        <w:rPr>
          <w:rFonts w:ascii="Palatino Linotype" w:eastAsia="Palatino Linotype" w:hAnsi="Palatino Linotype" w:cs="Palatino Linotype"/>
        </w:rPr>
        <w:t>en la que se solicitó lo siguiente:</w:t>
      </w:r>
    </w:p>
    <w:p w:rsidR="00086DA7" w:rsidRPr="00A43775" w:rsidRDefault="00086DA7">
      <w:pPr>
        <w:ind w:left="1134" w:right="900"/>
        <w:jc w:val="both"/>
        <w:rPr>
          <w:rFonts w:ascii="Palatino Linotype" w:eastAsia="Palatino Linotype" w:hAnsi="Palatino Linotype" w:cs="Palatino Linotype"/>
          <w:i/>
          <w:iCs/>
        </w:rPr>
      </w:pPr>
    </w:p>
    <w:p w:rsidR="00086DA7" w:rsidRPr="00A43775" w:rsidRDefault="00AB7E1C">
      <w:pPr>
        <w:ind w:left="1276" w:right="851"/>
        <w:jc w:val="both"/>
        <w:rPr>
          <w:rFonts w:ascii="Palatino Linotype" w:eastAsia="Palatino Linotype" w:hAnsi="Palatino Linotype" w:cs="Palatino Linotype"/>
          <w:b/>
          <w:bCs/>
          <w:i/>
          <w:iCs/>
        </w:rPr>
      </w:pP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color w:val="000000"/>
        </w:rPr>
        <w:t xml:space="preserve">EN APEGO A LA LEY DE TRANSPARENCIA Y ACCESO A LA INFORMACIÓN PÚBLICA DEL ESTADO DE MÉXICO Y MUNICIPIOS, CONSTITUCIÓN POLÍTICA DE LOS ESTADOS UNIDOS MEXICANOS, CONVENCIÓN AMERICANA SOBRE DERECHOS HUMANOS "PACTO DE SAN JOSÉ DE COSTA RICA" ESTÁNDARES DE PROTECCIÓN DE DATOS PERSONALES PARA LOS ESTADOS IBEROAMERICANOS. CONSTITUCIÓN POLÍTICA DEL ESTADO LIBRE Y SOBERANO DE MÉXICO Y LA </w:t>
      </w:r>
      <w:r w:rsidRPr="00A43775">
        <w:rPr>
          <w:rFonts w:ascii="Palatino Linotype" w:eastAsia="Palatino Linotype" w:hAnsi="Palatino Linotype" w:cs="Palatino Linotype"/>
          <w:i/>
          <w:iCs/>
          <w:color w:val="000000"/>
        </w:rPr>
        <w:lastRenderedPageBreak/>
        <w:t xml:space="preserve">LEY DE RESPONSABILIDADES ADMINISTRATIVAS DEL ESTADO DE MÉXICO Y MUNICIPIOS, en sus diversos Artículos, Solicito lo siguiente: 1. SOLICITO SABER SI LA DIRECTORA DE ADMINISTRACIÓN DEL MUNICIPIO DE TOLUCA, TIENE ASIGNADO VEHÍCULO OFICIAL, CAJÓN DE ESTACIONAMIENTO, MONTO DE COMBUSTIBLE ASIGNADO MENSUALMENTE, LA MANERA EN QUE LO COMPRUEBA, SUELDO MENSUAL BRUTO Y NETO, SI CUENTA CON CHOFER, SUELDO MENSUAL BRUTO Y NETO DEL CHOFER, SI LA PLAZA ES DE BASE, CONFIANZA O POR CONTRATO, QUIEN LO CONTRATO EN QUÉ FECHA, MEDIANTE QUE PROCEDIMIENTO DE SELECCIÓN FUE CONTRATADO, CUAL ES EL HORARIO DE LA DIRECTORA Y EL CHOFER, SI CHECAN ASISTENCIA Y MEDIANTE QUE MÉTODO LA COMPRUEBAN. 2. SABER SI EL PRESIDENTE MUNICIPAL Y TODOS LOS INTEGRANTES DEL CABILDO, TIENEN ASIGNADO VEHÍCULO OFICIAL O QUE UNIDADES UTILIZAN PARA LLEVAR A CABO SUS FUNCIONES, SI CUENTAN CON CAJÓN DE ESTACIONAMIENTO, CANTIDAD MENSUAL DE COMBUSTIBLE QUE SE LES ASIGNA, COMO LA COMPRUEBAN, MEDIANTE QUÉ ACUERDO DE CABILDO EN SU CASO DE EXISTIR SE LES DOTA, REQUIERO EL ACUERDO Y EL PROCEDIMIENTO ADMINISTRATIVO NORMATIVO ESTABLECIDO PARA DOTARLOS DE COMBUSTIBLE, QUIEN LO AUTORIZO, EN QUÉ FECHA Y EL FUNDAMENTO LEGAL. 3. SOLICITO LOS CONTRATOS DE COMBUSTIBLE DEBIDAMENTE REQUISITADOS Y FIRMADOS POR LAS Y LOS SERVIDORES PÚBLICOS QUE EN ELLOS INTERVIENE Y SI A ESTÁN PUBLICADOS, SOLICITO LA LIGA PARA SU DESCARGA. 4. SOLICITO SABER SI LA O EL TITULAR DEL DEPARTAMENTO </w:t>
      </w:r>
      <w:bookmarkStart w:id="1" w:name="_GoBack"/>
      <w:bookmarkEnd w:id="1"/>
      <w:r w:rsidRPr="00A43775">
        <w:rPr>
          <w:rFonts w:ascii="Palatino Linotype" w:eastAsia="Palatino Linotype" w:hAnsi="Palatino Linotype" w:cs="Palatino Linotype"/>
          <w:i/>
          <w:iCs/>
          <w:color w:val="000000"/>
        </w:rPr>
        <w:t xml:space="preserve">DE COMBUSTIBLE, DISPERSA COMBUSTIBLE A UNIDADES QUE NO TIENES PLACAS OFICIALES Y QUE SON UNIDADES DE USO DEL MUNICIPIO DE TOLUCA. SI ES AFIRMATIVO REQUIERO EL OFICIO U ACUERDO QUE AUTORIZA LO ANTERIOR DEBIDAMENTE FUNDAMENTADO Y REQUISITADO POR QUIEN EN ELLO INTERVIENEN. 5. </w:t>
      </w:r>
      <w:r w:rsidRPr="00A43775">
        <w:rPr>
          <w:rFonts w:ascii="Palatino Linotype" w:eastAsia="Palatino Linotype" w:hAnsi="Palatino Linotype" w:cs="Palatino Linotype"/>
          <w:i/>
          <w:iCs/>
          <w:color w:val="000000"/>
        </w:rPr>
        <w:lastRenderedPageBreak/>
        <w:t>SOLICITO SABER SI LAS PLACAS ME-043A-5, PERTENECEN A ALGÚN VEHÍCULO OFICIAL PROPIEDAD O EN ARRENDAMIENTO AL MUNICIPIO DE TOLUCA Y QUIEN TIENE DICHA UNIDAD BAJO RESGUARDO. SEÑALANDO EN CASO DE QUE NIEGUEN LA INFORMACIÓN DE CARÁCTER PÚBLICO EL ÁREA A LA QUE ESTÁ ASIGNADA Y CUALÉS SON LAS FUNCIONES QUE SE REALIZAN CON DICHA UNIDAD, SI TIENE CAJÓN DE ESTACIONAMIENTO Y SI SE RESGUARDA LOS FINES DE SEMANA, DÍAS FESTIVOS O PUENTES MARCADOS POR LA LEY EN EL ESTADO DE MÉXICO.</w:t>
      </w:r>
      <w:r w:rsidRPr="00A43775">
        <w:rPr>
          <w:rFonts w:ascii="Palatino Linotype" w:eastAsia="Palatino Linotype" w:hAnsi="Palatino Linotype" w:cs="Palatino Linotype"/>
          <w:i/>
          <w:iCs/>
        </w:rPr>
        <w:t>”(Sic).</w:t>
      </w:r>
    </w:p>
    <w:p w:rsidR="00086DA7" w:rsidRPr="00A43775" w:rsidRDefault="00086DA7">
      <w:pPr>
        <w:ind w:left="1134" w:right="900"/>
        <w:jc w:val="both"/>
        <w:rPr>
          <w:rFonts w:ascii="Palatino Linotype" w:eastAsia="Palatino Linotype" w:hAnsi="Palatino Linotype" w:cs="Palatino Linotype"/>
          <w:i/>
          <w:iCs/>
        </w:rPr>
      </w:pPr>
    </w:p>
    <w:p w:rsidR="00086DA7" w:rsidRPr="00A43775" w:rsidRDefault="00AB7E1C">
      <w:pPr>
        <w:numPr>
          <w:ilvl w:val="0"/>
          <w:numId w:val="32"/>
        </w:numPr>
        <w:spacing w:line="360" w:lineRule="auto"/>
        <w:ind w:left="709" w:right="474"/>
        <w:jc w:val="both"/>
        <w:rPr>
          <w:rFonts w:ascii="Palatino Linotype" w:eastAsia="Palatino Linotype" w:hAnsi="Palatino Linotype" w:cs="Palatino Linotype"/>
        </w:rPr>
      </w:pPr>
      <w:r w:rsidRPr="00A43775">
        <w:rPr>
          <w:rFonts w:ascii="Palatino Linotype" w:eastAsia="Palatino Linotype" w:hAnsi="Palatino Linotype" w:cs="Palatino Linotype"/>
          <w:b/>
          <w:bCs/>
        </w:rPr>
        <w:t>Modalidad de entrega</w:t>
      </w:r>
      <w:r w:rsidRPr="00A43775">
        <w:rPr>
          <w:rFonts w:ascii="Palatino Linotype" w:eastAsia="Palatino Linotype" w:hAnsi="Palatino Linotype" w:cs="Palatino Linotype"/>
        </w:rPr>
        <w:t>: por medio del Sistema de Acceso a la Información.</w:t>
      </w:r>
    </w:p>
    <w:p w:rsidR="00086DA7" w:rsidRPr="00A43775" w:rsidRDefault="00086DA7">
      <w:pPr>
        <w:spacing w:line="360" w:lineRule="auto"/>
        <w:jc w:val="both"/>
        <w:rPr>
          <w:rFonts w:ascii="Palatino Linotype" w:eastAsia="Palatino Linotype" w:hAnsi="Palatino Linotype" w:cs="Palatino Linotype"/>
          <w:i/>
          <w:iCs/>
        </w:rPr>
      </w:pPr>
    </w:p>
    <w:p w:rsidR="00086DA7" w:rsidRPr="00A43775" w:rsidRDefault="00AB7E1C">
      <w:pPr>
        <w:numPr>
          <w:ilvl w:val="0"/>
          <w:numId w:val="2"/>
        </w:numPr>
        <w:spacing w:line="360" w:lineRule="auto"/>
        <w:ind w:left="0"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En fecha </w:t>
      </w:r>
      <w:r w:rsidRPr="00A43775">
        <w:rPr>
          <w:rFonts w:ascii="Palatino Linotype" w:eastAsia="Palatino Linotype" w:hAnsi="Palatino Linotype" w:cs="Palatino Linotype"/>
          <w:b/>
          <w:bCs/>
        </w:rPr>
        <w:t>cuatro de diciembre de dos mil veinticinco</w:t>
      </w:r>
      <w:r w:rsidRPr="00A43775">
        <w:rPr>
          <w:rFonts w:ascii="Palatino Linotype" w:eastAsia="Palatino Linotype" w:hAnsi="Palatino Linotype" w:cs="Palatino Linotype"/>
        </w:rPr>
        <w:t xml:space="preserve">, el </w:t>
      </w:r>
      <w:r w:rsidRPr="00A43775">
        <w:rPr>
          <w:rFonts w:ascii="Palatino Linotype" w:eastAsia="Palatino Linotype" w:hAnsi="Palatino Linotype" w:cs="Palatino Linotype"/>
          <w:b/>
          <w:bCs/>
        </w:rPr>
        <w:t>SUJETO OBLIGADO</w:t>
      </w:r>
      <w:r w:rsidRPr="00A43775">
        <w:rPr>
          <w:rFonts w:ascii="Palatino Linotype" w:eastAsia="Palatino Linotype" w:hAnsi="Palatino Linotype" w:cs="Palatino Linotype"/>
        </w:rPr>
        <w:t xml:space="preserve"> dio respuesta a la solicitud de información adjuntando archivos digitales de los que se desglosa su contenido grosso modo:</w:t>
      </w:r>
    </w:p>
    <w:p w:rsidR="00086DA7" w:rsidRPr="00A43775" w:rsidRDefault="00086DA7">
      <w:pPr>
        <w:spacing w:line="360" w:lineRule="auto"/>
        <w:rPr>
          <w:rFonts w:ascii="Palatino Linotype" w:eastAsia="Palatino Linotype" w:hAnsi="Palatino Linotype" w:cs="Palatino Linotype"/>
        </w:rPr>
      </w:pPr>
    </w:p>
    <w:p w:rsidR="00086DA7" w:rsidRPr="00A43775" w:rsidRDefault="00AB7E1C">
      <w:pPr>
        <w:spacing w:line="360" w:lineRule="auto"/>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rPr>
        <w:t xml:space="preserve">NOTIF. CIUDADANO S. 6559.pdf </w:t>
      </w:r>
      <w:r w:rsidRPr="00A43775">
        <w:rPr>
          <w:rFonts w:ascii="Palatino Linotype" w:eastAsia="Palatino Linotype" w:hAnsi="Palatino Linotype" w:cs="Palatino Linotype"/>
          <w:i/>
          <w:iCs/>
        </w:rPr>
        <w:t>Donde el Jefe de Departamento de Mantenimiento Vehicular y Control de Combustible refiere que la Directora General de Administración no cuenta con asignación de vehículo oficial, por lo que tampoco existe asignación de combustible.</w:t>
      </w:r>
    </w:p>
    <w:p w:rsidR="00086DA7" w:rsidRPr="00A43775" w:rsidRDefault="00086DA7">
      <w:pPr>
        <w:spacing w:line="360" w:lineRule="auto"/>
        <w:ind w:left="1134" w:right="851"/>
        <w:jc w:val="both"/>
        <w:rPr>
          <w:rFonts w:ascii="Palatino Linotype" w:eastAsia="Palatino Linotype" w:hAnsi="Palatino Linotype" w:cs="Palatino Linotype"/>
          <w:i/>
          <w:iCs/>
        </w:rPr>
      </w:pPr>
    </w:p>
    <w:p w:rsidR="00086DA7" w:rsidRPr="00A43775" w:rsidRDefault="00AB7E1C">
      <w:pPr>
        <w:spacing w:line="360" w:lineRule="auto"/>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rPr>
        <w:t xml:space="preserve">NOTIF. CIUDADANO S. 6559 RM.pdf </w:t>
      </w:r>
      <w:r w:rsidRPr="00A43775">
        <w:rPr>
          <w:rFonts w:ascii="Palatino Linotype" w:eastAsia="Palatino Linotype" w:hAnsi="Palatino Linotype" w:cs="Palatino Linotype"/>
          <w:i/>
          <w:iCs/>
        </w:rPr>
        <w:t xml:space="preserve"> Donde la Directora de Recursos Materiales entrega link en formato cerrado para la consulta de la información relativa al punto 3 (Contratos de combustible, si están publicados solicito liga).Así mismo que lo puntos 1,2,4 y 5 no son de su competencia.</w:t>
      </w:r>
    </w:p>
    <w:p w:rsidR="00086DA7" w:rsidRPr="00A43775" w:rsidRDefault="00AB7E1C">
      <w:pPr>
        <w:spacing w:line="360" w:lineRule="auto"/>
        <w:ind w:left="993" w:right="851"/>
        <w:jc w:val="center"/>
        <w:rPr>
          <w:rFonts w:ascii="Palatino Linotype" w:eastAsia="Palatino Linotype" w:hAnsi="Palatino Linotype" w:cs="Palatino Linotype"/>
          <w:i/>
          <w:iCs/>
        </w:rPr>
      </w:pPr>
      <w:r w:rsidRPr="00A43775">
        <w:rPr>
          <w:rFonts w:ascii="Palatino Linotype" w:eastAsia="Palatino Linotype" w:hAnsi="Palatino Linotype" w:cs="Palatino Linotype"/>
          <w:i/>
          <w:iCs/>
          <w:noProof/>
          <w:lang w:val="es-MX"/>
        </w:rPr>
        <w:lastRenderedPageBreak/>
        <w:drawing>
          <wp:inline distT="0" distB="0" distL="0" distR="0">
            <wp:extent cx="3018542" cy="338529"/>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018542" cy="338529"/>
                    </a:xfrm>
                    <a:prstGeom prst="rect">
                      <a:avLst/>
                    </a:prstGeom>
                    <a:ln/>
                  </pic:spPr>
                </pic:pic>
              </a:graphicData>
            </a:graphic>
          </wp:inline>
        </w:drawing>
      </w:r>
    </w:p>
    <w:p w:rsidR="00086DA7" w:rsidRPr="00A43775" w:rsidRDefault="00086DA7">
      <w:pPr>
        <w:spacing w:line="360" w:lineRule="auto"/>
        <w:ind w:left="993" w:right="851"/>
        <w:jc w:val="center"/>
        <w:rPr>
          <w:rFonts w:ascii="Palatino Linotype" w:eastAsia="Palatino Linotype" w:hAnsi="Palatino Linotype" w:cs="Palatino Linotype"/>
          <w:i/>
          <w:iCs/>
        </w:rPr>
      </w:pPr>
    </w:p>
    <w:p w:rsidR="00086DA7" w:rsidRPr="00A43775" w:rsidRDefault="00AB7E1C">
      <w:pPr>
        <w:spacing w:line="360" w:lineRule="auto"/>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rPr>
        <w:t xml:space="preserve">NOTIF. CIUDADANO S. 6559 RH.pdf: </w:t>
      </w:r>
      <w:r w:rsidRPr="00A43775">
        <w:rPr>
          <w:rFonts w:ascii="Palatino Linotype" w:eastAsia="Palatino Linotype" w:hAnsi="Palatino Linotype" w:cs="Palatino Linotype"/>
          <w:i/>
          <w:iCs/>
        </w:rPr>
        <w:t>Donde la Directora de Recursos Humanos entrega liga en formato cerrado para consulta de remuneraciones, que la servidor público derivado de sus actividades no registran asistencia, con horarios abiertos y refiere que de los puntos 2,3,4, y 5 no cuenta con tal información.</w:t>
      </w:r>
    </w:p>
    <w:p w:rsidR="00086DA7" w:rsidRPr="00A43775" w:rsidRDefault="00AB7E1C">
      <w:pPr>
        <w:spacing w:line="360" w:lineRule="auto"/>
        <w:ind w:left="1134"/>
        <w:jc w:val="both"/>
        <w:rPr>
          <w:rFonts w:ascii="Palatino Linotype" w:eastAsia="Palatino Linotype" w:hAnsi="Palatino Linotype" w:cs="Palatino Linotype"/>
          <w:i/>
          <w:iCs/>
        </w:rPr>
      </w:pPr>
      <w:r w:rsidRPr="00A43775">
        <w:rPr>
          <w:rFonts w:ascii="Palatino Linotype" w:eastAsia="Palatino Linotype" w:hAnsi="Palatino Linotype" w:cs="Palatino Linotype"/>
          <w:i/>
          <w:iCs/>
          <w:noProof/>
          <w:lang w:val="es-MX"/>
        </w:rPr>
        <w:drawing>
          <wp:inline distT="0" distB="0" distL="0" distR="0">
            <wp:extent cx="5477639" cy="50489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77639" cy="504895"/>
                    </a:xfrm>
                    <a:prstGeom prst="rect">
                      <a:avLst/>
                    </a:prstGeom>
                    <a:ln/>
                  </pic:spPr>
                </pic:pic>
              </a:graphicData>
            </a:graphic>
          </wp:inline>
        </w:drawing>
      </w:r>
    </w:p>
    <w:p w:rsidR="00086DA7" w:rsidRPr="00A43775" w:rsidRDefault="00086DA7">
      <w:pPr>
        <w:spacing w:line="360" w:lineRule="auto"/>
        <w:ind w:left="1134" w:hanging="1134"/>
        <w:rPr>
          <w:rFonts w:ascii="Palatino Linotype" w:eastAsia="Palatino Linotype" w:hAnsi="Palatino Linotype" w:cs="Palatino Linotype"/>
          <w:i/>
          <w:iCs/>
        </w:rPr>
      </w:pPr>
    </w:p>
    <w:p w:rsidR="00086DA7" w:rsidRPr="00A43775" w:rsidRDefault="00AB7E1C">
      <w:pPr>
        <w:numPr>
          <w:ilvl w:val="0"/>
          <w:numId w:val="2"/>
        </w:numPr>
        <w:spacing w:line="360" w:lineRule="auto"/>
        <w:ind w:left="0" w:right="-425"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En fecha </w:t>
      </w:r>
      <w:r w:rsidRPr="00A43775">
        <w:rPr>
          <w:rFonts w:ascii="Palatino Linotype" w:eastAsia="Palatino Linotype" w:hAnsi="Palatino Linotype" w:cs="Palatino Linotype"/>
          <w:b/>
          <w:bCs/>
        </w:rPr>
        <w:t>cuatro de diciembre de dos mil veinticinco</w:t>
      </w:r>
      <w:r w:rsidRPr="00A43775">
        <w:rPr>
          <w:rFonts w:ascii="Palatino Linotype" w:eastAsia="Palatino Linotype" w:hAnsi="Palatino Linotype" w:cs="Palatino Linotype"/>
        </w:rPr>
        <w:t>, el particular interpuso el recurso de revisión en contra de la respuesta, manifestando :</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numPr>
          <w:ilvl w:val="0"/>
          <w:numId w:val="4"/>
        </w:numPr>
        <w:pBdr>
          <w:top w:val="nil"/>
          <w:left w:val="nil"/>
          <w:bottom w:val="nil"/>
          <w:right w:val="nil"/>
          <w:between w:val="nil"/>
        </w:pBdr>
        <w:jc w:val="both"/>
        <w:rPr>
          <w:rFonts w:ascii="Palatino Linotype" w:eastAsia="Palatino Linotype" w:hAnsi="Palatino Linotype" w:cs="Palatino Linotype"/>
          <w:b/>
          <w:bCs/>
          <w:i/>
          <w:iCs/>
          <w:color w:val="000000"/>
        </w:rPr>
      </w:pPr>
      <w:r w:rsidRPr="00A43775">
        <w:rPr>
          <w:rFonts w:ascii="Palatino Linotype" w:eastAsia="Palatino Linotype" w:hAnsi="Palatino Linotype" w:cs="Palatino Linotype"/>
          <w:b/>
          <w:bCs/>
          <w:color w:val="000000"/>
        </w:rPr>
        <w:t>Acto impugnado:</w:t>
      </w:r>
      <w:r w:rsidRPr="00A43775">
        <w:rPr>
          <w:rFonts w:ascii="Palatino Linotype" w:eastAsia="Palatino Linotype" w:hAnsi="Palatino Linotype" w:cs="Palatino Linotype"/>
          <w:b/>
          <w:bCs/>
          <w:i/>
          <w:iCs/>
          <w:color w:val="000000"/>
        </w:rPr>
        <w:t xml:space="preserve"> </w:t>
      </w:r>
    </w:p>
    <w:p w:rsidR="00086DA7" w:rsidRPr="00A43775" w:rsidRDefault="00AB7E1C">
      <w:pPr>
        <w:ind w:left="1134" w:right="851"/>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i/>
          <w:iCs/>
          <w:color w:val="000000"/>
        </w:rPr>
        <w:t>“SOLICITO DE MANERA PUNTUAL LA O EL RESPONSABLE DE REMITIR LA INFORMACION, TENGA COMO ES SU OBLIGACION REVISAR LA INFORMACIÓN QUE SE ESTA ENTREGANDO, DERIVADO QUE NO CUMPLE CON LO SOLICITADO. REVISEN LO SOLICITADO PUNTO POR PUNTO, CONTESTAN MEDIANTE DOCUEMNTO OFICIAL, ALGO QUE NO CORRESPONDE. INDIQUENME CON QUIEN ME PUEDO DIRIGIR LARA LEERLE LO QUE SOLICITE Y ES INFORMACION PUBLICA.” (Sic)</w:t>
      </w:r>
    </w:p>
    <w:p w:rsidR="00086DA7" w:rsidRPr="00A43775" w:rsidRDefault="00086DA7">
      <w:pPr>
        <w:ind w:left="360"/>
        <w:jc w:val="both"/>
        <w:rPr>
          <w:rFonts w:ascii="Palatino Linotype" w:eastAsia="Palatino Linotype" w:hAnsi="Palatino Linotype" w:cs="Palatino Linotype"/>
          <w:i/>
          <w:iCs/>
          <w:color w:val="000000"/>
        </w:rPr>
      </w:pPr>
    </w:p>
    <w:p w:rsidR="00086DA7" w:rsidRPr="00A43775" w:rsidRDefault="00AB7E1C">
      <w:pPr>
        <w:numPr>
          <w:ilvl w:val="0"/>
          <w:numId w:val="4"/>
        </w:numPr>
        <w:pBdr>
          <w:top w:val="nil"/>
          <w:left w:val="nil"/>
          <w:bottom w:val="nil"/>
          <w:right w:val="nil"/>
          <w:between w:val="nil"/>
        </w:pBdr>
        <w:jc w:val="both"/>
        <w:rPr>
          <w:rFonts w:ascii="Palatino Linotype" w:eastAsia="Palatino Linotype" w:hAnsi="Palatino Linotype" w:cs="Palatino Linotype"/>
          <w:b/>
          <w:bCs/>
          <w:color w:val="000000"/>
        </w:rPr>
      </w:pPr>
      <w:r w:rsidRPr="00A43775">
        <w:rPr>
          <w:rFonts w:ascii="Palatino Linotype" w:eastAsia="Palatino Linotype" w:hAnsi="Palatino Linotype" w:cs="Palatino Linotype"/>
          <w:b/>
          <w:bCs/>
          <w:color w:val="000000"/>
        </w:rPr>
        <w:t>Razones o Motivos de inconformidad:</w:t>
      </w:r>
    </w:p>
    <w:p w:rsidR="00086DA7" w:rsidRPr="00A43775" w:rsidRDefault="00AB7E1C">
      <w:pPr>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“FALTA INFORMACION NO VIENE COMPLETA, REVISAR PUNTO POR PUNTO” (Sic)</w:t>
      </w:r>
    </w:p>
    <w:p w:rsidR="00086DA7" w:rsidRPr="00A43775" w:rsidRDefault="00086DA7">
      <w:pPr>
        <w:spacing w:line="360" w:lineRule="auto"/>
        <w:ind w:left="1134" w:right="851"/>
        <w:jc w:val="both"/>
        <w:rPr>
          <w:rFonts w:ascii="Palatino Linotype" w:eastAsia="Palatino Linotype" w:hAnsi="Palatino Linotype" w:cs="Palatino Linotype"/>
        </w:rPr>
      </w:pPr>
    </w:p>
    <w:p w:rsidR="00086DA7" w:rsidRPr="00A43775" w:rsidRDefault="00AB7E1C">
      <w:pPr>
        <w:numPr>
          <w:ilvl w:val="0"/>
          <w:numId w:val="5"/>
        </w:numPr>
        <w:pBdr>
          <w:top w:val="nil"/>
          <w:left w:val="nil"/>
          <w:bottom w:val="nil"/>
          <w:right w:val="nil"/>
          <w:between w:val="nil"/>
        </w:pBdr>
        <w:spacing w:line="360" w:lineRule="auto"/>
        <w:ind w:left="0" w:right="-457" w:firstLine="0"/>
        <w:jc w:val="both"/>
        <w:rPr>
          <w:rFonts w:ascii="Palatino Linotype" w:eastAsia="Palatino Linotype" w:hAnsi="Palatino Linotype" w:cs="Palatino Linotype"/>
          <w:color w:val="000000"/>
        </w:rPr>
      </w:pPr>
      <w:bookmarkStart w:id="2" w:name="_heading=h.30j0zll" w:colFirst="0" w:colLast="0"/>
      <w:bookmarkEnd w:id="2"/>
      <w:r w:rsidRPr="00A43775">
        <w:rPr>
          <w:rFonts w:ascii="Palatino Linotype" w:eastAsia="Palatino Linotype" w:hAnsi="Palatino Linotype" w:cs="Palatino Linotype"/>
          <w:color w:val="000000"/>
        </w:rPr>
        <w:lastRenderedPageBreak/>
        <w:t xml:space="preserve">La Comisionada Ponente, con fundamento en lo dispuesto por el artículo 185 fracción II de la ley de la materia, a través del acuerdo de admisión del </w:t>
      </w:r>
      <w:r w:rsidRPr="00A43775">
        <w:rPr>
          <w:rFonts w:ascii="Palatino Linotype" w:eastAsia="Palatino Linotype" w:hAnsi="Palatino Linotype" w:cs="Palatino Linotype"/>
          <w:b/>
          <w:bCs/>
          <w:color w:val="000000"/>
        </w:rPr>
        <w:t>cuatro de diciembre de dos mil veinticinco</w:t>
      </w:r>
      <w:r w:rsidRPr="00A43775">
        <w:rPr>
          <w:rFonts w:ascii="Palatino Linotype" w:eastAsia="Palatino Linotype" w:hAnsi="Palatino Linotype" w:cs="Palatino Linotype"/>
          <w:color w:val="000000"/>
        </w:rPr>
        <w:t xml:space="preserve">, puso a disposición de las partes el  expediente electrónicos vía Sistema de Acceso a la Información Mexiquense </w:t>
      </w:r>
      <w:r w:rsidRPr="00A43775">
        <w:rPr>
          <w:rFonts w:ascii="Palatino Linotype" w:eastAsia="Palatino Linotype" w:hAnsi="Palatino Linotype" w:cs="Palatino Linotype"/>
          <w:b/>
          <w:bCs/>
          <w:color w:val="000000"/>
        </w:rPr>
        <w:t xml:space="preserve">SAIMEX </w:t>
      </w:r>
      <w:r w:rsidRPr="00A43775">
        <w:rPr>
          <w:rFonts w:ascii="Palatino Linotype" w:eastAsia="Palatino Linotype" w:hAnsi="Palatino Linotype" w:cs="Palatino Linotype"/>
          <w:color w:val="000000"/>
        </w:rPr>
        <w:t xml:space="preserve">a efecto de que en un plazo máximo de siete días manifestara lo que a su derecho conviniera, ofreciera pruebas y alegatos según correspondiera a los casos concretos, de esta forma para que el </w:t>
      </w:r>
      <w:r w:rsidRPr="00A43775">
        <w:rPr>
          <w:rFonts w:ascii="Palatino Linotype" w:eastAsia="Palatino Linotype" w:hAnsi="Palatino Linotype" w:cs="Palatino Linotype"/>
          <w:b/>
          <w:bCs/>
          <w:color w:val="000000"/>
        </w:rPr>
        <w:t>SUJETO OBLIGADO</w:t>
      </w:r>
      <w:r w:rsidRPr="00A43775">
        <w:rPr>
          <w:rFonts w:ascii="Palatino Linotype" w:eastAsia="Palatino Linotype" w:hAnsi="Palatino Linotype" w:cs="Palatino Linotype"/>
          <w:color w:val="000000"/>
        </w:rPr>
        <w:t xml:space="preserve"> presentará el Informe Justificado procedente.</w:t>
      </w:r>
    </w:p>
    <w:p w:rsidR="00086DA7" w:rsidRPr="00A43775" w:rsidRDefault="00086DA7">
      <w:pPr>
        <w:pBdr>
          <w:top w:val="nil"/>
          <w:left w:val="nil"/>
          <w:bottom w:val="nil"/>
          <w:right w:val="nil"/>
          <w:between w:val="nil"/>
        </w:pBdr>
        <w:spacing w:line="360" w:lineRule="auto"/>
        <w:ind w:right="-457"/>
        <w:jc w:val="both"/>
        <w:rPr>
          <w:rFonts w:ascii="Palatino Linotype" w:eastAsia="Palatino Linotype" w:hAnsi="Palatino Linotype" w:cs="Palatino Linotype"/>
          <w:color w:val="000000"/>
        </w:rPr>
      </w:pPr>
    </w:p>
    <w:p w:rsidR="00086DA7" w:rsidRPr="00A43775" w:rsidRDefault="00AB7E1C">
      <w:pPr>
        <w:numPr>
          <w:ilvl w:val="0"/>
          <w:numId w:val="5"/>
        </w:numPr>
        <w:pBdr>
          <w:top w:val="nil"/>
          <w:left w:val="nil"/>
          <w:bottom w:val="nil"/>
          <w:right w:val="nil"/>
          <w:between w:val="nil"/>
        </w:pBdr>
        <w:spacing w:line="360" w:lineRule="auto"/>
        <w:ind w:left="0" w:right="-141"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rPr>
        <w:t xml:space="preserve">En fechas </w:t>
      </w:r>
      <w:r w:rsidRPr="00A43775">
        <w:rPr>
          <w:rFonts w:ascii="Palatino Linotype" w:eastAsia="Palatino Linotype" w:hAnsi="Palatino Linotype" w:cs="Palatino Linotype"/>
          <w:b/>
          <w:bCs/>
        </w:rPr>
        <w:t>dieciocho y diecinueve de diciembre de dos mil veinticinco</w:t>
      </w:r>
      <w:r w:rsidRPr="00A43775">
        <w:rPr>
          <w:rFonts w:ascii="Palatino Linotype" w:eastAsia="Palatino Linotype" w:hAnsi="Palatino Linotype" w:cs="Palatino Linotype"/>
        </w:rPr>
        <w:t xml:space="preserve"> y </w:t>
      </w:r>
      <w:r w:rsidRPr="00A43775">
        <w:rPr>
          <w:rFonts w:ascii="Palatino Linotype" w:eastAsia="Palatino Linotype" w:hAnsi="Palatino Linotype" w:cs="Palatino Linotype"/>
          <w:b/>
          <w:bCs/>
        </w:rPr>
        <w:t>siete de diciembre de dos mil veintiséis</w:t>
      </w:r>
      <w:r w:rsidRPr="00A43775">
        <w:rPr>
          <w:rFonts w:ascii="Palatino Linotype" w:eastAsia="Palatino Linotype" w:hAnsi="Palatino Linotype" w:cs="Palatino Linotype"/>
        </w:rPr>
        <w:t xml:space="preserve">, el SUJETO OBLIGADO  rindió su informe justificado mediante los archivos electrónicos  </w:t>
      </w:r>
      <w:r w:rsidRPr="00A43775">
        <w:rPr>
          <w:rFonts w:ascii="Arial" w:eastAsia="Arial" w:hAnsi="Arial" w:cs="Arial"/>
          <w:color w:val="67C19D"/>
        </w:rPr>
        <w:br/>
      </w:r>
      <w:r w:rsidRPr="00A43775">
        <w:rPr>
          <w:rFonts w:ascii="Palatino Linotype" w:eastAsia="Palatino Linotype" w:hAnsi="Palatino Linotype" w:cs="Palatino Linotype"/>
          <w:b/>
          <w:bCs/>
          <w:i/>
          <w:iCs/>
        </w:rPr>
        <w:t xml:space="preserve">Ratificación 13723.pdf,  </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b/>
          <w:bCs/>
          <w:i/>
          <w:iCs/>
        </w:rPr>
        <w:tab/>
        <w:t>13723-2025-DGA.pdf,</w:t>
      </w:r>
      <w:r w:rsidRPr="00A43775">
        <w:rPr>
          <w:i/>
          <w:iCs/>
        </w:rPr>
        <w:t xml:space="preserve"> </w:t>
      </w:r>
      <w:r w:rsidRPr="00A43775">
        <w:rPr>
          <w:rFonts w:ascii="Palatino Linotype" w:eastAsia="Palatino Linotype" w:hAnsi="Palatino Linotype" w:cs="Palatino Linotype"/>
          <w:b/>
          <w:bCs/>
          <w:i/>
          <w:iCs/>
        </w:rPr>
        <w:t>13723-2025-DGA.pdf y  13723-2025-DGA.pdf</w:t>
      </w:r>
      <w:r w:rsidRPr="00A43775">
        <w:rPr>
          <w:rFonts w:ascii="Palatino Linotype" w:eastAsia="Palatino Linotype" w:hAnsi="Palatino Linotype" w:cs="Palatino Linotype"/>
          <w:b/>
          <w:bCs/>
        </w:rPr>
        <w:t xml:space="preserve"> </w:t>
      </w:r>
      <w:r w:rsidRPr="00A43775">
        <w:rPr>
          <w:rFonts w:ascii="Palatino Linotype" w:eastAsia="Palatino Linotype" w:hAnsi="Palatino Linotype" w:cs="Palatino Linotype"/>
        </w:rPr>
        <w:t xml:space="preserve">donde sustancialmente ratifica su respuesta inicial </w:t>
      </w:r>
      <w:r w:rsidRPr="00A43775">
        <w:rPr>
          <w:rFonts w:ascii="Palatino Linotype" w:eastAsia="Palatino Linotype" w:hAnsi="Palatino Linotype" w:cs="Palatino Linotype"/>
          <w:color w:val="000000"/>
        </w:rPr>
        <w:t xml:space="preserve">mientras que </w:t>
      </w:r>
      <w:r w:rsidRPr="00A43775">
        <w:rPr>
          <w:rFonts w:ascii="Palatino Linotype" w:eastAsia="Palatino Linotype" w:hAnsi="Palatino Linotype" w:cs="Palatino Linotype"/>
          <w:b/>
          <w:bCs/>
          <w:color w:val="000000"/>
        </w:rPr>
        <w:t>LA RECURRENTE</w:t>
      </w:r>
      <w:r w:rsidRPr="00A43775">
        <w:rPr>
          <w:rFonts w:ascii="Palatino Linotype" w:eastAsia="Palatino Linotype" w:hAnsi="Palatino Linotype" w:cs="Palatino Linotype"/>
          <w:color w:val="000000"/>
        </w:rPr>
        <w:t xml:space="preserve"> dejó de realizar manifestaciones que a su derecho convinieran y asistieran.</w:t>
      </w:r>
    </w:p>
    <w:p w:rsidR="00086DA7" w:rsidRPr="00A43775" w:rsidRDefault="00086DA7">
      <w:pPr>
        <w:jc w:val="both"/>
        <w:rPr>
          <w:rFonts w:ascii="Palatino Linotype" w:eastAsia="Palatino Linotype" w:hAnsi="Palatino Linotype" w:cs="Palatino Linotype"/>
          <w:b/>
          <w:bCs/>
        </w:rPr>
      </w:pPr>
    </w:p>
    <w:p w:rsidR="00086DA7" w:rsidRPr="00A43775" w:rsidRDefault="00AB7E1C">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color w:val="000000"/>
        </w:rPr>
      </w:pPr>
      <w:r w:rsidRPr="00A43775">
        <w:rPr>
          <w:rFonts w:ascii="Palatino Linotype" w:eastAsia="Palatino Linotype" w:hAnsi="Palatino Linotype" w:cs="Palatino Linotype"/>
          <w:color w:val="000000"/>
        </w:rPr>
        <w:t xml:space="preserve">En fecha trece de diciembre de dos mil veinticinco el Recurrente manifestó que se le está negando la información pública, adjuntando el archivo </w:t>
      </w:r>
      <w:r w:rsidRPr="00A43775">
        <w:rPr>
          <w:rFonts w:ascii="Palatino Linotype" w:eastAsia="Palatino Linotype" w:hAnsi="Palatino Linotype" w:cs="Palatino Linotype"/>
          <w:b/>
          <w:bCs/>
          <w:i/>
          <w:iCs/>
          <w:color w:val="000000"/>
        </w:rPr>
        <w:t xml:space="preserve">Recurso de revision del Expediente 06559.pdf </w:t>
      </w:r>
      <w:r w:rsidRPr="00A43775">
        <w:rPr>
          <w:rFonts w:ascii="Palatino Linotype" w:eastAsia="Palatino Linotype" w:hAnsi="Palatino Linotype" w:cs="Palatino Linotype"/>
          <w:color w:val="000000"/>
        </w:rPr>
        <w:t>donde el particular reitera los puntos de su solicitud y la entrega incompleta de la información.</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A43775">
        <w:rPr>
          <w:rFonts w:ascii="Palatino Linotype" w:eastAsia="Palatino Linotype" w:hAnsi="Palatino Linotype" w:cs="Palatino Linotype"/>
          <w:color w:val="000000"/>
        </w:rPr>
        <w:t>Posteriormente en</w:t>
      </w:r>
      <w:r w:rsidRPr="00A43775">
        <w:rPr>
          <w:rFonts w:ascii="Palatino Linotype" w:eastAsia="Palatino Linotype" w:hAnsi="Palatino Linotype" w:cs="Palatino Linotype"/>
          <w:b/>
          <w:bCs/>
          <w:color w:val="000000"/>
        </w:rPr>
        <w:t xml:space="preserve"> trece de febrero de dos mil veintiséis</w:t>
      </w:r>
      <w:r w:rsidRPr="00A43775">
        <w:rPr>
          <w:rFonts w:ascii="Palatino Linotype" w:eastAsia="Palatino Linotype" w:hAnsi="Palatino Linotype" w:cs="Palatino Linotype"/>
          <w:color w:val="000000"/>
        </w:rPr>
        <w:t>, se acordó ampliar el término para resolver el presente asunto.</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b/>
          <w:bCs/>
          <w:color w:val="000000"/>
        </w:rPr>
      </w:pPr>
    </w:p>
    <w:p w:rsidR="00086DA7" w:rsidRPr="00A43775" w:rsidRDefault="00AB7E1C">
      <w:pPr>
        <w:numPr>
          <w:ilvl w:val="0"/>
          <w:numId w:val="5"/>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086DA7" w:rsidRPr="00A43775" w:rsidRDefault="00086DA7">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rsidR="00086DA7" w:rsidRPr="00A43775" w:rsidRDefault="00AB7E1C">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rPr>
        <w:t>Finalmente, la Comisionada Ponente mediante acuerdo de fecha</w:t>
      </w:r>
      <w:r w:rsidRPr="00A43775">
        <w:rPr>
          <w:rFonts w:ascii="Palatino Linotype" w:eastAsia="Palatino Linotype" w:hAnsi="Palatino Linotype" w:cs="Palatino Linotype"/>
          <w:b/>
          <w:bCs/>
        </w:rPr>
        <w:t xml:space="preserve"> </w:t>
      </w:r>
      <w:r w:rsidRPr="00A43775">
        <w:rPr>
          <w:rFonts w:ascii="Palatino Linotype" w:eastAsia="Palatino Linotype" w:hAnsi="Palatino Linotype" w:cs="Palatino Linotype"/>
          <w:b/>
          <w:bCs/>
          <w:highlight w:val="white"/>
        </w:rPr>
        <w:t>diecisiete de abril de dos mil veintiséis</w:t>
      </w:r>
      <w:r w:rsidRPr="00A43775">
        <w:rPr>
          <w:rFonts w:ascii="Palatino Linotype" w:eastAsia="Palatino Linotype" w:hAnsi="Palatino Linotype" w:cs="Palatino Linotype"/>
          <w:highlight w:val="white"/>
        </w:rPr>
        <w:t xml:space="preserve">, decretó el cierre de instrucción </w:t>
      </w:r>
      <w:r w:rsidRPr="00A43775">
        <w:rPr>
          <w:rFonts w:ascii="Palatino Linotype" w:eastAsia="Palatino Linotype" w:hAnsi="Palatino Linotype" w:cs="Palatino Linotype"/>
        </w:rPr>
        <w:t>del expediente, por lo que no habiendo más que hacer constar, y</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086DA7">
      <w:pPr>
        <w:ind w:left="360" w:firstLine="360"/>
        <w:rPr>
          <w:rFonts w:ascii="Palatino Linotype" w:eastAsia="Palatino Linotype" w:hAnsi="Palatino Linotype" w:cs="Palatino Linotype"/>
          <w:i/>
          <w:iCs/>
        </w:rPr>
      </w:pPr>
    </w:p>
    <w:p w:rsidR="00086DA7" w:rsidRPr="00A43775" w:rsidRDefault="00AB7E1C">
      <w:pPr>
        <w:spacing w:line="360" w:lineRule="auto"/>
        <w:jc w:val="center"/>
        <w:rPr>
          <w:rFonts w:ascii="Palatino Linotype" w:eastAsia="Palatino Linotype" w:hAnsi="Palatino Linotype" w:cs="Palatino Linotype"/>
          <w:b/>
          <w:bCs/>
          <w:color w:val="000000"/>
        </w:rPr>
      </w:pPr>
      <w:bookmarkStart w:id="3" w:name="_heading=h.3znysh7" w:colFirst="0" w:colLast="0"/>
      <w:bookmarkEnd w:id="3"/>
      <w:r w:rsidRPr="00A43775">
        <w:rPr>
          <w:rFonts w:ascii="Palatino Linotype" w:eastAsia="Palatino Linotype" w:hAnsi="Palatino Linotype" w:cs="Palatino Linotype"/>
          <w:b/>
          <w:bCs/>
          <w:color w:val="000000"/>
        </w:rPr>
        <w:t>C O N S I D E R A N D O</w:t>
      </w:r>
    </w:p>
    <w:p w:rsidR="00086DA7" w:rsidRPr="00A43775" w:rsidRDefault="00086DA7">
      <w:pPr>
        <w:spacing w:line="360" w:lineRule="auto"/>
        <w:jc w:val="center"/>
        <w:rPr>
          <w:rFonts w:ascii="Palatino Linotype" w:eastAsia="Palatino Linotype" w:hAnsi="Palatino Linotype" w:cs="Palatino Linotype"/>
          <w:b/>
          <w:bCs/>
        </w:rPr>
      </w:pPr>
    </w:p>
    <w:p w:rsidR="00086DA7" w:rsidRPr="00A43775" w:rsidRDefault="00AB7E1C">
      <w:pPr>
        <w:keepNext/>
        <w:keepLines/>
        <w:spacing w:line="360" w:lineRule="auto"/>
        <w:rPr>
          <w:rFonts w:ascii="Palatino Linotype" w:eastAsia="Palatino Linotype" w:hAnsi="Palatino Linotype" w:cs="Palatino Linotype"/>
          <w:b/>
          <w:bCs/>
        </w:rPr>
      </w:pPr>
      <w:bookmarkStart w:id="4" w:name="_heading=h.2et92p0" w:colFirst="0" w:colLast="0"/>
      <w:bookmarkEnd w:id="4"/>
      <w:r w:rsidRPr="00A43775">
        <w:rPr>
          <w:rFonts w:ascii="Palatino Linotype" w:eastAsia="Palatino Linotype" w:hAnsi="Palatino Linotype" w:cs="Palatino Linotype"/>
          <w:b/>
          <w:bCs/>
        </w:rPr>
        <w:t>PRIMERO. De la competencia</w:t>
      </w:r>
    </w:p>
    <w:p w:rsidR="00086DA7" w:rsidRPr="00A43775" w:rsidRDefault="00AB7E1C">
      <w:pPr>
        <w:numPr>
          <w:ilvl w:val="0"/>
          <w:numId w:val="6"/>
        </w:numPr>
        <w:spacing w:line="360" w:lineRule="auto"/>
        <w:ind w:left="0" w:firstLine="0"/>
        <w:jc w:val="both"/>
        <w:rPr>
          <w:rFonts w:ascii="Palatino Linotype" w:eastAsia="Palatino Linotype" w:hAnsi="Palatino Linotype" w:cs="Palatino Linotype"/>
        </w:rPr>
      </w:pPr>
      <w:bookmarkStart w:id="5" w:name="_heading=h.tyjcwt" w:colFirst="0" w:colLast="0"/>
      <w:bookmarkEnd w:id="5"/>
      <w:r w:rsidRPr="00A43775">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w:t>
      </w:r>
      <w:r w:rsidRPr="00A43775">
        <w:rPr>
          <w:rFonts w:ascii="Palatino Linotype" w:eastAsia="Palatino Linotype" w:hAnsi="Palatino Linotype" w:cs="Palatino Linotype"/>
        </w:rPr>
        <w:lastRenderedPageBreak/>
        <w:t>Información Pública y Protección de Datos Personales del Estado de México y Municipios.</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pStyle w:val="Ttulo2"/>
        <w:tabs>
          <w:tab w:val="left" w:pos="0"/>
        </w:tabs>
        <w:spacing w:before="0" w:line="360" w:lineRule="auto"/>
        <w:rPr>
          <w:rFonts w:ascii="Palatino Linotype" w:eastAsia="Palatino Linotype" w:hAnsi="Palatino Linotype" w:cs="Palatino Linotype"/>
          <w:b/>
          <w:bCs/>
          <w:color w:val="000000"/>
          <w:sz w:val="24"/>
          <w:szCs w:val="24"/>
        </w:rPr>
      </w:pPr>
      <w:bookmarkStart w:id="6" w:name="_heading=h.3dy6vkm" w:colFirst="0" w:colLast="0"/>
      <w:bookmarkEnd w:id="6"/>
      <w:r w:rsidRPr="00A43775">
        <w:rPr>
          <w:rFonts w:ascii="Palatino Linotype" w:eastAsia="Palatino Linotype" w:hAnsi="Palatino Linotype" w:cs="Palatino Linotype"/>
          <w:b/>
          <w:bCs/>
          <w:color w:val="000000"/>
          <w:sz w:val="24"/>
          <w:szCs w:val="24"/>
        </w:rPr>
        <w:t>SEGUNDO. De la oportunidad y procedencia.</w:t>
      </w:r>
    </w:p>
    <w:p w:rsidR="00086DA7" w:rsidRPr="00A43775" w:rsidRDefault="00AB7E1C">
      <w:pPr>
        <w:numPr>
          <w:ilvl w:val="0"/>
          <w:numId w:val="1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A43775">
        <w:rPr>
          <w:rFonts w:ascii="Palatino Linotype" w:eastAsia="Palatino Linotype" w:hAnsi="Palatino Linotype" w:cs="Palatino Linotype"/>
          <w:color w:val="000000"/>
        </w:rPr>
        <w:t xml:space="preserve"> El medio de impugnación fue presentado a través del </w:t>
      </w:r>
      <w:r w:rsidRPr="00A43775">
        <w:rPr>
          <w:rFonts w:ascii="Palatino Linotype" w:eastAsia="Palatino Linotype" w:hAnsi="Palatino Linotype" w:cs="Palatino Linotype"/>
          <w:b/>
          <w:bCs/>
          <w:color w:val="000000"/>
        </w:rPr>
        <w:t xml:space="preserve">SAIMEX </w:t>
      </w:r>
      <w:r w:rsidRPr="00A43775">
        <w:rPr>
          <w:rFonts w:ascii="Palatino Linotype" w:eastAsia="Palatino Linotype" w:hAnsi="Palatino Linotype" w:cs="Palatino Linotype"/>
          <w:color w:val="000000"/>
        </w:rPr>
        <w:t xml:space="preserve">en el formato previamente aprobado para tal efecto y dentro del plazo legal de quince días hábiles otorgados; siendo así que el </w:t>
      </w:r>
      <w:r w:rsidRPr="00A43775">
        <w:rPr>
          <w:rFonts w:ascii="Palatino Linotype" w:eastAsia="Palatino Linotype" w:hAnsi="Palatino Linotype" w:cs="Palatino Linotype"/>
          <w:b/>
          <w:bCs/>
          <w:color w:val="000000"/>
        </w:rPr>
        <w:t>SUJETO OBLIGADO</w:t>
      </w:r>
      <w:r w:rsidRPr="00A43775">
        <w:rPr>
          <w:rFonts w:ascii="Palatino Linotype" w:eastAsia="Palatino Linotype" w:hAnsi="Palatino Linotype" w:cs="Palatino Linotype"/>
          <w:color w:val="000000"/>
        </w:rPr>
        <w:t xml:space="preserve"> entregó respuesta </w:t>
      </w:r>
      <w:r w:rsidRPr="00A43775">
        <w:rPr>
          <w:rFonts w:ascii="Palatino Linotype" w:eastAsia="Palatino Linotype" w:hAnsi="Palatino Linotype" w:cs="Palatino Linotype"/>
          <w:b/>
          <w:bCs/>
          <w:color w:val="000000"/>
        </w:rPr>
        <w:t>el cuatro de diciembre de dos mil veinticinco</w:t>
      </w:r>
      <w:r w:rsidRPr="00A43775">
        <w:rPr>
          <w:rFonts w:ascii="Palatino Linotype" w:eastAsia="Palatino Linotype" w:hAnsi="Palatino Linotype" w:cs="Palatino Linotype"/>
          <w:color w:val="000000"/>
        </w:rPr>
        <w:t xml:space="preserve">, de tal forma que el plazo para interponer el recurso de revisión transcurrió del </w:t>
      </w:r>
      <w:r w:rsidRPr="00A43775">
        <w:rPr>
          <w:rFonts w:ascii="Palatino Linotype" w:eastAsia="Palatino Linotype" w:hAnsi="Palatino Linotype" w:cs="Palatino Linotype"/>
          <w:b/>
          <w:bCs/>
          <w:color w:val="000000"/>
        </w:rPr>
        <w:t>cinco de diciembre de dos mil veinticinco al quince de enero de dos mil veintiséis</w:t>
      </w:r>
      <w:r w:rsidRPr="00A43775">
        <w:rPr>
          <w:rFonts w:ascii="Palatino Linotype" w:eastAsia="Palatino Linotype" w:hAnsi="Palatino Linotype" w:cs="Palatino Linotype"/>
          <w:color w:val="000000"/>
        </w:rPr>
        <w:t xml:space="preserve">, en consecuencia, si la parte </w:t>
      </w:r>
      <w:r w:rsidRPr="00A43775">
        <w:rPr>
          <w:rFonts w:ascii="Palatino Linotype" w:eastAsia="Palatino Linotype" w:hAnsi="Palatino Linotype" w:cs="Palatino Linotype"/>
          <w:b/>
          <w:bCs/>
          <w:color w:val="000000"/>
        </w:rPr>
        <w:t xml:space="preserve">RECURRENTE </w:t>
      </w:r>
      <w:r w:rsidRPr="00A43775">
        <w:rPr>
          <w:rFonts w:ascii="Palatino Linotype" w:eastAsia="Palatino Linotype" w:hAnsi="Palatino Linotype" w:cs="Palatino Linotype"/>
          <w:color w:val="000000"/>
        </w:rPr>
        <w:t xml:space="preserve">presentó su inconformidad el </w:t>
      </w:r>
      <w:r w:rsidRPr="00A43775">
        <w:rPr>
          <w:rFonts w:ascii="Palatino Linotype" w:eastAsia="Palatino Linotype" w:hAnsi="Palatino Linotype" w:cs="Palatino Linotype"/>
          <w:b/>
          <w:bCs/>
          <w:color w:val="000000"/>
        </w:rPr>
        <w:t>cuatro de diciembre de dos mil veinticinco</w:t>
      </w:r>
      <w:r w:rsidRPr="00A43775">
        <w:rPr>
          <w:rFonts w:ascii="Palatino Linotype" w:eastAsia="Palatino Linotype" w:hAnsi="Palatino Linotype" w:cs="Palatino Linotype"/>
          <w:color w:val="000000"/>
        </w:rPr>
        <w:t>, se encuentra dentro de los márgenes temporales previstos en el artículo 178 de la Ley de Transparencia y Acceso a la Información Pública del Estado de México y Municipios.</w:t>
      </w:r>
    </w:p>
    <w:p w:rsidR="00086DA7" w:rsidRPr="00A43775" w:rsidRDefault="00086DA7">
      <w:pPr>
        <w:spacing w:line="360" w:lineRule="auto"/>
        <w:jc w:val="both"/>
      </w:pP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numPr>
          <w:ilvl w:val="0"/>
          <w:numId w:val="7"/>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086DA7" w:rsidRPr="00A43775" w:rsidRDefault="00086DA7">
      <w:pPr>
        <w:spacing w:line="360" w:lineRule="auto"/>
        <w:ind w:left="360" w:right="27" w:hanging="360"/>
        <w:rPr>
          <w:rFonts w:ascii="Palatino Linotype" w:eastAsia="Palatino Linotype" w:hAnsi="Palatino Linotype" w:cs="Palatino Linotype"/>
        </w:rPr>
      </w:pPr>
    </w:p>
    <w:p w:rsidR="00086DA7" w:rsidRPr="00A43775" w:rsidRDefault="00AB7E1C">
      <w:pPr>
        <w:numPr>
          <w:ilvl w:val="0"/>
          <w:numId w:val="7"/>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086DA7" w:rsidRPr="00A43775" w:rsidRDefault="00AB7E1C">
      <w:pPr>
        <w:tabs>
          <w:tab w:val="left" w:pos="3670"/>
        </w:tabs>
        <w:spacing w:line="360" w:lineRule="auto"/>
        <w:ind w:left="720" w:right="27"/>
        <w:rPr>
          <w:rFonts w:ascii="Palatino Linotype" w:eastAsia="Palatino Linotype" w:hAnsi="Palatino Linotype" w:cs="Palatino Linotype"/>
          <w:color w:val="555555"/>
        </w:rPr>
      </w:pPr>
      <w:r w:rsidRPr="00A43775">
        <w:rPr>
          <w:rFonts w:ascii="Palatino Linotype" w:eastAsia="Palatino Linotype" w:hAnsi="Palatino Linotype" w:cs="Palatino Linotype"/>
          <w:color w:val="555555"/>
        </w:rPr>
        <w:tab/>
      </w:r>
    </w:p>
    <w:p w:rsidR="00086DA7" w:rsidRPr="00A43775" w:rsidRDefault="00AB7E1C">
      <w:pPr>
        <w:spacing w:line="360" w:lineRule="auto"/>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“RECURSO DE RECLAMACIÓN. SU INTERPOSICIÓN NO ES EXTEMPORÁNEA SI SE REALIZA ANTES DE QUE INICIE EL PLAZO PARA HACERLO</w:t>
      </w:r>
      <w:r w:rsidRPr="00A43775">
        <w:rPr>
          <w:rFonts w:ascii="Palatino Linotype" w:eastAsia="Palatino Linotype" w:hAnsi="Palatino Linotype" w:cs="Palatino Linotype"/>
          <w:i/>
          <w:iCs/>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86DA7" w:rsidRPr="00A43775" w:rsidRDefault="00086DA7">
      <w:pPr>
        <w:spacing w:line="360" w:lineRule="auto"/>
        <w:ind w:left="426" w:right="27"/>
        <w:jc w:val="both"/>
        <w:rPr>
          <w:rFonts w:ascii="Palatino Linotype" w:eastAsia="Palatino Linotype" w:hAnsi="Palatino Linotype" w:cs="Palatino Linotype"/>
          <w:i/>
          <w:iCs/>
        </w:rPr>
      </w:pPr>
    </w:p>
    <w:p w:rsidR="00086DA7" w:rsidRPr="00A43775" w:rsidRDefault="00AB7E1C">
      <w:pPr>
        <w:numPr>
          <w:ilvl w:val="0"/>
          <w:numId w:val="7"/>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Esto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086DA7" w:rsidRPr="00A43775" w:rsidRDefault="00AB7E1C">
      <w:pPr>
        <w:numPr>
          <w:ilvl w:val="0"/>
          <w:numId w:val="7"/>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086DA7" w:rsidRPr="00A43775" w:rsidRDefault="00086DA7">
      <w:pPr>
        <w:spacing w:line="360" w:lineRule="auto"/>
        <w:ind w:right="27"/>
        <w:rPr>
          <w:rFonts w:ascii="Palatino Linotype" w:eastAsia="Palatino Linotype" w:hAnsi="Palatino Linotype" w:cs="Palatino Linotype"/>
        </w:rPr>
      </w:pPr>
    </w:p>
    <w:p w:rsidR="00086DA7" w:rsidRPr="00A43775" w:rsidRDefault="00AB7E1C">
      <w:pPr>
        <w:numPr>
          <w:ilvl w:val="0"/>
          <w:numId w:val="7"/>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Por lo tanto, la interposición del recurso de revisión antes de que inicie el plazo para su presentación no es determinante para declararlo extemporáneo, siempre y cuando ello ocurra de manera posterior a que se ha notificado la respuesta del SUJETO OBLIGADO.</w:t>
      </w:r>
    </w:p>
    <w:p w:rsidR="00086DA7" w:rsidRPr="00A43775" w:rsidRDefault="00086DA7">
      <w:pPr>
        <w:spacing w:line="360" w:lineRule="auto"/>
        <w:jc w:val="both"/>
      </w:pPr>
    </w:p>
    <w:p w:rsidR="00086DA7" w:rsidRPr="00A43775" w:rsidRDefault="00AB7E1C">
      <w:pPr>
        <w:numPr>
          <w:ilvl w:val="0"/>
          <w:numId w:val="7"/>
        </w:numPr>
        <w:spacing w:line="360" w:lineRule="auto"/>
        <w:ind w:left="0" w:firstLine="0"/>
        <w:jc w:val="both"/>
      </w:pPr>
      <w:r w:rsidRPr="00A43775">
        <w:rPr>
          <w:rFonts w:ascii="Palatino Linotype" w:eastAsia="Palatino Linotype" w:hAnsi="Palatino Linotype" w:cs="Palatino Linotype"/>
        </w:rPr>
        <w:t>Por otro lado el escrito contiene las formalidades previstas en el artículo 180 último párrafo de la citada Ley de la materia, por lo que es procedente que este Instituto conozca y resuelva el presente recurso.</w:t>
      </w:r>
    </w:p>
    <w:p w:rsidR="00086DA7" w:rsidRPr="00A43775" w:rsidRDefault="00086DA7">
      <w:pPr>
        <w:spacing w:line="360" w:lineRule="auto"/>
        <w:rPr>
          <w:rFonts w:ascii="Palatino Linotype" w:eastAsia="Palatino Linotype" w:hAnsi="Palatino Linotype" w:cs="Palatino Linotype"/>
        </w:rPr>
      </w:pPr>
    </w:p>
    <w:p w:rsidR="00086DA7" w:rsidRPr="00A43775" w:rsidRDefault="00AB7E1C">
      <w:pPr>
        <w:keepNext/>
        <w:keepLines/>
        <w:spacing w:line="360" w:lineRule="auto"/>
        <w:rPr>
          <w:rFonts w:ascii="Palatino Linotype" w:eastAsia="Palatino Linotype" w:hAnsi="Palatino Linotype" w:cs="Palatino Linotype"/>
          <w:b/>
          <w:bCs/>
          <w:color w:val="000000"/>
        </w:rPr>
      </w:pPr>
      <w:bookmarkStart w:id="7" w:name="_heading=h.4d34og8" w:colFirst="0" w:colLast="0"/>
      <w:bookmarkEnd w:id="7"/>
      <w:r w:rsidRPr="00A43775">
        <w:rPr>
          <w:rFonts w:ascii="Palatino Linotype" w:eastAsia="Palatino Linotype" w:hAnsi="Palatino Linotype" w:cs="Palatino Linotype"/>
          <w:b/>
          <w:bCs/>
          <w:color w:val="000000"/>
        </w:rPr>
        <w:t xml:space="preserve">TERCERO. Del planteamiento de la </w:t>
      </w:r>
      <w:r w:rsidRPr="00A43775">
        <w:rPr>
          <w:rFonts w:ascii="Palatino Linotype" w:eastAsia="Palatino Linotype" w:hAnsi="Palatino Linotype" w:cs="Palatino Linotype"/>
          <w:b/>
          <w:bCs/>
          <w:i/>
          <w:iCs/>
          <w:color w:val="000000"/>
        </w:rPr>
        <w:t>Litis</w:t>
      </w:r>
      <w:r w:rsidRPr="00A43775">
        <w:rPr>
          <w:rFonts w:ascii="Palatino Linotype" w:eastAsia="Palatino Linotype" w:hAnsi="Palatino Linotype" w:cs="Palatino Linotype"/>
          <w:b/>
          <w:bCs/>
          <w:color w:val="000000"/>
        </w:rPr>
        <w:t>.</w:t>
      </w:r>
    </w:p>
    <w:p w:rsidR="00086DA7" w:rsidRPr="00A43775" w:rsidRDefault="00AB7E1C">
      <w:pPr>
        <w:numPr>
          <w:ilvl w:val="0"/>
          <w:numId w:val="9"/>
        </w:numPr>
        <w:spacing w:line="360" w:lineRule="auto"/>
        <w:ind w:left="0" w:firstLine="0"/>
        <w:jc w:val="both"/>
        <w:rPr>
          <w:rFonts w:ascii="Palatino Linotype" w:eastAsia="Palatino Linotype" w:hAnsi="Palatino Linotype" w:cs="Palatino Linotype"/>
          <w:b/>
          <w:bCs/>
        </w:rPr>
      </w:pPr>
      <w:r w:rsidRPr="00A43775">
        <w:rPr>
          <w:rFonts w:ascii="Palatino Linotype" w:eastAsia="Palatino Linotype" w:hAnsi="Palatino Linotype" w:cs="Palatino Linotype"/>
        </w:rPr>
        <w:t>De las constancias en el expediente al rubro indicado, se desprende que el particular solicitó:</w:t>
      </w:r>
    </w:p>
    <w:p w:rsidR="00086DA7" w:rsidRPr="00A43775" w:rsidRDefault="00AB7E1C">
      <w:pP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1. De la Directora de Administración:  tiene asignado vehículo oficial, cajón de estacionamiento, monto de combustible asignado mensualmente, la manera en que lo comprueba, sueldo mensual bruto y neto, si cuenta con chofer, sueldo mensual bruto y neto del chofer, si la plaza es de base, confianza o por contrato, quien lo contrato en qué fecha, mediante que procedimiento de selección fue contratado, cual es el horario de la directora y el chofer, si checan asistencia y mediante que método la comprueban. </w:t>
      </w:r>
    </w:p>
    <w:p w:rsidR="00086DA7" w:rsidRPr="00A43775" w:rsidRDefault="00AB7E1C">
      <w:pP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2. Si el Presidente Municipal y todos los integrantes del Cabildo, tienen asignado vehículo oficial o que unidades utilizan para llevar a cabo sus </w:t>
      </w:r>
      <w:r w:rsidRPr="00A43775">
        <w:rPr>
          <w:rFonts w:ascii="Palatino Linotype" w:eastAsia="Palatino Linotype" w:hAnsi="Palatino Linotype" w:cs="Palatino Linotype"/>
          <w:i/>
          <w:iCs/>
          <w:color w:val="000000"/>
        </w:rPr>
        <w:lastRenderedPageBreak/>
        <w:t xml:space="preserve">funciones, si cuentan con cajón de estacionamiento, cantidad mensual de combustible que se les asigna, como la comprueban, mediante qué acuerdo de cabildo en su caso de existir se les dota, requiero el acuerdo y el procedimiento administrativo normativo establecido para dotarlos de combustible, quien lo autorizo, en qué fecha y el fundamento legal. </w:t>
      </w:r>
    </w:p>
    <w:p w:rsidR="00086DA7" w:rsidRPr="00A43775" w:rsidRDefault="00AB7E1C">
      <w:pP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3. Los contratos de combustible debidamente requisitados y firmados por las y los servidores públicos que en ellos intervienen y si ya están publicados, solicito la liga para su descarga.</w:t>
      </w:r>
    </w:p>
    <w:p w:rsidR="00086DA7" w:rsidRPr="00A43775" w:rsidRDefault="00AB7E1C">
      <w:pP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4. Si la o el titular del departamento de combustible, dispersa combustible a unidades que no tienes placas oficiales y que son unidades de uso del municipio de Toluca. Si es afirmativo requiero el oficio u acuerdo que autoriza lo anterior debidamente fundamentado y requisitado por quien en ello interviene.</w:t>
      </w:r>
    </w:p>
    <w:p w:rsidR="00086DA7" w:rsidRPr="00A43775" w:rsidRDefault="00AB7E1C">
      <w:pP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 5. Si las placas me-043a-5, pertenecen a algún vehículo oficial propiedad o en arrendamiento al municipio de Toluca y quien tiene dicha unidad bajo resguardo. Señalando en caso de que nieguen la información de carácter público el área a la que está asignada y cuáles son las funciones que se realizan con dicha unidad, si tiene cajón de estacionamiento y si se resguarda los fines de semana, días festivos o puentes marcados por la ley en el Estado de México.</w:t>
      </w:r>
    </w:p>
    <w:p w:rsidR="00086DA7" w:rsidRPr="00A43775" w:rsidRDefault="00086DA7">
      <w:pPr>
        <w:spacing w:line="276" w:lineRule="auto"/>
        <w:ind w:left="1134" w:right="851"/>
        <w:jc w:val="both"/>
        <w:rPr>
          <w:rFonts w:ascii="Palatino Linotype" w:eastAsia="Palatino Linotype" w:hAnsi="Palatino Linotype" w:cs="Palatino Linotype"/>
        </w:rPr>
      </w:pPr>
    </w:p>
    <w:p w:rsidR="00086DA7" w:rsidRPr="00A43775" w:rsidRDefault="00AB7E1C">
      <w:pPr>
        <w:numPr>
          <w:ilvl w:val="0"/>
          <w:numId w:val="29"/>
        </w:numPr>
        <w:pBdr>
          <w:top w:val="nil"/>
          <w:left w:val="nil"/>
          <w:bottom w:val="nil"/>
          <w:right w:val="nil"/>
          <w:between w:val="nil"/>
        </w:pBdr>
        <w:tabs>
          <w:tab w:val="left" w:pos="851"/>
        </w:tabs>
        <w:spacing w:line="360" w:lineRule="auto"/>
        <w:ind w:left="0" w:firstLine="0"/>
        <w:jc w:val="both"/>
        <w:rPr>
          <w:color w:val="000000"/>
        </w:rPr>
      </w:pPr>
      <w:r w:rsidRPr="00A43775">
        <w:rPr>
          <w:rFonts w:ascii="Palatino Linotype" w:eastAsia="Palatino Linotype" w:hAnsi="Palatino Linotype" w:cs="Palatino Linotype"/>
          <w:color w:val="000000"/>
        </w:rPr>
        <w:t>En respuesta el Sujeto Obligado, remitió los archivos ya descritos en el numeral 2, por lo que, inconforme con la respuesta, se interpuso el recurso de revisión, argumentando sustancialmente la entrega de información incompleta.</w:t>
      </w:r>
    </w:p>
    <w:p w:rsidR="00086DA7" w:rsidRPr="00A43775" w:rsidRDefault="00AB7E1C">
      <w:pPr>
        <w:ind w:left="1134" w:right="900"/>
        <w:jc w:val="both"/>
        <w:rPr>
          <w:rFonts w:ascii="Palatino Linotype" w:eastAsia="Palatino Linotype" w:hAnsi="Palatino Linotype" w:cs="Palatino Linotype"/>
          <w:b/>
          <w:bCs/>
          <w:i/>
          <w:iCs/>
        </w:rPr>
      </w:pPr>
      <w:r w:rsidRPr="00A43775">
        <w:rPr>
          <w:rFonts w:ascii="Palatino Linotype" w:eastAsia="Palatino Linotype" w:hAnsi="Palatino Linotype" w:cs="Palatino Linotype"/>
        </w:rPr>
        <w:tab/>
      </w:r>
      <w:r w:rsidRPr="00A43775">
        <w:rPr>
          <w:rFonts w:ascii="Palatino Linotype" w:eastAsia="Palatino Linotype" w:hAnsi="Palatino Linotype" w:cs="Palatino Linotype"/>
          <w:i/>
          <w:iCs/>
        </w:rPr>
        <w:t xml:space="preserve"> </w:t>
      </w:r>
    </w:p>
    <w:p w:rsidR="00086DA7" w:rsidRPr="00A43775" w:rsidRDefault="00AB7E1C">
      <w:pPr>
        <w:numPr>
          <w:ilvl w:val="0"/>
          <w:numId w:val="29"/>
        </w:numPr>
        <w:spacing w:line="360" w:lineRule="auto"/>
        <w:ind w:left="0"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En dichas condiciones, la </w:t>
      </w:r>
      <w:r w:rsidRPr="00A43775">
        <w:rPr>
          <w:rFonts w:ascii="Palatino Linotype" w:eastAsia="Palatino Linotype" w:hAnsi="Palatino Linotype" w:cs="Palatino Linotype"/>
          <w:i/>
          <w:iCs/>
        </w:rPr>
        <w:t>Litis</w:t>
      </w:r>
      <w:r w:rsidRPr="00A43775">
        <w:rPr>
          <w:rFonts w:ascii="Palatino Linotype" w:eastAsia="Palatino Linotype" w:hAnsi="Palatino Linotype" w:cs="Palatino Linotype"/>
        </w:rPr>
        <w:t xml:space="preserve"> a resolver en este recurso se circunscribe a determinar si se actualizan las causales de procedencia previstas en el artículo 179, </w:t>
      </w:r>
      <w:r w:rsidRPr="00A43775">
        <w:rPr>
          <w:rFonts w:ascii="Palatino Linotype" w:eastAsia="Palatino Linotype" w:hAnsi="Palatino Linotype" w:cs="Palatino Linotype"/>
          <w:b/>
          <w:bCs/>
        </w:rPr>
        <w:t xml:space="preserve">fracción  V </w:t>
      </w:r>
      <w:r w:rsidRPr="00A43775">
        <w:rPr>
          <w:rFonts w:ascii="Palatino Linotype" w:eastAsia="Palatino Linotype" w:hAnsi="Palatino Linotype" w:cs="Palatino Linotype"/>
        </w:rPr>
        <w:t>de la</w:t>
      </w:r>
      <w:r w:rsidRPr="00A43775">
        <w:rPr>
          <w:rFonts w:ascii="Palatino Linotype" w:eastAsia="Palatino Linotype" w:hAnsi="Palatino Linotype" w:cs="Palatino Linotype"/>
          <w:color w:val="000000"/>
        </w:rPr>
        <w:t xml:space="preserve"> Ley</w:t>
      </w:r>
      <w:r w:rsidRPr="00A43775">
        <w:rPr>
          <w:rFonts w:ascii="Palatino Linotype" w:eastAsia="Palatino Linotype" w:hAnsi="Palatino Linotype" w:cs="Palatino Linotype"/>
          <w:b/>
          <w:bCs/>
        </w:rPr>
        <w:t xml:space="preserve"> de Transparencia y Acceso a la Información Pública del Estado de </w:t>
      </w:r>
      <w:r w:rsidRPr="00A43775">
        <w:rPr>
          <w:rFonts w:ascii="Palatino Linotype" w:eastAsia="Palatino Linotype" w:hAnsi="Palatino Linotype" w:cs="Palatino Linotype"/>
        </w:rPr>
        <w:t>México</w:t>
      </w:r>
      <w:r w:rsidRPr="00A43775">
        <w:rPr>
          <w:rFonts w:ascii="Palatino Linotype" w:eastAsia="Palatino Linotype" w:hAnsi="Palatino Linotype" w:cs="Palatino Linotype"/>
          <w:b/>
          <w:bCs/>
        </w:rPr>
        <w:t xml:space="preserve"> y Municipios</w:t>
      </w:r>
      <w:r w:rsidRPr="00A43775">
        <w:rPr>
          <w:rFonts w:ascii="Palatino Linotype" w:eastAsia="Palatino Linotype" w:hAnsi="Palatino Linotype" w:cs="Palatino Linotype"/>
        </w:rPr>
        <w:t xml:space="preserve">; </w:t>
      </w:r>
      <w:r w:rsidRPr="00A43775">
        <w:rPr>
          <w:rFonts w:ascii="Palatino Linotype" w:eastAsia="Palatino Linotype" w:hAnsi="Palatino Linotype" w:cs="Palatino Linotype"/>
          <w:color w:val="000000"/>
        </w:rPr>
        <w:t xml:space="preserve">fracciones  que </w:t>
      </w:r>
      <w:r w:rsidRPr="00A43775">
        <w:rPr>
          <w:rFonts w:ascii="Palatino Linotype" w:eastAsia="Palatino Linotype" w:hAnsi="Palatino Linotype" w:cs="Palatino Linotype"/>
        </w:rPr>
        <w:t>determinan</w:t>
      </w:r>
      <w:r w:rsidRPr="00A43775">
        <w:rPr>
          <w:rFonts w:ascii="Palatino Linotype" w:eastAsia="Palatino Linotype" w:hAnsi="Palatino Linotype" w:cs="Palatino Linotype"/>
          <w:color w:val="000000"/>
        </w:rPr>
        <w:t xml:space="preserve"> la hipótesis jurídica relativas a la </w:t>
      </w:r>
      <w:r w:rsidRPr="00A43775">
        <w:rPr>
          <w:rFonts w:ascii="Palatino Linotype" w:eastAsia="Palatino Linotype" w:hAnsi="Palatino Linotype" w:cs="Palatino Linotype"/>
          <w:color w:val="000000"/>
        </w:rPr>
        <w:lastRenderedPageBreak/>
        <w:tab/>
        <w:t>entrega incompleta de la información;</w:t>
      </w:r>
      <w:r w:rsidRPr="00A43775">
        <w:rPr>
          <w:rFonts w:ascii="Palatino Linotype" w:eastAsia="Palatino Linotype" w:hAnsi="Palatino Linotype" w:cs="Palatino Linotype"/>
        </w:rPr>
        <w:t xml:space="preserve"> de lo cual se dolió </w:t>
      </w:r>
      <w:r w:rsidRPr="00A43775">
        <w:rPr>
          <w:rFonts w:ascii="Palatino Linotype" w:eastAsia="Palatino Linotype" w:hAnsi="Palatino Linotype" w:cs="Palatino Linotype"/>
          <w:b/>
          <w:bCs/>
        </w:rPr>
        <w:t xml:space="preserve">EL RECURRENTE </w:t>
      </w:r>
      <w:r w:rsidRPr="00A43775">
        <w:rPr>
          <w:rFonts w:ascii="Palatino Linotype" w:eastAsia="Palatino Linotype" w:hAnsi="Palatino Linotype" w:cs="Palatino Linotype"/>
        </w:rPr>
        <w:t>al momento de interponer su inconformidad.</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numPr>
          <w:ilvl w:val="0"/>
          <w:numId w:val="29"/>
        </w:numPr>
        <w:spacing w:line="360" w:lineRule="auto"/>
        <w:ind w:left="0" w:firstLine="0"/>
        <w:jc w:val="both"/>
        <w:rPr>
          <w:rFonts w:ascii="Palatino Linotype" w:eastAsia="Palatino Linotype" w:hAnsi="Palatino Linotype" w:cs="Palatino Linotype"/>
        </w:rPr>
      </w:pPr>
      <w:r w:rsidRPr="00A43775">
        <w:rPr>
          <w:rFonts w:ascii="Palatino Linotype" w:eastAsia="Palatino Linotype" w:hAnsi="Palatino Linotype" w:cs="Palatino Linotype"/>
          <w:color w:val="000000"/>
        </w:rPr>
        <w:t xml:space="preserve">De modo tal que el recurso de revisión se abocará en determinar si el </w:t>
      </w:r>
      <w:r w:rsidRPr="00A43775">
        <w:rPr>
          <w:rFonts w:ascii="Palatino Linotype" w:eastAsia="Palatino Linotype" w:hAnsi="Palatino Linotype" w:cs="Palatino Linotype"/>
          <w:b/>
          <w:bCs/>
        </w:rPr>
        <w:t>SUJETO</w:t>
      </w:r>
      <w:r w:rsidRPr="00A43775">
        <w:rPr>
          <w:rFonts w:ascii="Palatino Linotype" w:eastAsia="Palatino Linotype" w:hAnsi="Palatino Linotype" w:cs="Palatino Linotype"/>
          <w:b/>
          <w:bCs/>
          <w:color w:val="000000"/>
        </w:rPr>
        <w:t xml:space="preserve"> OBLIGADO</w:t>
      </w:r>
      <w:r w:rsidRPr="00A43775">
        <w:rPr>
          <w:rFonts w:ascii="Palatino Linotype" w:eastAsia="Palatino Linotype" w:hAnsi="Palatino Linotype" w:cs="Palatino Linotype"/>
          <w:color w:val="000000"/>
        </w:rPr>
        <w:t xml:space="preserve"> con sus respuestas ciertamente actualiza las causales de procedencia</w:t>
      </w:r>
      <w:r w:rsidRPr="00A43775">
        <w:rPr>
          <w:rFonts w:ascii="Palatino Linotype" w:eastAsia="Palatino Linotype" w:hAnsi="Palatino Linotype" w:cs="Palatino Linotype"/>
          <w:b/>
          <w:bCs/>
          <w:color w:val="000000"/>
        </w:rPr>
        <w:t xml:space="preserve"> </w:t>
      </w:r>
      <w:r w:rsidRPr="00A43775">
        <w:rPr>
          <w:rFonts w:ascii="Palatino Linotype" w:eastAsia="Palatino Linotype" w:hAnsi="Palatino Linotype" w:cs="Palatino Linotype"/>
          <w:color w:val="000000"/>
        </w:rPr>
        <w:t>antes señaladas;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keepNext/>
        <w:keepLines/>
        <w:spacing w:line="360" w:lineRule="auto"/>
        <w:rPr>
          <w:rFonts w:ascii="Palatino Linotype" w:eastAsia="Palatino Linotype" w:hAnsi="Palatino Linotype" w:cs="Palatino Linotype"/>
          <w:b/>
          <w:bCs/>
          <w:color w:val="000000"/>
        </w:rPr>
      </w:pPr>
      <w:r w:rsidRPr="00A43775">
        <w:rPr>
          <w:rFonts w:ascii="Palatino Linotype" w:eastAsia="Palatino Linotype" w:hAnsi="Palatino Linotype" w:cs="Palatino Linotype"/>
          <w:b/>
          <w:bCs/>
          <w:color w:val="000000"/>
        </w:rPr>
        <w:t>CUARTO. Del estudio y resolución del asunto</w:t>
      </w:r>
    </w:p>
    <w:p w:rsidR="00086DA7" w:rsidRPr="00A43775" w:rsidRDefault="00AB7E1C">
      <w:pPr>
        <w:keepNext/>
        <w:keepLines/>
        <w:numPr>
          <w:ilvl w:val="0"/>
          <w:numId w:val="1"/>
        </w:numPr>
        <w:spacing w:after="240" w:line="360" w:lineRule="auto"/>
        <w:ind w:left="786"/>
        <w:rPr>
          <w:rFonts w:ascii="Palatino Linotype" w:eastAsia="Palatino Linotype" w:hAnsi="Palatino Linotype" w:cs="Palatino Linotype"/>
          <w:b/>
          <w:bCs/>
        </w:rPr>
      </w:pPr>
      <w:bookmarkStart w:id="8" w:name="_heading=h.2s8eyo1" w:colFirst="0" w:colLast="0"/>
      <w:bookmarkEnd w:id="8"/>
      <w:r w:rsidRPr="00A43775">
        <w:rPr>
          <w:rFonts w:ascii="Palatino Linotype" w:eastAsia="Palatino Linotype" w:hAnsi="Palatino Linotype" w:cs="Palatino Linotype"/>
          <w:b/>
          <w:bCs/>
        </w:rPr>
        <w:t>Del derecho de acceso a la información.</w:t>
      </w:r>
    </w:p>
    <w:p w:rsidR="00086DA7" w:rsidRPr="00A43775" w:rsidRDefault="00AB7E1C">
      <w:pPr>
        <w:numPr>
          <w:ilvl w:val="0"/>
          <w:numId w:val="2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086DA7" w:rsidRPr="00A43775" w:rsidRDefault="00086DA7">
      <w:pPr>
        <w:spacing w:line="360" w:lineRule="auto"/>
        <w:ind w:right="48"/>
        <w:jc w:val="both"/>
        <w:rPr>
          <w:rFonts w:ascii="Palatino Linotype" w:eastAsia="Palatino Linotype" w:hAnsi="Palatino Linotype" w:cs="Palatino Linotype"/>
        </w:rPr>
      </w:pPr>
    </w:p>
    <w:p w:rsidR="00086DA7" w:rsidRPr="00A43775" w:rsidRDefault="00AB7E1C">
      <w:pPr>
        <w:numPr>
          <w:ilvl w:val="0"/>
          <w:numId w:val="29"/>
        </w:numPr>
        <w:spacing w:line="360" w:lineRule="auto"/>
        <w:ind w:left="0" w:right="49"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Definiendo el Derecho de Acceso a la Información Pública como: </w:t>
      </w:r>
      <w:r w:rsidRPr="00A43775">
        <w:rPr>
          <w:rFonts w:ascii="Palatino Linotype" w:eastAsia="Palatino Linotype" w:hAnsi="Palatino Linotype" w:cs="Palatino Linotype"/>
          <w:i/>
          <w:iCs/>
          <w:color w:val="000000"/>
        </w:rPr>
        <w:t>La igualdad de oportunidades para recibir, buscar e impartir información</w:t>
      </w:r>
      <w:r w:rsidRPr="00A43775">
        <w:rPr>
          <w:rFonts w:ascii="Palatino Linotype" w:eastAsia="Palatino Linotype" w:hAnsi="Palatino Linotype" w:cs="Palatino Linotype"/>
          <w:i/>
          <w:iCs/>
          <w:vertAlign w:val="superscript"/>
        </w:rPr>
        <w:footnoteReference w:id="1"/>
      </w:r>
      <w:r w:rsidRPr="00A43775">
        <w:rPr>
          <w:rFonts w:ascii="Palatino Linotype" w:eastAsia="Palatino Linotype" w:hAnsi="Palatino Linotype" w:cs="Palatino Linotype"/>
          <w:i/>
          <w:iCs/>
          <w:color w:val="000000"/>
        </w:rPr>
        <w:t xml:space="preserve">en posesión de cualquier autoridad, entidad, órgano y organismo de los poderes Ejecutivo, Legislativo y Judicial, órganos autónomos, </w:t>
      </w:r>
      <w:r w:rsidRPr="00A43775">
        <w:rPr>
          <w:rFonts w:ascii="Palatino Linotype" w:eastAsia="Palatino Linotype" w:hAnsi="Palatino Linotype" w:cs="Palatino Linotype"/>
          <w:i/>
          <w:iCs/>
          <w:color w:val="000000"/>
        </w:rPr>
        <w:lastRenderedPageBreak/>
        <w:t>partidos políticos, fideicomisos y fondos públicos, así como de cualquier persona física, moral o sindicato que reciba y ejerza recursos públicos o realice actos de autoridad en el ámbito federal, estatal y municipal,</w:t>
      </w:r>
      <w:r w:rsidRPr="00A43775">
        <w:rPr>
          <w:rFonts w:ascii="Palatino Linotype" w:eastAsia="Palatino Linotype" w:hAnsi="Palatino Linotype" w:cs="Palatino Linotype"/>
          <w:i/>
          <w:iCs/>
          <w:vertAlign w:val="superscript"/>
        </w:rPr>
        <w:footnoteReference w:id="2"/>
      </w:r>
      <w:r w:rsidRPr="00A43775">
        <w:rPr>
          <w:rFonts w:ascii="Palatino Linotype" w:eastAsia="Palatino Linotype" w:hAnsi="Palatino Linotype" w:cs="Palatino Linotype"/>
          <w:color w:val="000000"/>
        </w:rPr>
        <w:t>que se constituye como una herramienta fundamental para ejercer</w:t>
      </w:r>
      <w:r w:rsidRPr="00A43775">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A43775">
        <w:rPr>
          <w:rFonts w:ascii="Palatino Linotype" w:eastAsia="Palatino Linotype" w:hAnsi="Palatino Linotype" w:cs="Palatino Linotype"/>
          <w:i/>
          <w:iCs/>
          <w:vertAlign w:val="superscript"/>
        </w:rPr>
        <w:footnoteReference w:id="3"/>
      </w:r>
      <w:r w:rsidRPr="00A43775">
        <w:rPr>
          <w:rFonts w:ascii="Palatino Linotype" w:eastAsia="Palatino Linotype" w:hAnsi="Palatino Linotype" w:cs="Palatino Linotype"/>
          <w:color w:val="000000"/>
        </w:rPr>
        <w:t>fomentando</w:t>
      </w:r>
      <w:r w:rsidRPr="00A43775">
        <w:rPr>
          <w:rFonts w:ascii="Palatino Linotype" w:eastAsia="Palatino Linotype" w:hAnsi="Palatino Linotype" w:cs="Palatino Linotype"/>
          <w:i/>
          <w:iCs/>
          <w:color w:val="000000"/>
        </w:rPr>
        <w:t xml:space="preserve"> la transparencia de las actividades estatales y </w:t>
      </w:r>
      <w:r w:rsidRPr="00A43775">
        <w:rPr>
          <w:rFonts w:ascii="Palatino Linotype" w:eastAsia="Palatino Linotype" w:hAnsi="Palatino Linotype" w:cs="Palatino Linotype"/>
          <w:color w:val="000000"/>
        </w:rPr>
        <w:t>promoviendo</w:t>
      </w:r>
      <w:r w:rsidRPr="00A43775">
        <w:rPr>
          <w:rFonts w:ascii="Palatino Linotype" w:eastAsia="Palatino Linotype" w:hAnsi="Palatino Linotype" w:cs="Palatino Linotype"/>
          <w:i/>
          <w:iCs/>
          <w:color w:val="000000"/>
        </w:rPr>
        <w:t xml:space="preserve"> la responsabilidad de los funcionarios sobre su gestión pública,</w:t>
      </w:r>
      <w:r w:rsidRPr="00A43775">
        <w:rPr>
          <w:rFonts w:ascii="Palatino Linotype" w:eastAsia="Palatino Linotype" w:hAnsi="Palatino Linotype" w:cs="Palatino Linotype"/>
          <w:i/>
          <w:iCs/>
          <w:vertAlign w:val="superscript"/>
        </w:rPr>
        <w:footnoteReference w:id="4"/>
      </w:r>
      <w:r w:rsidRPr="00A43775">
        <w:rPr>
          <w:rFonts w:ascii="Palatino Linotype" w:eastAsia="Palatino Linotype" w:hAnsi="Palatino Linotype" w:cs="Palatino Linotype"/>
          <w:color w:val="000000"/>
        </w:rPr>
        <w:t>que permite</w:t>
      </w:r>
      <w:r w:rsidRPr="00A43775">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086DA7" w:rsidRPr="00A43775" w:rsidRDefault="00086DA7">
      <w:pPr>
        <w:spacing w:line="360" w:lineRule="auto"/>
        <w:ind w:right="49"/>
        <w:jc w:val="both"/>
        <w:rPr>
          <w:rFonts w:ascii="Palatino Linotype" w:eastAsia="Palatino Linotype" w:hAnsi="Palatino Linotype" w:cs="Palatino Linotype"/>
        </w:rPr>
      </w:pPr>
    </w:p>
    <w:p w:rsidR="00086DA7" w:rsidRPr="00A43775" w:rsidRDefault="00AB7E1C">
      <w:pPr>
        <w:numPr>
          <w:ilvl w:val="0"/>
          <w:numId w:val="29"/>
        </w:numPr>
        <w:spacing w:line="360" w:lineRule="auto"/>
        <w:ind w:left="0" w:right="49"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086DA7" w:rsidRPr="00A43775" w:rsidRDefault="00AB7E1C">
      <w:pPr>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r w:rsidRPr="00A43775">
        <w:rPr>
          <w:rFonts w:ascii="Palatino Linotype" w:eastAsia="Palatino Linotype" w:hAnsi="Palatino Linotype" w:cs="Palatino Linotype"/>
          <w:b/>
          <w:bCs/>
          <w:i/>
          <w:iCs/>
        </w:rPr>
        <w:t>Artículo 1.-</w:t>
      </w:r>
      <w:r w:rsidRPr="00A43775">
        <w:rPr>
          <w:rFonts w:ascii="Palatino Linotype" w:eastAsia="Palatino Linotype" w:hAnsi="Palatino Linotype" w:cs="Palatino Linotype"/>
          <w:i/>
          <w:iCs/>
        </w:rPr>
        <w:t xml:space="preserve"> </w:t>
      </w:r>
    </w:p>
    <w:p w:rsidR="00086DA7" w:rsidRPr="00A43775" w:rsidRDefault="00AB7E1C">
      <w:pPr>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AB7E1C">
      <w:pPr>
        <w:spacing w:line="276" w:lineRule="auto"/>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Todas las</w:t>
      </w:r>
      <w:r w:rsidRPr="00A43775">
        <w:rPr>
          <w:rFonts w:ascii="Palatino Linotype" w:eastAsia="Palatino Linotype" w:hAnsi="Palatino Linotype" w:cs="Palatino Linotype"/>
        </w:rPr>
        <w:t xml:space="preserve"> </w:t>
      </w:r>
      <w:r w:rsidRPr="00A43775">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86DA7" w:rsidRPr="00A43775" w:rsidRDefault="00AB7E1C">
      <w:pPr>
        <w:ind w:left="1134" w:right="900"/>
        <w:jc w:val="both"/>
        <w:rPr>
          <w:rFonts w:ascii="Palatino Linotype" w:eastAsia="Palatino Linotype" w:hAnsi="Palatino Linotype" w:cs="Palatino Linotype"/>
        </w:rPr>
      </w:pPr>
      <w:r w:rsidRPr="00A43775">
        <w:rPr>
          <w:rFonts w:ascii="Palatino Linotype" w:eastAsia="Palatino Linotype" w:hAnsi="Palatino Linotype" w:cs="Palatino Linotype"/>
          <w:i/>
          <w:iCs/>
        </w:rPr>
        <w:t>(…)</w:t>
      </w:r>
      <w:r w:rsidRPr="00A43775">
        <w:rPr>
          <w:rFonts w:ascii="Palatino Linotype" w:eastAsia="Palatino Linotype" w:hAnsi="Palatino Linotype" w:cs="Palatino Linotype"/>
        </w:rPr>
        <w:t>”.</w:t>
      </w:r>
    </w:p>
    <w:p w:rsidR="00086DA7" w:rsidRPr="00A43775" w:rsidRDefault="00086DA7">
      <w:pPr>
        <w:ind w:left="1134" w:right="900"/>
        <w:jc w:val="both"/>
        <w:rPr>
          <w:rFonts w:ascii="Palatino Linotype" w:eastAsia="Palatino Linotype" w:hAnsi="Palatino Linotype" w:cs="Palatino Linotype"/>
          <w:b/>
          <w:bCs/>
        </w:rPr>
      </w:pPr>
    </w:p>
    <w:p w:rsidR="00086DA7" w:rsidRPr="00A43775" w:rsidRDefault="00AB7E1C">
      <w:pPr>
        <w:numPr>
          <w:ilvl w:val="0"/>
          <w:numId w:val="29"/>
        </w:numPr>
        <w:spacing w:line="360" w:lineRule="auto"/>
        <w:ind w:left="0" w:right="49"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Por lo anterior, se deduce que el Derecho de Acceso a la Información Pública es un Derecho Humano de Fuente Internacional y Constitucionalmente reconocido. </w:t>
      </w:r>
      <w:r w:rsidRPr="00A43775">
        <w:rPr>
          <w:rFonts w:ascii="Palatino Linotype" w:eastAsia="Palatino Linotype" w:hAnsi="Palatino Linotype" w:cs="Palatino Linotype"/>
        </w:rPr>
        <w:lastRenderedPageBreak/>
        <w:t>Además del derecho, también se reconocen garantías para su protección, lo que vincula con el mandato del párrafo tercero del mismo artículo.</w:t>
      </w:r>
    </w:p>
    <w:p w:rsidR="00086DA7" w:rsidRPr="00A43775" w:rsidRDefault="00086DA7">
      <w:pPr>
        <w:spacing w:line="360" w:lineRule="auto"/>
        <w:ind w:right="49"/>
        <w:jc w:val="both"/>
        <w:rPr>
          <w:rFonts w:ascii="Palatino Linotype" w:eastAsia="Palatino Linotype" w:hAnsi="Palatino Linotype" w:cs="Palatino Linotype"/>
        </w:rPr>
      </w:pPr>
    </w:p>
    <w:p w:rsidR="00086DA7" w:rsidRPr="00A43775" w:rsidRDefault="00AB7E1C">
      <w:pPr>
        <w:numPr>
          <w:ilvl w:val="0"/>
          <w:numId w:val="29"/>
        </w:numPr>
        <w:spacing w:line="360" w:lineRule="auto"/>
        <w:ind w:left="0" w:right="49"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tabs>
          <w:tab w:val="left" w:pos="7938"/>
        </w:tabs>
        <w:spacing w:after="240" w:line="276" w:lineRule="auto"/>
        <w:ind w:left="1134" w:right="900"/>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Constitución Política de los Estados Unidos Mexicanos</w:t>
      </w:r>
    </w:p>
    <w:p w:rsidR="00086DA7" w:rsidRPr="00A43775" w:rsidRDefault="00AB7E1C">
      <w:pPr>
        <w:tabs>
          <w:tab w:val="left" w:pos="7938"/>
        </w:tabs>
        <w:spacing w:before="240" w:after="240" w:line="276" w:lineRule="auto"/>
        <w:ind w:left="1134" w:right="900"/>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“Artículo 6.</w:t>
      </w:r>
    </w:p>
    <w:p w:rsidR="00086DA7" w:rsidRPr="00A43775" w:rsidRDefault="00AB7E1C">
      <w:pPr>
        <w:tabs>
          <w:tab w:val="left" w:pos="7938"/>
        </w:tabs>
        <w:spacing w:before="240" w:after="240" w:line="276" w:lineRule="auto"/>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AB7E1C">
      <w:pPr>
        <w:tabs>
          <w:tab w:val="left" w:pos="7938"/>
        </w:tabs>
        <w:spacing w:before="240" w:after="240" w:line="276" w:lineRule="auto"/>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Para efectos de lo dispuesto en el presente artículo se observará lo siguiente:</w:t>
      </w:r>
    </w:p>
    <w:p w:rsidR="00086DA7" w:rsidRPr="00A43775" w:rsidRDefault="00AB7E1C">
      <w:pPr>
        <w:tabs>
          <w:tab w:val="left" w:pos="7938"/>
        </w:tabs>
        <w:spacing w:before="240" w:after="240" w:line="276" w:lineRule="auto"/>
        <w:ind w:left="1134" w:right="900"/>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A</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b/>
          <w:bCs/>
          <w:i/>
          <w:iCs/>
        </w:rPr>
        <w:t>Para el ejercicio del derecho de acceso a la información</w:t>
      </w:r>
      <w:r w:rsidRPr="00A43775">
        <w:rPr>
          <w:rFonts w:ascii="Palatino Linotype" w:eastAsia="Palatino Linotype" w:hAnsi="Palatino Linotype" w:cs="Palatino Linotype"/>
          <w:i/>
          <w:iCs/>
        </w:rPr>
        <w:t xml:space="preserve">, la Federación y </w:t>
      </w:r>
      <w:r w:rsidRPr="00A43775">
        <w:rPr>
          <w:rFonts w:ascii="Palatino Linotype" w:eastAsia="Palatino Linotype" w:hAnsi="Palatino Linotype" w:cs="Palatino Linotype"/>
          <w:b/>
          <w:bCs/>
          <w:i/>
          <w:iCs/>
        </w:rPr>
        <w:t>las entidades federativas, en el ámbito de sus respectivas competencias, se regirán por los siguientes principios y bases:</w:t>
      </w:r>
    </w:p>
    <w:p w:rsidR="00086DA7" w:rsidRPr="00A43775" w:rsidRDefault="00AB7E1C">
      <w:pPr>
        <w:tabs>
          <w:tab w:val="left" w:pos="7938"/>
        </w:tabs>
        <w:spacing w:before="240" w:after="240" w:line="276" w:lineRule="auto"/>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I. Toda la información en posesión de cualquier</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b/>
          <w:bCs/>
          <w:i/>
          <w:iCs/>
        </w:rPr>
        <w:t>autoridad</w:t>
      </w:r>
      <w:r w:rsidRPr="00A43775">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43775">
        <w:rPr>
          <w:rFonts w:ascii="Palatino Linotype" w:eastAsia="Palatino Linotype" w:hAnsi="Palatino Linotype" w:cs="Palatino Linotype"/>
          <w:b/>
          <w:bCs/>
          <w:i/>
          <w:iCs/>
        </w:rPr>
        <w:t>municipal</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b/>
          <w:bCs/>
          <w:i/>
          <w:iCs/>
        </w:rPr>
        <w:t>es pública</w:t>
      </w:r>
      <w:r w:rsidRPr="00A43775">
        <w:rPr>
          <w:rFonts w:ascii="Palatino Linotype" w:eastAsia="Palatino Linotype" w:hAnsi="Palatino Linotype" w:cs="Palatino Linotype"/>
          <w:i/>
          <w:iCs/>
        </w:rPr>
        <w:t xml:space="preserve"> y sólo podrá ser reservada temporalmente por razones de interés público y seguridad nacional, en los términos que fijen </w:t>
      </w:r>
      <w:r w:rsidRPr="00A43775">
        <w:rPr>
          <w:rFonts w:ascii="Palatino Linotype" w:eastAsia="Palatino Linotype" w:hAnsi="Palatino Linotype" w:cs="Palatino Linotype"/>
          <w:i/>
          <w:iCs/>
        </w:rPr>
        <w:lastRenderedPageBreak/>
        <w:t xml:space="preserve">las leyes. </w:t>
      </w:r>
      <w:r w:rsidRPr="00A43775">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A43775">
        <w:rPr>
          <w:rFonts w:ascii="Palatino Linotype" w:eastAsia="Palatino Linotype" w:hAnsi="Palatino Linotype" w:cs="Palatino Linotype"/>
          <w:i/>
          <w:iCs/>
        </w:rPr>
        <w:t>, la ley determinará los supuestos específicos bajo los cuales procederá la declaración de inexistencia de la información.”</w:t>
      </w:r>
    </w:p>
    <w:p w:rsidR="00086DA7" w:rsidRPr="00A43775" w:rsidRDefault="00086DA7">
      <w:pPr>
        <w:tabs>
          <w:tab w:val="left" w:pos="567"/>
          <w:tab w:val="left" w:pos="7938"/>
        </w:tabs>
        <w:spacing w:before="240"/>
        <w:ind w:left="1134" w:right="900"/>
        <w:jc w:val="both"/>
        <w:rPr>
          <w:rFonts w:ascii="Palatino Linotype" w:eastAsia="Palatino Linotype" w:hAnsi="Palatino Linotype" w:cs="Palatino Linotype"/>
          <w:b/>
          <w:bCs/>
          <w:i/>
          <w:iCs/>
        </w:rPr>
      </w:pPr>
    </w:p>
    <w:p w:rsidR="00086DA7" w:rsidRPr="00A43775" w:rsidRDefault="00AB7E1C">
      <w:pPr>
        <w:tabs>
          <w:tab w:val="left" w:pos="7938"/>
        </w:tabs>
        <w:spacing w:after="240"/>
        <w:ind w:left="1134" w:right="900"/>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Constitución Política del Estado Libre y Soberano de México</w:t>
      </w:r>
    </w:p>
    <w:p w:rsidR="00086DA7" w:rsidRPr="00A43775" w:rsidRDefault="00AB7E1C">
      <w:pPr>
        <w:tabs>
          <w:tab w:val="left" w:pos="7938"/>
        </w:tabs>
        <w:spacing w:before="240" w:after="240"/>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“Artículo 5</w:t>
      </w:r>
      <w:r w:rsidRPr="00A43775">
        <w:rPr>
          <w:rFonts w:ascii="Palatino Linotype" w:eastAsia="Palatino Linotype" w:hAnsi="Palatino Linotype" w:cs="Palatino Linotype"/>
          <w:i/>
          <w:iCs/>
        </w:rPr>
        <w:t xml:space="preserve">.- </w:t>
      </w:r>
    </w:p>
    <w:p w:rsidR="00086DA7" w:rsidRPr="00A43775" w:rsidRDefault="00AB7E1C">
      <w:pPr>
        <w:tabs>
          <w:tab w:val="left" w:pos="7938"/>
        </w:tabs>
        <w:spacing w:before="240" w:after="240"/>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AB7E1C">
      <w:pPr>
        <w:tabs>
          <w:tab w:val="left" w:pos="7938"/>
        </w:tabs>
        <w:spacing w:before="240" w:after="240"/>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A43775">
        <w:rPr>
          <w:rFonts w:ascii="Palatino Linotype" w:eastAsia="Palatino Linotype" w:hAnsi="Palatino Linotype" w:cs="Palatino Linotype"/>
          <w:i/>
          <w:iCs/>
        </w:rPr>
        <w:t>.</w:t>
      </w:r>
    </w:p>
    <w:p w:rsidR="00086DA7" w:rsidRPr="00A43775" w:rsidRDefault="00AB7E1C">
      <w:pPr>
        <w:tabs>
          <w:tab w:val="left" w:pos="7938"/>
        </w:tabs>
        <w:spacing w:before="240" w:after="240"/>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86DA7" w:rsidRPr="00A43775" w:rsidRDefault="00086DA7">
      <w:pPr>
        <w:tabs>
          <w:tab w:val="left" w:pos="7938"/>
        </w:tabs>
        <w:spacing w:before="240" w:after="240"/>
        <w:ind w:left="1134" w:right="900"/>
        <w:jc w:val="both"/>
        <w:rPr>
          <w:rFonts w:ascii="Palatino Linotype" w:eastAsia="Palatino Linotype" w:hAnsi="Palatino Linotype" w:cs="Palatino Linotype"/>
          <w:i/>
          <w:iCs/>
        </w:rPr>
      </w:pPr>
    </w:p>
    <w:p w:rsidR="00086DA7" w:rsidRPr="00A43775" w:rsidRDefault="00AB7E1C">
      <w:pPr>
        <w:tabs>
          <w:tab w:val="left" w:pos="7938"/>
        </w:tabs>
        <w:spacing w:before="240" w:after="240"/>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Este derecho se regirá por los principios y bases siguientes</w:t>
      </w:r>
      <w:r w:rsidRPr="00A43775">
        <w:rPr>
          <w:rFonts w:ascii="Palatino Linotype" w:eastAsia="Palatino Linotype" w:hAnsi="Palatino Linotype" w:cs="Palatino Linotype"/>
          <w:i/>
          <w:iCs/>
        </w:rPr>
        <w:t>:</w:t>
      </w:r>
    </w:p>
    <w:p w:rsidR="00086DA7" w:rsidRPr="00A43775" w:rsidRDefault="00AB7E1C">
      <w:pPr>
        <w:tabs>
          <w:tab w:val="left" w:pos="7938"/>
        </w:tabs>
        <w:spacing w:before="240" w:after="240" w:line="276" w:lineRule="auto"/>
        <w:ind w:left="1134" w:right="900"/>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I. Toda la información en posesión de cualquier autoridad, entidad, órgano y organismos de los</w:t>
      </w:r>
      <w:r w:rsidRPr="00A43775">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A43775">
        <w:rPr>
          <w:rFonts w:ascii="Palatino Linotype" w:eastAsia="Palatino Linotype" w:hAnsi="Palatino Linotype" w:cs="Palatino Linotype"/>
          <w:b/>
          <w:bCs/>
          <w:i/>
          <w:iCs/>
        </w:rPr>
        <w:t>municipales</w:t>
      </w:r>
      <w:r w:rsidRPr="00A43775">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43775">
        <w:rPr>
          <w:rFonts w:ascii="Palatino Linotype" w:eastAsia="Palatino Linotype" w:hAnsi="Palatino Linotype" w:cs="Palatino Linotype"/>
          <w:b/>
          <w:bCs/>
          <w:i/>
          <w:iCs/>
        </w:rPr>
        <w:t>es pública</w:t>
      </w:r>
      <w:r w:rsidRPr="00A43775">
        <w:rPr>
          <w:rFonts w:ascii="Palatino Linotype" w:eastAsia="Palatino Linotype" w:hAnsi="Palatino Linotype" w:cs="Palatino Linotype"/>
          <w:i/>
          <w:iCs/>
        </w:rPr>
        <w:t xml:space="preserve"> y sólo podrá ser reservada temporalmente por razones previstas en la Constitución Política de los Estados Unidos </w:t>
      </w:r>
      <w:r w:rsidRPr="00A43775">
        <w:rPr>
          <w:rFonts w:ascii="Palatino Linotype" w:eastAsia="Palatino Linotype" w:hAnsi="Palatino Linotype" w:cs="Palatino Linotype"/>
          <w:i/>
          <w:iCs/>
        </w:rPr>
        <w:lastRenderedPageBreak/>
        <w:t xml:space="preserve">Mexicanos de interés público y seguridad, en los términos que fijen las leyes. </w:t>
      </w:r>
      <w:r w:rsidRPr="00A43775">
        <w:rPr>
          <w:rFonts w:ascii="Palatino Linotype" w:eastAsia="Palatino Linotype" w:hAnsi="Palatino Linotype" w:cs="Palatino Linotype"/>
          <w:b/>
          <w:bCs/>
          <w:i/>
          <w:iCs/>
        </w:rPr>
        <w:t>En la interpretación de este derecho deberá prevalecer el principio de máxima publicidad</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b/>
          <w:bCs/>
          <w:i/>
          <w:iCs/>
        </w:rPr>
        <w:t>Los sujetos obligados deberán documentar todo acto que derive del ejercicio de sus facultades, competencias o funciones</w:t>
      </w:r>
      <w:r w:rsidRPr="00A43775">
        <w:rPr>
          <w:rFonts w:ascii="Palatino Linotype" w:eastAsia="Palatino Linotype" w:hAnsi="Palatino Linotype" w:cs="Palatino Linotype"/>
          <w:i/>
          <w:iCs/>
        </w:rPr>
        <w:t>, la ley determinará los supuestos específicos bajo los cuales procederá la declaración de inexistencia de la información.”</w:t>
      </w:r>
    </w:p>
    <w:p w:rsidR="00086DA7" w:rsidRPr="00A43775" w:rsidRDefault="00086DA7">
      <w:pPr>
        <w:tabs>
          <w:tab w:val="left" w:pos="567"/>
        </w:tabs>
        <w:spacing w:before="240" w:after="240"/>
        <w:ind w:right="567"/>
        <w:jc w:val="both"/>
        <w:rPr>
          <w:rFonts w:ascii="Palatino Linotype" w:eastAsia="Palatino Linotype" w:hAnsi="Palatino Linotype" w:cs="Palatino Linotype"/>
          <w:b/>
          <w:bCs/>
          <w:i/>
          <w:iCs/>
        </w:rPr>
      </w:pPr>
    </w:p>
    <w:p w:rsidR="00086DA7" w:rsidRPr="00A43775" w:rsidRDefault="00AB7E1C">
      <w:pPr>
        <w:numPr>
          <w:ilvl w:val="0"/>
          <w:numId w:val="29"/>
        </w:numPr>
        <w:spacing w:before="240" w:line="360" w:lineRule="auto"/>
        <w:ind w:left="0" w:right="49"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A43775">
        <w:rPr>
          <w:rFonts w:ascii="Palatino Linotype" w:eastAsia="Palatino Linotype" w:hAnsi="Palatino Linotype" w:cs="Palatino Linotype"/>
          <w:i/>
          <w:iCs/>
        </w:rPr>
        <w:t>por los principios de simplicidad, rapidez gratuidad del procedimiento, auxilio y orientación a los particulares</w:t>
      </w:r>
      <w:r w:rsidRPr="00A43775">
        <w:rPr>
          <w:rFonts w:ascii="Palatino Linotype" w:eastAsia="Palatino Linotype" w:hAnsi="Palatino Linotype" w:cs="Palatino Linotype"/>
        </w:rPr>
        <w:t>, contemplando el derecho de las personas con discapacidad y hablantes de lengua indígena.</w:t>
      </w:r>
    </w:p>
    <w:p w:rsidR="00086DA7" w:rsidRPr="00A43775" w:rsidRDefault="00086DA7">
      <w:pPr>
        <w:spacing w:line="360" w:lineRule="auto"/>
        <w:ind w:right="49"/>
        <w:jc w:val="both"/>
        <w:rPr>
          <w:rFonts w:ascii="Palatino Linotype" w:eastAsia="Palatino Linotype" w:hAnsi="Palatino Linotype" w:cs="Palatino Linotype"/>
        </w:rPr>
      </w:pPr>
    </w:p>
    <w:p w:rsidR="00086DA7" w:rsidRPr="00A43775" w:rsidRDefault="00AB7E1C">
      <w:pPr>
        <w:numPr>
          <w:ilvl w:val="0"/>
          <w:numId w:val="29"/>
        </w:numPr>
        <w:spacing w:line="360" w:lineRule="auto"/>
        <w:ind w:left="0" w:right="49"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El Derecho de Acceso a la Información se garantiza y respeta oportunamente, y según lo que dispone la Ley, las </w:t>
      </w:r>
      <w:r w:rsidRPr="00A43775">
        <w:rPr>
          <w:rFonts w:ascii="Palatino Linotype" w:eastAsia="Palatino Linotype" w:hAnsi="Palatino Linotype" w:cs="Palatino Linotype"/>
          <w:i/>
          <w:iCs/>
        </w:rPr>
        <w:t>solicitudes de acceso a la información</w:t>
      </w:r>
      <w:r w:rsidRPr="00A43775">
        <w:rPr>
          <w:rFonts w:ascii="Palatino Linotype" w:eastAsia="Palatino Linotype" w:hAnsi="Palatino Linotype" w:cs="Palatino Linotype"/>
        </w:rPr>
        <w:t>.</w:t>
      </w:r>
    </w:p>
    <w:p w:rsidR="00086DA7" w:rsidRPr="00A43775" w:rsidRDefault="00086DA7">
      <w:pPr>
        <w:spacing w:line="360" w:lineRule="auto"/>
        <w:ind w:right="49"/>
        <w:jc w:val="both"/>
        <w:rPr>
          <w:rFonts w:ascii="Palatino Linotype" w:eastAsia="Palatino Linotype" w:hAnsi="Palatino Linotype" w:cs="Palatino Linotype"/>
        </w:rPr>
      </w:pPr>
    </w:p>
    <w:p w:rsidR="00086DA7" w:rsidRPr="00A43775" w:rsidRDefault="00AB7E1C">
      <w:pPr>
        <w:numPr>
          <w:ilvl w:val="0"/>
          <w:numId w:val="29"/>
        </w:numPr>
        <w:spacing w:line="360" w:lineRule="auto"/>
        <w:ind w:left="0" w:right="49" w:firstLine="0"/>
        <w:jc w:val="both"/>
        <w:rPr>
          <w:rFonts w:ascii="Palatino Linotype" w:eastAsia="Palatino Linotype" w:hAnsi="Palatino Linotype" w:cs="Palatino Linotype"/>
        </w:rPr>
      </w:pPr>
      <w:bookmarkStart w:id="9" w:name="_heading=h.17dp8vu" w:colFirst="0" w:colLast="0"/>
      <w:bookmarkEnd w:id="9"/>
      <w:r w:rsidRPr="00A43775">
        <w:rPr>
          <w:rFonts w:ascii="Palatino Linotype" w:eastAsia="Palatino Linotype" w:hAnsi="Palatino Linotype" w:cs="Palatino Linotype"/>
        </w:rPr>
        <w:t xml:space="preserve">Así entonces, se procede analizar, en primer lugar, si el </w:t>
      </w:r>
      <w:r w:rsidRPr="00A43775">
        <w:rPr>
          <w:rFonts w:ascii="Palatino Linotype" w:eastAsia="Palatino Linotype" w:hAnsi="Palatino Linotype" w:cs="Palatino Linotype"/>
          <w:b/>
          <w:bCs/>
        </w:rPr>
        <w:t>SUJETO OBLIGADO</w:t>
      </w:r>
      <w:r w:rsidRPr="00A43775">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086DA7" w:rsidRPr="00A43775" w:rsidRDefault="00086DA7">
      <w:pPr>
        <w:spacing w:line="360" w:lineRule="auto"/>
        <w:ind w:right="49"/>
        <w:jc w:val="both"/>
        <w:rPr>
          <w:rFonts w:ascii="Palatino Linotype" w:eastAsia="Palatino Linotype" w:hAnsi="Palatino Linotype" w:cs="Palatino Linotype"/>
        </w:rPr>
      </w:pPr>
    </w:p>
    <w:p w:rsidR="00086DA7" w:rsidRPr="00A43775" w:rsidRDefault="00AB7E1C">
      <w:pPr>
        <w:keepNext/>
        <w:keepLines/>
        <w:numPr>
          <w:ilvl w:val="0"/>
          <w:numId w:val="1"/>
        </w:numPr>
        <w:pBdr>
          <w:top w:val="nil"/>
          <w:left w:val="nil"/>
          <w:bottom w:val="nil"/>
          <w:right w:val="nil"/>
          <w:between w:val="nil"/>
        </w:pBdr>
        <w:spacing w:after="240"/>
        <w:ind w:left="0" w:firstLine="0"/>
        <w:rPr>
          <w:rFonts w:ascii="Palatino Linotype" w:eastAsia="Palatino Linotype" w:hAnsi="Palatino Linotype" w:cs="Palatino Linotype"/>
          <w:b/>
          <w:bCs/>
          <w:color w:val="000000"/>
        </w:rPr>
      </w:pPr>
      <w:bookmarkStart w:id="10" w:name="_heading=h.3rdcrjn" w:colFirst="0" w:colLast="0"/>
      <w:bookmarkEnd w:id="10"/>
      <w:r w:rsidRPr="00A43775">
        <w:rPr>
          <w:rFonts w:ascii="Palatino Linotype" w:eastAsia="Palatino Linotype" w:hAnsi="Palatino Linotype" w:cs="Palatino Linotype"/>
          <w:b/>
          <w:bCs/>
          <w:color w:val="000000"/>
        </w:rPr>
        <w:lastRenderedPageBreak/>
        <w:t xml:space="preserve"> De la información solicitada y la respuesta del SUJETO OBLIGADO</w:t>
      </w:r>
    </w:p>
    <w:p w:rsidR="00086DA7" w:rsidRPr="00A43775" w:rsidRDefault="00AB7E1C">
      <w:pPr>
        <w:numPr>
          <w:ilvl w:val="0"/>
          <w:numId w:val="25"/>
        </w:numPr>
        <w:spacing w:line="360" w:lineRule="auto"/>
        <w:ind w:left="0" w:right="49" w:firstLine="0"/>
        <w:jc w:val="both"/>
        <w:rPr>
          <w:rFonts w:ascii="Palatino Linotype" w:eastAsia="Palatino Linotype" w:hAnsi="Palatino Linotype" w:cs="Palatino Linotype"/>
          <w:b/>
          <w:bCs/>
          <w:i/>
          <w:iCs/>
        </w:rPr>
      </w:pPr>
      <w:r w:rsidRPr="00A43775">
        <w:rPr>
          <w:rFonts w:ascii="Palatino Linotype" w:eastAsia="Palatino Linotype" w:hAnsi="Palatino Linotype" w:cs="Palatino Linotype"/>
        </w:rPr>
        <w:t xml:space="preserve">Cabe recordar dentro de la solicitud que dio origen al presente Recurso que el </w:t>
      </w:r>
      <w:r w:rsidRPr="00A43775">
        <w:rPr>
          <w:rFonts w:ascii="Palatino Linotype" w:eastAsia="Palatino Linotype" w:hAnsi="Palatino Linotype" w:cs="Palatino Linotype"/>
          <w:b/>
          <w:bCs/>
        </w:rPr>
        <w:t xml:space="preserve">RECURRENTE </w:t>
      </w:r>
      <w:r w:rsidRPr="00A43775">
        <w:rPr>
          <w:rFonts w:ascii="Palatino Linotype" w:eastAsia="Palatino Linotype" w:hAnsi="Palatino Linotype" w:cs="Palatino Linotype"/>
        </w:rPr>
        <w:t>solicitó la siguiente información :</w:t>
      </w:r>
    </w:p>
    <w:p w:rsidR="00086DA7" w:rsidRPr="00A43775" w:rsidRDefault="00AB7E1C">
      <w:pPr>
        <w:numPr>
          <w:ilvl w:val="3"/>
          <w:numId w:val="25"/>
        </w:numPr>
        <w:pBdr>
          <w:top w:val="nil"/>
          <w:left w:val="nil"/>
          <w:bottom w:val="nil"/>
          <w:right w:val="nil"/>
          <w:between w:val="nil"/>
        </w:pBd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De la Directora de Administración:  tiene asignado vehículo oficial, cajón de estacionamiento, monto de combustible asignado mensualmente, la manera en que lo comprueba, sueldo mensual bruto y neto, si cuenta con chofer, sueldo mensual bruto y neto del chofer, si la plaza es de base, confianza o por contrato, quien lo contrato en qué fecha, mediante que procedimiento de selección fue contratado, cual es el horario de la directora y el chofer, si checan asistencia y mediante que método la comprueban. </w:t>
      </w:r>
    </w:p>
    <w:p w:rsidR="00086DA7" w:rsidRPr="00A43775" w:rsidRDefault="00086DA7">
      <w:pPr>
        <w:spacing w:line="276" w:lineRule="auto"/>
        <w:ind w:left="1134" w:right="851"/>
        <w:jc w:val="both"/>
        <w:rPr>
          <w:rFonts w:ascii="Palatino Linotype" w:eastAsia="Palatino Linotype" w:hAnsi="Palatino Linotype" w:cs="Palatino Linotype"/>
          <w:i/>
          <w:iCs/>
          <w:color w:val="000000"/>
        </w:rPr>
      </w:pPr>
    </w:p>
    <w:p w:rsidR="00086DA7" w:rsidRPr="00A43775" w:rsidRDefault="00AB7E1C">
      <w:pPr>
        <w:numPr>
          <w:ilvl w:val="3"/>
          <w:numId w:val="25"/>
        </w:numPr>
        <w:pBdr>
          <w:top w:val="nil"/>
          <w:left w:val="nil"/>
          <w:bottom w:val="nil"/>
          <w:right w:val="nil"/>
          <w:between w:val="nil"/>
        </w:pBd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Si el Presidente Municipal y todos los integrantes del Cabildo, tienen asignado vehículo oficial o que unidades utilizan para llevar a cabo sus funciones, si cuentan con cajón de estacionamiento, cantidad mensual de combustible que se les asigna, como la comprueban, mediante qué acuerdo de cabildo en su caso de existir se les dota, requiero el acuerdo y el procedimiento administrativo normativo establecido para dotarlos de combustible, quien lo autorizo, en qué fecha y el fundamento legal. </w:t>
      </w:r>
    </w:p>
    <w:p w:rsidR="00086DA7" w:rsidRPr="00A43775" w:rsidRDefault="00086DA7">
      <w:pPr>
        <w:pBdr>
          <w:top w:val="nil"/>
          <w:left w:val="nil"/>
          <w:bottom w:val="nil"/>
          <w:right w:val="nil"/>
          <w:between w:val="nil"/>
        </w:pBdr>
        <w:ind w:left="1134"/>
        <w:rPr>
          <w:rFonts w:ascii="Palatino Linotype" w:eastAsia="Palatino Linotype" w:hAnsi="Palatino Linotype" w:cs="Palatino Linotype"/>
          <w:i/>
          <w:iCs/>
          <w:color w:val="000000"/>
        </w:rPr>
      </w:pPr>
    </w:p>
    <w:p w:rsidR="00086DA7" w:rsidRPr="00A43775" w:rsidRDefault="00AB7E1C">
      <w:pPr>
        <w:numPr>
          <w:ilvl w:val="3"/>
          <w:numId w:val="25"/>
        </w:numPr>
        <w:pBdr>
          <w:top w:val="nil"/>
          <w:left w:val="nil"/>
          <w:bottom w:val="nil"/>
          <w:right w:val="nil"/>
          <w:between w:val="nil"/>
        </w:pBd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Los contratos de combustible debidamente requisitados y firmados por las y los servidores públicos que en ellos intervienen y si ya están publicados, solicito la liga para su descarga.</w:t>
      </w:r>
    </w:p>
    <w:p w:rsidR="00086DA7" w:rsidRPr="00A43775" w:rsidRDefault="00086DA7">
      <w:pPr>
        <w:pBdr>
          <w:top w:val="nil"/>
          <w:left w:val="nil"/>
          <w:bottom w:val="nil"/>
          <w:right w:val="nil"/>
          <w:between w:val="nil"/>
        </w:pBdr>
        <w:ind w:left="1134"/>
        <w:rPr>
          <w:rFonts w:ascii="Palatino Linotype" w:eastAsia="Palatino Linotype" w:hAnsi="Palatino Linotype" w:cs="Palatino Linotype"/>
          <w:i/>
          <w:iCs/>
          <w:color w:val="000000"/>
        </w:rPr>
      </w:pPr>
    </w:p>
    <w:p w:rsidR="00086DA7" w:rsidRPr="00A43775" w:rsidRDefault="00AB7E1C">
      <w:pPr>
        <w:numPr>
          <w:ilvl w:val="3"/>
          <w:numId w:val="25"/>
        </w:numPr>
        <w:pBdr>
          <w:top w:val="nil"/>
          <w:left w:val="nil"/>
          <w:bottom w:val="nil"/>
          <w:right w:val="nil"/>
          <w:between w:val="nil"/>
        </w:pBd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Si la o el titular del departamento de combustible, dispersa combustible a unidades que no tienes placas oficiales y que son unidades de uso del municipio de Toluca. Si es afirmativo requiero el oficio u acuerdo que autoriza lo anterior debidamente fundamentado y requisitado por quien en ello interviene.</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i/>
          <w:iCs/>
          <w:color w:val="000000"/>
        </w:rPr>
      </w:pPr>
    </w:p>
    <w:p w:rsidR="00086DA7" w:rsidRPr="00A43775" w:rsidRDefault="00AB7E1C">
      <w:pPr>
        <w:numPr>
          <w:ilvl w:val="3"/>
          <w:numId w:val="25"/>
        </w:numPr>
        <w:pBdr>
          <w:top w:val="nil"/>
          <w:left w:val="nil"/>
          <w:bottom w:val="nil"/>
          <w:right w:val="nil"/>
          <w:between w:val="nil"/>
        </w:pBdr>
        <w:spacing w:line="276" w:lineRule="auto"/>
        <w:ind w:left="1134" w:right="851" w:hanging="425"/>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Si las placas ME-043A-5, pertenecen a algún vehículo oficial propiedad o en arrendamiento al municipio de Toluca y quien tiene dicha unidad bajo </w:t>
      </w:r>
      <w:r w:rsidRPr="00A43775">
        <w:rPr>
          <w:rFonts w:ascii="Palatino Linotype" w:eastAsia="Palatino Linotype" w:hAnsi="Palatino Linotype" w:cs="Palatino Linotype"/>
          <w:i/>
          <w:iCs/>
          <w:color w:val="000000"/>
        </w:rPr>
        <w:lastRenderedPageBreak/>
        <w:t>resguardo. Señalando en caso de que nieguen la información de carácter público el área a la que está asignada y cuáles son las funciones que se realizan con dicha unidad, si tiene cajón de estacionamiento y si se resguarda los fines de semana, días festivos o puentes marcados por la ley en el Estado de México.</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i/>
          <w:iCs/>
          <w:color w:val="000000"/>
        </w:rPr>
      </w:pPr>
    </w:p>
    <w:p w:rsidR="00086DA7" w:rsidRPr="00A43775" w:rsidRDefault="00086DA7">
      <w:pPr>
        <w:pBdr>
          <w:top w:val="nil"/>
          <w:left w:val="nil"/>
          <w:bottom w:val="nil"/>
          <w:right w:val="nil"/>
          <w:between w:val="nil"/>
        </w:pBdr>
        <w:spacing w:line="480" w:lineRule="auto"/>
        <w:rPr>
          <w:rFonts w:ascii="Palatino Linotype" w:eastAsia="Palatino Linotype" w:hAnsi="Palatino Linotype" w:cs="Palatino Linotype"/>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Sobre el requerimiento de nuestra atención, se aprecia que el particular fue omiso en precisar temporalidad; siendo aplicable el criterio orientador 03/19 emitido por el entonces Instituto Nacional de Transparencia Acceso a la Información y Protección de Datos Personales, INAI, en el cual es del tenor literal siguiente:</w:t>
      </w:r>
    </w:p>
    <w:p w:rsidR="00086DA7" w:rsidRPr="00A43775" w:rsidRDefault="00AB7E1C">
      <w:pPr>
        <w:pBdr>
          <w:top w:val="nil"/>
          <w:left w:val="nil"/>
          <w:bottom w:val="nil"/>
          <w:right w:val="nil"/>
          <w:between w:val="nil"/>
        </w:pBdr>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w:t>
      </w:r>
      <w:r w:rsidRPr="00A43775">
        <w:rPr>
          <w:rFonts w:ascii="Palatino Linotype" w:eastAsia="Palatino Linotype" w:hAnsi="Palatino Linotype" w:cs="Palatino Linotype"/>
          <w:b/>
          <w:bCs/>
          <w:i/>
          <w:iCs/>
          <w:color w:val="000000"/>
        </w:rPr>
        <w:t>Periodo de búsqueda de la información</w:t>
      </w:r>
      <w:r w:rsidRPr="00A43775">
        <w:rPr>
          <w:rFonts w:ascii="Palatino Linotype" w:eastAsia="Palatino Linotype" w:hAnsi="Palatino Linotype" w:cs="Palatino Linotype"/>
          <w:i/>
          <w:iCs/>
          <w:color w:val="000000"/>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rsidR="00086DA7" w:rsidRPr="00A43775" w:rsidRDefault="00086DA7">
      <w:pPr>
        <w:pBdr>
          <w:top w:val="nil"/>
          <w:left w:val="nil"/>
          <w:bottom w:val="nil"/>
          <w:right w:val="nil"/>
          <w:between w:val="nil"/>
        </w:pBdr>
        <w:ind w:left="142" w:right="27"/>
        <w:jc w:val="both"/>
        <w:rPr>
          <w:rFonts w:ascii="Palatino Linotype" w:eastAsia="Palatino Linotype" w:hAnsi="Palatino Linotype" w:cs="Palatino Linotype"/>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De manera que, ante la omisión por parte de la solicitante, la información que es susceptible de entrega, en su caso, corresponde a la que el </w:t>
      </w:r>
      <w:r w:rsidRPr="00A43775">
        <w:rPr>
          <w:rFonts w:ascii="Palatino Linotype" w:eastAsia="Palatino Linotype" w:hAnsi="Palatino Linotype" w:cs="Palatino Linotype"/>
          <w:b/>
          <w:bCs/>
          <w:color w:val="000000"/>
        </w:rPr>
        <w:t xml:space="preserve">Sujeto Obligado </w:t>
      </w:r>
      <w:r w:rsidRPr="00A43775">
        <w:rPr>
          <w:rFonts w:ascii="Palatino Linotype" w:eastAsia="Palatino Linotype" w:hAnsi="Palatino Linotype" w:cs="Palatino Linotype"/>
          <w:color w:val="000000"/>
        </w:rPr>
        <w:t xml:space="preserve"> hubiera generado, administre o posea en el año inmediato anterior contado a partir de la fecha de presentación de la solicitud, es decir, del </w:t>
      </w:r>
      <w:r w:rsidRPr="00A43775">
        <w:rPr>
          <w:rFonts w:ascii="Palatino Linotype" w:eastAsia="Palatino Linotype" w:hAnsi="Palatino Linotype" w:cs="Palatino Linotype"/>
          <w:b/>
          <w:bCs/>
          <w:color w:val="000000"/>
        </w:rPr>
        <w:t>dieciocho de noviembre de dos mil veinticuatro al dieciocho de noviembre de dos mil veinticinco.</w:t>
      </w:r>
      <w:r w:rsidRPr="00A43775">
        <w:rPr>
          <w:rFonts w:ascii="Palatino Linotype" w:eastAsia="Palatino Linotype" w:hAnsi="Palatino Linotype" w:cs="Palatino Linotype"/>
          <w:color w:val="000000"/>
        </w:rPr>
        <w:t> </w:t>
      </w:r>
    </w:p>
    <w:p w:rsidR="00086DA7" w:rsidRPr="00A43775" w:rsidRDefault="00086DA7">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086DA7" w:rsidRPr="00A43775" w:rsidRDefault="00AB7E1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color w:val="000000"/>
        </w:rPr>
        <w:t xml:space="preserve">Dicho lo anterior resulta conveniente elaborar el siguiente cuadro  a efecto de visualizar la solicitud de información, la respuesta del Sujeto Obligado y su cumplimiento. </w:t>
      </w:r>
    </w:p>
    <w:p w:rsidR="00086DA7" w:rsidRPr="00A43775" w:rsidRDefault="00086DA7">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tbl>
      <w:tblPr>
        <w:tblStyle w:val="a"/>
        <w:tblW w:w="1006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14"/>
        <w:gridCol w:w="4139"/>
        <w:gridCol w:w="2807"/>
      </w:tblGrid>
      <w:tr w:rsidR="00086DA7" w:rsidRPr="00A43775" w:rsidTr="00A4377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14" w:type="dxa"/>
          </w:tcPr>
          <w:p w:rsidR="00086DA7" w:rsidRPr="00A43775" w:rsidRDefault="00AB7E1C">
            <w:pPr>
              <w:jc w:val="center"/>
              <w:rPr>
                <w:rFonts w:ascii="Palatino Linotype" w:eastAsia="Palatino Linotype" w:hAnsi="Palatino Linotype" w:cs="Palatino Linotype"/>
              </w:rPr>
            </w:pPr>
            <w:r w:rsidRPr="00A43775">
              <w:rPr>
                <w:rFonts w:ascii="Palatino Linotype" w:eastAsia="Palatino Linotype" w:hAnsi="Palatino Linotype" w:cs="Palatino Linotype"/>
              </w:rPr>
              <w:lastRenderedPageBreak/>
              <w:t>SOLICITUD</w:t>
            </w:r>
          </w:p>
        </w:tc>
        <w:tc>
          <w:tcPr>
            <w:tcW w:w="4139" w:type="dxa"/>
          </w:tcPr>
          <w:p w:rsidR="00086DA7" w:rsidRPr="00A43775" w:rsidRDefault="00AB7E1C">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A43775">
              <w:rPr>
                <w:rFonts w:ascii="Palatino Linotype" w:eastAsia="Palatino Linotype" w:hAnsi="Palatino Linotype" w:cs="Palatino Linotype"/>
              </w:rPr>
              <w:t>RESPUESTA</w:t>
            </w:r>
          </w:p>
        </w:tc>
        <w:tc>
          <w:tcPr>
            <w:tcW w:w="2807" w:type="dxa"/>
          </w:tcPr>
          <w:p w:rsidR="00086DA7" w:rsidRPr="00A43775" w:rsidRDefault="00AB7E1C">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A43775">
              <w:rPr>
                <w:rFonts w:ascii="Palatino Linotype" w:eastAsia="Palatino Linotype" w:hAnsi="Palatino Linotype" w:cs="Palatino Linotype"/>
              </w:rPr>
              <w:t>CUMPLIMIENTO</w:t>
            </w:r>
          </w:p>
        </w:tc>
      </w:tr>
      <w:tr w:rsidR="00086DA7" w:rsidRPr="00A43775" w:rsidTr="00A43775">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114" w:type="dxa"/>
            <w:vAlign w:val="center"/>
          </w:tcPr>
          <w:p w:rsidR="00086DA7" w:rsidRPr="00A43775" w:rsidRDefault="00AB7E1C">
            <w:pPr>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De la Directora de Administración:  tiene asignado vehículo oficial, cajón de estacionamiento, monto de combustible asignado mensualmente, la manera en que lo comprueba, sueldo mensual bruto y neto, si cuenta con chofer, sueldo mensual bruto y neto del chofer, si la plaza es de base, confianza o por contrato, quien lo contrato en qué fecha, mediante que procedimiento de selección fue contratado, cual es el horario de la directora y el chofer, si checan asistencia y mediante que método la comprueban.</w:t>
            </w:r>
          </w:p>
        </w:tc>
        <w:tc>
          <w:tcPr>
            <w:tcW w:w="4139" w:type="dxa"/>
            <w:vAlign w:val="center"/>
          </w:tcPr>
          <w:p w:rsidR="00086DA7" w:rsidRPr="00A43775" w:rsidRDefault="00AB7E1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Se refiere que la Directora no tiene asignado vehículo, por lo que tampoco se le asigna combustible, ni medio para acreditarlo. </w:t>
            </w:r>
          </w:p>
          <w:p w:rsidR="00086DA7" w:rsidRPr="00A43775" w:rsidRDefault="00AB7E1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Que el horario de la funcionario es abierto dependiendo de las necesidades del Sujeto Obligado.</w:t>
            </w:r>
          </w:p>
          <w:p w:rsidR="00086DA7" w:rsidRPr="00A43775" w:rsidRDefault="00086DA7">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p>
          <w:p w:rsidR="00086DA7" w:rsidRPr="00A43775" w:rsidRDefault="00086DA7">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p>
        </w:tc>
        <w:tc>
          <w:tcPr>
            <w:tcW w:w="2807" w:type="dxa"/>
            <w:vAlign w:val="center"/>
          </w:tcPr>
          <w:p w:rsidR="00086DA7" w:rsidRPr="00A43775" w:rsidRDefault="00AB7E1C">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i/>
                <w:iCs/>
                <w:color w:val="000000"/>
              </w:rPr>
            </w:pPr>
            <w:r w:rsidRPr="00A43775">
              <w:rPr>
                <w:rFonts w:ascii="Palatino Linotype" w:eastAsia="Palatino Linotype" w:hAnsi="Palatino Linotype" w:cs="Palatino Linotype"/>
                <w:b/>
                <w:bCs/>
                <w:i/>
                <w:iCs/>
                <w:color w:val="000000"/>
              </w:rPr>
              <w:t>PARCIALMENTE</w:t>
            </w:r>
          </w:p>
          <w:p w:rsidR="00086DA7" w:rsidRPr="00A43775" w:rsidRDefault="00AB7E1C">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No se pronuncia sobre:</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-Cajón de estacionamiento</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Directora</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-Asignación de Chofer</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-Percepciones brutas y netas de Chofer</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-Tipo de Plaza de Chofer</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-Servidor Público que contrató a chofer</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-Fecha de contratación de chofer</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-Proceso de selección de chofer</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Horario de chofer</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-Si  checa asistencia el chofer</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-Medio de acreditar asistencia del chofer</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Si bien refiere liga en formato cerrado para consulta de percepciones, la liga se encuentra en formato cerrado, sin instrucciones para la consulta y fuera de término.</w:t>
            </w:r>
          </w:p>
        </w:tc>
      </w:tr>
      <w:tr w:rsidR="00086DA7" w:rsidRPr="00A43775" w:rsidTr="00A43775">
        <w:trPr>
          <w:trHeight w:val="847"/>
        </w:trPr>
        <w:tc>
          <w:tcPr>
            <w:cnfStyle w:val="001000000000" w:firstRow="0" w:lastRow="0" w:firstColumn="1" w:lastColumn="0" w:oddVBand="0" w:evenVBand="0" w:oddHBand="0" w:evenHBand="0" w:firstRowFirstColumn="0" w:firstRowLastColumn="0" w:lastRowFirstColumn="0" w:lastRowLastColumn="0"/>
            <w:tcW w:w="3114" w:type="dxa"/>
          </w:tcPr>
          <w:p w:rsidR="00086DA7" w:rsidRPr="00A43775" w:rsidRDefault="00AB7E1C">
            <w:pPr>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2. Si el Presidente Municipal y todos los integrantes del Cabildo, tienen asignado vehículo oficial o que unidades utilizan para llevar a cabo sus funciones, si cuentan con cajón de </w:t>
            </w:r>
            <w:r w:rsidRPr="00A43775">
              <w:rPr>
                <w:rFonts w:ascii="Palatino Linotype" w:eastAsia="Palatino Linotype" w:hAnsi="Palatino Linotype" w:cs="Palatino Linotype"/>
                <w:i/>
                <w:iCs/>
                <w:color w:val="000000"/>
              </w:rPr>
              <w:lastRenderedPageBreak/>
              <w:t>estacionamiento, cantidad mensual de combustible que se les asigna, como la comprueban, mediante qué acuerdo de cabildo en su caso de existir se les dota, requiero el acuerdo y el procedimiento administrativo normativo establecido para dotarlos de combustible, quien lo autorizo, en qué fecha y el fundamento legal.</w:t>
            </w:r>
          </w:p>
        </w:tc>
        <w:tc>
          <w:tcPr>
            <w:tcW w:w="4139" w:type="dxa"/>
            <w:vAlign w:val="center"/>
          </w:tcPr>
          <w:p w:rsidR="00086DA7" w:rsidRPr="00A43775" w:rsidRDefault="00086DA7">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rPr>
            </w:pPr>
          </w:p>
          <w:p w:rsidR="00086DA7" w:rsidRPr="00A43775" w:rsidRDefault="00AB7E1C">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No se pronuncia</w:t>
            </w:r>
          </w:p>
        </w:tc>
        <w:tc>
          <w:tcPr>
            <w:tcW w:w="2807" w:type="dxa"/>
            <w:vAlign w:val="center"/>
          </w:tcPr>
          <w:p w:rsidR="00086DA7" w:rsidRPr="00A43775" w:rsidRDefault="00AB7E1C">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i/>
                <w:iCs/>
                <w:color w:val="000000"/>
              </w:rPr>
            </w:pPr>
            <w:r w:rsidRPr="00A43775">
              <w:rPr>
                <w:rFonts w:ascii="Palatino Linotype" w:eastAsia="Palatino Linotype" w:hAnsi="Palatino Linotype" w:cs="Palatino Linotype"/>
                <w:b/>
                <w:bCs/>
                <w:i/>
                <w:iCs/>
                <w:color w:val="000000"/>
              </w:rPr>
              <w:t>NO</w:t>
            </w:r>
          </w:p>
        </w:tc>
      </w:tr>
      <w:tr w:rsidR="00086DA7" w:rsidRPr="00A43775" w:rsidTr="00A43775">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114" w:type="dxa"/>
          </w:tcPr>
          <w:p w:rsidR="00086DA7" w:rsidRPr="00A43775" w:rsidRDefault="00AB7E1C">
            <w:pPr>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3. Los contratos de combustible debidamente requisitados y firmados por las y los servidores públicos que en ellos intervienen y si ya están publicados, solicito la liga para su descarga.</w:t>
            </w:r>
          </w:p>
        </w:tc>
        <w:tc>
          <w:tcPr>
            <w:tcW w:w="4139" w:type="dxa"/>
            <w:vAlign w:val="center"/>
          </w:tcPr>
          <w:p w:rsidR="00086DA7" w:rsidRPr="00A43775" w:rsidRDefault="00AB7E1C">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Refiere una liga para consulta</w:t>
            </w:r>
          </w:p>
        </w:tc>
        <w:tc>
          <w:tcPr>
            <w:tcW w:w="2807" w:type="dxa"/>
            <w:vAlign w:val="center"/>
          </w:tcPr>
          <w:p w:rsidR="00086DA7" w:rsidRPr="00A43775" w:rsidRDefault="00AB7E1C">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i/>
                <w:iCs/>
                <w:color w:val="000000"/>
              </w:rPr>
            </w:pPr>
            <w:r w:rsidRPr="00A43775">
              <w:rPr>
                <w:rFonts w:ascii="Palatino Linotype" w:eastAsia="Palatino Linotype" w:hAnsi="Palatino Linotype" w:cs="Palatino Linotype"/>
                <w:b/>
                <w:bCs/>
                <w:i/>
                <w:iCs/>
                <w:color w:val="000000"/>
              </w:rPr>
              <w:t>NO</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-Se encuentra en formato cerrado</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-Sin instrucciones para consulta</w:t>
            </w:r>
          </w:p>
          <w:p w:rsidR="00086DA7" w:rsidRPr="00A43775" w:rsidRDefault="00AB7E1C">
            <w:pP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-Fuera de término</w:t>
            </w:r>
          </w:p>
        </w:tc>
      </w:tr>
      <w:tr w:rsidR="00086DA7" w:rsidRPr="00A43775" w:rsidTr="00A43775">
        <w:trPr>
          <w:trHeight w:val="1214"/>
        </w:trPr>
        <w:tc>
          <w:tcPr>
            <w:cnfStyle w:val="001000000000" w:firstRow="0" w:lastRow="0" w:firstColumn="1" w:lastColumn="0" w:oddVBand="0" w:evenVBand="0" w:oddHBand="0" w:evenHBand="0" w:firstRowFirstColumn="0" w:firstRowLastColumn="0" w:lastRowFirstColumn="0" w:lastRowLastColumn="0"/>
            <w:tcW w:w="3114" w:type="dxa"/>
          </w:tcPr>
          <w:p w:rsidR="00086DA7" w:rsidRPr="00A43775" w:rsidRDefault="00AB7E1C">
            <w:pPr>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4. Si la o el titular del departamento de combustible, dispersa combustible a unidades que no tienes placas oficiales y que son unidades de uso del municipio de Toluca. Si es afirmativo requiero el oficio u acuerdo que autoriza lo anterior debidamente fundamentado y requisitado por quien en ello interviene.</w:t>
            </w:r>
          </w:p>
        </w:tc>
        <w:tc>
          <w:tcPr>
            <w:tcW w:w="4139" w:type="dxa"/>
            <w:vAlign w:val="center"/>
          </w:tcPr>
          <w:p w:rsidR="00086DA7" w:rsidRPr="00A43775" w:rsidRDefault="00AB7E1C">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No se pronuncia</w:t>
            </w:r>
          </w:p>
        </w:tc>
        <w:tc>
          <w:tcPr>
            <w:tcW w:w="2807" w:type="dxa"/>
            <w:vAlign w:val="center"/>
          </w:tcPr>
          <w:p w:rsidR="00086DA7" w:rsidRPr="00A43775" w:rsidRDefault="00AB7E1C">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NO </w:t>
            </w:r>
          </w:p>
        </w:tc>
      </w:tr>
      <w:tr w:rsidR="00086DA7" w:rsidRPr="00A43775" w:rsidTr="00A43775">
        <w:trPr>
          <w:cnfStyle w:val="000000100000" w:firstRow="0" w:lastRow="0" w:firstColumn="0" w:lastColumn="0" w:oddVBand="0" w:evenVBand="0" w:oddHBand="1" w:evenHBand="0" w:firstRowFirstColumn="0" w:firstRowLastColumn="0" w:lastRowFirstColumn="0" w:lastRowLastColumn="0"/>
          <w:trHeight w:val="1688"/>
        </w:trPr>
        <w:tc>
          <w:tcPr>
            <w:cnfStyle w:val="001000000000" w:firstRow="0" w:lastRow="0" w:firstColumn="1" w:lastColumn="0" w:oddVBand="0" w:evenVBand="0" w:oddHBand="0" w:evenHBand="0" w:firstRowFirstColumn="0" w:firstRowLastColumn="0" w:lastRowFirstColumn="0" w:lastRowLastColumn="0"/>
            <w:tcW w:w="3114" w:type="dxa"/>
          </w:tcPr>
          <w:p w:rsidR="00086DA7" w:rsidRPr="00A43775" w:rsidRDefault="00AB7E1C">
            <w:pPr>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lastRenderedPageBreak/>
              <w:t>5. Si las placas me-043a-5, pertenecen a algún vehículo oficial propiedad o en arrendamiento al municipio de Toluca y quien tiene dicha unidad bajo resguardo. Señalando en caso de que nieguen la información de carácter público el área a la que está asignada y cuáles son las funciones que se realizan con dicha unidad, si tiene cajón de estacionamiento y si se resguarda los fines de semana, días festivos o puentes marcados por la ley en el Estado de México.</w:t>
            </w:r>
          </w:p>
        </w:tc>
        <w:tc>
          <w:tcPr>
            <w:tcW w:w="4139" w:type="dxa"/>
            <w:vAlign w:val="center"/>
          </w:tcPr>
          <w:p w:rsidR="00086DA7" w:rsidRPr="00A43775" w:rsidRDefault="00AB7E1C">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No se pronuncia</w:t>
            </w:r>
          </w:p>
        </w:tc>
        <w:tc>
          <w:tcPr>
            <w:tcW w:w="2807" w:type="dxa"/>
            <w:vAlign w:val="center"/>
          </w:tcPr>
          <w:p w:rsidR="00086DA7" w:rsidRPr="00A43775" w:rsidRDefault="00AB7E1C">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NO</w:t>
            </w:r>
          </w:p>
        </w:tc>
      </w:tr>
    </w:tbl>
    <w:p w:rsidR="00086DA7" w:rsidRPr="00A43775" w:rsidRDefault="00086DA7">
      <w:pPr>
        <w:jc w:val="both"/>
        <w:rPr>
          <w:rFonts w:ascii="Palatino Linotype" w:eastAsia="Palatino Linotype" w:hAnsi="Palatino Linotype" w:cs="Palatino Linotype"/>
          <w:i/>
          <w:iCs/>
        </w:rPr>
      </w:pPr>
    </w:p>
    <w:p w:rsidR="00086DA7" w:rsidRPr="00A43775" w:rsidRDefault="00AB7E1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color w:val="000000"/>
        </w:rPr>
        <w:t>Como se puede observar en el cuadro anterior, el Sujeto Obligado al pretender colmar la solicitud del particular, proporcionando información que le es propia, sin embargo se aprecian omisiones por lo que resulta necesario entonces realizar estudio de la naturaleza de cada uno de los puntos de la solicitud a fin de determinar si colma los mismos.</w:t>
      </w:r>
    </w:p>
    <w:p w:rsidR="00086DA7" w:rsidRPr="00A43775" w:rsidRDefault="00086DA7">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086DA7" w:rsidRPr="00A43775" w:rsidRDefault="00AB7E1C">
      <w:pPr>
        <w:numPr>
          <w:ilvl w:val="0"/>
          <w:numId w:val="8"/>
        </w:numPr>
        <w:spacing w:line="360" w:lineRule="auto"/>
        <w:ind w:left="0" w:right="49" w:firstLine="0"/>
        <w:jc w:val="both"/>
        <w:rPr>
          <w:rFonts w:ascii="Palatino Linotype" w:eastAsia="Palatino Linotype" w:hAnsi="Palatino Linotype" w:cs="Palatino Linotype"/>
        </w:rPr>
      </w:pPr>
      <w:r w:rsidRPr="00A43775">
        <w:rPr>
          <w:rFonts w:ascii="Palatino Linotype" w:eastAsia="Palatino Linotype" w:hAnsi="Palatino Linotype" w:cs="Palatino Linotype"/>
          <w:color w:val="000000"/>
        </w:rPr>
        <w:t xml:space="preserve">A más de lo anterior, es de explorado derecho que este Instituto no se encuentra facultado para dudar de la veracidad de la </w:t>
      </w:r>
      <w:r w:rsidRPr="00A43775">
        <w:rPr>
          <w:rFonts w:ascii="Palatino Linotype" w:eastAsia="Palatino Linotype" w:hAnsi="Palatino Linotype" w:cs="Palatino Linotype"/>
        </w:rPr>
        <w:t>información</w:t>
      </w:r>
      <w:r w:rsidRPr="00A43775">
        <w:rPr>
          <w:rFonts w:ascii="Palatino Linotype" w:eastAsia="Palatino Linotype" w:hAnsi="Palatino Linotype" w:cs="Palatino Linotype"/>
          <w:color w:val="000000"/>
        </w:rPr>
        <w:t xml:space="preserve"> que le fue entregada al hoy </w:t>
      </w:r>
      <w:r w:rsidRPr="00A43775">
        <w:rPr>
          <w:rFonts w:ascii="Palatino Linotype" w:eastAsia="Palatino Linotype" w:hAnsi="Palatino Linotype" w:cs="Palatino Linotype"/>
          <w:b/>
          <w:bCs/>
          <w:color w:val="000000"/>
        </w:rPr>
        <w:t>RECURRENTE</w:t>
      </w:r>
      <w:r w:rsidRPr="00A43775">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A43775">
        <w:rPr>
          <w:rFonts w:ascii="Palatino Linotype" w:eastAsia="Palatino Linotype" w:hAnsi="Palatino Linotype" w:cs="Palatino Linotype"/>
        </w:rPr>
        <w:t xml:space="preserve">situación que se aleja de las atribuciones de este Instituto </w:t>
      </w:r>
      <w:r w:rsidRPr="00A43775">
        <w:rPr>
          <w:rFonts w:ascii="Palatino Linotype" w:eastAsia="Palatino Linotype" w:hAnsi="Palatino Linotype" w:cs="Palatino Linotype"/>
          <w:i/>
          <w:iCs/>
          <w:color w:val="000000"/>
        </w:rPr>
        <w:t>máxime</w:t>
      </w:r>
      <w:r w:rsidRPr="00A43775">
        <w:rPr>
          <w:rFonts w:ascii="Palatino Linotype" w:eastAsia="Palatino Linotype" w:hAnsi="Palatino Linotype" w:cs="Palatino Linotype"/>
          <w:color w:val="000000"/>
        </w:rPr>
        <w:t xml:space="preserve"> que al momento que ponen a disposición ésta, </w:t>
      </w:r>
      <w:r w:rsidRPr="00A43775">
        <w:rPr>
          <w:rFonts w:ascii="Palatino Linotype" w:eastAsia="Palatino Linotype" w:hAnsi="Palatino Linotype" w:cs="Palatino Linotype"/>
          <w:color w:val="000000"/>
        </w:rPr>
        <w:lastRenderedPageBreak/>
        <w:t>la misma tiene el carácter oficial y se presume veraz, tan es así que la misma queda registrada en el Sistema de Acceso a la Información Mexiquense (SAIMEX).</w:t>
      </w:r>
    </w:p>
    <w:p w:rsidR="00086DA7" w:rsidRPr="00A43775" w:rsidRDefault="00086DA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86DA7" w:rsidRPr="00A43775" w:rsidRDefault="00AB7E1C">
      <w:pPr>
        <w:numPr>
          <w:ilvl w:val="0"/>
          <w:numId w:val="8"/>
        </w:numPr>
        <w:spacing w:line="360" w:lineRule="auto"/>
        <w:ind w:left="0" w:right="49"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Sirviendo de apoyo a lo anterior por analogía, el criterio 31-10 emitido por el entonces Instituto </w:t>
      </w:r>
      <w:r w:rsidRPr="00A43775">
        <w:rPr>
          <w:rFonts w:ascii="Palatino Linotype" w:eastAsia="Palatino Linotype" w:hAnsi="Palatino Linotype" w:cs="Palatino Linotype"/>
          <w:color w:val="000000"/>
        </w:rPr>
        <w:t>Nacional</w:t>
      </w:r>
      <w:r w:rsidRPr="00A43775">
        <w:rPr>
          <w:rFonts w:ascii="Palatino Linotype" w:eastAsia="Palatino Linotype" w:hAnsi="Palatino Linotype" w:cs="Palatino Linotype"/>
        </w:rPr>
        <w:t xml:space="preserve"> de Transparencia, Acceso a la Información y Protección de Datos Personales, que a la letra dice:</w:t>
      </w:r>
    </w:p>
    <w:p w:rsidR="00086DA7" w:rsidRPr="00A43775" w:rsidRDefault="00086DA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86DA7" w:rsidRPr="00A43775" w:rsidRDefault="00AB7E1C">
      <w:pPr>
        <w:pBdr>
          <w:top w:val="nil"/>
          <w:left w:val="nil"/>
          <w:bottom w:val="nil"/>
          <w:right w:val="nil"/>
          <w:between w:val="nil"/>
        </w:pBdr>
        <w:spacing w:line="360" w:lineRule="auto"/>
        <w:ind w:left="1134" w:right="1814"/>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“El Instituto Federal de Acceso a la Información y Protección de Datos </w:t>
      </w:r>
      <w:r w:rsidRPr="00A43775">
        <w:rPr>
          <w:rFonts w:ascii="Palatino Linotype" w:eastAsia="Palatino Linotype" w:hAnsi="Palatino Linotype" w:cs="Palatino Linotype"/>
          <w:b/>
          <w:bCs/>
          <w:i/>
          <w:iCs/>
          <w:color w:val="000000"/>
        </w:rPr>
        <w:t>no cuenta con facultades para pronunciarse respecto de la veracidad de los documentos proporcionados por los sujetos obligados.</w:t>
      </w:r>
      <w:r w:rsidRPr="00A43775">
        <w:rPr>
          <w:rFonts w:ascii="Palatino Linotype" w:eastAsia="Palatino Linotype" w:hAnsi="Palatino Linotype" w:cs="Palatino Linotype"/>
          <w:i/>
          <w:iCs/>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w:t>
      </w:r>
      <w:r w:rsidRPr="00A43775">
        <w:rPr>
          <w:rFonts w:ascii="Palatino Linotype" w:eastAsia="Palatino Linotype" w:hAnsi="Palatino Linotype" w:cs="Palatino Linotype"/>
          <w:i/>
          <w:iCs/>
          <w:color w:val="000000"/>
        </w:rPr>
        <w:lastRenderedPageBreak/>
        <w:t>a la Información y Protección de Datos conocer, vía recurso revisión, al respecto.”</w:t>
      </w:r>
    </w:p>
    <w:p w:rsidR="00086DA7" w:rsidRPr="00A43775" w:rsidRDefault="00086DA7">
      <w:pPr>
        <w:pBdr>
          <w:top w:val="nil"/>
          <w:left w:val="nil"/>
          <w:bottom w:val="nil"/>
          <w:right w:val="nil"/>
          <w:between w:val="nil"/>
        </w:pBdr>
        <w:spacing w:line="360" w:lineRule="auto"/>
        <w:ind w:left="851" w:right="850"/>
        <w:jc w:val="both"/>
        <w:rPr>
          <w:rFonts w:ascii="Palatino Linotype" w:eastAsia="Palatino Linotype" w:hAnsi="Palatino Linotype" w:cs="Palatino Linotype"/>
          <w:i/>
          <w:iCs/>
          <w:color w:val="000000"/>
        </w:rPr>
      </w:pPr>
    </w:p>
    <w:p w:rsidR="00086DA7" w:rsidRPr="00A43775" w:rsidRDefault="00AB7E1C">
      <w:pPr>
        <w:numPr>
          <w:ilvl w:val="0"/>
          <w:numId w:val="8"/>
        </w:numPr>
        <w:spacing w:line="360" w:lineRule="auto"/>
        <w:ind w:left="0" w:right="49" w:firstLine="0"/>
        <w:jc w:val="both"/>
        <w:rPr>
          <w:rFonts w:ascii="Palatino Linotype" w:eastAsia="Palatino Linotype" w:hAnsi="Palatino Linotype" w:cs="Palatino Linotype"/>
          <w:i/>
          <w:iCs/>
        </w:rPr>
      </w:pPr>
      <w:r w:rsidRPr="00A43775">
        <w:rPr>
          <w:rFonts w:ascii="Palatino Linotype" w:eastAsia="Palatino Linotype" w:hAnsi="Palatino Linotype" w:cs="Palatino Linotype"/>
        </w:rPr>
        <w:t xml:space="preserve">Así como lo dispuesto por la </w:t>
      </w:r>
      <w:r w:rsidRPr="00A43775">
        <w:rPr>
          <w:rFonts w:ascii="Palatino Linotype" w:eastAsia="Palatino Linotype" w:hAnsi="Palatino Linotype" w:cs="Palatino Linotype"/>
          <w:b/>
          <w:bCs/>
        </w:rPr>
        <w:t xml:space="preserve">Ley de Transparencia y Acceso a la Información Pública del </w:t>
      </w:r>
      <w:r w:rsidRPr="00A43775">
        <w:rPr>
          <w:rFonts w:ascii="Palatino Linotype" w:eastAsia="Palatino Linotype" w:hAnsi="Palatino Linotype" w:cs="Palatino Linotype"/>
          <w:color w:val="000000"/>
        </w:rPr>
        <w:t>Estado</w:t>
      </w:r>
      <w:r w:rsidRPr="00A43775">
        <w:rPr>
          <w:rFonts w:ascii="Palatino Linotype" w:eastAsia="Palatino Linotype" w:hAnsi="Palatino Linotype" w:cs="Palatino Linotype"/>
          <w:b/>
          <w:bCs/>
        </w:rPr>
        <w:t xml:space="preserve"> de México y Municipios</w:t>
      </w:r>
      <w:r w:rsidRPr="00A43775">
        <w:rPr>
          <w:rFonts w:ascii="Palatino Linotype" w:eastAsia="Palatino Linotype" w:hAnsi="Palatino Linotype" w:cs="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086DA7" w:rsidRPr="00A43775" w:rsidRDefault="00086DA7">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086DA7" w:rsidRPr="00A43775" w:rsidRDefault="00AB7E1C">
      <w:pPr>
        <w:pBdr>
          <w:top w:val="nil"/>
          <w:left w:val="nil"/>
          <w:bottom w:val="nil"/>
          <w:right w:val="nil"/>
          <w:between w:val="nil"/>
        </w:pBdr>
        <w:tabs>
          <w:tab w:val="left" w:pos="7938"/>
        </w:tabs>
        <w:ind w:left="1134" w:right="1814"/>
        <w:jc w:val="both"/>
        <w:rPr>
          <w:rFonts w:ascii="Palatino Linotype" w:eastAsia="Palatino Linotype" w:hAnsi="Palatino Linotype" w:cs="Palatino Linotype"/>
          <w:b/>
          <w:bCs/>
          <w:i/>
          <w:iCs/>
          <w:color w:val="000000"/>
        </w:rPr>
      </w:pPr>
      <w:r w:rsidRPr="00A43775">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43775">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086DA7" w:rsidRPr="00A43775" w:rsidRDefault="00086DA7">
      <w:pPr>
        <w:pBdr>
          <w:top w:val="nil"/>
          <w:left w:val="nil"/>
          <w:bottom w:val="nil"/>
          <w:right w:val="nil"/>
          <w:between w:val="nil"/>
        </w:pBdr>
        <w:spacing w:line="360" w:lineRule="auto"/>
        <w:ind w:left="567" w:right="680"/>
        <w:jc w:val="both"/>
        <w:rPr>
          <w:rFonts w:ascii="Palatino Linotype" w:eastAsia="Palatino Linotype" w:hAnsi="Palatino Linotype" w:cs="Palatino Linotype"/>
          <w:b/>
          <w:bCs/>
          <w:i/>
          <w:iCs/>
          <w:color w:val="000000"/>
        </w:rPr>
      </w:pPr>
    </w:p>
    <w:p w:rsidR="00086DA7" w:rsidRPr="00A43775" w:rsidRDefault="00AB7E1C">
      <w:pPr>
        <w:numPr>
          <w:ilvl w:val="0"/>
          <w:numId w:val="8"/>
        </w:numPr>
        <w:spacing w:line="360" w:lineRule="auto"/>
        <w:ind w:left="0" w:right="4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rPr>
        <w:t xml:space="preserve">Numerales que compelen al </w:t>
      </w:r>
      <w:r w:rsidRPr="00A43775">
        <w:rPr>
          <w:rFonts w:ascii="Palatino Linotype" w:eastAsia="Palatino Linotype" w:hAnsi="Palatino Linotype" w:cs="Palatino Linotype"/>
          <w:b/>
          <w:bCs/>
        </w:rPr>
        <w:t>SUJETO OBLIGADO</w:t>
      </w:r>
      <w:r w:rsidRPr="00A43775">
        <w:rPr>
          <w:rFonts w:ascii="Palatino Linotype" w:eastAsia="Palatino Linotype" w:hAnsi="Palatino Linotype" w:cs="Palatino Linotype"/>
        </w:rPr>
        <w:t xml:space="preserve"> apegarse en todo momento a los criterios ya expuestos, impidiendo a este Órgano Colegiado cuestionar la veracidad de la información.</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i/>
          <w:iCs/>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Ahora bien, respecto  a los aspectos señalados al primer punto, el segundo, cuarto y quinto puntos, el Sujeto Obligado omitió pronunciarse respecto a dichas documentales; sobre el tema, el artículo 1.8, fracción XIII, del Código Administrativo </w:t>
      </w:r>
      <w:r w:rsidRPr="00A43775">
        <w:rPr>
          <w:rFonts w:ascii="Palatino Linotype" w:eastAsia="Palatino Linotype" w:hAnsi="Palatino Linotype" w:cs="Palatino Linotype"/>
          <w:color w:val="000000"/>
        </w:rPr>
        <w:lastRenderedPageBreak/>
        <w:t>del Estado de México, establece que para que tenga validez, todo acto administrativo deberá resolver todos los puntos propuestos por los interesados.</w:t>
      </w:r>
    </w:p>
    <w:p w:rsidR="00086DA7" w:rsidRPr="00A43775" w:rsidRDefault="00086DA7">
      <w:pPr>
        <w:widowControl w:val="0"/>
        <w:spacing w:line="360" w:lineRule="auto"/>
        <w:ind w:right="27"/>
        <w:rPr>
          <w:rFonts w:ascii="Palatino Linotype" w:eastAsia="Palatino Linotype" w:hAnsi="Palatino Linotype" w:cs="Palatino Linotype"/>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sidRPr="00A43775">
        <w:rPr>
          <w:rFonts w:ascii="Palatino Linotype" w:eastAsia="Palatino Linotype" w:hAnsi="Palatino Linotype" w:cs="Palatino Linotype"/>
          <w:b/>
          <w:bCs/>
          <w:color w:val="000000"/>
        </w:rPr>
        <w:t>principio de exhaustividad</w:t>
      </w:r>
      <w:r w:rsidRPr="00A43775">
        <w:rPr>
          <w:rFonts w:ascii="Palatino Linotype" w:eastAsia="Palatino Linotype" w:hAnsi="Palatino Linotype" w:cs="Palatino Linotype"/>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086DA7" w:rsidRPr="00A43775" w:rsidRDefault="00086DA7">
      <w:pPr>
        <w:spacing w:line="360" w:lineRule="auto"/>
        <w:ind w:right="27"/>
        <w:rPr>
          <w:rFonts w:ascii="Palatino Linotype" w:eastAsia="Palatino Linotype" w:hAnsi="Palatino Linotype" w:cs="Palatino Linotype"/>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Ahora bien, como se advierte del expediente electrónico, el Sujeto Obligado al pretender colmar el derecho de acceso a la información del particular refirió tres ligas en formato cerrado; al respecto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rsidR="00086DA7" w:rsidRPr="00A43775" w:rsidRDefault="00086DA7">
      <w:pPr>
        <w:spacing w:line="360" w:lineRule="auto"/>
        <w:ind w:right="27"/>
        <w:jc w:val="both"/>
        <w:rPr>
          <w:rFonts w:ascii="Palatino Linotype" w:eastAsia="Palatino Linotype" w:hAnsi="Palatino Linotype" w:cs="Palatino Linotype"/>
          <w:color w:val="000000"/>
        </w:rPr>
      </w:pPr>
    </w:p>
    <w:p w:rsidR="00086DA7" w:rsidRPr="00A43775" w:rsidRDefault="00AB7E1C">
      <w:pPr>
        <w:spacing w:line="360"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Artículo 161. Cuando la información requerida por el solicitante ya esté disponible al público en medios impresos, tales como libros, compendios, </w:t>
      </w:r>
      <w:r w:rsidRPr="00A43775">
        <w:rPr>
          <w:rFonts w:ascii="Palatino Linotype" w:eastAsia="Palatino Linotype" w:hAnsi="Palatino Linotype" w:cs="Palatino Linotype"/>
          <w:i/>
          <w:iCs/>
          <w:color w:val="000000"/>
        </w:rPr>
        <w:lastRenderedPageBreak/>
        <w:t>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086DA7" w:rsidRPr="00A43775" w:rsidRDefault="00AB7E1C">
      <w:pPr>
        <w:spacing w:line="360"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(Énfasis añadido)</w:t>
      </w:r>
    </w:p>
    <w:p w:rsidR="00086DA7" w:rsidRPr="00A43775" w:rsidRDefault="00086DA7">
      <w:pPr>
        <w:spacing w:line="360" w:lineRule="auto"/>
        <w:ind w:right="27"/>
        <w:jc w:val="both"/>
        <w:rPr>
          <w:rFonts w:ascii="Palatino Linotype" w:eastAsia="Palatino Linotype" w:hAnsi="Palatino Linotype" w:cs="Palatino Linotype"/>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rsidR="00086DA7" w:rsidRPr="00A43775" w:rsidRDefault="00086DA7">
      <w:pPr>
        <w:spacing w:line="360" w:lineRule="auto"/>
        <w:ind w:right="27"/>
        <w:jc w:val="both"/>
        <w:rPr>
          <w:rFonts w:ascii="Palatino Linotype" w:eastAsia="Palatino Linotype" w:hAnsi="Palatino Linotype" w:cs="Palatino Linotype"/>
          <w:color w:val="000000"/>
        </w:rPr>
      </w:pPr>
    </w:p>
    <w:p w:rsidR="00086DA7" w:rsidRPr="00A43775" w:rsidRDefault="00AB7E1C">
      <w:pPr>
        <w:numPr>
          <w:ilvl w:val="0"/>
          <w:numId w:val="12"/>
        </w:numPr>
        <w:pBdr>
          <w:top w:val="nil"/>
          <w:left w:val="nil"/>
          <w:bottom w:val="nil"/>
          <w:right w:val="nil"/>
          <w:between w:val="nil"/>
        </w:pBdr>
        <w:spacing w:line="360"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La dirección electrónica debe señalarse en un plazo no mayor a cinco días hábiles;</w:t>
      </w:r>
    </w:p>
    <w:p w:rsidR="00086DA7" w:rsidRPr="00A43775" w:rsidRDefault="00AB7E1C">
      <w:pPr>
        <w:numPr>
          <w:ilvl w:val="0"/>
          <w:numId w:val="12"/>
        </w:numPr>
        <w:pBdr>
          <w:top w:val="nil"/>
          <w:left w:val="nil"/>
          <w:bottom w:val="nil"/>
          <w:right w:val="nil"/>
          <w:between w:val="nil"/>
        </w:pBdr>
        <w:spacing w:line="360"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La dirección electrónica debe ser precisa, de tal modo que no implique realizar una búsqueda en toda la información que ahí se encuentre; y,</w:t>
      </w:r>
    </w:p>
    <w:p w:rsidR="00086DA7" w:rsidRPr="00A43775" w:rsidRDefault="00AB7E1C">
      <w:pPr>
        <w:numPr>
          <w:ilvl w:val="0"/>
          <w:numId w:val="12"/>
        </w:numPr>
        <w:pBdr>
          <w:top w:val="nil"/>
          <w:left w:val="nil"/>
          <w:bottom w:val="nil"/>
          <w:right w:val="nil"/>
          <w:between w:val="nil"/>
        </w:pBdr>
        <w:spacing w:line="360"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La dirección electrónica debe ir acompañada del procedimiento a seguir, en caso de que la información se encuentre en distintos puntos del sitio electrónico referido; y,</w:t>
      </w:r>
    </w:p>
    <w:p w:rsidR="00086DA7" w:rsidRPr="00A43775" w:rsidRDefault="00AB7E1C">
      <w:pPr>
        <w:numPr>
          <w:ilvl w:val="0"/>
          <w:numId w:val="12"/>
        </w:numPr>
        <w:pBdr>
          <w:top w:val="nil"/>
          <w:left w:val="nil"/>
          <w:bottom w:val="nil"/>
          <w:right w:val="nil"/>
          <w:between w:val="nil"/>
        </w:pBdr>
        <w:spacing w:line="360"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lastRenderedPageBreak/>
        <w:t>La dirección electrónica se debe entregar en formato abierto, para que el Recurrente pueda copiar y pegar sin la necesidad de transcribir la liga electrónica.</w:t>
      </w:r>
    </w:p>
    <w:p w:rsidR="00086DA7" w:rsidRPr="00A43775" w:rsidRDefault="00086DA7">
      <w:pPr>
        <w:spacing w:line="360" w:lineRule="auto"/>
        <w:ind w:right="27"/>
        <w:jc w:val="both"/>
        <w:rPr>
          <w:rFonts w:ascii="Palatino Linotype" w:eastAsia="Palatino Linotype" w:hAnsi="Palatino Linotype" w:cs="Palatino Linotype"/>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086DA7" w:rsidRPr="00A43775" w:rsidRDefault="00086DA7">
      <w:pPr>
        <w:spacing w:line="360" w:lineRule="auto"/>
        <w:ind w:right="27"/>
        <w:jc w:val="both"/>
        <w:rPr>
          <w:rFonts w:ascii="Palatino Linotype" w:eastAsia="Palatino Linotype" w:hAnsi="Palatino Linotype" w:cs="Palatino Linotype"/>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rsidR="00086DA7" w:rsidRPr="00A43775" w:rsidRDefault="00086DA7">
      <w:pPr>
        <w:spacing w:line="360" w:lineRule="auto"/>
        <w:ind w:right="27"/>
        <w:jc w:val="both"/>
        <w:rPr>
          <w:rFonts w:ascii="Palatino Linotype" w:eastAsia="Palatino Linotype" w:hAnsi="Palatino Linotype" w:cs="Palatino Linotype"/>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En ese contexto, el artículo 3°, fracciones VIII y XVI de la Ley de Transparencia y Acceso a la Información Pública del Estado de México y Municipios, precisan lo siguiente:</w:t>
      </w:r>
    </w:p>
    <w:p w:rsidR="00086DA7" w:rsidRPr="00A43775" w:rsidRDefault="00086DA7">
      <w:pPr>
        <w:spacing w:line="360" w:lineRule="auto"/>
        <w:ind w:right="27"/>
        <w:jc w:val="both"/>
        <w:rPr>
          <w:rFonts w:ascii="Palatino Linotype" w:eastAsia="Palatino Linotype" w:hAnsi="Palatino Linotype" w:cs="Palatino Linotype"/>
          <w:color w:val="000000"/>
        </w:rPr>
      </w:pPr>
    </w:p>
    <w:p w:rsidR="00086DA7" w:rsidRPr="00A43775" w:rsidRDefault="00AB7E1C">
      <w:pPr>
        <w:numPr>
          <w:ilvl w:val="0"/>
          <w:numId w:val="13"/>
        </w:numPr>
        <w:pBdr>
          <w:top w:val="nil"/>
          <w:left w:val="nil"/>
          <w:bottom w:val="nil"/>
          <w:right w:val="nil"/>
          <w:between w:val="nil"/>
        </w:pBd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Dato abierto: Datos digitales de carácter público que son accesibles en línea que pueden ser usados, reutilizados y redistribuidos por cualquier persona, </w:t>
      </w:r>
      <w:r w:rsidRPr="00A43775">
        <w:rPr>
          <w:rFonts w:ascii="Palatino Linotype" w:eastAsia="Palatino Linotype" w:hAnsi="Palatino Linotype" w:cs="Palatino Linotype"/>
          <w:i/>
          <w:iCs/>
          <w:color w:val="000000"/>
        </w:rPr>
        <w:lastRenderedPageBreak/>
        <w:t>mismos que se conforman de diversas características, entre las cuales se encuentra que se encuentren en formatos abiertos.</w:t>
      </w:r>
    </w:p>
    <w:p w:rsidR="00086DA7" w:rsidRPr="00A43775" w:rsidRDefault="00086DA7">
      <w:pPr>
        <w:spacing w:line="276" w:lineRule="auto"/>
        <w:ind w:left="1134" w:right="851"/>
        <w:jc w:val="both"/>
        <w:rPr>
          <w:rFonts w:ascii="Palatino Linotype" w:eastAsia="Palatino Linotype" w:hAnsi="Palatino Linotype" w:cs="Palatino Linotype"/>
          <w:i/>
          <w:iCs/>
          <w:color w:val="000000"/>
        </w:rPr>
      </w:pPr>
    </w:p>
    <w:p w:rsidR="00086DA7" w:rsidRPr="00A43775" w:rsidRDefault="00AB7E1C">
      <w:pPr>
        <w:numPr>
          <w:ilvl w:val="0"/>
          <w:numId w:val="13"/>
        </w:numPr>
        <w:pBdr>
          <w:top w:val="nil"/>
          <w:left w:val="nil"/>
          <w:bottom w:val="nil"/>
          <w:right w:val="nil"/>
          <w:between w:val="nil"/>
        </w:pBdr>
        <w:spacing w:line="276"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Formato accesible: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086DA7" w:rsidRPr="00A43775" w:rsidRDefault="00086DA7">
      <w:pPr>
        <w:spacing w:line="276" w:lineRule="auto"/>
        <w:ind w:left="1134" w:right="851"/>
        <w:jc w:val="both"/>
        <w:rPr>
          <w:rFonts w:ascii="Palatino Linotype" w:eastAsia="Palatino Linotype" w:hAnsi="Palatino Linotype" w:cs="Palatino Linotype"/>
          <w:i/>
          <w:iCs/>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rsidR="00086DA7" w:rsidRPr="00A43775" w:rsidRDefault="00086DA7">
      <w:pPr>
        <w:spacing w:line="360" w:lineRule="auto"/>
        <w:ind w:right="27"/>
        <w:jc w:val="both"/>
        <w:rPr>
          <w:rFonts w:ascii="Palatino Linotype" w:eastAsia="Palatino Linotype" w:hAnsi="Palatino Linotype" w:cs="Palatino Linotype"/>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En el presente asunto, el Sujeto Obligado entregó la dirección electrónica en formato cerrado, lo que propicia que el Recurrente deba transcribir cada uno de los caracteres, lo que facilita a errores y con ello la imposibilidad o dificultad para acceder a la información. </w:t>
      </w:r>
    </w:p>
    <w:p w:rsidR="00086DA7" w:rsidRPr="00A43775" w:rsidRDefault="00086DA7">
      <w:pPr>
        <w:spacing w:line="360" w:lineRule="auto"/>
        <w:ind w:right="27"/>
        <w:jc w:val="both"/>
        <w:rPr>
          <w:rFonts w:ascii="Palatino Linotype" w:eastAsia="Palatino Linotype" w:hAnsi="Palatino Linotype" w:cs="Palatino Linotype"/>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Tal y como se aprecia, la dirección electrónica incumple lo que estipula el artículo 161 antes citado, en razón de lo siguiente:</w:t>
      </w:r>
    </w:p>
    <w:p w:rsidR="00086DA7" w:rsidRPr="00A43775" w:rsidRDefault="00086DA7">
      <w:pPr>
        <w:spacing w:line="360" w:lineRule="auto"/>
        <w:ind w:right="27"/>
        <w:jc w:val="both"/>
        <w:rPr>
          <w:rFonts w:ascii="Palatino Linotype" w:eastAsia="Palatino Linotype" w:hAnsi="Palatino Linotype" w:cs="Palatino Linotype"/>
          <w:color w:val="000000"/>
        </w:rPr>
      </w:pPr>
    </w:p>
    <w:p w:rsidR="00086DA7" w:rsidRPr="00A43775" w:rsidRDefault="00AB7E1C">
      <w:pPr>
        <w:numPr>
          <w:ilvl w:val="0"/>
          <w:numId w:val="14"/>
        </w:numPr>
        <w:pBdr>
          <w:top w:val="nil"/>
          <w:left w:val="nil"/>
          <w:bottom w:val="nil"/>
          <w:right w:val="nil"/>
          <w:between w:val="nil"/>
        </w:pBdr>
        <w:spacing w:line="360"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La dirección electrónica se encuentra en formato cerrado, por lo que no resulta accesible para el Recurrente; y,</w:t>
      </w:r>
    </w:p>
    <w:p w:rsidR="00086DA7" w:rsidRPr="00A43775" w:rsidRDefault="00AB7E1C">
      <w:pPr>
        <w:numPr>
          <w:ilvl w:val="0"/>
          <w:numId w:val="14"/>
        </w:numPr>
        <w:pBdr>
          <w:top w:val="nil"/>
          <w:left w:val="nil"/>
          <w:bottom w:val="nil"/>
          <w:right w:val="nil"/>
          <w:between w:val="nil"/>
        </w:pBdr>
        <w:spacing w:line="360"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Se encuentra fuera del plazo de cinco días establecidos para tal efecto.</w:t>
      </w:r>
    </w:p>
    <w:p w:rsidR="00086DA7" w:rsidRPr="00A43775" w:rsidRDefault="00086DA7">
      <w:pPr>
        <w:spacing w:line="360" w:lineRule="auto"/>
        <w:ind w:left="1134" w:right="851"/>
        <w:jc w:val="both"/>
        <w:rPr>
          <w:rFonts w:ascii="Palatino Linotype" w:eastAsia="Palatino Linotype" w:hAnsi="Palatino Linotype" w:cs="Palatino Linotype"/>
          <w:i/>
          <w:iCs/>
          <w:color w:val="000000"/>
        </w:rPr>
      </w:pPr>
    </w:p>
    <w:p w:rsidR="00086DA7" w:rsidRPr="00A43775" w:rsidRDefault="00AB7E1C">
      <w:pPr>
        <w:numPr>
          <w:ilvl w:val="0"/>
          <w:numId w:val="8"/>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lastRenderedPageBreak/>
        <w:t>En esa tesitura, se concluye que el Sujeto Obligado no satisfizo plenamente el derecho de acceso a la información del Solicitante, pues omitió pronunciarse sobre algunos aspectos referidos a la información solicitada, por lo que, para atender el requerimiento de información, el Sujeto Obligado deberá realizar una búsqueda exhaustiva y razonable en sus archivos, con el fin de dar cumplimiento a los artículos 12, 160 y 162 de la Ley de Transparencia y Acceso a la Información Pública del Estado de México y Municipios.</w:t>
      </w:r>
    </w:p>
    <w:p w:rsidR="00086DA7" w:rsidRPr="00A43775" w:rsidRDefault="00086DA7">
      <w:pPr>
        <w:spacing w:line="360" w:lineRule="auto"/>
        <w:ind w:right="27"/>
        <w:rPr>
          <w:rFonts w:ascii="Palatino Linotype" w:eastAsia="Palatino Linotype" w:hAnsi="Palatino Linotype" w:cs="Palatino Linotype"/>
          <w:color w:val="000000"/>
        </w:rPr>
      </w:pPr>
    </w:p>
    <w:p w:rsidR="00086DA7" w:rsidRPr="00A43775" w:rsidRDefault="00AB7E1C">
      <w:pPr>
        <w:numPr>
          <w:ilvl w:val="0"/>
          <w:numId w:val="8"/>
        </w:numPr>
        <w:spacing w:line="360" w:lineRule="auto"/>
        <w:ind w:left="0" w:firstLine="0"/>
        <w:jc w:val="both"/>
      </w:pPr>
      <w:r w:rsidRPr="00A43775">
        <w:rPr>
          <w:rFonts w:ascii="Palatino Linotype" w:eastAsia="Palatino Linotype" w:hAnsi="Palatino Linotype" w:cs="Palatino Linotype"/>
        </w:rPr>
        <w:t>Es así que el ejercicio del gobierno municipal se deposita en un cuerpo colegiado denominado Ayuntamiento. La ejecución de las atribuciones corresponde al Presidente Municipal, quien dirige la Administración Pública Municipal, misma que será centralizada, descentralizada y autónoma, y se auxiliará de diversas dependencias, organismos descentralizados y órganos autónomos, , de conformidad con el artículo 90, del Bando Municipal 2025:</w:t>
      </w:r>
    </w:p>
    <w:p w:rsidR="00086DA7" w:rsidRPr="00A43775" w:rsidRDefault="00086DA7">
      <w:pPr>
        <w:spacing w:line="360" w:lineRule="auto"/>
        <w:jc w:val="both"/>
      </w:pPr>
    </w:p>
    <w:p w:rsidR="00086DA7" w:rsidRPr="00A43775" w:rsidRDefault="00AB7E1C">
      <w:pPr>
        <w:ind w:left="567"/>
        <w:jc w:val="center"/>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Bando Municipal 2025</w:t>
      </w:r>
    </w:p>
    <w:p w:rsidR="00086DA7" w:rsidRPr="00A43775" w:rsidRDefault="00086DA7">
      <w:pPr>
        <w:ind w:left="567"/>
        <w:jc w:val="center"/>
        <w:rPr>
          <w:rFonts w:ascii="Palatino Linotype" w:eastAsia="Palatino Linotype" w:hAnsi="Palatino Linotype" w:cs="Palatino Linotype"/>
          <w:b/>
          <w:bCs/>
          <w:i/>
          <w:iCs/>
        </w:rPr>
      </w:pP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 xml:space="preserve">Artículo 90. </w:t>
      </w:r>
      <w:r w:rsidRPr="00A43775">
        <w:rPr>
          <w:rFonts w:ascii="Palatino Linotype" w:eastAsia="Palatino Linotype" w:hAnsi="Palatino Linotype" w:cs="Palatino Linotype"/>
          <w:i/>
          <w:iCs/>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086DA7" w:rsidRPr="00A43775" w:rsidRDefault="00086DA7">
      <w:pPr>
        <w:ind w:left="1134" w:right="851"/>
        <w:jc w:val="both"/>
        <w:rPr>
          <w:rFonts w:ascii="Palatino Linotype" w:eastAsia="Palatino Linotype" w:hAnsi="Palatino Linotype" w:cs="Palatino Linotype"/>
          <w:i/>
          <w:iCs/>
        </w:rPr>
      </w:pPr>
    </w:p>
    <w:p w:rsidR="00086DA7" w:rsidRPr="00A43775" w:rsidRDefault="00AB7E1C">
      <w:pPr>
        <w:ind w:left="1134" w:right="851"/>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 xml:space="preserve">I. DEPENDENCIAS: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1. Secretaría del Ayuntamiento;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2. Tesorería Municipal;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3. Órgano Interno de Control;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4. Dirección General de Gobierno;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lastRenderedPageBreak/>
        <w:t xml:space="preserve">5. Dirección General de Seguridad y Protección; </w:t>
      </w:r>
    </w:p>
    <w:p w:rsidR="00086DA7" w:rsidRPr="00A43775" w:rsidRDefault="00AB7E1C">
      <w:pPr>
        <w:ind w:left="1134" w:right="851"/>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 xml:space="preserve">6. Dirección General de Administración;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7. Dirección General de Medio Ambiente;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8. Dirección General de Servicios Públicos;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9. Dirección General de Innovación, Planeación y Gestión Urbana;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10. Dirección General de Obras Públicas;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11. Dirección General de Desarrollo Económico;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12. Dirección General de Bienestar; y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13. Dirección General de Educación, Cultura y Turismo.</w:t>
      </w:r>
    </w:p>
    <w:p w:rsidR="00086DA7" w:rsidRPr="00A43775" w:rsidRDefault="00086DA7">
      <w:pPr>
        <w:ind w:left="1134" w:right="851"/>
        <w:jc w:val="both"/>
        <w:rPr>
          <w:rFonts w:ascii="Palatino Linotype" w:eastAsia="Palatino Linotype" w:hAnsi="Palatino Linotype" w:cs="Palatino Linotype"/>
          <w:i/>
          <w:iCs/>
        </w:rPr>
      </w:pPr>
    </w:p>
    <w:p w:rsidR="00086DA7" w:rsidRPr="00A43775" w:rsidRDefault="00AB7E1C">
      <w:pPr>
        <w:ind w:left="1134" w:right="851"/>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 xml:space="preserve">II. ORGANISMOS DESCENTRALIZADOS: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1. Sistema Municipal para el Desarrollo Integral de la Familia de Toluca;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2. Instituto Municipal de Cultura Física y Deporte de Toluca;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3. Instituto Municipal de la Mujer de Toluca; y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4. Organismo Agua y Saneamiento de Toluca. </w:t>
      </w:r>
    </w:p>
    <w:p w:rsidR="00086DA7" w:rsidRPr="00A43775" w:rsidRDefault="00086DA7">
      <w:pPr>
        <w:ind w:left="1134" w:right="851"/>
        <w:jc w:val="both"/>
        <w:rPr>
          <w:rFonts w:ascii="Palatino Linotype" w:eastAsia="Palatino Linotype" w:hAnsi="Palatino Linotype" w:cs="Palatino Linotype"/>
          <w:i/>
          <w:iCs/>
        </w:rPr>
      </w:pPr>
    </w:p>
    <w:p w:rsidR="00086DA7" w:rsidRPr="00A43775" w:rsidRDefault="00AB7E1C">
      <w:pPr>
        <w:ind w:left="1134" w:right="851"/>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 xml:space="preserve">III. ÓRGANO AUTÓNOMO: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1. Defensoría Municipal de los Derechos Humanos de Toluca.</w:t>
      </w:r>
    </w:p>
    <w:p w:rsidR="00086DA7" w:rsidRPr="00A43775" w:rsidRDefault="00086DA7">
      <w:pPr>
        <w:spacing w:line="360" w:lineRule="auto"/>
        <w:ind w:left="1134" w:right="851"/>
        <w:jc w:val="both"/>
      </w:pPr>
    </w:p>
    <w:p w:rsidR="00086DA7" w:rsidRPr="00A43775" w:rsidRDefault="00AB7E1C">
      <w:pPr>
        <w:numPr>
          <w:ilvl w:val="0"/>
          <w:numId w:val="8"/>
        </w:numPr>
        <w:spacing w:line="360" w:lineRule="auto"/>
        <w:ind w:left="0"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La</w:t>
      </w:r>
      <w:r w:rsidRPr="00A43775">
        <w:rPr>
          <w:rFonts w:ascii="Palatino Linotype" w:eastAsia="Palatino Linotype" w:hAnsi="Palatino Linotype" w:cs="Palatino Linotype"/>
          <w:b/>
          <w:bCs/>
        </w:rPr>
        <w:t xml:space="preserve"> Dirección General de Administración </w:t>
      </w:r>
      <w:r w:rsidRPr="00A43775">
        <w:rPr>
          <w:rFonts w:ascii="Palatino Linotype" w:eastAsia="Palatino Linotype" w:hAnsi="Palatino Linotype" w:cs="Palatino Linotype"/>
        </w:rPr>
        <w:t xml:space="preserve">es responsable de la </w:t>
      </w:r>
      <w:r w:rsidRPr="00A43775">
        <w:rPr>
          <w:rFonts w:ascii="Palatino Linotype" w:eastAsia="Palatino Linotype" w:hAnsi="Palatino Linotype" w:cs="Palatino Linotype"/>
          <w:b/>
          <w:bCs/>
        </w:rPr>
        <w:t>gestión integral del capital humano del Ayuntamiento</w:t>
      </w:r>
      <w:r w:rsidRPr="00A43775">
        <w:rPr>
          <w:rFonts w:ascii="Palatino Linotype" w:eastAsia="Palatino Linotype" w:hAnsi="Palatino Linotype" w:cs="Palatino Linotype"/>
        </w:rPr>
        <w:t>, c</w:t>
      </w:r>
      <w:r w:rsidRPr="00A43775">
        <w:rPr>
          <w:rFonts w:ascii="Palatino Linotype" w:eastAsia="Palatino Linotype" w:hAnsi="Palatino Linotype" w:cs="Palatino Linotype"/>
          <w:b/>
          <w:bCs/>
        </w:rPr>
        <w:t>oordinando el reclutamiento, contratación, capacitación y desarrollo del personal, así como la aplicación de las disposiciones laborales</w:t>
      </w:r>
      <w:r w:rsidRPr="00A43775">
        <w:rPr>
          <w:rFonts w:ascii="Palatino Linotype" w:eastAsia="Palatino Linotype" w:hAnsi="Palatino Linotype" w:cs="Palatino Linotype"/>
        </w:rPr>
        <w:t xml:space="preserve"> y sindicales. </w:t>
      </w:r>
      <w:r w:rsidRPr="00A43775">
        <w:rPr>
          <w:rFonts w:ascii="Palatino Linotype" w:eastAsia="Palatino Linotype" w:hAnsi="Palatino Linotype" w:cs="Palatino Linotype"/>
          <w:b/>
          <w:bCs/>
        </w:rPr>
        <w:t>Supervisará la elaboración y distribución de la nómina,</w:t>
      </w:r>
      <w:r w:rsidRPr="00A43775">
        <w:rPr>
          <w:rFonts w:ascii="Palatino Linotype" w:eastAsia="Palatino Linotype" w:hAnsi="Palatino Linotype" w:cs="Palatino Linotype"/>
        </w:rPr>
        <w:t xml:space="preserve"> garantizando su apego a la normatividad y el presupuesto autorizado. </w:t>
      </w:r>
      <w:r w:rsidRPr="00A43775">
        <w:rPr>
          <w:rFonts w:ascii="Palatino Linotype" w:eastAsia="Palatino Linotype" w:hAnsi="Palatino Linotype" w:cs="Palatino Linotype"/>
          <w:b/>
          <w:bCs/>
        </w:rPr>
        <w:t>Dirigirá los procesos de adquisición, arrendamiento y contratación de servicios</w:t>
      </w:r>
      <w:r w:rsidRPr="00A43775">
        <w:rPr>
          <w:rFonts w:ascii="Palatino Linotype" w:eastAsia="Palatino Linotype" w:hAnsi="Palatino Linotype" w:cs="Palatino Linotype"/>
        </w:rPr>
        <w:t xml:space="preserve">, asegurando la eficiencia y transparencia en el uso de los recursos públicos. </w:t>
      </w:r>
      <w:r w:rsidRPr="00A43775">
        <w:rPr>
          <w:rFonts w:ascii="Palatino Linotype" w:eastAsia="Palatino Linotype" w:hAnsi="Palatino Linotype" w:cs="Palatino Linotype"/>
          <w:b/>
          <w:bCs/>
        </w:rPr>
        <w:t>Administrará el parque vehicular</w:t>
      </w:r>
      <w:r w:rsidRPr="00A43775">
        <w:rPr>
          <w:rFonts w:ascii="Palatino Linotype" w:eastAsia="Palatino Linotype" w:hAnsi="Palatino Linotype" w:cs="Palatino Linotype"/>
        </w:rPr>
        <w:t xml:space="preserve">, </w:t>
      </w:r>
      <w:r w:rsidRPr="00A43775">
        <w:rPr>
          <w:rFonts w:ascii="Palatino Linotype" w:eastAsia="Palatino Linotype" w:hAnsi="Palatino Linotype" w:cs="Palatino Linotype"/>
          <w:b/>
          <w:bCs/>
        </w:rPr>
        <w:t>los bienes municipales</w:t>
      </w:r>
      <w:r w:rsidRPr="00A43775">
        <w:rPr>
          <w:rFonts w:ascii="Palatino Linotype" w:eastAsia="Palatino Linotype" w:hAnsi="Palatino Linotype" w:cs="Palatino Linotype"/>
        </w:rPr>
        <w:t xml:space="preserve"> y la logística de eventos públicos e implementará políticas de gobierno digital y normativas para el uso de tecnologías de la información, promoviendo la eficiencia operativa de la administración pública municipal, de conformidad con lo establecido en el artículo 92, fracción VI, del Bando Municipal 2025.</w:t>
      </w:r>
    </w:p>
    <w:p w:rsidR="00086DA7" w:rsidRPr="00A43775" w:rsidRDefault="00AB7E1C">
      <w:pPr>
        <w:numPr>
          <w:ilvl w:val="0"/>
          <w:numId w:val="8"/>
        </w:numPr>
        <w:spacing w:line="360" w:lineRule="auto"/>
        <w:ind w:left="0" w:firstLine="0"/>
        <w:jc w:val="both"/>
        <w:rPr>
          <w:color w:val="000000"/>
        </w:rPr>
      </w:pPr>
      <w:r w:rsidRPr="00A43775">
        <w:rPr>
          <w:rFonts w:ascii="Palatino Linotype" w:eastAsia="Palatino Linotype" w:hAnsi="Palatino Linotype" w:cs="Palatino Linotype"/>
        </w:rPr>
        <w:lastRenderedPageBreak/>
        <w:t>Es</w:t>
      </w:r>
      <w:r w:rsidRPr="00A43775">
        <w:rPr>
          <w:rFonts w:ascii="Palatino Linotype" w:eastAsia="Palatino Linotype" w:hAnsi="Palatino Linotype" w:cs="Palatino Linotype"/>
          <w:color w:val="000000"/>
        </w:rPr>
        <w:t xml:space="preserve">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86DA7" w:rsidRPr="00A43775" w:rsidRDefault="00086DA7">
      <w:pPr>
        <w:spacing w:line="360" w:lineRule="auto"/>
        <w:ind w:right="-787"/>
        <w:jc w:val="both"/>
        <w:rPr>
          <w:color w:val="000000"/>
        </w:rPr>
      </w:pPr>
    </w:p>
    <w:p w:rsidR="00086DA7" w:rsidRPr="00A43775" w:rsidRDefault="00AB7E1C">
      <w:pPr>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w:t>
      </w:r>
      <w:r w:rsidRPr="00A43775">
        <w:rPr>
          <w:rFonts w:ascii="Palatino Linotype" w:eastAsia="Palatino Linotype" w:hAnsi="Palatino Linotype" w:cs="Palatino Linotype"/>
          <w:b/>
          <w:bCs/>
          <w:i/>
          <w:iCs/>
          <w:color w:val="000000"/>
        </w:rPr>
        <w:t xml:space="preserve">Artículo 3. </w:t>
      </w:r>
      <w:r w:rsidRPr="00A43775">
        <w:rPr>
          <w:rFonts w:ascii="Palatino Linotype" w:eastAsia="Palatino Linotype" w:hAnsi="Palatino Linotype" w:cs="Palatino Linotype"/>
          <w:i/>
          <w:iCs/>
          <w:color w:val="000000"/>
        </w:rPr>
        <w:t>Para los efectos de la presente Ley se entenderá por:</w:t>
      </w:r>
    </w:p>
    <w:p w:rsidR="00086DA7" w:rsidRPr="00A43775" w:rsidRDefault="00AB7E1C">
      <w:pPr>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w:t>
      </w:r>
    </w:p>
    <w:p w:rsidR="00086DA7" w:rsidRPr="00A43775" w:rsidRDefault="00AB7E1C">
      <w:pPr>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b/>
          <w:bCs/>
          <w:i/>
          <w:iCs/>
          <w:color w:val="000000"/>
        </w:rPr>
        <w:t>XI. Documento:</w:t>
      </w:r>
      <w:r w:rsidRPr="00A43775">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86DA7" w:rsidRPr="00A43775" w:rsidRDefault="00AB7E1C">
      <w:pPr>
        <w:spacing w:line="360" w:lineRule="auto"/>
        <w:ind w:left="1134" w:right="851"/>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w:t>
      </w:r>
    </w:p>
    <w:p w:rsidR="00086DA7" w:rsidRPr="00A43775" w:rsidRDefault="00086DA7">
      <w:pPr>
        <w:ind w:left="1134" w:right="851"/>
        <w:jc w:val="both"/>
        <w:rPr>
          <w:rFonts w:ascii="Palatino Linotype" w:eastAsia="Palatino Linotype" w:hAnsi="Palatino Linotype" w:cs="Palatino Linotype"/>
        </w:rPr>
      </w:pPr>
    </w:p>
    <w:p w:rsidR="00086DA7" w:rsidRPr="00A43775" w:rsidRDefault="00AB7E1C">
      <w:pPr>
        <w:numPr>
          <w:ilvl w:val="0"/>
          <w:numId w:val="8"/>
        </w:numPr>
        <w:spacing w:line="360" w:lineRule="auto"/>
        <w:ind w:left="0" w:firstLine="0"/>
        <w:jc w:val="both"/>
        <w:rPr>
          <w:color w:val="000000"/>
        </w:rPr>
      </w:pPr>
      <w:r w:rsidRPr="00A43775">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86DA7" w:rsidRPr="00A43775" w:rsidRDefault="00086DA7">
      <w:pPr>
        <w:spacing w:line="360" w:lineRule="auto"/>
        <w:ind w:right="-787"/>
        <w:jc w:val="both"/>
        <w:rPr>
          <w:color w:val="000000"/>
        </w:rPr>
      </w:pPr>
    </w:p>
    <w:p w:rsidR="00086DA7" w:rsidRPr="00A43775" w:rsidRDefault="00AB7E1C">
      <w:pPr>
        <w:ind w:left="1134" w:right="851"/>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rPr>
        <w:lastRenderedPageBreak/>
        <w:t>“</w:t>
      </w:r>
      <w:r w:rsidRPr="00A43775">
        <w:rPr>
          <w:rFonts w:ascii="Palatino Linotype" w:eastAsia="Palatino Linotype" w:hAnsi="Palatino Linotype" w:cs="Palatino Linotype"/>
          <w:b/>
          <w:bCs/>
          <w:i/>
          <w:iCs/>
        </w:rPr>
        <w:t>CRITERIO 0002-11</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A43775">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En consecuencia el acceso a la información se refiere a que se cumplan cualquiera de los siguientes tres supuestos:</w:t>
      </w:r>
    </w:p>
    <w:p w:rsidR="00086DA7" w:rsidRPr="00A43775" w:rsidRDefault="00AB7E1C">
      <w:pPr>
        <w:ind w:left="1134" w:right="851"/>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 xml:space="preserve">1) </w:t>
      </w:r>
      <w:r w:rsidRPr="00A43775">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086DA7" w:rsidRPr="00A43775" w:rsidRDefault="00AB7E1C">
      <w:pPr>
        <w:tabs>
          <w:tab w:val="left" w:pos="851"/>
        </w:tabs>
        <w:spacing w:line="360" w:lineRule="auto"/>
        <w:ind w:left="1134" w:right="851"/>
        <w:rPr>
          <w:rFonts w:ascii="Palatino Linotype" w:eastAsia="Palatino Linotype" w:hAnsi="Palatino Linotype" w:cs="Palatino Linotype"/>
        </w:rPr>
      </w:pPr>
      <w:r w:rsidRPr="00A43775">
        <w:rPr>
          <w:rFonts w:ascii="Palatino Linotype" w:eastAsia="Palatino Linotype" w:hAnsi="Palatino Linotype" w:cs="Palatino Linotype"/>
        </w:rPr>
        <w:t>(Énfasis Añadido)</w:t>
      </w:r>
    </w:p>
    <w:p w:rsidR="00086DA7" w:rsidRPr="00A43775" w:rsidRDefault="00086DA7">
      <w:pPr>
        <w:pBdr>
          <w:top w:val="nil"/>
          <w:left w:val="nil"/>
          <w:bottom w:val="nil"/>
          <w:right w:val="nil"/>
          <w:between w:val="nil"/>
        </w:pBdr>
        <w:ind w:left="1134" w:right="851"/>
        <w:jc w:val="both"/>
        <w:rPr>
          <w:rFonts w:ascii="Palatino Linotype" w:eastAsia="Palatino Linotype" w:hAnsi="Palatino Linotype" w:cs="Palatino Linotype"/>
          <w:color w:val="000000"/>
        </w:rPr>
      </w:pPr>
    </w:p>
    <w:p w:rsidR="00086DA7" w:rsidRPr="00A43775" w:rsidRDefault="00AB7E1C">
      <w:pPr>
        <w:numPr>
          <w:ilvl w:val="0"/>
          <w:numId w:val="8"/>
        </w:numPr>
        <w:spacing w:line="360" w:lineRule="auto"/>
        <w:ind w:left="0" w:firstLine="0"/>
        <w:jc w:val="both"/>
        <w:rPr>
          <w:color w:val="000000"/>
        </w:rPr>
      </w:pPr>
      <w:r w:rsidRPr="00A43775">
        <w:rPr>
          <w:rFonts w:ascii="Palatino Linotype" w:eastAsia="Palatino Linotype" w:hAnsi="Palatino Linotype" w:cs="Palatino Linotype"/>
          <w:color w:val="000000"/>
        </w:rPr>
        <w:t>Por su parte los artículos 160 y 166, de la Ley local en la materia, que se reproduce de la siguiente forma:</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r w:rsidRPr="00A43775">
        <w:rPr>
          <w:rFonts w:ascii="Palatino Linotype" w:eastAsia="Palatino Linotype" w:hAnsi="Palatino Linotype" w:cs="Palatino Linotype"/>
          <w:b/>
          <w:bCs/>
          <w:i/>
          <w:iCs/>
        </w:rPr>
        <w:t>Artículo 160.</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43775">
        <w:rPr>
          <w:rFonts w:ascii="Palatino Linotype" w:eastAsia="Palatino Linotype" w:hAnsi="Palatino Linotype" w:cs="Palatino Linotype"/>
          <w:i/>
          <w:iCs/>
        </w:rPr>
        <w:t>.</w:t>
      </w:r>
    </w:p>
    <w:p w:rsidR="00086DA7" w:rsidRPr="00A43775" w:rsidRDefault="00086DA7">
      <w:pPr>
        <w:ind w:left="1134" w:right="851"/>
        <w:jc w:val="both"/>
        <w:rPr>
          <w:rFonts w:ascii="Palatino Linotype" w:eastAsia="Palatino Linotype" w:hAnsi="Palatino Linotype" w:cs="Palatino Linotype"/>
          <w:i/>
          <w:iCs/>
        </w:rPr>
      </w:pP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En caso que la información solicitada consista en bases de datos se deberá privilegiar la entrega de la misma en formatos abiertos.</w:t>
      </w:r>
    </w:p>
    <w:p w:rsidR="00086DA7" w:rsidRPr="00A43775" w:rsidRDefault="00086DA7">
      <w:pPr>
        <w:ind w:left="1134" w:right="851"/>
        <w:jc w:val="both"/>
        <w:rPr>
          <w:rFonts w:ascii="Palatino Linotype" w:eastAsia="Palatino Linotype" w:hAnsi="Palatino Linotype" w:cs="Palatino Linotype"/>
          <w:i/>
          <w:iCs/>
        </w:rPr>
      </w:pPr>
    </w:p>
    <w:p w:rsidR="00086DA7" w:rsidRPr="00A43775" w:rsidRDefault="00AB7E1C">
      <w:pPr>
        <w:ind w:left="1134" w:right="851"/>
        <w:jc w:val="both"/>
        <w:rPr>
          <w:rFonts w:ascii="Palatino Linotype" w:eastAsia="Palatino Linotype" w:hAnsi="Palatino Linotype" w:cs="Palatino Linotype"/>
          <w:i/>
          <w:iCs/>
          <w:u w:val="single"/>
        </w:rPr>
      </w:pPr>
      <w:r w:rsidRPr="00A43775">
        <w:rPr>
          <w:rFonts w:ascii="Palatino Linotype" w:eastAsia="Palatino Linotype" w:hAnsi="Palatino Linotype" w:cs="Palatino Linotype"/>
          <w:b/>
          <w:bCs/>
          <w:i/>
          <w:iCs/>
        </w:rPr>
        <w:t>Artículo 166.</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086DA7" w:rsidRPr="00A43775" w:rsidRDefault="00AB7E1C">
      <w:pPr>
        <w:spacing w:line="360" w:lineRule="auto"/>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rPr>
        <w:t>(Énfasis añadido)</w:t>
      </w:r>
    </w:p>
    <w:p w:rsidR="00086DA7" w:rsidRPr="00A43775" w:rsidRDefault="00086DA7">
      <w:pPr>
        <w:ind w:right="-787"/>
        <w:jc w:val="both"/>
        <w:rPr>
          <w:rFonts w:ascii="Palatino Linotype" w:eastAsia="Palatino Linotype" w:hAnsi="Palatino Linotype" w:cs="Palatino Linotype"/>
        </w:rPr>
      </w:pPr>
    </w:p>
    <w:p w:rsidR="00086DA7" w:rsidRPr="00A43775" w:rsidRDefault="00AB7E1C">
      <w:pPr>
        <w:numPr>
          <w:ilvl w:val="0"/>
          <w:numId w:val="8"/>
        </w:numPr>
        <w:spacing w:line="360" w:lineRule="auto"/>
        <w:ind w:left="0" w:firstLine="0"/>
        <w:jc w:val="both"/>
        <w:rPr>
          <w:color w:val="000000"/>
        </w:rPr>
      </w:pPr>
      <w:r w:rsidRPr="00A43775">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086DA7" w:rsidRPr="00A43775" w:rsidRDefault="00086DA7">
      <w:pPr>
        <w:spacing w:line="360" w:lineRule="auto"/>
        <w:jc w:val="both"/>
        <w:rPr>
          <w:color w:val="000000"/>
        </w:rPr>
      </w:pPr>
    </w:p>
    <w:p w:rsidR="00086DA7" w:rsidRPr="00A43775" w:rsidRDefault="00AB7E1C">
      <w:pPr>
        <w:spacing w:line="360" w:lineRule="auto"/>
        <w:ind w:right="-787"/>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CAJONES DE ESTACIONAMIENTO</w:t>
      </w:r>
    </w:p>
    <w:p w:rsidR="00086DA7" w:rsidRPr="00A43775" w:rsidRDefault="00AB7E1C">
      <w:pPr>
        <w:numPr>
          <w:ilvl w:val="0"/>
          <w:numId w:val="8"/>
        </w:numPr>
        <w:spacing w:line="360" w:lineRule="auto"/>
        <w:ind w:left="0" w:firstLine="0"/>
        <w:jc w:val="both"/>
        <w:rPr>
          <w:rFonts w:ascii="Palatino Linotype" w:eastAsia="Palatino Linotype" w:hAnsi="Palatino Linotype" w:cs="Palatino Linotype"/>
          <w:i/>
          <w:iCs/>
          <w:color w:val="000000"/>
          <w:u w:val="single"/>
        </w:rPr>
      </w:pPr>
      <w:r w:rsidRPr="00A43775">
        <w:rPr>
          <w:rFonts w:ascii="Palatino Linotype" w:eastAsia="Palatino Linotype" w:hAnsi="Palatino Linotype" w:cs="Palatino Linotype"/>
          <w:color w:val="000000"/>
        </w:rPr>
        <w:t>Al respecto como se ha indicado, el área encargada de la asignación y control de los recursos materiales y espacios físicos necesarios para el funcionamiento de las unidades administrativas incluyendo las áreas de estacionamiento exclusivas para el personal o funciones oficiales en los bienes inmuebles del Sujeto Obligado corresponde a la Dirección General de Administración, en particular a la Dirección de Servicios Generales.</w:t>
      </w:r>
      <w:r w:rsidRPr="00A43775">
        <w:rPr>
          <w:rFonts w:ascii="Palatino Linotype" w:eastAsia="Palatino Linotype" w:hAnsi="Palatino Linotype" w:cs="Palatino Linotype"/>
          <w:color w:val="000000"/>
          <w:vertAlign w:val="superscript"/>
        </w:rPr>
        <w:footnoteReference w:id="5"/>
      </w:r>
    </w:p>
    <w:p w:rsidR="00086DA7" w:rsidRPr="00A43775" w:rsidRDefault="00086DA7">
      <w:pPr>
        <w:spacing w:line="360" w:lineRule="auto"/>
        <w:jc w:val="both"/>
        <w:rPr>
          <w:rFonts w:ascii="Palatino Linotype" w:eastAsia="Palatino Linotype" w:hAnsi="Palatino Linotype" w:cs="Palatino Linotype"/>
          <w:i/>
          <w:iCs/>
          <w:color w:val="000000"/>
          <w:u w:val="single"/>
        </w:rPr>
      </w:pPr>
    </w:p>
    <w:p w:rsidR="00086DA7" w:rsidRPr="00A43775" w:rsidRDefault="00AB7E1C">
      <w:pPr>
        <w:pBdr>
          <w:top w:val="nil"/>
          <w:left w:val="nil"/>
          <w:bottom w:val="nil"/>
          <w:right w:val="nil"/>
          <w:between w:val="nil"/>
        </w:pBdr>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CHOFERES</w:t>
      </w:r>
    </w:p>
    <w:p w:rsidR="00086DA7" w:rsidRPr="00A43775" w:rsidRDefault="00AB7E1C">
      <w:pPr>
        <w:numPr>
          <w:ilvl w:val="0"/>
          <w:numId w:val="8"/>
        </w:numPr>
        <w:spacing w:line="360" w:lineRule="auto"/>
        <w:ind w:left="0" w:firstLine="0"/>
        <w:jc w:val="both"/>
        <w:rPr>
          <w:rFonts w:ascii="Palatino Linotype" w:eastAsia="Palatino Linotype" w:hAnsi="Palatino Linotype" w:cs="Palatino Linotype"/>
          <w:i/>
          <w:iCs/>
          <w:color w:val="000000"/>
          <w:u w:val="single"/>
        </w:rPr>
      </w:pPr>
      <w:r w:rsidRPr="00A43775">
        <w:rPr>
          <w:rFonts w:ascii="Palatino Linotype" w:eastAsia="Palatino Linotype" w:hAnsi="Palatino Linotype" w:cs="Palatino Linotype"/>
          <w:color w:val="000000"/>
        </w:rPr>
        <w:t xml:space="preserve">Al ser los choferes servidores públicos, la competencia para el procedimiento de su reclutamiento, selección y contratación, asegurando la adecuada integración de los </w:t>
      </w:r>
      <w:r w:rsidRPr="00A43775">
        <w:rPr>
          <w:rFonts w:ascii="Palatino Linotype" w:eastAsia="Palatino Linotype" w:hAnsi="Palatino Linotype" w:cs="Palatino Linotype"/>
          <w:color w:val="000000"/>
        </w:rPr>
        <w:lastRenderedPageBreak/>
        <w:t>expedientes de personal para cubrir los puestos con las categorías requeridas por el Sujeto Obligado</w:t>
      </w:r>
      <w:r w:rsidRPr="00A43775">
        <w:rPr>
          <w:rFonts w:ascii="Palatino Linotype" w:eastAsia="Palatino Linotype" w:hAnsi="Palatino Linotype" w:cs="Palatino Linotype"/>
          <w:color w:val="000000"/>
          <w:vertAlign w:val="superscript"/>
        </w:rPr>
        <w:footnoteReference w:id="6"/>
      </w:r>
      <w:r w:rsidRPr="00A43775">
        <w:rPr>
          <w:rFonts w:ascii="Palatino Linotype" w:eastAsia="Palatino Linotype" w:hAnsi="Palatino Linotype" w:cs="Palatino Linotype"/>
          <w:color w:val="000000"/>
        </w:rPr>
        <w:t>, a saber:</w:t>
      </w:r>
    </w:p>
    <w:p w:rsidR="00086DA7" w:rsidRPr="00A43775" w:rsidRDefault="00AB7E1C">
      <w:pPr>
        <w:spacing w:line="360" w:lineRule="auto"/>
        <w:jc w:val="center"/>
        <w:rPr>
          <w:rFonts w:ascii="Palatino Linotype" w:eastAsia="Palatino Linotype" w:hAnsi="Palatino Linotype" w:cs="Palatino Linotype"/>
          <w:i/>
          <w:iCs/>
          <w:color w:val="000000"/>
          <w:u w:val="single"/>
        </w:rPr>
      </w:pPr>
      <w:r w:rsidRPr="00A43775">
        <w:rPr>
          <w:rFonts w:ascii="Palatino Linotype" w:eastAsia="Palatino Linotype" w:hAnsi="Palatino Linotype" w:cs="Palatino Linotype"/>
          <w:i/>
          <w:iCs/>
          <w:noProof/>
          <w:color w:val="000000"/>
          <w:u w:val="single"/>
          <w:lang w:val="es-MX"/>
        </w:rPr>
        <w:drawing>
          <wp:inline distT="0" distB="0" distL="0" distR="0">
            <wp:extent cx="5381091" cy="202985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381091" cy="2029857"/>
                    </a:xfrm>
                    <a:prstGeom prst="rect">
                      <a:avLst/>
                    </a:prstGeom>
                    <a:ln/>
                  </pic:spPr>
                </pic:pic>
              </a:graphicData>
            </a:graphic>
          </wp:inline>
        </w:drawing>
      </w:r>
      <w:r w:rsidRPr="00A43775">
        <w:rPr>
          <w:rFonts w:ascii="Palatino Linotype" w:eastAsia="Palatino Linotype" w:hAnsi="Palatino Linotype" w:cs="Palatino Linotype"/>
          <w:i/>
          <w:iCs/>
          <w:color w:val="000000"/>
          <w:u w:val="single"/>
          <w:vertAlign w:val="superscript"/>
        </w:rPr>
        <w:footnoteReference w:id="7"/>
      </w:r>
    </w:p>
    <w:p w:rsidR="00086DA7" w:rsidRPr="00A43775" w:rsidRDefault="00AB7E1C">
      <w:pPr>
        <w:spacing w:line="360" w:lineRule="auto"/>
        <w:jc w:val="both"/>
        <w:rPr>
          <w:rFonts w:ascii="Palatino Linotype" w:eastAsia="Palatino Linotype" w:hAnsi="Palatino Linotype" w:cs="Palatino Linotype"/>
          <w:i/>
          <w:iCs/>
          <w:color w:val="000000"/>
          <w:u w:val="single"/>
        </w:rPr>
      </w:pPr>
      <w:r w:rsidRPr="00A43775">
        <w:rPr>
          <w:rFonts w:ascii="Palatino Linotype" w:eastAsia="Palatino Linotype" w:hAnsi="Palatino Linotype" w:cs="Palatino Linotype"/>
          <w:color w:val="000000"/>
        </w:rPr>
        <w:t>Adicionalmente se le confiere  la operación del proceso para el pago oportuno de las remuneraciones</w:t>
      </w:r>
      <w:r w:rsidRPr="00A43775">
        <w:rPr>
          <w:rFonts w:ascii="Palatino Linotype" w:eastAsia="Palatino Linotype" w:hAnsi="Palatino Linotype" w:cs="Palatino Linotype"/>
          <w:color w:val="000000"/>
          <w:vertAlign w:val="superscript"/>
        </w:rPr>
        <w:footnoteReference w:id="8"/>
      </w:r>
      <w:r w:rsidRPr="00A43775">
        <w:rPr>
          <w:rFonts w:ascii="Palatino Linotype" w:eastAsia="Palatino Linotype" w:hAnsi="Palatino Linotype" w:cs="Palatino Linotype"/>
          <w:color w:val="000000"/>
        </w:rPr>
        <w:t xml:space="preserve"> al personal de la administración pública municipal, por concepto de sueldos, salarios, prestaciones, liquidaciones y finiquitos así como la  asignación de adscripción</w:t>
      </w:r>
      <w:r w:rsidRPr="00A43775">
        <w:rPr>
          <w:rFonts w:ascii="Palatino Linotype" w:eastAsia="Palatino Linotype" w:hAnsi="Palatino Linotype" w:cs="Palatino Linotype"/>
          <w:color w:val="000000"/>
          <w:vertAlign w:val="superscript"/>
        </w:rPr>
        <w:footnoteReference w:id="9"/>
      </w:r>
      <w:r w:rsidRPr="00A43775">
        <w:rPr>
          <w:rFonts w:ascii="Palatino Linotype" w:eastAsia="Palatino Linotype" w:hAnsi="Palatino Linotype" w:cs="Palatino Linotype"/>
          <w:color w:val="000000"/>
        </w:rPr>
        <w:t xml:space="preserve">  y registro de asistencias</w:t>
      </w:r>
      <w:r w:rsidRPr="00A43775">
        <w:rPr>
          <w:rFonts w:ascii="Palatino Linotype" w:eastAsia="Palatino Linotype" w:hAnsi="Palatino Linotype" w:cs="Palatino Linotype"/>
          <w:color w:val="000000"/>
          <w:vertAlign w:val="superscript"/>
        </w:rPr>
        <w:footnoteReference w:id="10"/>
      </w:r>
      <w:r w:rsidRPr="00A43775">
        <w:rPr>
          <w:rFonts w:ascii="Palatino Linotype" w:eastAsia="Palatino Linotype" w:hAnsi="Palatino Linotype" w:cs="Palatino Linotype"/>
          <w:color w:val="000000"/>
        </w:rPr>
        <w:t>, corresponden de forma enunciativa a la Dirección de Administración y en particular a la Dirección de Recursos Humanos, al  Departamento de Reclutamiento, Selección y Capacitación de Personal, Departamento de Administración de Personal y a su Departamento de Nóminas.</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jc w:val="both"/>
        <w:rPr>
          <w:rFonts w:ascii="Palatino Linotype" w:eastAsia="Palatino Linotype" w:hAnsi="Palatino Linotype" w:cs="Palatino Linotype"/>
          <w:i/>
          <w:iCs/>
        </w:rPr>
      </w:pPr>
      <w:r w:rsidRPr="00A43775">
        <w:rPr>
          <w:rFonts w:ascii="Palatino Linotype" w:eastAsia="Palatino Linotype" w:hAnsi="Palatino Linotype" w:cs="Palatino Linotype"/>
          <w:b/>
          <w:bCs/>
        </w:rPr>
        <w:t>Salario</w:t>
      </w:r>
    </w:p>
    <w:p w:rsidR="00086DA7" w:rsidRPr="00A43775" w:rsidRDefault="00AB7E1C">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Al respecto, el artículo 3, fracción XXXII del </w:t>
      </w:r>
      <w:r w:rsidRPr="00A43775">
        <w:rPr>
          <w:rFonts w:ascii="Palatino Linotype" w:eastAsia="Palatino Linotype" w:hAnsi="Palatino Linotype" w:cs="Palatino Linotype"/>
          <w:b/>
          <w:bCs/>
          <w:color w:val="000000"/>
        </w:rPr>
        <w:t xml:space="preserve">Código Financiero del Estado de México y Municipios </w:t>
      </w:r>
      <w:r w:rsidRPr="00A43775">
        <w:rPr>
          <w:rFonts w:ascii="Palatino Linotype" w:eastAsia="Palatino Linotype" w:hAnsi="Palatino Linotype" w:cs="Palatino Linotype"/>
          <w:color w:val="000000"/>
        </w:rPr>
        <w:t xml:space="preserve">establece lo siguiente: </w:t>
      </w:r>
    </w:p>
    <w:p w:rsidR="00086DA7" w:rsidRPr="00A43775" w:rsidRDefault="00086DA7">
      <w:pPr>
        <w:spacing w:line="360" w:lineRule="auto"/>
        <w:ind w:left="567" w:right="567"/>
        <w:jc w:val="both"/>
        <w:rPr>
          <w:rFonts w:ascii="Palatino Linotype" w:eastAsia="Palatino Linotype" w:hAnsi="Palatino Linotype" w:cs="Palatino Linotype"/>
        </w:rPr>
      </w:pPr>
    </w:p>
    <w:p w:rsidR="00086DA7" w:rsidRPr="00A43775" w:rsidRDefault="00AB7E1C">
      <w:pPr>
        <w:tabs>
          <w:tab w:val="left" w:pos="7938"/>
        </w:tabs>
        <w:spacing w:line="360" w:lineRule="auto"/>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lastRenderedPageBreak/>
        <w:t>Artículo 3.-</w:t>
      </w:r>
      <w:r w:rsidRPr="00A43775">
        <w:rPr>
          <w:rFonts w:ascii="Palatino Linotype" w:eastAsia="Palatino Linotype" w:hAnsi="Palatino Linotype" w:cs="Palatino Linotype"/>
          <w:i/>
          <w:iCs/>
        </w:rPr>
        <w:t xml:space="preserve"> Para efectos de este Código, Ley de Ingresos del Estado y del Presupuesto de Egresos se entenderá por:</w:t>
      </w:r>
    </w:p>
    <w:p w:rsidR="00086DA7" w:rsidRPr="00A43775" w:rsidRDefault="00AB7E1C">
      <w:pPr>
        <w:tabs>
          <w:tab w:val="left" w:pos="7938"/>
        </w:tabs>
        <w:spacing w:line="360" w:lineRule="auto"/>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AB7E1C">
      <w:pPr>
        <w:tabs>
          <w:tab w:val="left" w:pos="7938"/>
        </w:tabs>
        <w:spacing w:line="360" w:lineRule="auto"/>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 xml:space="preserve">XXXII. Remuneración: </w:t>
      </w:r>
      <w:r w:rsidRPr="00A43775">
        <w:rPr>
          <w:rFonts w:ascii="Palatino Linotype" w:eastAsia="Palatino Linotype" w:hAnsi="Palatino Linotype" w:cs="Palatino Linotype"/>
          <w:i/>
          <w:iCs/>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086DA7" w:rsidRPr="00A43775" w:rsidRDefault="00AB7E1C">
      <w:pPr>
        <w:tabs>
          <w:tab w:val="left" w:pos="7938"/>
        </w:tabs>
        <w:spacing w:line="360" w:lineRule="auto"/>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086DA7">
      <w:pPr>
        <w:spacing w:line="360" w:lineRule="auto"/>
        <w:ind w:left="567" w:right="567"/>
        <w:jc w:val="both"/>
        <w:rPr>
          <w:rFonts w:ascii="Palatino Linotype" w:eastAsia="Palatino Linotype" w:hAnsi="Palatino Linotype" w:cs="Palatino Linotype"/>
          <w:i/>
          <w:iCs/>
        </w:rPr>
      </w:pPr>
    </w:p>
    <w:p w:rsidR="00086DA7" w:rsidRPr="00A43775" w:rsidRDefault="00AB7E1C">
      <w:pPr>
        <w:numPr>
          <w:ilvl w:val="0"/>
          <w:numId w:val="2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numPr>
          <w:ilvl w:val="0"/>
          <w:numId w:val="2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Información que puede contenerse, entre otros documentos, la remuneración bruta y neta de todos los servidores públicos, así como en el tabulador de sueldos, tal como lo refiere el artículo 92 fracción VIII de la Ley de Transparencia Y Acceso a la Información Pública del Estado de México y Municipios, que establece:</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tabs>
          <w:tab w:val="left" w:pos="709"/>
        </w:tabs>
        <w:spacing w:line="360" w:lineRule="auto"/>
        <w:ind w:left="1134" w:right="760"/>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lastRenderedPageBreak/>
        <w:t>“</w:t>
      </w:r>
      <w:r w:rsidRPr="00A43775">
        <w:rPr>
          <w:rFonts w:ascii="Palatino Linotype" w:eastAsia="Palatino Linotype" w:hAnsi="Palatino Linotype" w:cs="Palatino Linotype"/>
          <w:b/>
          <w:bCs/>
          <w:i/>
          <w:iCs/>
        </w:rPr>
        <w:t>Artículo 92.</w:t>
      </w:r>
      <w:r w:rsidRPr="00A43775">
        <w:rPr>
          <w:rFonts w:ascii="Palatino Linotype" w:eastAsia="Palatino Linotype" w:hAnsi="Palatino Linotype" w:cs="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86DA7" w:rsidRPr="00A43775" w:rsidRDefault="00AB7E1C">
      <w:pPr>
        <w:tabs>
          <w:tab w:val="left" w:pos="709"/>
        </w:tabs>
        <w:spacing w:line="360" w:lineRule="auto"/>
        <w:ind w:left="1134" w:right="760"/>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AB7E1C">
      <w:pPr>
        <w:numPr>
          <w:ilvl w:val="2"/>
          <w:numId w:val="24"/>
        </w:numPr>
        <w:pBdr>
          <w:top w:val="nil"/>
          <w:left w:val="nil"/>
          <w:bottom w:val="nil"/>
          <w:right w:val="nil"/>
          <w:between w:val="nil"/>
        </w:pBdr>
        <w:tabs>
          <w:tab w:val="left" w:pos="709"/>
        </w:tabs>
        <w:spacing w:line="360" w:lineRule="auto"/>
        <w:ind w:left="1843" w:right="760" w:firstLine="0"/>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La remuneración </w:t>
      </w:r>
      <w:r w:rsidRPr="00A43775">
        <w:rPr>
          <w:rFonts w:ascii="Palatino Linotype" w:eastAsia="Palatino Linotype" w:hAnsi="Palatino Linotype" w:cs="Palatino Linotype"/>
          <w:b/>
          <w:bCs/>
          <w:i/>
          <w:iCs/>
          <w:color w:val="000000"/>
          <w:u w:val="single"/>
        </w:rPr>
        <w:t>bruta y neta</w:t>
      </w:r>
      <w:r w:rsidRPr="00A43775">
        <w:rPr>
          <w:rFonts w:ascii="Palatino Linotype" w:eastAsia="Palatino Linotype" w:hAnsi="Palatino Linotype" w:cs="Palatino Linotype"/>
          <w:i/>
          <w:iCs/>
          <w:color w:val="000000"/>
          <w:u w:val="single"/>
        </w:rPr>
        <w:t xml:space="preserve"> </w:t>
      </w:r>
      <w:r w:rsidRPr="00A43775">
        <w:rPr>
          <w:rFonts w:ascii="Palatino Linotype" w:eastAsia="Palatino Linotype" w:hAnsi="Palatino Linotype" w:cs="Palatino Linotype"/>
          <w:i/>
          <w:iCs/>
          <w:color w:val="000000"/>
        </w:rPr>
        <w:t>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numPr>
          <w:ilvl w:val="0"/>
          <w:numId w:val="2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Por lo anterior, se visualiza que el </w:t>
      </w:r>
      <w:r w:rsidRPr="00A43775">
        <w:rPr>
          <w:rFonts w:ascii="Palatino Linotype" w:eastAsia="Palatino Linotype" w:hAnsi="Palatino Linotype" w:cs="Palatino Linotype"/>
          <w:b/>
          <w:bCs/>
          <w:color w:val="000000"/>
        </w:rPr>
        <w:t>Sujeto Obligado</w:t>
      </w:r>
      <w:r w:rsidR="00C42463">
        <w:rPr>
          <w:rFonts w:ascii="Palatino Linotype" w:eastAsia="Palatino Linotype" w:hAnsi="Palatino Linotype" w:cs="Palatino Linotype"/>
          <w:color w:val="000000"/>
        </w:rPr>
        <w:t xml:space="preserve"> cuenta con </w:t>
      </w:r>
      <w:r w:rsidRPr="00A43775">
        <w:rPr>
          <w:rFonts w:ascii="Palatino Linotype" w:eastAsia="Palatino Linotype" w:hAnsi="Palatino Linotype" w:cs="Palatino Linotype"/>
          <w:color w:val="000000"/>
        </w:rPr>
        <w:t xml:space="preserve">documento idóneo para la entrega de la información correspondiente al </w:t>
      </w:r>
      <w:r w:rsidRPr="00A43775">
        <w:rPr>
          <w:rFonts w:ascii="Palatino Linotype" w:eastAsia="Palatino Linotype" w:hAnsi="Palatino Linotype" w:cs="Palatino Linotype"/>
          <w:b/>
          <w:bCs/>
          <w:color w:val="000000"/>
          <w:u w:val="single"/>
        </w:rPr>
        <w:t>sueldo bruto y sueldo neto</w:t>
      </w:r>
      <w:r w:rsidRPr="00A43775">
        <w:rPr>
          <w:rFonts w:ascii="Palatino Linotype" w:eastAsia="Palatino Linotype" w:hAnsi="Palatino Linotype" w:cs="Palatino Linotype"/>
          <w:color w:val="000000"/>
        </w:rPr>
        <w:t>,</w:t>
      </w:r>
      <w:r w:rsidRPr="00A43775">
        <w:rPr>
          <w:rFonts w:ascii="Palatino Linotype" w:eastAsia="Palatino Linotype" w:hAnsi="Palatino Linotype" w:cs="Palatino Linotype"/>
          <w:b/>
          <w:bCs/>
          <w:color w:val="000000"/>
        </w:rPr>
        <w:t xml:space="preserve"> </w:t>
      </w:r>
      <w:r w:rsidRPr="00A43775">
        <w:rPr>
          <w:rFonts w:ascii="Palatino Linotype" w:eastAsia="Palatino Linotype" w:hAnsi="Palatino Linotype" w:cs="Palatino Linotype"/>
          <w:color w:val="000000"/>
        </w:rPr>
        <w:t>del servidor público referido en la solicitud de información.</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numPr>
          <w:ilvl w:val="0"/>
          <w:numId w:val="2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Para lo cual el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de la </w:t>
      </w:r>
      <w:r w:rsidRPr="00A43775">
        <w:rPr>
          <w:rFonts w:ascii="Palatino Linotype" w:eastAsia="Palatino Linotype" w:hAnsi="Palatino Linotype" w:cs="Palatino Linotype"/>
          <w:color w:val="000000"/>
        </w:rPr>
        <w:lastRenderedPageBreak/>
        <w:t>fracción VIII del artículo 70 de la Ley General de Transparencia y Acceso a la Información Pública, homologa del artículo 92 fracción VIII de la Ley local antes transcrito, establece los siguientes Criterios para la publicación de la información pública atingente a la referida fracción, siendo los siguientes:</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spacing w:line="360" w:lineRule="auto"/>
        <w:ind w:left="1985" w:right="567"/>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Criterios sustantivos de contenido:</w:t>
      </w:r>
    </w:p>
    <w:p w:rsidR="00086DA7" w:rsidRPr="00A43775" w:rsidRDefault="00086DA7">
      <w:pPr>
        <w:spacing w:line="360" w:lineRule="auto"/>
        <w:ind w:left="1985" w:right="567"/>
        <w:jc w:val="both"/>
        <w:rPr>
          <w:rFonts w:ascii="Palatino Linotype" w:eastAsia="Palatino Linotype" w:hAnsi="Palatino Linotype" w:cs="Palatino Linotype"/>
          <w:i/>
          <w:iCs/>
        </w:rPr>
      </w:pP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1</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Tipo de integrante del sujeto obligado (funcionario, servidor[a] público[a] de base, de confianza, integrantes, miembros del sujeto obligado y/o toda persona que desempeñe un empleo, cargo o comisión y/o ejerza actos de autoridad, empleado, representante popular, miembro del poder judicial, miembro de órgano autónomo [especificar denominación], personal de confianza, prestador de servicios profesionales, otro [especificar denominación])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2</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Clave o nivel del puesto (en su caso, de acuerdo con el catálogo que regule la actividad del sujeto obligado)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3</w:t>
      </w:r>
      <w:r w:rsidRPr="00A43775">
        <w:rPr>
          <w:rFonts w:ascii="Palatino Linotype" w:eastAsia="Palatino Linotype" w:hAnsi="Palatino Linotype" w:cs="Palatino Linotype"/>
          <w:i/>
          <w:iCs/>
        </w:rPr>
        <w:tab/>
        <w:t xml:space="preserve">Denominación o descripción del puesto (de acuerdo con el catálogo que en su caso regule la actividad del sujeto obligado)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u w:val="single"/>
        </w:rPr>
      </w:pPr>
      <w:r w:rsidRPr="00A43775">
        <w:rPr>
          <w:rFonts w:ascii="Palatino Linotype" w:eastAsia="Palatino Linotype" w:hAnsi="Palatino Linotype" w:cs="Palatino Linotype"/>
          <w:b/>
          <w:bCs/>
          <w:i/>
          <w:iCs/>
          <w:u w:val="single"/>
        </w:rPr>
        <w:t>Criterio 4</w:t>
      </w:r>
      <w:r w:rsidRPr="00A43775">
        <w:rPr>
          <w:rFonts w:ascii="Palatino Linotype" w:eastAsia="Palatino Linotype" w:hAnsi="Palatino Linotype" w:cs="Palatino Linotype"/>
          <w:i/>
          <w:iCs/>
          <w:u w:val="single"/>
        </w:rPr>
        <w:t xml:space="preserve"> </w:t>
      </w:r>
      <w:r w:rsidRPr="00A43775">
        <w:rPr>
          <w:rFonts w:ascii="Palatino Linotype" w:eastAsia="Palatino Linotype" w:hAnsi="Palatino Linotype" w:cs="Palatino Linotype"/>
          <w:i/>
          <w:iCs/>
          <w:u w:val="single"/>
        </w:rPr>
        <w:tab/>
      </w:r>
      <w:r w:rsidRPr="00A43775">
        <w:rPr>
          <w:rFonts w:ascii="Palatino Linotype" w:eastAsia="Palatino Linotype" w:hAnsi="Palatino Linotype" w:cs="Palatino Linotype"/>
          <w:b/>
          <w:bCs/>
          <w:i/>
          <w:iCs/>
          <w:u w:val="single"/>
        </w:rPr>
        <w:t>Denominación del cargo (de conformidad con nombramiento otorgado)</w:t>
      </w:r>
      <w:r w:rsidRPr="00A43775">
        <w:rPr>
          <w:rFonts w:ascii="Palatino Linotype" w:eastAsia="Palatino Linotype" w:hAnsi="Palatino Linotype" w:cs="Palatino Linotype"/>
          <w:i/>
          <w:iCs/>
          <w:u w:val="single"/>
        </w:rPr>
        <w:t xml:space="preserve">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5</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Área de adscripción (de acuerdo con el catálogo de unidades administrativas o puestos, si así corresponde)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lastRenderedPageBreak/>
        <w:t>Criterio 6</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Nombre completo del(a) servidor(a) público(a) y/o toda persona que desempeñe un empleo, cargo o comisión y/o ejerzan actos de autoridad (nombre [s], primer apellido, segundo apellido)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7</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Sexo: Femenino/Masculino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b/>
          <w:bCs/>
          <w:i/>
          <w:iCs/>
          <w:u w:val="single"/>
        </w:rPr>
      </w:pPr>
      <w:r w:rsidRPr="00A43775">
        <w:rPr>
          <w:rFonts w:ascii="Palatino Linotype" w:eastAsia="Palatino Linotype" w:hAnsi="Palatino Linotype" w:cs="Palatino Linotype"/>
          <w:b/>
          <w:bCs/>
          <w:i/>
          <w:iCs/>
          <w:u w:val="single"/>
        </w:rPr>
        <w:t xml:space="preserve">Criterio 8 </w:t>
      </w:r>
      <w:r w:rsidRPr="00A43775">
        <w:rPr>
          <w:rFonts w:ascii="Palatino Linotype" w:eastAsia="Palatino Linotype" w:hAnsi="Palatino Linotype" w:cs="Palatino Linotype"/>
          <w:b/>
          <w:bCs/>
          <w:i/>
          <w:iCs/>
          <w:u w:val="single"/>
        </w:rPr>
        <w:tab/>
        <w:t xml:space="preserve">Remuneración mensual bruta (se refiere a las percepciones totales sin descuento alguno):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b/>
          <w:bCs/>
          <w:i/>
          <w:iCs/>
          <w:u w:val="single"/>
        </w:rPr>
      </w:pPr>
      <w:r w:rsidRPr="00A43775">
        <w:rPr>
          <w:rFonts w:ascii="Palatino Linotype" w:eastAsia="Palatino Linotype" w:hAnsi="Palatino Linotype" w:cs="Palatino Linotype"/>
          <w:b/>
          <w:bCs/>
          <w:i/>
          <w:iCs/>
        </w:rPr>
        <w:t>Criterio 9</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r>
      <w:r w:rsidRPr="00A43775">
        <w:rPr>
          <w:rFonts w:ascii="Palatino Linotype" w:eastAsia="Palatino Linotype" w:hAnsi="Palatino Linotype" w:cs="Palatino Linotype"/>
          <w:b/>
          <w:bCs/>
          <w:i/>
          <w:iCs/>
          <w:u w:val="single"/>
        </w:rPr>
        <w:t>Remuneración mensual neta (se refiere a la remuneración mensual bruta menos las deducciones genéricas previstas por ley: ISR, ISSSTE, otra [especificar]) (Pesos mexicanos / Otra moneda [especificar nombre y nacionalidad de ésta])</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b/>
          <w:bCs/>
          <w:i/>
          <w:iCs/>
          <w:u w:val="single"/>
        </w:rPr>
      </w:pPr>
      <w:r w:rsidRPr="00A43775">
        <w:rPr>
          <w:rFonts w:ascii="Palatino Linotype" w:eastAsia="Palatino Linotype" w:hAnsi="Palatino Linotype" w:cs="Palatino Linotype"/>
          <w:b/>
          <w:bCs/>
          <w:i/>
          <w:iCs/>
          <w:u w:val="single"/>
        </w:rPr>
        <w:t xml:space="preserve">Criterio 10 </w:t>
      </w:r>
      <w:r w:rsidRPr="00A43775">
        <w:rPr>
          <w:rFonts w:ascii="Palatino Linotype" w:eastAsia="Palatino Linotype" w:hAnsi="Palatino Linotype" w:cs="Palatino Linotype"/>
          <w:b/>
          <w:bCs/>
          <w:i/>
          <w:iCs/>
          <w:u w:val="single"/>
        </w:rPr>
        <w:tab/>
        <w:t xml:space="preserve">Percepciones en efectivo o en especie y adicionales, así como su periodicidad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11</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Ingresos y sistemas de compensación, así como su periodicidad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12</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Gratificaciones y su periodicidad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13</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Primas y su periodicidad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14</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Comisiones y su periodicidad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15</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Dietas y su periodicidad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lastRenderedPageBreak/>
        <w:t>Criterio 16</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Bonos y su periodicidad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17</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Estímulos y su periodicidad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18</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Apoyos económicos y su periodicidad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19</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 xml:space="preserve">Prestaciones económicas y/o en especie que se otorguen por tipo de trabajador y de conformidad con la normatividad correspondiente (Pesos mexicanos / Otra moneda [especificar nombre y nacionalidad de ésta]) </w:t>
      </w:r>
    </w:p>
    <w:p w:rsidR="00086DA7" w:rsidRPr="00A43775" w:rsidRDefault="00AB7E1C">
      <w:pPr>
        <w:tabs>
          <w:tab w:val="left" w:pos="1418"/>
        </w:tabs>
        <w:spacing w:line="360" w:lineRule="auto"/>
        <w:ind w:left="1985" w:right="567" w:hanging="1418"/>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Criterio 20</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Otro tipo de percepción (Pesos mexicanos / Otra moneda [especificar nombre y nacionalidad de ésta])</w:t>
      </w:r>
    </w:p>
    <w:p w:rsidR="00086DA7" w:rsidRPr="00A43775" w:rsidRDefault="00086DA7">
      <w:pPr>
        <w:pBdr>
          <w:top w:val="nil"/>
          <w:left w:val="nil"/>
          <w:bottom w:val="nil"/>
          <w:right w:val="nil"/>
          <w:between w:val="nil"/>
        </w:pBdr>
        <w:spacing w:line="360" w:lineRule="auto"/>
        <w:ind w:right="27"/>
        <w:jc w:val="both"/>
        <w:rPr>
          <w:rFonts w:ascii="Palatino Linotype" w:eastAsia="Palatino Linotype" w:hAnsi="Palatino Linotype" w:cs="Palatino Linotype"/>
          <w:b/>
          <w:bCs/>
        </w:rPr>
      </w:pPr>
    </w:p>
    <w:p w:rsidR="00086DA7" w:rsidRPr="00A43775" w:rsidRDefault="00AB7E1C">
      <w:pPr>
        <w:numPr>
          <w:ilvl w:val="0"/>
          <w:numId w:val="2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A43775">
        <w:rPr>
          <w:rFonts w:ascii="Palatino Linotype" w:eastAsia="Palatino Linotype" w:hAnsi="Palatino Linotype" w:cs="Palatino Linotype"/>
          <w:color w:val="000000"/>
        </w:rPr>
        <w:t xml:space="preserve">En el mismo sentido, en el caso específico, de los documentos o documento solicitados pudieran obrar datos que son considerados confidenciales, cuyo acceso debe ser restringido, los cuales deben testarse al momento de la elaboración de versiones públicas, como es el caso del </w:t>
      </w:r>
      <w:r w:rsidRPr="00A43775">
        <w:rPr>
          <w:rFonts w:ascii="Palatino Linotype" w:eastAsia="Palatino Linotype" w:hAnsi="Palatino Linotype" w:cs="Palatino Linotype"/>
          <w:b/>
          <w:bCs/>
          <w:color w:val="000000"/>
        </w:rPr>
        <w:t>Registro Federal de Contribuyentes</w:t>
      </w:r>
      <w:r w:rsidRPr="00A43775">
        <w:rPr>
          <w:rFonts w:ascii="Palatino Linotype" w:eastAsia="Palatino Linotype" w:hAnsi="Palatino Linotype" w:cs="Palatino Linotype"/>
          <w:color w:val="000000"/>
        </w:rPr>
        <w:t xml:space="preserve"> (RFC) y la </w:t>
      </w:r>
      <w:r w:rsidRPr="00A43775">
        <w:rPr>
          <w:rFonts w:ascii="Palatino Linotype" w:eastAsia="Palatino Linotype" w:hAnsi="Palatino Linotype" w:cs="Palatino Linotype"/>
          <w:b/>
          <w:bCs/>
          <w:color w:val="000000"/>
        </w:rPr>
        <w:t>Clave Única de Registro de Población</w:t>
      </w:r>
      <w:r w:rsidRPr="00A43775">
        <w:rPr>
          <w:rFonts w:ascii="Palatino Linotype" w:eastAsia="Palatino Linotype" w:hAnsi="Palatino Linotype" w:cs="Palatino Linotype"/>
          <w:color w:val="000000"/>
        </w:rPr>
        <w:t xml:space="preserve"> (CURP), la </w:t>
      </w:r>
      <w:r w:rsidRPr="00A43775">
        <w:rPr>
          <w:rFonts w:ascii="Palatino Linotype" w:eastAsia="Palatino Linotype" w:hAnsi="Palatino Linotype" w:cs="Palatino Linotype"/>
          <w:b/>
          <w:bCs/>
          <w:color w:val="000000"/>
        </w:rPr>
        <w:t>Clave de cualquier tipo de seguridad social</w:t>
      </w:r>
      <w:r w:rsidRPr="00A43775">
        <w:rPr>
          <w:rFonts w:ascii="Palatino Linotype" w:eastAsia="Palatino Linotype" w:hAnsi="Palatino Linotype" w:cs="Palatino Linotype"/>
          <w:color w:val="000000"/>
        </w:rPr>
        <w:t xml:space="preserve"> (ISSEMYM, u otros), y </w:t>
      </w:r>
      <w:r w:rsidRPr="00A43775">
        <w:rPr>
          <w:rFonts w:ascii="Palatino Linotype" w:eastAsia="Palatino Linotype" w:hAnsi="Palatino Linotype" w:cs="Palatino Linotype"/>
          <w:b/>
          <w:bCs/>
          <w:color w:val="000000"/>
        </w:rPr>
        <w:t>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086DA7" w:rsidRPr="00A43775" w:rsidRDefault="00086DA7">
      <w:pPr>
        <w:pBdr>
          <w:top w:val="nil"/>
          <w:left w:val="nil"/>
          <w:bottom w:val="nil"/>
          <w:right w:val="nil"/>
          <w:between w:val="nil"/>
        </w:pBdr>
        <w:spacing w:line="360" w:lineRule="auto"/>
        <w:ind w:left="720" w:right="27"/>
        <w:rPr>
          <w:rFonts w:ascii="Palatino Linotype" w:eastAsia="Palatino Linotype" w:hAnsi="Palatino Linotype" w:cs="Palatino Linotype"/>
          <w:color w:val="000000"/>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lastRenderedPageBreak/>
        <w:t xml:space="preserve">Por cuanto hace al </w:t>
      </w:r>
      <w:r w:rsidRPr="00A43775">
        <w:rPr>
          <w:rFonts w:ascii="Palatino Linotype" w:eastAsia="Palatino Linotype" w:hAnsi="Palatino Linotype" w:cs="Palatino Linotype"/>
          <w:b/>
          <w:bCs/>
        </w:rPr>
        <w:t>Registro Federal de Contribuyentes (RFC),</w:t>
      </w:r>
      <w:r w:rsidRPr="00A43775">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86DA7" w:rsidRPr="00A43775" w:rsidRDefault="00086DA7">
      <w:pPr>
        <w:pBdr>
          <w:top w:val="nil"/>
          <w:left w:val="nil"/>
          <w:bottom w:val="nil"/>
          <w:right w:val="nil"/>
          <w:between w:val="nil"/>
        </w:pBdr>
        <w:spacing w:line="360" w:lineRule="auto"/>
        <w:ind w:left="720" w:right="27"/>
        <w:rPr>
          <w:rFonts w:ascii="Palatino Linotype" w:eastAsia="Palatino Linotype" w:hAnsi="Palatino Linotype" w:cs="Palatino Linotype"/>
          <w:color w:val="000000"/>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86DA7" w:rsidRPr="00A43775" w:rsidRDefault="00086DA7">
      <w:pPr>
        <w:pBdr>
          <w:top w:val="nil"/>
          <w:left w:val="nil"/>
          <w:bottom w:val="nil"/>
          <w:right w:val="nil"/>
          <w:between w:val="nil"/>
        </w:pBdr>
        <w:spacing w:line="360" w:lineRule="auto"/>
        <w:ind w:left="720" w:right="27"/>
        <w:rPr>
          <w:rFonts w:ascii="Palatino Linotype" w:eastAsia="Palatino Linotype" w:hAnsi="Palatino Linotype" w:cs="Palatino Linotype"/>
          <w:color w:val="000000"/>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Lo anterior es compartido por el entonces Instituto Federal de Acceso a la Información Pública y Protección de Datos Personales (IFAI) a través del Criterio </w:t>
      </w:r>
      <w:r w:rsidRPr="00A43775">
        <w:rPr>
          <w:rFonts w:ascii="Palatino Linotype" w:eastAsia="Palatino Linotype" w:hAnsi="Palatino Linotype" w:cs="Palatino Linotype"/>
          <w:highlight w:val="white"/>
        </w:rPr>
        <w:t xml:space="preserve">19/17, </w:t>
      </w:r>
      <w:r w:rsidRPr="00A43775">
        <w:rPr>
          <w:rFonts w:ascii="Palatino Linotype" w:eastAsia="Palatino Linotype" w:hAnsi="Palatino Linotype" w:cs="Palatino Linotype"/>
        </w:rPr>
        <w:t>el cual es del tenor literal siguiente:</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“Registro Federal de Contribuyentes (RFC) de personas físicas</w:t>
      </w:r>
      <w:r w:rsidRPr="00A43775">
        <w:rPr>
          <w:rFonts w:ascii="Palatino Linotype" w:eastAsia="Palatino Linotype" w:hAnsi="Palatino Linotype" w:cs="Palatino Linotype"/>
          <w:i/>
          <w:iCs/>
        </w:rPr>
        <w:t>. El RFC es una clave de carácter fiscal, única e irrepetible, que permite identificar al titular, su edad y fecha de nacimiento, por lo que es un dato personal de carácter confidencial.”</w:t>
      </w:r>
    </w:p>
    <w:p w:rsidR="00086DA7" w:rsidRPr="00A43775" w:rsidRDefault="00086DA7">
      <w:pPr>
        <w:spacing w:line="360" w:lineRule="auto"/>
        <w:ind w:left="567" w:right="851"/>
        <w:jc w:val="both"/>
        <w:rPr>
          <w:rFonts w:ascii="Palatino Linotype" w:eastAsia="Palatino Linotype" w:hAnsi="Palatino Linotype" w:cs="Palatino Linotype"/>
          <w:i/>
          <w:iCs/>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Así, el </w:t>
      </w:r>
      <w:r w:rsidRPr="00A43775">
        <w:rPr>
          <w:rFonts w:ascii="Palatino Linotype" w:eastAsia="Palatino Linotype" w:hAnsi="Palatino Linotype" w:cs="Palatino Linotype"/>
          <w:b/>
          <w:bCs/>
        </w:rPr>
        <w:t>Registro Federal de Contribuyentes, RFC</w:t>
      </w:r>
      <w:r w:rsidRPr="00A43775">
        <w:rPr>
          <w:rFonts w:ascii="Palatino Linotype" w:eastAsia="Palatino Linotype" w:hAnsi="Palatino Linotype" w:cs="Palatino Linotype"/>
        </w:rPr>
        <w:t xml:space="preserve">,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w:t>
      </w:r>
      <w:r w:rsidRPr="00A43775">
        <w:rPr>
          <w:rFonts w:ascii="Palatino Linotype" w:eastAsia="Palatino Linotype" w:hAnsi="Palatino Linotype" w:cs="Palatino Linotype"/>
        </w:rPr>
        <w:lastRenderedPageBreak/>
        <w:t>4 fracciones XI y XII de la Ley de Protección de Datos Personales en Posesión de los Sujetos Obligados del Estado de México y Municipios.</w:t>
      </w:r>
    </w:p>
    <w:p w:rsidR="00086DA7" w:rsidRPr="00A43775" w:rsidRDefault="00086DA7">
      <w:pP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De igual manera la </w:t>
      </w:r>
      <w:r w:rsidRPr="00A43775">
        <w:rPr>
          <w:rFonts w:ascii="Palatino Linotype" w:eastAsia="Palatino Linotype" w:hAnsi="Palatino Linotype" w:cs="Palatino Linotype"/>
          <w:b/>
          <w:bCs/>
        </w:rPr>
        <w:t>Clave Única de Registro de Población (CURP)</w:t>
      </w:r>
      <w:r w:rsidRPr="00A43775">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86DA7" w:rsidRPr="00A43775" w:rsidRDefault="00086DA7">
      <w:pPr>
        <w:pBdr>
          <w:top w:val="nil"/>
          <w:left w:val="nil"/>
          <w:bottom w:val="nil"/>
          <w:right w:val="nil"/>
          <w:between w:val="nil"/>
        </w:pBdr>
        <w:spacing w:line="360" w:lineRule="auto"/>
        <w:ind w:left="720" w:right="27"/>
        <w:rPr>
          <w:rFonts w:ascii="Palatino Linotype" w:eastAsia="Palatino Linotype" w:hAnsi="Palatino Linotype" w:cs="Palatino Linotype"/>
          <w:color w:val="000000"/>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Argumento que es compartido por el Instituto </w:t>
      </w:r>
      <w:r w:rsidRPr="00A43775">
        <w:rPr>
          <w:rFonts w:ascii="Palatino Linotype" w:eastAsia="Palatino Linotype" w:hAnsi="Palatino Linotype" w:cs="Palatino Linotype"/>
          <w:highlight w:val="white"/>
        </w:rPr>
        <w:t xml:space="preserve">Nacional de Transparencia, Acceso a la </w:t>
      </w:r>
      <w:r w:rsidRPr="00A43775">
        <w:rPr>
          <w:rFonts w:ascii="Palatino Linotype" w:eastAsia="Palatino Linotype" w:hAnsi="Palatino Linotype" w:cs="Palatino Linotype"/>
        </w:rPr>
        <w:t>Información</w:t>
      </w:r>
      <w:r w:rsidRPr="00A43775">
        <w:rPr>
          <w:rFonts w:ascii="Palatino Linotype" w:eastAsia="Palatino Linotype" w:hAnsi="Palatino Linotype" w:cs="Palatino Linotype"/>
          <w:highlight w:val="white"/>
        </w:rPr>
        <w:t xml:space="preserve"> y Protección de Datos Personales, INAI</w:t>
      </w:r>
      <w:r w:rsidRPr="00A43775">
        <w:rPr>
          <w:rFonts w:ascii="Palatino Linotype" w:eastAsia="Palatino Linotype" w:hAnsi="Palatino Linotype" w:cs="Palatino Linotype"/>
          <w:b/>
          <w:bCs/>
        </w:rPr>
        <w:t xml:space="preserve">, conforme al </w:t>
      </w:r>
      <w:r w:rsidRPr="00A43775">
        <w:rPr>
          <w:rFonts w:ascii="Palatino Linotype" w:eastAsia="Palatino Linotype" w:hAnsi="Palatino Linotype" w:cs="Palatino Linotype"/>
        </w:rPr>
        <w:t xml:space="preserve">criterio 18/17, el cual refiere: </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 xml:space="preserve">“Clave Única de Registro de Población (CURP). </w:t>
      </w:r>
      <w:r w:rsidRPr="00A43775">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86DA7" w:rsidRPr="00A43775" w:rsidRDefault="00086DA7">
      <w:pPr>
        <w:spacing w:line="360" w:lineRule="auto"/>
        <w:ind w:left="851" w:right="27"/>
        <w:jc w:val="both"/>
        <w:rPr>
          <w:rFonts w:ascii="Palatino Linotype" w:eastAsia="Palatino Linotype" w:hAnsi="Palatino Linotype" w:cs="Palatino Linotype"/>
          <w:i/>
          <w:iCs/>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Por cuanto hace a la </w:t>
      </w:r>
      <w:r w:rsidRPr="00A43775">
        <w:rPr>
          <w:rFonts w:ascii="Palatino Linotype" w:eastAsia="Palatino Linotype" w:hAnsi="Palatino Linotype" w:cs="Palatino Linotype"/>
          <w:b/>
          <w:bCs/>
        </w:rPr>
        <w:t xml:space="preserve">Clave de cualquier tipo de seguridad social (ISSEMyM, u otros), </w:t>
      </w:r>
      <w:r w:rsidRPr="00A43775">
        <w:rPr>
          <w:rFonts w:ascii="Palatino Linotype" w:eastAsia="Palatino Linotype" w:hAnsi="Palatino Linotype" w:cs="Palatino Linotype"/>
        </w:rPr>
        <w:t xml:space="preserve">está integrado por una secuencia de números con los que se identifica a los trabajadores que cubren las cuotas respectivas, asimismo, lo identifica con la fuente de trabajo; por lo que al ser una clave de identificación de los trabajadores, constituye </w:t>
      </w:r>
      <w:r w:rsidRPr="00A43775">
        <w:rPr>
          <w:rFonts w:ascii="Palatino Linotype" w:eastAsia="Palatino Linotype" w:hAnsi="Palatino Linotype" w:cs="Palatino Linotype"/>
        </w:rPr>
        <w:lastRenderedPageBreak/>
        <w:t>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86DA7" w:rsidRPr="00A43775" w:rsidRDefault="00086DA7">
      <w:pP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43775">
        <w:rPr>
          <w:rFonts w:ascii="Palatino Linotype" w:eastAsia="Palatino Linotype" w:hAnsi="Palatino Linotype" w:cs="Palatino Linotype"/>
          <w:u w:val="single"/>
        </w:rPr>
        <w:t>se le asigna una clave para hacer identificable al trabajador con el objetivo de poder proporcionar los servicios que brinda el ISSEMYM.</w:t>
      </w:r>
    </w:p>
    <w:p w:rsidR="00086DA7" w:rsidRPr="00A43775" w:rsidRDefault="00086DA7">
      <w:pP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086DA7" w:rsidRPr="00A43775" w:rsidRDefault="00086DA7">
      <w:pPr>
        <w:spacing w:line="360" w:lineRule="auto"/>
        <w:ind w:left="-284"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086DA7" w:rsidRPr="00A43775" w:rsidRDefault="00086DA7">
      <w:pPr>
        <w:pBdr>
          <w:top w:val="nil"/>
          <w:left w:val="nil"/>
          <w:bottom w:val="nil"/>
          <w:right w:val="nil"/>
          <w:between w:val="nil"/>
        </w:pBdr>
        <w:spacing w:line="360" w:lineRule="auto"/>
        <w:ind w:left="720" w:right="27"/>
        <w:rPr>
          <w:rFonts w:ascii="Palatino Linotype" w:eastAsia="Palatino Linotype" w:hAnsi="Palatino Linotype" w:cs="Palatino Linotype"/>
          <w:color w:val="000000"/>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Respecto de los </w:t>
      </w:r>
      <w:r w:rsidRPr="00A43775">
        <w:rPr>
          <w:rFonts w:ascii="Palatino Linotype" w:eastAsia="Palatino Linotype" w:hAnsi="Palatino Linotype" w:cs="Palatino Linotype"/>
          <w:b/>
          <w:bCs/>
        </w:rPr>
        <w:t>préstamos o descuentos</w:t>
      </w:r>
      <w:r w:rsidRPr="00A43775">
        <w:rPr>
          <w:rFonts w:ascii="Palatino Linotype" w:eastAsia="Palatino Linotype" w:hAnsi="Palatino Linotype" w:cs="Palatino Linotype"/>
        </w:rPr>
        <w:t xml:space="preserve"> </w:t>
      </w:r>
      <w:r w:rsidRPr="00A43775">
        <w:rPr>
          <w:rFonts w:ascii="Palatino Linotype" w:eastAsia="Palatino Linotype" w:hAnsi="Palatino Linotype" w:cs="Palatino Linotype"/>
          <w:b/>
          <w:bCs/>
        </w:rPr>
        <w:t>de carácter personal</w:t>
      </w:r>
      <w:r w:rsidRPr="00A43775">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086DA7" w:rsidRPr="00A43775" w:rsidRDefault="00086DA7">
      <w:pPr>
        <w:pBdr>
          <w:top w:val="nil"/>
          <w:left w:val="nil"/>
          <w:bottom w:val="nil"/>
          <w:right w:val="nil"/>
          <w:between w:val="nil"/>
        </w:pBd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Por su parte, el artículo 84 de la Ley del Trabajo de los Servidores Públicos del Estado y Municipios, señala:</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i/>
          <w:iCs/>
        </w:rPr>
        <w:t>“</w:t>
      </w:r>
      <w:r w:rsidRPr="00A43775">
        <w:rPr>
          <w:rFonts w:ascii="Palatino Linotype" w:eastAsia="Palatino Linotype" w:hAnsi="Palatino Linotype" w:cs="Palatino Linotype"/>
          <w:b/>
          <w:bCs/>
          <w:i/>
          <w:iCs/>
        </w:rPr>
        <w:t>ARTICULO 84. Sólo podrán hacerse retenciones, descuentos o deducciones al sueldo de los servidores públicos por concepto de:</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i/>
          <w:iCs/>
        </w:rPr>
        <w:t>I. Gravámenes fiscales relacionados con el sueldo;</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II. Deudas contraídas con las instituciones públicas o dependencias</w:t>
      </w:r>
      <w:r w:rsidRPr="00A43775">
        <w:rPr>
          <w:rFonts w:ascii="Palatino Linotype" w:eastAsia="Palatino Linotype" w:hAnsi="Palatino Linotype" w:cs="Palatino Linotype"/>
          <w:i/>
          <w:iCs/>
        </w:rPr>
        <w:t xml:space="preserve"> por concepto de anticipos de sueldo, pagos hechos con exceso, errores o pérdidas debidamente comprobados;</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III. Cuotas sindicales</w:t>
      </w:r>
      <w:r w:rsidRPr="00A43775">
        <w:rPr>
          <w:rFonts w:ascii="Palatino Linotype" w:eastAsia="Palatino Linotype" w:hAnsi="Palatino Linotype" w:cs="Palatino Linotype"/>
          <w:i/>
          <w:iCs/>
        </w:rPr>
        <w:t>;</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i/>
          <w:iCs/>
        </w:rPr>
        <w:t>IV. Cuotas de aportación a fondos para la constitución de cooperativas y de cajas de ahorro, siempre que el servidor público hubiese manifestado previamente, de manera expresa, su conformidad;</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i/>
          <w:iCs/>
        </w:rPr>
        <w:lastRenderedPageBreak/>
        <w:t>V. Descuentos ordenados por el Instituto de Seguridad Social del Estado de México y Municipios, con motivo de cuotas y obligaciones contraídas con éste por los servidores públicos;</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VI. Obligaciones a cargo del servidor público con las que haya consentido</w:t>
      </w:r>
      <w:r w:rsidRPr="00A43775">
        <w:rPr>
          <w:rFonts w:ascii="Palatino Linotype" w:eastAsia="Palatino Linotype" w:hAnsi="Palatino Linotype" w:cs="Palatino Linotype"/>
          <w:i/>
          <w:iCs/>
        </w:rPr>
        <w:t>, derivadas de la adquisición o del uso de habitaciones consideradas como de interés social;</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i/>
          <w:iCs/>
        </w:rPr>
        <w:t>VII. Faltas de puntualidad o de asistencia injustificadas;</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VIII. Pensiones alimenticias ordenadas por la autoridad judicial;</w:t>
      </w:r>
      <w:r w:rsidRPr="00A43775">
        <w:rPr>
          <w:rFonts w:ascii="Palatino Linotype" w:eastAsia="Palatino Linotype" w:hAnsi="Palatino Linotype" w:cs="Palatino Linotype"/>
          <w:i/>
          <w:iCs/>
        </w:rPr>
        <w:t xml:space="preserve"> o</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IX. Cualquier otro convenido con instituciones de servicios y aceptado por el servidor público.</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i/>
          <w:iC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rPr>
        <w:t>(Énfasis añadido)</w:t>
      </w:r>
    </w:p>
    <w:p w:rsidR="00086DA7" w:rsidRPr="00A43775" w:rsidRDefault="00086DA7">
      <w:pPr>
        <w:spacing w:line="360" w:lineRule="auto"/>
        <w:ind w:left="851" w:right="851"/>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A43775">
        <w:rPr>
          <w:rFonts w:ascii="Palatino Linotype" w:eastAsia="Palatino Linotype" w:hAnsi="Palatino Linotype" w:cs="Palatino Linotype"/>
          <w:b/>
          <w:bCs/>
        </w:rPr>
        <w:t>únicamente inciden en su vida privada</w:t>
      </w:r>
      <w:r w:rsidRPr="00A43775">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rsidR="00086DA7" w:rsidRPr="00A43775" w:rsidRDefault="00086DA7">
      <w:pP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w:t>
      </w:r>
      <w:r w:rsidRPr="00A43775">
        <w:rPr>
          <w:rFonts w:ascii="Palatino Linotype" w:eastAsia="Palatino Linotype" w:hAnsi="Palatino Linotype" w:cs="Palatino Linotype"/>
        </w:rPr>
        <w:lastRenderedPageBreak/>
        <w:t>titular, sobre todo cuando traiga implícita que se ponga en riesgo la vida o integridad de una persona.</w:t>
      </w:r>
    </w:p>
    <w:p w:rsidR="00086DA7" w:rsidRPr="00A43775" w:rsidRDefault="00086DA7">
      <w:pPr>
        <w:pBdr>
          <w:top w:val="nil"/>
          <w:left w:val="nil"/>
          <w:bottom w:val="nil"/>
          <w:right w:val="nil"/>
          <w:between w:val="nil"/>
        </w:pBdr>
        <w:spacing w:line="360" w:lineRule="auto"/>
        <w:ind w:left="360"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Sirven de sustento a lo anterior, las tesis jurisprudenciales </w:t>
      </w:r>
      <w:r w:rsidRPr="00A43775">
        <w:rPr>
          <w:rFonts w:ascii="Palatino Linotype" w:eastAsia="Palatino Linotype" w:hAnsi="Palatino Linotype" w:cs="Palatino Linotype"/>
          <w:i/>
          <w:iCs/>
        </w:rPr>
        <w:t xml:space="preserve">P. LX/2000 </w:t>
      </w:r>
      <w:r w:rsidRPr="00A43775">
        <w:rPr>
          <w:rFonts w:ascii="Palatino Linotype" w:eastAsia="Palatino Linotype" w:hAnsi="Palatino Linotype" w:cs="Palatino Linotype"/>
        </w:rPr>
        <w:t xml:space="preserve">y </w:t>
      </w:r>
      <w:r w:rsidRPr="00A43775">
        <w:rPr>
          <w:rFonts w:ascii="Palatino Linotype" w:eastAsia="Palatino Linotype" w:hAnsi="Palatino Linotype" w:cs="Palatino Linotype"/>
          <w:i/>
          <w:iCs/>
        </w:rPr>
        <w:t>2a. XLIII/2008</w:t>
      </w:r>
      <w:r w:rsidRPr="00A43775">
        <w:rPr>
          <w:rFonts w:ascii="Palatino Linotype" w:eastAsia="Palatino Linotype" w:hAnsi="Palatino Linotype" w:cs="Palatino Linotype"/>
          <w:b/>
          <w:bCs/>
        </w:rPr>
        <w:t xml:space="preserve"> </w:t>
      </w:r>
      <w:r w:rsidRPr="00A43775">
        <w:rPr>
          <w:rFonts w:ascii="Palatino Linotype" w:eastAsia="Palatino Linotype" w:hAnsi="Palatino Linotype" w:cs="Palatino Linotype"/>
        </w:rPr>
        <w:t>emitidas por el Peno y la Segunda Sala de la Suprema Corte de Justicia de la Nación, respectivamente, que son del tenor literal siguiente:</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A43775">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43775">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A43775">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A43775">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A43775">
        <w:rPr>
          <w:rFonts w:ascii="Palatino Linotype" w:eastAsia="Palatino Linotype" w:hAnsi="Palatino Linotype" w:cs="Palatino Linotype"/>
          <w:i/>
          <w:iCs/>
        </w:rPr>
        <w:t>.”</w:t>
      </w:r>
    </w:p>
    <w:p w:rsidR="00086DA7" w:rsidRPr="00A43775" w:rsidRDefault="00086DA7">
      <w:pPr>
        <w:ind w:left="1134" w:right="851"/>
        <w:jc w:val="both"/>
        <w:rPr>
          <w:rFonts w:ascii="Palatino Linotype" w:eastAsia="Palatino Linotype" w:hAnsi="Palatino Linotype" w:cs="Palatino Linotype"/>
          <w:i/>
          <w:iCs/>
        </w:rPr>
      </w:pP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 xml:space="preserve">“TRANSPARENCIA Y ACCESO A LA INFORMACIÓN PÚBLICA GUBERNAMENTAL. EL ARTÍCULO 14, FRACCIÓN I, DE LA LEY </w:t>
      </w:r>
      <w:r w:rsidRPr="00A43775">
        <w:rPr>
          <w:rFonts w:ascii="Palatino Linotype" w:eastAsia="Palatino Linotype" w:hAnsi="Palatino Linotype" w:cs="Palatino Linotype"/>
          <w:b/>
          <w:bCs/>
          <w:i/>
          <w:iCs/>
        </w:rPr>
        <w:lastRenderedPageBreak/>
        <w:t xml:space="preserve">FEDERAL RELATIVA, NO VIOLA LA GARANTÍA DE ACCESO A LA INFORMACIÓN. </w:t>
      </w:r>
      <w:r w:rsidRPr="00A43775">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43775">
        <w:rPr>
          <w:rFonts w:ascii="Palatino Linotype" w:eastAsia="Palatino Linotype" w:hAnsi="Palatino Linotype" w:cs="Palatino Linotype"/>
          <w:b/>
          <w:bCs/>
          <w:i/>
          <w:iC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43775">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86DA7" w:rsidRPr="00A43775" w:rsidRDefault="00086DA7">
      <w:pPr>
        <w:ind w:left="1134" w:right="27"/>
        <w:jc w:val="both"/>
        <w:rPr>
          <w:rFonts w:ascii="Palatino Linotype" w:eastAsia="Palatino Linotype" w:hAnsi="Palatino Linotype" w:cs="Palatino Linotype"/>
          <w:i/>
          <w:iCs/>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b/>
          <w:bCs/>
        </w:rPr>
      </w:pPr>
      <w:r w:rsidRPr="00A43775">
        <w:rPr>
          <w:rFonts w:ascii="Palatino Linotype" w:eastAsia="Palatino Linotype" w:hAnsi="Palatino Linotype" w:cs="Palatino Linotype"/>
        </w:rPr>
        <w:t>También,</w:t>
      </w:r>
      <w:r w:rsidRPr="00A43775">
        <w:rPr>
          <w:rFonts w:ascii="Palatino Linotype" w:eastAsia="Palatino Linotype" w:hAnsi="Palatino Linotype" w:cs="Palatino Linotype"/>
          <w:b/>
          <w:bCs/>
        </w:rPr>
        <w:t xml:space="preserve"> el número de cuenta bancario</w:t>
      </w:r>
      <w:r w:rsidRPr="00A43775">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rsidR="00086DA7" w:rsidRPr="00A43775" w:rsidRDefault="00AB7E1C">
      <w:pPr>
        <w:shd w:val="clear" w:color="auto" w:fill="FFFFFF"/>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rPr>
        <w:t>“</w:t>
      </w:r>
      <w:r w:rsidRPr="00A43775">
        <w:rPr>
          <w:rFonts w:ascii="Palatino Linotype" w:eastAsia="Palatino Linotype" w:hAnsi="Palatino Linotype" w:cs="Palatino Linotype"/>
          <w:b/>
          <w:bCs/>
          <w:i/>
          <w:iCs/>
        </w:rPr>
        <w:t>Cuentas bancarias y/o CLABE interbancaria de personas físicas y morales privadas.</w:t>
      </w:r>
      <w:r w:rsidRPr="00A43775">
        <w:rPr>
          <w:rFonts w:ascii="Palatino Linotype" w:eastAsia="Palatino Linotype" w:hAnsi="Palatino Linotype" w:cs="Palatino Linotype"/>
          <w:i/>
          <w:iCs/>
        </w:rPr>
        <w:t xml:space="preserve"> El número de cuenta bancaria y/o CLABE interbancaria de particulares es información confidencial, al tratarse de un </w:t>
      </w:r>
      <w:r w:rsidRPr="00A43775">
        <w:rPr>
          <w:rFonts w:ascii="Palatino Linotype" w:eastAsia="Palatino Linotype" w:hAnsi="Palatino Linotype" w:cs="Palatino Linotype"/>
          <w:i/>
          <w:iCs/>
        </w:rPr>
        <w:lastRenderedPageBreak/>
        <w:t>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A43775">
        <w:rPr>
          <w:rFonts w:ascii="Palatino Linotype" w:eastAsia="Palatino Linotype" w:hAnsi="Palatino Linotype" w:cs="Palatino Linotype"/>
        </w:rPr>
        <w:t>.”</w:t>
      </w:r>
    </w:p>
    <w:p w:rsidR="00086DA7" w:rsidRPr="00A43775" w:rsidRDefault="00086DA7">
      <w:pPr>
        <w:ind w:left="1134" w:right="851"/>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086DA7" w:rsidRPr="00A43775" w:rsidRDefault="00086DA7">
      <w:pP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b/>
          <w:bCs/>
        </w:rPr>
      </w:pPr>
      <w:r w:rsidRPr="00A43775">
        <w:rPr>
          <w:rFonts w:ascii="Palatino Linotype" w:eastAsia="Palatino Linotype" w:hAnsi="Palatino Linotype" w:cs="Palatino Linotype"/>
        </w:rPr>
        <w:t xml:space="preserve">El </w:t>
      </w:r>
      <w:r w:rsidRPr="00A43775">
        <w:rPr>
          <w:rFonts w:ascii="Palatino Linotype" w:eastAsia="Palatino Linotype" w:hAnsi="Palatino Linotype" w:cs="Palatino Linotype"/>
          <w:b/>
          <w:bCs/>
        </w:rPr>
        <w:t>Código de barras bidimensional (QR)</w:t>
      </w:r>
      <w:r w:rsidRPr="00A43775">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sidRPr="00A43775">
        <w:rPr>
          <w:rFonts w:ascii="Palatino Linotype" w:eastAsia="Palatino Linotype" w:hAnsi="Palatino Linotype" w:cs="Palatino Linotype"/>
          <w:i/>
          <w:iCs/>
        </w:rPr>
        <w:t>QR Code (Quick Response Code)</w:t>
      </w:r>
      <w:r w:rsidRPr="00A43775">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2022, localizada en la página electrónica  </w:t>
      </w:r>
      <w:hyperlink r:id="rId11">
        <w:r w:rsidRPr="00A43775">
          <w:rPr>
            <w:rFonts w:ascii="Palatino Linotype" w:eastAsia="Palatino Linotype" w:hAnsi="Palatino Linotype" w:cs="Palatino Linotype"/>
            <w:color w:val="0563C1"/>
            <w:u w:val="single"/>
          </w:rPr>
          <w:t>http://omawww.sat.gob.mx/tramitesyservicios/paginas/documentos/anexo20_2022.pdf</w:t>
        </w:r>
      </w:hyperlink>
      <w:r w:rsidRPr="00A43775">
        <w:rPr>
          <w:rFonts w:ascii="Palatino Linotype" w:eastAsia="Palatino Linotype" w:hAnsi="Palatino Linotype" w:cs="Palatino Linotype"/>
          <w:color w:val="0563C1"/>
          <w:u w:val="single"/>
        </w:rPr>
        <w:t xml:space="preserve"> </w:t>
      </w:r>
      <w:r w:rsidRPr="00A43775">
        <w:rPr>
          <w:rFonts w:ascii="Palatino Linotype" w:eastAsia="Palatino Linotype" w:hAnsi="Palatino Linotype" w:cs="Palatino Linotype"/>
        </w:rPr>
        <w:t xml:space="preserve"> Incluso con la captura de dicho código, a través de la aplicación móvil del Servicio de </w:t>
      </w:r>
      <w:r w:rsidRPr="00A43775">
        <w:rPr>
          <w:rFonts w:ascii="Palatino Linotype" w:eastAsia="Palatino Linotype" w:hAnsi="Palatino Linotype" w:cs="Palatino Linotype"/>
        </w:rPr>
        <w:lastRenderedPageBreak/>
        <w:t xml:space="preserve">Administración Tributaria, permite el acceso al Registro Federal de Contribuyentes, como del </w:t>
      </w:r>
      <w:r w:rsidRPr="00A43775">
        <w:rPr>
          <w:rFonts w:ascii="Palatino Linotype" w:eastAsia="Palatino Linotype" w:hAnsi="Palatino Linotype" w:cs="Palatino Linotype"/>
          <w:b/>
          <w:bCs/>
        </w:rPr>
        <w:t>Sujeto Obligado</w:t>
      </w:r>
      <w:r w:rsidRPr="00A43775">
        <w:rPr>
          <w:rFonts w:ascii="Palatino Linotype" w:eastAsia="Palatino Linotype" w:hAnsi="Palatino Linotype" w:cs="Palatino Linotype"/>
        </w:rPr>
        <w:t>, como de la persona física o moral correspondiente.</w:t>
      </w:r>
    </w:p>
    <w:p w:rsidR="00086DA7" w:rsidRPr="00A43775" w:rsidRDefault="00086DA7">
      <w:pP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086DA7" w:rsidRPr="00A43775" w:rsidRDefault="00086DA7">
      <w:pPr>
        <w:pBdr>
          <w:top w:val="nil"/>
          <w:left w:val="nil"/>
          <w:bottom w:val="nil"/>
          <w:right w:val="nil"/>
          <w:between w:val="nil"/>
        </w:pBdr>
        <w:spacing w:line="360" w:lineRule="auto"/>
        <w:ind w:left="720" w:right="27"/>
        <w:rPr>
          <w:rFonts w:ascii="Palatino Linotype" w:eastAsia="Palatino Linotype" w:hAnsi="Palatino Linotype" w:cs="Palatino Linotype"/>
          <w:color w:val="000000"/>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222222"/>
        </w:rPr>
      </w:pPr>
      <w:r w:rsidRPr="00A43775">
        <w:rPr>
          <w:rFonts w:ascii="Palatino Linotype" w:eastAsia="Palatino Linotype" w:hAnsi="Palatino Linotype" w:cs="Palatino Linotype"/>
          <w:color w:val="222222"/>
        </w:rPr>
        <w:t>Por otra parte y respecto a</w:t>
      </w:r>
      <w:r w:rsidRPr="00A43775">
        <w:rPr>
          <w:rFonts w:ascii="Palatino Linotype" w:eastAsia="Palatino Linotype" w:hAnsi="Palatino Linotype" w:cs="Palatino Linotype"/>
          <w:b/>
          <w:bCs/>
          <w:color w:val="222222"/>
        </w:rPr>
        <w:t xml:space="preserve"> la clave de seguridad social y en su caso clave o número del servidor público –trabajador-,</w:t>
      </w:r>
      <w:r w:rsidRPr="00A43775">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86DA7" w:rsidRPr="00A43775" w:rsidRDefault="00AB7E1C">
      <w:pPr>
        <w:shd w:val="clear" w:color="auto" w:fill="FFFFFF"/>
        <w:ind w:left="1134" w:right="851"/>
        <w:jc w:val="both"/>
        <w:rPr>
          <w:rFonts w:ascii="Palatino Linotype" w:eastAsia="Palatino Linotype" w:hAnsi="Palatino Linotype" w:cs="Palatino Linotype"/>
          <w:i/>
          <w:iCs/>
          <w:color w:val="222222"/>
        </w:rPr>
      </w:pPr>
      <w:r w:rsidRPr="00A43775">
        <w:rPr>
          <w:rFonts w:ascii="Palatino Linotype" w:eastAsia="Palatino Linotype" w:hAnsi="Palatino Linotype" w:cs="Palatino Linotype"/>
          <w:b/>
          <w:bCs/>
          <w:i/>
          <w:iCs/>
          <w:color w:val="222222"/>
        </w:rPr>
        <w:t>“El número de ficha de identificación única de los trabajadores es información de carácter confidencial.</w:t>
      </w:r>
      <w:r w:rsidRPr="00A43775">
        <w:rPr>
          <w:rFonts w:ascii="Palatino Linotype" w:eastAsia="Palatino Linotype" w:hAnsi="Palatino Linotype" w:cs="Palatino Linotype"/>
          <w:i/>
          <w:iCs/>
          <w:color w:val="222222"/>
        </w:rPr>
        <w:t> </w:t>
      </w:r>
      <w:r w:rsidRPr="00A43775">
        <w:rPr>
          <w:rFonts w:ascii="Palatino Linotype" w:eastAsia="Palatino Linotype" w:hAnsi="Palatino Linotype" w:cs="Palatino Linotype"/>
          <w:i/>
          <w:iCs/>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A43775">
        <w:rPr>
          <w:rFonts w:ascii="Palatino Linotype" w:eastAsia="Palatino Linotype" w:hAnsi="Palatino Linotype" w:cs="Palatino Linotype"/>
          <w:i/>
          <w:iCs/>
          <w:color w:val="222222"/>
        </w:rPr>
        <w:t>, </w:t>
      </w:r>
      <w:r w:rsidRPr="00A43775">
        <w:rPr>
          <w:rFonts w:ascii="Palatino Linotype" w:eastAsia="Palatino Linotype" w:hAnsi="Palatino Linotype" w:cs="Palatino Linotype"/>
          <w:i/>
          <w:iCs/>
          <w:color w:val="222222"/>
          <w:u w:val="single"/>
        </w:rPr>
        <w:t>dicha información es susceptible de clasificarse con el carácter de confidencial</w:t>
      </w:r>
      <w:r w:rsidRPr="00A43775">
        <w:rPr>
          <w:rFonts w:ascii="Palatino Linotype" w:eastAsia="Palatino Linotype" w:hAnsi="Palatino Linotype" w:cs="Palatino Linotype"/>
          <w:i/>
          <w:iCs/>
          <w:color w:val="222222"/>
        </w:rPr>
        <w:t>, en términos de lo establecido en el artículo 18, fracción II de la Ley Federal de Transparencia y Acceso a la Información Pública Gubernamental, en virtud de que a través de la misma es posible conocer información personal de su titular.”</w:t>
      </w:r>
    </w:p>
    <w:p w:rsidR="00086DA7" w:rsidRPr="00A43775" w:rsidRDefault="00086DA7">
      <w:pPr>
        <w:shd w:val="clear" w:color="auto" w:fill="FFFFFF"/>
        <w:ind w:left="1134" w:right="851"/>
        <w:jc w:val="both"/>
        <w:rPr>
          <w:rFonts w:ascii="Palatino Linotype" w:eastAsia="Palatino Linotype" w:hAnsi="Palatino Linotype" w:cs="Palatino Linotype"/>
          <w:i/>
          <w:iCs/>
          <w:color w:val="222222"/>
        </w:rPr>
      </w:pPr>
    </w:p>
    <w:p w:rsidR="00086DA7" w:rsidRPr="00A43775" w:rsidRDefault="00086DA7">
      <w:pPr>
        <w:shd w:val="clear" w:color="auto" w:fill="FFFFFF"/>
        <w:ind w:left="1134" w:right="27"/>
        <w:jc w:val="both"/>
        <w:rPr>
          <w:rFonts w:ascii="Palatino Linotype" w:eastAsia="Palatino Linotype" w:hAnsi="Palatino Linotype" w:cs="Palatino Linotype"/>
          <w:i/>
          <w:iCs/>
          <w:color w:val="222222"/>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lastRenderedPageBreak/>
        <w:t xml:space="preserve">Ahora bien, también es necesario indicar que </w:t>
      </w:r>
      <w:r w:rsidRPr="00A43775">
        <w:rPr>
          <w:rFonts w:ascii="Palatino Linotype" w:eastAsia="Palatino Linotype" w:hAnsi="Palatino Linotype" w:cs="Palatino Linotype"/>
          <w:b/>
          <w:bCs/>
        </w:rPr>
        <w:t>hay información dentro de los recibos de nómina que no contienen datos personales</w:t>
      </w:r>
      <w:r w:rsidRPr="00A43775">
        <w:rPr>
          <w:rFonts w:ascii="Palatino Linotype" w:eastAsia="Palatino Linotype" w:hAnsi="Palatino Linotype" w:cs="Palatino Linotype"/>
        </w:rPr>
        <w:t xml:space="preserve"> por lo cual su entrega sólo deberá de ser clasificada, siendo los siguientes. </w:t>
      </w:r>
    </w:p>
    <w:p w:rsidR="00086DA7" w:rsidRPr="00A43775" w:rsidRDefault="00086DA7">
      <w:pPr>
        <w:pBdr>
          <w:top w:val="nil"/>
          <w:left w:val="nil"/>
          <w:bottom w:val="nil"/>
          <w:right w:val="nil"/>
          <w:between w:val="nil"/>
        </w:pBd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Por cuanto hace </w:t>
      </w:r>
      <w:r w:rsidRPr="00A43775">
        <w:rPr>
          <w:rFonts w:ascii="Palatino Linotype" w:eastAsia="Palatino Linotype" w:hAnsi="Palatino Linotype" w:cs="Palatino Linotype"/>
          <w:b/>
          <w:bCs/>
        </w:rPr>
        <w:t>al Folio Fiscal</w:t>
      </w:r>
      <w:r w:rsidRPr="00A43775">
        <w:rPr>
          <w:rFonts w:ascii="Palatino Linotype" w:eastAsia="Palatino Linotype" w:hAnsi="Palatino Linotype" w:cs="Palatino Linotype"/>
        </w:rPr>
        <w:t>, cabe precisar que conforme a la Resolución Miscelánea Fiscal para 2025, el folio fiscal es un dato que deben contener los CDFI por concepto de nómina. Dicho dato es un identificador individual de cada factura o comprobante electrónico. El objetivo del Folio es prevenir los fraudes o falsificaciones, ya que contiene códigos o claves únicas de cada comprobante fiscal, de tal manera que se puede comprobar si la factura fue certificada por el SAT. El Folio Fiscal está compuesto por 32 dígitos hexadecimales, mostrados en 5 grupos separados por guiones.</w:t>
      </w:r>
    </w:p>
    <w:p w:rsidR="00086DA7" w:rsidRPr="00A43775" w:rsidRDefault="00086DA7">
      <w:pPr>
        <w:pBdr>
          <w:top w:val="nil"/>
          <w:left w:val="nil"/>
          <w:bottom w:val="nil"/>
          <w:right w:val="nil"/>
          <w:between w:val="nil"/>
        </w:pBdr>
        <w:ind w:left="720" w:right="27"/>
        <w:rPr>
          <w:rFonts w:ascii="Palatino Linotype" w:eastAsia="Palatino Linotype" w:hAnsi="Palatino Linotype" w:cs="Palatino Linotype"/>
          <w:color w:val="000000"/>
        </w:rPr>
      </w:pPr>
    </w:p>
    <w:p w:rsidR="00086DA7" w:rsidRPr="00A43775" w:rsidRDefault="00086DA7">
      <w:pP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La Guía de </w:t>
      </w:r>
      <w:r w:rsidRPr="00A43775">
        <w:rPr>
          <w:rFonts w:ascii="Palatino Linotype" w:eastAsia="Palatino Linotype" w:hAnsi="Palatino Linotype" w:cs="Palatino Linotype"/>
          <w:b/>
          <w:bCs/>
        </w:rPr>
        <w:t>llenado</w:t>
      </w:r>
      <w:r w:rsidRPr="00A43775">
        <w:rPr>
          <w:rFonts w:ascii="Palatino Linotype" w:eastAsia="Palatino Linotype" w:hAnsi="Palatino Linotype" w:cs="Palatino Linotype"/>
        </w:rPr>
        <w:t xml:space="preserve"> del comprobante del recibo de pago de nómina y su complemento Aplicable para la versión 4.0 del CFDI y el complemento de nómina versión 1.2. muestra la Representación gráfica del CFDI por concepto de nómina en donde se aprecia el Folio Fiscal:</w:t>
      </w:r>
    </w:p>
    <w:p w:rsidR="00086DA7" w:rsidRPr="00A43775" w:rsidRDefault="00AB7E1C">
      <w:pPr>
        <w:pBdr>
          <w:top w:val="nil"/>
          <w:left w:val="nil"/>
          <w:bottom w:val="nil"/>
          <w:right w:val="nil"/>
          <w:between w:val="nil"/>
        </w:pBdr>
        <w:spacing w:line="360" w:lineRule="auto"/>
        <w:ind w:right="27"/>
        <w:jc w:val="center"/>
        <w:rPr>
          <w:rFonts w:ascii="Palatino Linotype" w:eastAsia="Palatino Linotype" w:hAnsi="Palatino Linotype" w:cs="Palatino Linotype"/>
        </w:rPr>
      </w:pPr>
      <w:r w:rsidRPr="00A43775">
        <w:rPr>
          <w:rFonts w:ascii="Palatino Linotype" w:eastAsia="Palatino Linotype" w:hAnsi="Palatino Linotype" w:cs="Palatino Linotype"/>
          <w:noProof/>
          <w:lang w:val="es-MX"/>
        </w:rPr>
        <w:drawing>
          <wp:inline distT="0" distB="0" distL="0" distR="0">
            <wp:extent cx="4513132" cy="815998"/>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513132" cy="815998"/>
                    </a:xfrm>
                    <a:prstGeom prst="rect">
                      <a:avLst/>
                    </a:prstGeom>
                    <a:ln/>
                  </pic:spPr>
                </pic:pic>
              </a:graphicData>
            </a:graphic>
          </wp:inline>
        </w:drawing>
      </w:r>
    </w:p>
    <w:p w:rsidR="00086DA7" w:rsidRPr="00A43775" w:rsidRDefault="00086DA7">
      <w:pPr>
        <w:spacing w:line="360" w:lineRule="auto"/>
        <w:ind w:right="27"/>
        <w:jc w:val="center"/>
        <w:rPr>
          <w:rFonts w:ascii="Palatino Linotype" w:eastAsia="Palatino Linotype" w:hAnsi="Palatino Linotype" w:cs="Palatino Linotype"/>
        </w:rPr>
      </w:pPr>
    </w:p>
    <w:p w:rsidR="00086DA7" w:rsidRPr="00A43775" w:rsidRDefault="00AB7E1C">
      <w:pPr>
        <w:numPr>
          <w:ilvl w:val="0"/>
          <w:numId w:val="26"/>
        </w:numP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El Anexo 20 Guía de llenado de los comprobantes fiscales digitales por Internet, actualizado al 08 de marzo del 2023, señala que se debe registrar el folio fiscal (UUID) </w:t>
      </w:r>
      <w:r w:rsidRPr="00A43775">
        <w:rPr>
          <w:rFonts w:ascii="Palatino Linotype" w:eastAsia="Palatino Linotype" w:hAnsi="Palatino Linotype" w:cs="Palatino Linotype"/>
        </w:rPr>
        <w:lastRenderedPageBreak/>
        <w:t>de un comprobante fiscal relacionado con el presente comprobante. Ejemplo: UUID= 5FB2822E-396D-4725-8521-CDC4BDD20CCF</w:t>
      </w:r>
    </w:p>
    <w:p w:rsidR="00086DA7" w:rsidRPr="00A43775" w:rsidRDefault="00086DA7">
      <w:pPr>
        <w:pBdr>
          <w:top w:val="nil"/>
          <w:left w:val="nil"/>
          <w:bottom w:val="nil"/>
          <w:right w:val="nil"/>
          <w:between w:val="nil"/>
        </w:pBd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En ese contexto, el folio fiscal, no contiene datos personales del emisor y tampoco se puede obtener información confidencial con el mismo, pues solamente es un identificador del emisor, </w:t>
      </w:r>
      <w:r w:rsidRPr="00A43775">
        <w:rPr>
          <w:rFonts w:ascii="Palatino Linotype" w:eastAsia="Palatino Linotype" w:hAnsi="Palatino Linotype" w:cs="Palatino Linotype"/>
          <w:b/>
          <w:bCs/>
        </w:rPr>
        <w:t>del</w:t>
      </w:r>
      <w:r w:rsidRPr="00A43775">
        <w:rPr>
          <w:rFonts w:ascii="Palatino Linotype" w:eastAsia="Palatino Linotype" w:hAnsi="Palatino Linotype" w:cs="Palatino Linotype"/>
        </w:rPr>
        <w:t xml:space="preserve"> cual su transparencia ayuda a legitimar que el documento cumple con todos los requisitos establecidos en la normatividad aplicable, sin necesidad de algún dato personal, por lo que, </w:t>
      </w:r>
      <w:r w:rsidRPr="00A43775">
        <w:rPr>
          <w:rFonts w:ascii="Palatino Linotype" w:eastAsia="Palatino Linotype" w:hAnsi="Palatino Linotype" w:cs="Palatino Linotype"/>
          <w:b/>
          <w:bCs/>
        </w:rPr>
        <w:t>no se actualiza la clasificación</w:t>
      </w:r>
      <w:r w:rsidRPr="00A43775">
        <w:rPr>
          <w:rFonts w:ascii="Palatino Linotype" w:eastAsia="Palatino Linotype" w:hAnsi="Palatino Linotype" w:cs="Palatino Linotype"/>
        </w:rPr>
        <w:t>, en términos del artículo 143, fracción I de la Ley de la materia.</w:t>
      </w:r>
    </w:p>
    <w:p w:rsidR="00086DA7" w:rsidRPr="00A43775" w:rsidRDefault="00086DA7">
      <w:pPr>
        <w:spacing w:line="360" w:lineRule="auto"/>
        <w:ind w:right="27"/>
        <w:jc w:val="both"/>
        <w:rPr>
          <w:rFonts w:ascii="Palatino Linotype" w:eastAsia="Palatino Linotype" w:hAnsi="Palatino Linotype" w:cs="Palatino Linotype"/>
          <w:b/>
          <w:bCs/>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En esa línea de estudio,</w:t>
      </w:r>
      <w:r w:rsidRPr="00A43775">
        <w:rPr>
          <w:rFonts w:ascii="Palatino Linotype" w:eastAsia="Palatino Linotype" w:hAnsi="Palatino Linotype" w:cs="Palatino Linotype"/>
          <w:b/>
          <w:bCs/>
        </w:rPr>
        <w:t xml:space="preserve"> las cadenas originales y sellos digitales</w:t>
      </w:r>
      <w:r w:rsidRPr="00A43775">
        <w:rPr>
          <w:rFonts w:ascii="Palatino Linotype" w:eastAsia="Palatino Linotype" w:hAnsi="Palatino Linotype" w:cs="Palatino Linotype"/>
        </w:rPr>
        <w:t>, tienen una secuencia de generación, determinados con base en el Anexo 20 de la Resolución Miscelánea Fiscal para 2022, que precisa los datos de los que se componen los elementos de seguridad y se puntualiza que dicha información está encriptada.</w:t>
      </w:r>
    </w:p>
    <w:p w:rsidR="00086DA7" w:rsidRPr="00A43775" w:rsidRDefault="00AB7E1C">
      <w:pPr>
        <w:ind w:left="1134" w:right="27"/>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“Elementos utilizados en la generación de Sellos Digitales:</w:t>
      </w:r>
    </w:p>
    <w:p w:rsidR="00086DA7" w:rsidRPr="00A43775" w:rsidRDefault="00AB7E1C">
      <w:pPr>
        <w:ind w:left="1134" w:right="27"/>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r w:rsidRPr="00A43775">
        <w:rPr>
          <w:rFonts w:ascii="Palatino Linotype" w:eastAsia="Palatino Linotype" w:hAnsi="Palatino Linotype" w:cs="Palatino Linotype"/>
          <w:i/>
          <w:iCs/>
        </w:rPr>
        <w:tab/>
        <w:t>Cadena Original, el elemento a sellar.</w:t>
      </w:r>
    </w:p>
    <w:p w:rsidR="00086DA7" w:rsidRPr="00A43775" w:rsidRDefault="00AB7E1C">
      <w:pPr>
        <w:ind w:left="1134" w:right="27"/>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i/>
          <w:iCs/>
        </w:rPr>
        <w:tab/>
        <w:t>Certificado de Sello Digital y su correspondiente clave privada.</w:t>
      </w:r>
    </w:p>
    <w:p w:rsidR="00086DA7" w:rsidRPr="00A43775" w:rsidRDefault="00AB7E1C">
      <w:pPr>
        <w:ind w:left="1134" w:right="27"/>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r w:rsidRPr="00A43775">
        <w:rPr>
          <w:rFonts w:ascii="Palatino Linotype" w:eastAsia="Palatino Linotype" w:hAnsi="Palatino Linotype" w:cs="Palatino Linotype"/>
          <w:i/>
          <w:iCs/>
        </w:rPr>
        <w:tab/>
        <w:t>Algoritmos de criptografía de clave pública para firma electrónica avanzada.</w:t>
      </w:r>
    </w:p>
    <w:p w:rsidR="00086DA7" w:rsidRPr="00A43775" w:rsidRDefault="00AB7E1C">
      <w:pPr>
        <w:ind w:left="1134" w:right="27"/>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r w:rsidRPr="00A43775">
        <w:rPr>
          <w:rFonts w:ascii="Palatino Linotype" w:eastAsia="Palatino Linotype" w:hAnsi="Palatino Linotype" w:cs="Palatino Linotype"/>
          <w:i/>
          <w:iCs/>
        </w:rPr>
        <w:tab/>
        <w:t>Especificaciones de conversión de la firma electrónica avanzada a Base 64.</w:t>
      </w:r>
    </w:p>
    <w:p w:rsidR="00086DA7" w:rsidRPr="00A43775" w:rsidRDefault="00AB7E1C">
      <w:pPr>
        <w:ind w:left="1134" w:right="27"/>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Para la generación de sellos digitales se utiliza criptografía de clave pública aplicada a una cadena original.</w:t>
      </w:r>
    </w:p>
    <w:p w:rsidR="00086DA7" w:rsidRPr="00A43775" w:rsidRDefault="00086DA7">
      <w:pPr>
        <w:ind w:left="1134" w:right="27"/>
        <w:jc w:val="both"/>
        <w:rPr>
          <w:rFonts w:ascii="Palatino Linotype" w:eastAsia="Palatino Linotype" w:hAnsi="Palatino Linotype" w:cs="Palatino Linotype"/>
          <w:i/>
          <w:iCs/>
        </w:rPr>
      </w:pPr>
    </w:p>
    <w:p w:rsidR="00086DA7" w:rsidRPr="00A43775" w:rsidRDefault="00AB7E1C">
      <w:pPr>
        <w:ind w:left="1134" w:right="27"/>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Criptografía de la Clave Pública</w:t>
      </w:r>
    </w:p>
    <w:p w:rsidR="00086DA7" w:rsidRPr="00A43775" w:rsidRDefault="00AB7E1C">
      <w:pPr>
        <w:ind w:left="1134" w:right="27"/>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lastRenderedPageBreak/>
        <w:t xml:space="preserve">Es decir, por sí solos las cadenas originales y los sellos originales no contienen datos personales confidenciales, por lo que se considera que </w:t>
      </w:r>
      <w:r w:rsidRPr="00A43775">
        <w:rPr>
          <w:rFonts w:ascii="Palatino Linotype" w:eastAsia="Palatino Linotype" w:hAnsi="Palatino Linotype" w:cs="Palatino Linotype"/>
          <w:b/>
          <w:bCs/>
        </w:rPr>
        <w:t>no actualizan el supuesto de confidencialidad</w:t>
      </w:r>
      <w:r w:rsidRPr="00A43775">
        <w:rPr>
          <w:rFonts w:ascii="Palatino Linotype" w:eastAsia="Palatino Linotype" w:hAnsi="Palatino Linotype" w:cs="Palatino Linotype"/>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086DA7" w:rsidRPr="00A43775" w:rsidRDefault="00086DA7">
      <w:pPr>
        <w:pBdr>
          <w:top w:val="nil"/>
          <w:left w:val="nil"/>
          <w:bottom w:val="nil"/>
          <w:right w:val="nil"/>
          <w:between w:val="nil"/>
        </w:pBd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Cabe señalar que, en algunos casos, las cadenas originales y sellos digitales, se pueden conformar de datos confidenciales, tales como el Registro Federal de Contribuyentes o la Clave Única de Registro de Población o las deducciones personales; por lo que, en su caso actualizarán la clasificación, en términos del artículo 143, fracción I, de la Ley de la materia.</w:t>
      </w:r>
    </w:p>
    <w:p w:rsidR="00086DA7" w:rsidRPr="00A43775" w:rsidRDefault="00086DA7">
      <w:pPr>
        <w:pBdr>
          <w:top w:val="nil"/>
          <w:left w:val="nil"/>
          <w:bottom w:val="nil"/>
          <w:right w:val="nil"/>
          <w:between w:val="nil"/>
        </w:pBd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Por otra parte, por lo que hace al </w:t>
      </w:r>
      <w:r w:rsidRPr="00A43775">
        <w:rPr>
          <w:rFonts w:ascii="Palatino Linotype" w:eastAsia="Palatino Linotype" w:hAnsi="Palatino Linotype" w:cs="Palatino Linotype"/>
          <w:b/>
          <w:bCs/>
          <w:color w:val="000000"/>
        </w:rPr>
        <w:t>número de serie de los certificados de Sello Digitales del emisor y del Servicio de Administración Tributaria</w:t>
      </w:r>
      <w:r w:rsidRPr="00A43775">
        <w:rPr>
          <w:rFonts w:ascii="Palatino Linotype" w:eastAsia="Palatino Linotype" w:hAnsi="Palatino Linotype" w:cs="Palatino Linotype"/>
          <w:color w:val="000000"/>
        </w:rPr>
        <w:t>, el Anexo 20 de la Resolución Miscelánea Fiscal para 2022, precisa que es un atributo requerido para expresar el número de serie del certificado de sello digital que ampara al comprobante, de acuerdo con el acuse correspondiente a 20 posiciones otorgado por el sistema del SAT.</w:t>
      </w:r>
    </w:p>
    <w:p w:rsidR="00086DA7" w:rsidRPr="00A43775" w:rsidRDefault="00086DA7">
      <w:pPr>
        <w:spacing w:line="360" w:lineRule="auto"/>
        <w:ind w:right="27"/>
        <w:jc w:val="center"/>
        <w:rPr>
          <w:rFonts w:ascii="Palatino Linotype" w:eastAsia="Palatino Linotype" w:hAnsi="Palatino Linotype" w:cs="Palatino Linotype"/>
        </w:rPr>
      </w:pPr>
    </w:p>
    <w:p w:rsidR="00086DA7" w:rsidRPr="00A43775" w:rsidRDefault="00AB7E1C">
      <w:pPr>
        <w:numPr>
          <w:ilvl w:val="0"/>
          <w:numId w:val="26"/>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Cómo se logra observar, los números de serie del certificado de sello digital no contiene datos personales y con dichos dígitos tampoco se puede obtener información de carácter confidencial, por lo que, </w:t>
      </w:r>
      <w:r w:rsidRPr="00A43775">
        <w:rPr>
          <w:rFonts w:ascii="Palatino Linotype" w:eastAsia="Palatino Linotype" w:hAnsi="Palatino Linotype" w:cs="Palatino Linotype"/>
          <w:b/>
          <w:bCs/>
        </w:rPr>
        <w:t>tampoco actualizan la causal de clasificación</w:t>
      </w:r>
      <w:r w:rsidRPr="00A43775">
        <w:rPr>
          <w:rFonts w:ascii="Palatino Linotype" w:eastAsia="Palatino Linotype" w:hAnsi="Palatino Linotype" w:cs="Palatino Linotype"/>
        </w:rPr>
        <w:t xml:space="preserve">, establecida en el artículo 143, fracción I, de la Ley de Transparencia y Acceso a la </w:t>
      </w:r>
      <w:r w:rsidRPr="00A43775">
        <w:rPr>
          <w:rFonts w:ascii="Palatino Linotype" w:eastAsia="Palatino Linotype" w:hAnsi="Palatino Linotype" w:cs="Palatino Linotype"/>
        </w:rPr>
        <w:lastRenderedPageBreak/>
        <w:t xml:space="preserve">Información Pública del Estado de México y Municipios. </w:t>
      </w:r>
      <w:r w:rsidRPr="00A43775">
        <w:rPr>
          <w:rFonts w:ascii="Palatino Linotype" w:eastAsia="Palatino Linotype" w:hAnsi="Palatino Linotype" w:cs="Palatino Linotype"/>
          <w:b/>
          <w:bCs/>
        </w:rPr>
        <w:t>Máxime que permite corroborar la legitimidad a la factura, pues amparan la utilización de los certificados de sellos digitales válidos.</w:t>
      </w:r>
    </w:p>
    <w:p w:rsidR="00086DA7" w:rsidRPr="00A43775" w:rsidRDefault="00086DA7">
      <w:pPr>
        <w:pBdr>
          <w:top w:val="nil"/>
          <w:left w:val="nil"/>
          <w:bottom w:val="nil"/>
          <w:right w:val="nil"/>
          <w:between w:val="nil"/>
        </w:pBd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Ahora bien, por lo que hace al </w:t>
      </w:r>
      <w:r w:rsidRPr="00A43775">
        <w:rPr>
          <w:rFonts w:ascii="Palatino Linotype" w:eastAsia="Palatino Linotype" w:hAnsi="Palatino Linotype" w:cs="Palatino Linotype"/>
          <w:b/>
          <w:bCs/>
        </w:rPr>
        <w:t>número de serie y folio interno</w:t>
      </w:r>
      <w:r w:rsidRPr="00A43775">
        <w:rPr>
          <w:rFonts w:ascii="Palatino Linotype" w:eastAsia="Palatino Linotype" w:hAnsi="Palatino Linotype" w:cs="Palatino Linotype"/>
        </w:rPr>
        <w:t>, la Guía de llenado del CFDI global versión 4.0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rsidR="00086DA7" w:rsidRPr="00A43775" w:rsidRDefault="00086DA7">
      <w:pP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Además, por lo que hace a la </w:t>
      </w:r>
      <w:r w:rsidRPr="00A43775">
        <w:rPr>
          <w:rFonts w:ascii="Palatino Linotype" w:eastAsia="Palatino Linotype" w:hAnsi="Palatino Linotype" w:cs="Palatino Linotype"/>
          <w:b/>
          <w:bCs/>
        </w:rPr>
        <w:t>fecha y hora de emisión y certificación</w:t>
      </w:r>
      <w:r w:rsidRPr="00A43775">
        <w:rPr>
          <w:rFonts w:ascii="Palatino Linotype" w:eastAsia="Palatino Linotype" w:hAnsi="Palatino Linotype" w:cs="Palatino Linotype"/>
        </w:rPr>
        <w:t>, la Guía de llenado del CFDI global versión 4.0 del CFDI, previamente referida, establece que los datos mencionados corresponden a la fecha y hora de emisión y certificación del comprobante fiscal, los cuales se expresan de la siguiente manera: AAAA-MM-DDThh:mm:ss.</w:t>
      </w:r>
    </w:p>
    <w:p w:rsidR="00086DA7" w:rsidRPr="00A43775" w:rsidRDefault="00086DA7">
      <w:pPr>
        <w:spacing w:line="360" w:lineRule="auto"/>
        <w:ind w:right="27"/>
        <w:jc w:val="both"/>
        <w:rPr>
          <w:rFonts w:ascii="Palatino Linotype" w:eastAsia="Palatino Linotype" w:hAnsi="Palatino Linotype" w:cs="Palatino Linotype"/>
        </w:rPr>
      </w:pPr>
    </w:p>
    <w:p w:rsidR="00086DA7" w:rsidRPr="00A43775" w:rsidRDefault="00AB7E1C">
      <w:pPr>
        <w:numPr>
          <w:ilvl w:val="0"/>
          <w:numId w:val="26"/>
        </w:numP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Conforme a lo anterior, se observa|||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rsidR="00086DA7" w:rsidRPr="00A43775" w:rsidRDefault="00AB7E1C">
      <w:pPr>
        <w:numPr>
          <w:ilvl w:val="0"/>
          <w:numId w:val="26"/>
        </w:numPr>
        <w:spacing w:line="360" w:lineRule="auto"/>
        <w:ind w:left="0" w:right="27"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lastRenderedPageBreak/>
        <w:t>Conforme a lo anterior,  logra observarse que el lugar de emisión, no contiene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rsidR="00086DA7" w:rsidRPr="00A43775" w:rsidRDefault="00086DA7">
      <w:pPr>
        <w:spacing w:line="360" w:lineRule="auto"/>
        <w:jc w:val="both"/>
        <w:rPr>
          <w:rFonts w:ascii="Palatino Linotype" w:eastAsia="Palatino Linotype" w:hAnsi="Palatino Linotype" w:cs="Palatino Linotype"/>
          <w:color w:val="000000"/>
        </w:rPr>
      </w:pPr>
    </w:p>
    <w:p w:rsidR="00086DA7" w:rsidRPr="00A43775" w:rsidRDefault="00AB7E1C">
      <w:pPr>
        <w:numPr>
          <w:ilvl w:val="0"/>
          <w:numId w:val="26"/>
        </w:numP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rPr>
        <w:t>Ahora bien, con respecto a las asignaciones de vehículos oficiales</w:t>
      </w:r>
      <w:r w:rsidRPr="00A43775">
        <w:rPr>
          <w:rFonts w:ascii="Palatino Linotype" w:eastAsia="Palatino Linotype" w:hAnsi="Palatino Linotype" w:cs="Palatino Linotype"/>
          <w:color w:val="000000"/>
        </w:rPr>
        <w:t xml:space="preserve">, la información que enunciativamente pudiera colmar el derecho de acceso del particular  es la relativa a </w:t>
      </w:r>
      <w:r w:rsidRPr="00A43775">
        <w:rPr>
          <w:rFonts w:ascii="Palatino Linotype" w:eastAsia="Palatino Linotype" w:hAnsi="Palatino Linotype" w:cs="Palatino Linotype"/>
          <w:i/>
          <w:iCs/>
          <w:color w:val="000000"/>
          <w:u w:val="single"/>
        </w:rPr>
        <w:t>el documento que acredite el resguardo de vehículos oficiales.</w:t>
      </w:r>
    </w:p>
    <w:p w:rsidR="00086DA7" w:rsidRPr="00A43775" w:rsidRDefault="00086DA7">
      <w:pPr>
        <w:spacing w:line="360" w:lineRule="auto"/>
        <w:ind w:right="-787"/>
        <w:jc w:val="both"/>
        <w:rPr>
          <w:rFonts w:ascii="Palatino Linotype" w:eastAsia="Palatino Linotype" w:hAnsi="Palatino Linotype" w:cs="Palatino Linotype"/>
          <w:color w:val="000000"/>
        </w:rPr>
      </w:pPr>
    </w:p>
    <w:p w:rsidR="00086DA7" w:rsidRPr="00A43775" w:rsidRDefault="00AB7E1C">
      <w:pPr>
        <w:numPr>
          <w:ilvl w:val="0"/>
          <w:numId w:val="26"/>
        </w:numP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Por lo anterior es de referir lo establecido en el artículo 11, de la Ley de Bienes del Estado de México y de sus Municipios:</w:t>
      </w:r>
    </w:p>
    <w:p w:rsidR="00086DA7" w:rsidRPr="00A43775" w:rsidRDefault="00086DA7">
      <w:pPr>
        <w:spacing w:line="360" w:lineRule="auto"/>
        <w:ind w:right="-787"/>
        <w:jc w:val="both"/>
        <w:rPr>
          <w:rFonts w:ascii="Palatino Linotype" w:eastAsia="Palatino Linotype" w:hAnsi="Palatino Linotype" w:cs="Palatino Linotype"/>
          <w:color w:val="000000"/>
        </w:rPr>
      </w:pPr>
    </w:p>
    <w:p w:rsidR="00086DA7" w:rsidRPr="00A43775" w:rsidRDefault="00AB7E1C">
      <w:pPr>
        <w:pBdr>
          <w:top w:val="nil"/>
          <w:left w:val="nil"/>
          <w:bottom w:val="nil"/>
          <w:right w:val="nil"/>
          <w:between w:val="nil"/>
        </w:pBd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Artículo 11.- Corresponde a cada una de las dependencias, organismos auxiliares y entidades de la administración pública estatal y municipal: </w:t>
      </w:r>
    </w:p>
    <w:p w:rsidR="00086DA7" w:rsidRPr="00A43775" w:rsidRDefault="00086DA7">
      <w:pPr>
        <w:pBdr>
          <w:top w:val="nil"/>
          <w:left w:val="nil"/>
          <w:bottom w:val="nil"/>
          <w:right w:val="nil"/>
          <w:between w:val="nil"/>
        </w:pBdr>
        <w:ind w:left="1134" w:right="851"/>
        <w:jc w:val="both"/>
        <w:rPr>
          <w:rFonts w:ascii="Palatino Linotype" w:eastAsia="Palatino Linotype" w:hAnsi="Palatino Linotype" w:cs="Palatino Linotype"/>
          <w:i/>
          <w:iCs/>
        </w:rPr>
      </w:pPr>
    </w:p>
    <w:p w:rsidR="00086DA7" w:rsidRPr="00A43775" w:rsidRDefault="00AB7E1C">
      <w:pPr>
        <w:pBdr>
          <w:top w:val="nil"/>
          <w:left w:val="nil"/>
          <w:bottom w:val="nil"/>
          <w:right w:val="nil"/>
          <w:between w:val="nil"/>
        </w:pBdr>
        <w:ind w:left="1134" w:right="851"/>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I. Administrar, controlar y utilizar adecuadamente los bienes muebles e inmuebles que detenten o tengan asignados;</w:t>
      </w:r>
    </w:p>
    <w:p w:rsidR="00086DA7" w:rsidRPr="00A43775" w:rsidRDefault="00AB7E1C">
      <w:pPr>
        <w:pBdr>
          <w:top w:val="nil"/>
          <w:left w:val="nil"/>
          <w:bottom w:val="nil"/>
          <w:right w:val="nil"/>
          <w:between w:val="nil"/>
        </w:pBd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086DA7">
      <w:pPr>
        <w:spacing w:line="360" w:lineRule="auto"/>
        <w:ind w:right="-787"/>
        <w:jc w:val="both"/>
        <w:rPr>
          <w:rFonts w:ascii="Palatino Linotype" w:eastAsia="Palatino Linotype" w:hAnsi="Palatino Linotype" w:cs="Palatino Linotype"/>
          <w:color w:val="000000"/>
        </w:rPr>
      </w:pPr>
    </w:p>
    <w:p w:rsidR="00086DA7" w:rsidRPr="00A43775" w:rsidRDefault="00AB7E1C">
      <w:pPr>
        <w:numPr>
          <w:ilvl w:val="0"/>
          <w:numId w:val="26"/>
        </w:numP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En este sentido es de referir que el Código Reglamentario Municipal, en su artículo 3.32 señala que la Dirección General de Administración, para el cumplimiento de sus atribuciones, se auxiliará de diversas unidades administrativas, entre ellas, la </w:t>
      </w:r>
      <w:r w:rsidRPr="00A43775">
        <w:rPr>
          <w:rFonts w:ascii="Palatino Linotype" w:eastAsia="Palatino Linotype" w:hAnsi="Palatino Linotype" w:cs="Palatino Linotype"/>
          <w:b/>
          <w:bCs/>
          <w:color w:val="000000"/>
        </w:rPr>
        <w:t>Dirección de Servicios Generales</w:t>
      </w:r>
      <w:r w:rsidRPr="00A43775">
        <w:rPr>
          <w:rFonts w:ascii="Palatino Linotype" w:eastAsia="Palatino Linotype" w:hAnsi="Palatino Linotype" w:cs="Palatino Linotype"/>
          <w:color w:val="000000"/>
        </w:rPr>
        <w:t xml:space="preserve">, misma que a su vez, cuenta con </w:t>
      </w:r>
      <w:r w:rsidRPr="00A43775">
        <w:rPr>
          <w:rFonts w:ascii="Palatino Linotype" w:eastAsia="Palatino Linotype" w:hAnsi="Palatino Linotype" w:cs="Palatino Linotype"/>
          <w:b/>
          <w:bCs/>
          <w:color w:val="000000"/>
        </w:rPr>
        <w:t>Departamento de Control Patrimonial</w:t>
      </w:r>
      <w:r w:rsidRPr="00A43775">
        <w:rPr>
          <w:rFonts w:ascii="Palatino Linotype" w:eastAsia="Palatino Linotype" w:hAnsi="Palatino Linotype" w:cs="Palatino Linotype"/>
          <w:color w:val="000000"/>
        </w:rPr>
        <w:t xml:space="preserve">, unidades administrativas que tienen las atribuciones y funciones </w:t>
      </w:r>
      <w:r w:rsidRPr="00A43775">
        <w:rPr>
          <w:rFonts w:ascii="Palatino Linotype" w:eastAsia="Palatino Linotype" w:hAnsi="Palatino Linotype" w:cs="Palatino Linotype"/>
          <w:color w:val="000000"/>
        </w:rPr>
        <w:lastRenderedPageBreak/>
        <w:t>referidas en el Manual de Organización de la Dirección General de Administración, siguientes:</w:t>
      </w:r>
    </w:p>
    <w:p w:rsidR="00086DA7" w:rsidRPr="00A43775" w:rsidRDefault="00086DA7">
      <w:pPr>
        <w:spacing w:line="360" w:lineRule="auto"/>
        <w:ind w:right="-787"/>
        <w:jc w:val="both"/>
        <w:rPr>
          <w:rFonts w:ascii="Palatino Linotype" w:eastAsia="Palatino Linotype" w:hAnsi="Palatino Linotype" w:cs="Palatino Linotype"/>
          <w:color w:val="000000"/>
        </w:rPr>
      </w:pPr>
    </w:p>
    <w:p w:rsidR="00086DA7" w:rsidRPr="00A43775" w:rsidRDefault="00086DA7">
      <w:pPr>
        <w:pBdr>
          <w:top w:val="nil"/>
          <w:left w:val="nil"/>
          <w:bottom w:val="nil"/>
          <w:right w:val="nil"/>
          <w:between w:val="nil"/>
        </w:pBdr>
        <w:ind w:left="567" w:right="-433"/>
        <w:jc w:val="both"/>
        <w:rPr>
          <w:rFonts w:ascii="Palatino Linotype" w:eastAsia="Palatino Linotype" w:hAnsi="Palatino Linotype" w:cs="Palatino Linotype"/>
          <w:b/>
          <w:bCs/>
          <w:i/>
          <w:iCs/>
        </w:rPr>
      </w:pPr>
    </w:p>
    <w:p w:rsidR="00086DA7" w:rsidRPr="00A43775" w:rsidRDefault="00AB7E1C">
      <w:pPr>
        <w:pBdr>
          <w:top w:val="nil"/>
          <w:left w:val="nil"/>
          <w:bottom w:val="nil"/>
          <w:right w:val="nil"/>
          <w:between w:val="nil"/>
        </w:pBdr>
        <w:ind w:left="1134" w:right="992"/>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 xml:space="preserve">DE LA DIRECCIÓN DE SERVICIOS GENERALES </w:t>
      </w:r>
    </w:p>
    <w:p w:rsidR="00086DA7" w:rsidRPr="00A43775" w:rsidRDefault="00086DA7">
      <w:pPr>
        <w:pBdr>
          <w:top w:val="nil"/>
          <w:left w:val="nil"/>
          <w:bottom w:val="nil"/>
          <w:right w:val="nil"/>
          <w:between w:val="nil"/>
        </w:pBdr>
        <w:ind w:left="1134" w:right="992"/>
        <w:jc w:val="both"/>
        <w:rPr>
          <w:rFonts w:ascii="Palatino Linotype" w:eastAsia="Palatino Linotype" w:hAnsi="Palatino Linotype" w:cs="Palatino Linotype"/>
          <w:b/>
          <w:bCs/>
          <w:i/>
          <w:iCs/>
        </w:rPr>
      </w:pPr>
    </w:p>
    <w:p w:rsidR="00086DA7" w:rsidRPr="00A43775" w:rsidRDefault="00AB7E1C">
      <w:pPr>
        <w:pBdr>
          <w:top w:val="nil"/>
          <w:left w:val="nil"/>
          <w:bottom w:val="nil"/>
          <w:right w:val="nil"/>
          <w:between w:val="nil"/>
        </w:pBdr>
        <w:ind w:left="1134" w:right="992"/>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 xml:space="preserve">Artículo 3.44. </w:t>
      </w:r>
      <w:r w:rsidRPr="00A43775">
        <w:rPr>
          <w:rFonts w:ascii="Palatino Linotype" w:eastAsia="Palatino Linotype" w:hAnsi="Palatino Linotype" w:cs="Palatino Linotype"/>
          <w:i/>
          <w:iCs/>
        </w:rPr>
        <w:t>La o el titular de la Dirección de Servicios Generales cuenta con las siguientes atribuciones:</w:t>
      </w:r>
    </w:p>
    <w:p w:rsidR="00086DA7" w:rsidRPr="00A43775" w:rsidRDefault="00AB7E1C">
      <w:pPr>
        <w:pBdr>
          <w:top w:val="nil"/>
          <w:left w:val="nil"/>
          <w:bottom w:val="nil"/>
          <w:right w:val="nil"/>
          <w:between w:val="nil"/>
        </w:pBdr>
        <w:ind w:left="1134" w:right="99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AB7E1C">
      <w:pPr>
        <w:pBdr>
          <w:top w:val="nil"/>
          <w:left w:val="nil"/>
          <w:bottom w:val="nil"/>
          <w:right w:val="nil"/>
          <w:between w:val="nil"/>
        </w:pBdr>
        <w:ind w:left="1134" w:right="992"/>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VII. Elaborar y actualizar el resguardo de bienes muebles y vehículos a cargo de los servidores públicos para el desempeño de sus funciones;</w:t>
      </w:r>
    </w:p>
    <w:p w:rsidR="00086DA7" w:rsidRPr="00A43775" w:rsidRDefault="00086DA7">
      <w:pPr>
        <w:pBdr>
          <w:top w:val="nil"/>
          <w:left w:val="nil"/>
          <w:bottom w:val="nil"/>
          <w:right w:val="nil"/>
          <w:between w:val="nil"/>
        </w:pBdr>
        <w:ind w:left="1134" w:right="992"/>
        <w:jc w:val="both"/>
        <w:rPr>
          <w:rFonts w:ascii="Palatino Linotype" w:eastAsia="Palatino Linotype" w:hAnsi="Palatino Linotype" w:cs="Palatino Linotype"/>
          <w:b/>
          <w:bCs/>
          <w:i/>
          <w:iCs/>
        </w:rPr>
      </w:pPr>
    </w:p>
    <w:p w:rsidR="00086DA7" w:rsidRPr="00A43775" w:rsidRDefault="00AB7E1C">
      <w:pPr>
        <w:pBdr>
          <w:top w:val="nil"/>
          <w:left w:val="nil"/>
          <w:bottom w:val="nil"/>
          <w:right w:val="nil"/>
          <w:between w:val="nil"/>
        </w:pBdr>
        <w:ind w:left="1134" w:right="992"/>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 xml:space="preserve">206013004 Departamento de Control Patrimonial </w:t>
      </w:r>
    </w:p>
    <w:p w:rsidR="00086DA7" w:rsidRPr="00A43775" w:rsidRDefault="00086DA7">
      <w:pPr>
        <w:pBdr>
          <w:top w:val="nil"/>
          <w:left w:val="nil"/>
          <w:bottom w:val="nil"/>
          <w:right w:val="nil"/>
          <w:between w:val="nil"/>
        </w:pBdr>
        <w:ind w:left="1134" w:right="992"/>
        <w:jc w:val="both"/>
        <w:rPr>
          <w:rFonts w:ascii="Palatino Linotype" w:eastAsia="Palatino Linotype" w:hAnsi="Palatino Linotype" w:cs="Palatino Linotype"/>
          <w:i/>
          <w:iCs/>
        </w:rPr>
      </w:pPr>
    </w:p>
    <w:p w:rsidR="00086DA7" w:rsidRPr="00A43775" w:rsidRDefault="00AB7E1C">
      <w:pPr>
        <w:pBdr>
          <w:top w:val="nil"/>
          <w:left w:val="nil"/>
          <w:bottom w:val="nil"/>
          <w:right w:val="nil"/>
          <w:between w:val="nil"/>
        </w:pBdr>
        <w:ind w:left="1134" w:right="992"/>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Objetivo</w:t>
      </w:r>
      <w:r w:rsidRPr="00A43775">
        <w:rPr>
          <w:rFonts w:ascii="Palatino Linotype" w:eastAsia="Palatino Linotype" w:hAnsi="Palatino Linotype" w:cs="Palatino Linotype"/>
          <w:i/>
          <w:iCs/>
        </w:rPr>
        <w:t xml:space="preserve">: Registrar y revisar los bienes muebles para mantener integrado y actualizado el Inventario General (bienes, activo biológico y vehículos) del Patrimonio del Ayuntamiento de Toluca por medio de los registros y controles administrativos apegados a la normatividad aplicable. </w:t>
      </w:r>
    </w:p>
    <w:p w:rsidR="00086DA7" w:rsidRPr="00A43775" w:rsidRDefault="00086DA7">
      <w:pPr>
        <w:pBdr>
          <w:top w:val="nil"/>
          <w:left w:val="nil"/>
          <w:bottom w:val="nil"/>
          <w:right w:val="nil"/>
          <w:between w:val="nil"/>
        </w:pBdr>
        <w:ind w:left="1134" w:right="992"/>
        <w:jc w:val="both"/>
        <w:rPr>
          <w:rFonts w:ascii="Palatino Linotype" w:eastAsia="Palatino Linotype" w:hAnsi="Palatino Linotype" w:cs="Palatino Linotype"/>
          <w:i/>
          <w:iCs/>
        </w:rPr>
      </w:pPr>
    </w:p>
    <w:p w:rsidR="00086DA7" w:rsidRPr="00A43775" w:rsidRDefault="00AB7E1C">
      <w:pPr>
        <w:pBdr>
          <w:top w:val="nil"/>
          <w:left w:val="nil"/>
          <w:bottom w:val="nil"/>
          <w:right w:val="nil"/>
          <w:between w:val="nil"/>
        </w:pBdr>
        <w:ind w:left="1134" w:right="992"/>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Funciones:</w:t>
      </w:r>
    </w:p>
    <w:p w:rsidR="00086DA7" w:rsidRPr="00A43775" w:rsidRDefault="00AB7E1C">
      <w:pPr>
        <w:pBdr>
          <w:top w:val="nil"/>
          <w:left w:val="nil"/>
          <w:bottom w:val="nil"/>
          <w:right w:val="nil"/>
          <w:between w:val="nil"/>
        </w:pBdr>
        <w:ind w:left="1134" w:right="992"/>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w:t>
      </w:r>
    </w:p>
    <w:p w:rsidR="00086DA7" w:rsidRPr="00A43775" w:rsidRDefault="00AB7E1C">
      <w:pPr>
        <w:pBdr>
          <w:top w:val="nil"/>
          <w:left w:val="nil"/>
          <w:bottom w:val="nil"/>
          <w:right w:val="nil"/>
          <w:between w:val="nil"/>
        </w:pBdr>
        <w:ind w:left="1134" w:right="99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7. Asistir a petición de parte a los actos oficiales de Entrega-Recepción para verificar los bienes muebles bajo resguardo de las y los servidores públicos obligados conforme a la normatividad vigente; </w:t>
      </w:r>
    </w:p>
    <w:p w:rsidR="00086DA7" w:rsidRPr="00A43775" w:rsidRDefault="00AB7E1C">
      <w:pPr>
        <w:pBdr>
          <w:top w:val="nil"/>
          <w:left w:val="nil"/>
          <w:bottom w:val="nil"/>
          <w:right w:val="nil"/>
          <w:between w:val="nil"/>
        </w:pBdr>
        <w:ind w:left="1134" w:right="99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8. Proponer lineamientos, políticas y obligaciones para el adecuado y correcto cuidado de los bienes que se encuentran bajo resguardo y custodia de las y los servidores públicos municipales;</w:t>
      </w:r>
    </w:p>
    <w:p w:rsidR="00086DA7" w:rsidRPr="00A43775" w:rsidRDefault="00AB7E1C">
      <w:pPr>
        <w:pBdr>
          <w:top w:val="nil"/>
          <w:left w:val="nil"/>
          <w:bottom w:val="nil"/>
          <w:right w:val="nil"/>
          <w:between w:val="nil"/>
        </w:pBdr>
        <w:ind w:left="567" w:right="-433"/>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086DA7">
      <w:pPr>
        <w:spacing w:line="360" w:lineRule="auto"/>
        <w:ind w:right="-787"/>
        <w:jc w:val="both"/>
        <w:rPr>
          <w:rFonts w:ascii="Palatino Linotype" w:eastAsia="Palatino Linotype" w:hAnsi="Palatino Linotype" w:cs="Palatino Linotype"/>
          <w:color w:val="000000"/>
        </w:rPr>
      </w:pPr>
    </w:p>
    <w:p w:rsidR="00086DA7" w:rsidRPr="00A43775" w:rsidRDefault="00AB7E1C">
      <w:pPr>
        <w:numPr>
          <w:ilvl w:val="0"/>
          <w:numId w:val="26"/>
        </w:numP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De la misma manera, el Manual de Procedimientos de la Dirección de Administración señala que existen diversos procedimientos relativos al resguardo bienes muebles y vehículos, como lo son:</w:t>
      </w:r>
    </w:p>
    <w:p w:rsidR="00086DA7" w:rsidRPr="00A43775" w:rsidRDefault="00086DA7">
      <w:pPr>
        <w:spacing w:line="360" w:lineRule="auto"/>
        <w:ind w:right="-787"/>
        <w:jc w:val="both"/>
        <w:rPr>
          <w:rFonts w:ascii="Palatino Linotype" w:eastAsia="Palatino Linotype" w:hAnsi="Palatino Linotype" w:cs="Palatino Linotype"/>
          <w:color w:val="000000"/>
        </w:rPr>
      </w:pPr>
    </w:p>
    <w:p w:rsidR="00086DA7" w:rsidRPr="00A43775" w:rsidRDefault="00AB7E1C">
      <w:pPr>
        <w:spacing w:line="360" w:lineRule="auto"/>
        <w:ind w:right="-787"/>
        <w:jc w:val="center"/>
        <w:rPr>
          <w:rFonts w:ascii="Palatino Linotype" w:eastAsia="Palatino Linotype" w:hAnsi="Palatino Linotype" w:cs="Palatino Linotype"/>
          <w:color w:val="000000"/>
        </w:rPr>
      </w:pPr>
      <w:r w:rsidRPr="00A43775">
        <w:rPr>
          <w:rFonts w:ascii="Palatino Linotype" w:eastAsia="Palatino Linotype" w:hAnsi="Palatino Linotype" w:cs="Palatino Linotype"/>
          <w:noProof/>
          <w:color w:val="000000"/>
          <w:lang w:val="es-MX"/>
        </w:rPr>
        <w:drawing>
          <wp:inline distT="0" distB="0" distL="0" distR="0">
            <wp:extent cx="4339487" cy="3227775"/>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339487" cy="3227775"/>
                    </a:xfrm>
                    <a:prstGeom prst="rect">
                      <a:avLst/>
                    </a:prstGeom>
                    <a:ln/>
                  </pic:spPr>
                </pic:pic>
              </a:graphicData>
            </a:graphic>
          </wp:inline>
        </w:drawing>
      </w:r>
    </w:p>
    <w:p w:rsidR="00086DA7" w:rsidRPr="00A43775" w:rsidRDefault="00AB7E1C">
      <w:pPr>
        <w:spacing w:line="360" w:lineRule="auto"/>
        <w:ind w:right="-787"/>
        <w:jc w:val="center"/>
        <w:rPr>
          <w:rFonts w:ascii="Palatino Linotype" w:eastAsia="Palatino Linotype" w:hAnsi="Palatino Linotype" w:cs="Palatino Linotype"/>
          <w:color w:val="000000"/>
        </w:rPr>
      </w:pPr>
      <w:r w:rsidRPr="00A43775">
        <w:rPr>
          <w:rFonts w:ascii="Palatino Linotype" w:eastAsia="Palatino Linotype" w:hAnsi="Palatino Linotype" w:cs="Palatino Linotype"/>
          <w:noProof/>
          <w:color w:val="000000"/>
          <w:lang w:val="es-MX"/>
        </w:rPr>
        <w:drawing>
          <wp:inline distT="0" distB="0" distL="0" distR="0">
            <wp:extent cx="4431138" cy="302329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431138" cy="3023290"/>
                    </a:xfrm>
                    <a:prstGeom prst="rect">
                      <a:avLst/>
                    </a:prstGeom>
                    <a:ln/>
                  </pic:spPr>
                </pic:pic>
              </a:graphicData>
            </a:graphic>
          </wp:inline>
        </w:drawing>
      </w:r>
    </w:p>
    <w:p w:rsidR="00086DA7" w:rsidRPr="00A43775" w:rsidRDefault="00AB7E1C">
      <w:pPr>
        <w:spacing w:line="360" w:lineRule="auto"/>
        <w:ind w:right="-787"/>
        <w:jc w:val="center"/>
        <w:rPr>
          <w:rFonts w:ascii="Palatino Linotype" w:eastAsia="Palatino Linotype" w:hAnsi="Palatino Linotype" w:cs="Palatino Linotype"/>
          <w:color w:val="000000"/>
        </w:rPr>
      </w:pPr>
      <w:r w:rsidRPr="00A43775">
        <w:rPr>
          <w:rFonts w:ascii="Palatino Linotype" w:eastAsia="Palatino Linotype" w:hAnsi="Palatino Linotype" w:cs="Palatino Linotype"/>
          <w:noProof/>
          <w:color w:val="000000"/>
          <w:lang w:val="es-MX"/>
        </w:rPr>
        <w:lastRenderedPageBreak/>
        <w:drawing>
          <wp:inline distT="0" distB="0" distL="0" distR="0">
            <wp:extent cx="4186612" cy="2933171"/>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186612" cy="2933171"/>
                    </a:xfrm>
                    <a:prstGeom prst="rect">
                      <a:avLst/>
                    </a:prstGeom>
                    <a:ln/>
                  </pic:spPr>
                </pic:pic>
              </a:graphicData>
            </a:graphic>
          </wp:inline>
        </w:drawing>
      </w:r>
    </w:p>
    <w:p w:rsidR="00086DA7" w:rsidRDefault="00AB7E1C">
      <w:pPr>
        <w:spacing w:line="360" w:lineRule="auto"/>
        <w:ind w:right="-787"/>
        <w:jc w:val="center"/>
        <w:rPr>
          <w:rFonts w:ascii="Palatino Linotype" w:eastAsia="Palatino Linotype" w:hAnsi="Palatino Linotype" w:cs="Palatino Linotype"/>
          <w:color w:val="000000"/>
        </w:rPr>
      </w:pPr>
      <w:r w:rsidRPr="00A43775">
        <w:rPr>
          <w:rFonts w:ascii="Palatino Linotype" w:eastAsia="Palatino Linotype" w:hAnsi="Palatino Linotype" w:cs="Palatino Linotype"/>
          <w:noProof/>
          <w:color w:val="000000"/>
          <w:lang w:val="es-MX"/>
        </w:rPr>
        <w:drawing>
          <wp:inline distT="0" distB="0" distL="0" distR="0">
            <wp:extent cx="4243826" cy="3541126"/>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243826" cy="3541126"/>
                    </a:xfrm>
                    <a:prstGeom prst="rect">
                      <a:avLst/>
                    </a:prstGeom>
                    <a:ln/>
                  </pic:spPr>
                </pic:pic>
              </a:graphicData>
            </a:graphic>
          </wp:inline>
        </w:drawing>
      </w:r>
    </w:p>
    <w:p w:rsidR="00A43775" w:rsidRPr="00A43775" w:rsidRDefault="00A43775">
      <w:pPr>
        <w:spacing w:line="360" w:lineRule="auto"/>
        <w:ind w:right="-787"/>
        <w:jc w:val="center"/>
        <w:rPr>
          <w:rFonts w:ascii="Palatino Linotype" w:eastAsia="Palatino Linotype" w:hAnsi="Palatino Linotype" w:cs="Palatino Linotype"/>
          <w:color w:val="000000"/>
        </w:rPr>
      </w:pPr>
    </w:p>
    <w:p w:rsidR="00086DA7" w:rsidRPr="00A43775" w:rsidRDefault="00AB7E1C">
      <w:pPr>
        <w:numPr>
          <w:ilvl w:val="0"/>
          <w:numId w:val="26"/>
        </w:numP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lastRenderedPageBreak/>
        <w:t xml:space="preserve">De lo expuesto es de referir que la </w:t>
      </w:r>
      <w:r w:rsidRPr="00A43775">
        <w:rPr>
          <w:rFonts w:ascii="Palatino Linotype" w:eastAsia="Palatino Linotype" w:hAnsi="Palatino Linotype" w:cs="Palatino Linotype"/>
          <w:b/>
          <w:bCs/>
          <w:color w:val="000000"/>
        </w:rPr>
        <w:t>Dirección de Servicios Generales</w:t>
      </w:r>
      <w:r w:rsidRPr="00A43775">
        <w:rPr>
          <w:rFonts w:ascii="Palatino Linotype" w:eastAsia="Palatino Linotype" w:hAnsi="Palatino Linotype" w:cs="Palatino Linotype"/>
          <w:color w:val="000000"/>
        </w:rPr>
        <w:t xml:space="preserve"> tiene la atribución de </w:t>
      </w:r>
      <w:r w:rsidRPr="00A43775">
        <w:rPr>
          <w:rFonts w:ascii="Palatino Linotype" w:eastAsia="Palatino Linotype" w:hAnsi="Palatino Linotype" w:cs="Palatino Linotype"/>
          <w:b/>
          <w:bCs/>
          <w:i/>
          <w:iCs/>
          <w:color w:val="000000"/>
        </w:rPr>
        <w:t>Elaborar y actualizar el resguardo de bienes muebles y vehículos a cargo de los servidores públicos para el desempeño de sus funciones;</w:t>
      </w:r>
      <w:r w:rsidRPr="00A43775">
        <w:rPr>
          <w:rFonts w:ascii="Palatino Linotype" w:eastAsia="Palatino Linotype" w:hAnsi="Palatino Linotype" w:cs="Palatino Linotype"/>
          <w:color w:val="000000"/>
        </w:rPr>
        <w:t xml:space="preserve"> el </w:t>
      </w:r>
      <w:r w:rsidRPr="00A43775">
        <w:rPr>
          <w:rFonts w:ascii="Palatino Linotype" w:eastAsia="Palatino Linotype" w:hAnsi="Palatino Linotype" w:cs="Palatino Linotype"/>
          <w:b/>
          <w:bCs/>
          <w:color w:val="000000"/>
        </w:rPr>
        <w:t>Departamento de Control Patrimonial</w:t>
      </w:r>
      <w:r w:rsidRPr="00A43775">
        <w:rPr>
          <w:rFonts w:ascii="Palatino Linotype" w:eastAsia="Palatino Linotype" w:hAnsi="Palatino Linotype" w:cs="Palatino Linotype"/>
          <w:color w:val="000000"/>
        </w:rPr>
        <w:t xml:space="preserve">, es  la unidad administrativa </w:t>
      </w:r>
      <w:r w:rsidRPr="00A43775">
        <w:rPr>
          <w:rFonts w:ascii="Palatino Linotype" w:eastAsia="Palatino Linotype" w:hAnsi="Palatino Linotype" w:cs="Palatino Linotype"/>
          <w:b/>
          <w:bCs/>
          <w:i/>
          <w:iCs/>
          <w:color w:val="000000"/>
        </w:rPr>
        <w:t>responsable del alta de vehículos</w:t>
      </w:r>
      <w:r w:rsidRPr="00A43775">
        <w:rPr>
          <w:rFonts w:ascii="Palatino Linotype" w:eastAsia="Palatino Linotype" w:hAnsi="Palatino Linotype" w:cs="Palatino Linotype"/>
          <w:color w:val="000000"/>
        </w:rPr>
        <w:t xml:space="preserve">, para lo cual se debe </w:t>
      </w:r>
      <w:r w:rsidRPr="00A43775">
        <w:rPr>
          <w:rFonts w:ascii="Palatino Linotype" w:eastAsia="Palatino Linotype" w:hAnsi="Palatino Linotype" w:cs="Palatino Linotype"/>
          <w:i/>
          <w:iCs/>
          <w:color w:val="000000"/>
        </w:rPr>
        <w:t>requisita el formado denominado resguardo</w:t>
      </w:r>
      <w:r w:rsidRPr="00A43775">
        <w:rPr>
          <w:rFonts w:ascii="Palatino Linotype" w:eastAsia="Palatino Linotype" w:hAnsi="Palatino Linotype" w:cs="Palatino Linotype"/>
          <w:color w:val="000000"/>
        </w:rPr>
        <w:t xml:space="preserve"> mismo que debe estar firmado por el servidor públicos responsable del resguardo, tal como se muestra en el diagrama de flujo del procedimiento denominado “alta de bienes muebles y vehículos oficiales”:</w:t>
      </w:r>
    </w:p>
    <w:p w:rsidR="00086DA7" w:rsidRPr="00A43775" w:rsidRDefault="00086DA7">
      <w:pPr>
        <w:spacing w:line="360" w:lineRule="auto"/>
        <w:ind w:right="-787"/>
        <w:jc w:val="both"/>
        <w:rPr>
          <w:rFonts w:ascii="Palatino Linotype" w:eastAsia="Palatino Linotype" w:hAnsi="Palatino Linotype" w:cs="Palatino Linotype"/>
          <w:color w:val="000000"/>
        </w:rPr>
      </w:pPr>
    </w:p>
    <w:p w:rsidR="00086DA7" w:rsidRPr="00A43775" w:rsidRDefault="00AB7E1C">
      <w:pPr>
        <w:spacing w:line="360" w:lineRule="auto"/>
        <w:ind w:right="-787"/>
        <w:jc w:val="center"/>
        <w:rPr>
          <w:rFonts w:ascii="Palatino Linotype" w:eastAsia="Palatino Linotype" w:hAnsi="Palatino Linotype" w:cs="Palatino Linotype"/>
          <w:color w:val="000000"/>
        </w:rPr>
      </w:pPr>
      <w:r w:rsidRPr="00A43775">
        <w:rPr>
          <w:rFonts w:ascii="Palatino Linotype" w:eastAsia="Palatino Linotype" w:hAnsi="Palatino Linotype" w:cs="Palatino Linotype"/>
          <w:noProof/>
          <w:color w:val="000000"/>
          <w:lang w:val="es-MX"/>
        </w:rPr>
        <w:drawing>
          <wp:inline distT="0" distB="0" distL="0" distR="0">
            <wp:extent cx="4572638" cy="422969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572638" cy="4229690"/>
                    </a:xfrm>
                    <a:prstGeom prst="rect">
                      <a:avLst/>
                    </a:prstGeom>
                    <a:ln/>
                  </pic:spPr>
                </pic:pic>
              </a:graphicData>
            </a:graphic>
          </wp:inline>
        </w:drawing>
      </w:r>
    </w:p>
    <w:p w:rsidR="00086DA7" w:rsidRPr="00A43775" w:rsidRDefault="00086DA7">
      <w:pPr>
        <w:spacing w:line="360" w:lineRule="auto"/>
        <w:ind w:right="-787"/>
        <w:jc w:val="center"/>
        <w:rPr>
          <w:rFonts w:ascii="Palatino Linotype" w:eastAsia="Palatino Linotype" w:hAnsi="Palatino Linotype" w:cs="Palatino Linotype"/>
          <w:color w:val="000000"/>
        </w:rPr>
      </w:pPr>
    </w:p>
    <w:p w:rsidR="00086DA7" w:rsidRPr="00A43775" w:rsidRDefault="00AB7E1C">
      <w:pPr>
        <w:numPr>
          <w:ilvl w:val="0"/>
          <w:numId w:val="26"/>
        </w:numPr>
        <w:spacing w:line="360" w:lineRule="auto"/>
        <w:ind w:left="0" w:firstLine="0"/>
        <w:jc w:val="both"/>
        <w:rPr>
          <w:rFonts w:ascii="Palatino Linotype" w:eastAsia="Palatino Linotype" w:hAnsi="Palatino Linotype" w:cs="Palatino Linotype"/>
          <w:b/>
          <w:bCs/>
          <w:color w:val="000000"/>
        </w:rPr>
      </w:pPr>
      <w:r w:rsidRPr="00A43775">
        <w:rPr>
          <w:rFonts w:ascii="Palatino Linotype" w:eastAsia="Palatino Linotype" w:hAnsi="Palatino Linotype" w:cs="Palatino Linotype"/>
          <w:color w:val="000000"/>
        </w:rPr>
        <w:lastRenderedPageBreak/>
        <w:t xml:space="preserve">Asimismo, los Lineamientos dirigidos a asegurar que el Sistema de Contabilidad Gubernamental facilite el Registro y Control de los Inventarios de los Bienes Muebles e Inmuebles de los Entes Públicos, refieren que para el alta de bienes en el inventario de bienes muebles e inmuebles, se deben generar números de inventario, rotularse y </w:t>
      </w:r>
      <w:r w:rsidRPr="00A43775">
        <w:rPr>
          <w:rFonts w:ascii="Palatino Linotype" w:eastAsia="Palatino Linotype" w:hAnsi="Palatino Linotype" w:cs="Palatino Linotype"/>
          <w:b/>
          <w:bCs/>
          <w:color w:val="000000"/>
        </w:rPr>
        <w:t>elaborar el resguardo</w:t>
      </w:r>
      <w:r w:rsidRPr="00A43775">
        <w:rPr>
          <w:rFonts w:ascii="Palatino Linotype" w:eastAsia="Palatino Linotype" w:hAnsi="Palatino Linotype" w:cs="Palatino Linotype"/>
          <w:color w:val="000000"/>
        </w:rPr>
        <w:t xml:space="preserve"> y que </w:t>
      </w:r>
      <w:r w:rsidRPr="00A43775">
        <w:rPr>
          <w:rFonts w:ascii="Palatino Linotype" w:eastAsia="Palatino Linotype" w:hAnsi="Palatino Linotype" w:cs="Palatino Linotype"/>
          <w:color w:val="000000"/>
          <w:u w:val="single"/>
        </w:rPr>
        <w:t>deberá asignarse destino al bien, identificando al responsable de su custodia, quien tendrá el cargo patrimonial por su tenencia</w:t>
      </w:r>
      <w:r w:rsidRPr="00A43775">
        <w:rPr>
          <w:rFonts w:ascii="Palatino Linotype" w:eastAsia="Palatino Linotype" w:hAnsi="Palatino Linotype" w:cs="Palatino Linotype"/>
          <w:color w:val="000000"/>
        </w:rPr>
        <w:t>.</w:t>
      </w:r>
    </w:p>
    <w:p w:rsidR="00086DA7" w:rsidRPr="00A43775" w:rsidRDefault="00086DA7">
      <w:pPr>
        <w:spacing w:line="360" w:lineRule="auto"/>
        <w:jc w:val="both"/>
        <w:rPr>
          <w:rFonts w:ascii="Palatino Linotype" w:eastAsia="Palatino Linotype" w:hAnsi="Palatino Linotype" w:cs="Palatino Linotype"/>
          <w:b/>
          <w:bCs/>
          <w:color w:val="000000"/>
        </w:rPr>
      </w:pPr>
    </w:p>
    <w:p w:rsidR="00086DA7" w:rsidRPr="00A43775" w:rsidRDefault="00AB7E1C">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Ahora bien, al respecto, es de señalar la siguiente normatividad:</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ind w:left="851" w:right="899"/>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“LEY ORGÁNICA MUNICIPAL DEL ESTADO DE MÉXICO</w:t>
      </w:r>
    </w:p>
    <w:p w:rsidR="00086DA7" w:rsidRPr="00A43775" w:rsidRDefault="00AB7E1C">
      <w:pPr>
        <w:ind w:left="851" w:right="899"/>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Artículo 91.-</w:t>
      </w:r>
      <w:r w:rsidRPr="00A43775">
        <w:rPr>
          <w:rFonts w:ascii="Palatino Linotype" w:eastAsia="Palatino Linotype" w:hAnsi="Palatino Linotype" w:cs="Palatino Linotype"/>
          <w:i/>
          <w:iCs/>
        </w:rPr>
        <w:t xml:space="preserve"> La Secretaría del Ayuntamiento estará a cargo de un Secretario, el que, sin ser miembro del mismo, deberá ser nombrado por el propio Ayuntamiento a propuesta del Presidente Municipal como lo marca el artículo 31 de la presente ley. </w:t>
      </w:r>
    </w:p>
    <w:p w:rsidR="00086DA7" w:rsidRPr="00A43775" w:rsidRDefault="00AB7E1C">
      <w:pPr>
        <w:ind w:left="851" w:right="899"/>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Sus faltas temporales serán cubiertas por quien designe el Ayuntamiento y sus atribuciones son las siguientes:</w:t>
      </w:r>
    </w:p>
    <w:p w:rsidR="00086DA7" w:rsidRPr="00A43775" w:rsidRDefault="00AB7E1C">
      <w:pPr>
        <w:ind w:left="851" w:right="899"/>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AB7E1C">
      <w:pPr>
        <w:ind w:left="851" w:right="899"/>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numPr>
          <w:ilvl w:val="0"/>
          <w:numId w:val="22"/>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Con relación a lo anterior, la Secretaría del Ayuntamiento elabora con la intervención del síndico el inventario general de bienes muebles, siendo el documento en el que podría colmar de manera enunciativa más no limitativa es el Inventario de Bienes Muebles, como se observa a continuación:</w:t>
      </w:r>
    </w:p>
    <w:p w:rsidR="00086DA7" w:rsidRPr="00A43775" w:rsidRDefault="00AB7E1C">
      <w:pPr>
        <w:ind w:right="899"/>
        <w:jc w:val="center"/>
        <w:rPr>
          <w:rFonts w:ascii="Palatino Linotype" w:eastAsia="Palatino Linotype" w:hAnsi="Palatino Linotype" w:cs="Palatino Linotype"/>
          <w:i/>
          <w:iCs/>
        </w:rPr>
      </w:pPr>
      <w:r w:rsidRPr="00A43775">
        <w:rPr>
          <w:rFonts w:ascii="Palatino Linotype" w:eastAsia="Palatino Linotype" w:hAnsi="Palatino Linotype" w:cs="Palatino Linotype"/>
          <w:i/>
          <w:iCs/>
          <w:noProof/>
          <w:lang w:val="es-MX"/>
        </w:rPr>
        <w:lastRenderedPageBreak/>
        <w:drawing>
          <wp:inline distT="0" distB="0" distL="0" distR="0">
            <wp:extent cx="5463372" cy="4204958"/>
            <wp:effectExtent l="0" t="0" r="0" b="0"/>
            <wp:docPr id="19" name="image1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4.png" descr="Tabla&#10;&#10;El contenido generado por IA puede ser incorrecto."/>
                    <pic:cNvPicPr preferRelativeResize="0"/>
                  </pic:nvPicPr>
                  <pic:blipFill>
                    <a:blip r:embed="rId18"/>
                    <a:srcRect/>
                    <a:stretch>
                      <a:fillRect/>
                    </a:stretch>
                  </pic:blipFill>
                  <pic:spPr>
                    <a:xfrm>
                      <a:off x="0" y="0"/>
                      <a:ext cx="5463372" cy="4204958"/>
                    </a:xfrm>
                    <a:prstGeom prst="rect">
                      <a:avLst/>
                    </a:prstGeom>
                    <a:ln/>
                  </pic:spPr>
                </pic:pic>
              </a:graphicData>
            </a:graphic>
          </wp:inline>
        </w:drawing>
      </w:r>
    </w:p>
    <w:p w:rsidR="00086DA7" w:rsidRPr="00A43775" w:rsidRDefault="00AB7E1C">
      <w:pPr>
        <w:ind w:right="899"/>
        <w:jc w:val="both"/>
        <w:rPr>
          <w:rFonts w:ascii="Palatino Linotype" w:eastAsia="Palatino Linotype" w:hAnsi="Palatino Linotype" w:cs="Palatino Linotype"/>
          <w:i/>
          <w:iCs/>
        </w:rPr>
      </w:pPr>
      <w:r w:rsidRPr="00A43775">
        <w:rPr>
          <w:rFonts w:ascii="Palatino Linotype" w:eastAsia="Palatino Linotype" w:hAnsi="Palatino Linotype" w:cs="Palatino Linotype"/>
          <w:i/>
          <w:iCs/>
          <w:noProof/>
          <w:lang w:val="es-MX"/>
        </w:rPr>
        <w:lastRenderedPageBreak/>
        <w:drawing>
          <wp:inline distT="0" distB="0" distL="0" distR="0">
            <wp:extent cx="5756275" cy="5756275"/>
            <wp:effectExtent l="0" t="0" r="0" b="0"/>
            <wp:docPr id="17" name="image9.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Texto&#10;&#10;El contenido generado por IA puede ser incorrecto."/>
                    <pic:cNvPicPr preferRelativeResize="0"/>
                  </pic:nvPicPr>
                  <pic:blipFill>
                    <a:blip r:embed="rId19"/>
                    <a:srcRect/>
                    <a:stretch>
                      <a:fillRect/>
                    </a:stretch>
                  </pic:blipFill>
                  <pic:spPr>
                    <a:xfrm>
                      <a:off x="0" y="0"/>
                      <a:ext cx="5756275" cy="5756275"/>
                    </a:xfrm>
                    <a:prstGeom prst="rect">
                      <a:avLst/>
                    </a:prstGeom>
                    <a:ln/>
                  </pic:spPr>
                </pic:pic>
              </a:graphicData>
            </a:graphic>
          </wp:inline>
        </w:drawing>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numPr>
          <w:ilvl w:val="0"/>
          <w:numId w:val="2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Al respecto, el inventario de bienes muebles cuenta con la marca, modelo, placas, nombre del resguardatario y el área responsable, motivo por el que se ordena el documento en el que conste del vehículo con placas ME-043-A-5 el área responsable; al dieciocho de noviembre de dos mil veinticinco.</w:t>
      </w:r>
    </w:p>
    <w:p w:rsidR="00086DA7" w:rsidRPr="00A43775" w:rsidRDefault="00AB7E1C">
      <w:pPr>
        <w:numPr>
          <w:ilvl w:val="0"/>
          <w:numId w:val="22"/>
        </w:numPr>
        <w:spacing w:line="360" w:lineRule="auto"/>
        <w:ind w:left="0" w:right="-787"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lastRenderedPageBreak/>
        <w:t xml:space="preserve">En </w:t>
      </w:r>
      <w:r w:rsidRPr="00A43775">
        <w:rPr>
          <w:rFonts w:ascii="Palatino Linotype" w:eastAsia="Palatino Linotype" w:hAnsi="Palatino Linotype" w:cs="Palatino Linotype"/>
        </w:rPr>
        <w:t>consecuencia</w:t>
      </w:r>
      <w:r w:rsidRPr="00A43775">
        <w:rPr>
          <w:rFonts w:ascii="Palatino Linotype" w:eastAsia="Palatino Linotype" w:hAnsi="Palatino Linotype" w:cs="Palatino Linotype"/>
          <w:color w:val="000000"/>
        </w:rPr>
        <w:t xml:space="preserve">,  se debe de establecer que el </w:t>
      </w:r>
      <w:r w:rsidRPr="00A43775">
        <w:rPr>
          <w:rFonts w:ascii="Palatino Linotype" w:eastAsia="Palatino Linotype" w:hAnsi="Palatino Linotype" w:cs="Palatino Linotype"/>
          <w:b/>
          <w:bCs/>
          <w:color w:val="000000"/>
        </w:rPr>
        <w:t xml:space="preserve">SUJETO OBLIGADO </w:t>
      </w:r>
      <w:r w:rsidRPr="00A43775">
        <w:rPr>
          <w:rFonts w:ascii="Palatino Linotype" w:eastAsia="Palatino Linotype" w:hAnsi="Palatino Linotype" w:cs="Palatino Linotype"/>
          <w:color w:val="000000"/>
        </w:rPr>
        <w:t>no colmó el derecho de acceso a la información ya que como se aprecia de las respuestas enviadas no se pronunció  el Síndico ni el Secretario del Ayuntamiento quienes como se aprecia de la legislación en cita pudieran poseer, administrar o generar la información requerida por el hoy recurrente, situación por la cual se hace el siguiente análisis.</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numPr>
          <w:ilvl w:val="0"/>
          <w:numId w:val="22"/>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Sobre dicha circunstancia, resulta necesario traer a estudio el Criterio Orientador, con clave de control SO/014/2017, emitido por el entonces Instituto Nacional de Transparencia, Acceso a la Información Pública y Protección de Datos Personales en el Estado de México y Municipios, el cual se encontraba vigente a la fecha de la solicitud y establece que la inexistencia de la información, es una cuestión de hecho que se le atribuye a la misma, cuando ésta no se encuentra en los archivos del sujeto obligado.</w:t>
      </w:r>
    </w:p>
    <w:p w:rsidR="00086DA7" w:rsidRPr="00A43775" w:rsidRDefault="00AB7E1C">
      <w:pPr>
        <w:spacing w:line="360" w:lineRule="auto"/>
        <w:ind w:right="-709"/>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 </w:t>
      </w:r>
    </w:p>
    <w:p w:rsidR="00086DA7" w:rsidRPr="00A43775" w:rsidRDefault="00AB7E1C">
      <w:pPr>
        <w:numPr>
          <w:ilvl w:val="0"/>
          <w:numId w:val="22"/>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rsidR="00086DA7" w:rsidRPr="00A43775" w:rsidRDefault="00AB7E1C">
      <w:pPr>
        <w:spacing w:line="360" w:lineRule="auto"/>
        <w:ind w:right="-709"/>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 </w:t>
      </w:r>
    </w:p>
    <w:p w:rsidR="00086DA7" w:rsidRPr="00A43775" w:rsidRDefault="00AB7E1C">
      <w:pPr>
        <w:numPr>
          <w:ilvl w:val="0"/>
          <w:numId w:val="22"/>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Conforme a lo anterior, la inexistencia presupone la competencia del sujeto obligado para conocer de la información, pero por alguna circunstancia, la documentación solicitada no obra en sus archivos; sin embargo, para poder acreditar dicha circunstancia, se considera que los Sujetos Obligados, primero deben realizar una indagación en todos los archivos de las áreas con funciones para conocer de lo peticionado; en ese sentido, según Jarquín, Soledad (2019), en el “Diccionario de Transparencia y Acceso a la Información Pública” (p. 68), la búsqueda </w:t>
      </w:r>
      <w:r w:rsidRPr="00A43775">
        <w:rPr>
          <w:rFonts w:ascii="Palatino Linotype" w:eastAsia="Palatino Linotype" w:hAnsi="Palatino Linotype" w:cs="Palatino Linotype"/>
          <w:color w:val="000000"/>
        </w:rPr>
        <w:lastRenderedPageBreak/>
        <w:t>exhaustiva es la obligación del área administrativa del Sujeto Obligado que cuenta o puede contar con la información requerida, la cual consiste en localizar toda aquella que atienda la solicitud, hasta agotar por completo las posibilidades de indagación; además, según Calero, Natalia (2016), en la “Ley General de Transparencia y Acceso a la Información Pública Comentada” (p. 408), para que exista una búsqueda exhaustiva y razonable, se debe hacer una indagación consiente y minuciosa en sus archivos físicos y electrónicos.</w:t>
      </w:r>
    </w:p>
    <w:p w:rsidR="00086DA7" w:rsidRPr="00A43775" w:rsidRDefault="00AB7E1C">
      <w:pPr>
        <w:spacing w:line="360" w:lineRule="auto"/>
        <w:ind w:right="-709"/>
        <w:jc w:val="both"/>
        <w:rPr>
          <w:rFonts w:ascii="Palatino Linotype" w:eastAsia="Palatino Linotype" w:hAnsi="Palatino Linotype" w:cs="Palatino Linotype"/>
          <w:color w:val="7030A0"/>
        </w:rPr>
      </w:pPr>
      <w:r w:rsidRPr="00A43775">
        <w:rPr>
          <w:rFonts w:ascii="Palatino Linotype" w:eastAsia="Palatino Linotype" w:hAnsi="Palatino Linotype" w:cs="Palatino Linotype"/>
          <w:color w:val="7030A0"/>
        </w:rPr>
        <w:t xml:space="preserve"> </w:t>
      </w:r>
    </w:p>
    <w:p w:rsidR="00086DA7" w:rsidRPr="00A43775" w:rsidRDefault="00AB7E1C">
      <w:pPr>
        <w:numPr>
          <w:ilvl w:val="0"/>
          <w:numId w:val="22"/>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 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086DA7" w:rsidRPr="00A43775" w:rsidRDefault="00AB7E1C">
      <w:pPr>
        <w:spacing w:line="360" w:lineRule="auto"/>
        <w:ind w:right="-709"/>
        <w:jc w:val="both"/>
        <w:rPr>
          <w:rFonts w:ascii="Palatino Linotype" w:eastAsia="Palatino Linotype" w:hAnsi="Palatino Linotype" w:cs="Palatino Linotype"/>
          <w:color w:val="7030A0"/>
        </w:rPr>
      </w:pPr>
      <w:r w:rsidRPr="00A43775">
        <w:rPr>
          <w:rFonts w:ascii="Palatino Linotype" w:eastAsia="Palatino Linotype" w:hAnsi="Palatino Linotype" w:cs="Palatino Linotype"/>
          <w:color w:val="7030A0"/>
        </w:rPr>
        <w:t xml:space="preserve"> </w:t>
      </w:r>
    </w:p>
    <w:p w:rsidR="00086DA7" w:rsidRPr="00A43775" w:rsidRDefault="00AB7E1C">
      <w:pPr>
        <w:spacing w:line="360" w:lineRule="auto"/>
        <w:ind w:left="1134" w:right="709" w:hanging="283"/>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color w:val="7030A0"/>
        </w:rPr>
        <w:t xml:space="preserve">• </w:t>
      </w:r>
      <w:r w:rsidRPr="00A43775">
        <w:rPr>
          <w:rFonts w:ascii="Palatino Linotype" w:eastAsia="Palatino Linotype" w:hAnsi="Palatino Linotype" w:cs="Palatino Linotype"/>
          <w:i/>
          <w:iCs/>
          <w:color w:val="000000"/>
        </w:rPr>
        <w:t xml:space="preserve">Motivación por las que se buscó la información, en determinadas unidades administrativas; </w:t>
      </w:r>
    </w:p>
    <w:p w:rsidR="00086DA7" w:rsidRPr="00A43775" w:rsidRDefault="00AB7E1C">
      <w:pPr>
        <w:spacing w:line="360" w:lineRule="auto"/>
        <w:ind w:left="1134" w:right="709" w:hanging="283"/>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  Los criterios de búsqueda utilizados, y </w:t>
      </w:r>
    </w:p>
    <w:p w:rsidR="00086DA7" w:rsidRPr="00A43775" w:rsidRDefault="00AB7E1C">
      <w:pPr>
        <w:spacing w:line="360" w:lineRule="auto"/>
        <w:ind w:left="1134" w:right="709" w:hanging="283"/>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Las circunstancias que fueron tomadas en cuenta</w:t>
      </w:r>
    </w:p>
    <w:p w:rsidR="00086DA7" w:rsidRPr="00A43775" w:rsidRDefault="00AB7E1C">
      <w:pPr>
        <w:spacing w:line="360" w:lineRule="auto"/>
        <w:ind w:right="-709"/>
        <w:jc w:val="both"/>
        <w:rPr>
          <w:rFonts w:ascii="Palatino Linotype" w:eastAsia="Palatino Linotype" w:hAnsi="Palatino Linotype" w:cs="Palatino Linotype"/>
          <w:color w:val="7030A0"/>
        </w:rPr>
      </w:pPr>
      <w:r w:rsidRPr="00A43775">
        <w:rPr>
          <w:rFonts w:ascii="Palatino Linotype" w:eastAsia="Palatino Linotype" w:hAnsi="Palatino Linotype" w:cs="Palatino Linotype"/>
          <w:color w:val="7030A0"/>
        </w:rPr>
        <w:t xml:space="preserve"> </w:t>
      </w:r>
    </w:p>
    <w:p w:rsidR="00086DA7" w:rsidRPr="00A43775" w:rsidRDefault="00AB7E1C">
      <w:pPr>
        <w:numPr>
          <w:ilvl w:val="0"/>
          <w:numId w:val="22"/>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De tales circunstancias, se considera que para que los Sujetos Obligado justifiquen que realizaron una búsqueda exhaustiva y razonable, deben indicar de manera clara, lo siguiente:</w:t>
      </w:r>
    </w:p>
    <w:p w:rsidR="00086DA7" w:rsidRPr="00A43775" w:rsidRDefault="00AB7E1C" w:rsidP="00A43775">
      <w:pPr>
        <w:spacing w:line="360" w:lineRule="auto"/>
        <w:ind w:right="-709"/>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color w:val="000000"/>
        </w:rPr>
        <w:lastRenderedPageBreak/>
        <w:t xml:space="preserve"> </w:t>
      </w:r>
      <w:r w:rsidR="00A43775">
        <w:rPr>
          <w:rFonts w:ascii="Palatino Linotype" w:eastAsia="Palatino Linotype" w:hAnsi="Palatino Linotype" w:cs="Palatino Linotype"/>
          <w:color w:val="000000"/>
        </w:rPr>
        <w:tab/>
        <w:t xml:space="preserve">       </w:t>
      </w:r>
      <w:r w:rsidRPr="00A43775">
        <w:rPr>
          <w:rFonts w:ascii="Palatino Linotype" w:eastAsia="Palatino Linotype" w:hAnsi="Palatino Linotype" w:cs="Palatino Linotype"/>
          <w:i/>
          <w:iCs/>
          <w:color w:val="000000"/>
        </w:rPr>
        <w:t>a)  Las áreas donde se buscó la información;</w:t>
      </w:r>
    </w:p>
    <w:p w:rsidR="00086DA7" w:rsidRPr="00A43775" w:rsidRDefault="00AB7E1C">
      <w:pPr>
        <w:spacing w:line="360" w:lineRule="auto"/>
        <w:ind w:left="1134" w:right="-709"/>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b)  Tipo de archivos buscados (físicos o electrónicos); </w:t>
      </w:r>
    </w:p>
    <w:p w:rsidR="00086DA7" w:rsidRPr="00A43775" w:rsidRDefault="00AB7E1C">
      <w:pPr>
        <w:spacing w:line="360" w:lineRule="auto"/>
        <w:ind w:left="1134" w:right="-709"/>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c)  Los criterios de búsqueda utilizados, y </w:t>
      </w:r>
    </w:p>
    <w:p w:rsidR="00086DA7" w:rsidRPr="00A43775" w:rsidRDefault="00AB7E1C">
      <w:pPr>
        <w:spacing w:line="360" w:lineRule="auto"/>
        <w:ind w:left="1134" w:right="-709"/>
        <w:jc w:val="both"/>
        <w:rPr>
          <w:rFonts w:ascii="Palatino Linotype" w:eastAsia="Palatino Linotype" w:hAnsi="Palatino Linotype" w:cs="Palatino Linotype"/>
          <w:i/>
          <w:iCs/>
          <w:color w:val="7030A0"/>
        </w:rPr>
      </w:pPr>
      <w:r w:rsidRPr="00A43775">
        <w:rPr>
          <w:rFonts w:ascii="Palatino Linotype" w:eastAsia="Palatino Linotype" w:hAnsi="Palatino Linotype" w:cs="Palatino Linotype"/>
          <w:i/>
          <w:iCs/>
          <w:color w:val="000000"/>
        </w:rPr>
        <w:t>d)  Las circunstancias que fueron tomadas en cuenta</w:t>
      </w:r>
      <w:r w:rsidRPr="00A43775">
        <w:rPr>
          <w:rFonts w:ascii="Palatino Linotype" w:eastAsia="Palatino Linotype" w:hAnsi="Palatino Linotype" w:cs="Palatino Linotype"/>
          <w:i/>
          <w:iCs/>
          <w:color w:val="7030A0"/>
        </w:rPr>
        <w:t>.</w:t>
      </w:r>
    </w:p>
    <w:p w:rsidR="00086DA7" w:rsidRPr="00A43775" w:rsidRDefault="00AB7E1C">
      <w:pPr>
        <w:spacing w:line="360" w:lineRule="auto"/>
        <w:ind w:right="-709"/>
        <w:jc w:val="both"/>
        <w:rPr>
          <w:rFonts w:ascii="Palatino Linotype" w:eastAsia="Palatino Linotype" w:hAnsi="Palatino Linotype" w:cs="Palatino Linotype"/>
          <w:color w:val="7030A0"/>
        </w:rPr>
      </w:pPr>
      <w:r w:rsidRPr="00A43775">
        <w:rPr>
          <w:rFonts w:ascii="Palatino Linotype" w:eastAsia="Palatino Linotype" w:hAnsi="Palatino Linotype" w:cs="Palatino Linotype"/>
          <w:color w:val="7030A0"/>
        </w:rPr>
        <w:t xml:space="preserve"> </w:t>
      </w:r>
    </w:p>
    <w:p w:rsidR="00086DA7" w:rsidRPr="00A43775" w:rsidRDefault="00AB7E1C">
      <w:pPr>
        <w:numPr>
          <w:ilvl w:val="0"/>
          <w:numId w:val="22"/>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Ahora bien, de las constancias que obran en el expediente se advierte que el Sujeto Obligado inobservó lo señalado en los incisos b), c) y d) toda vez que, no demostró en que archivos buscó, y tampoco se logran vislumbrar los criterios y circunstancias tomadas en cuenta, ni los criterios de búsqueda utilizados, para localizar la información.</w:t>
      </w:r>
    </w:p>
    <w:p w:rsidR="00086DA7" w:rsidRPr="00A43775" w:rsidRDefault="00086DA7">
      <w:pPr>
        <w:spacing w:line="360" w:lineRule="auto"/>
        <w:ind w:right="-709"/>
        <w:jc w:val="both"/>
        <w:rPr>
          <w:rFonts w:ascii="Palatino Linotype" w:eastAsia="Palatino Linotype" w:hAnsi="Palatino Linotype" w:cs="Palatino Linotype"/>
          <w:color w:val="7030A0"/>
        </w:rPr>
      </w:pPr>
    </w:p>
    <w:p w:rsidR="00086DA7" w:rsidRPr="00A43775" w:rsidRDefault="00AB7E1C">
      <w:pPr>
        <w:numPr>
          <w:ilvl w:val="0"/>
          <w:numId w:val="22"/>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De tal suerte, se advierte que el Ente Recurrido realizó una interpretación restrictiva de la solicitud de información, pues estaba en posibilidades de proporcionar la información requerida y atender el requerimiento, lo cual da como resultado que el agravio sea FUNDADO.</w:t>
      </w:r>
    </w:p>
    <w:p w:rsidR="00086DA7" w:rsidRPr="00A43775" w:rsidRDefault="00086DA7">
      <w:pPr>
        <w:spacing w:line="360" w:lineRule="auto"/>
        <w:ind w:right="-709"/>
        <w:jc w:val="both"/>
        <w:rPr>
          <w:rFonts w:ascii="Palatino Linotype" w:eastAsia="Palatino Linotype" w:hAnsi="Palatino Linotype" w:cs="Palatino Linotype"/>
          <w:color w:val="000000"/>
        </w:rPr>
      </w:pPr>
    </w:p>
    <w:p w:rsidR="00086DA7" w:rsidRPr="00A43775" w:rsidRDefault="00AB7E1C">
      <w:pPr>
        <w:numPr>
          <w:ilvl w:val="0"/>
          <w:numId w:val="22"/>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Conforme a lo anterior, se considera que el Sujeto Obligado deberá realizar una búsqueda exhaustiva y razonable en todas las unidades administrativas competentes entre las que no podrá omitir enunciativamente a la Secretaría del Ayuntamiento  a efecto de que proporcione los documentos, den cuenta las peticiones realizadas por la ciudadanía. </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numPr>
          <w:ilvl w:val="0"/>
          <w:numId w:val="27"/>
        </w:numPr>
        <w:spacing w:after="240"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Así mismo el multicitado Manual en lo relativo a la dotación de combustible para los vehículos oficiales que mediante comunicación Institucional realizan las diversas áreas del Sujeto Obligado a la Dirección General de Administración para posteriormente controlar y validar el suministro; consecutivamente revisar y cotejar los tickets de combustible de las cargas realizadas contra los consumos enviados por la </w:t>
      </w:r>
      <w:r w:rsidRPr="00A43775">
        <w:rPr>
          <w:rFonts w:ascii="Palatino Linotype" w:eastAsia="Palatino Linotype" w:hAnsi="Palatino Linotype" w:cs="Palatino Linotype"/>
          <w:color w:val="000000"/>
        </w:rPr>
        <w:lastRenderedPageBreak/>
        <w:t>estación de servicio , conjuntando y organizando las cargas realizadas, para la elaboración de las bitácoras de comprobación de combustible.</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numPr>
          <w:ilvl w:val="0"/>
          <w:numId w:val="27"/>
        </w:numP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Ahora bien para el efecto de gastos específicos como lo es la asignación individual de combustibles y su aprobación por medio de Cabildo es de referir que si bien el ayuntamiento tiene la atribución de aprobar el presupuesto de egresos mediante sesión de cabildo, cuya acta es levantada y resguardada por la Secretaría del Ayuntamiento, dicho presupuesto no contempla un formato en el que se desglose de manera específica el gasto destinado, sino que en los formatos del presupuesto únicamente se identifican las partidas presupuestales de conformidad con el Clasificador por Objeto del Gasto,  así como el programa presupuestario por Dependencia de conformidad con el Clasificación Funcional-Programática Municipal, ambos establecidos en el Manual para la Planeación, Programación y Presupuesto de Egresos Municipal; por lo que del marco normativo analizado no se localizó disposición alguna que constriña al Sujeto Obligado a aprobar, por medio de Cabildo gastos por conceptos específicos como el referido por la persona solicitante.</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Ahora bien, relativo al punto referente al interés del particular de conocer los contratos de adquisición de combustibles y haber entregado el Sujeto Obligado, como se h referido con anterioridad, una liga en formato cerrado admitiendo tácitamente poseer, administrar o generar la información en cuestión, debe decirse que lo relativo a la información solicitada, se encuentra considerada como una de las obligaciones de transparencia común  que los Sujetos Obligados tienen el deber de poner a disposición del público de manera permanente y actualizada de forma sencilla, precisa y entendible, </w:t>
      </w:r>
      <w:r w:rsidRPr="00A43775">
        <w:rPr>
          <w:rFonts w:ascii="Palatino Linotype" w:eastAsia="Palatino Linotype" w:hAnsi="Palatino Linotype" w:cs="Palatino Linotype"/>
          <w:color w:val="000000"/>
        </w:rPr>
        <w:lastRenderedPageBreak/>
        <w:t>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086DA7" w:rsidRPr="00A43775" w:rsidRDefault="00086DA7">
      <w:pPr>
        <w:jc w:val="both"/>
        <w:rPr>
          <w:rFonts w:ascii="Palatino Linotype" w:eastAsia="Palatino Linotype" w:hAnsi="Palatino Linotype" w:cs="Palatino Linotype"/>
        </w:rPr>
      </w:pPr>
    </w:p>
    <w:p w:rsidR="00086DA7" w:rsidRPr="00A43775" w:rsidRDefault="00AB7E1C">
      <w:pPr>
        <w:tabs>
          <w:tab w:val="left" w:pos="8080"/>
        </w:tabs>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“Artículo 92. </w:t>
      </w:r>
      <w:r w:rsidRPr="00A43775">
        <w:rPr>
          <w:rFonts w:ascii="Palatino Linotype" w:eastAsia="Palatino Linotype" w:hAnsi="Palatino Linotype" w:cs="Palatino Linotype"/>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86DA7" w:rsidRPr="00A43775" w:rsidRDefault="00AB7E1C">
      <w:pPr>
        <w:tabs>
          <w:tab w:val="left" w:pos="8080"/>
        </w:tabs>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i/>
          <w:iCs/>
        </w:rPr>
        <w:t>(…)</w:t>
      </w:r>
    </w:p>
    <w:p w:rsidR="00086DA7" w:rsidRPr="00A43775" w:rsidRDefault="00086DA7">
      <w:pPr>
        <w:spacing w:line="360" w:lineRule="auto"/>
        <w:ind w:left="851" w:right="822"/>
        <w:jc w:val="both"/>
        <w:rPr>
          <w:rFonts w:ascii="Palatino Linotype" w:eastAsia="Palatino Linotype" w:hAnsi="Palatino Linotype" w:cs="Palatino Linotype"/>
          <w:b/>
          <w:bCs/>
          <w:i/>
          <w:iCs/>
        </w:rPr>
      </w:pP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XXIX. </w:t>
      </w:r>
      <w:r w:rsidRPr="00A43775">
        <w:rPr>
          <w:rFonts w:ascii="Palatino Linotype" w:eastAsia="Palatino Linotype" w:hAnsi="Palatino Linotype" w:cs="Palatino Linotype"/>
          <w:i/>
          <w:iCs/>
        </w:rPr>
        <w:t>La información sobre los procesos y resultados sobre procedimientos de adjudicación directa, invitación restringida y licitación de cualquier naturaleza, incluyendo la versión pública del expediente respectivo</w:t>
      </w:r>
      <w:r w:rsidRPr="00A43775">
        <w:rPr>
          <w:rFonts w:ascii="Palatino Linotype" w:eastAsia="Palatino Linotype" w:hAnsi="Palatino Linotype" w:cs="Palatino Linotype"/>
          <w:b/>
          <w:bCs/>
          <w:i/>
          <w:iCs/>
        </w:rPr>
        <w:t xml:space="preserve"> y de los contratos celebrados</w:t>
      </w:r>
      <w:r w:rsidRPr="00A43775">
        <w:rPr>
          <w:rFonts w:ascii="Palatino Linotype" w:eastAsia="Palatino Linotype" w:hAnsi="Palatino Linotype" w:cs="Palatino Linotype"/>
          <w:i/>
          <w:iCs/>
        </w:rPr>
        <w:t>, que deberán contener, por los menos, lo siguiente:</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a) </w:t>
      </w:r>
      <w:r w:rsidRPr="00A43775">
        <w:rPr>
          <w:rFonts w:ascii="Palatino Linotype" w:eastAsia="Palatino Linotype" w:hAnsi="Palatino Linotype" w:cs="Palatino Linotype"/>
          <w:i/>
          <w:iCs/>
        </w:rPr>
        <w:t>De licitaciones públicas o procedimientos de invitación restringida:</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1)</w:t>
      </w:r>
      <w:r w:rsidRPr="00A43775">
        <w:rPr>
          <w:rFonts w:ascii="Palatino Linotype" w:eastAsia="Palatino Linotype" w:hAnsi="Palatino Linotype" w:cs="Palatino Linotype"/>
          <w:i/>
          <w:iCs/>
        </w:rPr>
        <w:t> La convocatoria o invitación emitida, así como los fundamentos legales aplicados para llevarla a cabo;</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2) </w:t>
      </w:r>
      <w:r w:rsidRPr="00A43775">
        <w:rPr>
          <w:rFonts w:ascii="Palatino Linotype" w:eastAsia="Palatino Linotype" w:hAnsi="Palatino Linotype" w:cs="Palatino Linotype"/>
          <w:i/>
          <w:iCs/>
        </w:rPr>
        <w:t>Los nombres de los participantes o invitados;</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3)</w:t>
      </w:r>
      <w:r w:rsidRPr="00A43775">
        <w:rPr>
          <w:rFonts w:ascii="Palatino Linotype" w:eastAsia="Palatino Linotype" w:hAnsi="Palatino Linotype" w:cs="Palatino Linotype"/>
          <w:i/>
          <w:iCs/>
        </w:rPr>
        <w:t> El nombre del ganador y las razones que lo justifican;</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4) </w:t>
      </w:r>
      <w:r w:rsidRPr="00A43775">
        <w:rPr>
          <w:rFonts w:ascii="Palatino Linotype" w:eastAsia="Palatino Linotype" w:hAnsi="Palatino Linotype" w:cs="Palatino Linotype"/>
          <w:i/>
          <w:iCs/>
        </w:rPr>
        <w:t>El área solicitante y la responsable de su ejecución;</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5) </w:t>
      </w:r>
      <w:r w:rsidRPr="00A43775">
        <w:rPr>
          <w:rFonts w:ascii="Palatino Linotype" w:eastAsia="Palatino Linotype" w:hAnsi="Palatino Linotype" w:cs="Palatino Linotype"/>
          <w:i/>
          <w:iCs/>
        </w:rPr>
        <w:t>Las convocatorias e invitaciones emitidas;</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6) Los dictámenes y fallo de adjudicación;</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7</w:t>
      </w:r>
      <w:r w:rsidRPr="00A43775">
        <w:rPr>
          <w:rFonts w:ascii="Palatino Linotype" w:eastAsia="Palatino Linotype" w:hAnsi="Palatino Linotype" w:cs="Palatino Linotype"/>
          <w:b/>
          <w:bCs/>
          <w:i/>
          <w:iCs/>
        </w:rPr>
        <w:t>) </w:t>
      </w:r>
      <w:r w:rsidRPr="00A43775">
        <w:rPr>
          <w:rFonts w:ascii="Palatino Linotype" w:eastAsia="Palatino Linotype" w:hAnsi="Palatino Linotype" w:cs="Palatino Linotype"/>
          <w:i/>
          <w:iCs/>
        </w:rPr>
        <w:t>El contrato y, en su caso, sus anexos;</w:t>
      </w:r>
    </w:p>
    <w:p w:rsidR="00086DA7" w:rsidRPr="00A43775" w:rsidRDefault="00AB7E1C">
      <w:pPr>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8) Los mecanismos de vigilancia y supervisión, incluyendo en su caso, los estudios de impacto urbano y ambiental, según corresponda;</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9) </w:t>
      </w:r>
      <w:r w:rsidRPr="00A43775">
        <w:rPr>
          <w:rFonts w:ascii="Palatino Linotype" w:eastAsia="Palatino Linotype" w:hAnsi="Palatino Linotype" w:cs="Palatino Linotype"/>
          <w:i/>
          <w:iCs/>
        </w:rPr>
        <w:t>La partida presupuestal, de conformidad con el clasificador por objeto del gasto, en el caso de ser aplicable;</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i/>
          <w:iCs/>
        </w:rPr>
        <w:t>10) Origen de los recursos especificando si son federales, estatales o municipales, así como el tipo de fondo de participación o aportación respectiva;</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lastRenderedPageBreak/>
        <w:t>11) </w:t>
      </w:r>
      <w:r w:rsidRPr="00A43775">
        <w:rPr>
          <w:rFonts w:ascii="Palatino Linotype" w:eastAsia="Palatino Linotype" w:hAnsi="Palatino Linotype" w:cs="Palatino Linotype"/>
          <w:i/>
          <w:iCs/>
        </w:rPr>
        <w:t>Los convenios modificatorios que, en su caso, sean firmados, precisando el objeto y la fecha de celebración;</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12) </w:t>
      </w:r>
      <w:r w:rsidRPr="00A43775">
        <w:rPr>
          <w:rFonts w:ascii="Palatino Linotype" w:eastAsia="Palatino Linotype" w:hAnsi="Palatino Linotype" w:cs="Palatino Linotype"/>
          <w:i/>
          <w:iCs/>
        </w:rPr>
        <w:t>Los informes de avance físico y financiero sobre las obras o servicios contratados;</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13) </w:t>
      </w:r>
      <w:r w:rsidRPr="00A43775">
        <w:rPr>
          <w:rFonts w:ascii="Palatino Linotype" w:eastAsia="Palatino Linotype" w:hAnsi="Palatino Linotype" w:cs="Palatino Linotype"/>
          <w:i/>
          <w:iCs/>
        </w:rPr>
        <w:t>El convenio de terminación; y</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14) </w:t>
      </w:r>
      <w:r w:rsidRPr="00A43775">
        <w:rPr>
          <w:rFonts w:ascii="Palatino Linotype" w:eastAsia="Palatino Linotype" w:hAnsi="Palatino Linotype" w:cs="Palatino Linotype"/>
          <w:i/>
          <w:iCs/>
        </w:rPr>
        <w:t>El finiquito.</w:t>
      </w:r>
    </w:p>
    <w:p w:rsidR="00086DA7" w:rsidRPr="00A43775" w:rsidRDefault="00AB7E1C">
      <w:pPr>
        <w:ind w:left="1134" w:right="851"/>
        <w:jc w:val="both"/>
        <w:rPr>
          <w:rFonts w:ascii="Palatino Linotype" w:eastAsia="Palatino Linotype" w:hAnsi="Palatino Linotype" w:cs="Palatino Linotype"/>
          <w:b/>
          <w:bCs/>
        </w:rPr>
      </w:pPr>
      <w:r w:rsidRPr="00A43775">
        <w:rPr>
          <w:rFonts w:ascii="Palatino Linotype" w:eastAsia="Palatino Linotype" w:hAnsi="Palatino Linotype" w:cs="Palatino Linotype"/>
          <w:b/>
          <w:bCs/>
          <w:i/>
          <w:iCs/>
        </w:rPr>
        <w:t>b) De las adjudicaciones directas:</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1) </w:t>
      </w:r>
      <w:r w:rsidRPr="00A43775">
        <w:rPr>
          <w:rFonts w:ascii="Palatino Linotype" w:eastAsia="Palatino Linotype" w:hAnsi="Palatino Linotype" w:cs="Palatino Linotype"/>
          <w:i/>
          <w:iCs/>
        </w:rPr>
        <w:t>La propuesta enviada por el participante;</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2) </w:t>
      </w:r>
      <w:r w:rsidRPr="00A43775">
        <w:rPr>
          <w:rFonts w:ascii="Palatino Linotype" w:eastAsia="Palatino Linotype" w:hAnsi="Palatino Linotype" w:cs="Palatino Linotype"/>
          <w:i/>
          <w:iCs/>
        </w:rPr>
        <w:t>Los motivos y fundamentos legales aplicados para llevarla a cabo;</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3) </w:t>
      </w:r>
      <w:r w:rsidRPr="00A43775">
        <w:rPr>
          <w:rFonts w:ascii="Palatino Linotype" w:eastAsia="Palatino Linotype" w:hAnsi="Palatino Linotype" w:cs="Palatino Linotype"/>
          <w:i/>
          <w:iCs/>
        </w:rPr>
        <w:t>La autorización del ejercicio de la opción;</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i/>
          <w:iCs/>
        </w:rPr>
        <w:t>4) En su caso, las cotizaciones consideradas, especificando los nombres de los proveedores y sus montos;</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5) </w:t>
      </w:r>
      <w:r w:rsidRPr="00A43775">
        <w:rPr>
          <w:rFonts w:ascii="Palatino Linotype" w:eastAsia="Palatino Linotype" w:hAnsi="Palatino Linotype" w:cs="Palatino Linotype"/>
          <w:i/>
          <w:iCs/>
        </w:rPr>
        <w:t>El nombre de la persona física o jurídica colectiva adjudicada;</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6) </w:t>
      </w:r>
      <w:r w:rsidRPr="00A43775">
        <w:rPr>
          <w:rFonts w:ascii="Palatino Linotype" w:eastAsia="Palatino Linotype" w:hAnsi="Palatino Linotype" w:cs="Palatino Linotype"/>
          <w:i/>
          <w:iCs/>
        </w:rPr>
        <w:t>La unidad administrativa solicitante y la responsable de su ejecución;</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7)</w:t>
      </w:r>
      <w:r w:rsidRPr="00A43775">
        <w:rPr>
          <w:rFonts w:ascii="Palatino Linotype" w:eastAsia="Palatino Linotype" w:hAnsi="Palatino Linotype" w:cs="Palatino Linotype"/>
          <w:i/>
          <w:iCs/>
        </w:rPr>
        <w:t> El número, fecha, el monto del contrato y el plazo de entrega o de ejecución de los servicios u obra;</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8) </w:t>
      </w:r>
      <w:r w:rsidRPr="00A43775">
        <w:rPr>
          <w:rFonts w:ascii="Palatino Linotype" w:eastAsia="Palatino Linotype" w:hAnsi="Palatino Linotype" w:cs="Palatino Linotype"/>
          <w:i/>
          <w:iCs/>
        </w:rPr>
        <w:t>Los mecanismos de vigilancia y supervisión, incluyendo, en su caso, los estudios de impacto urbano y ambiental, según corresponda;</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i/>
          <w:iCs/>
        </w:rPr>
        <w:t>9) Los informes de avance sobre las obras o servicios contratados;</w:t>
      </w:r>
    </w:p>
    <w:p w:rsidR="00086DA7" w:rsidRPr="00A43775" w:rsidRDefault="00AB7E1C">
      <w:pPr>
        <w:ind w:left="1134" w:right="851"/>
        <w:jc w:val="both"/>
        <w:rPr>
          <w:rFonts w:ascii="Palatino Linotype" w:eastAsia="Palatino Linotype" w:hAnsi="Palatino Linotype" w:cs="Palatino Linotype"/>
        </w:rPr>
      </w:pPr>
      <w:r w:rsidRPr="00A43775">
        <w:rPr>
          <w:rFonts w:ascii="Palatino Linotype" w:eastAsia="Palatino Linotype" w:hAnsi="Palatino Linotype" w:cs="Palatino Linotype"/>
          <w:b/>
          <w:bCs/>
          <w:i/>
          <w:iCs/>
        </w:rPr>
        <w:t>10) </w:t>
      </w:r>
      <w:r w:rsidRPr="00A43775">
        <w:rPr>
          <w:rFonts w:ascii="Palatino Linotype" w:eastAsia="Palatino Linotype" w:hAnsi="Palatino Linotype" w:cs="Palatino Linotype"/>
          <w:i/>
          <w:iCs/>
        </w:rPr>
        <w:t>El convenio de terminación; y</w:t>
      </w:r>
    </w:p>
    <w:p w:rsidR="00086DA7" w:rsidRPr="00A43775" w:rsidRDefault="00AB7E1C">
      <w:pPr>
        <w:ind w:left="1134" w:right="851"/>
        <w:jc w:val="both"/>
        <w:rPr>
          <w:rFonts w:ascii="Palatino Linotype" w:eastAsia="Palatino Linotype" w:hAnsi="Palatino Linotype" w:cs="Palatino Linotype"/>
          <w:b/>
          <w:bCs/>
          <w:i/>
          <w:iCs/>
        </w:rPr>
      </w:pPr>
      <w:r w:rsidRPr="00A43775">
        <w:rPr>
          <w:rFonts w:ascii="Palatino Linotype" w:eastAsia="Palatino Linotype" w:hAnsi="Palatino Linotype" w:cs="Palatino Linotype"/>
          <w:b/>
          <w:bCs/>
          <w:i/>
          <w:iCs/>
        </w:rPr>
        <w:t>11) </w:t>
      </w:r>
      <w:r w:rsidRPr="00A43775">
        <w:rPr>
          <w:rFonts w:ascii="Palatino Linotype" w:eastAsia="Palatino Linotype" w:hAnsi="Palatino Linotype" w:cs="Palatino Linotype"/>
          <w:i/>
          <w:iCs/>
        </w:rPr>
        <w:t>El finiquito.</w:t>
      </w:r>
      <w:r w:rsidRPr="00A43775">
        <w:rPr>
          <w:rFonts w:ascii="Palatino Linotype" w:eastAsia="Palatino Linotype" w:hAnsi="Palatino Linotype" w:cs="Palatino Linotype"/>
          <w:b/>
          <w:bCs/>
          <w:i/>
          <w:iCs/>
        </w:rPr>
        <w:t>”</w:t>
      </w:r>
    </w:p>
    <w:p w:rsidR="00086DA7" w:rsidRPr="00A43775" w:rsidRDefault="00086DA7">
      <w:pPr>
        <w:ind w:left="851" w:right="850"/>
        <w:jc w:val="both"/>
        <w:rPr>
          <w:rFonts w:ascii="Palatino Linotype" w:eastAsia="Palatino Linotype" w:hAnsi="Palatino Linotype" w:cs="Palatino Linotype"/>
        </w:rPr>
      </w:pPr>
    </w:p>
    <w:p w:rsidR="00086DA7" w:rsidRPr="00A43775" w:rsidRDefault="00AB7E1C">
      <w:pPr>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En consecuencia, se determina que existe fuente obligacional para celebrar contratos relacionados con la adquisición de bienes y servicios,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rsidR="00086DA7" w:rsidRPr="00A43775" w:rsidRDefault="00086DA7">
      <w:pPr>
        <w:spacing w:line="360" w:lineRule="auto"/>
        <w:jc w:val="both"/>
        <w:rPr>
          <w:rFonts w:ascii="Palatino Linotype" w:eastAsia="Palatino Linotype" w:hAnsi="Palatino Linotype" w:cs="Palatino Linotype"/>
          <w:color w:val="000000"/>
        </w:rPr>
      </w:pPr>
    </w:p>
    <w:p w:rsidR="00086DA7" w:rsidRPr="00A43775" w:rsidRDefault="00AB7E1C">
      <w:pPr>
        <w:numPr>
          <w:ilvl w:val="0"/>
          <w:numId w:val="16"/>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Sin embargo dentro de tales documentales pudieran obrar datos que pueden ser susceptibles de ser clasificados y que enunciativamente se desglosan; para ello, es </w:t>
      </w:r>
      <w:r w:rsidRPr="00A43775">
        <w:rPr>
          <w:rFonts w:ascii="Palatino Linotype" w:eastAsia="Palatino Linotype" w:hAnsi="Palatino Linotype" w:cs="Palatino Linotype"/>
          <w:color w:val="000000"/>
        </w:rPr>
        <w:lastRenderedPageBreak/>
        <w:t xml:space="preserve">indispensable mencionar que la </w:t>
      </w:r>
      <w:r w:rsidRPr="00A43775">
        <w:rPr>
          <w:rFonts w:ascii="Palatino Linotype" w:eastAsia="Palatino Linotype" w:hAnsi="Palatino Linotype" w:cs="Palatino Linotype"/>
          <w:b/>
          <w:bCs/>
          <w:color w:val="000000"/>
        </w:rPr>
        <w:t xml:space="preserve">representación </w:t>
      </w:r>
      <w:r w:rsidRPr="00A43775">
        <w:rPr>
          <w:rFonts w:ascii="Palatino Linotype" w:eastAsia="Palatino Linotype" w:hAnsi="Palatino Linotype" w:cs="Palatino Linotype"/>
          <w:color w:val="000000"/>
        </w:rPr>
        <w:t xml:space="preserve">de manera genérica es una figura jurídica por medio de la cual se permite alterar la esfera jurídica de una persona por medio de la actuación de otra capaz. Sánchez Medal define la representación como </w:t>
      </w:r>
      <w:r w:rsidRPr="00A43775">
        <w:rPr>
          <w:rFonts w:ascii="Palatino Linotype" w:eastAsia="Palatino Linotype" w:hAnsi="Palatino Linotype" w:cs="Palatino Linotype"/>
          <w:i/>
          <w:iCs/>
          <w:color w:val="000000"/>
        </w:rPr>
        <w:t xml:space="preserve">“acción de representar, o sea el acto por virtud del cual una persona dotada de poder, llamada representante, obra a nombre y por cuenta de otra llamada representada”. </w:t>
      </w:r>
    </w:p>
    <w:p w:rsidR="00086DA7" w:rsidRPr="00A43775" w:rsidRDefault="00086DA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086DA7" w:rsidRPr="00A43775" w:rsidRDefault="00AB7E1C">
      <w:pPr>
        <w:numPr>
          <w:ilvl w:val="0"/>
          <w:numId w:val="17"/>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Ahora bien, existen diversas clases de representación como lo son la legal, la voluntaria y la estatutaria. </w:t>
      </w:r>
    </w:p>
    <w:p w:rsidR="00086DA7" w:rsidRPr="00A43775" w:rsidRDefault="00086DA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086DA7" w:rsidRPr="00A43775" w:rsidRDefault="00AB7E1C">
      <w:pPr>
        <w:numPr>
          <w:ilvl w:val="0"/>
          <w:numId w:val="18"/>
        </w:num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b/>
          <w:bCs/>
          <w:i/>
          <w:iCs/>
          <w:color w:val="000000"/>
        </w:rPr>
        <w:t xml:space="preserve">Representación Legal. </w:t>
      </w:r>
      <w:r w:rsidRPr="00A43775">
        <w:rPr>
          <w:rFonts w:ascii="Palatino Linotype" w:eastAsia="Palatino Linotype" w:hAnsi="Palatino Linotype" w:cs="Palatino Linotype"/>
          <w:i/>
          <w:iCs/>
          <w:color w:val="000000"/>
        </w:rPr>
        <w:t xml:space="preserve">La que se establece en la ley positiva para que determinadas personas, fundamentalmente aquellas a quienes se les ha negado la capacidad de ejercicio, puedan hacer valer sus derechos o puedan cumplir con sus obligaciones mediante la actuación de otra capaz. </w:t>
      </w:r>
    </w:p>
    <w:p w:rsidR="00086DA7" w:rsidRPr="00A43775" w:rsidRDefault="00AB7E1C">
      <w:pPr>
        <w:numPr>
          <w:ilvl w:val="0"/>
          <w:numId w:val="18"/>
        </w:num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b/>
          <w:bCs/>
          <w:i/>
          <w:iCs/>
          <w:color w:val="000000"/>
        </w:rPr>
        <w:t xml:space="preserve">Representación Voluntaria. </w:t>
      </w:r>
      <w:r w:rsidRPr="00A43775">
        <w:rPr>
          <w:rFonts w:ascii="Palatino Linotype" w:eastAsia="Palatino Linotype" w:hAnsi="Palatino Linotype" w:cs="Palatino Linotype"/>
          <w:i/>
          <w:iCs/>
          <w:color w:val="000000"/>
        </w:rPr>
        <w:t xml:space="preserve">La que permite que una persona altere la esfera jurídica de otra quien ha recibido la autorización correspondiente en forma expresa y determinada.  </w:t>
      </w:r>
    </w:p>
    <w:p w:rsidR="00086DA7" w:rsidRPr="00A43775" w:rsidRDefault="00AB7E1C">
      <w:pPr>
        <w:numPr>
          <w:ilvl w:val="0"/>
          <w:numId w:val="18"/>
        </w:num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b/>
          <w:bCs/>
          <w:i/>
          <w:iCs/>
          <w:color w:val="000000"/>
        </w:rPr>
        <w:t xml:space="preserve">Representación Estatutaria. </w:t>
      </w:r>
      <w:r w:rsidRPr="00A43775">
        <w:rPr>
          <w:rFonts w:ascii="Palatino Linotype" w:eastAsia="Palatino Linotype" w:hAnsi="Palatino Linotype" w:cs="Palatino Linotype"/>
          <w:i/>
          <w:iCs/>
          <w:color w:val="000000"/>
        </w:rPr>
        <w:t>La que permite a los entes jurídicos o personas morales exteriorizarse en una sociedad y que por virtud de la cual una persona física u otra persona moral quien a su vez se encuentra</w:t>
      </w:r>
      <w:r w:rsidRPr="00A43775">
        <w:rPr>
          <w:rFonts w:ascii="Palatino Linotype" w:eastAsia="Palatino Linotype" w:hAnsi="Palatino Linotype" w:cs="Palatino Linotype"/>
          <w:color w:val="000000"/>
        </w:rPr>
        <w:t xml:space="preserve"> </w:t>
      </w:r>
      <w:r w:rsidRPr="00A43775">
        <w:rPr>
          <w:rFonts w:ascii="Palatino Linotype" w:eastAsia="Palatino Linotype" w:hAnsi="Palatino Linotype" w:cs="Palatino Linotype"/>
          <w:i/>
          <w:iCs/>
          <w:color w:val="000000"/>
        </w:rPr>
        <w:t xml:space="preserve">representada en último término por una persona física, altera con su actuación la esfera jurídica o jurídica económica de aquella para hacer posible valer sus derechos o cumplir con sus obligaciones. […] En la representación estatutaria, la ley no señala quién o quiénes pueden o deben ser los representantes legales de las personas </w:t>
      </w:r>
      <w:r w:rsidRPr="00A43775">
        <w:rPr>
          <w:rFonts w:ascii="Palatino Linotype" w:eastAsia="Palatino Linotype" w:hAnsi="Palatino Linotype" w:cs="Palatino Linotype"/>
          <w:i/>
          <w:iCs/>
          <w:color w:val="000000"/>
        </w:rPr>
        <w:lastRenderedPageBreak/>
        <w:t xml:space="preserve">morales, sino que deja a libre arbitrio de otras personas o de otros órganos, quiénes deben de representar a esas personas. […] La representación estatutaria puede conferirse mediante un poder, pero generalmente no es este el medio formal de su constitución, sino un medio diferente que </w:t>
      </w:r>
      <w:r w:rsidRPr="00A43775">
        <w:rPr>
          <w:rFonts w:ascii="Palatino Linotype" w:eastAsia="Palatino Linotype" w:hAnsi="Palatino Linotype" w:cs="Palatino Linotype"/>
          <w:b/>
          <w:bCs/>
          <w:i/>
          <w:iCs/>
          <w:color w:val="000000"/>
        </w:rPr>
        <w:t>consiste en un acto de simple designación de la persona para el desempeño de determinado cargo.</w:t>
      </w:r>
    </w:p>
    <w:p w:rsidR="00086DA7" w:rsidRPr="00A43775" w:rsidRDefault="00AB7E1C">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(Lara, 2017)</w:t>
      </w:r>
    </w:p>
    <w:p w:rsidR="00086DA7" w:rsidRPr="00A43775" w:rsidRDefault="00086DA7">
      <w:pPr>
        <w:pBdr>
          <w:top w:val="nil"/>
          <w:left w:val="nil"/>
          <w:bottom w:val="nil"/>
          <w:right w:val="nil"/>
          <w:between w:val="nil"/>
        </w:pBdr>
        <w:spacing w:line="360" w:lineRule="auto"/>
        <w:ind w:left="993" w:right="567"/>
        <w:jc w:val="both"/>
        <w:rPr>
          <w:rFonts w:ascii="Palatino Linotype" w:eastAsia="Palatino Linotype" w:hAnsi="Palatino Linotype" w:cs="Palatino Linotype"/>
          <w:color w:val="000000"/>
        </w:rPr>
      </w:pPr>
    </w:p>
    <w:p w:rsidR="00086DA7" w:rsidRPr="00A43775" w:rsidRDefault="00AB7E1C">
      <w:pPr>
        <w:numPr>
          <w:ilvl w:val="0"/>
          <w:numId w:val="17"/>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De lo anterior tenemos que la </w:t>
      </w:r>
      <w:r w:rsidRPr="00A43775">
        <w:rPr>
          <w:rFonts w:ascii="Palatino Linotype" w:eastAsia="Palatino Linotype" w:hAnsi="Palatino Linotype" w:cs="Palatino Linotype"/>
          <w:b/>
          <w:bCs/>
          <w:color w:val="000000"/>
        </w:rPr>
        <w:t xml:space="preserve">representación </w:t>
      </w:r>
      <w:r w:rsidRPr="00A43775">
        <w:rPr>
          <w:rFonts w:ascii="Palatino Linotype" w:eastAsia="Palatino Linotype" w:hAnsi="Palatino Linotype" w:cs="Palatino Linotype"/>
          <w:color w:val="000000"/>
        </w:rPr>
        <w:t xml:space="preserve">se traduce al acto de manifestarse a nombre de otra persona, quién en el caso concreto, el representante es elegido por terceros a través de una designación. </w:t>
      </w:r>
    </w:p>
    <w:p w:rsidR="00086DA7" w:rsidRPr="00A43775" w:rsidRDefault="00086DA7">
      <w:pPr>
        <w:spacing w:line="360" w:lineRule="auto"/>
        <w:ind w:right="49"/>
        <w:jc w:val="both"/>
        <w:rPr>
          <w:rFonts w:ascii="Palatino Linotype" w:eastAsia="Palatino Linotype" w:hAnsi="Palatino Linotype" w:cs="Palatino Linotype"/>
          <w:color w:val="000000"/>
        </w:rPr>
      </w:pPr>
    </w:p>
    <w:p w:rsidR="00086DA7" w:rsidRDefault="00AB7E1C">
      <w:pPr>
        <w:numPr>
          <w:ilvl w:val="0"/>
          <w:numId w:val="17"/>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Por su parte, atendiendo a lo que establece la Ley General de Sociedades Mercantiles, se obtiene que en su artículo 10 menciona que </w:t>
      </w:r>
      <w:r w:rsidRPr="00A43775">
        <w:rPr>
          <w:rFonts w:ascii="Palatino Linotype" w:eastAsia="Palatino Linotype" w:hAnsi="Palatino Linotype" w:cs="Palatino Linotype"/>
          <w:b/>
          <w:bCs/>
          <w:color w:val="000000"/>
        </w:rPr>
        <w:t>la representación de toda sociedad mercantil corresponderá a su administrador o administradores</w:t>
      </w:r>
      <w:r w:rsidRPr="00A43775">
        <w:rPr>
          <w:rFonts w:ascii="Palatino Linotype" w:eastAsia="Palatino Linotype" w:hAnsi="Palatino Linotype" w:cs="Palatino Linotype"/>
          <w:color w:val="000000"/>
        </w:rPr>
        <w:t>, quienes podrán realizar todas las operaciones inherentes al objeto de la sociedad.</w:t>
      </w:r>
    </w:p>
    <w:p w:rsidR="00A43775" w:rsidRPr="00A43775" w:rsidRDefault="00A43775" w:rsidP="00A4377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086DA7" w:rsidRPr="00A43775" w:rsidRDefault="00AB7E1C">
      <w:pPr>
        <w:numPr>
          <w:ilvl w:val="0"/>
          <w:numId w:val="17"/>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Con la anterior explicación, se pretende llegar a que las figuras de representante legal, administrador único y apoderado legal, medularmente juegan el papel de representación legal de las personas morales, y poseen la facultad de tomar cualquier tipo de decisiones y tiene plenos poderes para ello. </w:t>
      </w:r>
    </w:p>
    <w:p w:rsidR="00086DA7" w:rsidRPr="00A43775" w:rsidRDefault="00086DA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086DA7" w:rsidRPr="00A43775" w:rsidRDefault="00AB7E1C">
      <w:pPr>
        <w:numPr>
          <w:ilvl w:val="0"/>
          <w:numId w:val="17"/>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En razón de lo anterior, cabe mencionar que el Instituto Nacional de Acceso a la Información y Protección de Datos Personales, ha precisado en diversas ocasiones que </w:t>
      </w:r>
      <w:r w:rsidRPr="00A43775">
        <w:rPr>
          <w:rFonts w:ascii="Palatino Linotype" w:eastAsia="Palatino Linotype" w:hAnsi="Palatino Linotype" w:cs="Palatino Linotype"/>
          <w:color w:val="000000"/>
        </w:rPr>
        <w:lastRenderedPageBreak/>
        <w:t xml:space="preserve">la </w:t>
      </w:r>
      <w:r w:rsidRPr="00A43775">
        <w:rPr>
          <w:rFonts w:ascii="Palatino Linotype" w:eastAsia="Palatino Linotype" w:hAnsi="Palatino Linotype" w:cs="Palatino Linotype"/>
          <w:b/>
          <w:bCs/>
          <w:color w:val="000000"/>
        </w:rPr>
        <w:t>firma y el nombre del representante legal de una persona moral</w:t>
      </w:r>
      <w:r w:rsidRPr="00A43775">
        <w:rPr>
          <w:rFonts w:ascii="Palatino Linotype" w:eastAsia="Palatino Linotype" w:hAnsi="Palatino Linotype" w:cs="Palatino Linotype"/>
          <w:color w:val="000000"/>
        </w:rPr>
        <w:t xml:space="preserve">, no podría ser objeto de clasificación, ya que si bien el nombre y la firma corresponden a una persona física, esta actuó en nombre y representación de una persona moral, no a nombre propio; en consecuencia, el nombre y la firma, al haber sido objeto de dar cumplimiento a la normatividad y otorgar validez al acto jurídico celebrado, deben ser considerados como públicos, análisis aplicable al presente caso. </w:t>
      </w:r>
    </w:p>
    <w:p w:rsidR="00086DA7" w:rsidRPr="00A43775" w:rsidRDefault="00086DA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086DA7" w:rsidRPr="00A43775" w:rsidRDefault="00AB7E1C">
      <w:pPr>
        <w:numPr>
          <w:ilvl w:val="0"/>
          <w:numId w:val="17"/>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Derivado de ello, es imprescindible traer a colación lo que establece el Criterio del Instituto Nacional de Transparencia, Acceso a la Información y Protección de Datos, el cual menciona lo siguiente: </w:t>
      </w:r>
    </w:p>
    <w:p w:rsidR="00086DA7" w:rsidRPr="00A43775" w:rsidRDefault="00086DA7">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p>
    <w:p w:rsidR="00086DA7" w:rsidRPr="00A43775" w:rsidRDefault="00AB7E1C">
      <w:p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b/>
          <w:bCs/>
          <w:i/>
          <w:iCs/>
          <w:color w:val="000000"/>
        </w:rPr>
        <w:t>Datos de identificación del representante o apoderado legal. Naturaleza jurídica.</w:t>
      </w:r>
      <w:r w:rsidRPr="00A43775">
        <w:rPr>
          <w:rFonts w:ascii="Palatino Linotype" w:eastAsia="Palatino Linotype" w:hAnsi="Palatino Linotype" w:cs="Palatino Linotype"/>
          <w:i/>
          <w:iCs/>
          <w:color w:val="000000"/>
        </w:rPr>
        <w:t xml:space="preserve"> El nombre, la firma y la rúbrica de una persona física, que actúe como representante o apoderado legal de un tercero que haya celebrado un acto jurídico, con algún sujeto obligado, </w:t>
      </w:r>
      <w:r w:rsidRPr="00A43775">
        <w:rPr>
          <w:rFonts w:ascii="Palatino Linotype" w:eastAsia="Palatino Linotype" w:hAnsi="Palatino Linotype" w:cs="Palatino Linotype"/>
          <w:b/>
          <w:bCs/>
          <w:i/>
          <w:iCs/>
          <w:color w:val="000000"/>
        </w:rPr>
        <w:t>es información pública</w:t>
      </w:r>
      <w:r w:rsidRPr="00A43775">
        <w:rPr>
          <w:rFonts w:ascii="Palatino Linotype" w:eastAsia="Palatino Linotype" w:hAnsi="Palatino Linotype" w:cs="Palatino Linotype"/>
          <w:i/>
          <w:iCs/>
          <w:color w:val="000000"/>
        </w:rPr>
        <w:t>, en razón de que tales datos fueron proporcionados con el objeto de expresar el consentimiento obligacional del tercero y otorgar validez a dicho instrumento jurídico.</w:t>
      </w:r>
    </w:p>
    <w:p w:rsidR="00086DA7" w:rsidRPr="00A43775" w:rsidRDefault="00086DA7">
      <w:p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p>
    <w:p w:rsidR="00086DA7" w:rsidRPr="00A43775" w:rsidRDefault="00AB7E1C">
      <w:pPr>
        <w:pBdr>
          <w:top w:val="nil"/>
          <w:left w:val="nil"/>
          <w:bottom w:val="nil"/>
          <w:right w:val="nil"/>
          <w:between w:val="nil"/>
        </w:pBdr>
        <w:spacing w:line="360" w:lineRule="auto"/>
        <w:ind w:left="1134" w:right="567"/>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Resoluciones: RRA 3104/16. Secretaría de la Defensa Nacional. 01 de noviembre del 2016. Por unanimidad. Comisionado Ponente Oscar Mauricio Guerra Ford. RRA 2923/16. Administración Portuaria Integral de Lázaro Cárdenas, S.A. de C.V. 13 de diciembre de 2016. Por unanimidad. Comisionada Ponente María Patricia Kurczyn Villalobos. RRA 2855/17. Comisión Nacional </w:t>
      </w:r>
      <w:r w:rsidRPr="00A43775">
        <w:rPr>
          <w:rFonts w:ascii="Palatino Linotype" w:eastAsia="Palatino Linotype" w:hAnsi="Palatino Linotype" w:cs="Palatino Linotype"/>
          <w:i/>
          <w:iCs/>
          <w:color w:val="000000"/>
        </w:rPr>
        <w:lastRenderedPageBreak/>
        <w:t xml:space="preserve">de Hidrocarburos. 14 de junio de 2017. Por unanimidad con los votos particulares de los Comisionados Areli Cano Guadiana y Oscar Mauricio Guerra Ford. Comisionada Ponente Ximena Puente de la Mora. </w:t>
      </w:r>
    </w:p>
    <w:p w:rsidR="00086DA7" w:rsidRPr="00A43775" w:rsidRDefault="00086DA7">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rsidR="00086DA7" w:rsidRPr="00A43775" w:rsidRDefault="00AB7E1C">
      <w:pPr>
        <w:spacing w:line="360" w:lineRule="auto"/>
        <w:jc w:val="both"/>
        <w:rPr>
          <w:rFonts w:ascii="Palatino Linotype" w:eastAsia="Palatino Linotype" w:hAnsi="Palatino Linotype" w:cs="Palatino Linotype"/>
          <w:b/>
          <w:bCs/>
          <w:color w:val="0D0D0D"/>
        </w:rPr>
      </w:pPr>
      <w:r w:rsidRPr="00A43775">
        <w:rPr>
          <w:rFonts w:ascii="Palatino Linotype" w:eastAsia="Palatino Linotype" w:hAnsi="Palatino Linotype" w:cs="Palatino Linotype"/>
          <w:b/>
          <w:bCs/>
          <w:color w:val="0D0D0D"/>
        </w:rPr>
        <w:t xml:space="preserve">Denominación o razón Social </w:t>
      </w:r>
    </w:p>
    <w:p w:rsidR="00086DA7" w:rsidRPr="00A43775" w:rsidRDefault="00AB7E1C">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b/>
          <w:bCs/>
          <w:color w:val="0D0D0D"/>
        </w:rPr>
        <w:t xml:space="preserve"> </w:t>
      </w:r>
      <w:r w:rsidRPr="00A43775">
        <w:rPr>
          <w:rFonts w:ascii="Palatino Linotype" w:eastAsia="Palatino Linotype" w:hAnsi="Palatino Linotype" w:cs="Palatino Linotype"/>
          <w:color w:val="0D0D0D"/>
        </w:rPr>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rsidR="00086DA7" w:rsidRPr="00A43775" w:rsidRDefault="00AB7E1C">
      <w:pP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 xml:space="preserve"> </w:t>
      </w:r>
    </w:p>
    <w:p w:rsidR="00086DA7" w:rsidRPr="00A43775" w:rsidRDefault="00AB7E1C">
      <w:pPr>
        <w:ind w:left="1134" w:right="567"/>
        <w:jc w:val="both"/>
        <w:rPr>
          <w:rFonts w:ascii="Palatino Linotype" w:eastAsia="Palatino Linotype" w:hAnsi="Palatino Linotype" w:cs="Palatino Linotype"/>
          <w:i/>
          <w:iCs/>
          <w:color w:val="0D0D0D"/>
        </w:rPr>
      </w:pPr>
      <w:r w:rsidRPr="00A43775">
        <w:rPr>
          <w:rFonts w:ascii="Palatino Linotype" w:eastAsia="Palatino Linotype" w:hAnsi="Palatino Linotype" w:cs="Palatino Linotype"/>
          <w:b/>
          <w:bCs/>
          <w:i/>
          <w:iCs/>
          <w:color w:val="0D0D0D"/>
        </w:rPr>
        <w:t xml:space="preserve">“Razón social y RFC de personas morales. </w:t>
      </w:r>
      <w:r w:rsidRPr="00A43775">
        <w:rPr>
          <w:rFonts w:ascii="Palatino Linotype" w:eastAsia="Palatino Linotype" w:hAnsi="Palatino Linotype" w:cs="Palatino Linotype"/>
          <w:i/>
          <w:iCs/>
          <w:color w:val="0D0D0D"/>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086DA7" w:rsidRPr="00A43775" w:rsidRDefault="00AB7E1C">
      <w:pPr>
        <w:spacing w:line="360" w:lineRule="auto"/>
        <w:jc w:val="both"/>
        <w:rPr>
          <w:rFonts w:ascii="Palatino Linotype" w:eastAsia="Palatino Linotype" w:hAnsi="Palatino Linotype" w:cs="Palatino Linotype"/>
          <w:b/>
          <w:bCs/>
          <w:color w:val="0D0D0D"/>
        </w:rPr>
      </w:pPr>
      <w:r w:rsidRPr="00A43775">
        <w:rPr>
          <w:rFonts w:ascii="Palatino Linotype" w:eastAsia="Palatino Linotype" w:hAnsi="Palatino Linotype" w:cs="Palatino Linotype"/>
          <w:b/>
          <w:bCs/>
          <w:color w:val="0D0D0D"/>
        </w:rPr>
        <w:t xml:space="preserve"> </w:t>
      </w:r>
    </w:p>
    <w:p w:rsidR="00086DA7" w:rsidRPr="00A43775" w:rsidRDefault="00AB7E1C">
      <w:pP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Por lo tanto, no procede la clasificación de la denominación o razón social y RFC de personas morales, en términos del artículo 143, fracción I de la Ley de Transparencia y Acceso a la Información Pública del Estado de México y Municipios.</w:t>
      </w:r>
    </w:p>
    <w:p w:rsidR="00086DA7" w:rsidRPr="00A43775" w:rsidRDefault="00AB7E1C">
      <w:pP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 xml:space="preserve"> </w:t>
      </w:r>
    </w:p>
    <w:p w:rsidR="00086DA7" w:rsidRPr="00A43775" w:rsidRDefault="00AB7E1C">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 xml:space="preserve">Al respecto, el Registro Federal de Contribuyentes, inicia con una preinscripción por Internet y se concluye en cualquier Administración Desconcentrada de Servicios al Contribuyente, en donde aquellas personas que realicen el trámite tendrán que entregar </w:t>
      </w:r>
      <w:r w:rsidRPr="00A43775">
        <w:rPr>
          <w:rFonts w:ascii="Palatino Linotype" w:eastAsia="Palatino Linotype" w:hAnsi="Palatino Linotype" w:cs="Palatino Linotype"/>
          <w:color w:val="0D0D0D"/>
        </w:rPr>
        <w:lastRenderedPageBreak/>
        <w:t>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rsidR="00086DA7" w:rsidRPr="00A43775" w:rsidRDefault="00AB7E1C">
      <w:pP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 xml:space="preserve"> </w:t>
      </w:r>
    </w:p>
    <w:p w:rsidR="00086DA7" w:rsidRPr="00A43775" w:rsidRDefault="00AB7E1C">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Por ende, la información correspondiente al Registro Federal de Contribuyentes de una persona moral da cuenta del cumplimiento o no en sus obligaciones fiscales; por tanto, no se actualiza su clasificación como confidencial; además, resulta aplicable por analogía el Criterio de Interpretación, de la Segunda Época, con número de registro 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 por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rsidR="00086DA7" w:rsidRDefault="00086DA7">
      <w:pPr>
        <w:pBdr>
          <w:top w:val="nil"/>
          <w:left w:val="nil"/>
          <w:bottom w:val="nil"/>
          <w:right w:val="nil"/>
          <w:between w:val="nil"/>
        </w:pBdr>
        <w:ind w:left="720"/>
        <w:rPr>
          <w:rFonts w:ascii="Palatino Linotype" w:eastAsia="Palatino Linotype" w:hAnsi="Palatino Linotype" w:cs="Palatino Linotype"/>
          <w:color w:val="0D0D0D"/>
        </w:rPr>
      </w:pPr>
    </w:p>
    <w:p w:rsidR="00A43775" w:rsidRDefault="00A43775">
      <w:pPr>
        <w:pBdr>
          <w:top w:val="nil"/>
          <w:left w:val="nil"/>
          <w:bottom w:val="nil"/>
          <w:right w:val="nil"/>
          <w:between w:val="nil"/>
        </w:pBdr>
        <w:ind w:left="720"/>
        <w:rPr>
          <w:rFonts w:ascii="Palatino Linotype" w:eastAsia="Palatino Linotype" w:hAnsi="Palatino Linotype" w:cs="Palatino Linotype"/>
          <w:color w:val="0D0D0D"/>
        </w:rPr>
      </w:pPr>
    </w:p>
    <w:p w:rsidR="00A43775" w:rsidRDefault="00A43775">
      <w:pPr>
        <w:pBdr>
          <w:top w:val="nil"/>
          <w:left w:val="nil"/>
          <w:bottom w:val="nil"/>
          <w:right w:val="nil"/>
          <w:between w:val="nil"/>
        </w:pBdr>
        <w:ind w:left="720"/>
        <w:rPr>
          <w:rFonts w:ascii="Palatino Linotype" w:eastAsia="Palatino Linotype" w:hAnsi="Palatino Linotype" w:cs="Palatino Linotype"/>
          <w:color w:val="0D0D0D"/>
        </w:rPr>
      </w:pPr>
    </w:p>
    <w:p w:rsidR="00A43775" w:rsidRPr="00A43775" w:rsidRDefault="00A43775">
      <w:pPr>
        <w:pBdr>
          <w:top w:val="nil"/>
          <w:left w:val="nil"/>
          <w:bottom w:val="nil"/>
          <w:right w:val="nil"/>
          <w:between w:val="nil"/>
        </w:pBdr>
        <w:ind w:left="720"/>
        <w:rPr>
          <w:rFonts w:ascii="Palatino Linotype" w:eastAsia="Palatino Linotype" w:hAnsi="Palatino Linotype" w:cs="Palatino Linotype"/>
          <w:color w:val="0D0D0D"/>
        </w:rPr>
      </w:pPr>
    </w:p>
    <w:p w:rsidR="00086DA7" w:rsidRPr="00A43775" w:rsidRDefault="00AB7E1C">
      <w:pPr>
        <w:spacing w:line="360" w:lineRule="auto"/>
        <w:jc w:val="both"/>
        <w:rPr>
          <w:rFonts w:ascii="Palatino Linotype" w:eastAsia="Palatino Linotype" w:hAnsi="Palatino Linotype" w:cs="Palatino Linotype"/>
          <w:b/>
          <w:bCs/>
          <w:color w:val="0D0D0D"/>
        </w:rPr>
      </w:pPr>
      <w:r w:rsidRPr="00A43775">
        <w:rPr>
          <w:rFonts w:ascii="Palatino Linotype" w:eastAsia="Palatino Linotype" w:hAnsi="Palatino Linotype" w:cs="Palatino Linotype"/>
          <w:b/>
          <w:bCs/>
          <w:color w:val="0D0D0D"/>
        </w:rPr>
        <w:lastRenderedPageBreak/>
        <w:t xml:space="preserve">Domicilio Fiscal o legal para recibir y oír notificaciones </w:t>
      </w:r>
    </w:p>
    <w:p w:rsidR="00086DA7" w:rsidRPr="00A43775" w:rsidRDefault="00AB7E1C">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 de esta manera, lo establece los diversos 29 y 33 del Código Civil Federal, al precisar que el domicilio de personas físicas</w:t>
      </w:r>
      <w:r w:rsidRPr="00A43775">
        <w:rPr>
          <w:rFonts w:ascii="Palatino Linotype" w:eastAsia="Palatino Linotype" w:hAnsi="Palatino Linotype" w:cs="Palatino Linotype"/>
          <w:b/>
          <w:bCs/>
          <w:color w:val="0D0D0D"/>
        </w:rPr>
        <w:t xml:space="preserve">, es el lugar donde residen habitualmente, el lugar del centro principal de sus negocios, donde residan o el lugar donde se encuentren; </w:t>
      </w:r>
      <w:r w:rsidRPr="00A43775">
        <w:rPr>
          <w:rFonts w:ascii="Palatino Linotype" w:eastAsia="Palatino Linotype" w:hAnsi="Palatino Linotype" w:cs="Palatino Linotype"/>
          <w:color w:val="0D0D0D"/>
        </w:rPr>
        <w:t>mientras que, de las personas morales, aquel donde se halle su administración.</w:t>
      </w:r>
    </w:p>
    <w:p w:rsidR="00086DA7" w:rsidRPr="00A43775" w:rsidRDefault="00AB7E1C">
      <w:pPr>
        <w:spacing w:line="360" w:lineRule="auto"/>
        <w:jc w:val="both"/>
        <w:rPr>
          <w:rFonts w:ascii="Palatino Linotype" w:eastAsia="Palatino Linotype" w:hAnsi="Palatino Linotype" w:cs="Palatino Linotype"/>
          <w:b/>
          <w:bCs/>
          <w:color w:val="0D0D0D"/>
        </w:rPr>
      </w:pPr>
      <w:r w:rsidRPr="00A43775">
        <w:rPr>
          <w:rFonts w:ascii="Palatino Linotype" w:eastAsia="Palatino Linotype" w:hAnsi="Palatino Linotype" w:cs="Palatino Linotype"/>
          <w:b/>
          <w:bCs/>
          <w:color w:val="0D0D0D"/>
        </w:rPr>
        <w:t xml:space="preserve"> </w:t>
      </w:r>
    </w:p>
    <w:p w:rsidR="00086DA7" w:rsidRPr="00A43775" w:rsidRDefault="00AB7E1C">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Respecto al domicilio fiscal, resulta necesario traer el artículo 10 del Código Fiscal de la Federación, que establece que, tratándose de personas físicas, corresponderá dicho dato:</w:t>
      </w:r>
    </w:p>
    <w:p w:rsidR="00086DA7" w:rsidRPr="00A43775" w:rsidRDefault="00AB7E1C">
      <w:pP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 xml:space="preserve"> </w:t>
      </w:r>
    </w:p>
    <w:p w:rsidR="00086DA7" w:rsidRPr="00A43775" w:rsidRDefault="00AB7E1C">
      <w:pPr>
        <w:numPr>
          <w:ilvl w:val="0"/>
          <w:numId w:val="19"/>
        </w:numPr>
        <w:spacing w:line="360" w:lineRule="auto"/>
        <w:ind w:left="1134" w:right="900"/>
        <w:jc w:val="both"/>
        <w:rPr>
          <w:rFonts w:ascii="Palatino Linotype" w:eastAsia="Palatino Linotype" w:hAnsi="Palatino Linotype" w:cs="Palatino Linotype"/>
          <w:i/>
          <w:iCs/>
          <w:color w:val="0D0D0D"/>
        </w:rPr>
      </w:pPr>
      <w:r w:rsidRPr="00A43775">
        <w:rPr>
          <w:rFonts w:ascii="Palatino Linotype" w:eastAsia="Palatino Linotype" w:hAnsi="Palatino Linotype" w:cs="Palatino Linotype"/>
          <w:i/>
          <w:iCs/>
          <w:color w:val="0D0D0D"/>
        </w:rPr>
        <w:t>El lugar donde realizan actividades empresariales, el local, en que se encuentre el principal asiente de sus negocios, y</w:t>
      </w:r>
    </w:p>
    <w:p w:rsidR="00086DA7" w:rsidRPr="00A43775" w:rsidRDefault="00AB7E1C">
      <w:pPr>
        <w:numPr>
          <w:ilvl w:val="0"/>
          <w:numId w:val="19"/>
        </w:numPr>
        <w:spacing w:line="360" w:lineRule="auto"/>
        <w:ind w:left="1134" w:right="900"/>
        <w:jc w:val="both"/>
        <w:rPr>
          <w:rFonts w:ascii="Palatino Linotype" w:eastAsia="Palatino Linotype" w:hAnsi="Palatino Linotype" w:cs="Palatino Linotype"/>
          <w:i/>
          <w:iCs/>
          <w:color w:val="0D0D0D"/>
        </w:rPr>
      </w:pPr>
      <w:r w:rsidRPr="00A43775">
        <w:rPr>
          <w:rFonts w:ascii="Palatino Linotype" w:eastAsia="Palatino Linotype" w:hAnsi="Palatino Linotype" w:cs="Palatino Linotype"/>
          <w:i/>
          <w:iCs/>
          <w:color w:val="0D0D0D"/>
        </w:rPr>
        <w:t>La casa habitación, cuando no cuenta con un local o lugar donde realice las acciones previamente señaladas.</w:t>
      </w:r>
    </w:p>
    <w:p w:rsidR="00086DA7" w:rsidRPr="00A43775" w:rsidRDefault="00AB7E1C">
      <w:pP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 xml:space="preserve"> </w:t>
      </w:r>
    </w:p>
    <w:p w:rsidR="00086DA7" w:rsidRPr="00A43775" w:rsidRDefault="00AB7E1C">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rsidR="00086DA7" w:rsidRPr="00A43775" w:rsidRDefault="00AB7E1C">
      <w:pP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lastRenderedPageBreak/>
        <w:t xml:space="preserve"> 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jurídicas o de beneficio de cualquier orbe con las instituciones públicas, tienen una expectativa de privacidad menor, respecto del resto de las personas,  situación que debe ser transparentada.</w:t>
      </w:r>
    </w:p>
    <w:p w:rsidR="00086DA7" w:rsidRPr="00A43775" w:rsidRDefault="00AB7E1C">
      <w:pP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 xml:space="preserve"> </w:t>
      </w:r>
    </w:p>
    <w:p w:rsidR="00086DA7" w:rsidRPr="00A43775" w:rsidRDefault="00AB7E1C">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D0D0D"/>
        </w:rPr>
        <w:t>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por lo que, es obligación de transparencia proporcionar el domicilio fiscal de los proveedores, por lo que, se considera que, en el caso, de que dicho dato, corresponda a un local o lugar donde realice sus actividades empresariales, se debe entregar.</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D0D0D"/>
        </w:rPr>
      </w:pPr>
    </w:p>
    <w:p w:rsidR="00086DA7" w:rsidRPr="00A43775" w:rsidRDefault="00AB7E1C">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3775">
        <w:rPr>
          <w:rFonts w:ascii="Palatino Linotype" w:eastAsia="Palatino Linotype" w:hAnsi="Palatino Linotype" w:cs="Palatino Linotype"/>
          <w:color w:val="000000"/>
        </w:rPr>
        <w:t xml:space="preserve">Por cuanto hace al </w:t>
      </w:r>
      <w:r w:rsidRPr="00A43775">
        <w:rPr>
          <w:rFonts w:ascii="Palatino Linotype" w:eastAsia="Palatino Linotype" w:hAnsi="Palatino Linotype" w:cs="Palatino Linotype"/>
          <w:b/>
          <w:bCs/>
          <w:color w:val="000000"/>
        </w:rPr>
        <w:t>Número de Cédula Profesional</w:t>
      </w:r>
      <w:r w:rsidRPr="00A43775">
        <w:rPr>
          <w:rFonts w:ascii="Palatino Linotype" w:eastAsia="Palatino Linotype" w:hAnsi="Palatino Linotype" w:cs="Palatino Linotype"/>
          <w:color w:val="000000"/>
        </w:rPr>
        <w:t xml:space="preserve">, es un dato que es susceptible de consulta en el Registro Nacional de Profesiones que se localiza en la página electrónica de la Secretaría de Educación Pública y/o equivalente de las entidades </w:t>
      </w:r>
      <w:r w:rsidRPr="00A43775">
        <w:rPr>
          <w:rFonts w:ascii="Palatino Linotype" w:eastAsia="Palatino Linotype" w:hAnsi="Palatino Linotype" w:cs="Palatino Linotype"/>
          <w:color w:val="000000"/>
        </w:rPr>
        <w:lastRenderedPageBreak/>
        <w:t>federativas, es decir, es un dato que obra en registros públicos</w:t>
      </w:r>
      <w:r w:rsidRPr="00A43775">
        <w:rPr>
          <w:rFonts w:ascii="Palatino Linotype" w:eastAsia="Palatino Linotype" w:hAnsi="Palatino Linotype" w:cs="Palatino Linotype"/>
          <w:b/>
          <w:bCs/>
          <w:color w:val="000000"/>
        </w:rPr>
        <w:t xml:space="preserve">, no susceptible de actualizar causal alguna de clasificación, </w:t>
      </w:r>
      <w:r w:rsidRPr="00A43775">
        <w:rPr>
          <w:rFonts w:ascii="Palatino Linotype" w:eastAsia="Palatino Linotype" w:hAnsi="Palatino Linotype" w:cs="Palatino Linotype"/>
          <w:color w:val="000000"/>
        </w:rPr>
        <w:t xml:space="preserve"> por lo que de dicha consulta es posible conocer también el nombre del profesionista relacionado a tal número de cédula;  constituye por tanto dentro del contrato de compra de los bienes adquiridos por el ayuntamiento un medio de dar certeza respecto a que los estados financieros presentados como requisito para la celebración del contrato hayan sido procesados por un profesional en la materia.</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b/>
          <w:bCs/>
          <w:color w:val="000000"/>
        </w:rPr>
      </w:pPr>
    </w:p>
    <w:p w:rsidR="00C42463" w:rsidRPr="00C42463" w:rsidRDefault="00AB7E1C" w:rsidP="00C42463">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D0D0D"/>
        </w:rPr>
      </w:pPr>
      <w:r w:rsidRPr="00A43775">
        <w:rPr>
          <w:rFonts w:ascii="Palatino Linotype" w:eastAsia="Palatino Linotype" w:hAnsi="Palatino Linotype" w:cs="Palatino Linotype"/>
          <w:color w:val="000000"/>
        </w:rPr>
        <w:t xml:space="preserve">Ahora bien, existen datos que si bien fueron testados por ser susceptibles de ser clasificados, los mismos no fueron acompañados por el Acuerdo del Comité de Transparencia que funde y motive tal clasificación a saber y de forma enunciativa </w:t>
      </w:r>
    </w:p>
    <w:p w:rsidR="00086DA7" w:rsidRPr="00A43775" w:rsidRDefault="00AB7E1C">
      <w:pPr>
        <w:numPr>
          <w:ilvl w:val="0"/>
          <w:numId w:val="20"/>
        </w:numPr>
        <w:pBdr>
          <w:top w:val="nil"/>
          <w:left w:val="nil"/>
          <w:bottom w:val="nil"/>
          <w:right w:val="nil"/>
          <w:between w:val="nil"/>
        </w:pBdr>
        <w:ind w:left="0" w:firstLine="0"/>
        <w:rPr>
          <w:rFonts w:ascii="Palatino Linotype" w:eastAsia="Palatino Linotype" w:hAnsi="Palatino Linotype" w:cs="Palatino Linotype"/>
          <w:color w:val="000000"/>
        </w:rPr>
      </w:pPr>
      <w:r w:rsidRPr="00A43775">
        <w:rPr>
          <w:rFonts w:ascii="Palatino Linotype" w:eastAsia="Palatino Linotype" w:hAnsi="Palatino Linotype" w:cs="Palatino Linotype"/>
          <w:b/>
          <w:bCs/>
          <w:i/>
          <w:iCs/>
          <w:color w:val="000000"/>
        </w:rPr>
        <w:t>Número y folio de credencial de elector del representante legal del proveedor</w:t>
      </w:r>
      <w:r w:rsidRPr="00A43775">
        <w:rPr>
          <w:rFonts w:ascii="Palatino Linotype" w:eastAsia="Palatino Linotype" w:hAnsi="Palatino Linotype" w:cs="Palatino Linotype"/>
          <w:color w:val="000000"/>
        </w:rPr>
        <w:t>.</w:t>
      </w:r>
    </w:p>
    <w:p w:rsidR="00086DA7" w:rsidRPr="00A43775" w:rsidRDefault="00086DA7">
      <w:pPr>
        <w:rPr>
          <w:rFonts w:ascii="Palatino Linotype" w:eastAsia="Palatino Linotype" w:hAnsi="Palatino Linotype" w:cs="Palatino Linotype"/>
        </w:rPr>
      </w:pPr>
    </w:p>
    <w:p w:rsidR="00086DA7" w:rsidRPr="00A43775" w:rsidRDefault="00AB7E1C">
      <w:pPr>
        <w:numPr>
          <w:ilvl w:val="0"/>
          <w:numId w:val="17"/>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rsidR="00086DA7" w:rsidRPr="00A43775" w:rsidRDefault="00AB7E1C">
      <w:pPr>
        <w:tabs>
          <w:tab w:val="left" w:pos="8222"/>
        </w:tabs>
        <w:ind w:left="851" w:right="90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r w:rsidRPr="00A43775">
        <w:rPr>
          <w:rFonts w:ascii="Palatino Linotype" w:eastAsia="Palatino Linotype" w:hAnsi="Palatino Linotype" w:cs="Palatino Linotype"/>
          <w:b/>
          <w:bCs/>
          <w:i/>
          <w:iCs/>
        </w:rPr>
        <w:t>Artículo 156</w:t>
      </w:r>
      <w:r w:rsidRPr="00A43775">
        <w:rPr>
          <w:rFonts w:ascii="Palatino Linotype" w:eastAsia="Palatino Linotype" w:hAnsi="Palatino Linotype" w:cs="Palatino Linotype"/>
          <w:i/>
          <w:iCs/>
        </w:rPr>
        <w:t>.</w:t>
      </w:r>
    </w:p>
    <w:p w:rsidR="00086DA7" w:rsidRPr="00A43775" w:rsidRDefault="00AB7E1C">
      <w:pPr>
        <w:tabs>
          <w:tab w:val="left" w:pos="8222"/>
        </w:tabs>
        <w:ind w:left="851" w:right="902"/>
        <w:jc w:val="both"/>
        <w:rPr>
          <w:rFonts w:ascii="Palatino Linotype" w:eastAsia="Palatino Linotype" w:hAnsi="Palatino Linotype" w:cs="Palatino Linotype"/>
          <w:i/>
          <w:iCs/>
        </w:rPr>
      </w:pPr>
      <w:r w:rsidRPr="00A43775">
        <w:rPr>
          <w:rFonts w:ascii="Palatino Linotype" w:eastAsia="Palatino Linotype" w:hAnsi="Palatino Linotype" w:cs="Palatino Linotype"/>
          <w:b/>
          <w:bCs/>
          <w:i/>
          <w:iCs/>
        </w:rPr>
        <w:t>1.</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b/>
          <w:bCs/>
          <w:i/>
          <w:iCs/>
          <w:u w:val="single"/>
        </w:rPr>
        <w:t>La credencial para votar deberá contener, cuando menos, los siguientes datos del elector</w:t>
      </w:r>
      <w:r w:rsidRPr="00A43775">
        <w:rPr>
          <w:rFonts w:ascii="Palatino Linotype" w:eastAsia="Palatino Linotype" w:hAnsi="Palatino Linotype" w:cs="Palatino Linotype"/>
          <w:i/>
          <w:iCs/>
        </w:rPr>
        <w:t>:</w:t>
      </w:r>
    </w:p>
    <w:p w:rsidR="00086DA7" w:rsidRPr="00A43775" w:rsidRDefault="00AB7E1C">
      <w:pPr>
        <w:tabs>
          <w:tab w:val="left" w:pos="8222"/>
        </w:tabs>
        <w:ind w:left="851" w:right="90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AB7E1C">
      <w:pPr>
        <w:tabs>
          <w:tab w:val="left" w:pos="8222"/>
        </w:tabs>
        <w:ind w:left="851" w:right="90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d) </w:t>
      </w:r>
      <w:r w:rsidRPr="00A43775">
        <w:rPr>
          <w:rFonts w:ascii="Palatino Linotype" w:eastAsia="Palatino Linotype" w:hAnsi="Palatino Linotype" w:cs="Palatino Linotype"/>
          <w:b/>
          <w:bCs/>
          <w:i/>
          <w:iCs/>
          <w:u w:val="single"/>
        </w:rPr>
        <w:t>Domicilio</w:t>
      </w:r>
      <w:r w:rsidRPr="00A43775">
        <w:rPr>
          <w:rFonts w:ascii="Palatino Linotype" w:eastAsia="Palatino Linotype" w:hAnsi="Palatino Linotype" w:cs="Palatino Linotype"/>
          <w:i/>
          <w:iCs/>
        </w:rPr>
        <w:t>;</w:t>
      </w:r>
    </w:p>
    <w:p w:rsidR="00086DA7" w:rsidRPr="00A43775" w:rsidRDefault="00AB7E1C">
      <w:pPr>
        <w:tabs>
          <w:tab w:val="left" w:pos="8222"/>
        </w:tabs>
        <w:ind w:left="851" w:right="90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AB7E1C">
      <w:pPr>
        <w:tabs>
          <w:tab w:val="left" w:pos="8222"/>
        </w:tabs>
        <w:ind w:left="851" w:right="90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g) </w:t>
      </w:r>
      <w:r w:rsidRPr="00A43775">
        <w:rPr>
          <w:rFonts w:ascii="Palatino Linotype" w:eastAsia="Palatino Linotype" w:hAnsi="Palatino Linotype" w:cs="Palatino Linotype"/>
          <w:b/>
          <w:bCs/>
          <w:i/>
          <w:iCs/>
        </w:rPr>
        <w:t>Firma</w:t>
      </w:r>
      <w:r w:rsidRPr="00A43775">
        <w:rPr>
          <w:rFonts w:ascii="Palatino Linotype" w:eastAsia="Palatino Linotype" w:hAnsi="Palatino Linotype" w:cs="Palatino Linotype"/>
          <w:i/>
          <w:iCs/>
        </w:rPr>
        <w:t xml:space="preserve">, </w:t>
      </w:r>
      <w:r w:rsidRPr="00A43775">
        <w:rPr>
          <w:rFonts w:ascii="Palatino Linotype" w:eastAsia="Palatino Linotype" w:hAnsi="Palatino Linotype" w:cs="Palatino Linotype"/>
          <w:b/>
          <w:bCs/>
          <w:i/>
          <w:iCs/>
          <w:u w:val="single"/>
        </w:rPr>
        <w:t>huella digital</w:t>
      </w:r>
      <w:r w:rsidRPr="00A43775">
        <w:rPr>
          <w:rFonts w:ascii="Palatino Linotype" w:eastAsia="Palatino Linotype" w:hAnsi="Palatino Linotype" w:cs="Palatino Linotype"/>
          <w:i/>
          <w:iCs/>
        </w:rPr>
        <w:t xml:space="preserve"> y </w:t>
      </w:r>
      <w:r w:rsidRPr="00A43775">
        <w:rPr>
          <w:rFonts w:ascii="Palatino Linotype" w:eastAsia="Palatino Linotype" w:hAnsi="Palatino Linotype" w:cs="Palatino Linotype"/>
          <w:b/>
          <w:bCs/>
          <w:i/>
          <w:iCs/>
          <w:u w:val="single"/>
        </w:rPr>
        <w:t>fotografía del elector</w:t>
      </w:r>
      <w:r w:rsidRPr="00A43775">
        <w:rPr>
          <w:rFonts w:ascii="Palatino Linotype" w:eastAsia="Palatino Linotype" w:hAnsi="Palatino Linotype" w:cs="Palatino Linotype"/>
          <w:i/>
          <w:iCs/>
        </w:rPr>
        <w:t>;</w:t>
      </w:r>
    </w:p>
    <w:p w:rsidR="00086DA7" w:rsidRPr="00A43775" w:rsidRDefault="00AB7E1C">
      <w:pPr>
        <w:tabs>
          <w:tab w:val="left" w:pos="8222"/>
        </w:tabs>
        <w:ind w:left="851" w:right="90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w:t>
      </w:r>
    </w:p>
    <w:p w:rsidR="00086DA7" w:rsidRPr="00A43775" w:rsidRDefault="00AB7E1C">
      <w:pPr>
        <w:tabs>
          <w:tab w:val="left" w:pos="8222"/>
        </w:tabs>
        <w:ind w:left="851" w:right="90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i) </w:t>
      </w:r>
      <w:r w:rsidRPr="00A43775">
        <w:rPr>
          <w:rFonts w:ascii="Palatino Linotype" w:eastAsia="Palatino Linotype" w:hAnsi="Palatino Linotype" w:cs="Palatino Linotype"/>
          <w:b/>
          <w:bCs/>
          <w:i/>
          <w:iCs/>
          <w:u w:val="single"/>
        </w:rPr>
        <w:t>Clave Única del Registro de Población</w:t>
      </w:r>
      <w:r w:rsidRPr="00A43775">
        <w:rPr>
          <w:rFonts w:ascii="Palatino Linotype" w:eastAsia="Palatino Linotype" w:hAnsi="Palatino Linotype" w:cs="Palatino Linotype"/>
          <w:i/>
          <w:iCs/>
        </w:rPr>
        <w:t>. ” (Sic)</w:t>
      </w:r>
    </w:p>
    <w:p w:rsidR="00086DA7" w:rsidRPr="00A43775" w:rsidRDefault="00086DA7">
      <w:pPr>
        <w:tabs>
          <w:tab w:val="left" w:pos="8222"/>
        </w:tabs>
        <w:ind w:left="851" w:right="902"/>
        <w:jc w:val="both"/>
        <w:rPr>
          <w:rFonts w:ascii="Palatino Linotype" w:eastAsia="Palatino Linotype" w:hAnsi="Palatino Linotype" w:cs="Palatino Linotype"/>
          <w:i/>
          <w:iCs/>
        </w:rPr>
      </w:pPr>
    </w:p>
    <w:p w:rsidR="00086DA7" w:rsidRPr="00A43775" w:rsidRDefault="00AB7E1C">
      <w:pPr>
        <w:tabs>
          <w:tab w:val="left" w:pos="8222"/>
        </w:tabs>
        <w:ind w:left="851" w:right="902"/>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Énfasis añadido.</w:t>
      </w:r>
    </w:p>
    <w:p w:rsidR="00086DA7" w:rsidRPr="00A43775" w:rsidRDefault="00086DA7">
      <w:pPr>
        <w:tabs>
          <w:tab w:val="left" w:pos="8222"/>
        </w:tabs>
        <w:ind w:left="851" w:right="902"/>
        <w:jc w:val="both"/>
        <w:rPr>
          <w:rFonts w:ascii="Palatino Linotype" w:eastAsia="Palatino Linotype" w:hAnsi="Palatino Linotype" w:cs="Palatino Linotype"/>
          <w:i/>
          <w:iCs/>
        </w:rPr>
      </w:pPr>
    </w:p>
    <w:p w:rsidR="00086DA7" w:rsidRPr="00A43775" w:rsidRDefault="00AB7E1C">
      <w:pPr>
        <w:numPr>
          <w:ilvl w:val="0"/>
          <w:numId w:val="17"/>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Así, el conocimiento de dichos datos afecta la esfera más íntima de su Titular, en razón de que su utilización indebida pueda dar origen a un riesgo grave para éste.</w:t>
      </w:r>
    </w:p>
    <w:p w:rsidR="00086DA7" w:rsidRPr="00A43775" w:rsidRDefault="00086DA7">
      <w:pPr>
        <w:spacing w:before="240" w:after="240"/>
        <w:jc w:val="both"/>
        <w:rPr>
          <w:rFonts w:ascii="Palatino Linotype" w:eastAsia="Palatino Linotype" w:hAnsi="Palatino Linotype" w:cs="Palatino Linotype"/>
        </w:rPr>
      </w:pPr>
    </w:p>
    <w:p w:rsidR="00086DA7" w:rsidRPr="00A43775" w:rsidRDefault="00AB7E1C">
      <w:pPr>
        <w:numPr>
          <w:ilvl w:val="0"/>
          <w:numId w:val="17"/>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086DA7" w:rsidRPr="00A43775" w:rsidRDefault="00AB7E1C">
      <w:pPr>
        <w:spacing w:before="240" w:after="240" w:line="360" w:lineRule="auto"/>
        <w:ind w:right="49"/>
        <w:jc w:val="center"/>
        <w:rPr>
          <w:rFonts w:ascii="Palatino Linotype" w:eastAsia="Palatino Linotype" w:hAnsi="Palatino Linotype" w:cs="Palatino Linotype"/>
        </w:rPr>
      </w:pPr>
      <w:r w:rsidRPr="00A43775">
        <w:rPr>
          <w:rFonts w:ascii="Palatino Linotype" w:eastAsia="Palatino Linotype" w:hAnsi="Palatino Linotype" w:cs="Palatino Linotype"/>
          <w:noProof/>
          <w:lang w:val="es-MX"/>
        </w:rPr>
        <w:drawing>
          <wp:inline distT="0" distB="0" distL="0" distR="0">
            <wp:extent cx="3880778" cy="1929187"/>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b="2760"/>
                    <a:stretch>
                      <a:fillRect/>
                    </a:stretch>
                  </pic:blipFill>
                  <pic:spPr>
                    <a:xfrm>
                      <a:off x="0" y="0"/>
                      <a:ext cx="3880778" cy="1929187"/>
                    </a:xfrm>
                    <a:prstGeom prst="rect">
                      <a:avLst/>
                    </a:prstGeom>
                    <a:ln/>
                  </pic:spPr>
                </pic:pic>
              </a:graphicData>
            </a:graphic>
          </wp:inline>
        </w:drawing>
      </w:r>
      <w:r w:rsidRPr="00A43775">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972260</wp:posOffset>
                </wp:positionH>
                <wp:positionV relativeFrom="paragraph">
                  <wp:posOffset>1633093</wp:posOffset>
                </wp:positionV>
                <wp:extent cx="3397913" cy="26348"/>
                <wp:effectExtent l="0" t="0" r="0" b="0"/>
                <wp:wrapNone/>
                <wp:docPr id="6" name="Conector recto de flecha 6"/>
                <wp:cNvGraphicFramePr/>
                <a:graphic xmlns:a="http://schemas.openxmlformats.org/drawingml/2006/main">
                  <a:graphicData uri="http://schemas.microsoft.com/office/word/2010/wordprocessingShape">
                    <wps:wsp>
                      <wps:cNvCnPr/>
                      <wps:spPr>
                        <a:xfrm>
                          <a:off x="3653394" y="3773176"/>
                          <a:ext cx="3385213" cy="13648"/>
                        </a:xfrm>
                        <a:prstGeom prst="straightConnector1">
                          <a:avLst/>
                        </a:prstGeom>
                        <a:noFill/>
                        <a:ln w="12700" cap="flat" cmpd="sng">
                          <a:solidFill>
                            <a:srgbClr val="FF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972260</wp:posOffset>
                </wp:positionH>
                <wp:positionV relativeFrom="paragraph">
                  <wp:posOffset>1633093</wp:posOffset>
                </wp:positionV>
                <wp:extent cx="3397913" cy="26348"/>
                <wp:effectExtent b="0" l="0" r="0" t="0"/>
                <wp:wrapNone/>
                <wp:docPr id="6"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3397913" cy="26348"/>
                        </a:xfrm>
                        <a:prstGeom prst="rect"/>
                        <a:ln/>
                      </pic:spPr>
                    </pic:pic>
                  </a:graphicData>
                </a:graphic>
              </wp:anchor>
            </w:drawing>
          </mc:Fallback>
        </mc:AlternateContent>
      </w:r>
    </w:p>
    <w:p w:rsidR="00086DA7" w:rsidRPr="00A43775" w:rsidRDefault="00AB7E1C">
      <w:pPr>
        <w:numPr>
          <w:ilvl w:val="0"/>
          <w:numId w:val="17"/>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Respecto a la edad, número identificador (OCR) y código de barras bidimensional y cifrado contenidos en las credenciales para votar, se advierte que se trata de elementos de información, control y presentación, de conformidad a lo señalado </w:t>
      </w:r>
      <w:r w:rsidRPr="00A43775">
        <w:rPr>
          <w:rFonts w:ascii="Palatino Linotype" w:eastAsia="Palatino Linotype" w:hAnsi="Palatino Linotype" w:cs="Palatino Linotype"/>
          <w:color w:val="000000"/>
        </w:rPr>
        <w:lastRenderedPageBreak/>
        <w:t xml:space="preserve">por el Instituto Nacional Electoral, en la página de Internet Institucional, http://portalanterior.ine.mx/archivos2/portal/credencial/pdf-credencial/ABC_credenciales_ INE_2015.pdf, como se muestra a continuación, en su parte medular: </w:t>
      </w:r>
    </w:p>
    <w:p w:rsidR="00086DA7" w:rsidRPr="00A43775" w:rsidRDefault="00AB7E1C">
      <w:pPr>
        <w:spacing w:before="240" w:after="240" w:line="360" w:lineRule="auto"/>
        <w:jc w:val="center"/>
        <w:rPr>
          <w:rFonts w:ascii="Palatino Linotype" w:eastAsia="Palatino Linotype" w:hAnsi="Palatino Linotype" w:cs="Palatino Linotype"/>
        </w:rPr>
      </w:pPr>
      <w:r w:rsidRPr="00A43775">
        <w:rPr>
          <w:rFonts w:ascii="Palatino Linotype" w:eastAsia="Palatino Linotype" w:hAnsi="Palatino Linotype" w:cs="Palatino Linotype"/>
          <w:noProof/>
          <w:lang w:val="es-MX"/>
        </w:rPr>
        <w:drawing>
          <wp:inline distT="0" distB="0" distL="0" distR="0">
            <wp:extent cx="5619984" cy="1859312"/>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619984" cy="1859312"/>
                    </a:xfrm>
                    <a:prstGeom prst="rect">
                      <a:avLst/>
                    </a:prstGeom>
                    <a:ln/>
                  </pic:spPr>
                </pic:pic>
              </a:graphicData>
            </a:graphic>
          </wp:inline>
        </w:drawing>
      </w:r>
    </w:p>
    <w:p w:rsidR="00086DA7" w:rsidRPr="00A43775" w:rsidRDefault="00AB7E1C">
      <w:pPr>
        <w:widowControl w:val="0"/>
        <w:spacing w:before="240" w:after="240" w:line="360" w:lineRule="auto"/>
        <w:jc w:val="center"/>
        <w:rPr>
          <w:rFonts w:ascii="Palatino Linotype" w:eastAsia="Palatino Linotype" w:hAnsi="Palatino Linotype" w:cs="Palatino Linotype"/>
        </w:rPr>
      </w:pPr>
      <w:r w:rsidRPr="00A43775">
        <w:rPr>
          <w:rFonts w:ascii="Palatino Linotype" w:eastAsia="Palatino Linotype" w:hAnsi="Palatino Linotype" w:cs="Palatino Linotype"/>
          <w:noProof/>
          <w:lang w:val="es-MX"/>
        </w:rPr>
        <w:drawing>
          <wp:inline distT="0" distB="0" distL="0" distR="0">
            <wp:extent cx="5092548" cy="2258032"/>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092548" cy="2258032"/>
                    </a:xfrm>
                    <a:prstGeom prst="rect">
                      <a:avLst/>
                    </a:prstGeom>
                    <a:ln/>
                  </pic:spPr>
                </pic:pic>
              </a:graphicData>
            </a:graphic>
          </wp:inline>
        </w:drawing>
      </w:r>
      <w:r w:rsidRPr="00A43775">
        <w:rPr>
          <w:noProof/>
          <w:lang w:val="es-MX"/>
        </w:rPr>
        <mc:AlternateContent>
          <mc:Choice Requires="wps">
            <w:drawing>
              <wp:anchor distT="0" distB="0" distL="114300" distR="114300" simplePos="0" relativeHeight="251663360" behindDoc="0" locked="0" layoutInCell="1" hidden="0" allowOverlap="1">
                <wp:simplePos x="0" y="0"/>
                <wp:positionH relativeFrom="column">
                  <wp:posOffset>1139190</wp:posOffset>
                </wp:positionH>
                <wp:positionV relativeFrom="paragraph">
                  <wp:posOffset>1232535</wp:posOffset>
                </wp:positionV>
                <wp:extent cx="2523414" cy="355600"/>
                <wp:effectExtent l="0" t="0" r="0" b="0"/>
                <wp:wrapNone/>
                <wp:docPr id="4" name="Rectángulo 4"/>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rsidR="00A43775" w:rsidRDefault="00A43775">
                            <w:pPr>
                              <w:textDirection w:val="btLr"/>
                            </w:pPr>
                          </w:p>
                        </w:txbxContent>
                      </wps:txbx>
                      <wps:bodyPr spcFirstLastPara="1" wrap="square" lIns="91425" tIns="91425" rIns="91425" bIns="91425" anchor="ctr" anchorCtr="0">
                        <a:noAutofit/>
                      </wps:bodyPr>
                    </wps:wsp>
                  </a:graphicData>
                </a:graphic>
              </wp:anchor>
            </w:drawing>
          </mc:Choice>
          <mc:Fallback>
            <w:pict>
              <v:rect id="Rectángulo 4" o:spid="_x0000_s1026" style="position:absolute;left:0;text-align:left;margin-left:89.7pt;margin-top:97.05pt;width:198.7pt;height:2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EENAIAAE0EAAAOAAAAZHJzL2Uyb0RvYy54bWysVFuOEzEQ/EfiDpb/2ZnJiyTKZIU2BCGt&#10;IGLhAI7Hk7HkF7bzOg5n4WKUPWET4AMJkQ+nO25XV3dXZ3F/0oochA/SmppWdyUlwnDbSLOr6ZfP&#10;61dTSkJkpmHKGlHTswj0fvnyxeLo5mJgO6sa4QlATJgfXU27GN28KALvhGbhzjphcNlar1mE63dF&#10;49kR6FoVg7KcFEfrG+ctFyHg11V/SZcZv20Fjx/bNohIVE3BLebT53ObzmK5YPOdZ66T/EKD/QML&#10;zaRB0meoFYuM7L38A0pL7m2wbbzjVhe2bSUXuQZUU5W/VfPUMSdyLWhOcM9tCv8Pln84bDyRTU1H&#10;lBimMaJPaNr3b2a3V5aMUoOOLswR9+Q2/uIFmKnaU+t1+kYd5ASIcjacVpj4uabDSVW9Hoz7BotT&#10;JBwBg3E5Gk6QiaeI4WQ8zhMorkjOh/hOWE2SUVMPLrmv7PAYIrIj9GdISmzsWiqVh6gMOUKBsxKY&#10;hDNoqVUswtQO1QWzyzjBKtmkN+l18Lvtg/LkwKCO9brEJ/FFjl/CUsIVC10fl6/6srSMEK+SuqbT&#10;9Pgip06w5q1pSDw7tNNA9zRRC5oSJbAlMDLjyKT6exzYKANSaQp935MVT9sTQJK5tc0ZMwyOryWY&#10;PrIQN8xDxRXSQtlI+HXPPEio9wbSmVUjzIXEW8ffOttbhxneWSwMj56S3nmIeYH6/r/ZR9vKPJor&#10;mQtdaDZ387JfaSlu/Rx1/RdY/gAAAP//AwBQSwMEFAAGAAgAAAAhALAEcrTfAAAACwEAAA8AAABk&#10;cnMvZG93bnJldi54bWxMj8tOwzAQRfdI/IM1SOyok7ZJaYhTISQqIVZtEGsnHuJQP6LYTcPfM6zK&#10;bq7m6D7K3WwNm3AMvXcC0kUCDF3rVe86AR/168MjsBClU9J4hwJ+MMCuur0pZaH8xR1wOsaOkYkL&#10;hRSgYxwKzkOr0cqw8AM6+n350cpIcuy4GuWFzK3hyyTJuZW9owQtB3zR2J6OZytgOvSfZv+mv1W9&#10;inW2z5vstHoX4v5ufn4CFnGOVxj+6lN1qKhT489OBWZIb7ZrQunYrlNgRGSbnMY0ApZZkgKvSv5/&#10;Q/ULAAD//wMAUEsBAi0AFAAGAAgAAAAhALaDOJL+AAAA4QEAABMAAAAAAAAAAAAAAAAAAAAAAFtD&#10;b250ZW50X1R5cGVzXS54bWxQSwECLQAUAAYACAAAACEAOP0h/9YAAACUAQAACwAAAAAAAAAAAAAA&#10;AAAvAQAAX3JlbHMvLnJlbHNQSwECLQAUAAYACAAAACEALW2xBDQCAABNBAAADgAAAAAAAAAAAAAA&#10;AAAuAgAAZHJzL2Uyb0RvYy54bWxQSwECLQAUAAYACAAAACEAsARytN8AAAALAQAADwAAAAAAAAAA&#10;AAAAAACOBAAAZHJzL2Rvd25yZXYueG1sUEsFBgAAAAAEAAQA8wAAAJoFAAAAAA==&#10;" filled="f" strokecolor="red" strokeweight="1.5pt">
                <v:stroke startarrowwidth="narrow" startarrowlength="short" endarrowwidth="narrow" endarrowlength="short"/>
                <v:textbox inset="2.53958mm,2.53958mm,2.53958mm,2.53958mm">
                  <w:txbxContent>
                    <w:p w:rsidR="00A43775" w:rsidRDefault="00A43775">
                      <w:pPr>
                        <w:textDirection w:val="btLr"/>
                      </w:pPr>
                    </w:p>
                  </w:txbxContent>
                </v:textbox>
              </v:rect>
            </w:pict>
          </mc:Fallback>
        </mc:AlternateContent>
      </w:r>
    </w:p>
    <w:p w:rsidR="00086DA7" w:rsidRPr="00A43775" w:rsidRDefault="00AB7E1C">
      <w:pPr>
        <w:widowControl w:val="0"/>
        <w:numPr>
          <w:ilvl w:val="0"/>
          <w:numId w:val="17"/>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086DA7" w:rsidRPr="00A43775" w:rsidRDefault="00086DA7">
      <w:pPr>
        <w:jc w:val="both"/>
        <w:rPr>
          <w:rFonts w:ascii="Palatino Linotype" w:eastAsia="Palatino Linotype" w:hAnsi="Palatino Linotype" w:cs="Palatino Linotype"/>
          <w:color w:val="000000"/>
        </w:rPr>
      </w:pPr>
    </w:p>
    <w:p w:rsidR="00086DA7" w:rsidRPr="00A43775" w:rsidRDefault="00AB7E1C">
      <w:pPr>
        <w:numPr>
          <w:ilvl w:val="0"/>
          <w:numId w:val="21"/>
        </w:numPr>
        <w:spacing w:line="360" w:lineRule="auto"/>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En razón de lo expuesto y como ha quedado demostrado, se presume que la información debe existir al referirse a las facultades, competencias y funciones que los ordenamientos jurídicos aplicables otorgan a los sujetos obligados.</w:t>
      </w:r>
    </w:p>
    <w:p w:rsidR="00086DA7" w:rsidRPr="00A43775" w:rsidRDefault="00086DA7">
      <w:pPr>
        <w:spacing w:line="360" w:lineRule="auto"/>
        <w:jc w:val="both"/>
        <w:rPr>
          <w:rFonts w:ascii="Palatino Linotype" w:eastAsia="Palatino Linotype" w:hAnsi="Palatino Linotype" w:cs="Palatino Linotype"/>
          <w:color w:val="000000"/>
        </w:rPr>
      </w:pPr>
    </w:p>
    <w:p w:rsidR="00086DA7" w:rsidRPr="00A43775" w:rsidRDefault="00AB7E1C">
      <w:pPr>
        <w:numPr>
          <w:ilvl w:val="0"/>
          <w:numId w:val="21"/>
        </w:numP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Es de recordar que para la información requerida y que el </w:t>
      </w:r>
      <w:r w:rsidRPr="00A43775">
        <w:rPr>
          <w:rFonts w:ascii="Palatino Linotype" w:eastAsia="Palatino Linotype" w:hAnsi="Palatino Linotype" w:cs="Palatino Linotype"/>
          <w:b/>
          <w:bCs/>
          <w:color w:val="000000"/>
        </w:rPr>
        <w:t>SUJETO OBLIGADO</w:t>
      </w:r>
      <w:r w:rsidRPr="00A43775">
        <w:rPr>
          <w:rFonts w:ascii="Palatino Linotype" w:eastAsia="Palatino Linotype" w:hAnsi="Palatino Linotype" w:cs="Palatino Linotype"/>
          <w:color w:val="000000"/>
        </w:rPr>
        <w:t xml:space="preserve"> </w:t>
      </w:r>
      <w:r w:rsidRPr="00A43775">
        <w:rPr>
          <w:rFonts w:ascii="Palatino Linotype" w:eastAsia="Palatino Linotype" w:hAnsi="Palatino Linotype" w:cs="Palatino Linotype"/>
          <w:b/>
          <w:bCs/>
          <w:color w:val="000000"/>
        </w:rPr>
        <w:t>no remitió información alguna</w:t>
      </w:r>
      <w:r w:rsidRPr="00A43775">
        <w:rPr>
          <w:rFonts w:ascii="Palatino Linotype" w:eastAsia="Palatino Linotype" w:hAnsi="Palatino Linotype" w:cs="Palatino Linotype"/>
          <w:color w:val="000000"/>
        </w:rPr>
        <w:t xml:space="preserve">, deberá realizar una búsqueda exhaustiva y razonable en la unidad administrativa competente, con la finalidad de entregar la que resulta de interés para </w:t>
      </w:r>
      <w:r w:rsidRPr="00A43775">
        <w:rPr>
          <w:rFonts w:ascii="Palatino Linotype" w:eastAsia="Palatino Linotype" w:hAnsi="Palatino Linotype" w:cs="Palatino Linotype"/>
          <w:b/>
          <w:bCs/>
          <w:color w:val="000000"/>
        </w:rPr>
        <w:t>EL RECURRENTE</w:t>
      </w:r>
      <w:r w:rsidRPr="00A43775">
        <w:rPr>
          <w:rFonts w:ascii="Palatino Linotype" w:eastAsia="Palatino Linotype" w:hAnsi="Palatino Linotype" w:cs="Palatino Linotype"/>
          <w:color w:val="000000"/>
        </w:rPr>
        <w:t>.</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numPr>
          <w:ilvl w:val="0"/>
          <w:numId w:val="30"/>
        </w:numPr>
        <w:pBdr>
          <w:top w:val="nil"/>
          <w:left w:val="nil"/>
          <w:bottom w:val="nil"/>
          <w:right w:val="nil"/>
          <w:between w:val="nil"/>
        </w:pBdr>
        <w:spacing w:before="80" w:after="240" w:line="360" w:lineRule="auto"/>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Al respecto de lo expuesto, se destaca que la versión pública que elabore el </w:t>
      </w:r>
      <w:r w:rsidRPr="00A43775">
        <w:rPr>
          <w:rFonts w:ascii="Palatino Linotype" w:eastAsia="Palatino Linotype" w:hAnsi="Palatino Linotype" w:cs="Palatino Linotype"/>
          <w:b/>
          <w:bCs/>
          <w:color w:val="000000"/>
        </w:rPr>
        <w:t>SUJETO OBLIGADO</w:t>
      </w:r>
      <w:r w:rsidRPr="00A43775">
        <w:rPr>
          <w:rFonts w:ascii="Palatino Linotype" w:eastAsia="Palatino Linotype" w:hAnsi="Palatino Linotype" w:cs="Palatino Linotype"/>
          <w:color w:val="000000"/>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w:t>
      </w:r>
    </w:p>
    <w:p w:rsidR="00086DA7" w:rsidRPr="00A43775" w:rsidRDefault="00086DA7">
      <w:pPr>
        <w:spacing w:before="80" w:after="240"/>
        <w:jc w:val="both"/>
        <w:rPr>
          <w:rFonts w:ascii="Palatino Linotype" w:eastAsia="Palatino Linotype" w:hAnsi="Palatino Linotype" w:cs="Palatino Linotype"/>
        </w:rPr>
      </w:pPr>
    </w:p>
    <w:p w:rsidR="00086DA7" w:rsidRPr="00A43775" w:rsidRDefault="00AB7E1C">
      <w:pPr>
        <w:numPr>
          <w:ilvl w:val="0"/>
          <w:numId w:val="30"/>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numPr>
          <w:ilvl w:val="0"/>
          <w:numId w:val="30"/>
        </w:numPr>
        <w:pBdr>
          <w:top w:val="nil"/>
          <w:left w:val="nil"/>
          <w:bottom w:val="nil"/>
          <w:right w:val="nil"/>
          <w:between w:val="nil"/>
        </w:pBdr>
        <w:shd w:val="clear" w:color="auto" w:fill="FFFFFF"/>
        <w:spacing w:line="360" w:lineRule="auto"/>
        <w:ind w:left="0" w:right="51" w:firstLine="0"/>
        <w:jc w:val="both"/>
        <w:rPr>
          <w:rFonts w:ascii="Palatino Linotype" w:eastAsia="Palatino Linotype" w:hAnsi="Palatino Linotype" w:cs="Palatino Linotype"/>
          <w:b/>
          <w:bCs/>
          <w:color w:val="000000"/>
        </w:rPr>
      </w:pPr>
      <w:r w:rsidRPr="00A43775">
        <w:rPr>
          <w:rFonts w:ascii="Palatino Linotype" w:eastAsia="Palatino Linotype" w:hAnsi="Palatino Linotype" w:cs="Palatino Linotype"/>
          <w:color w:val="000000"/>
        </w:rPr>
        <w:t>Por lo tanto, la entrega de documentos en su versión pública debe acompañarse necesariamente del Acuerdo del Comité de Transparencia que la sustente, en el que se expongan los fundamentos y razonamientos que llevaron al </w:t>
      </w:r>
      <w:r w:rsidRPr="00A43775">
        <w:rPr>
          <w:rFonts w:ascii="Palatino Linotype" w:eastAsia="Palatino Linotype" w:hAnsi="Palatino Linotype" w:cs="Palatino Linotype"/>
          <w:b/>
          <w:bCs/>
          <w:color w:val="000000"/>
        </w:rPr>
        <w:t>SUJETO OBLIGADO</w:t>
      </w:r>
      <w:r w:rsidRPr="00A43775">
        <w:rPr>
          <w:rFonts w:ascii="Palatino Linotype" w:eastAsia="Palatino Linotype" w:hAnsi="Palatino Linotype" w:cs="Palatino Linotype"/>
          <w:color w:val="000000"/>
        </w:rPr>
        <w:t xml:space="preserve"> a </w:t>
      </w:r>
      <w:r w:rsidRPr="00A43775">
        <w:rPr>
          <w:rFonts w:ascii="Palatino Linotype" w:eastAsia="Palatino Linotype" w:hAnsi="Palatino Linotype" w:cs="Palatino Linotype"/>
          <w:color w:val="000000"/>
        </w:rPr>
        <w:lastRenderedPageBreak/>
        <w:t>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A43775">
        <w:rPr>
          <w:rFonts w:ascii="Palatino Linotype" w:eastAsia="Palatino Linotype" w:hAnsi="Palatino Linotype" w:cs="Palatino Linotype"/>
          <w:b/>
          <w:bCs/>
          <w:color w:val="000000"/>
        </w:rPr>
        <w:t>RECURRENTE.</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b/>
          <w:bCs/>
          <w:color w:val="000000"/>
        </w:rPr>
      </w:pPr>
    </w:p>
    <w:p w:rsidR="00086DA7" w:rsidRPr="00A43775" w:rsidRDefault="00AB7E1C">
      <w:pPr>
        <w:tabs>
          <w:tab w:val="left" w:pos="426"/>
        </w:tabs>
        <w:spacing w:before="240" w:line="360" w:lineRule="auto"/>
        <w:ind w:right="51"/>
        <w:jc w:val="both"/>
        <w:rPr>
          <w:rFonts w:ascii="Palatino Linotype" w:eastAsia="Palatino Linotype" w:hAnsi="Palatino Linotype" w:cs="Palatino Linotype"/>
          <w:b/>
          <w:bCs/>
          <w:color w:val="000000"/>
        </w:rPr>
      </w:pPr>
      <w:r w:rsidRPr="00A43775">
        <w:rPr>
          <w:rFonts w:ascii="Palatino Linotype" w:eastAsia="Palatino Linotype" w:hAnsi="Palatino Linotype" w:cs="Palatino Linotype"/>
          <w:b/>
          <w:bCs/>
          <w:color w:val="000000"/>
        </w:rPr>
        <w:t>QUINTO. De la versión pública.</w:t>
      </w:r>
    </w:p>
    <w:p w:rsidR="00086DA7" w:rsidRPr="00A43775" w:rsidRDefault="00AB7E1C">
      <w:pPr>
        <w:keepNext/>
        <w:keepLines/>
        <w:numPr>
          <w:ilvl w:val="0"/>
          <w:numId w:val="28"/>
        </w:numPr>
        <w:tabs>
          <w:tab w:val="left" w:pos="284"/>
        </w:tabs>
        <w:ind w:left="0" w:firstLine="0"/>
        <w:rPr>
          <w:rFonts w:ascii="Palatino Linotype" w:eastAsia="Palatino Linotype" w:hAnsi="Palatino Linotype" w:cs="Palatino Linotype"/>
          <w:b/>
          <w:bCs/>
          <w:color w:val="000000"/>
        </w:rPr>
      </w:pPr>
      <w:r w:rsidRPr="00A43775">
        <w:rPr>
          <w:rFonts w:ascii="Palatino Linotype" w:eastAsia="Palatino Linotype" w:hAnsi="Palatino Linotype" w:cs="Palatino Linotype"/>
          <w:b/>
          <w:bCs/>
          <w:color w:val="000000"/>
        </w:rPr>
        <w:t xml:space="preserve">Nociones generales. </w:t>
      </w:r>
    </w:p>
    <w:p w:rsidR="00086DA7" w:rsidRPr="00A43775" w:rsidRDefault="00AB7E1C">
      <w:pPr>
        <w:numPr>
          <w:ilvl w:val="0"/>
          <w:numId w:val="31"/>
        </w:numPr>
        <w:spacing w:line="360" w:lineRule="auto"/>
        <w:ind w:left="0" w:right="4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Debe destacarse, que debido a que en la información solicitada por el </w:t>
      </w:r>
      <w:r w:rsidRPr="00A43775">
        <w:rPr>
          <w:rFonts w:ascii="Palatino Linotype" w:eastAsia="Palatino Linotype" w:hAnsi="Palatino Linotype" w:cs="Palatino Linotype"/>
          <w:b/>
          <w:bCs/>
          <w:color w:val="000000"/>
        </w:rPr>
        <w:t xml:space="preserve">RECURRENTE, pueden obrar </w:t>
      </w:r>
      <w:r w:rsidRPr="00A43775">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A43775">
        <w:rPr>
          <w:rFonts w:ascii="Palatino Linotype" w:eastAsia="Palatino Linotype" w:hAnsi="Palatino Linotype" w:cs="Palatino Linotype"/>
          <w:b/>
          <w:bCs/>
          <w:color w:val="000000"/>
        </w:rPr>
        <w:t xml:space="preserve">SUJETO OBLIGADO </w:t>
      </w:r>
      <w:r w:rsidRPr="00A43775">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086DA7" w:rsidRPr="00A43775" w:rsidRDefault="00086DA7">
      <w:pPr>
        <w:tabs>
          <w:tab w:val="left" w:pos="0"/>
          <w:tab w:val="left" w:pos="284"/>
        </w:tabs>
        <w:spacing w:line="360" w:lineRule="auto"/>
        <w:ind w:right="49"/>
        <w:jc w:val="both"/>
        <w:rPr>
          <w:rFonts w:ascii="Palatino Linotype" w:eastAsia="Palatino Linotype" w:hAnsi="Palatino Linotype" w:cs="Palatino Linotype"/>
          <w:highlight w:val="yellow"/>
        </w:rPr>
      </w:pPr>
    </w:p>
    <w:p w:rsidR="00086DA7" w:rsidRPr="00A43775" w:rsidRDefault="00AB7E1C">
      <w:pPr>
        <w:numPr>
          <w:ilvl w:val="0"/>
          <w:numId w:val="31"/>
        </w:numPr>
        <w:spacing w:line="360" w:lineRule="auto"/>
        <w:ind w:left="0" w:right="49"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No pasa desapercibido para este Órgano Garante que los sujetos obligados</w:t>
      </w:r>
      <w:r w:rsidRPr="00A43775">
        <w:rPr>
          <w:rFonts w:ascii="Palatino Linotype" w:eastAsia="Palatino Linotype" w:hAnsi="Palatino Linotype" w:cs="Palatino Linotype"/>
          <w:b/>
          <w:bCs/>
          <w:color w:val="000000"/>
        </w:rPr>
        <w:t xml:space="preserve"> </w:t>
      </w:r>
      <w:r w:rsidRPr="00A4377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0"/>
        <w:tblW w:w="978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72"/>
        <w:gridCol w:w="6810"/>
      </w:tblGrid>
      <w:tr w:rsidR="00086DA7" w:rsidRPr="00A43775" w:rsidTr="00C42463">
        <w:tc>
          <w:tcPr>
            <w:tcW w:w="2972" w:type="dxa"/>
          </w:tcPr>
          <w:p w:rsidR="00086DA7" w:rsidRPr="00A43775" w:rsidRDefault="00AB7E1C" w:rsidP="00C42463">
            <w:pPr>
              <w:spacing w:line="360" w:lineRule="auto"/>
              <w:ind w:left="-262"/>
              <w:rPr>
                <w:rFonts w:ascii="Palatino Linotype" w:eastAsia="Palatino Linotype" w:hAnsi="Palatino Linotype" w:cs="Palatino Linotype"/>
                <w:b/>
                <w:bCs/>
              </w:rPr>
            </w:pPr>
            <w:r w:rsidRPr="00A43775">
              <w:rPr>
                <w:rFonts w:ascii="Palatino Linotype" w:eastAsia="Palatino Linotype" w:hAnsi="Palatino Linotype" w:cs="Palatino Linotype"/>
                <w:color w:val="000000"/>
              </w:rPr>
              <w:lastRenderedPageBreak/>
              <w:tab/>
            </w:r>
            <w:r w:rsidRPr="00A43775">
              <w:rPr>
                <w:rFonts w:ascii="Palatino Linotype" w:eastAsia="Palatino Linotype" w:hAnsi="Palatino Linotype" w:cs="Palatino Linotype"/>
                <w:b/>
                <w:bCs/>
              </w:rPr>
              <w:t>a) Requisitos previos.</w:t>
            </w:r>
          </w:p>
        </w:tc>
        <w:tc>
          <w:tcPr>
            <w:tcW w:w="6810" w:type="dxa"/>
          </w:tcPr>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El artículo 122 de la Ley Estatal señala que si los Sujetos Obligados determinan que la información actualiza alguno de los supuestos de clasificación, es deber de los titulares de las áreas proponer su clasificación y no del Comité de Transparencia. </w:t>
            </w:r>
          </w:p>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Al hacerlo tienen que precisar de qué información se trata, señalando el supuesto de clasificación (confidencialidad o reserva).</w:t>
            </w:r>
          </w:p>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Además, se debe señalar el procedimiento, de los tres que establecen el artículo 132 de la Ley Estatal.</w:t>
            </w:r>
          </w:p>
          <w:p w:rsidR="00086DA7" w:rsidRPr="00A43775" w:rsidRDefault="00AB7E1C">
            <w:pPr>
              <w:tabs>
                <w:tab w:val="left" w:pos="284"/>
              </w:tabs>
              <w:spacing w:line="276" w:lineRule="auto"/>
              <w:jc w:val="both"/>
              <w:rPr>
                <w:rFonts w:ascii="Palatino Linotype" w:eastAsia="Palatino Linotype" w:hAnsi="Palatino Linotype" w:cs="Palatino Linotype"/>
                <w:i/>
                <w:iCs/>
              </w:rPr>
            </w:pPr>
            <w:r w:rsidRPr="00A43775">
              <w:rPr>
                <w:rFonts w:ascii="Palatino Linotype" w:eastAsia="Palatino Linotype" w:hAnsi="Palatino Linotype" w:cs="Palatino Linotype"/>
                <w:i/>
                <w:iCs/>
                <w:color w:val="000000"/>
              </w:rPr>
              <w:t xml:space="preserve">El último de estos requisitos previos consiste en que no se pueden emitir acuerdos de carácter general ni particular, esto es, </w:t>
            </w:r>
            <w:r w:rsidRPr="00A43775">
              <w:rPr>
                <w:rFonts w:ascii="Palatino Linotype" w:eastAsia="Palatino Linotype" w:hAnsi="Palatino Linotype" w:cs="Palatino Linotype"/>
                <w:i/>
                <w:iCs/>
                <w:color w:val="000000"/>
                <w:u w:val="single"/>
              </w:rPr>
              <w:t>no se puede hacer un acuerdo para clasificar de manera general todos los documentos de un expediente o área, sin</w:t>
            </w:r>
            <w:r w:rsidRPr="00A43775">
              <w:rPr>
                <w:rFonts w:ascii="Palatino Linotype" w:eastAsia="Palatino Linotype" w:hAnsi="Palatino Linotype" w:cs="Palatino Linotype"/>
                <w:i/>
                <w:iCs/>
                <w:color w:val="000000"/>
              </w:rPr>
              <w:t xml:space="preserve"> individualizar su análisis y tampoco se puede hacer un acuerdo por cada dato que se vaya a clasificar dentro de un documento con diez datos, por ejemplo, susceptibles de ser clasificados.</w:t>
            </w:r>
          </w:p>
        </w:tc>
      </w:tr>
      <w:tr w:rsidR="00086DA7" w:rsidRPr="00A43775" w:rsidTr="00C42463">
        <w:tc>
          <w:tcPr>
            <w:tcW w:w="2972" w:type="dxa"/>
            <w:shd w:val="clear" w:color="auto" w:fill="D9D9D9"/>
          </w:tcPr>
          <w:p w:rsidR="00086DA7" w:rsidRPr="00A43775" w:rsidRDefault="00AB7E1C">
            <w:pPr>
              <w:tabs>
                <w:tab w:val="left" w:pos="284"/>
              </w:tabs>
              <w:spacing w:line="360" w:lineRule="auto"/>
              <w:rPr>
                <w:rFonts w:ascii="Palatino Linotype" w:eastAsia="Palatino Linotype" w:hAnsi="Palatino Linotype" w:cs="Palatino Linotype"/>
                <w:b/>
                <w:bCs/>
              </w:rPr>
            </w:pPr>
            <w:r w:rsidRPr="00A43775">
              <w:rPr>
                <w:rFonts w:ascii="Palatino Linotype" w:eastAsia="Palatino Linotype" w:hAnsi="Palatino Linotype" w:cs="Palatino Linotype"/>
                <w:b/>
                <w:bCs/>
              </w:rPr>
              <w:t>b) Supuestos de clasificación.</w:t>
            </w:r>
          </w:p>
        </w:tc>
        <w:tc>
          <w:tcPr>
            <w:tcW w:w="6810" w:type="dxa"/>
            <w:shd w:val="clear" w:color="auto" w:fill="D9D9D9"/>
          </w:tcPr>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Las disposiciones constitucionales y legales en la materia establecen los dos supuestos generales para clasificar la información: por reserva y por confidencialidad.</w:t>
            </w:r>
          </w:p>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El artículo 143 de la Ley Estatal señala los supuestos para que la información pueda ser clasificada como confidencial. Mientras que el artículo 130 de la Ley Estatal señala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86DA7" w:rsidRPr="00A43775" w:rsidRDefault="00AB7E1C">
            <w:pPr>
              <w:tabs>
                <w:tab w:val="left" w:pos="284"/>
              </w:tabs>
              <w:spacing w:line="276" w:lineRule="auto"/>
              <w:jc w:val="both"/>
              <w:rPr>
                <w:rFonts w:ascii="Palatino Linotype" w:eastAsia="Palatino Linotype" w:hAnsi="Palatino Linotype" w:cs="Palatino Linotype"/>
                <w:i/>
                <w:iCs/>
              </w:rPr>
            </w:pPr>
            <w:r w:rsidRPr="00A43775">
              <w:rPr>
                <w:rFonts w:ascii="Palatino Linotype" w:eastAsia="Palatino Linotype" w:hAnsi="Palatino Linotype" w:cs="Palatino Linotype"/>
                <w:i/>
                <w:iCs/>
                <w:color w:val="000000"/>
              </w:rPr>
              <w:t xml:space="preserve">El </w:t>
            </w:r>
            <w:r w:rsidRPr="00A43775">
              <w:rPr>
                <w:rFonts w:ascii="Palatino Linotype" w:eastAsia="Palatino Linotype" w:hAnsi="Palatino Linotype" w:cs="Palatino Linotype"/>
                <w:b/>
                <w:bCs/>
                <w:i/>
                <w:iCs/>
                <w:color w:val="000000"/>
              </w:rPr>
              <w:t>Sujeto Obligado</w:t>
            </w:r>
            <w:r w:rsidRPr="00A43775">
              <w:rPr>
                <w:rFonts w:ascii="Palatino Linotype" w:eastAsia="Palatino Linotype" w:hAnsi="Palatino Linotype" w:cs="Palatino Linotype"/>
                <w:i/>
                <w:iCs/>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86DA7" w:rsidRPr="00A43775" w:rsidTr="00C42463">
        <w:tc>
          <w:tcPr>
            <w:tcW w:w="2972" w:type="dxa"/>
          </w:tcPr>
          <w:p w:rsidR="00086DA7" w:rsidRPr="00A43775" w:rsidRDefault="00AB7E1C">
            <w:pPr>
              <w:tabs>
                <w:tab w:val="left" w:pos="284"/>
              </w:tabs>
              <w:spacing w:line="360" w:lineRule="auto"/>
              <w:rPr>
                <w:rFonts w:ascii="Palatino Linotype" w:eastAsia="Palatino Linotype" w:hAnsi="Palatino Linotype" w:cs="Palatino Linotype"/>
                <w:b/>
                <w:bCs/>
              </w:rPr>
            </w:pPr>
            <w:r w:rsidRPr="00A43775">
              <w:rPr>
                <w:rFonts w:ascii="Palatino Linotype" w:eastAsia="Palatino Linotype" w:hAnsi="Palatino Linotype" w:cs="Palatino Linotype"/>
                <w:b/>
                <w:bCs/>
              </w:rPr>
              <w:lastRenderedPageBreak/>
              <w:t>c) Formalidades para emitir el acuerdo de clasificación.</w:t>
            </w:r>
          </w:p>
        </w:tc>
        <w:tc>
          <w:tcPr>
            <w:tcW w:w="6810" w:type="dxa"/>
          </w:tcPr>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El Comité de Transparencia, según lo dispuesto en los artículos cuenta con las facultades para aprobar, modificar o revocar la clasificación de la información que haya propuesto. </w:t>
            </w:r>
          </w:p>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Es necesario que </w:t>
            </w:r>
            <w:r w:rsidRPr="00A43775">
              <w:rPr>
                <w:rFonts w:ascii="Palatino Linotype" w:eastAsia="Palatino Linotype" w:hAnsi="Palatino Linotype" w:cs="Palatino Linotype"/>
                <w:b/>
                <w:bCs/>
                <w:i/>
                <w:iCs/>
                <w:color w:val="000000"/>
                <w:u w:val="single"/>
              </w:rPr>
              <w:t>el acto reúna con los requisitos elementales</w:t>
            </w:r>
            <w:r w:rsidRPr="00A43775">
              <w:rPr>
                <w:rFonts w:ascii="Palatino Linotype" w:eastAsia="Palatino Linotype" w:hAnsi="Palatino Linotype" w:cs="Palatino Linotype"/>
                <w:i/>
                <w:iCs/>
                <w:color w:val="000000"/>
              </w:rPr>
              <w:t>, entre ellos, que la autoridad que va a emitir el acto de autoridad sea la legalmente facultada para ello.</w:t>
            </w:r>
          </w:p>
          <w:p w:rsidR="00086DA7" w:rsidRPr="00A43775" w:rsidRDefault="00AB7E1C">
            <w:pPr>
              <w:tabs>
                <w:tab w:val="left" w:pos="284"/>
              </w:tabs>
              <w:spacing w:line="276" w:lineRule="auto"/>
              <w:jc w:val="both"/>
              <w:rPr>
                <w:rFonts w:ascii="Palatino Linotype" w:eastAsia="Palatino Linotype" w:hAnsi="Palatino Linotype" w:cs="Palatino Linotype"/>
                <w:i/>
                <w:iCs/>
              </w:rPr>
            </w:pPr>
            <w:r w:rsidRPr="00A43775">
              <w:rPr>
                <w:rFonts w:ascii="Palatino Linotype" w:eastAsia="Palatino Linotype" w:hAnsi="Palatino Linotype" w:cs="Palatino Linotype"/>
                <w:i/>
                <w:iCs/>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A43775">
              <w:rPr>
                <w:rFonts w:ascii="Palatino Linotype" w:eastAsia="Palatino Linotype" w:hAnsi="Palatino Linotype" w:cs="Palatino Linotype"/>
                <w:i/>
                <w:iCs/>
              </w:rPr>
              <w:t>El área</w:t>
            </w:r>
            <w:r w:rsidRPr="00A43775">
              <w:rPr>
                <w:rFonts w:ascii="Palatino Linotype" w:eastAsia="Palatino Linotype" w:hAnsi="Palatino Linotype" w:cs="Palatino Linotype"/>
                <w:i/>
                <w:iCs/>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86DA7" w:rsidRPr="00A43775" w:rsidTr="00C42463">
        <w:tc>
          <w:tcPr>
            <w:tcW w:w="2972" w:type="dxa"/>
            <w:shd w:val="clear" w:color="auto" w:fill="D9D9D9"/>
          </w:tcPr>
          <w:p w:rsidR="00086DA7" w:rsidRPr="00A43775" w:rsidRDefault="00086DA7">
            <w:pPr>
              <w:tabs>
                <w:tab w:val="left" w:pos="284"/>
              </w:tabs>
              <w:spacing w:line="360" w:lineRule="auto"/>
              <w:rPr>
                <w:rFonts w:ascii="Palatino Linotype" w:eastAsia="Palatino Linotype" w:hAnsi="Palatino Linotype" w:cs="Palatino Linotype"/>
                <w:b/>
                <w:bCs/>
              </w:rPr>
            </w:pPr>
          </w:p>
          <w:p w:rsidR="00086DA7" w:rsidRPr="00A43775" w:rsidRDefault="00AB7E1C">
            <w:pPr>
              <w:tabs>
                <w:tab w:val="left" w:pos="284"/>
              </w:tabs>
              <w:spacing w:line="360" w:lineRule="auto"/>
              <w:jc w:val="both"/>
              <w:rPr>
                <w:rFonts w:ascii="Palatino Linotype" w:eastAsia="Palatino Linotype" w:hAnsi="Palatino Linotype" w:cs="Palatino Linotype"/>
                <w:b/>
                <w:bCs/>
              </w:rPr>
            </w:pPr>
            <w:r w:rsidRPr="00A43775">
              <w:rPr>
                <w:rFonts w:ascii="Palatino Linotype" w:eastAsia="Palatino Linotype" w:hAnsi="Palatino Linotype" w:cs="Palatino Linotype"/>
                <w:b/>
                <w:bCs/>
                <w:color w:val="000000"/>
              </w:rPr>
              <w:t xml:space="preserve">d) Requisitos de fondo del acuerdo de clasificación. </w:t>
            </w:r>
          </w:p>
        </w:tc>
        <w:tc>
          <w:tcPr>
            <w:tcW w:w="6810" w:type="dxa"/>
            <w:shd w:val="clear" w:color="auto" w:fill="D9D9D9"/>
          </w:tcPr>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43775">
              <w:rPr>
                <w:rFonts w:ascii="Palatino Linotype" w:eastAsia="Palatino Linotype" w:hAnsi="Palatino Linotype" w:cs="Palatino Linotype"/>
                <w:b/>
                <w:bCs/>
                <w:i/>
                <w:iCs/>
                <w:color w:val="000000"/>
              </w:rPr>
              <w:t>Sujetos Obligados</w:t>
            </w:r>
            <w:r w:rsidRPr="00A43775">
              <w:rPr>
                <w:rFonts w:ascii="Palatino Linotype" w:eastAsia="Palatino Linotype" w:hAnsi="Palatino Linotype" w:cs="Palatino Linotype"/>
                <w:i/>
                <w:iCs/>
                <w:color w:val="000000"/>
              </w:rPr>
              <w:t xml:space="preserve">, por lo que deberán fundar y motivar debidamente la clasificación. </w:t>
            </w:r>
          </w:p>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De lo anterior, se desprende que para una correcta </w:t>
            </w:r>
            <w:r w:rsidRPr="00A43775">
              <w:rPr>
                <w:rFonts w:ascii="Palatino Linotype" w:eastAsia="Palatino Linotype" w:hAnsi="Palatino Linotype" w:cs="Palatino Linotype"/>
                <w:b/>
                <w:bCs/>
                <w:i/>
                <w:iCs/>
                <w:color w:val="000000"/>
              </w:rPr>
              <w:t>clasificación total o parcial</w:t>
            </w:r>
            <w:r w:rsidRPr="00A43775">
              <w:rPr>
                <w:rFonts w:ascii="Palatino Linotype" w:eastAsia="Palatino Linotype" w:hAnsi="Palatino Linotype" w:cs="Palatino Linotype"/>
                <w:i/>
                <w:iCs/>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Así, en un acto de autoridad se cumple con la debida fundamentación cuando se cita el precepto legal aplicable al caso concreto y la debida motivación cuando se expresan las razones, motivos o circunstancias </w:t>
            </w:r>
            <w:r w:rsidRPr="00A43775">
              <w:rPr>
                <w:rFonts w:ascii="Palatino Linotype" w:eastAsia="Palatino Linotype" w:hAnsi="Palatino Linotype" w:cs="Palatino Linotype"/>
                <w:i/>
                <w:iCs/>
                <w:color w:val="000000"/>
              </w:rPr>
              <w:lastRenderedPageBreak/>
              <w:t>que tomó en cuenta la autoridad para adecuar el hecho a los fundamentos de derecho. De este modo, la persona que se sienta afectada pueda impugnar la decisión, permitiéndole una real y auténtica defensa.</w:t>
            </w:r>
          </w:p>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En ese mismo sentido, el numeral trigésimo tercero fracción V de los Lineamientos Generales, precisa que para motivar la clasificación se deben acreditar las circunstancias de tiempo, modo y lugar.</w:t>
            </w:r>
          </w:p>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Ahora bien, </w:t>
            </w:r>
            <w:r w:rsidRPr="00A43775">
              <w:rPr>
                <w:rFonts w:ascii="Palatino Linotype" w:eastAsia="Palatino Linotype" w:hAnsi="Palatino Linotype" w:cs="Palatino Linotype"/>
                <w:b/>
                <w:bCs/>
                <w:i/>
                <w:iCs/>
                <w:color w:val="000000"/>
                <w:u w:val="single"/>
              </w:rPr>
              <w:t>para cada caso además de fundar y motivar</w:t>
            </w:r>
            <w:r w:rsidRPr="00A43775">
              <w:rPr>
                <w:rFonts w:ascii="Palatino Linotype" w:eastAsia="Palatino Linotype" w:hAnsi="Palatino Linotype" w:cs="Palatino Linotype"/>
                <w:i/>
                <w:iCs/>
                <w:color w:val="000000"/>
              </w:rPr>
              <w:t xml:space="preserve">, se debe identificar con claridad </w:t>
            </w:r>
            <w:r w:rsidRPr="00A43775">
              <w:rPr>
                <w:rFonts w:ascii="Palatino Linotype" w:eastAsia="Palatino Linotype" w:hAnsi="Palatino Linotype" w:cs="Palatino Linotype"/>
                <w:i/>
                <w:iCs/>
              </w:rPr>
              <w:t>qué</w:t>
            </w:r>
            <w:r w:rsidRPr="00A43775">
              <w:rPr>
                <w:rFonts w:ascii="Palatino Linotype" w:eastAsia="Palatino Linotype" w:hAnsi="Palatino Linotype" w:cs="Palatino Linotype"/>
                <w:i/>
                <w:iCs/>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86DA7" w:rsidRPr="00A43775" w:rsidTr="00C42463">
        <w:tc>
          <w:tcPr>
            <w:tcW w:w="2972" w:type="dxa"/>
          </w:tcPr>
          <w:p w:rsidR="00086DA7" w:rsidRPr="00A43775" w:rsidRDefault="00AB7E1C">
            <w:pPr>
              <w:tabs>
                <w:tab w:val="left" w:pos="284"/>
              </w:tabs>
              <w:spacing w:line="360" w:lineRule="auto"/>
              <w:jc w:val="both"/>
              <w:rPr>
                <w:rFonts w:ascii="Palatino Linotype" w:eastAsia="Palatino Linotype" w:hAnsi="Palatino Linotype" w:cs="Palatino Linotype"/>
                <w:b/>
                <w:bCs/>
              </w:rPr>
            </w:pPr>
            <w:r w:rsidRPr="00A43775">
              <w:rPr>
                <w:rFonts w:ascii="Palatino Linotype" w:eastAsia="Palatino Linotype" w:hAnsi="Palatino Linotype" w:cs="Palatino Linotype"/>
                <w:b/>
                <w:bCs/>
              </w:rPr>
              <w:lastRenderedPageBreak/>
              <w:t xml:space="preserve">e) Condiciones especiales de la clasificación de la información como confidencial. </w:t>
            </w:r>
          </w:p>
        </w:tc>
        <w:tc>
          <w:tcPr>
            <w:tcW w:w="6810" w:type="dxa"/>
          </w:tcPr>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Los artículos 148 de la Ley Estatal establece que aun tratándose de datos personales, se podrán proporcionar, incluso sin solicitar el consentimiento de su titular. </w:t>
            </w:r>
          </w:p>
          <w:p w:rsidR="00086DA7" w:rsidRPr="00A43775" w:rsidRDefault="00AB7E1C">
            <w:pPr>
              <w:tabs>
                <w:tab w:val="left" w:pos="284"/>
              </w:tabs>
              <w:spacing w:line="276" w:lineRule="auto"/>
              <w:jc w:val="both"/>
              <w:rPr>
                <w:rFonts w:ascii="Palatino Linotype" w:eastAsia="Palatino Linotype" w:hAnsi="Palatino Linotype" w:cs="Palatino Linotype"/>
                <w:i/>
                <w:iCs/>
                <w:color w:val="000000"/>
              </w:rPr>
            </w:pPr>
            <w:r w:rsidRPr="00A43775">
              <w:rPr>
                <w:rFonts w:ascii="Palatino Linotype" w:eastAsia="Palatino Linotype" w:hAnsi="Palatino Linotype" w:cs="Palatino Linotype"/>
                <w:i/>
                <w:iCs/>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86DA7" w:rsidRPr="00A43775" w:rsidRDefault="00AB7E1C">
            <w:pPr>
              <w:tabs>
                <w:tab w:val="left" w:pos="284"/>
              </w:tabs>
              <w:spacing w:line="276" w:lineRule="auto"/>
              <w:rPr>
                <w:rFonts w:ascii="Palatino Linotype" w:eastAsia="Palatino Linotype" w:hAnsi="Palatino Linotype" w:cs="Palatino Linotype"/>
                <w:i/>
                <w:iCs/>
              </w:rPr>
            </w:pPr>
            <w:r w:rsidRPr="00A43775">
              <w:rPr>
                <w:rFonts w:ascii="Palatino Linotype" w:eastAsia="Palatino Linotype" w:hAnsi="Palatino Linotype" w:cs="Palatino Linotype"/>
                <w:i/>
                <w:iCs/>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86DA7" w:rsidRPr="00A43775" w:rsidRDefault="00086DA7">
      <w:pPr>
        <w:tabs>
          <w:tab w:val="left" w:pos="284"/>
        </w:tabs>
        <w:spacing w:line="360" w:lineRule="auto"/>
        <w:jc w:val="both"/>
        <w:rPr>
          <w:rFonts w:ascii="Palatino Linotype" w:eastAsia="Palatino Linotype" w:hAnsi="Palatino Linotype" w:cs="Palatino Linotype"/>
          <w:color w:val="000000"/>
        </w:rPr>
      </w:pPr>
    </w:p>
    <w:p w:rsidR="00086DA7" w:rsidRPr="00A43775" w:rsidRDefault="00AB7E1C">
      <w:pPr>
        <w:numPr>
          <w:ilvl w:val="0"/>
          <w:numId w:val="3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color w:val="000000"/>
        </w:rPr>
        <w:t xml:space="preserve">Para tal situación, el Sujeto Obligado deberá seguir el procedimiento establecido en el artículo 168 de la Ley de Transparencia y Acceso a la Información Pública del </w:t>
      </w:r>
      <w:r w:rsidRPr="00A43775">
        <w:rPr>
          <w:rFonts w:ascii="Palatino Linotype" w:eastAsia="Palatino Linotype" w:hAnsi="Palatino Linotype" w:cs="Palatino Linotype"/>
          <w:color w:val="000000"/>
        </w:rPr>
        <w:lastRenderedPageBreak/>
        <w:t>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086DA7" w:rsidRPr="00A43775" w:rsidRDefault="00086DA7">
      <w:pPr>
        <w:spacing w:line="360" w:lineRule="auto"/>
        <w:ind w:right="49"/>
        <w:jc w:val="both"/>
        <w:rPr>
          <w:rFonts w:ascii="Palatino Linotype" w:eastAsia="Palatino Linotype" w:hAnsi="Palatino Linotype" w:cs="Palatino Linotype"/>
        </w:rPr>
      </w:pPr>
    </w:p>
    <w:p w:rsidR="00086DA7" w:rsidRPr="00A43775" w:rsidRDefault="00AB7E1C">
      <w:pPr>
        <w:numPr>
          <w:ilvl w:val="0"/>
          <w:numId w:val="31"/>
        </w:numPr>
        <w:spacing w:line="360" w:lineRule="auto"/>
        <w:ind w:left="0" w:right="49" w:firstLine="0"/>
        <w:jc w:val="both"/>
        <w:rPr>
          <w:rFonts w:ascii="Palatino Linotype" w:eastAsia="Palatino Linotype" w:hAnsi="Palatino Linotype" w:cs="Palatino Linotype"/>
        </w:rPr>
      </w:pPr>
      <w:r w:rsidRPr="00A43775">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AB7E1C">
      <w:pPr>
        <w:numPr>
          <w:ilvl w:val="0"/>
          <w:numId w:val="15"/>
        </w:numPr>
        <w:pBdr>
          <w:top w:val="nil"/>
          <w:left w:val="nil"/>
          <w:bottom w:val="nil"/>
          <w:right w:val="nil"/>
          <w:between w:val="nil"/>
        </w:pBdr>
        <w:spacing w:line="360" w:lineRule="auto"/>
        <w:ind w:left="0" w:right="142" w:firstLine="0"/>
        <w:jc w:val="both"/>
        <w:rPr>
          <w:rFonts w:ascii="Century Gothic" w:eastAsia="Century Gothic" w:hAnsi="Century Gothic" w:cs="Century Gothic"/>
          <w:color w:val="000000"/>
        </w:rPr>
      </w:pPr>
      <w:r w:rsidRPr="00A43775">
        <w:rPr>
          <w:rFonts w:ascii="Palatino Linotype" w:eastAsia="Palatino Linotype" w:hAnsi="Palatino Linotype" w:cs="Palatino Linotype"/>
          <w:color w:val="000000"/>
        </w:rPr>
        <w:t>Por lo anteriormente expuesto, este Órgano Garante considera parcialmente fundadas las razones o motivos de inconformidad que plantea el</w:t>
      </w:r>
      <w:r w:rsidRPr="00A43775">
        <w:rPr>
          <w:rFonts w:ascii="Palatino Linotype" w:eastAsia="Palatino Linotype" w:hAnsi="Palatino Linotype" w:cs="Palatino Linotype"/>
          <w:b/>
          <w:bCs/>
          <w:color w:val="000000"/>
        </w:rPr>
        <w:t xml:space="preserve"> RECURRENTE</w:t>
      </w:r>
      <w:r w:rsidRPr="00A43775">
        <w:rPr>
          <w:rFonts w:ascii="Palatino Linotype" w:eastAsia="Palatino Linotype" w:hAnsi="Palatino Linotype" w:cs="Palatino Linotype"/>
          <w:color w:val="000000"/>
        </w:rPr>
        <w:t xml:space="preserve">, determinando </w:t>
      </w:r>
      <w:r w:rsidRPr="00A43775">
        <w:rPr>
          <w:rFonts w:ascii="Palatino Linotype" w:eastAsia="Palatino Linotype" w:hAnsi="Palatino Linotype" w:cs="Palatino Linotype"/>
          <w:b/>
          <w:bCs/>
          <w:smallCaps/>
          <w:color w:val="000000"/>
        </w:rPr>
        <w:t>MODIFICAR</w:t>
      </w:r>
      <w:r w:rsidRPr="00A43775">
        <w:rPr>
          <w:rFonts w:ascii="Palatino Linotype" w:eastAsia="Palatino Linotype" w:hAnsi="Palatino Linotype" w:cs="Palatino Linotype"/>
          <w:b/>
          <w:bCs/>
          <w:color w:val="000000"/>
        </w:rPr>
        <w:t xml:space="preserve"> </w:t>
      </w:r>
      <w:r w:rsidRPr="00A43775">
        <w:rPr>
          <w:rFonts w:ascii="Palatino Linotype" w:eastAsia="Palatino Linotype" w:hAnsi="Palatino Linotype" w:cs="Palatino Linotype"/>
          <w:color w:val="000000"/>
        </w:rPr>
        <w:t xml:space="preserve">la respuesta del </w:t>
      </w:r>
      <w:r w:rsidRPr="00A43775">
        <w:rPr>
          <w:rFonts w:ascii="Palatino Linotype" w:eastAsia="Palatino Linotype" w:hAnsi="Palatino Linotype" w:cs="Palatino Linotype"/>
          <w:b/>
          <w:bCs/>
          <w:color w:val="000000"/>
        </w:rPr>
        <w:t>SUJETO OBLIGADO</w:t>
      </w:r>
      <w:r w:rsidRPr="00A43775">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A43775">
        <w:rPr>
          <w:rFonts w:ascii="Palatino Linotype" w:eastAsia="Palatino Linotype" w:hAnsi="Palatino Linotype" w:cs="Palatino Linotype"/>
          <w:b/>
          <w:bCs/>
          <w:color w:val="000000"/>
        </w:rPr>
        <w:t>ÓRGANO GARANTE</w:t>
      </w:r>
      <w:r w:rsidRPr="00A43775">
        <w:rPr>
          <w:rFonts w:ascii="Palatino Linotype" w:eastAsia="Palatino Linotype" w:hAnsi="Palatino Linotype" w:cs="Palatino Linotype"/>
          <w:color w:val="000000"/>
        </w:rPr>
        <w:t xml:space="preserve"> emite los siguientes</w:t>
      </w:r>
      <w:r w:rsidRPr="00A43775">
        <w:rPr>
          <w:rFonts w:ascii="Palatino Linotype" w:eastAsia="Palatino Linotype" w:hAnsi="Palatino Linotype" w:cs="Palatino Linotype"/>
          <w:color w:val="222222"/>
        </w:rPr>
        <w:t>:</w:t>
      </w:r>
    </w:p>
    <w:p w:rsidR="00086DA7" w:rsidRPr="00A43775" w:rsidRDefault="00086DA7">
      <w:pPr>
        <w:pBdr>
          <w:top w:val="nil"/>
          <w:left w:val="nil"/>
          <w:bottom w:val="nil"/>
          <w:right w:val="nil"/>
          <w:between w:val="nil"/>
        </w:pBdr>
        <w:ind w:left="720"/>
        <w:rPr>
          <w:rFonts w:ascii="Palatino Linotype" w:eastAsia="Palatino Linotype" w:hAnsi="Palatino Linotype" w:cs="Palatino Linotype"/>
          <w:color w:val="000000"/>
        </w:rPr>
      </w:pPr>
    </w:p>
    <w:p w:rsidR="00086DA7" w:rsidRPr="00A43775" w:rsidRDefault="00086DA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86DA7" w:rsidRPr="00A43775" w:rsidRDefault="00AB7E1C">
      <w:pPr>
        <w:keepNext/>
        <w:keepLines/>
        <w:spacing w:line="360" w:lineRule="auto"/>
        <w:jc w:val="center"/>
        <w:rPr>
          <w:rFonts w:ascii="Palatino Linotype" w:eastAsia="Palatino Linotype" w:hAnsi="Palatino Linotype" w:cs="Palatino Linotype"/>
          <w:b/>
          <w:bCs/>
          <w:color w:val="000000"/>
        </w:rPr>
      </w:pPr>
      <w:bookmarkStart w:id="11" w:name="_heading=h.35nkun2" w:colFirst="0" w:colLast="0"/>
      <w:bookmarkEnd w:id="11"/>
      <w:r w:rsidRPr="00A43775">
        <w:rPr>
          <w:rFonts w:ascii="Palatino Linotype" w:eastAsia="Palatino Linotype" w:hAnsi="Palatino Linotype" w:cs="Palatino Linotype"/>
          <w:b/>
          <w:bCs/>
          <w:color w:val="000000"/>
        </w:rPr>
        <w:t xml:space="preserve">R E S O L U T I V O S </w:t>
      </w:r>
    </w:p>
    <w:p w:rsidR="00086DA7" w:rsidRPr="00A43775" w:rsidRDefault="00086DA7">
      <w:pPr>
        <w:spacing w:line="360" w:lineRule="auto"/>
        <w:rPr>
          <w:rFonts w:ascii="Palatino Linotype" w:eastAsia="Palatino Linotype" w:hAnsi="Palatino Linotype" w:cs="Palatino Linotype"/>
        </w:rPr>
      </w:pPr>
    </w:p>
    <w:p w:rsidR="00086DA7" w:rsidRPr="00A43775" w:rsidRDefault="00AB7E1C">
      <w:pPr>
        <w:spacing w:line="360" w:lineRule="auto"/>
        <w:jc w:val="both"/>
        <w:rPr>
          <w:rFonts w:ascii="Palatino Linotype" w:eastAsia="Palatino Linotype" w:hAnsi="Palatino Linotype" w:cs="Palatino Linotype"/>
        </w:rPr>
      </w:pPr>
      <w:r w:rsidRPr="00A43775">
        <w:rPr>
          <w:rFonts w:ascii="Palatino Linotype" w:eastAsia="Palatino Linotype" w:hAnsi="Palatino Linotype" w:cs="Palatino Linotype"/>
          <w:b/>
          <w:bCs/>
        </w:rPr>
        <w:t xml:space="preserve">PRIMERO. </w:t>
      </w:r>
      <w:r w:rsidRPr="00A43775">
        <w:rPr>
          <w:rFonts w:ascii="Palatino Linotype" w:eastAsia="Palatino Linotype" w:hAnsi="Palatino Linotype" w:cs="Palatino Linotype"/>
        </w:rPr>
        <w:t>Resultan parcialmente fundadas las</w:t>
      </w:r>
      <w:r w:rsidRPr="00A43775">
        <w:rPr>
          <w:rFonts w:ascii="Palatino Linotype" w:eastAsia="Palatino Linotype" w:hAnsi="Palatino Linotype" w:cs="Palatino Linotype"/>
          <w:b/>
          <w:bCs/>
        </w:rPr>
        <w:t xml:space="preserve"> </w:t>
      </w:r>
      <w:r w:rsidRPr="00A43775">
        <w:rPr>
          <w:rFonts w:ascii="Palatino Linotype" w:eastAsia="Palatino Linotype" w:hAnsi="Palatino Linotype" w:cs="Palatino Linotype"/>
        </w:rPr>
        <w:t xml:space="preserve">razones o motivos de inconformidad hechos valer en el recurso de revisión </w:t>
      </w:r>
      <w:r w:rsidRPr="00A43775">
        <w:rPr>
          <w:rFonts w:ascii="Palatino Linotype" w:eastAsia="Palatino Linotype" w:hAnsi="Palatino Linotype" w:cs="Palatino Linotype"/>
          <w:b/>
          <w:bCs/>
        </w:rPr>
        <w:t xml:space="preserve">13723/INFOEM/IP/RR/2025, </w:t>
      </w:r>
      <w:r w:rsidRPr="00A43775">
        <w:rPr>
          <w:rFonts w:ascii="Palatino Linotype" w:eastAsia="Palatino Linotype" w:hAnsi="Palatino Linotype" w:cs="Palatino Linotype"/>
        </w:rPr>
        <w:t>en términos del</w:t>
      </w:r>
      <w:r w:rsidRPr="00A43775">
        <w:rPr>
          <w:rFonts w:ascii="Palatino Linotype" w:eastAsia="Palatino Linotype" w:hAnsi="Palatino Linotype" w:cs="Palatino Linotype"/>
          <w:b/>
          <w:bCs/>
        </w:rPr>
        <w:t xml:space="preserve"> </w:t>
      </w:r>
      <w:r w:rsidRPr="00A43775">
        <w:rPr>
          <w:rFonts w:ascii="Palatino Linotype" w:eastAsia="Palatino Linotype" w:hAnsi="Palatino Linotype" w:cs="Palatino Linotype"/>
        </w:rPr>
        <w:t xml:space="preserve">considerandos </w:t>
      </w:r>
      <w:r w:rsidRPr="00A43775">
        <w:rPr>
          <w:rFonts w:ascii="Palatino Linotype" w:eastAsia="Palatino Linotype" w:hAnsi="Palatino Linotype" w:cs="Palatino Linotype"/>
          <w:b/>
          <w:bCs/>
        </w:rPr>
        <w:t xml:space="preserve">CUARTO y QUINTO </w:t>
      </w:r>
      <w:r w:rsidRPr="00A43775">
        <w:rPr>
          <w:rFonts w:ascii="Palatino Linotype" w:eastAsia="Palatino Linotype" w:hAnsi="Palatino Linotype" w:cs="Palatino Linotype"/>
        </w:rPr>
        <w:t>de la presente resolución.</w:t>
      </w:r>
    </w:p>
    <w:p w:rsidR="00086DA7" w:rsidRPr="00A43775" w:rsidRDefault="00086DA7">
      <w:pPr>
        <w:spacing w:line="360" w:lineRule="auto"/>
        <w:jc w:val="both"/>
        <w:rPr>
          <w:rFonts w:ascii="Palatino Linotype" w:eastAsia="Palatino Linotype" w:hAnsi="Palatino Linotype" w:cs="Palatino Linotype"/>
        </w:rPr>
      </w:pPr>
    </w:p>
    <w:p w:rsidR="00086DA7" w:rsidRPr="00C42463" w:rsidRDefault="00AB7E1C">
      <w:pPr>
        <w:spacing w:line="360" w:lineRule="auto"/>
        <w:jc w:val="both"/>
        <w:rPr>
          <w:rFonts w:ascii="Palatino Linotype" w:eastAsia="Palatino Linotype" w:hAnsi="Palatino Linotype" w:cs="Palatino Linotype"/>
          <w:color w:val="000000"/>
        </w:rPr>
      </w:pPr>
      <w:r w:rsidRPr="00A43775">
        <w:rPr>
          <w:rFonts w:ascii="Palatino Linotype" w:eastAsia="Palatino Linotype" w:hAnsi="Palatino Linotype" w:cs="Palatino Linotype"/>
          <w:b/>
          <w:bCs/>
          <w:color w:val="000000"/>
        </w:rPr>
        <w:lastRenderedPageBreak/>
        <w:t xml:space="preserve">SEGUNDO. </w:t>
      </w:r>
      <w:r w:rsidRPr="00A43775">
        <w:rPr>
          <w:rFonts w:ascii="Palatino Linotype" w:eastAsia="Palatino Linotype" w:hAnsi="Palatino Linotype" w:cs="Palatino Linotype"/>
          <w:color w:val="000000"/>
        </w:rPr>
        <w:t xml:space="preserve">Se </w:t>
      </w:r>
      <w:r w:rsidRPr="00A43775">
        <w:rPr>
          <w:rFonts w:ascii="Palatino Linotype" w:eastAsia="Palatino Linotype" w:hAnsi="Palatino Linotype" w:cs="Palatino Linotype"/>
          <w:b/>
          <w:bCs/>
          <w:color w:val="000000"/>
        </w:rPr>
        <w:t>MODIFICA</w:t>
      </w:r>
      <w:r w:rsidRPr="00A43775">
        <w:rPr>
          <w:rFonts w:ascii="Palatino Linotype" w:eastAsia="Palatino Linotype" w:hAnsi="Palatino Linotype" w:cs="Palatino Linotype"/>
          <w:color w:val="000000"/>
        </w:rPr>
        <w:t xml:space="preserve"> la respuesta y se </w:t>
      </w:r>
      <w:r w:rsidRPr="00A43775">
        <w:rPr>
          <w:rFonts w:ascii="Palatino Linotype" w:eastAsia="Palatino Linotype" w:hAnsi="Palatino Linotype" w:cs="Palatino Linotype"/>
          <w:b/>
          <w:bCs/>
          <w:color w:val="000000"/>
        </w:rPr>
        <w:t xml:space="preserve">ORDENA </w:t>
      </w:r>
      <w:r w:rsidRPr="00A43775">
        <w:rPr>
          <w:rFonts w:ascii="Palatino Linotype" w:eastAsia="Palatino Linotype" w:hAnsi="Palatino Linotype" w:cs="Palatino Linotype"/>
          <w:color w:val="000000"/>
        </w:rPr>
        <w:t xml:space="preserve">al </w:t>
      </w:r>
      <w:r w:rsidRPr="00A43775">
        <w:rPr>
          <w:rFonts w:ascii="Palatino Linotype" w:eastAsia="Palatino Linotype" w:hAnsi="Palatino Linotype" w:cs="Palatino Linotype"/>
          <w:b/>
          <w:bCs/>
          <w:color w:val="000000"/>
        </w:rPr>
        <w:t xml:space="preserve">Ayuntamiento de Toluca, </w:t>
      </w:r>
      <w:r w:rsidRPr="00A43775">
        <w:rPr>
          <w:rFonts w:ascii="Palatino Linotype" w:eastAsia="Palatino Linotype" w:hAnsi="Palatino Linotype" w:cs="Palatino Linotype"/>
          <w:b/>
          <w:bCs/>
        </w:rPr>
        <w:t xml:space="preserve"> </w:t>
      </w:r>
      <w:r w:rsidRPr="00A43775">
        <w:rPr>
          <w:rFonts w:ascii="Palatino Linotype" w:eastAsia="Palatino Linotype" w:hAnsi="Palatino Linotype" w:cs="Palatino Linotype"/>
          <w:color w:val="000000"/>
        </w:rPr>
        <w:t xml:space="preserve">entregar vía Sistema de Acceso a la Información Mexiquense </w:t>
      </w:r>
      <w:r w:rsidRPr="00A43775">
        <w:rPr>
          <w:rFonts w:ascii="Palatino Linotype" w:eastAsia="Palatino Linotype" w:hAnsi="Palatino Linotype" w:cs="Palatino Linotype"/>
          <w:b/>
          <w:bCs/>
          <w:color w:val="000000"/>
        </w:rPr>
        <w:t>(SAIMEX)</w:t>
      </w:r>
      <w:r w:rsidRPr="00A43775">
        <w:rPr>
          <w:rFonts w:ascii="Palatino Linotype" w:eastAsia="Palatino Linotype" w:hAnsi="Palatino Linotype" w:cs="Palatino Linotype"/>
          <w:color w:val="000000"/>
        </w:rPr>
        <w:t>,después de una búsqueda exhaustiva, de ser procedente en versión pública</w:t>
      </w:r>
      <w:r w:rsidRPr="00C42463">
        <w:rPr>
          <w:rFonts w:ascii="Palatino Linotype" w:eastAsia="Palatino Linotype" w:hAnsi="Palatino Linotype" w:cs="Palatino Linotype"/>
          <w:color w:val="000000"/>
        </w:rPr>
        <w:t xml:space="preserve">, </w:t>
      </w:r>
      <w:r w:rsidR="00F31E9F" w:rsidRPr="00C42463">
        <w:rPr>
          <w:rFonts w:ascii="Palatino Linotype" w:eastAsia="Palatino Linotype" w:hAnsi="Palatino Linotype" w:cs="Palatino Linotype"/>
          <w:color w:val="000000"/>
        </w:rPr>
        <w:t xml:space="preserve">al once de noviembre de dos mil veinticinco, </w:t>
      </w:r>
      <w:r w:rsidRPr="00C42463">
        <w:rPr>
          <w:rFonts w:ascii="Palatino Linotype" w:eastAsia="Palatino Linotype" w:hAnsi="Palatino Linotype" w:cs="Palatino Linotype"/>
          <w:color w:val="000000"/>
        </w:rPr>
        <w:t xml:space="preserve">el o los documentos donde conste la siguiente información: </w:t>
      </w:r>
    </w:p>
    <w:p w:rsidR="00F02E64" w:rsidRPr="00C42463" w:rsidRDefault="00F02E64">
      <w:pPr>
        <w:spacing w:line="360" w:lineRule="auto"/>
        <w:jc w:val="both"/>
        <w:rPr>
          <w:rFonts w:ascii="Palatino Linotype" w:eastAsia="Palatino Linotype" w:hAnsi="Palatino Linotype" w:cs="Palatino Linotype"/>
          <w:color w:val="000000"/>
        </w:rPr>
      </w:pPr>
    </w:p>
    <w:p w:rsidR="00F02E64" w:rsidRPr="00C42463" w:rsidRDefault="00F02E64" w:rsidP="00F02E64">
      <w:pPr>
        <w:numPr>
          <w:ilvl w:val="0"/>
          <w:numId w:val="10"/>
        </w:numPr>
        <w:pBdr>
          <w:top w:val="nil"/>
          <w:left w:val="nil"/>
          <w:bottom w:val="nil"/>
          <w:right w:val="nil"/>
          <w:between w:val="nil"/>
        </w:pBdr>
        <w:spacing w:line="360" w:lineRule="auto"/>
        <w:ind w:left="1701" w:right="851" w:hanging="14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 xml:space="preserve">Contratos de adquisición de combustible para los vehículos del Ayuntamiento, que hayan sido  generados del 18 de noviembre de dos mil veinticuatro al 18 de noviembre de dos mil veinticinco </w:t>
      </w:r>
    </w:p>
    <w:p w:rsidR="00F02E64" w:rsidRPr="00C42463" w:rsidRDefault="00F02E64" w:rsidP="00F02E64">
      <w:pPr>
        <w:numPr>
          <w:ilvl w:val="0"/>
          <w:numId w:val="10"/>
        </w:numPr>
        <w:pBdr>
          <w:top w:val="nil"/>
          <w:left w:val="nil"/>
          <w:bottom w:val="nil"/>
          <w:right w:val="nil"/>
          <w:between w:val="nil"/>
        </w:pBdr>
        <w:spacing w:line="360" w:lineRule="auto"/>
        <w:ind w:left="1701" w:right="851" w:hanging="14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Autorización  para dotación de combustible a vehículos no oficiales generadas del  18 de noviembre de dos mil veinticuatro al 18 de noviembre de dos mil veinticinco.</w:t>
      </w:r>
    </w:p>
    <w:p w:rsidR="00F02E64" w:rsidRPr="00C42463" w:rsidRDefault="00F02E64" w:rsidP="00F02E64">
      <w:pPr>
        <w:numPr>
          <w:ilvl w:val="0"/>
          <w:numId w:val="10"/>
        </w:numPr>
        <w:pBdr>
          <w:top w:val="nil"/>
          <w:left w:val="nil"/>
          <w:bottom w:val="nil"/>
          <w:right w:val="nil"/>
          <w:between w:val="nil"/>
        </w:pBdr>
        <w:spacing w:line="360" w:lineRule="auto"/>
        <w:ind w:left="1701" w:right="851" w:hanging="14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Procedimiento para dotación de combustible para vehículos del Ayuntamiento.</w:t>
      </w:r>
    </w:p>
    <w:p w:rsidR="00F02E64" w:rsidRPr="00C42463" w:rsidRDefault="00F02E64" w:rsidP="00F02E64">
      <w:pPr>
        <w:numPr>
          <w:ilvl w:val="0"/>
          <w:numId w:val="10"/>
        </w:numPr>
        <w:pBdr>
          <w:top w:val="nil"/>
          <w:left w:val="nil"/>
          <w:bottom w:val="nil"/>
          <w:right w:val="nil"/>
          <w:between w:val="nil"/>
        </w:pBdr>
        <w:spacing w:line="360" w:lineRule="auto"/>
        <w:ind w:left="1701" w:right="851" w:hanging="14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Fundamentación jurídica para dotación de combustible a vehículos del Ayuntamiento.</w:t>
      </w:r>
    </w:p>
    <w:p w:rsidR="00F02E64" w:rsidRPr="00C42463" w:rsidRDefault="00F02E64" w:rsidP="00F02E64">
      <w:pPr>
        <w:pBdr>
          <w:top w:val="nil"/>
          <w:left w:val="nil"/>
          <w:bottom w:val="nil"/>
          <w:right w:val="nil"/>
          <w:between w:val="nil"/>
        </w:pBdr>
        <w:spacing w:line="360" w:lineRule="auto"/>
        <w:ind w:left="1701" w:right="851" w:hanging="141"/>
        <w:jc w:val="both"/>
        <w:rPr>
          <w:rFonts w:ascii="Palatino Linotype" w:eastAsia="Palatino Linotype" w:hAnsi="Palatino Linotype" w:cs="Palatino Linotype"/>
          <w:b/>
          <w:bCs/>
          <w:i/>
          <w:iCs/>
          <w:color w:val="000000"/>
        </w:rPr>
      </w:pPr>
    </w:p>
    <w:p w:rsidR="00F02E64" w:rsidRPr="00C42463" w:rsidRDefault="00F02E64" w:rsidP="00F02E64">
      <w:pPr>
        <w:numPr>
          <w:ilvl w:val="0"/>
          <w:numId w:val="10"/>
        </w:numPr>
        <w:pBdr>
          <w:top w:val="nil"/>
          <w:left w:val="nil"/>
          <w:bottom w:val="nil"/>
          <w:right w:val="nil"/>
          <w:between w:val="nil"/>
        </w:pBdr>
        <w:spacing w:line="276" w:lineRule="auto"/>
        <w:ind w:left="1701" w:right="992" w:hanging="141"/>
        <w:jc w:val="both"/>
        <w:rPr>
          <w:rFonts w:ascii="Palatino Linotype" w:eastAsia="Palatino Linotype" w:hAnsi="Palatino Linotype" w:cs="Palatino Linotype"/>
          <w:i/>
          <w:iCs/>
          <w:color w:val="000000"/>
        </w:rPr>
      </w:pPr>
      <w:r w:rsidRPr="00C42463">
        <w:rPr>
          <w:rFonts w:ascii="Palatino Linotype" w:eastAsia="Palatino Linotype" w:hAnsi="Palatino Linotype" w:cs="Palatino Linotype"/>
          <w:b/>
          <w:bCs/>
          <w:i/>
          <w:iCs/>
          <w:color w:val="000000"/>
        </w:rPr>
        <w:t xml:space="preserve">Área responsable del vehículo con placas ME-043-A-5 </w:t>
      </w:r>
    </w:p>
    <w:p w:rsidR="00F02E64" w:rsidRPr="00C42463" w:rsidRDefault="00F02E64" w:rsidP="00F02E64">
      <w:pPr>
        <w:spacing w:line="360" w:lineRule="auto"/>
        <w:ind w:left="1701" w:hanging="141"/>
        <w:jc w:val="both"/>
        <w:rPr>
          <w:rFonts w:ascii="Palatino Linotype" w:eastAsia="Palatino Linotype" w:hAnsi="Palatino Linotype" w:cs="Palatino Linotype"/>
          <w:color w:val="000000"/>
        </w:rPr>
      </w:pPr>
    </w:p>
    <w:p w:rsidR="00086DA7" w:rsidRPr="00C42463" w:rsidRDefault="00AB7E1C" w:rsidP="00F02E64">
      <w:pPr>
        <w:spacing w:line="360" w:lineRule="auto"/>
        <w:ind w:left="1418"/>
        <w:jc w:val="both"/>
        <w:rPr>
          <w:rFonts w:ascii="Palatino Linotype" w:eastAsia="Palatino Linotype" w:hAnsi="Palatino Linotype" w:cs="Palatino Linotype"/>
          <w:color w:val="000000"/>
        </w:rPr>
      </w:pPr>
      <w:r w:rsidRPr="00C42463">
        <w:rPr>
          <w:rFonts w:ascii="Palatino Linotype" w:eastAsia="Palatino Linotype" w:hAnsi="Palatino Linotype" w:cs="Palatino Linotype"/>
          <w:color w:val="000000"/>
        </w:rPr>
        <w:t>De la Directora General de Administración</w:t>
      </w:r>
    </w:p>
    <w:p w:rsidR="00086DA7" w:rsidRPr="00C42463" w:rsidRDefault="00AB7E1C">
      <w:pPr>
        <w:numPr>
          <w:ilvl w:val="0"/>
          <w:numId w:val="10"/>
        </w:numPr>
        <w:spacing w:line="276" w:lineRule="auto"/>
        <w:ind w:right="992"/>
        <w:jc w:val="both"/>
        <w:rPr>
          <w:rFonts w:ascii="Palatino Linotype" w:eastAsia="Palatino Linotype" w:hAnsi="Palatino Linotype" w:cs="Palatino Linotype"/>
          <w:i/>
          <w:iCs/>
        </w:rPr>
      </w:pPr>
      <w:r w:rsidRPr="00C42463">
        <w:rPr>
          <w:rFonts w:ascii="Palatino Linotype" w:eastAsia="Palatino Linotype" w:hAnsi="Palatino Linotype" w:cs="Palatino Linotype"/>
          <w:b/>
          <w:bCs/>
          <w:i/>
          <w:iCs/>
        </w:rPr>
        <w:t>La exención para el registro de asistencia</w:t>
      </w:r>
    </w:p>
    <w:p w:rsidR="00086DA7" w:rsidRPr="00C42463" w:rsidRDefault="00AB7E1C">
      <w:pPr>
        <w:numPr>
          <w:ilvl w:val="0"/>
          <w:numId w:val="10"/>
        </w:numPr>
        <w:spacing w:line="276" w:lineRule="auto"/>
        <w:ind w:right="851"/>
        <w:jc w:val="both"/>
        <w:rPr>
          <w:rFonts w:ascii="Palatino Linotype" w:eastAsia="Palatino Linotype" w:hAnsi="Palatino Linotype" w:cs="Palatino Linotype"/>
          <w:i/>
          <w:iCs/>
        </w:rPr>
      </w:pPr>
      <w:r w:rsidRPr="00C42463">
        <w:rPr>
          <w:rFonts w:ascii="Palatino Linotype" w:eastAsia="Palatino Linotype" w:hAnsi="Palatino Linotype" w:cs="Palatino Linotype"/>
          <w:b/>
          <w:bCs/>
          <w:i/>
          <w:iCs/>
        </w:rPr>
        <w:t xml:space="preserve">Asignación de lugar de estacionamiento </w:t>
      </w:r>
    </w:p>
    <w:p w:rsidR="00086DA7" w:rsidRPr="00C42463" w:rsidRDefault="00AB7E1C">
      <w:pPr>
        <w:numPr>
          <w:ilvl w:val="0"/>
          <w:numId w:val="10"/>
        </w:numPr>
        <w:pBdr>
          <w:top w:val="nil"/>
          <w:left w:val="nil"/>
          <w:bottom w:val="nil"/>
          <w:right w:val="nil"/>
          <w:between w:val="nil"/>
        </w:pBdr>
        <w:spacing w:line="276" w:lineRule="auto"/>
        <w:ind w:right="85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Asignación de chofer</w:t>
      </w:r>
    </w:p>
    <w:p w:rsidR="00086DA7" w:rsidRPr="00C42463" w:rsidRDefault="00AB7E1C">
      <w:pPr>
        <w:numPr>
          <w:ilvl w:val="0"/>
          <w:numId w:val="10"/>
        </w:numPr>
        <w:pBdr>
          <w:top w:val="nil"/>
          <w:left w:val="nil"/>
          <w:bottom w:val="nil"/>
          <w:right w:val="nil"/>
          <w:between w:val="nil"/>
        </w:pBdr>
        <w:spacing w:line="276" w:lineRule="auto"/>
        <w:ind w:right="85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Sueldo Mensual bruto y neto de chofer</w:t>
      </w:r>
    </w:p>
    <w:p w:rsidR="00086DA7" w:rsidRPr="00C42463" w:rsidRDefault="00AB7E1C">
      <w:pPr>
        <w:numPr>
          <w:ilvl w:val="0"/>
          <w:numId w:val="10"/>
        </w:numPr>
        <w:pBdr>
          <w:top w:val="nil"/>
          <w:left w:val="nil"/>
          <w:bottom w:val="nil"/>
          <w:right w:val="nil"/>
          <w:between w:val="nil"/>
        </w:pBdr>
        <w:spacing w:line="276" w:lineRule="auto"/>
        <w:ind w:right="85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Tipo de plaza (base, confianza o contrato)</w:t>
      </w:r>
    </w:p>
    <w:p w:rsidR="00086DA7" w:rsidRPr="00C42463" w:rsidRDefault="00AB7E1C">
      <w:pPr>
        <w:numPr>
          <w:ilvl w:val="0"/>
          <w:numId w:val="10"/>
        </w:numPr>
        <w:pBdr>
          <w:top w:val="nil"/>
          <w:left w:val="nil"/>
          <w:bottom w:val="nil"/>
          <w:right w:val="nil"/>
          <w:between w:val="nil"/>
        </w:pBdr>
        <w:spacing w:line="276" w:lineRule="auto"/>
        <w:ind w:right="85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Fecha de contratación</w:t>
      </w:r>
    </w:p>
    <w:p w:rsidR="00086DA7" w:rsidRPr="00C42463" w:rsidRDefault="00AB7E1C">
      <w:pPr>
        <w:numPr>
          <w:ilvl w:val="0"/>
          <w:numId w:val="10"/>
        </w:numPr>
        <w:pBdr>
          <w:top w:val="nil"/>
          <w:left w:val="nil"/>
          <w:bottom w:val="nil"/>
          <w:right w:val="nil"/>
          <w:between w:val="nil"/>
        </w:pBdr>
        <w:spacing w:line="276" w:lineRule="auto"/>
        <w:ind w:right="85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lastRenderedPageBreak/>
        <w:t>Horario de chofer</w:t>
      </w:r>
    </w:p>
    <w:p w:rsidR="00086DA7" w:rsidRPr="00C42463" w:rsidRDefault="00AB7E1C">
      <w:pPr>
        <w:numPr>
          <w:ilvl w:val="0"/>
          <w:numId w:val="10"/>
        </w:numPr>
        <w:pBdr>
          <w:top w:val="nil"/>
          <w:left w:val="nil"/>
          <w:bottom w:val="nil"/>
          <w:right w:val="nil"/>
          <w:between w:val="nil"/>
        </w:pBdr>
        <w:spacing w:line="276" w:lineRule="auto"/>
        <w:ind w:right="85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rPr>
        <w:t xml:space="preserve">Las listas de </w:t>
      </w:r>
      <w:r w:rsidRPr="00C42463">
        <w:rPr>
          <w:rFonts w:ascii="Palatino Linotype" w:eastAsia="Palatino Linotype" w:hAnsi="Palatino Linotype" w:cs="Palatino Linotype"/>
          <w:b/>
          <w:bCs/>
          <w:i/>
          <w:iCs/>
          <w:color w:val="000000"/>
        </w:rPr>
        <w:t xml:space="preserve"> </w:t>
      </w:r>
      <w:r w:rsidRPr="00C42463">
        <w:rPr>
          <w:rFonts w:ascii="Palatino Linotype" w:eastAsia="Palatino Linotype" w:hAnsi="Palatino Linotype" w:cs="Palatino Linotype"/>
          <w:b/>
          <w:bCs/>
          <w:i/>
          <w:iCs/>
        </w:rPr>
        <w:t>asistencia</w:t>
      </w:r>
      <w:r w:rsidRPr="00C42463">
        <w:rPr>
          <w:rFonts w:ascii="Palatino Linotype" w:eastAsia="Palatino Linotype" w:hAnsi="Palatino Linotype" w:cs="Palatino Linotype"/>
          <w:b/>
          <w:bCs/>
          <w:i/>
          <w:iCs/>
          <w:color w:val="000000"/>
        </w:rPr>
        <w:t xml:space="preserve"> del  chofer o </w:t>
      </w:r>
      <w:r w:rsidRPr="00C42463">
        <w:rPr>
          <w:rFonts w:ascii="Palatino Linotype" w:eastAsia="Palatino Linotype" w:hAnsi="Palatino Linotype" w:cs="Palatino Linotype"/>
          <w:b/>
          <w:bCs/>
          <w:i/>
          <w:iCs/>
        </w:rPr>
        <w:t xml:space="preserve"> bien la autorización emitida por autoridad competente, para exceptuar su asistencia.</w:t>
      </w:r>
    </w:p>
    <w:p w:rsidR="00086DA7" w:rsidRPr="00C42463" w:rsidRDefault="00086DA7">
      <w:pPr>
        <w:pBdr>
          <w:top w:val="nil"/>
          <w:left w:val="nil"/>
          <w:bottom w:val="nil"/>
          <w:right w:val="nil"/>
          <w:between w:val="nil"/>
        </w:pBdr>
        <w:spacing w:line="276" w:lineRule="auto"/>
        <w:ind w:left="1494" w:right="851"/>
        <w:jc w:val="both"/>
        <w:rPr>
          <w:rFonts w:ascii="Palatino Linotype" w:eastAsia="Palatino Linotype" w:hAnsi="Palatino Linotype" w:cs="Palatino Linotype"/>
          <w:b/>
          <w:bCs/>
          <w:i/>
          <w:iCs/>
        </w:rPr>
      </w:pPr>
    </w:p>
    <w:p w:rsidR="00086DA7" w:rsidRPr="00C42463" w:rsidRDefault="00AB7E1C">
      <w:pPr>
        <w:pBdr>
          <w:top w:val="nil"/>
          <w:left w:val="nil"/>
          <w:bottom w:val="nil"/>
          <w:right w:val="nil"/>
          <w:between w:val="nil"/>
        </w:pBdr>
        <w:spacing w:line="276" w:lineRule="auto"/>
        <w:ind w:left="1494" w:right="851"/>
        <w:jc w:val="both"/>
        <w:rPr>
          <w:rFonts w:ascii="Palatino Linotype" w:eastAsia="Palatino Linotype" w:hAnsi="Palatino Linotype" w:cs="Palatino Linotype"/>
          <w:color w:val="000000"/>
        </w:rPr>
      </w:pPr>
      <w:r w:rsidRPr="00C42463">
        <w:rPr>
          <w:rFonts w:ascii="Palatino Linotype" w:eastAsia="Palatino Linotype" w:hAnsi="Palatino Linotype" w:cs="Palatino Linotype"/>
          <w:color w:val="000000"/>
        </w:rPr>
        <w:t>Del Presidente Municipal e Integrantes de Cabildo</w:t>
      </w:r>
    </w:p>
    <w:p w:rsidR="00086DA7" w:rsidRPr="00C42463" w:rsidRDefault="00AB7E1C">
      <w:pPr>
        <w:numPr>
          <w:ilvl w:val="0"/>
          <w:numId w:val="10"/>
        </w:numPr>
        <w:pBdr>
          <w:top w:val="nil"/>
          <w:left w:val="nil"/>
          <w:bottom w:val="nil"/>
          <w:right w:val="nil"/>
          <w:between w:val="nil"/>
        </w:pBdr>
        <w:spacing w:line="360" w:lineRule="auto"/>
        <w:ind w:right="85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Vehículo oficial asignado</w:t>
      </w:r>
    </w:p>
    <w:p w:rsidR="00086DA7" w:rsidRPr="00C42463" w:rsidRDefault="00AB7E1C">
      <w:pPr>
        <w:numPr>
          <w:ilvl w:val="0"/>
          <w:numId w:val="10"/>
        </w:numPr>
        <w:pBdr>
          <w:top w:val="nil"/>
          <w:left w:val="nil"/>
          <w:bottom w:val="nil"/>
          <w:right w:val="nil"/>
          <w:between w:val="nil"/>
        </w:pBdr>
        <w:spacing w:line="360" w:lineRule="auto"/>
        <w:ind w:right="85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Asignación de lugar de estacionamiento</w:t>
      </w:r>
    </w:p>
    <w:p w:rsidR="00086DA7" w:rsidRPr="00C42463" w:rsidRDefault="00AB7E1C">
      <w:pPr>
        <w:numPr>
          <w:ilvl w:val="0"/>
          <w:numId w:val="10"/>
        </w:numPr>
        <w:pBdr>
          <w:top w:val="nil"/>
          <w:left w:val="nil"/>
          <w:bottom w:val="nil"/>
          <w:right w:val="nil"/>
          <w:between w:val="nil"/>
        </w:pBdr>
        <w:spacing w:line="360" w:lineRule="auto"/>
        <w:ind w:right="85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Servidor Público que autorice dotación de combustible</w:t>
      </w:r>
    </w:p>
    <w:p w:rsidR="00086DA7" w:rsidRPr="00C42463" w:rsidRDefault="00AB7E1C">
      <w:pPr>
        <w:numPr>
          <w:ilvl w:val="0"/>
          <w:numId w:val="10"/>
        </w:numPr>
        <w:pBdr>
          <w:top w:val="nil"/>
          <w:left w:val="nil"/>
          <w:bottom w:val="nil"/>
          <w:right w:val="nil"/>
          <w:between w:val="nil"/>
        </w:pBdr>
        <w:spacing w:line="360" w:lineRule="auto"/>
        <w:ind w:right="851"/>
        <w:jc w:val="both"/>
        <w:rPr>
          <w:rFonts w:ascii="Palatino Linotype" w:eastAsia="Palatino Linotype" w:hAnsi="Palatino Linotype" w:cs="Palatino Linotype"/>
          <w:b/>
          <w:bCs/>
          <w:i/>
          <w:iCs/>
          <w:color w:val="000000"/>
        </w:rPr>
      </w:pPr>
      <w:r w:rsidRPr="00C42463">
        <w:rPr>
          <w:rFonts w:ascii="Palatino Linotype" w:eastAsia="Palatino Linotype" w:hAnsi="Palatino Linotype" w:cs="Palatino Linotype"/>
          <w:b/>
          <w:bCs/>
          <w:i/>
          <w:iCs/>
          <w:color w:val="000000"/>
        </w:rPr>
        <w:t>Bitácora de dotación de combustible del 18 de noviembre de dos mil veinticuatro al 18 de noviembre de dos mil veinticinco.</w:t>
      </w:r>
    </w:p>
    <w:p w:rsidR="00AB7E1C" w:rsidRPr="00A43775" w:rsidRDefault="00AB7E1C" w:rsidP="00AB7E1C">
      <w:pPr>
        <w:pBdr>
          <w:top w:val="nil"/>
          <w:left w:val="nil"/>
          <w:bottom w:val="nil"/>
          <w:right w:val="nil"/>
          <w:between w:val="nil"/>
        </w:pBdr>
        <w:spacing w:line="360" w:lineRule="auto"/>
        <w:ind w:left="1134" w:right="851"/>
        <w:jc w:val="both"/>
        <w:rPr>
          <w:rFonts w:ascii="Palatino Linotype" w:eastAsia="Palatino Linotype" w:hAnsi="Palatino Linotype" w:cs="Palatino Linotype"/>
          <w:bCs/>
          <w:iCs/>
          <w:color w:val="000000"/>
        </w:rPr>
      </w:pPr>
    </w:p>
    <w:p w:rsidR="00086DA7" w:rsidRPr="00A43775" w:rsidRDefault="00AB7E1C" w:rsidP="00F02E64">
      <w:pPr>
        <w:pBdr>
          <w:top w:val="nil"/>
          <w:left w:val="nil"/>
          <w:bottom w:val="nil"/>
          <w:right w:val="nil"/>
          <w:between w:val="nil"/>
        </w:pBdr>
        <w:spacing w:line="276" w:lineRule="auto"/>
        <w:ind w:left="1134" w:right="851"/>
        <w:jc w:val="both"/>
        <w:rPr>
          <w:rFonts w:ascii="Palatino Linotype" w:eastAsia="Palatino Linotype" w:hAnsi="Palatino Linotype" w:cs="Palatino Linotype"/>
          <w:i/>
          <w:iCs/>
        </w:rPr>
      </w:pPr>
      <w:bookmarkStart w:id="12" w:name="_heading=h.w6l7sk230djp" w:colFirst="0" w:colLast="0"/>
      <w:bookmarkEnd w:id="12"/>
      <w:r w:rsidRPr="00A43775">
        <w:rPr>
          <w:rFonts w:ascii="Palatino Linotype" w:eastAsia="Palatino Linotype" w:hAnsi="Palatino Linotype" w:cs="Palatino Linotype"/>
          <w:i/>
          <w:iC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RECURRENTE.</w:t>
      </w:r>
    </w:p>
    <w:p w:rsidR="00086DA7" w:rsidRPr="00A43775" w:rsidRDefault="00086DA7">
      <w:pPr>
        <w:pBdr>
          <w:top w:val="nil"/>
          <w:left w:val="nil"/>
          <w:bottom w:val="nil"/>
          <w:right w:val="nil"/>
          <w:between w:val="nil"/>
        </w:pBdr>
        <w:spacing w:line="276" w:lineRule="auto"/>
        <w:ind w:left="1134" w:right="851"/>
        <w:jc w:val="both"/>
        <w:rPr>
          <w:rFonts w:ascii="Palatino Linotype" w:eastAsia="Palatino Linotype" w:hAnsi="Palatino Linotype" w:cs="Palatino Linotype"/>
          <w:i/>
          <w:iCs/>
        </w:rPr>
      </w:pPr>
      <w:bookmarkStart w:id="13" w:name="_heading=h.vf0zbz8a1y8m" w:colFirst="0" w:colLast="0"/>
      <w:bookmarkEnd w:id="13"/>
    </w:p>
    <w:p w:rsidR="00086DA7" w:rsidRPr="00A43775" w:rsidRDefault="00AB7E1C">
      <w:pPr>
        <w:spacing w:line="276" w:lineRule="auto"/>
        <w:ind w:left="1134" w:right="851"/>
        <w:jc w:val="both"/>
        <w:rPr>
          <w:rFonts w:ascii="Palatino Linotype" w:eastAsia="Palatino Linotype" w:hAnsi="Palatino Linotype" w:cs="Palatino Linotype"/>
          <w:i/>
          <w:iCs/>
        </w:rPr>
      </w:pPr>
      <w:r w:rsidRPr="00A43775">
        <w:rPr>
          <w:rFonts w:ascii="Palatino Linotype" w:eastAsia="Palatino Linotype" w:hAnsi="Palatino Linotype" w:cs="Palatino Linotype"/>
          <w:i/>
          <w:iCs/>
        </w:rPr>
        <w:t xml:space="preserve">Respecto a los puntos </w:t>
      </w:r>
      <w:r w:rsidR="006E1559" w:rsidRPr="00A43775">
        <w:rPr>
          <w:rFonts w:ascii="Palatino Linotype" w:eastAsia="Palatino Linotype" w:hAnsi="Palatino Linotype" w:cs="Palatino Linotype"/>
          <w:i/>
          <w:iCs/>
        </w:rPr>
        <w:t>seis al diecisiete</w:t>
      </w:r>
      <w:r w:rsidRPr="00A43775">
        <w:rPr>
          <w:rFonts w:ascii="Palatino Linotype" w:eastAsia="Palatino Linotype" w:hAnsi="Palatino Linotype" w:cs="Palatino Linotype"/>
          <w:i/>
          <w:iCs/>
        </w:rPr>
        <w:t xml:space="preserve"> para el caso de no haberse generado la información bastará con que así se haga del conocimiento a LA PARTE RECURRENTE en términos de lo que establece el artículo 19 segundo párrafo de la Ley de Transparencia Local.</w:t>
      </w:r>
    </w:p>
    <w:p w:rsidR="00086DA7" w:rsidRPr="00A43775" w:rsidRDefault="00086DA7">
      <w:pPr>
        <w:spacing w:line="276" w:lineRule="auto"/>
        <w:ind w:left="1134" w:right="851"/>
        <w:jc w:val="both"/>
        <w:rPr>
          <w:rFonts w:ascii="Palatino Linotype" w:eastAsia="Palatino Linotype" w:hAnsi="Palatino Linotype" w:cs="Palatino Linotype"/>
          <w:i/>
          <w:iCs/>
        </w:rPr>
      </w:pPr>
    </w:p>
    <w:p w:rsidR="00086DA7" w:rsidRPr="00A43775" w:rsidRDefault="00AB7E1C">
      <w:pPr>
        <w:spacing w:line="276" w:lineRule="auto"/>
        <w:ind w:left="1134" w:right="851"/>
        <w:jc w:val="both"/>
        <w:rPr>
          <w:rFonts w:ascii="Palatino Linotype" w:eastAsia="Palatino Linotype" w:hAnsi="Palatino Linotype" w:cs="Palatino Linotype"/>
          <w:i/>
          <w:iCs/>
        </w:rPr>
      </w:pPr>
      <w:r w:rsidRPr="00C42463">
        <w:rPr>
          <w:rFonts w:ascii="Palatino Linotype" w:eastAsia="Palatino Linotype" w:hAnsi="Palatino Linotype" w:cs="Palatino Linotype"/>
          <w:i/>
          <w:iCs/>
        </w:rPr>
        <w:t>Para el caso de no contar con la información relativa a los servidores públicos que por sus funciones deban registrar su asistencia, resulta procedente la entrega del documento donde conste la prerrogativa de contar con exención para el registro de asistencia.</w:t>
      </w:r>
    </w:p>
    <w:p w:rsidR="00086DA7" w:rsidRPr="00A43775" w:rsidRDefault="00086DA7">
      <w:pPr>
        <w:spacing w:line="360" w:lineRule="auto"/>
        <w:jc w:val="both"/>
        <w:rPr>
          <w:rFonts w:ascii="Palatino Linotype" w:eastAsia="Palatino Linotype" w:hAnsi="Palatino Linotype" w:cs="Palatino Linotype"/>
        </w:rPr>
      </w:pPr>
      <w:bookmarkStart w:id="14" w:name="_heading=h.cfbkch8m6hi" w:colFirst="0" w:colLast="0"/>
      <w:bookmarkEnd w:id="14"/>
    </w:p>
    <w:p w:rsidR="00086DA7" w:rsidRPr="00A43775" w:rsidRDefault="00AB7E1C">
      <w:pPr>
        <w:spacing w:line="360" w:lineRule="auto"/>
        <w:jc w:val="both"/>
        <w:rPr>
          <w:rFonts w:ascii="Palatino Linotype" w:eastAsia="Palatino Linotype" w:hAnsi="Palatino Linotype" w:cs="Palatino Linotype"/>
          <w:b/>
          <w:bCs/>
        </w:rPr>
      </w:pPr>
      <w:r w:rsidRPr="00A43775">
        <w:rPr>
          <w:rFonts w:ascii="Palatino Linotype" w:eastAsia="Palatino Linotype" w:hAnsi="Palatino Linotype" w:cs="Palatino Linotype"/>
          <w:b/>
          <w:bCs/>
        </w:rPr>
        <w:lastRenderedPageBreak/>
        <w:t xml:space="preserve">TERCERO. NOTIFÍQUESE </w:t>
      </w:r>
      <w:r w:rsidRPr="00A43775">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w:t>
      </w:r>
      <w:r w:rsidRPr="00A43775">
        <w:rPr>
          <w:rFonts w:ascii="Palatino Linotype" w:eastAsia="Palatino Linotype" w:hAnsi="Palatino Linotype" w:cs="Palatino Linotype"/>
          <w:b/>
          <w:bCs/>
        </w:rPr>
        <w:t>ordenado dentro del plazo de diez días hábiles</w:t>
      </w:r>
      <w:r w:rsidRPr="00A43775">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086DA7" w:rsidRPr="00A43775" w:rsidRDefault="00086DA7">
      <w:pPr>
        <w:spacing w:line="360" w:lineRule="auto"/>
        <w:jc w:val="both"/>
        <w:rPr>
          <w:rFonts w:ascii="Palatino Linotype" w:eastAsia="Palatino Linotype" w:hAnsi="Palatino Linotype" w:cs="Palatino Linotype"/>
          <w:b/>
          <w:bCs/>
        </w:rPr>
      </w:pPr>
    </w:p>
    <w:p w:rsidR="00086DA7" w:rsidRPr="00A43775" w:rsidRDefault="00AB7E1C">
      <w:pPr>
        <w:spacing w:line="360" w:lineRule="auto"/>
        <w:jc w:val="both"/>
        <w:rPr>
          <w:rFonts w:ascii="Palatino Linotype" w:eastAsia="Palatino Linotype" w:hAnsi="Palatino Linotype" w:cs="Palatino Linotype"/>
        </w:rPr>
      </w:pPr>
      <w:r w:rsidRPr="00A43775">
        <w:rPr>
          <w:rFonts w:ascii="Palatino Linotype" w:eastAsia="Palatino Linotype" w:hAnsi="Palatino Linotype" w:cs="Palatino Linotype"/>
          <w:b/>
          <w:bCs/>
        </w:rPr>
        <w:t xml:space="preserve">CUARTO. </w:t>
      </w:r>
      <w:r w:rsidRPr="00A4377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43775">
        <w:rPr>
          <w:rFonts w:ascii="Palatino Linotype" w:eastAsia="Palatino Linotype" w:hAnsi="Palatino Linotype" w:cs="Palatino Linotype"/>
          <w:b/>
          <w:bCs/>
        </w:rPr>
        <w:t>SUJETO OBLIGADO</w:t>
      </w:r>
      <w:r w:rsidRPr="00A43775">
        <w:rPr>
          <w:rFonts w:ascii="Palatino Linotype" w:eastAsia="Palatino Linotype" w:hAnsi="Palatino Linotype" w:cs="Palatino Linotype"/>
        </w:rPr>
        <w:t xml:space="preserve"> de manera fundada y motivada, podrá solicitar una ampliación de plazo para el cumplimiento de la presente resolución.</w:t>
      </w:r>
    </w:p>
    <w:p w:rsidR="00086DA7" w:rsidRPr="00A43775" w:rsidRDefault="00086DA7">
      <w:pPr>
        <w:spacing w:line="360" w:lineRule="auto"/>
        <w:jc w:val="both"/>
        <w:rPr>
          <w:rFonts w:ascii="Palatino Linotype" w:eastAsia="Palatino Linotype" w:hAnsi="Palatino Linotype" w:cs="Palatino Linotype"/>
        </w:rPr>
      </w:pPr>
    </w:p>
    <w:p w:rsidR="00086DA7" w:rsidRPr="00A43775" w:rsidRDefault="00AB7E1C">
      <w:pPr>
        <w:tabs>
          <w:tab w:val="left" w:pos="8080"/>
        </w:tabs>
        <w:spacing w:line="360" w:lineRule="auto"/>
        <w:ind w:right="49"/>
        <w:jc w:val="both"/>
        <w:rPr>
          <w:rFonts w:ascii="Palatino Linotype" w:eastAsia="Palatino Linotype" w:hAnsi="Palatino Linotype" w:cs="Palatino Linotype"/>
        </w:rPr>
      </w:pPr>
      <w:r w:rsidRPr="00A43775">
        <w:rPr>
          <w:rFonts w:ascii="Palatino Linotype" w:eastAsia="Palatino Linotype" w:hAnsi="Palatino Linotype" w:cs="Palatino Linotype"/>
          <w:b/>
          <w:bCs/>
        </w:rPr>
        <w:t xml:space="preserve">QUINTO. </w:t>
      </w:r>
      <w:r w:rsidRPr="00A43775">
        <w:rPr>
          <w:rFonts w:ascii="Palatino Linotype" w:eastAsia="Palatino Linotype" w:hAnsi="Palatino Linotype" w:cs="Palatino Linotype"/>
        </w:rPr>
        <w:t xml:space="preserve">Notifíquese a </w:t>
      </w:r>
      <w:r w:rsidRPr="00A43775">
        <w:rPr>
          <w:rFonts w:ascii="Palatino Linotype" w:eastAsia="Palatino Linotype" w:hAnsi="Palatino Linotype" w:cs="Palatino Linotype"/>
          <w:b/>
          <w:bCs/>
        </w:rPr>
        <w:t>EL RECURRENTE</w:t>
      </w:r>
      <w:r w:rsidRPr="00A43775">
        <w:rPr>
          <w:rFonts w:ascii="Palatino Linotype" w:eastAsia="Palatino Linotype" w:hAnsi="Palatino Linotype" w:cs="Palatino Linotype"/>
        </w:rPr>
        <w:t xml:space="preserve"> la presente resolución, vía SAIMEX.</w:t>
      </w:r>
    </w:p>
    <w:p w:rsidR="00086DA7" w:rsidRPr="00A43775" w:rsidRDefault="00086DA7">
      <w:pPr>
        <w:tabs>
          <w:tab w:val="left" w:pos="8080"/>
        </w:tabs>
        <w:spacing w:line="360" w:lineRule="auto"/>
        <w:ind w:right="49"/>
        <w:jc w:val="both"/>
        <w:rPr>
          <w:rFonts w:ascii="Palatino Linotype" w:eastAsia="Palatino Linotype" w:hAnsi="Palatino Linotype" w:cs="Palatino Linotype"/>
        </w:rPr>
      </w:pPr>
    </w:p>
    <w:p w:rsidR="00086DA7" w:rsidRPr="00A43775" w:rsidRDefault="00AB7E1C">
      <w:pPr>
        <w:shd w:val="clear" w:color="auto" w:fill="FFFFFF"/>
        <w:spacing w:line="360" w:lineRule="auto"/>
        <w:jc w:val="both"/>
        <w:rPr>
          <w:rFonts w:ascii="Palatino Linotype" w:eastAsia="Palatino Linotype" w:hAnsi="Palatino Linotype" w:cs="Palatino Linotype"/>
        </w:rPr>
      </w:pPr>
      <w:r w:rsidRPr="00A43775">
        <w:rPr>
          <w:rFonts w:ascii="Palatino Linotype" w:eastAsia="Palatino Linotype" w:hAnsi="Palatino Linotype" w:cs="Palatino Linotype"/>
          <w:b/>
          <w:bCs/>
        </w:rPr>
        <w:t>SEXTO.</w:t>
      </w:r>
      <w:r w:rsidRPr="00A43775">
        <w:rPr>
          <w:rFonts w:ascii="Palatino Linotype" w:eastAsia="Palatino Linotype" w:hAnsi="Palatino Linotype" w:cs="Palatino Linotype"/>
        </w:rPr>
        <w:t xml:space="preserve"> Se hace del conocimiento de </w:t>
      </w:r>
      <w:r w:rsidRPr="00A43775">
        <w:rPr>
          <w:rFonts w:ascii="Palatino Linotype" w:eastAsia="Palatino Linotype" w:hAnsi="Palatino Linotype" w:cs="Palatino Linotype"/>
          <w:b/>
          <w:bCs/>
        </w:rPr>
        <w:t>EL RECURRENTE</w:t>
      </w:r>
      <w:r w:rsidRPr="00A43775">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86DA7" w:rsidRPr="00A43775" w:rsidRDefault="00086DA7">
      <w:pPr>
        <w:shd w:val="clear" w:color="auto" w:fill="FFFFFF"/>
        <w:spacing w:line="360" w:lineRule="auto"/>
        <w:jc w:val="both"/>
        <w:rPr>
          <w:rFonts w:ascii="Palatino Linotype" w:eastAsia="Palatino Linotype" w:hAnsi="Palatino Linotype" w:cs="Palatino Linotype"/>
        </w:rPr>
      </w:pPr>
    </w:p>
    <w:p w:rsidR="00086DA7" w:rsidRPr="00A43775" w:rsidRDefault="00086DA7">
      <w:pPr>
        <w:shd w:val="clear" w:color="auto" w:fill="FFFFFF"/>
        <w:spacing w:line="360" w:lineRule="auto"/>
        <w:jc w:val="both"/>
        <w:rPr>
          <w:rFonts w:ascii="Palatino Linotype" w:eastAsia="Palatino Linotype" w:hAnsi="Palatino Linotype" w:cs="Palatino Linotype"/>
        </w:rPr>
      </w:pPr>
    </w:p>
    <w:p w:rsidR="0037154E" w:rsidRPr="00A43775" w:rsidRDefault="0037154E" w:rsidP="0037154E">
      <w:pPr>
        <w:spacing w:before="240" w:after="240" w:line="360" w:lineRule="auto"/>
        <w:ind w:firstLine="1"/>
        <w:jc w:val="both"/>
        <w:rPr>
          <w:rFonts w:ascii="Palatino Linotype" w:hAnsi="Palatino Linotype"/>
        </w:rPr>
      </w:pPr>
      <w:bookmarkStart w:id="15" w:name="_Hlk99014733"/>
      <w:r w:rsidRPr="00A43775">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B5F13" w:rsidRPr="00A43775">
        <w:rPr>
          <w:rFonts w:ascii="Palatino Linotype" w:hAnsi="Palatino Linotype" w:cs="Palatino Linotype"/>
        </w:rPr>
        <w:t xml:space="preserve"> </w:t>
      </w:r>
      <w:r w:rsidR="00CB5F13" w:rsidRPr="00A43775">
        <w:rPr>
          <w:rFonts w:ascii="Palatino Linotype" w:hAnsi="Palatino Linotype"/>
        </w:rPr>
        <w:t>EMITIENDO VOTO PARTICULAR</w:t>
      </w:r>
      <w:r w:rsidRPr="00A43775">
        <w:rPr>
          <w:rFonts w:ascii="Palatino Linotype" w:hAnsi="Palatino Linotype" w:cs="Palatino Linotype"/>
        </w:rPr>
        <w:t xml:space="preserve">; EN LA DÉCIMA CUARTA SESIÓN ORDINARIA, CELEBRADA EL VEINTIDÓS (22) DE ABRIL DE DOS MIL VEINTISÉIS, ANTE EL SECRETARIO TÉCNICO DEL PLENO </w:t>
      </w:r>
      <w:r w:rsidRPr="00A43775">
        <w:rPr>
          <w:rFonts w:ascii="Palatino Linotype" w:hAnsi="Palatino Linotype" w:cs="Palatino Linotype"/>
          <w:color w:val="000000" w:themeColor="text1"/>
        </w:rPr>
        <w:t>ALEXIS TAPIA RAMÍREZ.</w:t>
      </w:r>
    </w:p>
    <w:bookmarkEnd w:id="15"/>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spacing w:line="360" w:lineRule="auto"/>
        <w:rPr>
          <w:rFonts w:ascii="Palatino Linotype" w:eastAsia="Palatino Linotype" w:hAnsi="Palatino Linotype" w:cs="Palatino Linotype"/>
        </w:rPr>
      </w:pPr>
    </w:p>
    <w:p w:rsidR="00086DA7" w:rsidRPr="00A43775" w:rsidRDefault="00086DA7">
      <w:pPr>
        <w:rPr>
          <w:rFonts w:ascii="Palatino Linotype" w:eastAsia="Palatino Linotype" w:hAnsi="Palatino Linotype" w:cs="Palatino Linotype"/>
        </w:rPr>
      </w:pPr>
    </w:p>
    <w:p w:rsidR="00086DA7" w:rsidRPr="00A43775" w:rsidRDefault="00086DA7">
      <w:pPr>
        <w:rPr>
          <w:rFonts w:ascii="Palatino Linotype" w:eastAsia="Palatino Linotype" w:hAnsi="Palatino Linotype" w:cs="Palatino Linotype"/>
        </w:rPr>
      </w:pPr>
    </w:p>
    <w:p w:rsidR="00086DA7" w:rsidRPr="00A43775" w:rsidRDefault="00086DA7">
      <w:pPr>
        <w:rPr>
          <w:rFonts w:ascii="Palatino Linotype" w:eastAsia="Palatino Linotype" w:hAnsi="Palatino Linotype" w:cs="Palatino Linotype"/>
        </w:rPr>
      </w:pPr>
    </w:p>
    <w:p w:rsidR="00086DA7" w:rsidRPr="00A43775" w:rsidRDefault="00086DA7">
      <w:pPr>
        <w:rPr>
          <w:rFonts w:ascii="Palatino Linotype" w:eastAsia="Palatino Linotype" w:hAnsi="Palatino Linotype" w:cs="Palatino Linotype"/>
        </w:rPr>
      </w:pPr>
    </w:p>
    <w:p w:rsidR="00086DA7" w:rsidRPr="00A43775" w:rsidRDefault="00086DA7">
      <w:pPr>
        <w:rPr>
          <w:rFonts w:ascii="Palatino Linotype" w:eastAsia="Palatino Linotype" w:hAnsi="Palatino Linotype" w:cs="Palatino Linotype"/>
        </w:rPr>
      </w:pPr>
    </w:p>
    <w:p w:rsidR="00086DA7" w:rsidRPr="00A43775" w:rsidRDefault="00086DA7">
      <w:pPr>
        <w:rPr>
          <w:rFonts w:ascii="Palatino Linotype" w:eastAsia="Palatino Linotype" w:hAnsi="Palatino Linotype" w:cs="Palatino Linotype"/>
        </w:rPr>
      </w:pPr>
    </w:p>
    <w:p w:rsidR="00086DA7" w:rsidRPr="00A43775" w:rsidRDefault="00086DA7">
      <w:pPr>
        <w:rPr>
          <w:rFonts w:ascii="Palatino Linotype" w:eastAsia="Palatino Linotype" w:hAnsi="Palatino Linotype" w:cs="Palatino Linotype"/>
        </w:rPr>
      </w:pPr>
    </w:p>
    <w:p w:rsidR="00086DA7" w:rsidRPr="00A43775" w:rsidRDefault="00086DA7"/>
    <w:sectPr w:rsidR="00086DA7" w:rsidRPr="00A43775" w:rsidSect="00A43775">
      <w:headerReference w:type="even" r:id="rId24"/>
      <w:headerReference w:type="default" r:id="rId25"/>
      <w:footerReference w:type="default" r:id="rId26"/>
      <w:headerReference w:type="first" r:id="rId27"/>
      <w:footerReference w:type="first" r:id="rId28"/>
      <w:pgSz w:w="12240" w:h="15840"/>
      <w:pgMar w:top="2268" w:right="1325"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03B" w:rsidRDefault="0076303B">
      <w:r>
        <w:separator/>
      </w:r>
    </w:p>
  </w:endnote>
  <w:endnote w:type="continuationSeparator" w:id="0">
    <w:p w:rsidR="0076303B" w:rsidRDefault="00763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CE4F79D1-816D-4B18-871E-8733A95C990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72D5778-0CAD-4F4C-8157-5B68BB1603F9}"/>
    <w:embedBold r:id="rId3" w:fontKey="{C3A95144-CDFD-424A-872E-A5F029253948}"/>
    <w:embedItalic r:id="rId4" w:fontKey="{3F6ADF01-BEC0-4465-ADA2-B83833BDF2DA}"/>
    <w:embedBoldItalic r:id="rId5" w:fontKey="{0B9D83E9-3714-4F5E-9149-6945AD193FEB}"/>
  </w:font>
  <w:font w:name="Calibri">
    <w:panose1 w:val="020F0502020204030204"/>
    <w:charset w:val="00"/>
    <w:family w:val="swiss"/>
    <w:pitch w:val="variable"/>
    <w:sig w:usb0="E4002EFF" w:usb1="C200247B" w:usb2="00000009" w:usb3="00000000" w:csb0="000001FF" w:csb1="00000000"/>
    <w:embedRegular r:id="rId6" w:fontKey="{B5E0D254-BC2B-4540-97D8-E316127D67C7}"/>
    <w:embedBold r:id="rId7" w:fontKey="{B553E44E-64DD-4090-9E2F-C8C5865B4794}"/>
    <w:embedItalic r:id="rId8" w:fontKey="{EE75DDFF-F577-4335-9D35-E153B3148C2F}"/>
  </w:font>
  <w:font w:name="Georgia">
    <w:panose1 w:val="02040502050405020303"/>
    <w:charset w:val="00"/>
    <w:family w:val="roman"/>
    <w:pitch w:val="variable"/>
    <w:sig w:usb0="00000287" w:usb1="00000000" w:usb2="00000000" w:usb3="00000000" w:csb0="0000009F" w:csb1="00000000"/>
    <w:embedItalic r:id="rId9" w:fontKey="{7021D867-ABEB-49F1-872E-E0B5DD518C5D}"/>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0" w:fontKey="{DDDD3286-C031-40AF-8B14-ECF1781B911E}"/>
  </w:font>
  <w:font w:name="Cambria">
    <w:panose1 w:val="02040503050406030204"/>
    <w:charset w:val="00"/>
    <w:family w:val="roman"/>
    <w:pitch w:val="variable"/>
    <w:sig w:usb0="E00006FF" w:usb1="420024FF" w:usb2="02000000" w:usb3="00000000" w:csb0="0000019F" w:csb1="00000000"/>
    <w:embedRegular r:id="rId11" w:fontKey="{DFD4706A-0E8E-4A28-ADFF-5768FFBEB1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775" w:rsidRPr="00A43775" w:rsidRDefault="00A4377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A43775">
      <w:rPr>
        <w:rFonts w:ascii="Palatino Linotype" w:eastAsia="Palatino Linotype" w:hAnsi="Palatino Linotype" w:cs="Palatino Linotype"/>
        <w:color w:val="000000"/>
        <w:sz w:val="22"/>
        <w:szCs w:val="20"/>
      </w:rPr>
      <w:t xml:space="preserve">Página </w:t>
    </w:r>
    <w:r w:rsidRPr="00A43775">
      <w:rPr>
        <w:rFonts w:ascii="Palatino Linotype" w:eastAsia="Palatino Linotype" w:hAnsi="Palatino Linotype" w:cs="Palatino Linotype"/>
        <w:color w:val="000000"/>
        <w:sz w:val="22"/>
        <w:szCs w:val="20"/>
      </w:rPr>
      <w:fldChar w:fldCharType="begin"/>
    </w:r>
    <w:r w:rsidRPr="00A43775">
      <w:rPr>
        <w:rFonts w:ascii="Palatino Linotype" w:eastAsia="Palatino Linotype" w:hAnsi="Palatino Linotype" w:cs="Palatino Linotype"/>
        <w:color w:val="000000"/>
        <w:sz w:val="22"/>
        <w:szCs w:val="20"/>
      </w:rPr>
      <w:instrText>PAGE</w:instrText>
    </w:r>
    <w:r w:rsidRPr="00A43775">
      <w:rPr>
        <w:rFonts w:ascii="Palatino Linotype" w:eastAsia="Palatino Linotype" w:hAnsi="Palatino Linotype" w:cs="Palatino Linotype"/>
        <w:color w:val="000000"/>
        <w:sz w:val="22"/>
        <w:szCs w:val="20"/>
      </w:rPr>
      <w:fldChar w:fldCharType="separate"/>
    </w:r>
    <w:r w:rsidR="00310C56">
      <w:rPr>
        <w:rFonts w:ascii="Palatino Linotype" w:eastAsia="Palatino Linotype" w:hAnsi="Palatino Linotype" w:cs="Palatino Linotype"/>
        <w:noProof/>
        <w:color w:val="000000"/>
        <w:sz w:val="22"/>
        <w:szCs w:val="20"/>
      </w:rPr>
      <w:t>21</w:t>
    </w:r>
    <w:r w:rsidRPr="00A43775">
      <w:rPr>
        <w:rFonts w:ascii="Palatino Linotype" w:eastAsia="Palatino Linotype" w:hAnsi="Palatino Linotype" w:cs="Palatino Linotype"/>
        <w:color w:val="000000"/>
        <w:sz w:val="22"/>
        <w:szCs w:val="20"/>
      </w:rPr>
      <w:fldChar w:fldCharType="end"/>
    </w:r>
    <w:r w:rsidRPr="00A43775">
      <w:rPr>
        <w:rFonts w:ascii="Palatino Linotype" w:eastAsia="Palatino Linotype" w:hAnsi="Palatino Linotype" w:cs="Palatino Linotype"/>
        <w:color w:val="000000"/>
        <w:sz w:val="22"/>
        <w:szCs w:val="20"/>
      </w:rPr>
      <w:t xml:space="preserve"> de </w:t>
    </w:r>
    <w:r w:rsidRPr="00A43775">
      <w:rPr>
        <w:rFonts w:ascii="Palatino Linotype" w:eastAsia="Palatino Linotype" w:hAnsi="Palatino Linotype" w:cs="Palatino Linotype"/>
        <w:color w:val="000000"/>
        <w:sz w:val="22"/>
        <w:szCs w:val="20"/>
      </w:rPr>
      <w:fldChar w:fldCharType="begin"/>
    </w:r>
    <w:r w:rsidRPr="00A43775">
      <w:rPr>
        <w:rFonts w:ascii="Palatino Linotype" w:eastAsia="Palatino Linotype" w:hAnsi="Palatino Linotype" w:cs="Palatino Linotype"/>
        <w:color w:val="000000"/>
        <w:sz w:val="22"/>
        <w:szCs w:val="20"/>
      </w:rPr>
      <w:instrText>NUMPAGES</w:instrText>
    </w:r>
    <w:r w:rsidRPr="00A43775">
      <w:rPr>
        <w:rFonts w:ascii="Palatino Linotype" w:eastAsia="Palatino Linotype" w:hAnsi="Palatino Linotype" w:cs="Palatino Linotype"/>
        <w:color w:val="000000"/>
        <w:sz w:val="22"/>
        <w:szCs w:val="20"/>
      </w:rPr>
      <w:fldChar w:fldCharType="separate"/>
    </w:r>
    <w:r w:rsidR="00310C56">
      <w:rPr>
        <w:rFonts w:ascii="Palatino Linotype" w:eastAsia="Palatino Linotype" w:hAnsi="Palatino Linotype" w:cs="Palatino Linotype"/>
        <w:noProof/>
        <w:color w:val="000000"/>
        <w:sz w:val="22"/>
        <w:szCs w:val="20"/>
      </w:rPr>
      <w:t>85</w:t>
    </w:r>
    <w:r w:rsidRPr="00A43775">
      <w:rPr>
        <w:rFonts w:ascii="Palatino Linotype" w:eastAsia="Palatino Linotype" w:hAnsi="Palatino Linotype" w:cs="Palatino Linotype"/>
        <w:color w:val="000000"/>
        <w:sz w:val="22"/>
        <w:szCs w:val="20"/>
      </w:rPr>
      <w:fldChar w:fldCharType="end"/>
    </w:r>
  </w:p>
  <w:p w:rsidR="00A43775" w:rsidRDefault="00A4377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775" w:rsidRPr="00A43775" w:rsidRDefault="00A4377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A43775">
      <w:rPr>
        <w:rFonts w:ascii="Palatino Linotype" w:eastAsia="Palatino Linotype" w:hAnsi="Palatino Linotype" w:cs="Palatino Linotype"/>
        <w:color w:val="000000"/>
        <w:sz w:val="22"/>
        <w:szCs w:val="20"/>
      </w:rPr>
      <w:t xml:space="preserve">Página </w:t>
    </w:r>
    <w:r w:rsidRPr="00A43775">
      <w:rPr>
        <w:rFonts w:ascii="Palatino Linotype" w:eastAsia="Palatino Linotype" w:hAnsi="Palatino Linotype" w:cs="Palatino Linotype"/>
        <w:color w:val="000000"/>
        <w:sz w:val="22"/>
        <w:szCs w:val="20"/>
      </w:rPr>
      <w:fldChar w:fldCharType="begin"/>
    </w:r>
    <w:r w:rsidRPr="00A43775">
      <w:rPr>
        <w:rFonts w:ascii="Palatino Linotype" w:eastAsia="Palatino Linotype" w:hAnsi="Palatino Linotype" w:cs="Palatino Linotype"/>
        <w:color w:val="000000"/>
        <w:sz w:val="22"/>
        <w:szCs w:val="20"/>
      </w:rPr>
      <w:instrText>PAGE</w:instrText>
    </w:r>
    <w:r w:rsidRPr="00A43775">
      <w:rPr>
        <w:rFonts w:ascii="Palatino Linotype" w:eastAsia="Palatino Linotype" w:hAnsi="Palatino Linotype" w:cs="Palatino Linotype"/>
        <w:color w:val="000000"/>
        <w:sz w:val="22"/>
        <w:szCs w:val="20"/>
      </w:rPr>
      <w:fldChar w:fldCharType="separate"/>
    </w:r>
    <w:r w:rsidR="00310C56">
      <w:rPr>
        <w:rFonts w:ascii="Palatino Linotype" w:eastAsia="Palatino Linotype" w:hAnsi="Palatino Linotype" w:cs="Palatino Linotype"/>
        <w:noProof/>
        <w:color w:val="000000"/>
        <w:sz w:val="22"/>
        <w:szCs w:val="20"/>
      </w:rPr>
      <w:t>1</w:t>
    </w:r>
    <w:r w:rsidRPr="00A43775">
      <w:rPr>
        <w:rFonts w:ascii="Palatino Linotype" w:eastAsia="Palatino Linotype" w:hAnsi="Palatino Linotype" w:cs="Palatino Linotype"/>
        <w:color w:val="000000"/>
        <w:sz w:val="22"/>
        <w:szCs w:val="20"/>
      </w:rPr>
      <w:fldChar w:fldCharType="end"/>
    </w:r>
    <w:r w:rsidRPr="00A43775">
      <w:rPr>
        <w:rFonts w:ascii="Palatino Linotype" w:eastAsia="Palatino Linotype" w:hAnsi="Palatino Linotype" w:cs="Palatino Linotype"/>
        <w:color w:val="000000"/>
        <w:sz w:val="22"/>
        <w:szCs w:val="20"/>
      </w:rPr>
      <w:t xml:space="preserve"> de </w:t>
    </w:r>
    <w:r w:rsidRPr="00A43775">
      <w:rPr>
        <w:rFonts w:ascii="Palatino Linotype" w:eastAsia="Palatino Linotype" w:hAnsi="Palatino Linotype" w:cs="Palatino Linotype"/>
        <w:color w:val="000000"/>
        <w:sz w:val="22"/>
        <w:szCs w:val="20"/>
      </w:rPr>
      <w:fldChar w:fldCharType="begin"/>
    </w:r>
    <w:r w:rsidRPr="00A43775">
      <w:rPr>
        <w:rFonts w:ascii="Palatino Linotype" w:eastAsia="Palatino Linotype" w:hAnsi="Palatino Linotype" w:cs="Palatino Linotype"/>
        <w:color w:val="000000"/>
        <w:sz w:val="22"/>
        <w:szCs w:val="20"/>
      </w:rPr>
      <w:instrText>NUMPAGES</w:instrText>
    </w:r>
    <w:r w:rsidRPr="00A43775">
      <w:rPr>
        <w:rFonts w:ascii="Palatino Linotype" w:eastAsia="Palatino Linotype" w:hAnsi="Palatino Linotype" w:cs="Palatino Linotype"/>
        <w:color w:val="000000"/>
        <w:sz w:val="22"/>
        <w:szCs w:val="20"/>
      </w:rPr>
      <w:fldChar w:fldCharType="separate"/>
    </w:r>
    <w:r w:rsidR="00310C56">
      <w:rPr>
        <w:rFonts w:ascii="Palatino Linotype" w:eastAsia="Palatino Linotype" w:hAnsi="Palatino Linotype" w:cs="Palatino Linotype"/>
        <w:noProof/>
        <w:color w:val="000000"/>
        <w:sz w:val="22"/>
        <w:szCs w:val="20"/>
      </w:rPr>
      <w:t>85</w:t>
    </w:r>
    <w:r w:rsidRPr="00A43775">
      <w:rPr>
        <w:rFonts w:ascii="Palatino Linotype" w:eastAsia="Palatino Linotype" w:hAnsi="Palatino Linotype" w:cs="Palatino Linotype"/>
        <w:color w:val="000000"/>
        <w:sz w:val="22"/>
        <w:szCs w:val="20"/>
      </w:rPr>
      <w:fldChar w:fldCharType="end"/>
    </w:r>
  </w:p>
  <w:p w:rsidR="00A43775" w:rsidRDefault="00A4377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03B" w:rsidRDefault="0076303B">
      <w:r>
        <w:separator/>
      </w:r>
    </w:p>
  </w:footnote>
  <w:footnote w:type="continuationSeparator" w:id="0">
    <w:p w:rsidR="0076303B" w:rsidRDefault="0076303B">
      <w:r>
        <w:continuationSeparator/>
      </w:r>
    </w:p>
  </w:footnote>
  <w:footnote w:id="1">
    <w:p w:rsidR="00A43775" w:rsidRDefault="00A437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A43775" w:rsidRDefault="00A437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A43775" w:rsidRDefault="00A437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A43775" w:rsidRDefault="00A437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A43775" w:rsidRDefault="00A43775">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Manual de organización Dirección General de Administración.  206013000 num.8</w:t>
      </w:r>
    </w:p>
  </w:footnote>
  <w:footnote w:id="6">
    <w:p w:rsidR="00A43775" w:rsidRDefault="00A437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 xml:space="preserve">Manual de organización Dirección General de Administración. 206012001 nums.1, 2, 3 </w:t>
      </w:r>
    </w:p>
  </w:footnote>
  <w:footnote w:id="7">
    <w:p w:rsidR="00A43775" w:rsidRDefault="00A437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Manual de Procedimientos Dirección General de Administración. Pág.23 </w:t>
      </w:r>
    </w:p>
  </w:footnote>
  <w:footnote w:id="8">
    <w:p w:rsidR="00A43775" w:rsidRDefault="00A437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Manual de organización Dirección General de Administración. 20206012003 num.4</w:t>
      </w:r>
    </w:p>
  </w:footnote>
  <w:footnote w:id="9">
    <w:p w:rsidR="00A43775" w:rsidRDefault="00A437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Manual de organización Dirección General de Administración. 206012002 nums.2, 9.</w:t>
      </w:r>
    </w:p>
  </w:footnote>
  <w:footnote w:id="10">
    <w:p w:rsidR="00A43775" w:rsidRDefault="00A437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Manual de Procedimientos Dirección general de Administración. Pág.132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775" w:rsidRDefault="0076303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519" w:type="dxa"/>
      <w:tblInd w:w="3119" w:type="dxa"/>
      <w:tblLayout w:type="fixed"/>
      <w:tblLook w:val="0400" w:firstRow="0" w:lastRow="0" w:firstColumn="0" w:lastColumn="0" w:noHBand="0" w:noVBand="1"/>
    </w:tblPr>
    <w:tblGrid>
      <w:gridCol w:w="2976"/>
      <w:gridCol w:w="3543"/>
    </w:tblGrid>
    <w:tr w:rsidR="00A43775" w:rsidTr="00A43775">
      <w:trPr>
        <w:trHeight w:val="227"/>
      </w:trPr>
      <w:tc>
        <w:tcPr>
          <w:tcW w:w="2976" w:type="dxa"/>
          <w:vAlign w:val="center"/>
        </w:tcPr>
        <w:p w:rsidR="00A43775" w:rsidRPr="00A43775" w:rsidRDefault="00A43775" w:rsidP="00A43775">
          <w:pPr>
            <w:spacing w:line="360" w:lineRule="auto"/>
            <w:ind w:right="34"/>
            <w:jc w:val="right"/>
            <w:rPr>
              <w:rFonts w:ascii="Palatino Linotype" w:eastAsia="Palatino Linotype" w:hAnsi="Palatino Linotype" w:cs="Palatino Linotype"/>
              <w:b/>
              <w:bCs/>
              <w:szCs w:val="22"/>
            </w:rPr>
          </w:pPr>
          <w:r w:rsidRPr="00A43775">
            <w:rPr>
              <w:rFonts w:ascii="Palatino Linotype" w:eastAsia="Palatino Linotype" w:hAnsi="Palatino Linotype" w:cs="Palatino Linotype"/>
              <w:b/>
              <w:bCs/>
              <w:szCs w:val="22"/>
            </w:rPr>
            <w:t>Recurso de Revisión:</w:t>
          </w:r>
        </w:p>
      </w:tc>
      <w:tc>
        <w:tcPr>
          <w:tcW w:w="3543" w:type="dxa"/>
          <w:vAlign w:val="center"/>
        </w:tcPr>
        <w:p w:rsidR="00A43775" w:rsidRPr="00A43775" w:rsidRDefault="00A43775" w:rsidP="00A4377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highlight w:val="green"/>
            </w:rPr>
          </w:pPr>
          <w:r w:rsidRPr="00A43775">
            <w:rPr>
              <w:rFonts w:ascii="Palatino Linotype" w:eastAsia="Palatino Linotype" w:hAnsi="Palatino Linotype" w:cs="Palatino Linotype"/>
              <w:b/>
              <w:bCs/>
              <w:color w:val="000000"/>
              <w:szCs w:val="22"/>
            </w:rPr>
            <w:t>13723/INFOEM/IP/RR/2025</w:t>
          </w:r>
        </w:p>
      </w:tc>
    </w:tr>
    <w:tr w:rsidR="00A43775" w:rsidTr="00A43775">
      <w:trPr>
        <w:trHeight w:val="242"/>
      </w:trPr>
      <w:tc>
        <w:tcPr>
          <w:tcW w:w="2976" w:type="dxa"/>
          <w:vAlign w:val="center"/>
        </w:tcPr>
        <w:p w:rsidR="00A43775" w:rsidRPr="00A43775" w:rsidRDefault="00A43775" w:rsidP="00A43775">
          <w:pPr>
            <w:spacing w:line="360" w:lineRule="auto"/>
            <w:ind w:right="34"/>
            <w:jc w:val="right"/>
            <w:rPr>
              <w:rFonts w:ascii="Palatino Linotype" w:eastAsia="Palatino Linotype" w:hAnsi="Palatino Linotype" w:cs="Palatino Linotype"/>
              <w:b/>
              <w:bCs/>
              <w:szCs w:val="22"/>
            </w:rPr>
          </w:pPr>
          <w:r w:rsidRPr="00A43775">
            <w:rPr>
              <w:rFonts w:ascii="Palatino Linotype" w:eastAsia="Palatino Linotype" w:hAnsi="Palatino Linotype" w:cs="Palatino Linotype"/>
              <w:b/>
              <w:bCs/>
              <w:szCs w:val="22"/>
            </w:rPr>
            <w:t>Sujeto Obligado:</w:t>
          </w:r>
        </w:p>
      </w:tc>
      <w:tc>
        <w:tcPr>
          <w:tcW w:w="3543" w:type="dxa"/>
          <w:vAlign w:val="center"/>
        </w:tcPr>
        <w:p w:rsidR="00A43775" w:rsidRPr="00A43775" w:rsidRDefault="00A43775" w:rsidP="00A43775">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Cs w:val="22"/>
              <w:highlight w:val="green"/>
            </w:rPr>
          </w:pPr>
          <w:r w:rsidRPr="00A43775">
            <w:rPr>
              <w:rFonts w:ascii="Palatino Linotype" w:eastAsia="Palatino Linotype" w:hAnsi="Palatino Linotype" w:cs="Palatino Linotype"/>
              <w:b/>
              <w:bCs/>
              <w:color w:val="000000"/>
              <w:szCs w:val="22"/>
            </w:rPr>
            <w:t>Ayuntamiento de Toluca</w:t>
          </w:r>
        </w:p>
      </w:tc>
    </w:tr>
    <w:tr w:rsidR="00A43775" w:rsidTr="00A43775">
      <w:trPr>
        <w:trHeight w:val="342"/>
      </w:trPr>
      <w:tc>
        <w:tcPr>
          <w:tcW w:w="2976" w:type="dxa"/>
          <w:vAlign w:val="center"/>
        </w:tcPr>
        <w:p w:rsidR="00A43775" w:rsidRPr="00A43775" w:rsidRDefault="00A43775" w:rsidP="00A43775">
          <w:pPr>
            <w:spacing w:line="360" w:lineRule="auto"/>
            <w:ind w:right="34"/>
            <w:jc w:val="right"/>
            <w:rPr>
              <w:rFonts w:ascii="Palatino Linotype" w:eastAsia="Palatino Linotype" w:hAnsi="Palatino Linotype" w:cs="Palatino Linotype"/>
              <w:b/>
              <w:bCs/>
              <w:szCs w:val="22"/>
            </w:rPr>
          </w:pPr>
          <w:r w:rsidRPr="00A43775">
            <w:rPr>
              <w:rFonts w:ascii="Palatino Linotype" w:eastAsia="Palatino Linotype" w:hAnsi="Palatino Linotype" w:cs="Palatino Linotype"/>
              <w:b/>
              <w:bCs/>
              <w:szCs w:val="22"/>
            </w:rPr>
            <w:t>Comisionada Ponente:</w:t>
          </w:r>
        </w:p>
      </w:tc>
      <w:tc>
        <w:tcPr>
          <w:tcW w:w="3543" w:type="dxa"/>
          <w:vAlign w:val="center"/>
        </w:tcPr>
        <w:p w:rsidR="00A43775" w:rsidRPr="00A43775" w:rsidRDefault="00A43775" w:rsidP="00A4377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rPr>
          </w:pPr>
          <w:r w:rsidRPr="00A43775">
            <w:rPr>
              <w:rFonts w:ascii="Palatino Linotype" w:eastAsia="Palatino Linotype" w:hAnsi="Palatino Linotype" w:cs="Palatino Linotype"/>
              <w:b/>
              <w:bCs/>
              <w:color w:val="000000"/>
              <w:szCs w:val="22"/>
            </w:rPr>
            <w:t>María del Rosario Mejía Ayala</w:t>
          </w:r>
        </w:p>
      </w:tc>
    </w:tr>
  </w:tbl>
  <w:p w:rsidR="00A43775" w:rsidRDefault="0076303B">
    <w:pPr>
      <w:pBdr>
        <w:top w:val="nil"/>
        <w:left w:val="nil"/>
        <w:bottom w:val="nil"/>
        <w:right w:val="nil"/>
        <w:between w:val="nil"/>
      </w:pBdr>
      <w:tabs>
        <w:tab w:val="center" w:pos="4419"/>
        <w:tab w:val="right" w:pos="8838"/>
        <w:tab w:val="left" w:pos="6005"/>
      </w:tabs>
      <w:rPr>
        <w:color w:val="000000"/>
        <w:sz w:val="14"/>
        <w:szCs w:val="14"/>
      </w:rPr>
    </w:pPr>
    <w:r>
      <w:rPr>
        <w:rFonts w:ascii="Palatino Linotype" w:eastAsia="Palatino Linotype" w:hAnsi="Palatino Linotype" w:cs="Palatino Linotype"/>
        <w:b/>
        <w:bCs/>
        <w:noProof/>
        <w:szCs w:val="22"/>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 style="position:absolute;margin-left:-83.45pt;margin-top:-117.65pt;width:609.4pt;height:793.75pt;z-index:-251656704;mso-position-horizontal:absolute;mso-position-horizontal-relative:margin;mso-position-vertical:absolute;mso-position-vertical-relative:margin">
          <v:imagedata r:id="rId1" o:title="image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660" w:type="dxa"/>
      <w:tblInd w:w="3402" w:type="dxa"/>
      <w:tblLayout w:type="fixed"/>
      <w:tblLook w:val="0400" w:firstRow="0" w:lastRow="0" w:firstColumn="0" w:lastColumn="0" w:noHBand="0" w:noVBand="1"/>
    </w:tblPr>
    <w:tblGrid>
      <w:gridCol w:w="2977"/>
      <w:gridCol w:w="3683"/>
    </w:tblGrid>
    <w:tr w:rsidR="00A43775" w:rsidTr="00A43775">
      <w:trPr>
        <w:trHeight w:val="227"/>
      </w:trPr>
      <w:tc>
        <w:tcPr>
          <w:tcW w:w="2977" w:type="dxa"/>
          <w:vAlign w:val="center"/>
        </w:tcPr>
        <w:p w:rsidR="00A43775" w:rsidRPr="00A43775" w:rsidRDefault="00A43775">
          <w:pPr>
            <w:jc w:val="right"/>
            <w:rPr>
              <w:rFonts w:ascii="Palatino Linotype" w:eastAsia="Palatino Linotype" w:hAnsi="Palatino Linotype" w:cs="Palatino Linotype"/>
              <w:b/>
              <w:bCs/>
              <w:szCs w:val="22"/>
            </w:rPr>
          </w:pPr>
          <w:r w:rsidRPr="00A43775">
            <w:rPr>
              <w:rFonts w:ascii="Palatino Linotype" w:eastAsia="Palatino Linotype" w:hAnsi="Palatino Linotype" w:cs="Palatino Linotype"/>
              <w:b/>
              <w:bCs/>
              <w:szCs w:val="22"/>
            </w:rPr>
            <w:t>Recurso de Revisión:</w:t>
          </w:r>
        </w:p>
      </w:tc>
      <w:tc>
        <w:tcPr>
          <w:tcW w:w="3683" w:type="dxa"/>
          <w:vAlign w:val="center"/>
        </w:tcPr>
        <w:p w:rsidR="00A43775" w:rsidRPr="00A43775" w:rsidRDefault="00A4377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highlight w:val="green"/>
            </w:rPr>
          </w:pPr>
          <w:r w:rsidRPr="00A43775">
            <w:rPr>
              <w:rFonts w:ascii="Palatino Linotype" w:eastAsia="Palatino Linotype" w:hAnsi="Palatino Linotype" w:cs="Palatino Linotype"/>
              <w:b/>
              <w:bCs/>
              <w:color w:val="000000"/>
              <w:szCs w:val="22"/>
            </w:rPr>
            <w:t>13723/INFOEM/IP/RR/2025</w:t>
          </w:r>
        </w:p>
      </w:tc>
    </w:tr>
    <w:tr w:rsidR="00A43775" w:rsidTr="00A43775">
      <w:trPr>
        <w:trHeight w:val="242"/>
      </w:trPr>
      <w:tc>
        <w:tcPr>
          <w:tcW w:w="2977" w:type="dxa"/>
          <w:vAlign w:val="center"/>
        </w:tcPr>
        <w:p w:rsidR="00A43775" w:rsidRPr="00A43775" w:rsidRDefault="00A43775">
          <w:pPr>
            <w:jc w:val="right"/>
            <w:rPr>
              <w:rFonts w:ascii="Palatino Linotype" w:eastAsia="Palatino Linotype" w:hAnsi="Palatino Linotype" w:cs="Palatino Linotype"/>
              <w:b/>
              <w:bCs/>
              <w:szCs w:val="22"/>
            </w:rPr>
          </w:pPr>
          <w:r w:rsidRPr="00A43775">
            <w:rPr>
              <w:rFonts w:ascii="Palatino Linotype" w:eastAsia="Palatino Linotype" w:hAnsi="Palatino Linotype" w:cs="Palatino Linotype"/>
              <w:b/>
              <w:bCs/>
              <w:szCs w:val="22"/>
            </w:rPr>
            <w:t>Recurrente:</w:t>
          </w:r>
        </w:p>
      </w:tc>
      <w:tc>
        <w:tcPr>
          <w:tcW w:w="3683" w:type="dxa"/>
        </w:tcPr>
        <w:p w:rsidR="00A43775" w:rsidRPr="00A43775" w:rsidRDefault="00310C56">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bCs/>
              <w:color w:val="000000"/>
              <w:szCs w:val="22"/>
              <w:highlight w:val="green"/>
            </w:rPr>
          </w:pPr>
          <w:r>
            <w:rPr>
              <w:rFonts w:ascii="Palatino Linotype" w:eastAsia="Palatino Linotype" w:hAnsi="Palatino Linotype" w:cs="Palatino Linotype"/>
              <w:b/>
              <w:bCs/>
              <w:color w:val="000000"/>
              <w:szCs w:val="22"/>
            </w:rPr>
            <w:t>XXXX</w:t>
          </w:r>
        </w:p>
      </w:tc>
    </w:tr>
    <w:tr w:rsidR="00A43775" w:rsidTr="00A43775">
      <w:trPr>
        <w:trHeight w:val="342"/>
      </w:trPr>
      <w:tc>
        <w:tcPr>
          <w:tcW w:w="2977" w:type="dxa"/>
          <w:vAlign w:val="center"/>
        </w:tcPr>
        <w:p w:rsidR="00A43775" w:rsidRPr="00A43775" w:rsidRDefault="00A43775">
          <w:pPr>
            <w:jc w:val="right"/>
            <w:rPr>
              <w:rFonts w:ascii="Palatino Linotype" w:eastAsia="Palatino Linotype" w:hAnsi="Palatino Linotype" w:cs="Palatino Linotype"/>
              <w:b/>
              <w:bCs/>
              <w:szCs w:val="22"/>
            </w:rPr>
          </w:pPr>
          <w:r w:rsidRPr="00A43775">
            <w:rPr>
              <w:rFonts w:ascii="Palatino Linotype" w:eastAsia="Palatino Linotype" w:hAnsi="Palatino Linotype" w:cs="Palatino Linotype"/>
              <w:b/>
              <w:bCs/>
              <w:szCs w:val="22"/>
            </w:rPr>
            <w:t>Sujeto Obligado:</w:t>
          </w:r>
        </w:p>
      </w:tc>
      <w:tc>
        <w:tcPr>
          <w:tcW w:w="3683" w:type="dxa"/>
          <w:vAlign w:val="center"/>
        </w:tcPr>
        <w:p w:rsidR="00A43775" w:rsidRPr="00A43775" w:rsidRDefault="00A43775">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Cs w:val="22"/>
              <w:highlight w:val="green"/>
            </w:rPr>
          </w:pPr>
          <w:r w:rsidRPr="00A43775">
            <w:rPr>
              <w:rFonts w:ascii="Palatino Linotype" w:eastAsia="Palatino Linotype" w:hAnsi="Palatino Linotype" w:cs="Palatino Linotype"/>
              <w:b/>
              <w:bCs/>
              <w:color w:val="000000"/>
              <w:szCs w:val="22"/>
            </w:rPr>
            <w:t>Ayuntamiento de Toluca</w:t>
          </w:r>
        </w:p>
      </w:tc>
    </w:tr>
    <w:tr w:rsidR="00A43775" w:rsidTr="00A43775">
      <w:trPr>
        <w:trHeight w:val="342"/>
      </w:trPr>
      <w:tc>
        <w:tcPr>
          <w:tcW w:w="2977" w:type="dxa"/>
          <w:vAlign w:val="center"/>
        </w:tcPr>
        <w:p w:rsidR="00A43775" w:rsidRPr="00A43775" w:rsidRDefault="00A43775">
          <w:pPr>
            <w:jc w:val="right"/>
            <w:rPr>
              <w:rFonts w:ascii="Palatino Linotype" w:eastAsia="Palatino Linotype" w:hAnsi="Palatino Linotype" w:cs="Palatino Linotype"/>
              <w:b/>
              <w:bCs/>
              <w:szCs w:val="22"/>
            </w:rPr>
          </w:pPr>
          <w:r w:rsidRPr="00A43775">
            <w:rPr>
              <w:rFonts w:ascii="Palatino Linotype" w:eastAsia="Palatino Linotype" w:hAnsi="Palatino Linotype" w:cs="Palatino Linotype"/>
              <w:b/>
              <w:bCs/>
              <w:szCs w:val="22"/>
            </w:rPr>
            <w:t>Comisionada Ponente:</w:t>
          </w:r>
        </w:p>
      </w:tc>
      <w:tc>
        <w:tcPr>
          <w:tcW w:w="3683" w:type="dxa"/>
          <w:vAlign w:val="center"/>
        </w:tcPr>
        <w:p w:rsidR="00A43775" w:rsidRPr="00A43775" w:rsidRDefault="00A4377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rPr>
          </w:pPr>
          <w:r w:rsidRPr="00A43775">
            <w:rPr>
              <w:rFonts w:ascii="Palatino Linotype" w:eastAsia="Palatino Linotype" w:hAnsi="Palatino Linotype" w:cs="Palatino Linotype"/>
              <w:b/>
              <w:bCs/>
              <w:color w:val="000000"/>
              <w:szCs w:val="22"/>
            </w:rPr>
            <w:t>María del Rosario Mejía Ayala</w:t>
          </w:r>
        </w:p>
      </w:tc>
    </w:tr>
  </w:tbl>
  <w:p w:rsidR="00A43775" w:rsidRDefault="0076303B">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827"/>
    <w:multiLevelType w:val="multilevel"/>
    <w:tmpl w:val="F622389A"/>
    <w:lvl w:ilvl="0">
      <w:start w:val="29"/>
      <w:numFmt w:val="decimal"/>
      <w:lvlText w:val="%1."/>
      <w:lvlJc w:val="left"/>
      <w:pPr>
        <w:ind w:left="360" w:hanging="360"/>
      </w:pPr>
      <w:rPr>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302AF4"/>
    <w:multiLevelType w:val="multilevel"/>
    <w:tmpl w:val="7884ED46"/>
    <w:lvl w:ilvl="0">
      <w:start w:val="1"/>
      <w:numFmt w:val="decimal"/>
      <w:lvlText w:val="%1)"/>
      <w:lvlJc w:val="left"/>
      <w:pPr>
        <w:ind w:left="1494" w:hanging="360"/>
      </w:pPr>
      <w:rPr>
        <w:b/>
        <w:bC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2" w15:restartNumberingAfterBreak="0">
    <w:nsid w:val="097033F9"/>
    <w:multiLevelType w:val="multilevel"/>
    <w:tmpl w:val="44A846FC"/>
    <w:lvl w:ilvl="0">
      <w:start w:val="1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230C1A"/>
    <w:multiLevelType w:val="multilevel"/>
    <w:tmpl w:val="D436C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854F7E"/>
    <w:multiLevelType w:val="multilevel"/>
    <w:tmpl w:val="B8C62D90"/>
    <w:lvl w:ilvl="0">
      <w:start w:val="10"/>
      <w:numFmt w:val="decimal"/>
      <w:lvlText w:val="%1."/>
      <w:lvlJc w:val="left"/>
      <w:pPr>
        <w:ind w:left="249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3144" w:hanging="360"/>
      </w:pPr>
    </w:lvl>
    <w:lvl w:ilvl="2">
      <w:start w:val="1"/>
      <w:numFmt w:val="lowerRoman"/>
      <w:lvlText w:val="%3."/>
      <w:lvlJc w:val="right"/>
      <w:pPr>
        <w:ind w:left="3864" w:hanging="180"/>
      </w:pPr>
    </w:lvl>
    <w:lvl w:ilvl="3">
      <w:start w:val="1"/>
      <w:numFmt w:val="decimal"/>
      <w:lvlText w:val="%4."/>
      <w:lvlJc w:val="left"/>
      <w:pPr>
        <w:ind w:left="4584" w:hanging="360"/>
      </w:pPr>
    </w:lvl>
    <w:lvl w:ilvl="4">
      <w:start w:val="1"/>
      <w:numFmt w:val="lowerLetter"/>
      <w:lvlText w:val="%5."/>
      <w:lvlJc w:val="left"/>
      <w:pPr>
        <w:ind w:left="5304" w:hanging="360"/>
      </w:pPr>
    </w:lvl>
    <w:lvl w:ilvl="5">
      <w:start w:val="1"/>
      <w:numFmt w:val="lowerRoman"/>
      <w:lvlText w:val="%6."/>
      <w:lvlJc w:val="right"/>
      <w:pPr>
        <w:ind w:left="6024" w:hanging="180"/>
      </w:pPr>
    </w:lvl>
    <w:lvl w:ilvl="6">
      <w:start w:val="1"/>
      <w:numFmt w:val="decimal"/>
      <w:lvlText w:val="%7."/>
      <w:lvlJc w:val="left"/>
      <w:pPr>
        <w:ind w:left="6744" w:hanging="360"/>
      </w:pPr>
    </w:lvl>
    <w:lvl w:ilvl="7">
      <w:start w:val="1"/>
      <w:numFmt w:val="lowerLetter"/>
      <w:lvlText w:val="%8."/>
      <w:lvlJc w:val="left"/>
      <w:pPr>
        <w:ind w:left="7464" w:hanging="360"/>
      </w:pPr>
    </w:lvl>
    <w:lvl w:ilvl="8">
      <w:start w:val="1"/>
      <w:numFmt w:val="lowerRoman"/>
      <w:lvlText w:val="%9."/>
      <w:lvlJc w:val="right"/>
      <w:pPr>
        <w:ind w:left="8184" w:hanging="180"/>
      </w:pPr>
    </w:lvl>
  </w:abstractNum>
  <w:abstractNum w:abstractNumId="5" w15:restartNumberingAfterBreak="0">
    <w:nsid w:val="13141143"/>
    <w:multiLevelType w:val="multilevel"/>
    <w:tmpl w:val="F006C1D4"/>
    <w:lvl w:ilvl="0">
      <w:start w:val="4"/>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E45EE2"/>
    <w:multiLevelType w:val="multilevel"/>
    <w:tmpl w:val="B1548A5C"/>
    <w:lvl w:ilvl="0">
      <w:start w:val="57"/>
      <w:numFmt w:val="decimal"/>
      <w:lvlText w:val="%1."/>
      <w:lvlJc w:val="left"/>
      <w:pPr>
        <w:ind w:left="360" w:hanging="360"/>
      </w:pPr>
      <w:rPr>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3D2936"/>
    <w:multiLevelType w:val="multilevel"/>
    <w:tmpl w:val="C922BC56"/>
    <w:lvl w:ilvl="0">
      <w:start w:val="1"/>
      <w:numFmt w:val="decimal"/>
      <w:lvlText w:val="%1)"/>
      <w:lvlJc w:val="left"/>
      <w:pPr>
        <w:ind w:left="1494" w:hanging="360"/>
      </w:pPr>
      <w:rPr>
        <w:rFonts w:hint="default"/>
        <w:b/>
        <w:bCs/>
      </w:rPr>
    </w:lvl>
    <w:lvl w:ilvl="1">
      <w:start w:val="1"/>
      <w:numFmt w:val="bullet"/>
      <w:lvlText w:val="o"/>
      <w:lvlJc w:val="left"/>
      <w:pPr>
        <w:ind w:left="2214" w:hanging="360"/>
      </w:pPr>
      <w:rPr>
        <w:rFonts w:ascii="Courier New" w:eastAsia="Courier New" w:hAnsi="Courier New" w:cs="Courier New" w:hint="default"/>
      </w:rPr>
    </w:lvl>
    <w:lvl w:ilvl="2">
      <w:start w:val="1"/>
      <w:numFmt w:val="bullet"/>
      <w:lvlText w:val="▪"/>
      <w:lvlJc w:val="left"/>
      <w:pPr>
        <w:ind w:left="2934" w:hanging="360"/>
      </w:pPr>
      <w:rPr>
        <w:rFonts w:ascii="Noto Sans Symbols" w:eastAsia="Noto Sans Symbols" w:hAnsi="Noto Sans Symbols" w:cs="Noto Sans Symbols" w:hint="default"/>
      </w:rPr>
    </w:lvl>
    <w:lvl w:ilvl="3">
      <w:start w:val="1"/>
      <w:numFmt w:val="bullet"/>
      <w:lvlText w:val="●"/>
      <w:lvlJc w:val="left"/>
      <w:pPr>
        <w:ind w:left="3654" w:hanging="360"/>
      </w:pPr>
      <w:rPr>
        <w:rFonts w:ascii="Noto Sans Symbols" w:eastAsia="Noto Sans Symbols" w:hAnsi="Noto Sans Symbols" w:cs="Noto Sans Symbols" w:hint="default"/>
      </w:rPr>
    </w:lvl>
    <w:lvl w:ilvl="4">
      <w:start w:val="1"/>
      <w:numFmt w:val="bullet"/>
      <w:lvlText w:val="o"/>
      <w:lvlJc w:val="left"/>
      <w:pPr>
        <w:ind w:left="4374" w:hanging="360"/>
      </w:pPr>
      <w:rPr>
        <w:rFonts w:ascii="Courier New" w:eastAsia="Courier New" w:hAnsi="Courier New" w:cs="Courier New" w:hint="default"/>
      </w:rPr>
    </w:lvl>
    <w:lvl w:ilvl="5">
      <w:start w:val="1"/>
      <w:numFmt w:val="bullet"/>
      <w:lvlText w:val="▪"/>
      <w:lvlJc w:val="left"/>
      <w:pPr>
        <w:ind w:left="5094" w:hanging="360"/>
      </w:pPr>
      <w:rPr>
        <w:rFonts w:ascii="Noto Sans Symbols" w:eastAsia="Noto Sans Symbols" w:hAnsi="Noto Sans Symbols" w:cs="Noto Sans Symbols" w:hint="default"/>
      </w:rPr>
    </w:lvl>
    <w:lvl w:ilvl="6">
      <w:start w:val="1"/>
      <w:numFmt w:val="bullet"/>
      <w:lvlText w:val="●"/>
      <w:lvlJc w:val="left"/>
      <w:pPr>
        <w:ind w:left="5814" w:hanging="360"/>
      </w:pPr>
      <w:rPr>
        <w:rFonts w:ascii="Noto Sans Symbols" w:eastAsia="Noto Sans Symbols" w:hAnsi="Noto Sans Symbols" w:cs="Noto Sans Symbols" w:hint="default"/>
      </w:rPr>
    </w:lvl>
    <w:lvl w:ilvl="7">
      <w:start w:val="1"/>
      <w:numFmt w:val="bullet"/>
      <w:lvlText w:val="o"/>
      <w:lvlJc w:val="left"/>
      <w:pPr>
        <w:ind w:left="6534" w:hanging="360"/>
      </w:pPr>
      <w:rPr>
        <w:rFonts w:ascii="Courier New" w:eastAsia="Courier New" w:hAnsi="Courier New" w:cs="Courier New" w:hint="default"/>
      </w:rPr>
    </w:lvl>
    <w:lvl w:ilvl="8">
      <w:start w:val="1"/>
      <w:numFmt w:val="bullet"/>
      <w:lvlText w:val="▪"/>
      <w:lvlJc w:val="left"/>
      <w:pPr>
        <w:ind w:left="7254" w:hanging="360"/>
      </w:pPr>
      <w:rPr>
        <w:rFonts w:ascii="Noto Sans Symbols" w:eastAsia="Noto Sans Symbols" w:hAnsi="Noto Sans Symbols" w:cs="Noto Sans Symbols" w:hint="default"/>
      </w:rPr>
    </w:lvl>
  </w:abstractNum>
  <w:abstractNum w:abstractNumId="8" w15:restartNumberingAfterBreak="0">
    <w:nsid w:val="1FF9552D"/>
    <w:multiLevelType w:val="multilevel"/>
    <w:tmpl w:val="E87A56DE"/>
    <w:lvl w:ilvl="0">
      <w:start w:val="117"/>
      <w:numFmt w:val="decimal"/>
      <w:lvlText w:val="%1."/>
      <w:lvlJc w:val="left"/>
      <w:pPr>
        <w:ind w:left="1211" w:hanging="360"/>
      </w:pPr>
      <w:rPr>
        <w:b/>
        <w:bCs/>
        <w:i w:val="0"/>
        <w:iCs w:val="0"/>
        <w:color w:val="000000"/>
        <w:sz w:val="24"/>
        <w:szCs w:val="24"/>
      </w:rPr>
    </w:lvl>
    <w:lvl w:ilvl="1">
      <w:start w:val="1"/>
      <w:numFmt w:val="lowerLetter"/>
      <w:lvlText w:val="%2."/>
      <w:lvlJc w:val="left"/>
      <w:pPr>
        <w:ind w:left="1440" w:hanging="360"/>
      </w:pPr>
    </w:lvl>
    <w:lvl w:ilvl="2">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EF30FA"/>
    <w:multiLevelType w:val="multilevel"/>
    <w:tmpl w:val="3E40869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7612EC"/>
    <w:multiLevelType w:val="multilevel"/>
    <w:tmpl w:val="54D28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C91488"/>
    <w:multiLevelType w:val="multilevel"/>
    <w:tmpl w:val="D9AE6554"/>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76781E"/>
    <w:multiLevelType w:val="multilevel"/>
    <w:tmpl w:val="D262B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6A0477"/>
    <w:multiLevelType w:val="multilevel"/>
    <w:tmpl w:val="DFC296B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4" w15:restartNumberingAfterBreak="0">
    <w:nsid w:val="34D47049"/>
    <w:multiLevelType w:val="multilevel"/>
    <w:tmpl w:val="AF8AC688"/>
    <w:lvl w:ilvl="0">
      <w:start w:val="18"/>
      <w:numFmt w:val="decimal"/>
      <w:lvlText w:val="%1."/>
      <w:lvlJc w:val="left"/>
      <w:pPr>
        <w:ind w:left="360" w:hanging="360"/>
      </w:pPr>
      <w:rPr>
        <w:rFonts w:ascii="Palatino Linotype" w:hAnsi="Palatino Linotype" w:hint="default"/>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0843C2"/>
    <w:multiLevelType w:val="multilevel"/>
    <w:tmpl w:val="3CD40DA8"/>
    <w:lvl w:ilvl="0">
      <w:start w:val="103"/>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7670DA"/>
    <w:multiLevelType w:val="multilevel"/>
    <w:tmpl w:val="7400B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764E96"/>
    <w:multiLevelType w:val="multilevel"/>
    <w:tmpl w:val="3440CEEE"/>
    <w:lvl w:ilvl="0">
      <w:start w:val="9"/>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D22273"/>
    <w:multiLevelType w:val="multilevel"/>
    <w:tmpl w:val="B9A0E7D2"/>
    <w:lvl w:ilvl="0">
      <w:start w:val="1"/>
      <w:numFmt w:val="decimal"/>
      <w:lvlText w:val="%1."/>
      <w:lvlJc w:val="left"/>
      <w:pPr>
        <w:ind w:left="2912" w:hanging="360"/>
      </w:pPr>
    </w:lvl>
    <w:lvl w:ilvl="1">
      <w:start w:val="1"/>
      <w:numFmt w:val="lowerLetter"/>
      <w:lvlText w:val="%2."/>
      <w:lvlJc w:val="left"/>
      <w:pPr>
        <w:ind w:left="1440" w:hanging="360"/>
      </w:pPr>
    </w:lvl>
    <w:lvl w:ilvl="2">
      <w:start w:val="1"/>
      <w:numFmt w:val="upperRoman"/>
      <w:lvlText w:val="%3."/>
      <w:lvlJc w:val="left"/>
      <w:pPr>
        <w:ind w:left="2700" w:hanging="720"/>
      </w:pPr>
      <w:rPr>
        <w:b/>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563E20"/>
    <w:multiLevelType w:val="multilevel"/>
    <w:tmpl w:val="304ACCDA"/>
    <w:lvl w:ilvl="0">
      <w:start w:val="2"/>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35439C6"/>
    <w:multiLevelType w:val="multilevel"/>
    <w:tmpl w:val="4A761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0474D8"/>
    <w:multiLevelType w:val="multilevel"/>
    <w:tmpl w:val="83BAF0FA"/>
    <w:lvl w:ilvl="0">
      <w:start w:val="149"/>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601521B"/>
    <w:multiLevelType w:val="multilevel"/>
    <w:tmpl w:val="31921440"/>
    <w:lvl w:ilvl="0">
      <w:start w:val="115"/>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5C5221"/>
    <w:multiLevelType w:val="multilevel"/>
    <w:tmpl w:val="15FCC99E"/>
    <w:lvl w:ilvl="0">
      <w:start w:val="145"/>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B54558"/>
    <w:multiLevelType w:val="multilevel"/>
    <w:tmpl w:val="F4FAB8DE"/>
    <w:lvl w:ilvl="0">
      <w:start w:val="142"/>
      <w:numFmt w:val="decimal"/>
      <w:lvlText w:val="%1."/>
      <w:lvlJc w:val="left"/>
      <w:pPr>
        <w:ind w:left="360" w:hanging="360"/>
      </w:pPr>
      <w:rPr>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2F0FE3"/>
    <w:multiLevelType w:val="multilevel"/>
    <w:tmpl w:val="3A7894A0"/>
    <w:lvl w:ilvl="0">
      <w:start w:val="140"/>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0804CD"/>
    <w:multiLevelType w:val="multilevel"/>
    <w:tmpl w:val="B29237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E8E2902"/>
    <w:multiLevelType w:val="multilevel"/>
    <w:tmpl w:val="C98CA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0018EE"/>
    <w:multiLevelType w:val="multilevel"/>
    <w:tmpl w:val="46C8BB16"/>
    <w:lvl w:ilvl="0">
      <w:start w:val="30"/>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DB50B24"/>
    <w:multiLevelType w:val="multilevel"/>
    <w:tmpl w:val="1C262FF8"/>
    <w:lvl w:ilvl="0">
      <w:start w:val="63"/>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64B7A2C"/>
    <w:multiLevelType w:val="multilevel"/>
    <w:tmpl w:val="701C557A"/>
    <w:lvl w:ilvl="0">
      <w:start w:val="120"/>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9E77076"/>
    <w:multiLevelType w:val="multilevel"/>
    <w:tmpl w:val="666A87EE"/>
    <w:lvl w:ilvl="0">
      <w:start w:val="17"/>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9F161B4"/>
    <w:multiLevelType w:val="multilevel"/>
    <w:tmpl w:val="0CF8F7B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32"/>
  </w:num>
  <w:num w:numId="2">
    <w:abstractNumId w:val="19"/>
  </w:num>
  <w:num w:numId="3">
    <w:abstractNumId w:val="11"/>
  </w:num>
  <w:num w:numId="4">
    <w:abstractNumId w:val="26"/>
  </w:num>
  <w:num w:numId="5">
    <w:abstractNumId w:val="5"/>
  </w:num>
  <w:num w:numId="6">
    <w:abstractNumId w:val="17"/>
  </w:num>
  <w:num w:numId="7">
    <w:abstractNumId w:val="2"/>
  </w:num>
  <w:num w:numId="8">
    <w:abstractNumId w:val="28"/>
  </w:num>
  <w:num w:numId="9">
    <w:abstractNumId w:val="31"/>
  </w:num>
  <w:num w:numId="10">
    <w:abstractNumId w:val="7"/>
  </w:num>
  <w:num w:numId="11">
    <w:abstractNumId w:val="4"/>
  </w:num>
  <w:num w:numId="12">
    <w:abstractNumId w:val="16"/>
  </w:num>
  <w:num w:numId="13">
    <w:abstractNumId w:val="27"/>
  </w:num>
  <w:num w:numId="14">
    <w:abstractNumId w:val="12"/>
  </w:num>
  <w:num w:numId="15">
    <w:abstractNumId w:val="21"/>
  </w:num>
  <w:num w:numId="16">
    <w:abstractNumId w:val="8"/>
  </w:num>
  <w:num w:numId="17">
    <w:abstractNumId w:val="30"/>
  </w:num>
  <w:num w:numId="18">
    <w:abstractNumId w:val="20"/>
  </w:num>
  <w:num w:numId="19">
    <w:abstractNumId w:val="3"/>
  </w:num>
  <w:num w:numId="20">
    <w:abstractNumId w:val="10"/>
  </w:num>
  <w:num w:numId="21">
    <w:abstractNumId w:val="25"/>
  </w:num>
  <w:num w:numId="22">
    <w:abstractNumId w:val="15"/>
  </w:num>
  <w:num w:numId="23">
    <w:abstractNumId w:val="6"/>
  </w:num>
  <w:num w:numId="24">
    <w:abstractNumId w:val="18"/>
  </w:num>
  <w:num w:numId="25">
    <w:abstractNumId w:val="0"/>
  </w:num>
  <w:num w:numId="26">
    <w:abstractNumId w:val="29"/>
  </w:num>
  <w:num w:numId="27">
    <w:abstractNumId w:val="22"/>
  </w:num>
  <w:num w:numId="28">
    <w:abstractNumId w:val="9"/>
  </w:num>
  <w:num w:numId="29">
    <w:abstractNumId w:val="14"/>
  </w:num>
  <w:num w:numId="30">
    <w:abstractNumId w:val="24"/>
  </w:num>
  <w:num w:numId="31">
    <w:abstractNumId w:val="23"/>
  </w:num>
  <w:num w:numId="32">
    <w:abstractNumId w:val="13"/>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DA7"/>
    <w:rsid w:val="00086DA7"/>
    <w:rsid w:val="0020026F"/>
    <w:rsid w:val="002F7735"/>
    <w:rsid w:val="00310C56"/>
    <w:rsid w:val="0037154E"/>
    <w:rsid w:val="00657B75"/>
    <w:rsid w:val="006E1559"/>
    <w:rsid w:val="0076303B"/>
    <w:rsid w:val="00784BB8"/>
    <w:rsid w:val="007F2004"/>
    <w:rsid w:val="00A43775"/>
    <w:rsid w:val="00AB7E1C"/>
    <w:rsid w:val="00AD7019"/>
    <w:rsid w:val="00B84D30"/>
    <w:rsid w:val="00C42463"/>
    <w:rsid w:val="00CB5F13"/>
    <w:rsid w:val="00F02E64"/>
    <w:rsid w:val="00F31E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2B4B8594-FEFB-498D-8A07-0D0C8ED85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Piedepgina">
    <w:name w:val="footer"/>
    <w:basedOn w:val="Normal"/>
    <w:link w:val="PiedepginaCar"/>
    <w:uiPriority w:val="99"/>
    <w:unhideWhenUsed/>
    <w:rsid w:val="00A43775"/>
    <w:pPr>
      <w:tabs>
        <w:tab w:val="center" w:pos="4419"/>
        <w:tab w:val="right" w:pos="8838"/>
      </w:tabs>
    </w:pPr>
  </w:style>
  <w:style w:type="character" w:customStyle="1" w:styleId="PiedepginaCar">
    <w:name w:val="Pie de página Car"/>
    <w:basedOn w:val="Fuentedeprrafopredeter"/>
    <w:link w:val="Piedepgina"/>
    <w:uiPriority w:val="99"/>
    <w:rsid w:val="00A43775"/>
  </w:style>
  <w:style w:type="paragraph" w:styleId="Prrafodelista">
    <w:name w:val="List Paragraph"/>
    <w:basedOn w:val="Normal"/>
    <w:uiPriority w:val="34"/>
    <w:qFormat/>
    <w:rsid w:val="00A437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mawww.sat.gob.mx/tramitesyservicios/paginas/documentos/anexo20_2022.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WV63axgQFTvnNNKB9peXd74C/A==">CgMxLjAyCGguZ2pkZ3hzMgloLjMwajB6bGwyCWguM3pueXNoNzIJaC4yZXQ5MnAwMghoLnR5amN3dDIJaC4zZHk2dmttMgloLjRkMzRvZzgyCWguMnM4ZXlvMTIJaC4xN2RwOHZ1MgloLjNyZGNyam4yCWguMzVua3VuMjIOaC53Nmw3c2syMzBkanAyDmgudmYwemJ6OGExeThtMg1oLmNmYmtjaDhtNmhpOAByITFQdWZ1ZkpPSlVlUktwazExZDJfZU41SWtXR1pPaGFN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85</Pages>
  <Words>18603</Words>
  <Characters>102317</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120679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Cuenta Microsoft</cp:lastModifiedBy>
  <cp:revision>7</cp:revision>
  <dcterms:created xsi:type="dcterms:W3CDTF">2026-04-20T17:32:00Z</dcterms:created>
  <dcterms:modified xsi:type="dcterms:W3CDTF">2026-05-06T18:35:00Z</dcterms:modified>
</cp:coreProperties>
</file>