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veintiocho de enero de dos mil veintiséis.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bookmarkStart w:colFirst="0" w:colLast="0" w:name="_heading=h.4hwupo73v9le" w:id="0"/>
      <w:bookmarkEnd w:id="0"/>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09674/INFOEM/IP/RR/2025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bCs w:val="1"/>
          <w:sz w:val="22"/>
          <w:szCs w:val="22"/>
          <w:rtl w:val="0"/>
        </w:rPr>
        <w:t xml:space="preserve"> XXXXXX XXXX 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bCs w:val="1"/>
          <w:sz w:val="22"/>
          <w:szCs w:val="22"/>
          <w:rtl w:val="0"/>
        </w:rPr>
        <w:t xml:space="preserve">03936/TOLUCA/IP/2025,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Ayuntamiento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once de julio de dos mil veinticinco,</w:t>
      </w:r>
      <w:r w:rsidDel="00000000" w:rsidR="00000000" w:rsidRPr="00000000">
        <w:rPr>
          <w:rFonts w:ascii="Palatino Linotype" w:cs="Palatino Linotype" w:eastAsia="Palatino Linotype" w:hAnsi="Palatino Linotype"/>
          <w:sz w:val="22"/>
          <w:szCs w:val="22"/>
          <w:rtl w:val="0"/>
        </w:rPr>
        <w:t xml:space="preserve"> la persona solicitante presentó la solicitud de acceso a la información pública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través del Sistema de Acceso a la Información Mexiquense, en lo subsecuente 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mediante la cual requirió lo siguiente:</w:t>
      </w:r>
      <w:r w:rsidDel="00000000" w:rsidR="00000000" w:rsidRPr="00000000">
        <w:rPr>
          <w:rtl w:val="0"/>
        </w:rPr>
      </w:r>
    </w:p>
    <w:p w:rsidR="00000000" w:rsidDel="00000000" w:rsidP="00000000" w:rsidRDefault="00000000" w:rsidRPr="00000000" w14:paraId="00000008">
      <w:pPr>
        <w:ind w:left="851" w:right="902" w:firstLine="0"/>
        <w:jc w:val="both"/>
        <w:rPr>
          <w:rFonts w:ascii="Palatino Linotype" w:cs="Palatino Linotype" w:eastAsia="Palatino Linotype" w:hAnsi="Palatino Linotype"/>
          <w:i w:val="1"/>
          <w:iCs w:val="1"/>
          <w:sz w:val="22"/>
          <w:szCs w:val="22"/>
        </w:rPr>
      </w:pPr>
      <w:bookmarkStart w:colFirst="0" w:colLast="0" w:name="_heading=h.bqg8q0v263qu" w:id="1"/>
      <w:bookmarkEnd w:id="1"/>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“Documental fehaciente que acredite el parentesco por consanguinidad de …. adscritos a la Unidad de Transparencia del Ayuntamiento de Toluca, asimismo que la Dirección General de Administración manifieste mediante documental idónea, cuál es el procedimiento que sigue a través de su Departamento de Reclutamiento y Selección de Personal para evitar contratar a parientes o familiares dentro de la misma dependencia.” (sic) </w:t>
      </w:r>
    </w:p>
    <w:p w:rsidR="00000000" w:rsidDel="00000000" w:rsidP="00000000" w:rsidRDefault="00000000" w:rsidRPr="00000000" w14:paraId="0000000A">
      <w:pPr>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b w:val="1"/>
          <w:bCs w:val="1"/>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bCs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w:t>
      </w:r>
      <w:r w:rsidDel="00000000" w:rsidR="00000000" w:rsidRPr="00000000">
        <w:rPr>
          <w:rFonts w:ascii="Palatino Linotype" w:cs="Palatino Linotype" w:eastAsia="Palatino Linotype" w:hAnsi="Palatino Linotype"/>
          <w:b w:val="1"/>
          <w:bCs w:val="1"/>
          <w:sz w:val="22"/>
          <w:szCs w:val="22"/>
          <w:rtl w:val="0"/>
        </w:rPr>
        <w:t xml:space="preserve">de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311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catorce de agosto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atención a la solicitud con folio 03936/TOLUCA/IP/2025, me permito adjuntar al presente la respuesta correspondiente, Sin más por el momento, reciba un saludo.</w:t>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ATENTAMENTE</w:t>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Dr. Nahum Miguel Mendoza Morales....” (sic)</w:t>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los archivos electrónicos denominados “</w:t>
      </w:r>
      <w:r w:rsidDel="00000000" w:rsidR="00000000" w:rsidRPr="00000000">
        <w:rPr>
          <w:rFonts w:ascii="Palatino Linotype" w:cs="Palatino Linotype" w:eastAsia="Palatino Linotype" w:hAnsi="Palatino Linotype"/>
          <w:b w:val="1"/>
          <w:bCs w:val="1"/>
          <w:i w:val="1"/>
          <w:iCs w:val="1"/>
          <w:sz w:val="22"/>
          <w:szCs w:val="22"/>
          <w:rtl w:val="0"/>
        </w:rPr>
        <w:t xml:space="preserve">NOTIF. CIUDADANo S. 3936.pdf</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bCs w:val="1"/>
          <w:i w:val="1"/>
          <w:iCs w:val="1"/>
          <w:sz w:val="22"/>
          <w:szCs w:val="22"/>
          <w:rtl w:val="0"/>
        </w:rPr>
        <w:t xml:space="preserve">R. 03936_25.pdf</w:t>
      </w:r>
      <w:r w:rsidDel="00000000" w:rsidR="00000000" w:rsidRPr="00000000">
        <w:rPr>
          <w:rFonts w:ascii="Palatino Linotype" w:cs="Palatino Linotype" w:eastAsia="Palatino Linotype" w:hAnsi="Palatino Linotype"/>
          <w:sz w:val="22"/>
          <w:szCs w:val="22"/>
          <w:rtl w:val="0"/>
        </w:rPr>
        <w:t xml:space="preserve">”, mismos que contiene los siguientes documentos: </w:t>
      </w:r>
    </w:p>
    <w:p w:rsidR="00000000" w:rsidDel="00000000" w:rsidP="00000000" w:rsidRDefault="00000000" w:rsidRPr="00000000" w14:paraId="0000001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206010000/4239/2025 de fecha diecisiete de julio de dos mil veinticinco, suscrito por la Directora General de Administración en el que informó la entrega de la respuesta de la Dirección de Recursos Humanos del Ayuntamiento de Toluca, competente para tal propósito.</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Nota informativa número 797/2025, de fecha quince de julio de dos mil veinticinco, suscrito por la Directora de Recursos Humanos, en el que informó que después de un análisis de la solicitud, se puede apreciar que el requerimiento se trata de manifestaciones subjetivas vertidas por el particular, así como declaraciones que no colman con la entrega de documentos que esta Dirección genere, administre o posee en el ejercicio de sus atribuciones. Asimismo, el derecho a la información constituye una prerrogativa a acceder a documentación en poder de los Sujetos Obligados, no así a realizar cuestionamientos, o manifestaciones subjetivas, lo cual conlleve a realizar documentos adhoc, de conformidad con lo establecido en el del artículo 12 de la Ley de Transparencia Acceso a la Información Pública del Estado de México y Municipios.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de fecha catorce de agosto de dos mil veinticinco, suscrito por el Titular de la Unidad de Transparencia, en el que informó que se observa que el particular busca un pronunciamiento por parte de este Sujeto Obligado, lo cual no constituye un derecho de acceso a la información; sino un derecho de petición debido a que realiza manifestaciones subjetivas por el solicitante, acusaciones y declaraciones que no se colman con la entrega de documentos, situación que conlleva a afirmar que se está ante la presencia del ejercicio del derecho ya anunciado.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Por lo que la entrega de una razón o un razonamiento por parte de este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 consecuencia, al realizar este tipo de manifestaciones que no se relacionan con el asunto principal, no significa ejercer el derecho de acceso a la información de manera respetuosa, sino por el contrario, se traduce en una posible afectación a la esfera íntima de las personas referidas en la solicitud, y en consecuencia a las personas señaladas por lo que se puede incurrir en un tipo de responsabilidad, que si bien, este Sujeto Obligado no es competente para conocer, no es óbice para atenderse por otras vías.</w:t>
      </w:r>
    </w:p>
    <w:p w:rsidR="00000000" w:rsidDel="00000000" w:rsidP="00000000" w:rsidRDefault="00000000" w:rsidRPr="00000000" w14:paraId="0000001A">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diecinueve de agosto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tabs>
          <w:tab w:val="left" w:leader="none" w:pos="2400"/>
        </w:tabs>
        <w:spacing w:line="276"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tab/>
      </w:r>
    </w:p>
    <w:p w:rsidR="00000000" w:rsidDel="00000000" w:rsidP="00000000" w:rsidRDefault="00000000" w:rsidRPr="00000000" w14:paraId="0000001E">
      <w:pPr>
        <w:tabs>
          <w:tab w:val="left" w:leader="none" w:pos="2745"/>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respuesta de la Dirección General de Administración y de la Unidad de Transparencia.” (sic)</w:t>
      </w:r>
    </w:p>
    <w:p w:rsidR="00000000" w:rsidDel="00000000" w:rsidP="00000000" w:rsidRDefault="00000000" w:rsidRPr="00000000" w14:paraId="0000001F">
      <w:pPr>
        <w:spacing w:line="276" w:lineRule="auto"/>
        <w:ind w:left="851" w:right="616" w:firstLine="0"/>
        <w:jc w:val="both"/>
        <w:rPr>
          <w:rFonts w:ascii="Palatino Linotype" w:cs="Palatino Linotype" w:eastAsia="Palatino Linotype" w:hAnsi="Palatino Linotype"/>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bCs w:val="1"/>
          <w:sz w:val="22"/>
          <w:szCs w:val="22"/>
          <w:rtl w:val="0"/>
        </w:rPr>
        <w:t xml:space="preserve">Y, Razones o motivos de inconformidad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20">
      <w:pPr>
        <w:tabs>
          <w:tab w:val="left" w:leader="none" w:pos="2745"/>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son manifestaciones subjetivas y tampoco pido documentos que no se generen o administren, ya que la Legislación correspondiente contempla funciones sobre la administración de los recursos humanos y también señala cuáles son los alcances de contratar a parientes en las mismas dependencias gubernamentales, eso no es un ejemplo de servir al pueblo, es servirse del pueblo como ya lo dijo nuestro presidente a quien amo y respeto mucho AMLO, QUE VIVA LA 4T.” (sic)</w:t>
      </w:r>
    </w:p>
    <w:p w:rsidR="00000000" w:rsidDel="00000000" w:rsidP="00000000" w:rsidRDefault="00000000" w:rsidRPr="00000000" w14:paraId="00000021">
      <w:pPr>
        <w:spacing w:line="360" w:lineRule="auto"/>
        <w:ind w:right="51"/>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2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veintidós de agosto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ind w:right="49"/>
        <w:jc w:val="both"/>
        <w:rPr>
          <w:rFonts w:ascii="Palatino Linotype" w:cs="Palatino Linotype" w:eastAsia="Palatino Linotype" w:hAnsi="Palatino Linotype"/>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En fechas </w:t>
      </w:r>
      <w:r w:rsidDel="00000000" w:rsidR="00000000" w:rsidRPr="00000000">
        <w:rPr>
          <w:rFonts w:ascii="Palatino Linotype" w:cs="Palatino Linotype" w:eastAsia="Palatino Linotype" w:hAnsi="Palatino Linotype"/>
          <w:b w:val="1"/>
          <w:bCs w:val="1"/>
          <w:sz w:val="22"/>
          <w:szCs w:val="22"/>
          <w:rtl w:val="0"/>
        </w:rPr>
        <w:t xml:space="preserve">uno, dos y ocho de septiembre de dos mil veinticinco,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a través de SAIMEX, lo siguiente:</w:t>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R.R. 09674_25.pdf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y </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ANEXOS 09674-2025.pdf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Oficio del veintisiete de agosto de dos mil veinticinco, mediante el cual la Analista Técnica C de la Unidad de Transparencia informó que ratifica su respuesta inicial.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Ratificación 09674.pdf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Oficio del dos de septiembre de dos mil veinticinco, mediante el cual el Titular de la Unidad de Transparencia informó que ratifica la respuesta inicial de la Unidad de Transparencia y la Dirección General de Administración. </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ANEXOS 09674-2025.pdf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Oficio número 206010000/5255/2025 del dos de septiembre de dos mil veinticinco, mediante el cual la Directora General de Administración informó que ratifica su respuesta inicial.</w:t>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analizados los documentos referidos, se determinó hacerlos de conocimiento de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fecha</w:t>
      </w:r>
      <w:r w:rsidDel="00000000" w:rsidR="00000000" w:rsidRPr="00000000">
        <w:rPr>
          <w:rFonts w:ascii="Palatino Linotype" w:cs="Palatino Linotype" w:eastAsia="Palatino Linotype" w:hAnsi="Palatino Linotype"/>
          <w:b w:val="1"/>
          <w:bCs w:val="1"/>
          <w:sz w:val="22"/>
          <w:szCs w:val="22"/>
          <w:rtl w:val="0"/>
        </w:rPr>
        <w:t xml:space="preserve"> veintiuno de enero de dos mil veintiséis, </w:t>
      </w:r>
      <w:r w:rsidDel="00000000" w:rsidR="00000000" w:rsidRPr="00000000">
        <w:rPr>
          <w:rFonts w:ascii="Palatino Linotype" w:cs="Palatino Linotype" w:eastAsia="Palatino Linotype" w:hAnsi="Palatino Linotype"/>
          <w:sz w:val="22"/>
          <w:szCs w:val="22"/>
          <w:rtl w:val="0"/>
        </w:rPr>
        <w:t xml:space="preserve">con la finalidad de que manifestara lo que a su derecho estimara conveniente, sin embargo, fue omisa en ejercer dicha prerrogativa.</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Ampliación del término para resolver</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veintiuno de enero de dos mil veintiséis</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F">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9">
      <w:pPr>
        <w:spacing w:line="360" w:lineRule="auto"/>
        <w:jc w:val="both"/>
        <w:rPr>
          <w:rFonts w:ascii="Palatino Linotype" w:cs="Palatino Linotype" w:eastAsia="Palatino Linotype" w:hAnsi="Palatino Linotype"/>
          <w:strike w:val="1"/>
          <w:sz w:val="22"/>
          <w:szCs w:val="22"/>
        </w:rPr>
      </w:pPr>
      <w:r w:rsidDel="00000000" w:rsidR="00000000" w:rsidRPr="00000000">
        <w:rPr>
          <w:rtl w:val="0"/>
        </w:rPr>
      </w:r>
    </w:p>
    <w:p w:rsidR="00000000" w:rsidDel="00000000" w:rsidP="00000000" w:rsidRDefault="00000000" w:rsidRPr="00000000" w14:paraId="0000003A">
      <w:pPr>
        <w:numPr>
          <w:ilvl w:val="0"/>
          <w:numId w:val="3"/>
        </w:numPr>
        <w:tabs>
          <w:tab w:val="left" w:leader="none" w:pos="993"/>
        </w:tabs>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3B">
      <w:pPr>
        <w:numPr>
          <w:ilvl w:val="0"/>
          <w:numId w:val="3"/>
        </w:numPr>
        <w:tabs>
          <w:tab w:val="left" w:leader="none" w:pos="993"/>
        </w:tabs>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C">
      <w:pPr>
        <w:numPr>
          <w:ilvl w:val="0"/>
          <w:numId w:val="3"/>
        </w:numPr>
        <w:tabs>
          <w:tab w:val="left" w:leader="none" w:pos="993"/>
        </w:tabs>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D">
      <w:pPr>
        <w:numPr>
          <w:ilvl w:val="0"/>
          <w:numId w:val="3"/>
        </w:numPr>
        <w:tabs>
          <w:tab w:val="left" w:leader="none" w:pos="993"/>
        </w:tabs>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42">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6">
      <w:pPr>
        <w:spacing w:line="360"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48">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A">
      <w:pPr>
        <w:spacing w:line="360"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bCs w:val="1"/>
          <w:sz w:val="22"/>
          <w:szCs w:val="22"/>
          <w:rtl w:val="0"/>
        </w:rPr>
        <w:t xml:space="preserve">veintiocho de enero de dos mil veintiséis</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52">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día </w:t>
      </w:r>
      <w:r w:rsidDel="00000000" w:rsidR="00000000" w:rsidRPr="00000000">
        <w:rPr>
          <w:rFonts w:ascii="Palatino Linotype" w:cs="Palatino Linotype" w:eastAsia="Palatino Linotype" w:hAnsi="Palatino Linotype"/>
          <w:b w:val="1"/>
          <w:bCs w:val="1"/>
          <w:sz w:val="22"/>
          <w:szCs w:val="22"/>
          <w:rtl w:val="0"/>
        </w:rPr>
        <w:t xml:space="preserve">catorce de agosto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bCs w:val="1"/>
          <w:sz w:val="22"/>
          <w:szCs w:val="22"/>
          <w:rtl w:val="0"/>
        </w:rPr>
        <w:t xml:space="preserve">diecinueve de agosto de dos mil veinticinco</w:t>
      </w:r>
      <w:r w:rsidDel="00000000" w:rsidR="00000000" w:rsidRPr="00000000">
        <w:rPr>
          <w:rFonts w:ascii="Palatino Linotype" w:cs="Palatino Linotype" w:eastAsia="Palatino Linotype" w:hAnsi="Palatino Linotype"/>
          <w:sz w:val="22"/>
          <w:szCs w:val="22"/>
          <w:rtl w:val="0"/>
        </w:rPr>
        <w:t xml:space="preserve">, esto es al tercer día hábil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bookmarkStart w:colFirst="0" w:colLast="0" w:name="_heading=h.3znysh7" w:id="6"/>
      <w:bookmarkEnd w:id="6"/>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w:t>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E">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5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La negativa a la información solicitada;”</w:t>
      </w:r>
    </w:p>
    <w:p w:rsidR="00000000" w:rsidDel="00000000" w:rsidP="00000000" w:rsidRDefault="00000000" w:rsidRPr="00000000" w14:paraId="00000060">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Análisis de las causales de sobreseimiento del recurso de revisión. </w:t>
      </w:r>
      <w:r w:rsidDel="00000000" w:rsidR="00000000" w:rsidRPr="00000000">
        <w:rPr>
          <w:rFonts w:ascii="Palatino Linotype" w:cs="Palatino Linotype" w:eastAsia="Palatino Linotype" w:hAnsi="Palatino Linotype"/>
          <w:sz w:val="22"/>
          <w:szCs w:val="22"/>
          <w:rtl w:val="0"/>
        </w:rPr>
        <w:t xml:space="preserve">Previo al análisis de las actuaciones que integran el expediente en el Sistema de Acceso a la Información Mexiquense, en importante primeramente enfatizar que el Derecho de Acceso a la Información Pública consiste en que la </w:t>
      </w:r>
      <w:r w:rsidDel="00000000" w:rsidR="00000000" w:rsidRPr="00000000">
        <w:rPr>
          <w:rFonts w:ascii="Palatino Linotype" w:cs="Palatino Linotype" w:eastAsia="Palatino Linotype" w:hAnsi="Palatino Linotype"/>
          <w:b w:val="1"/>
          <w:bCs w:val="1"/>
          <w:sz w:val="22"/>
          <w:szCs w:val="22"/>
          <w:u w:val="single"/>
          <w:rtl w:val="0"/>
        </w:rPr>
        <w:t xml:space="preserve">información solicitada conste en un soporte documental</w:t>
      </w:r>
      <w:r w:rsidDel="00000000" w:rsidR="00000000" w:rsidRPr="00000000">
        <w:rPr>
          <w:rFonts w:ascii="Palatino Linotype" w:cs="Palatino Linotype" w:eastAsia="Palatino Linotype" w:hAnsi="Palatino Linotype"/>
          <w:sz w:val="22"/>
          <w:szCs w:val="22"/>
          <w:rtl w:val="0"/>
        </w:rPr>
        <w:t xml:space="preserve">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00000" w:rsidDel="00000000" w:rsidP="00000000" w:rsidRDefault="00000000" w:rsidRPr="00000000" w14:paraId="00000062">
      <w:pPr>
        <w:ind w:left="851" w:right="90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6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6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 resoluciones,</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00000" w:rsidDel="00000000" w:rsidP="00000000" w:rsidRDefault="00000000" w:rsidRPr="00000000" w14:paraId="00000068">
      <w:pPr>
        <w:spacing w:line="276"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registrada en cualquier soporte documental</w:t>
      </w:r>
      <w:r w:rsidDel="00000000" w:rsidR="00000000" w:rsidRPr="00000000">
        <w:rPr>
          <w:rFonts w:ascii="Palatino Linotype" w:cs="Palatino Linotype" w:eastAsia="Palatino Linotype" w:hAnsi="Palatino Linotype"/>
          <w:i w:val="1"/>
          <w:iCs w:val="1"/>
          <w:sz w:val="22"/>
          <w:szCs w:val="22"/>
          <w:rtl w:val="0"/>
        </w:rPr>
        <w:t xml:space="preserve">, que en ejercicio de las atribuciones conferidas, sea generada por los Sujetos Obligados;</w:t>
      </w:r>
    </w:p>
    <w:p w:rsidR="00000000" w:rsidDel="00000000" w:rsidP="00000000" w:rsidRDefault="00000000" w:rsidRPr="00000000" w14:paraId="0000006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 Que se trate de información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registrada en cualquier soporte documental</w:t>
      </w:r>
      <w:r w:rsidDel="00000000" w:rsidR="00000000" w:rsidRPr="00000000">
        <w:rPr>
          <w:rFonts w:ascii="Palatino Linotype" w:cs="Palatino Linotype" w:eastAsia="Palatino Linotype" w:hAnsi="Palatino Linotype"/>
          <w:i w:val="1"/>
          <w:iCs w:val="1"/>
          <w:sz w:val="22"/>
          <w:szCs w:val="22"/>
          <w:rtl w:val="0"/>
        </w:rPr>
        <w:t xml:space="preserve">, que en ejercicio de las atribuciones conferidas, sea administrada por los Sujetos Obligados, y</w:t>
      </w:r>
    </w:p>
    <w:p w:rsidR="00000000" w:rsidDel="00000000" w:rsidP="00000000" w:rsidRDefault="00000000" w:rsidRPr="00000000" w14:paraId="0000006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3) Que se trate de información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registrada en cualquier soporte documental</w:t>
      </w:r>
      <w:r w:rsidDel="00000000" w:rsidR="00000000" w:rsidRPr="00000000">
        <w:rPr>
          <w:rFonts w:ascii="Palatino Linotype" w:cs="Palatino Linotype" w:eastAsia="Palatino Linotype" w:hAnsi="Palatino Linotype"/>
          <w:i w:val="1"/>
          <w:iCs w:val="1"/>
          <w:sz w:val="22"/>
          <w:szCs w:val="22"/>
          <w:rtl w:val="0"/>
        </w:rPr>
        <w:t xml:space="preserve">, que en ejercicio de las atribuciones conferidas, se encuentre en posesión de los Sujetos Obligados.” (Sic)</w:t>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artículo 4 de la Ley de Transparencia y Acceso a la Información Pública del Estado de México y Municipios, que dispone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7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.”(Sic)</w:t>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7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7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del análisis de la solicitud de información, motivo del recurso de revisión que ahora se resuelve, se advierte que la persona solicitante requirió 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que consiste en lo siguiente:</w:t>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ind w:left="42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1. </w:t>
      </w:r>
      <w:r w:rsidDel="00000000" w:rsidR="00000000" w:rsidRPr="00000000">
        <w:rPr>
          <w:rFonts w:ascii="Palatino Linotype" w:cs="Palatino Linotype" w:eastAsia="Palatino Linotype" w:hAnsi="Palatino Linotype"/>
          <w:b w:val="1"/>
          <w:bCs w:val="1"/>
          <w:sz w:val="22"/>
          <w:szCs w:val="22"/>
          <w:rtl w:val="0"/>
        </w:rPr>
        <w:t xml:space="preserve">Documental fehaciente que acredite el parentesco por consanguinidad de dos servidores públicos adscritos a la Unidad de Transparencia del Ayuntamiento de Toluca, </w:t>
      </w:r>
    </w:p>
    <w:p w:rsidR="00000000" w:rsidDel="00000000" w:rsidP="00000000" w:rsidRDefault="00000000" w:rsidRPr="00000000" w14:paraId="00000083">
      <w:pP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Que la Dirección General de Administración manifieste mediante documental idónea, cuál es el procedimiento que sigue a través de su Departamento de Reclutamiento y Selección de Personal para evitar contratar a parientes o familiares dentro de la misma dependencia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84">
      <w:pPr>
        <w:spacing w:line="360" w:lineRule="auto"/>
        <w:ind w:left="42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Unidad de Transparencia y la Dirección de Recursos Humanos manifestó en lo medular, la imposibilidad para pronunciarse sobre lo solicitado, ya que al tratarse de cuestionamientos no pueden ser atendidos mediante el derecho de acceso a la información pública, el cual le constriñe a entregar los documentos en los que conste la información que sea generada, poseída o administrada en el ejercicio de sus atribuciones, </w:t>
      </w:r>
      <w:r w:rsidDel="00000000" w:rsidR="00000000" w:rsidRPr="00000000">
        <w:rPr>
          <w:rFonts w:ascii="Palatino Linotype" w:cs="Palatino Linotype" w:eastAsia="Palatino Linotype" w:hAnsi="Palatino Linotype"/>
          <w:b w:val="1"/>
          <w:bCs w:val="1"/>
          <w:sz w:val="22"/>
          <w:szCs w:val="22"/>
          <w:u w:val="single"/>
          <w:rtl w:val="0"/>
        </w:rPr>
        <w:t xml:space="preserve">más no a elaborar documentos en donde se expliquen, respondan o atiendan diversos cuestionamientos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no estar conforme con dichos argumentos la persona solicitante interpuso el recurso de revisión que nos ocupa, en el cual señaló como motivo de inconformidad medularmente que se le negó la información.</w:t>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realizó diversos planteamientos subjetivos, tales como “...</w:t>
      </w:r>
      <w:r w:rsidDel="00000000" w:rsidR="00000000" w:rsidRPr="00000000">
        <w:rPr>
          <w:rFonts w:ascii="Palatino Linotype" w:cs="Palatino Linotype" w:eastAsia="Palatino Linotype" w:hAnsi="Palatino Linotype"/>
          <w:i w:val="1"/>
          <w:iCs w:val="1"/>
          <w:sz w:val="22"/>
          <w:szCs w:val="22"/>
          <w:rtl w:val="0"/>
        </w:rPr>
        <w:t xml:space="preserve">eso no es un ejemplo de servir al pueblo, es servirse del pueblo como ya lo dijo nuestro presidente a quien amo y respeto mucho AMLO, QUE VIVA LA 4T....</w:t>
      </w:r>
      <w:r w:rsidDel="00000000" w:rsidR="00000000" w:rsidRPr="00000000">
        <w:rPr>
          <w:rFonts w:ascii="Palatino Linotype" w:cs="Palatino Linotype" w:eastAsia="Palatino Linotype" w:hAnsi="Palatino Linotype"/>
          <w:sz w:val="22"/>
          <w:szCs w:val="22"/>
          <w:rtl w:val="0"/>
        </w:rPr>
        <w:t xml:space="preserve">“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los sus motivos de inconformidad. En este sentido, se trata de manifestaciones sobre las cuales este Instituto no está facultado para pronunciarse.</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la etapa de manifestaciones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través de la Unidad de Transparencia y la Dirección de Recursos Humanos, ratificó en lo sustancial la respuesta emitida en primera instancia.</w:t>
      </w:r>
    </w:p>
    <w:p w:rsidR="00000000" w:rsidDel="00000000" w:rsidP="00000000" w:rsidRDefault="00000000" w:rsidRPr="00000000" w14:paraId="0000008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establecidas las posturas de las partes, en primer lugar, debe apuntarse que del análisis del requerimiento de información, se advirtió que, a través del mismo, la persona solicitante pretende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responda o se pronuncie sobre dos cuestiones, esto es, la entrega del </w:t>
      </w:r>
      <w:r w:rsidDel="00000000" w:rsidR="00000000" w:rsidRPr="00000000">
        <w:rPr>
          <w:rFonts w:ascii="Palatino Linotype" w:cs="Palatino Linotype" w:eastAsia="Palatino Linotype" w:hAnsi="Palatino Linotype"/>
          <w:i w:val="1"/>
          <w:iCs w:val="1"/>
          <w:sz w:val="22"/>
          <w:szCs w:val="22"/>
          <w:u w:val="single"/>
          <w:rtl w:val="0"/>
        </w:rPr>
        <w:t xml:space="preserve">documento que acredite el parentesco por consanguinidad de dos servidores públicos adscritos a la Unidad de Transparencia</w:t>
      </w:r>
      <w:r w:rsidDel="00000000" w:rsidR="00000000" w:rsidRPr="00000000">
        <w:rPr>
          <w:rFonts w:ascii="Palatino Linotype" w:cs="Palatino Linotype" w:eastAsia="Palatino Linotype" w:hAnsi="Palatino Linotype"/>
          <w:sz w:val="22"/>
          <w:szCs w:val="22"/>
          <w:rtl w:val="0"/>
        </w:rPr>
        <w:t xml:space="preserve">, y</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u w:val="single"/>
          <w:rtl w:val="0"/>
        </w:rPr>
        <w:t xml:space="preserve">que la Dirección General de Administración manifieste mediante documental idónea, cuál es el procedimiento que sigue a través de su Departamento de Reclutamiento y Selección de Personal para evitar contratar a parientes o familiares dentro de la misma dependencia</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situación que conlleva a precisar que con tales planteamientos no se pretendió ejercer el derecho de acceso a la información pública; sino que por este medio se presentó una interrogante cuya finalidad consiste en obligar a la autoridad a que actúe en el sentido de contestar y generar un documento que atienda lo solicitado, que no es factible atenderse vía acceso a la información pública, toda vez, que la atención a dichos cuestionamientos no se pueden colmar con documentos que obren en los archivos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8E">
      <w:pPr>
        <w:spacing w:line="360" w:lineRule="auto"/>
        <w:ind w:right="49"/>
        <w:jc w:val="both"/>
        <w:rPr>
          <w:rFonts w:ascii="Palatino Linotype" w:cs="Palatino Linotype" w:eastAsia="Palatino Linotype" w:hAnsi="Palatino Linotype"/>
          <w:b w:val="1"/>
          <w:bCs w:val="1"/>
          <w:i w:val="1"/>
          <w:iCs w:val="1"/>
          <w:sz w:val="22"/>
          <w:szCs w:val="22"/>
          <w:u w:val="single"/>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del análisis realizado al expediente electrónico, se advierte que la solicitud NO constituye un derecho de acceso a la información y por lo tanto no es atendible mediante una solicitud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 </w:t>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iCs w:val="1"/>
          <w:sz w:val="22"/>
          <w:szCs w:val="22"/>
          <w:rtl w:val="0"/>
        </w:rPr>
        <w:t xml:space="preserve">o.</w:t>
      </w:r>
      <w:r w:rsidDel="00000000" w:rsidR="00000000" w:rsidRPr="00000000">
        <w:rPr>
          <w:rFonts w:ascii="Palatino Linotype" w:cs="Palatino Linotype" w:eastAsia="Palatino Linotype" w:hAnsi="Palatino Linotype"/>
          <w:i w:val="1"/>
          <w:iCs w:val="1"/>
          <w:sz w:val="22"/>
          <w:szCs w:val="22"/>
          <w:vertAlign w:val="superscript"/>
          <w:rtl w:val="0"/>
        </w:rPr>
        <w:t xml:space="preserve"> </w:t>
      </w:r>
      <w:r w:rsidDel="00000000" w:rsidR="00000000" w:rsidRPr="00000000">
        <w:rPr>
          <w:rFonts w:ascii="Palatino Linotype" w:cs="Palatino Linotype" w:eastAsia="Palatino Linotype" w:hAnsi="Palatino Linotype"/>
          <w:i w:val="1"/>
          <w:iCs w:val="1"/>
          <w:sz w:val="22"/>
          <w:szCs w:val="22"/>
          <w:vertAlign w:val="superscript"/>
        </w:rPr>
        <w:footnoteReference w:customMarkFollows="0" w:id="0"/>
      </w:r>
      <w:r w:rsidDel="00000000" w:rsidR="00000000" w:rsidRPr="00000000">
        <w:rPr>
          <w:rFonts w:ascii="Palatino Linotype" w:cs="Palatino Linotype" w:eastAsia="Palatino Linotype" w:hAnsi="Palatino Linotype"/>
          <w:i w:val="1"/>
          <w:iCs w:val="1"/>
          <w:sz w:val="22"/>
          <w:szCs w:val="22"/>
          <w:rtl w:val="0"/>
        </w:rPr>
        <w:t xml:space="preserve">” (Sic) </w:t>
      </w:r>
    </w:p>
    <w:p w:rsidR="00000000" w:rsidDel="00000000" w:rsidP="00000000" w:rsidRDefault="00000000" w:rsidRPr="00000000" w14:paraId="00000092">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Miguel Carbonell en su libro “Los derechos fundamentales” refiere que el </w:t>
      </w:r>
      <w:r w:rsidDel="00000000" w:rsidR="00000000" w:rsidRPr="00000000">
        <w:rPr>
          <w:rFonts w:ascii="Palatino Linotype" w:cs="Palatino Linotype" w:eastAsia="Palatino Linotype" w:hAnsi="Palatino Linotype"/>
          <w:sz w:val="22"/>
          <w:szCs w:val="22"/>
          <w:u w:val="single"/>
          <w:rtl w:val="0"/>
        </w:rPr>
        <w:t xml:space="preserve">derecho de petición se ha entendido de dos distintitas maneras</w:t>
      </w:r>
      <w:r w:rsidDel="00000000" w:rsidR="00000000" w:rsidRPr="00000000">
        <w:rPr>
          <w:rFonts w:ascii="Palatino Linotype" w:cs="Palatino Linotype" w:eastAsia="Palatino Linotype" w:hAnsi="Palatino Linotype"/>
          <w:sz w:val="22"/>
          <w:szCs w:val="22"/>
          <w:rtl w:val="0"/>
        </w:rPr>
        <w:t xml:space="preserve">, a saber: como un derecho fundamental de participación política ya que </w:t>
      </w:r>
      <w:r w:rsidDel="00000000" w:rsidR="00000000" w:rsidRPr="00000000">
        <w:rPr>
          <w:rFonts w:ascii="Palatino Linotype" w:cs="Palatino Linotype" w:eastAsia="Palatino Linotype" w:hAnsi="Palatino Linotype"/>
          <w:sz w:val="22"/>
          <w:szCs w:val="22"/>
          <w:u w:val="single"/>
          <w:rtl w:val="0"/>
        </w:rPr>
        <w:t xml:space="preserve">permite a los particulares trasladar a las autoridades sus </w:t>
      </w:r>
      <w:r w:rsidDel="00000000" w:rsidR="00000000" w:rsidRPr="00000000">
        <w:rPr>
          <w:rFonts w:ascii="Palatino Linotype" w:cs="Palatino Linotype" w:eastAsia="Palatino Linotype" w:hAnsi="Palatino Linotype"/>
          <w:b w:val="1"/>
          <w:bCs w:val="1"/>
          <w:sz w:val="22"/>
          <w:szCs w:val="22"/>
          <w:u w:val="single"/>
          <w:rtl w:val="0"/>
        </w:rPr>
        <w:t xml:space="preserve">inquietudes, quejas</w:t>
      </w:r>
      <w:r w:rsidDel="00000000" w:rsidR="00000000" w:rsidRPr="00000000">
        <w:rPr>
          <w:rFonts w:ascii="Palatino Linotype" w:cs="Palatino Linotype" w:eastAsia="Palatino Linotype" w:hAnsi="Palatino Linotype"/>
          <w:sz w:val="22"/>
          <w:szCs w:val="22"/>
          <w:u w:val="single"/>
          <w:rtl w:val="0"/>
        </w:rPr>
        <w:t xml:space="preserve">, sugerencias</w:t>
      </w:r>
      <w:r w:rsidDel="00000000" w:rsidR="00000000" w:rsidRPr="00000000">
        <w:rPr>
          <w:rFonts w:ascii="Palatino Linotype" w:cs="Palatino Linotype" w:eastAsia="Palatino Linotype" w:hAnsi="Palatino Linotype"/>
          <w:sz w:val="22"/>
          <w:szCs w:val="22"/>
          <w:rtl w:val="0"/>
        </w:rPr>
        <w:t xml:space="preserve"> y requerimientos en cualquier materia o asunto; y como una </w:t>
      </w:r>
      <w:r w:rsidDel="00000000" w:rsidR="00000000" w:rsidRPr="00000000">
        <w:rPr>
          <w:rFonts w:ascii="Palatino Linotype" w:cs="Palatino Linotype" w:eastAsia="Palatino Linotype" w:hAnsi="Palatino Linotype"/>
          <w:b w:val="1"/>
          <w:bCs w:val="1"/>
          <w:sz w:val="22"/>
          <w:szCs w:val="22"/>
          <w:rtl w:val="0"/>
        </w:rPr>
        <w:t xml:space="preserve">forma específica de la libertad de expresión</w:t>
      </w:r>
      <w:r w:rsidDel="00000000" w:rsidR="00000000" w:rsidRPr="00000000">
        <w:rPr>
          <w:rFonts w:ascii="Palatino Linotype" w:cs="Palatino Linotype" w:eastAsia="Palatino Linotype" w:hAnsi="Palatino Linotype"/>
          <w:sz w:val="22"/>
          <w:szCs w:val="22"/>
          <w:rtl w:val="0"/>
        </w:rPr>
        <w:t xml:space="preserve">,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tl w:val="0"/>
        </w:rPr>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el autor anteriormente citado, indica que el </w:t>
      </w:r>
      <w:r w:rsidDel="00000000" w:rsidR="00000000" w:rsidRPr="00000000">
        <w:rPr>
          <w:rFonts w:ascii="Palatino Linotype" w:cs="Palatino Linotype" w:eastAsia="Palatino Linotype" w:hAnsi="Palatino Linotype"/>
          <w:b w:val="1"/>
          <w:bCs w:val="1"/>
          <w:sz w:val="22"/>
          <w:szCs w:val="22"/>
          <w:u w:val="single"/>
          <w:rtl w:val="0"/>
        </w:rPr>
        <w:t xml:space="preserve">derecho de acceso a la información pública</w:t>
      </w:r>
      <w:r w:rsidDel="00000000" w:rsidR="00000000" w:rsidRPr="00000000">
        <w:rPr>
          <w:rFonts w:ascii="Palatino Linotype" w:cs="Palatino Linotype" w:eastAsia="Palatino Linotype" w:hAnsi="Palatino Linotype"/>
          <w:sz w:val="22"/>
          <w:szCs w:val="22"/>
          <w:rtl w:val="0"/>
        </w:rPr>
        <w:t xml:space="preserve"> es el derecho de conocer la </w:t>
      </w:r>
      <w:r w:rsidDel="00000000" w:rsidR="00000000" w:rsidRPr="00000000">
        <w:rPr>
          <w:rFonts w:ascii="Palatino Linotype" w:cs="Palatino Linotype" w:eastAsia="Palatino Linotype" w:hAnsi="Palatino Linotype"/>
          <w:b w:val="1"/>
          <w:bCs w:val="1"/>
          <w:sz w:val="22"/>
          <w:szCs w:val="22"/>
          <w:u w:val="single"/>
          <w:rtl w:val="0"/>
        </w:rPr>
        <w:t xml:space="preserve">información de carácter público que se genera o está en posesión de los órganos del poder público</w:t>
      </w:r>
      <w:r w:rsidDel="00000000" w:rsidR="00000000" w:rsidRPr="00000000">
        <w:rPr>
          <w:rFonts w:ascii="Palatino Linotype" w:cs="Palatino Linotype" w:eastAsia="Palatino Linotype" w:hAnsi="Palatino Linotype"/>
          <w:sz w:val="22"/>
          <w:szCs w:val="22"/>
          <w:rtl w:val="0"/>
        </w:rPr>
        <w:t xml:space="preserve">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puede concluir que la distinción entre el </w:t>
      </w:r>
      <w:r w:rsidDel="00000000" w:rsidR="00000000" w:rsidRPr="00000000">
        <w:rPr>
          <w:rFonts w:ascii="Palatino Linotype" w:cs="Palatino Linotype" w:eastAsia="Palatino Linotype" w:hAnsi="Palatino Linotype"/>
          <w:b w:val="1"/>
          <w:bCs w:val="1"/>
          <w:sz w:val="22"/>
          <w:szCs w:val="22"/>
          <w:u w:val="single"/>
          <w:rtl w:val="0"/>
        </w:rPr>
        <w:t xml:space="preserve">derecho de petición</w:t>
      </w:r>
      <w:r w:rsidDel="00000000" w:rsidR="00000000" w:rsidRPr="00000000">
        <w:rPr>
          <w:rFonts w:ascii="Palatino Linotype" w:cs="Palatino Linotype" w:eastAsia="Palatino Linotype" w:hAnsi="Palatino Linotype"/>
          <w:sz w:val="22"/>
          <w:szCs w:val="22"/>
          <w:rtl w:val="0"/>
        </w:rPr>
        <w:t xml:space="preserve"> y el derecho de acceso a la información descansa principalmente, en que </w:t>
      </w:r>
      <w:r w:rsidDel="00000000" w:rsidR="00000000" w:rsidRPr="00000000">
        <w:rPr>
          <w:rFonts w:ascii="Palatino Linotype" w:cs="Palatino Linotype" w:eastAsia="Palatino Linotype" w:hAnsi="Palatino Linotype"/>
          <w:b w:val="1"/>
          <w:bCs w:val="1"/>
          <w:sz w:val="22"/>
          <w:szCs w:val="22"/>
          <w:rtl w:val="0"/>
        </w:rPr>
        <w:t xml:space="preserve">la pretensión del peticionario consiste generalmente en obligar a la autoridad responsable a que actúe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en el sentido de contestar lo solicitado</w:t>
      </w:r>
      <w:r w:rsidDel="00000000" w:rsidR="00000000" w:rsidRPr="00000000">
        <w:rPr>
          <w:rFonts w:ascii="Palatino Linotype" w:cs="Palatino Linotype" w:eastAsia="Palatino Linotype" w:hAnsi="Palatino Linotype"/>
          <w:sz w:val="22"/>
          <w:szCs w:val="22"/>
          <w:rtl w:val="0"/>
        </w:rPr>
        <w:t xml:space="preserve">, mientras que </w:t>
      </w:r>
      <w:r w:rsidDel="00000000" w:rsidR="00000000" w:rsidRPr="00000000">
        <w:rPr>
          <w:rFonts w:ascii="Palatino Linotype" w:cs="Palatino Linotype" w:eastAsia="Palatino Linotype" w:hAnsi="Palatino Linotype"/>
          <w:b w:val="1"/>
          <w:bCs w:val="1"/>
          <w:sz w:val="22"/>
          <w:szCs w:val="22"/>
          <w:u w:val="single"/>
          <w:rtl w:val="0"/>
        </w:rPr>
        <w:t xml:space="preserve">en el derecho de acceso a la información pública,</w:t>
      </w:r>
      <w:r w:rsidDel="00000000" w:rsidR="00000000" w:rsidRPr="00000000">
        <w:rPr>
          <w:rFonts w:ascii="Palatino Linotype" w:cs="Palatino Linotype" w:eastAsia="Palatino Linotype" w:hAnsi="Palatino Linotype"/>
          <w:b w:val="1"/>
          <w:bCs w:val="1"/>
          <w:sz w:val="22"/>
          <w:szCs w:val="22"/>
          <w:rtl w:val="0"/>
        </w:rPr>
        <w:t xml:space="preserve"> la pretensión radica en que se permita el acceso a datos y todo tipo de documentación que tenga el carácter de información pública, que sea generada, administrada o se encuentre en posesión de los</w:t>
      </w:r>
      <w:r w:rsidDel="00000000" w:rsidR="00000000" w:rsidRPr="00000000">
        <w:rPr>
          <w:rFonts w:ascii="Palatino Linotype" w:cs="Palatino Linotype" w:eastAsia="Palatino Linotype" w:hAnsi="Palatino Linotype"/>
          <w:sz w:val="22"/>
          <w:szCs w:val="22"/>
          <w:rtl w:val="0"/>
        </w:rPr>
        <w:t xml:space="preserve"> considerados </w:t>
      </w:r>
      <w:r w:rsidDel="00000000" w:rsidR="00000000" w:rsidRPr="00000000">
        <w:rPr>
          <w:rFonts w:ascii="Palatino Linotype" w:cs="Palatino Linotype" w:eastAsia="Palatino Linotype" w:hAnsi="Palatino Linotype"/>
          <w:b w:val="1"/>
          <w:bCs w:val="1"/>
          <w:sz w:val="22"/>
          <w:szCs w:val="22"/>
          <w:rtl w:val="0"/>
        </w:rPr>
        <w:t xml:space="preserve">Sujetos Obligados</w:t>
      </w:r>
      <w:r w:rsidDel="00000000" w:rsidR="00000000" w:rsidRPr="00000000">
        <w:rPr>
          <w:rFonts w:ascii="Palatino Linotype" w:cs="Palatino Linotype" w:eastAsia="Palatino Linotype" w:hAnsi="Palatino Linotype"/>
          <w:sz w:val="22"/>
          <w:szCs w:val="22"/>
          <w:rtl w:val="0"/>
        </w:rPr>
        <w:t xml:space="preserve"> por la Ley de la Materia.</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a lo anterior, se insiste que de la lectura de los requerimientos de información </w:t>
      </w:r>
      <w:r w:rsidDel="00000000" w:rsidR="00000000" w:rsidRPr="00000000">
        <w:rPr>
          <w:rFonts w:ascii="Palatino Linotype" w:cs="Palatino Linotype" w:eastAsia="Palatino Linotype" w:hAnsi="Palatino Linotype"/>
          <w:b w:val="1"/>
          <w:bCs w:val="1"/>
          <w:sz w:val="22"/>
          <w:szCs w:val="22"/>
          <w:u w:val="single"/>
          <w:rtl w:val="0"/>
        </w:rPr>
        <w:t xml:space="preserve">no se advierte que la persona solicitante pretenda el acceso a documentos previamente generados</w:t>
      </w:r>
      <w:r w:rsidDel="00000000" w:rsidR="00000000" w:rsidRPr="00000000">
        <w:rPr>
          <w:rFonts w:ascii="Palatino Linotype" w:cs="Palatino Linotype" w:eastAsia="Palatino Linotype" w:hAnsi="Palatino Linotype"/>
          <w:b w:val="1"/>
          <w:bCs w:val="1"/>
          <w:sz w:val="22"/>
          <w:szCs w:val="22"/>
          <w:rtl w:val="0"/>
        </w:rPr>
        <w:t xml:space="preserve">, s</w:t>
      </w:r>
      <w:r w:rsidDel="00000000" w:rsidR="00000000" w:rsidRPr="00000000">
        <w:rPr>
          <w:rFonts w:ascii="Palatino Linotype" w:cs="Palatino Linotype" w:eastAsia="Palatino Linotype" w:hAnsi="Palatino Linotype"/>
          <w:sz w:val="22"/>
          <w:szCs w:val="22"/>
          <w:rtl w:val="0"/>
        </w:rPr>
        <w:t xml:space="preserve">ino más bien, </w:t>
      </w:r>
      <w:r w:rsidDel="00000000" w:rsidR="00000000" w:rsidRPr="00000000">
        <w:rPr>
          <w:rFonts w:ascii="Palatino Linotype" w:cs="Palatino Linotype" w:eastAsia="Palatino Linotype" w:hAnsi="Palatino Linotype"/>
          <w:b w:val="1"/>
          <w:bCs w:val="1"/>
          <w:sz w:val="22"/>
          <w:szCs w:val="22"/>
          <w:u w:val="single"/>
          <w:rtl w:val="0"/>
        </w:rPr>
        <w:t xml:space="preserve">requiere un pronunciamiento específico por parte del Sujeto Obligado que dé respuesta a las inquietudes que plantea,</w:t>
      </w:r>
      <w:r w:rsidDel="00000000" w:rsidR="00000000" w:rsidRPr="00000000">
        <w:rPr>
          <w:rFonts w:ascii="Palatino Linotype" w:cs="Palatino Linotype" w:eastAsia="Palatino Linotype" w:hAnsi="Palatino Linotype"/>
          <w:sz w:val="22"/>
          <w:szCs w:val="22"/>
          <w:rtl w:val="0"/>
        </w:rPr>
        <w:t xml:space="preserve"> toda vez que </w:t>
      </w:r>
      <w:r w:rsidDel="00000000" w:rsidR="00000000" w:rsidRPr="00000000">
        <w:rPr>
          <w:rFonts w:ascii="Palatino Linotype" w:cs="Palatino Linotype" w:eastAsia="Palatino Linotype" w:hAnsi="Palatino Linotype"/>
          <w:b w:val="1"/>
          <w:bCs w:val="1"/>
          <w:sz w:val="22"/>
          <w:szCs w:val="22"/>
          <w:u w:val="single"/>
          <w:rtl w:val="0"/>
        </w:rPr>
        <w:t xml:space="preserve">lo que cuestiona es la filiación de los servidores públicos referidos en la solicitud</w:t>
      </w:r>
      <w:r w:rsidDel="00000000" w:rsidR="00000000" w:rsidRPr="00000000">
        <w:rPr>
          <w:rFonts w:ascii="Palatino Linotype" w:cs="Palatino Linotype" w:eastAsia="Palatino Linotype" w:hAnsi="Palatino Linotype"/>
          <w:sz w:val="22"/>
          <w:szCs w:val="22"/>
          <w:rtl w:val="0"/>
        </w:rPr>
        <w:t xml:space="preserve">, como lo hace valer en el escrito del recurso de revisión.</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no debe perderse de vista que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Del="00000000" w:rsidR="00000000" w:rsidRPr="00000000">
        <w:rPr>
          <w:rFonts w:ascii="Palatino Linotype" w:cs="Palatino Linotype" w:eastAsia="Palatino Linotype" w:hAnsi="Palatino Linotype"/>
          <w:b w:val="1"/>
          <w:bCs w:val="1"/>
          <w:sz w:val="22"/>
          <w:szCs w:val="22"/>
          <w:u w:val="single"/>
          <w:rtl w:val="0"/>
        </w:rPr>
        <w:t xml:space="preserve">interrogantes, inquietudes, quejas y manifestaciones</w:t>
      </w:r>
      <w:r w:rsidDel="00000000" w:rsidR="00000000" w:rsidRPr="00000000">
        <w:rPr>
          <w:rFonts w:ascii="Palatino Linotype" w:cs="Palatino Linotype" w:eastAsia="Palatino Linotype" w:hAnsi="Palatino Linotype"/>
          <w:sz w:val="22"/>
          <w:szCs w:val="22"/>
          <w:rtl w:val="0"/>
        </w:rPr>
        <w:t xml:space="preserve"> resultan estar encaminadas a ser satisfechas en ejercicio del derecho de petición.</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esencialmente en virtud de que se advierte que las mismas se tratan de aseveraciones que pudieran ser consideradas de carácter subjetivo hechas sin un soporte que las sustente; es decir, el requerimiento de la persona solicitante es tendentes a que la autoridad aclare o actué sobre una inquietud, en consecuencia no es procedente ordenar la entrega de documento alguno, toda vez que no se pretendió el acceso a algún documento previamente generado, sino un pronunciamiento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en aras de satisfacer la solicitud de información, la solicitud se turnó a la Dirección de Recursos Humanos, cuyo objetivo, de conformidad con el Manual de Organización de la Dirección General de Administración del Municipio de Toluca, consiste en planear, implementar, organizar, dirigir y controlar, conforme a las normas aplicables, los sistemas, procesos, procedimientos y mecanismos para la administración y desarrollo de los recursos humanos; regular las condiciones de trabajo que debe cumplir el Ayuntamiento respecto a las obligaciones en materia laboral, fiscal y de seguridad social que se generan en una relación laboral, así como realizar los trámites correspondientes de sueldos y salarios del personal que permita el adecuado funcionamiento de las dependencias de la administración pública municipal.</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el servidor público habilitado </w:t>
      </w:r>
      <w:r w:rsidDel="00000000" w:rsidR="00000000" w:rsidRPr="00000000">
        <w:rPr>
          <w:rFonts w:ascii="Palatino Linotype" w:cs="Palatino Linotype" w:eastAsia="Palatino Linotype" w:hAnsi="Palatino Linotype"/>
          <w:b w:val="1"/>
          <w:bCs w:val="1"/>
          <w:sz w:val="22"/>
          <w:szCs w:val="22"/>
          <w:u w:val="single"/>
          <w:rtl w:val="0"/>
        </w:rPr>
        <w:t xml:space="preserve">manifestó estar imposibilitado para atender la solicitud favorablemente, al no relacionarse con el ejercicio del Derecho de acceso a la información, </w:t>
      </w:r>
      <w:r w:rsidDel="00000000" w:rsidR="00000000" w:rsidRPr="00000000">
        <w:rPr>
          <w:rFonts w:ascii="Palatino Linotype" w:cs="Palatino Linotype" w:eastAsia="Palatino Linotype" w:hAnsi="Palatino Linotype"/>
          <w:sz w:val="22"/>
          <w:szCs w:val="22"/>
          <w:rtl w:val="0"/>
        </w:rPr>
        <w:t xml:space="preserve">sino de cuestionamientos o manifestaciones que no pueden atenderse mediante dicha vía, ya que </w:t>
      </w:r>
      <w:r w:rsidDel="00000000" w:rsidR="00000000" w:rsidRPr="00000000">
        <w:rPr>
          <w:rFonts w:ascii="Palatino Linotype" w:cs="Palatino Linotype" w:eastAsia="Palatino Linotype" w:hAnsi="Palatino Linotype"/>
          <w:b w:val="1"/>
          <w:bCs w:val="1"/>
          <w:sz w:val="22"/>
          <w:szCs w:val="22"/>
          <w:u w:val="single"/>
          <w:rtl w:val="0"/>
        </w:rPr>
        <w:t xml:space="preserve">al no obrar en un documento generado en ejercicio de las atribuciones que se le confieren al Sujeto Obligado, implicaría elaborar un documento ad hoc,</w:t>
      </w:r>
      <w:r w:rsidDel="00000000" w:rsidR="00000000" w:rsidRPr="00000000">
        <w:rPr>
          <w:rFonts w:ascii="Palatino Linotype" w:cs="Palatino Linotype" w:eastAsia="Palatino Linotype" w:hAnsi="Palatino Linotype"/>
          <w:sz w:val="22"/>
          <w:szCs w:val="22"/>
          <w:rtl w:val="0"/>
        </w:rPr>
        <w:t xml:space="preserve"> lo cual contraviene lo establecido en el artículo 12 de la Ley de Transparencia y Acceso a la Información Pública del Estado de México y Municipios del cual se desprende que los Sujetos Obligados sólo deben proporcionar aquella información que hubieran generado en el ejercicio de sus atribuciones y que obre en sus archivos, lo que a</w:t>
      </w:r>
      <w:r w:rsidDel="00000000" w:rsidR="00000000" w:rsidRPr="00000000">
        <w:rPr>
          <w:rFonts w:ascii="Palatino Linotype" w:cs="Palatino Linotype" w:eastAsia="Palatino Linotype" w:hAnsi="Palatino Linotype"/>
          <w:i w:val="1"/>
          <w:iCs w:val="1"/>
          <w:sz w:val="22"/>
          <w:szCs w:val="22"/>
          <w:rtl w:val="0"/>
        </w:rPr>
        <w:t xml:space="preserve"> contrario sensu</w:t>
      </w:r>
      <w:r w:rsidDel="00000000" w:rsidR="00000000" w:rsidRPr="00000000">
        <w:rPr>
          <w:rFonts w:ascii="Palatino Linotype" w:cs="Palatino Linotype" w:eastAsia="Palatino Linotype" w:hAnsi="Palatino Linotype"/>
          <w:sz w:val="22"/>
          <w:szCs w:val="22"/>
          <w:rtl w:val="0"/>
        </w:rPr>
        <w:t xml:space="preserve"> significa que no se está obligado a proporcionar lo que no obre en sus archivos, y, menos aún, los Sujetos Obligados se encuentran obligados a generar documentos a fin de atender las solicitudes de acceso a la información que les sean formuladas, conforme al interés de las personas solicitantes.</w:t>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IV del artículo 191 del ordenamiento legal en cita, los que se transcriben a continuación, para un mejor entendimiento:</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191</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El recurso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será </w:t>
      </w:r>
      <w:r w:rsidDel="00000000" w:rsidR="00000000" w:rsidRPr="00000000">
        <w:rPr>
          <w:rFonts w:ascii="Palatino Linotype" w:cs="Palatino Linotype" w:eastAsia="Palatino Linotype" w:hAnsi="Palatino Linotype"/>
          <w:i w:val="1"/>
          <w:iCs w:val="1"/>
          <w:sz w:val="22"/>
          <w:szCs w:val="22"/>
          <w:rtl w:val="0"/>
        </w:rPr>
        <w:t xml:space="preserve">desechado por </w:t>
      </w:r>
      <w:r w:rsidDel="00000000" w:rsidR="00000000" w:rsidRPr="00000000">
        <w:rPr>
          <w:rFonts w:ascii="Palatino Linotype" w:cs="Palatino Linotype" w:eastAsia="Palatino Linotype" w:hAnsi="Palatino Linotype"/>
          <w:b w:val="1"/>
          <w:bCs w:val="1"/>
          <w:i w:val="1"/>
          <w:iCs w:val="1"/>
          <w:sz w:val="22"/>
          <w:szCs w:val="22"/>
          <w:rtl w:val="0"/>
        </w:rPr>
        <w:t xml:space="preserve">improcedente cuando</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9">
      <w:pPr>
        <w:tabs>
          <w:tab w:val="left" w:leader="none" w:pos="7088"/>
        </w:tabs>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 Se trate de una consulta</w:t>
      </w:r>
      <w:r w:rsidDel="00000000" w:rsidR="00000000" w:rsidRPr="00000000">
        <w:rPr>
          <w:rFonts w:ascii="Palatino Linotype" w:cs="Palatino Linotype" w:eastAsia="Palatino Linotype" w:hAnsi="Palatino Linotype"/>
          <w:i w:val="1"/>
          <w:iCs w:val="1"/>
          <w:sz w:val="22"/>
          <w:szCs w:val="22"/>
          <w:rtl w:val="0"/>
        </w:rPr>
        <w:t xml:space="preserve">, o trámite en específico</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192.</w:t>
      </w:r>
      <w:r w:rsidDel="00000000" w:rsidR="00000000" w:rsidRPr="00000000">
        <w:rPr>
          <w:rFonts w:ascii="Palatino Linotype" w:cs="Palatino Linotype" w:eastAsia="Palatino Linotype" w:hAnsi="Palatino Linotype"/>
          <w:i w:val="1"/>
          <w:iCs w:val="1"/>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Admitido el recurso de revisión, </w:t>
      </w:r>
      <w:r w:rsidDel="00000000" w:rsidR="00000000" w:rsidRPr="00000000">
        <w:rPr>
          <w:rFonts w:ascii="Palatino Linotype" w:cs="Palatino Linotype" w:eastAsia="Palatino Linotype" w:hAnsi="Palatino Linotype"/>
          <w:b w:val="1"/>
          <w:bCs w:val="1"/>
          <w:i w:val="1"/>
          <w:iCs w:val="1"/>
          <w:sz w:val="22"/>
          <w:szCs w:val="22"/>
          <w:rtl w:val="0"/>
        </w:rPr>
        <w:t xml:space="preserve">aparezca alguna causal de improcedencia</w:t>
      </w:r>
      <w:r w:rsidDel="00000000" w:rsidR="00000000" w:rsidRPr="00000000">
        <w:rPr>
          <w:rFonts w:ascii="Palatino Linotype" w:cs="Palatino Linotype" w:eastAsia="Palatino Linotype" w:hAnsi="Palatino Linotype"/>
          <w:i w:val="1"/>
          <w:iCs w:val="1"/>
          <w:sz w:val="22"/>
          <w:szCs w:val="22"/>
          <w:rtl w:val="0"/>
        </w:rPr>
        <w:t xml:space="preserve"> en los términos de la presente Ley. “</w:t>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i w:val="1"/>
          <w:iCs w:val="1"/>
          <w:sz w:val="22"/>
          <w:szCs w:val="22"/>
          <w:rtl w:val="0"/>
        </w:rPr>
        <w:t xml:space="preserve">sobreseimiento</w:t>
      </w:r>
      <w:r w:rsidDel="00000000" w:rsidR="00000000" w:rsidRPr="00000000">
        <w:rPr>
          <w:rFonts w:ascii="Palatino Linotype" w:cs="Palatino Linotype" w:eastAsia="Palatino Linotype" w:hAnsi="Palatino Linotype"/>
          <w:sz w:val="22"/>
          <w:szCs w:val="22"/>
          <w:rtl w:val="0"/>
        </w:rPr>
        <w:t xml:space="preserve"> es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B0">
      <w:pPr>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1">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SOBRESEIMIENTO, NO PERMITE ENTRAR AL ESTUDIO DE LAS CUESTIONES DE FONDO</w:t>
      </w:r>
    </w:p>
    <w:p w:rsidR="00000000" w:rsidDel="00000000" w:rsidP="00000000" w:rsidRDefault="00000000" w:rsidRPr="00000000" w14:paraId="000000B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B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B6">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B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“DESECHAMIENTO O SOBRESEIMIENTO EN EL JUICIO DE AMPARO. NO IMPLICA DENEGACIÓN DE JUSTICIA NI GENERA INSEGURIDAD JURÍDICA” </w:t>
      </w:r>
      <w:r w:rsidDel="00000000" w:rsidR="00000000" w:rsidRPr="00000000">
        <w:rPr>
          <w:rFonts w:ascii="Palatino Linotype" w:cs="Palatino Linotype" w:eastAsia="Palatino Linotype" w:hAnsi="Palatino Linotype"/>
          <w:i w:val="1"/>
          <w:iCs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0B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ese tenor con fundamento en la segunda hipótesis de la fracción I del artículo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bCs w:val="1"/>
          <w:sz w:val="22"/>
          <w:szCs w:val="22"/>
          <w:rtl w:val="0"/>
        </w:rPr>
        <w:t xml:space="preserve">Sobresee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bCs w:val="1"/>
          <w:sz w:val="22"/>
          <w:szCs w:val="22"/>
          <w:rtl w:val="0"/>
        </w:rPr>
        <w:t xml:space="preserve">09674/INFOEM/IP/RR/2025</w:t>
      </w:r>
      <w:r w:rsidDel="00000000" w:rsidR="00000000" w:rsidRPr="00000000">
        <w:rPr>
          <w:rFonts w:ascii="Palatino Linotype" w:cs="Palatino Linotype" w:eastAsia="Palatino Linotype" w:hAnsi="Palatino Linotype"/>
          <w:sz w:val="22"/>
          <w:szCs w:val="22"/>
          <w:rtl w:val="0"/>
        </w:rPr>
        <w:t xml:space="preserve">, que ha sido materia del presente fallo.</w:t>
      </w:r>
    </w:p>
    <w:p w:rsidR="00000000" w:rsidDel="00000000" w:rsidP="00000000" w:rsidRDefault="00000000" w:rsidRPr="00000000" w14:paraId="000000B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0BE">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bCs w:val="1"/>
          <w:sz w:val="22"/>
          <w:szCs w:val="22"/>
          <w:rtl w:val="0"/>
        </w:rPr>
        <w:t xml:space="preserve"> Sobresee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bCs w:val="1"/>
          <w:sz w:val="22"/>
          <w:szCs w:val="22"/>
          <w:rtl w:val="0"/>
        </w:rPr>
        <w:t xml:space="preserve">09674/INFOEM/IP/RR/2025, </w:t>
      </w:r>
      <w:r w:rsidDel="00000000" w:rsidR="00000000" w:rsidRPr="00000000">
        <w:rPr>
          <w:rFonts w:ascii="Palatino Linotype" w:cs="Palatino Linotype" w:eastAsia="Palatino Linotype" w:hAnsi="Palatino Linotype"/>
          <w:sz w:val="22"/>
          <w:szCs w:val="22"/>
          <w:rtl w:val="0"/>
        </w:rPr>
        <w:t xml:space="preserve">porque una vez admitido se actualizó la causal de improcedencia prevista en artículo 192, fracción IV, en relación con el artículo 191, fracción VI, ambos de la Ley de Transparencia y Acceso a la Información Pública del Estado de México y Municipios, que lo dejó sin materia en términos del considerando </w:t>
      </w:r>
      <w:r w:rsidDel="00000000" w:rsidR="00000000" w:rsidRPr="00000000">
        <w:rPr>
          <w:rFonts w:ascii="Palatino Linotype" w:cs="Palatino Linotype" w:eastAsia="Palatino Linotype" w:hAnsi="Palatino Linotype"/>
          <w:b w:val="1"/>
          <w:bCs w:val="1"/>
          <w:sz w:val="22"/>
          <w:szCs w:val="22"/>
          <w:rtl w:val="0"/>
        </w:rPr>
        <w:t xml:space="preserve">Tercero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la presente resolución a la persona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su conocimiento. </w:t>
      </w:r>
    </w:p>
    <w:p w:rsidR="00000000" w:rsidDel="00000000" w:rsidP="00000000" w:rsidRDefault="00000000" w:rsidRPr="00000000" w14:paraId="000000C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TERCERA SESIÓN ORDINARIA CELEBRADA EL VEINTIOCHO DE ENERO DE DOS MIL VEINTISÉIS, ANTE EL SECRETARIO TÉCNICO DEL PLENO ALEXIS TAPIA RAMÍREZ.</w:t>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bookmarkStart w:colFirst="0" w:colLast="0" w:name="_heading=h.1fob9te" w:id="7"/>
      <w:bookmarkEnd w:id="7"/>
      <w:r w:rsidDel="00000000" w:rsidR="00000000" w:rsidRPr="00000000">
        <w:rPr>
          <w:rtl w:val="0"/>
        </w:rPr>
      </w:r>
    </w:p>
    <w:p w:rsidR="00000000" w:rsidDel="00000000" w:rsidP="00000000" w:rsidRDefault="00000000" w:rsidRPr="00000000" w14:paraId="000000C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bookmarkStart w:colFirst="0" w:colLast="0" w:name="_heading=h.3rdcrjn" w:id="8"/>
      <w:bookmarkEnd w:id="8"/>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bookmarkStart w:colFirst="0" w:colLast="0" w:name="_heading=h.1t3h5sf" w:id="9"/>
      <w:bookmarkEnd w:id="9"/>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E">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CIENFUEGOS SALGADO David. El Derecho de Petición en México. Ed. Instituto de Investigaciones Jurídica UNAM. México 2004. p. 31</w:t>
      </w:r>
    </w:p>
  </w:footnote>
  <w:footnote w:id="1">
    <w:p w:rsidR="00000000" w:rsidDel="00000000" w:rsidP="00000000" w:rsidRDefault="00000000" w:rsidRPr="00000000" w14:paraId="000000DF">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Carbonell, M. (2004). Los Derechos Fundamentales (Primera Edición ed.), México: Instituto de investigaciones Jurídicas.</w:t>
      </w:r>
    </w:p>
  </w:footnote>
  <w:footnote w:id="2">
    <w:p w:rsidR="00000000" w:rsidDel="00000000" w:rsidP="00000000" w:rsidRDefault="00000000" w:rsidRPr="00000000" w14:paraId="000000E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VILLANUEVA VILLANUEVA Ernesto, Derecho de la Información, Ed, Porrúa S.A., México. 2006, pág.270.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-1080106</wp:posOffset>
          </wp:positionH>
          <wp:positionV relativeFrom="paragraph">
            <wp:posOffset>-488282</wp:posOffset>
          </wp:positionV>
          <wp:extent cx="7809865" cy="10165715"/>
          <wp:effectExtent b="0" l="0" r="0" t="0"/>
          <wp:wrapNone/>
          <wp:docPr id="164391917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E2">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shd w:fill="auto" w:val="clear"/>
          <w:vAlign w:val="center"/>
        </w:tcPr>
        <w:p w:rsidR="00000000" w:rsidDel="00000000" w:rsidP="00000000" w:rsidRDefault="00000000" w:rsidRPr="00000000" w14:paraId="000000E3">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09674/INFOEM/IP/RR/2025</w:t>
          </w:r>
        </w:p>
      </w:tc>
    </w:tr>
    <w:tr>
      <w:trPr>
        <w:cantSplit w:val="0"/>
        <w:trHeight w:val="228" w:hRule="atLeast"/>
        <w:tblHeader w:val="0"/>
      </w:trPr>
      <w:tc>
        <w:tcPr>
          <w:shd w:fill="auto" w:val="clear"/>
          <w:vAlign w:val="center"/>
        </w:tcPr>
        <w:p w:rsidR="00000000" w:rsidDel="00000000" w:rsidP="00000000" w:rsidRDefault="00000000" w:rsidRPr="00000000" w14:paraId="000000E4">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shd w:fill="auto" w:val="clear"/>
          <w:vAlign w:val="center"/>
        </w:tcPr>
        <w:p w:rsidR="00000000" w:rsidDel="00000000" w:rsidP="00000000" w:rsidRDefault="00000000" w:rsidRPr="00000000" w14:paraId="000000E5">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0E6">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shd w:fill="auto" w:val="clear"/>
          <w:vAlign w:val="center"/>
        </w:tcPr>
        <w:p w:rsidR="00000000" w:rsidDel="00000000" w:rsidP="00000000" w:rsidRDefault="00000000" w:rsidRPr="00000000" w14:paraId="000000E7">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E8">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-283844</wp:posOffset>
          </wp:positionV>
          <wp:extent cx="7809865" cy="10165715"/>
          <wp:effectExtent b="0" l="0" r="0" t="0"/>
          <wp:wrapNone/>
          <wp:docPr id="164391917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EA">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shd w:fill="auto" w:val="clear"/>
          <w:vAlign w:val="center"/>
        </w:tcPr>
        <w:p w:rsidR="00000000" w:rsidDel="00000000" w:rsidP="00000000" w:rsidRDefault="00000000" w:rsidRPr="00000000" w14:paraId="000000EB">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09674/INFOEM/IP/RR/2025</w:t>
          </w:r>
        </w:p>
      </w:tc>
    </w:tr>
    <w:tr>
      <w:trPr>
        <w:cantSplit w:val="0"/>
        <w:tblHeader w:val="0"/>
      </w:trPr>
      <w:tc>
        <w:tcPr>
          <w:shd w:fill="auto" w:val="clear"/>
        </w:tcPr>
        <w:p w:rsidR="00000000" w:rsidDel="00000000" w:rsidP="00000000" w:rsidRDefault="00000000" w:rsidRPr="00000000" w14:paraId="000000EC">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shd w:fill="auto" w:val="clear"/>
          <w:vAlign w:val="center"/>
        </w:tcPr>
        <w:p w:rsidR="00000000" w:rsidDel="00000000" w:rsidP="00000000" w:rsidRDefault="00000000" w:rsidRPr="00000000" w14:paraId="000000ED">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XXXXXX XXXX XXXXXXX </w:t>
          </w:r>
        </w:p>
      </w:tc>
    </w:tr>
    <w:tr>
      <w:trPr>
        <w:cantSplit w:val="0"/>
        <w:trHeight w:val="228" w:hRule="atLeast"/>
        <w:tblHeader w:val="0"/>
      </w:trPr>
      <w:tc>
        <w:tcPr>
          <w:shd w:fill="auto" w:val="clear"/>
          <w:vAlign w:val="center"/>
        </w:tcPr>
        <w:p w:rsidR="00000000" w:rsidDel="00000000" w:rsidP="00000000" w:rsidRDefault="00000000" w:rsidRPr="00000000" w14:paraId="000000EE">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shd w:fill="auto" w:val="clear"/>
          <w:vAlign w:val="center"/>
        </w:tcPr>
        <w:p w:rsidR="00000000" w:rsidDel="00000000" w:rsidP="00000000" w:rsidRDefault="00000000" w:rsidRPr="00000000" w14:paraId="000000EF">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0F0">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shd w:fill="auto" w:val="clear"/>
          <w:vAlign w:val="center"/>
        </w:tcPr>
        <w:p w:rsidR="00000000" w:rsidDel="00000000" w:rsidP="00000000" w:rsidRDefault="00000000" w:rsidRPr="00000000" w14:paraId="000000F1">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F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927" w:hanging="360"/>
      </w:pPr>
      <w:rPr>
        <w:b w:val="1"/>
        <w:bCs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5"/>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paragraph" w:styleId="Sinespaciado">
    <w:name w:val="No Spacing"/>
    <w:aliases w:val="Francesa"/>
    <w:link w:val="SinespaciadoCar"/>
    <w:uiPriority w:val="1"/>
    <w:qFormat w:val="1"/>
    <w:rsid w:val="00CB152B"/>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CB152B"/>
    <w:rPr>
      <w:rFonts w:asciiTheme="minorHAnsi" w:cstheme="minorBidi" w:eastAsiaTheme="minorHAnsi" w:hAnsiTheme="minorHAnsi"/>
      <w:sz w:val="22"/>
      <w:szCs w:val="22"/>
      <w:lang w:eastAsia="en-US"/>
    </w:rPr>
  </w:style>
  <w:style w:type="paragraph" w:styleId="Citas" w:customStyle="1">
    <w:name w:val="Citas"/>
    <w:basedOn w:val="Normal"/>
    <w:qFormat w:val="1"/>
    <w:rsid w:val="006A4CB6"/>
    <w:pPr>
      <w:spacing w:after="160" w:before="240" w:line="360" w:lineRule="auto"/>
      <w:ind w:left="851" w:right="851"/>
      <w:jc w:val="both"/>
    </w:pPr>
    <w:rPr>
      <w:rFonts w:ascii="Palatino Linotype" w:cs="Arial" w:hAnsi="Palatino Linotype" w:eastAsiaTheme="minorHAnsi"/>
      <w:i w:val="1"/>
      <w:sz w:val="22"/>
      <w:szCs w:val="22"/>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Qqfoj95B1dxMKg6e3C/MULg7Pw==">CgMxLjAyDmguNGh3dXBvNzN2OWxlMg5oLmJxZzhxMHYyNjNxdTIJaC4zZHk2dmttMgloLjMwajB6bGwyCWguMnM4ZXlvMTIIaC50eWpjd3QyCWguM3pueXNoNzIJaC4xZm9iOXRlMgloLjNyZGNyam4yCWguMXQzaDVzZjgAciExSW4xX2p3VFBEeG9SN29LTTZMSTZLVWJYQ1VNZFlMZDg=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2026-03-23T17:57:00Z</dcterms:created>
  <dc:creator>USUARIO</dc:creator>
</cp:coreProperties>
</file>