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557" w:rsidRDefault="00767B3E">
      <w:pPr>
        <w:tabs>
          <w:tab w:val="left" w:pos="3465"/>
        </w:tabs>
        <w:spacing w:line="360" w:lineRule="auto"/>
        <w:ind w:right="-1071"/>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w:t>
      </w:r>
      <w:r>
        <w:rPr>
          <w:rFonts w:ascii="Palatino Linotype" w:eastAsia="Palatino Linotype" w:hAnsi="Palatino Linotype" w:cs="Palatino Linotype"/>
        </w:rPr>
        <w:t xml:space="preserve"> fecha</w:t>
      </w:r>
      <w:r w:rsidR="00095581">
        <w:rPr>
          <w:rFonts w:ascii="Palatino Linotype" w:eastAsia="Palatino Linotype" w:hAnsi="Palatino Linotype" w:cs="Palatino Linotype"/>
          <w:b/>
          <w:bCs/>
          <w:color w:val="000000"/>
        </w:rPr>
        <w:t xml:space="preserve"> veinticinco </w:t>
      </w:r>
      <w:r w:rsidR="000E7D8B">
        <w:rPr>
          <w:rFonts w:ascii="Palatino Linotype" w:eastAsia="Palatino Linotype" w:hAnsi="Palatino Linotype" w:cs="Palatino Linotype"/>
          <w:b/>
          <w:bCs/>
          <w:color w:val="000000"/>
        </w:rPr>
        <w:t xml:space="preserve">(25) </w:t>
      </w:r>
      <w:r>
        <w:rPr>
          <w:rFonts w:ascii="Palatino Linotype" w:eastAsia="Palatino Linotype" w:hAnsi="Palatino Linotype" w:cs="Palatino Linotype"/>
          <w:b/>
          <w:bCs/>
          <w:color w:val="000000"/>
        </w:rPr>
        <w:t>de junio de dos mil veintiséis.</w:t>
      </w:r>
    </w:p>
    <w:p w:rsidR="00296557" w:rsidRDefault="00296557">
      <w:pPr>
        <w:tabs>
          <w:tab w:val="left" w:pos="3465"/>
        </w:tabs>
        <w:spacing w:line="360" w:lineRule="auto"/>
        <w:ind w:right="-1071"/>
        <w:jc w:val="both"/>
        <w:rPr>
          <w:rFonts w:ascii="Palatino Linotype" w:eastAsia="Palatino Linotype" w:hAnsi="Palatino Linotype" w:cs="Palatino Linotype"/>
          <w:color w:val="000000"/>
        </w:rPr>
      </w:pPr>
    </w:p>
    <w:p w:rsidR="00296557" w:rsidRDefault="00767B3E">
      <w:pPr>
        <w:spacing w:line="360" w:lineRule="auto"/>
        <w:ind w:right="-1071"/>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VISTO</w:t>
      </w:r>
      <w:r>
        <w:rPr>
          <w:rFonts w:ascii="Palatino Linotype" w:eastAsia="Palatino Linotype" w:hAnsi="Palatino Linotype" w:cs="Palatino Linotype"/>
          <w:color w:val="000000"/>
        </w:rPr>
        <w:t xml:space="preserve"> el expediente formado con motivo del recurso de revisión </w:t>
      </w:r>
      <w:r>
        <w:rPr>
          <w:rFonts w:ascii="Palatino Linotype" w:eastAsia="Palatino Linotype" w:hAnsi="Palatino Linotype" w:cs="Palatino Linotype"/>
          <w:b/>
          <w:bCs/>
          <w:color w:val="000000"/>
        </w:rPr>
        <w:t xml:space="preserve">02958/INFOEM/IP/RR/2026 </w:t>
      </w:r>
      <w:r>
        <w:rPr>
          <w:rFonts w:ascii="Palatino Linotype" w:eastAsia="Palatino Linotype" w:hAnsi="Palatino Linotype" w:cs="Palatino Linotype"/>
          <w:color w:val="000000"/>
        </w:rPr>
        <w:t xml:space="preserve">interpuesto por </w:t>
      </w:r>
      <w:r w:rsidR="00455BDF">
        <w:rPr>
          <w:rFonts w:ascii="Palatino Linotype" w:eastAsia="Palatino Linotype" w:hAnsi="Palatino Linotype" w:cs="Palatino Linotype"/>
          <w:b/>
          <w:bCs/>
          <w:color w:val="000000"/>
        </w:rPr>
        <w:t>XXXX</w:t>
      </w:r>
      <w:r>
        <w:rPr>
          <w:rFonts w:ascii="Palatino Linotype" w:eastAsia="Palatino Linotype" w:hAnsi="Palatino Linotype" w:cs="Palatino Linotype"/>
          <w:color w:val="000000"/>
        </w:rPr>
        <w:t xml:space="preserve">, en lo sucesivo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en contra de la respuesta </w:t>
      </w:r>
      <w:r>
        <w:rPr>
          <w:rFonts w:ascii="Palatino Linotype" w:eastAsia="Palatino Linotype" w:hAnsi="Palatino Linotype" w:cs="Palatino Linotype"/>
        </w:rPr>
        <w:t xml:space="preserve">otorgada a la solicitud de información </w:t>
      </w:r>
      <w:r>
        <w:rPr>
          <w:rFonts w:ascii="Palatino Linotype" w:eastAsia="Palatino Linotype" w:hAnsi="Palatino Linotype" w:cs="Palatino Linotype"/>
          <w:b/>
          <w:bCs/>
        </w:rPr>
        <w:t xml:space="preserve">00104/PJUDICI/IP/2026 </w:t>
      </w:r>
      <w:r>
        <w:rPr>
          <w:rFonts w:ascii="Palatino Linotype" w:eastAsia="Palatino Linotype" w:hAnsi="Palatino Linotype" w:cs="Palatino Linotype"/>
        </w:rPr>
        <w:t>del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Poder Judicial</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bCs/>
          <w:color w:val="000000"/>
        </w:rPr>
        <w:t xml:space="preserve"> SUJETO OBLIGADO</w:t>
      </w:r>
      <w:r>
        <w:rPr>
          <w:rFonts w:ascii="Palatino Linotype" w:eastAsia="Palatino Linotype" w:hAnsi="Palatino Linotype" w:cs="Palatino Linotype"/>
          <w:color w:val="000000"/>
        </w:rPr>
        <w:t>, se procede a dictar la presente resolución, con base en los siguientes:</w:t>
      </w:r>
    </w:p>
    <w:p w:rsidR="00296557" w:rsidRDefault="00296557">
      <w:pPr>
        <w:spacing w:line="360" w:lineRule="auto"/>
        <w:ind w:right="-1071"/>
        <w:jc w:val="both"/>
        <w:rPr>
          <w:rFonts w:ascii="Palatino Linotype" w:eastAsia="Palatino Linotype" w:hAnsi="Palatino Linotype" w:cs="Palatino Linotype"/>
          <w:b/>
          <w:bCs/>
          <w:color w:val="000000"/>
        </w:rPr>
      </w:pPr>
      <w:bookmarkStart w:id="0" w:name="_GoBack"/>
      <w:bookmarkEnd w:id="0"/>
    </w:p>
    <w:p w:rsidR="00296557" w:rsidRDefault="00767B3E">
      <w:pPr>
        <w:pStyle w:val="Ttulo1"/>
        <w:spacing w:before="0" w:line="360" w:lineRule="auto"/>
        <w:ind w:right="-1071"/>
        <w:jc w:val="center"/>
        <w:rPr>
          <w:b/>
          <w:bCs/>
          <w:color w:val="000000"/>
        </w:rPr>
      </w:pPr>
      <w:bookmarkStart w:id="1" w:name="_heading=h.baflmkq9ge1f" w:colFirst="0" w:colLast="0"/>
      <w:bookmarkEnd w:id="1"/>
      <w:r>
        <w:rPr>
          <w:b/>
          <w:bCs/>
          <w:color w:val="000000"/>
        </w:rPr>
        <w:t>A N T E C E D E N T E S</w:t>
      </w:r>
    </w:p>
    <w:p w:rsidR="00296557" w:rsidRDefault="00296557">
      <w:pPr>
        <w:pBdr>
          <w:top w:val="nil"/>
          <w:left w:val="nil"/>
          <w:bottom w:val="nil"/>
          <w:right w:val="nil"/>
          <w:between w:val="nil"/>
        </w:pBdr>
        <w:tabs>
          <w:tab w:val="left" w:pos="426"/>
        </w:tabs>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once de febrero de dos mil veintiséis</w:t>
      </w:r>
      <w:r>
        <w:rPr>
          <w:rFonts w:ascii="Palatino Linotype" w:eastAsia="Palatino Linotype" w:hAnsi="Palatino Linotype" w:cs="Palatino Linotype"/>
          <w:color w:val="000000"/>
        </w:rPr>
        <w:t xml:space="preserve">, el Recurrente presentó ante el Sujeto Obligado vía Sistema de Acceso a la Información Mexiquense, en adelante SAIMEX, la siguiente </w:t>
      </w:r>
      <w:r>
        <w:rPr>
          <w:rFonts w:ascii="Palatino Linotype" w:eastAsia="Palatino Linotype" w:hAnsi="Palatino Linotype" w:cs="Palatino Linotype"/>
          <w:b/>
          <w:bCs/>
          <w:color w:val="000000"/>
        </w:rPr>
        <w:t>solicitud de información</w:t>
      </w:r>
      <w:r>
        <w:rPr>
          <w:rFonts w:ascii="Palatino Linotype" w:eastAsia="Palatino Linotype" w:hAnsi="Palatino Linotype" w:cs="Palatino Linotype"/>
          <w:color w:val="000000"/>
        </w:rPr>
        <w:t xml:space="preserve"> pública:</w:t>
      </w:r>
    </w:p>
    <w:p w:rsidR="00296557" w:rsidRDefault="00296557">
      <w:pPr>
        <w:pBdr>
          <w:top w:val="nil"/>
          <w:left w:val="nil"/>
          <w:bottom w:val="nil"/>
          <w:right w:val="nil"/>
          <w:between w:val="nil"/>
        </w:pBdr>
        <w:tabs>
          <w:tab w:val="left" w:pos="426"/>
        </w:tabs>
        <w:spacing w:line="360" w:lineRule="auto"/>
        <w:ind w:right="-1071"/>
        <w:jc w:val="both"/>
        <w:rPr>
          <w:rFonts w:ascii="Palatino Linotype" w:eastAsia="Palatino Linotype" w:hAnsi="Palatino Linotype" w:cs="Palatino Linotype"/>
          <w:color w:val="000000"/>
        </w:rPr>
      </w:pPr>
    </w:p>
    <w:p w:rsidR="00296557" w:rsidRDefault="00767B3E">
      <w:pPr>
        <w:pBdr>
          <w:top w:val="nil"/>
          <w:left w:val="nil"/>
          <w:bottom w:val="nil"/>
          <w:right w:val="nil"/>
          <w:between w:val="nil"/>
        </w:pBdr>
        <w:ind w:left="851" w:right="-1071"/>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 “Respecto de la noticia que ha circulado recientemente, en la cual el Tribunal de Disciplina Judicial del Estado de México determinó la inhabilitación por un periodo de diez años de un Juez de Primera Instancia, solicito atentamente se proporcione la siguiente información: Estatus actual del procedimiento sancionador mediante el cual se determinó la inhabilitación referida. Distrito Judicial y Juzgado al que se encontraba adscrito el Juez de Primera Instancia inhabilitado. Autoridad o persona que asumirá las funciones jurisdiccionales que desempeñaba el servidor público inhabilitado. Procedimiento aplicable para la designación o elección de la persona que sustituirá al juez inhabilitado. Fundamento constitucional y legal que sustenta el procedimiento de sustitución del juez inhabilitado. Listado de las personas que, en su caso, sustituirán o asumirán temporal o definitivamente el cargo del juez inhabilitado.”</w:t>
      </w:r>
      <w:r>
        <w:rPr>
          <w:rFonts w:ascii="Palatino Linotype" w:eastAsia="Palatino Linotype" w:hAnsi="Palatino Linotype" w:cs="Palatino Linotype"/>
          <w:color w:val="000000"/>
        </w:rPr>
        <w:t xml:space="preserve"> (Sic)</w:t>
      </w:r>
    </w:p>
    <w:p w:rsidR="00296557" w:rsidRDefault="00296557">
      <w:pPr>
        <w:pBdr>
          <w:top w:val="nil"/>
          <w:left w:val="nil"/>
          <w:bottom w:val="nil"/>
          <w:right w:val="nil"/>
          <w:between w:val="nil"/>
        </w:pBdr>
        <w:ind w:right="-1071"/>
        <w:jc w:val="both"/>
        <w:rPr>
          <w:rFonts w:ascii="Palatino Linotype" w:eastAsia="Palatino Linotype" w:hAnsi="Palatino Linotype" w:cs="Palatino Linotype"/>
          <w:i/>
          <w:iCs/>
          <w:color w:val="000000"/>
        </w:rPr>
      </w:pPr>
    </w:p>
    <w:p w:rsidR="000E7D8B" w:rsidRDefault="000E7D8B">
      <w:pPr>
        <w:pBdr>
          <w:top w:val="nil"/>
          <w:left w:val="nil"/>
          <w:bottom w:val="nil"/>
          <w:right w:val="nil"/>
          <w:between w:val="nil"/>
        </w:pBdr>
        <w:ind w:right="-1071"/>
        <w:jc w:val="both"/>
        <w:rPr>
          <w:rFonts w:ascii="Palatino Linotype" w:eastAsia="Palatino Linotype" w:hAnsi="Palatino Linotype" w:cs="Palatino Linotype"/>
          <w:i/>
          <w:iCs/>
          <w:color w:val="000000"/>
        </w:rPr>
      </w:pPr>
    </w:p>
    <w:p w:rsidR="00296557" w:rsidRDefault="00767B3E">
      <w:pPr>
        <w:numPr>
          <w:ilvl w:val="0"/>
          <w:numId w:val="3"/>
        </w:numPr>
        <w:pBdr>
          <w:top w:val="nil"/>
          <w:left w:val="nil"/>
          <w:bottom w:val="nil"/>
          <w:right w:val="nil"/>
          <w:between w:val="nil"/>
        </w:pBdr>
        <w:tabs>
          <w:tab w:val="left" w:pos="0"/>
        </w:tabs>
        <w:spacing w:line="360" w:lineRule="auto"/>
        <w:ind w:left="709"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296557" w:rsidRDefault="00296557">
      <w:pPr>
        <w:ind w:right="-1071"/>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tres de marzo de dos mil veintiséis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bCs/>
          <w:color w:val="000000"/>
        </w:rPr>
        <w:t>respuesta</w:t>
      </w:r>
      <w:r>
        <w:rPr>
          <w:rFonts w:ascii="Palatino Linotype" w:eastAsia="Palatino Linotype" w:hAnsi="Palatino Linotype" w:cs="Palatino Linotype"/>
          <w:color w:val="000000"/>
        </w:rPr>
        <w:t xml:space="preserve"> adjuntando el archivo digital siguiente:</w:t>
      </w:r>
    </w:p>
    <w:p w:rsidR="00296557" w:rsidRDefault="00767B3E">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RESPUESTA 00104-2026.pdf</w:t>
      </w:r>
    </w:p>
    <w:p w:rsidR="00296557" w:rsidRDefault="00767B3E">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Documento suscrito por el Titular de la Unidad de Transparencia a través del cual refirió:</w:t>
      </w:r>
    </w:p>
    <w:p w:rsidR="00296557" w:rsidRDefault="00296557">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color w:val="000000"/>
        </w:rPr>
      </w:pPr>
    </w:p>
    <w:p w:rsidR="00296557" w:rsidRDefault="00767B3E">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conforme a la respuesta proporcionada por la Dra. Astrid Lorena Avilez Villena, Secretaria de Acuerdos del Tribunal de Disciplina Judicial, se da atención a lo requerido en los términos siguientes:</w:t>
      </w:r>
    </w:p>
    <w:p w:rsidR="00296557" w:rsidRDefault="00296557">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284"/>
          <w:tab w:val="left" w:pos="426"/>
        </w:tabs>
        <w:ind w:left="720"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 La resolución de fecha veintitrés de enero de dos mil veintiséis, del Tribunal de Disciplina Judicial del Poder Judicial del Estado de México, Procedimiento de Responsabilidad Administrativa, aún se encuentra en trámite, por lo cual el Comité de Transparencia y Justicia Abierta del Poder Judicial del Estado de México, mediante Sesión Ordinaria 02/2026, aprobó la reserva de la información requerida por un periodo de un año y medio, en tanto quede firme, la cual puede consultar en el siguiente link </w:t>
      </w:r>
      <w:hyperlink r:id="rId8">
        <w:r>
          <w:rPr>
            <w:rFonts w:ascii="Palatino Linotype" w:eastAsia="Palatino Linotype" w:hAnsi="Palatino Linotype" w:cs="Palatino Linotype"/>
            <w:i/>
            <w:iCs/>
            <w:color w:val="0000FF"/>
            <w:u w:val="single"/>
          </w:rPr>
          <w:t>https://www.pjedomex.gob.mx/transparencia/8_actas_comite</w:t>
        </w:r>
      </w:hyperlink>
      <w:r>
        <w:rPr>
          <w:rFonts w:ascii="Palatino Linotype" w:eastAsia="Palatino Linotype" w:hAnsi="Palatino Linotype" w:cs="Palatino Linotype"/>
          <w:i/>
          <w:iCs/>
          <w:color w:val="000000"/>
        </w:rPr>
        <w:t xml:space="preserve"> “ (Sic)</w:t>
      </w:r>
    </w:p>
    <w:p w:rsidR="00296557" w:rsidRDefault="00296557">
      <w:pPr>
        <w:pBdr>
          <w:top w:val="nil"/>
          <w:left w:val="nil"/>
          <w:bottom w:val="nil"/>
          <w:right w:val="nil"/>
          <w:between w:val="nil"/>
        </w:pBdr>
        <w:tabs>
          <w:tab w:val="left" w:pos="284"/>
          <w:tab w:val="left" w:pos="426"/>
        </w:tabs>
        <w:ind w:right="-1071"/>
        <w:jc w:val="both"/>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cuatro de marzo de dos mil veintiséis</w:t>
      </w:r>
      <w:r>
        <w:rPr>
          <w:rFonts w:ascii="Palatino Linotype" w:eastAsia="Palatino Linotype" w:hAnsi="Palatino Linotype" w:cs="Palatino Linotype"/>
          <w:color w:val="000000"/>
        </w:rPr>
        <w:t xml:space="preserve">, el particular interpuso </w:t>
      </w:r>
      <w:r>
        <w:rPr>
          <w:rFonts w:ascii="Palatino Linotype" w:eastAsia="Palatino Linotype" w:hAnsi="Palatino Linotype" w:cs="Palatino Linotype"/>
          <w:b/>
          <w:bCs/>
          <w:color w:val="000000"/>
        </w:rPr>
        <w:t>recurso de revisión</w:t>
      </w:r>
      <w:r>
        <w:rPr>
          <w:rFonts w:ascii="Palatino Linotype" w:eastAsia="Palatino Linotype" w:hAnsi="Palatino Linotype" w:cs="Palatino Linotype"/>
          <w:color w:val="000000"/>
        </w:rPr>
        <w:t xml:space="preserve"> al que se le asignó el folio </w:t>
      </w:r>
      <w:r>
        <w:rPr>
          <w:rFonts w:ascii="Palatino Linotype" w:eastAsia="Palatino Linotype" w:hAnsi="Palatino Linotype" w:cs="Palatino Linotype"/>
          <w:b/>
          <w:bCs/>
          <w:color w:val="000000"/>
        </w:rPr>
        <w:t xml:space="preserve">02958/INFOEM/IP/RR/2026,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296557" w:rsidRDefault="00296557">
      <w:pPr>
        <w:pBdr>
          <w:top w:val="nil"/>
          <w:left w:val="nil"/>
          <w:bottom w:val="nil"/>
          <w:right w:val="nil"/>
          <w:between w:val="nil"/>
        </w:pBdr>
        <w:tabs>
          <w:tab w:val="left" w:pos="0"/>
        </w:tabs>
        <w:ind w:right="-1071"/>
        <w:jc w:val="both"/>
        <w:rPr>
          <w:rFonts w:ascii="Palatino Linotype" w:eastAsia="Palatino Linotype" w:hAnsi="Palatino Linotype" w:cs="Palatino Linotype"/>
          <w:color w:val="000000"/>
        </w:rPr>
      </w:pPr>
    </w:p>
    <w:p w:rsidR="00296557" w:rsidRDefault="00767B3E">
      <w:pPr>
        <w:numPr>
          <w:ilvl w:val="0"/>
          <w:numId w:val="4"/>
        </w:numPr>
        <w:pBdr>
          <w:top w:val="nil"/>
          <w:left w:val="nil"/>
          <w:bottom w:val="nil"/>
          <w:right w:val="nil"/>
          <w:between w:val="nil"/>
        </w:pBdr>
        <w:ind w:right="-1071"/>
        <w:jc w:val="both"/>
        <w:rPr>
          <w:rFonts w:ascii="Palatino Linotype" w:eastAsia="Palatino Linotype" w:hAnsi="Palatino Linotype" w:cs="Palatino Linotype"/>
          <w:color w:val="000000"/>
        </w:rPr>
      </w:pPr>
      <w:bookmarkStart w:id="2" w:name="_heading=h.1fob9te" w:colFirst="0" w:colLast="0"/>
      <w:bookmarkEnd w:id="2"/>
      <w:r>
        <w:rPr>
          <w:rFonts w:ascii="Palatino Linotype" w:eastAsia="Palatino Linotype" w:hAnsi="Palatino Linotype" w:cs="Palatino Linotype"/>
          <w:b/>
          <w:bCs/>
          <w:color w:val="000000"/>
        </w:rPr>
        <w:t xml:space="preserve">Acto impugnado: </w:t>
      </w:r>
      <w:r>
        <w:rPr>
          <w:rFonts w:ascii="Palatino Linotype" w:eastAsia="Palatino Linotype" w:hAnsi="Palatino Linotype" w:cs="Palatino Linotype"/>
          <w:i/>
          <w:iCs/>
          <w:color w:val="000000"/>
        </w:rPr>
        <w:t>“Respuesta entregada por el Sujeto Obligado” (Sic)</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b/>
          <w:bCs/>
          <w:color w:val="000000"/>
        </w:rPr>
      </w:pPr>
    </w:p>
    <w:p w:rsidR="00296557" w:rsidRDefault="00767B3E">
      <w:pPr>
        <w:numPr>
          <w:ilvl w:val="0"/>
          <w:numId w:val="5"/>
        </w:numPr>
        <w:pBdr>
          <w:top w:val="nil"/>
          <w:left w:val="nil"/>
          <w:bottom w:val="nil"/>
          <w:right w:val="nil"/>
          <w:between w:val="nil"/>
        </w:pBdr>
        <w:ind w:right="-1071"/>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Razones o Motivos de inconformidad: </w:t>
      </w:r>
      <w:r>
        <w:rPr>
          <w:rFonts w:ascii="Palatino Linotype" w:eastAsia="Palatino Linotype" w:hAnsi="Palatino Linotype" w:cs="Palatino Linotype"/>
          <w:i/>
          <w:iCs/>
          <w:color w:val="000000"/>
        </w:rPr>
        <w:t>“No entrega toda la información referente a Autoridad o persona que asumirá las funciones jurisdiccionales que desempeñaba el servidor público inhabilitado. Procedimiento aplicable para la designación o elección de la persona que sustituirá al juez inhabilitado. Fundamento constitucional y legal que sustenta el procedimiento de sustitución del juez inhabilitado. Listado de las personas que, en su caso, sustituirán o asumirán temporal o definitivamente el cargo del juez inhabilitado.” (Sic)</w:t>
      </w:r>
    </w:p>
    <w:p w:rsidR="00296557" w:rsidRDefault="00296557">
      <w:pPr>
        <w:pBdr>
          <w:top w:val="nil"/>
          <w:left w:val="nil"/>
          <w:bottom w:val="nil"/>
          <w:right w:val="nil"/>
          <w:between w:val="nil"/>
        </w:pBdr>
        <w:tabs>
          <w:tab w:val="left" w:pos="426"/>
        </w:tabs>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color w:val="000000"/>
        </w:rPr>
      </w:pPr>
      <w:bookmarkStart w:id="3" w:name="_heading=h.f533cyqfbsa2" w:colFirst="0" w:colLast="0"/>
      <w:bookmarkEnd w:id="3"/>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Pr>
          <w:rFonts w:ascii="Palatino Linotype" w:eastAsia="Palatino Linotype" w:hAnsi="Palatino Linotype" w:cs="Palatino Linotype"/>
          <w:b/>
          <w:bCs/>
          <w:color w:val="000000"/>
        </w:rPr>
        <w:t xml:space="preserve">cinco de marzo de dos </w:t>
      </w:r>
      <w:r>
        <w:rPr>
          <w:rFonts w:ascii="Palatino Linotype" w:eastAsia="Palatino Linotype" w:hAnsi="Palatino Linotype" w:cs="Palatino Linotype"/>
          <w:b/>
          <w:bCs/>
          <w:color w:val="000000"/>
        </w:rPr>
        <w:lastRenderedPageBreak/>
        <w:t xml:space="preserve">mil veintiséis,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presentará</w:t>
      </w:r>
      <w:r>
        <w:rPr>
          <w:rFonts w:ascii="Palatino Linotype" w:eastAsia="Palatino Linotype" w:hAnsi="Palatino Linotype" w:cs="Palatino Linotype"/>
          <w:color w:val="000000"/>
        </w:rPr>
        <w:t xml:space="preserve"> el Informe Justificado procedente.</w:t>
      </w:r>
    </w:p>
    <w:p w:rsidR="00296557" w:rsidRDefault="00296557">
      <w:pPr>
        <w:pBdr>
          <w:top w:val="nil"/>
          <w:left w:val="nil"/>
          <w:bottom w:val="nil"/>
          <w:right w:val="nil"/>
          <w:between w:val="nil"/>
        </w:pBdr>
        <w:tabs>
          <w:tab w:val="left" w:pos="0"/>
        </w:tabs>
        <w:spacing w:line="360" w:lineRule="auto"/>
        <w:ind w:right="-1071"/>
        <w:jc w:val="both"/>
        <w:rPr>
          <w:rFonts w:ascii="Palatino Linotype" w:eastAsia="Palatino Linotype" w:hAnsi="Palatino Linotype" w:cs="Palatino Linotype"/>
          <w:i/>
          <w:iCs/>
          <w:color w:val="000000"/>
          <w:u w:val="single"/>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dejó de realizar manifestaciones que a su derecho conviniera y asistiera. Por su parte, el Sujeto Obligado en fecha </w:t>
      </w:r>
      <w:r>
        <w:rPr>
          <w:rFonts w:ascii="Palatino Linotype" w:eastAsia="Palatino Linotype" w:hAnsi="Palatino Linotype" w:cs="Palatino Linotype"/>
          <w:b/>
          <w:bCs/>
          <w:color w:val="000000"/>
        </w:rPr>
        <w:t>diecisiete de marzo de dos mil veintiséis,</w:t>
      </w:r>
      <w:r>
        <w:rPr>
          <w:b/>
          <w:bCs/>
        </w:rPr>
        <w:t xml:space="preserve"> </w:t>
      </w:r>
      <w:r>
        <w:rPr>
          <w:rFonts w:ascii="Palatino Linotype" w:eastAsia="Palatino Linotype" w:hAnsi="Palatino Linotype" w:cs="Palatino Linotype"/>
          <w:color w:val="000000"/>
        </w:rPr>
        <w:t xml:space="preserve">rindió el </w:t>
      </w:r>
      <w:r>
        <w:rPr>
          <w:rFonts w:ascii="Palatino Linotype" w:eastAsia="Palatino Linotype" w:hAnsi="Palatino Linotype" w:cs="Palatino Linotype"/>
          <w:b/>
          <w:bCs/>
          <w:color w:val="000000"/>
        </w:rPr>
        <w:t>Informe Justificado</w:t>
      </w:r>
      <w:r>
        <w:rPr>
          <w:rFonts w:ascii="Palatino Linotype" w:eastAsia="Palatino Linotype" w:hAnsi="Palatino Linotype" w:cs="Palatino Linotype"/>
          <w:color w:val="000000"/>
        </w:rPr>
        <w:t xml:space="preserve"> a través de los siguientes archivos electrónicos:</w:t>
      </w:r>
    </w:p>
    <w:p w:rsidR="00296557" w:rsidRDefault="00767B3E">
      <w:pPr>
        <w:pBdr>
          <w:top w:val="nil"/>
          <w:left w:val="nil"/>
          <w:bottom w:val="nil"/>
          <w:right w:val="nil"/>
          <w:between w:val="nil"/>
        </w:pBdr>
        <w:ind w:left="567" w:right="-1071"/>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acta ordinaria 02 2026.pdf</w:t>
      </w:r>
    </w:p>
    <w:p w:rsidR="00296557" w:rsidRDefault="00767B3E">
      <w:pPr>
        <w:pBdr>
          <w:top w:val="nil"/>
          <w:left w:val="nil"/>
          <w:bottom w:val="nil"/>
          <w:right w:val="nil"/>
          <w:between w:val="nil"/>
        </w:pBdr>
        <w:ind w:left="567" w:right="-1071"/>
        <w:rPr>
          <w:rFonts w:ascii="Palatino Linotype" w:eastAsia="Palatino Linotype" w:hAnsi="Palatino Linotype" w:cs="Palatino Linotype"/>
          <w:color w:val="000000"/>
        </w:rPr>
      </w:pPr>
      <w:r>
        <w:rPr>
          <w:rFonts w:ascii="Palatino Linotype" w:eastAsia="Palatino Linotype" w:hAnsi="Palatino Linotype" w:cs="Palatino Linotype"/>
          <w:color w:val="000000"/>
        </w:rPr>
        <w:t>Acta de sesión ordinaria 02/2026, del Comité de Transparencia y Justicia Abierta del Poder Judicial del Estado de México, en cuyo punto 5 del orden del día establece lo siguiente:</w:t>
      </w:r>
    </w:p>
    <w:p w:rsidR="00296557" w:rsidRDefault="00296557">
      <w:pPr>
        <w:pBdr>
          <w:top w:val="nil"/>
          <w:left w:val="nil"/>
          <w:bottom w:val="nil"/>
          <w:right w:val="nil"/>
          <w:between w:val="nil"/>
        </w:pBdr>
        <w:ind w:left="567" w:right="-1071"/>
        <w:rPr>
          <w:rFonts w:ascii="Palatino Linotype" w:eastAsia="Palatino Linotype" w:hAnsi="Palatino Linotype" w:cs="Palatino Linotype"/>
          <w:color w:val="000000"/>
        </w:rPr>
      </w:pPr>
    </w:p>
    <w:p w:rsidR="00296557" w:rsidRDefault="00767B3E">
      <w:pPr>
        <w:pBdr>
          <w:top w:val="nil"/>
          <w:left w:val="nil"/>
          <w:bottom w:val="nil"/>
          <w:right w:val="nil"/>
          <w:between w:val="nil"/>
        </w:pBdr>
        <w:ind w:left="567" w:right="-1071"/>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5.- Clasificación de Información para la atención de la Solicitud de Acceso a la Información Pública número 00104/PJUDICI/IP/2026; </w:t>
      </w:r>
    </w:p>
    <w:p w:rsidR="00296557" w:rsidRDefault="00767B3E">
      <w:pPr>
        <w:pBdr>
          <w:top w:val="nil"/>
          <w:left w:val="nil"/>
          <w:bottom w:val="nil"/>
          <w:right w:val="nil"/>
          <w:between w:val="nil"/>
        </w:pBdr>
        <w:ind w:left="567" w:right="-1071"/>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Fecha de recibo: 11 de febrero de 2026 </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Turnada al Titular de la Secretaría General de Acuerdos del Tribunal de Disciplina. Se detectó que </w:t>
      </w:r>
      <w:r>
        <w:rPr>
          <w:rFonts w:ascii="Palatino Linotype" w:eastAsia="Palatino Linotype" w:hAnsi="Palatino Linotype" w:cs="Palatino Linotype"/>
          <w:b/>
          <w:bCs/>
          <w:i/>
          <w:iCs/>
          <w:color w:val="000000"/>
        </w:rPr>
        <w:t>Resolución de fecha veintitrés de enero de dos mil veintiséis, del Tribunal de Disciplina Judicial del Poder Judicial del Estado de México, Procedimiento de Responsabilidad Administrativa, aún no ha causado estado</w:t>
      </w:r>
      <w:r>
        <w:rPr>
          <w:rFonts w:ascii="Palatino Linotype" w:eastAsia="Palatino Linotype" w:hAnsi="Palatino Linotype" w:cs="Palatino Linotype"/>
          <w:i/>
          <w:iCs/>
          <w:color w:val="000000"/>
        </w:rPr>
        <w:t xml:space="preserve">, motivo por el cual considera que </w:t>
      </w:r>
      <w:r>
        <w:rPr>
          <w:rFonts w:ascii="Palatino Linotype" w:eastAsia="Palatino Linotype" w:hAnsi="Palatino Linotype" w:cs="Palatino Linotype"/>
          <w:i/>
          <w:iCs/>
          <w:color w:val="000000"/>
          <w:u w:val="single"/>
        </w:rPr>
        <w:t>encuadra en supuestos de clasificación como información reservada</w:t>
      </w:r>
      <w:r>
        <w:rPr>
          <w:rFonts w:ascii="Palatino Linotype" w:eastAsia="Palatino Linotype" w:hAnsi="Palatino Linotype" w:cs="Palatino Linotype"/>
          <w:i/>
          <w:iCs/>
          <w:color w:val="000000"/>
        </w:rPr>
        <w:t xml:space="preserve">. </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Se acordó su </w:t>
      </w:r>
      <w:r>
        <w:rPr>
          <w:rFonts w:ascii="Palatino Linotype" w:eastAsia="Palatino Linotype" w:hAnsi="Palatino Linotype" w:cs="Palatino Linotype"/>
          <w:b/>
          <w:bCs/>
          <w:i/>
          <w:iCs/>
          <w:color w:val="000000"/>
        </w:rPr>
        <w:t>reserva por un periodo de Un año y medio</w:t>
      </w: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Mediante acuerdo SO/02/2026/04:</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bCs/>
          <w:color w:val="000000"/>
        </w:rPr>
        <w:t>CONFIRMA</w:t>
      </w:r>
      <w:r>
        <w:rPr>
          <w:rFonts w:ascii="Palatino Linotype" w:eastAsia="Palatino Linotype" w:hAnsi="Palatino Linotype" w:cs="Palatino Linotype"/>
          <w:color w:val="000000"/>
        </w:rPr>
        <w:t xml:space="preserve"> por UNANIMIDAD </w:t>
      </w:r>
      <w:r>
        <w:rPr>
          <w:rFonts w:ascii="Palatino Linotype" w:eastAsia="Palatino Linotype" w:hAnsi="Palatino Linotype" w:cs="Palatino Linotype"/>
          <w:b/>
          <w:bCs/>
          <w:color w:val="000000"/>
        </w:rPr>
        <w:t xml:space="preserve">la clasificación de la Resolución de fecha veintitrés de enero de dos mil veintiséis, del Tribunal de Disciplina Judicial del Poder Judicial del Estado de México, Procedimiento de Responsabilidad Administrativa, como información reservada por un periodo de Un año y medio o en tanto quede firme. </w:t>
      </w:r>
    </w:p>
    <w:p w:rsidR="00296557" w:rsidRDefault="00296557">
      <w:pPr>
        <w:pBdr>
          <w:top w:val="nil"/>
          <w:left w:val="nil"/>
          <w:bottom w:val="nil"/>
          <w:right w:val="nil"/>
          <w:between w:val="nil"/>
        </w:pBdr>
        <w:ind w:left="567" w:right="-1071"/>
        <w:rPr>
          <w:rFonts w:ascii="Palatino Linotype" w:eastAsia="Palatino Linotype" w:hAnsi="Palatino Linotype" w:cs="Palatino Linotype"/>
          <w:b/>
          <w:bCs/>
          <w:color w:val="000000"/>
        </w:rPr>
      </w:pPr>
    </w:p>
    <w:p w:rsidR="00296557" w:rsidRDefault="00767B3E">
      <w:pPr>
        <w:pBdr>
          <w:top w:val="nil"/>
          <w:left w:val="nil"/>
          <w:bottom w:val="nil"/>
          <w:right w:val="nil"/>
          <w:between w:val="nil"/>
        </w:pBdr>
        <w:ind w:left="567" w:right="-1071"/>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INF JUST 2958.pdf</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 suscrito por el Titular de la Unidad de Transparencia, de fecha 17 de marzo de 2026, a través del cual ratifica la clasificación de información como reservada al ser un procedimiento disciplinario en trámite, adicionalmente refiere que conocer la autoridad o persona que asumiría las funciones jurisdiccionales o el listado de posibles sustitutos, </w:t>
      </w:r>
      <w:r>
        <w:rPr>
          <w:rFonts w:ascii="Palatino Linotype" w:eastAsia="Palatino Linotype" w:hAnsi="Palatino Linotype" w:cs="Palatino Linotype"/>
          <w:b/>
          <w:bCs/>
          <w:color w:val="000000"/>
        </w:rPr>
        <w:lastRenderedPageBreak/>
        <w:t>dicha información no puede ser proporcionada en tanto subsista la causal de reserva</w:t>
      </w:r>
      <w:r>
        <w:rPr>
          <w:rFonts w:ascii="Palatino Linotype" w:eastAsia="Palatino Linotype" w:hAnsi="Palatino Linotype" w:cs="Palatino Linotype"/>
          <w:color w:val="000000"/>
        </w:rPr>
        <w:t>, pues hacerlo implicaría revelar indirectamente información contenida en un procedimiento que se encuentra sub judice.</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respecto al Fundamento constitucional y legal que sustenta el procedimiento de sustitución del juez inhabilitado, me permito informar que el fundamento constitucional y legal que sustenta el procedimiento de sustitución de un juez inhabilitado en el Estado de México, se basa en la normativa que rige la carrera judicial, la disciplina y la organización del Poder Judicial local, principalmente a través del Tribunal de Disciplina Judicial y el Órgano de Administración Judicial conforme al artículo 93 de la Constitución Política del Estado Libre y Soberano de México. </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93</w:t>
      </w:r>
      <w:r>
        <w:rPr>
          <w:rFonts w:ascii="Palatino Linotype" w:eastAsia="Palatino Linotype" w:hAnsi="Palatino Linotype" w:cs="Palatino Linotype"/>
          <w:i/>
          <w:iCs/>
          <w:color w:val="000000"/>
        </w:rPr>
        <w:t xml:space="preserve">.- Cuando la falta de una Magistrada o Magistrado del Tribunal Superior de Justicia, del Tribunal de Disciplina Judicial, y Jueza o Juez del Poder Judicial excediere de un mes sin licencia o dicha falta se deba a su defunción, renuncia o cualquier causa de separación definitiva, ocupará la vacante la persona del mismo género que haya obtenido el segundo lugar en número de votos en la elección para ese cargo; en caso de declinación o imposibilidad, seguirá en orden de prelación la persona que haya obtenido mayor votación. La Legislatura o la Diputación Permanente tomará protesta a la persona sustituta para desempeñarse por el periodo que reste al encargo. </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caso de agotarse o no existir candidatura que ocupe la vacante, la Legislatura o la Diputación Permanente designará a quien ejercerá en forma interina las funciones de Magistrada, Magistrado, </w:t>
      </w:r>
      <w:r>
        <w:rPr>
          <w:rFonts w:ascii="Palatino Linotype" w:eastAsia="Palatino Linotype" w:hAnsi="Palatino Linotype" w:cs="Palatino Linotype"/>
          <w:b/>
          <w:bCs/>
          <w:i/>
          <w:iCs/>
          <w:color w:val="000000"/>
        </w:rPr>
        <w:t>Jueza o Juez</w:t>
      </w:r>
      <w:r>
        <w:rPr>
          <w:rFonts w:ascii="Palatino Linotype" w:eastAsia="Palatino Linotype" w:hAnsi="Palatino Linotype" w:cs="Palatino Linotype"/>
          <w:i/>
          <w:iCs/>
          <w:color w:val="000000"/>
        </w:rPr>
        <w:t xml:space="preserve">, de una terna de jueces o secretarios, respectivamente, que proponga el Órgano de Administración Judicial; encargo que ocupará hasta en tanto se celebren nuevas elecciones y tomen protesta las magistraturas o personas juzgadoras electas. Lo mismo acontecerá si por algún motivo no hubiera podido efectuarse la elección, fuese nula o no estuviere hecha y declarada en la fecha señalada por esta Constitución. </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ind w:right="-1071"/>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veinticuatro de abril de dos mil veintiséis</w:t>
      </w:r>
      <w:r>
        <w:rPr>
          <w:rFonts w:ascii="Palatino Linotype" w:eastAsia="Palatino Linotype" w:hAnsi="Palatino Linotype" w:cs="Palatino Linotype"/>
          <w:color w:val="000000"/>
        </w:rPr>
        <w:t xml:space="preserve"> se acordó </w:t>
      </w:r>
      <w:r>
        <w:rPr>
          <w:rFonts w:ascii="Palatino Linotype" w:eastAsia="Palatino Linotype" w:hAnsi="Palatino Linotype" w:cs="Palatino Linotype"/>
          <w:b/>
          <w:bCs/>
          <w:color w:val="000000"/>
        </w:rPr>
        <w:t>ampliar el término para resolver</w:t>
      </w:r>
      <w:r>
        <w:rPr>
          <w:rFonts w:ascii="Palatino Linotype" w:eastAsia="Palatino Linotype" w:hAnsi="Palatino Linotype" w:cs="Palatino Linotype"/>
          <w:color w:val="000000"/>
        </w:rPr>
        <w:t xml:space="preserve"> el presente asunto.</w:t>
      </w:r>
    </w:p>
    <w:p w:rsidR="00296557" w:rsidRDefault="00296557">
      <w:pPr>
        <w:pBdr>
          <w:top w:val="nil"/>
          <w:left w:val="nil"/>
          <w:bottom w:val="nil"/>
          <w:right w:val="nil"/>
          <w:between w:val="nil"/>
        </w:pBdr>
        <w:spacing w:line="360" w:lineRule="auto"/>
        <w:ind w:right="-1071"/>
        <w:rPr>
          <w:rFonts w:ascii="Palatino Linotype" w:eastAsia="Palatino Linotype" w:hAnsi="Palatino Linotype" w:cs="Palatino Linotype"/>
          <w:color w:val="000000"/>
        </w:rPr>
      </w:pP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b/>
          <w:bCs/>
          <w:color w:val="000000"/>
        </w:rPr>
      </w:pPr>
      <w:bookmarkStart w:id="4" w:name="_heading=h.3znysh7" w:colFirst="0" w:colLast="0"/>
      <w:bookmarkEnd w:id="4"/>
      <w:r>
        <w:rPr>
          <w:rFonts w:ascii="Palatino Linotype" w:eastAsia="Palatino Linotype" w:hAnsi="Palatino Linotype" w:cs="Palatino Linotype"/>
          <w:color w:val="000000"/>
        </w:rPr>
        <w:t xml:space="preserve">Seguidamente, en fecha </w:t>
      </w:r>
      <w:r>
        <w:rPr>
          <w:rFonts w:ascii="Palatino Linotype" w:eastAsia="Palatino Linotype" w:hAnsi="Palatino Linotype" w:cs="Palatino Linotype"/>
          <w:b/>
          <w:bCs/>
          <w:color w:val="000000"/>
        </w:rPr>
        <w:t>dieciséis de junio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r w:rsidR="000E7D8B">
        <w:rPr>
          <w:rFonts w:ascii="Palatino Linotype" w:eastAsia="Palatino Linotype" w:hAnsi="Palatino Linotype" w:cs="Palatino Linotype"/>
          <w:color w:val="000000"/>
        </w:rPr>
        <w:t xml:space="preserve"> ----------------------------------------------------------------------------------------------------</w:t>
      </w:r>
    </w:p>
    <w:p w:rsidR="00296557" w:rsidRDefault="00767B3E">
      <w:pPr>
        <w:keepNext/>
        <w:keepLines/>
        <w:spacing w:line="360" w:lineRule="auto"/>
        <w:ind w:right="-1071"/>
        <w:jc w:val="center"/>
        <w:rPr>
          <w:rFonts w:ascii="Palatino Linotype" w:eastAsia="Palatino Linotype" w:hAnsi="Palatino Linotype" w:cs="Palatino Linotype"/>
          <w:b/>
          <w:bCs/>
        </w:rPr>
      </w:pPr>
      <w:r>
        <w:rPr>
          <w:rFonts w:ascii="Palatino Linotype" w:eastAsia="Palatino Linotype" w:hAnsi="Palatino Linotype" w:cs="Palatino Linotype"/>
          <w:b/>
          <w:bCs/>
        </w:rPr>
        <w:lastRenderedPageBreak/>
        <w:t xml:space="preserve">C O N S I D E R A N D O </w:t>
      </w:r>
    </w:p>
    <w:p w:rsidR="00296557" w:rsidRDefault="00296557">
      <w:pPr>
        <w:spacing w:line="360" w:lineRule="auto"/>
        <w:ind w:right="-1071"/>
        <w:rPr>
          <w:rFonts w:ascii="Palatino Linotype" w:eastAsia="Palatino Linotype" w:hAnsi="Palatino Linotype" w:cs="Palatino Linotype"/>
        </w:rPr>
      </w:pPr>
    </w:p>
    <w:p w:rsidR="00296557" w:rsidRDefault="00767B3E">
      <w:pPr>
        <w:keepNext/>
        <w:keepLines/>
        <w:spacing w:line="360" w:lineRule="auto"/>
        <w:ind w:right="-1071"/>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96557" w:rsidRDefault="00296557">
      <w:pPr>
        <w:tabs>
          <w:tab w:val="left" w:pos="426"/>
        </w:tabs>
        <w:spacing w:line="360" w:lineRule="auto"/>
        <w:ind w:right="-1071"/>
        <w:jc w:val="both"/>
        <w:rPr>
          <w:rFonts w:ascii="Palatino Linotype" w:eastAsia="Palatino Linotype" w:hAnsi="Palatino Linotype" w:cs="Palatino Linotype"/>
          <w:color w:val="000000"/>
        </w:rPr>
      </w:pPr>
    </w:p>
    <w:p w:rsidR="00296557" w:rsidRDefault="00767B3E">
      <w:pPr>
        <w:keepNext/>
        <w:keepLines/>
        <w:spacing w:line="360" w:lineRule="auto"/>
        <w:ind w:right="-1071"/>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bCs/>
        </w:rPr>
        <w:t>tres de marzo de dos mil veintiséis</w:t>
      </w:r>
      <w:r>
        <w:rPr>
          <w:rFonts w:ascii="Palatino Linotype" w:eastAsia="Palatino Linotype" w:hAnsi="Palatino Linotype" w:cs="Palatino Linotype"/>
        </w:rPr>
        <w:t xml:space="preserve">, de tal forma que el plazo para interponer el recurso transcurrió del </w:t>
      </w:r>
      <w:r>
        <w:rPr>
          <w:rFonts w:ascii="Palatino Linotype" w:eastAsia="Palatino Linotype" w:hAnsi="Palatino Linotype" w:cs="Palatino Linotype"/>
          <w:b/>
          <w:bCs/>
        </w:rPr>
        <w:t xml:space="preserve">cuatro al veinticinco de marzo de dos mil veintiséis,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Pr>
          <w:rFonts w:ascii="Palatino Linotype" w:eastAsia="Palatino Linotype" w:hAnsi="Palatino Linotype" w:cs="Palatino Linotype"/>
          <w:b/>
          <w:bCs/>
        </w:rPr>
        <w:t>cuatro de marzo de dos mil veintiséis</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pStyle w:val="Ttulo2"/>
        <w:ind w:right="-1071"/>
        <w:rPr>
          <w:rFonts w:ascii="Palatino Linotype" w:eastAsia="Palatino Linotype" w:hAnsi="Palatino Linotype" w:cs="Palatino Linotype"/>
          <w:b/>
          <w:bCs/>
          <w:i/>
          <w:iCs/>
          <w:color w:val="000000"/>
          <w:sz w:val="24"/>
          <w:szCs w:val="24"/>
        </w:rPr>
      </w:pPr>
      <w:r>
        <w:rPr>
          <w:rFonts w:ascii="Palatino Linotype" w:eastAsia="Palatino Linotype" w:hAnsi="Palatino Linotype" w:cs="Palatino Linotype"/>
          <w:b/>
          <w:bCs/>
          <w:color w:val="000000"/>
          <w:sz w:val="24"/>
          <w:szCs w:val="24"/>
        </w:rPr>
        <w:lastRenderedPageBreak/>
        <w:t xml:space="preserve">TERCERO. Del planteamiento de la </w:t>
      </w:r>
      <w:r>
        <w:rPr>
          <w:rFonts w:ascii="Palatino Linotype" w:eastAsia="Palatino Linotype" w:hAnsi="Palatino Linotype" w:cs="Palatino Linotype"/>
          <w:b/>
          <w:bCs/>
          <w:i/>
          <w:iCs/>
          <w:color w:val="000000"/>
          <w:sz w:val="24"/>
          <w:szCs w:val="24"/>
        </w:rPr>
        <w:t>Litis.</w:t>
      </w:r>
    </w:p>
    <w:p w:rsidR="00296557" w:rsidRDefault="00767B3E">
      <w:pPr>
        <w:numPr>
          <w:ilvl w:val="0"/>
          <w:numId w:val="2"/>
        </w:numPr>
        <w:pBdr>
          <w:top w:val="nil"/>
          <w:left w:val="nil"/>
          <w:bottom w:val="nil"/>
          <w:right w:val="nil"/>
          <w:between w:val="nil"/>
        </w:pBdr>
        <w:tabs>
          <w:tab w:val="left" w:pos="0"/>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296557" w:rsidRDefault="00767B3E">
      <w:pPr>
        <w:numPr>
          <w:ilvl w:val="0"/>
          <w:numId w:val="6"/>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Respecto de la noticia que ha circulado recientemente, en la cual el Tribunal de Disciplina Judicial del Estado de México determinó la inhabilitación por un periodo de diez años de un Juez de Primera Instancia, solicito la siguiente información: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Estatus actual del procedimiento sancionador mediante el cual se determinó la inhabilitación referida.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Distrito Judicial y Juzgado al que se encontraba adscrito el Juez de Primera Instancia inhabilitado.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Autoridad o persona que asumirá las funciones jurisdiccionales que desempeñaba el servidor público inhabilitado.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Procedimiento aplicable para la designación o elección de la persona que sustituirá al juez inhabilitado.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Fundamento constitucional y legal que sustenta el procedimiento de sustitución del juez inhabilitado. </w:t>
      </w:r>
    </w:p>
    <w:p w:rsidR="00296557" w:rsidRDefault="00767B3E">
      <w:pPr>
        <w:numPr>
          <w:ilvl w:val="0"/>
          <w:numId w:val="7"/>
        </w:numPr>
        <w:pBdr>
          <w:top w:val="nil"/>
          <w:left w:val="nil"/>
          <w:bottom w:val="nil"/>
          <w:right w:val="nil"/>
          <w:between w:val="nil"/>
        </w:pBdr>
        <w:ind w:left="993" w:right="-1071"/>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Listado de las personas que, en su caso, sustituirán o asumirán temporal o definitivamente el cargo del juez inhabilitado.</w:t>
      </w:r>
    </w:p>
    <w:p w:rsidR="00296557" w:rsidRDefault="00296557">
      <w:pPr>
        <w:ind w:left="709" w:right="-1071"/>
        <w:jc w:val="both"/>
        <w:rPr>
          <w:rFonts w:ascii="Palatino Linotype" w:eastAsia="Palatino Linotype" w:hAnsi="Palatino Linotype" w:cs="Palatino Linotype"/>
          <w:b/>
          <w:bCs/>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bCs/>
        </w:rPr>
        <w:t xml:space="preserve"> </w:t>
      </w:r>
      <w:r>
        <w:rPr>
          <w:rFonts w:ascii="Palatino Linotype" w:eastAsia="Palatino Linotype" w:hAnsi="Palatino Linotype" w:cs="Palatino Linotype"/>
        </w:rPr>
        <w:t>remitió el archivo ya descrito en el párrafo 2, inconforme con la respuesta, se interpuso recurso de revisión argumentando sustancialmente la entrega de información incompleta.</w:t>
      </w:r>
    </w:p>
    <w:p w:rsidR="00296557" w:rsidRDefault="00296557">
      <w:pPr>
        <w:spacing w:line="360" w:lineRule="auto"/>
        <w:ind w:right="-1071"/>
        <w:jc w:val="both"/>
        <w:rPr>
          <w:rFonts w:ascii="Palatino Linotype" w:eastAsia="Palatino Linotype" w:hAnsi="Palatino Linotype" w:cs="Palatino Linotype"/>
          <w:i/>
          <w:iCs/>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Pr>
          <w:rFonts w:ascii="Palatino Linotype" w:eastAsia="Palatino Linotype" w:hAnsi="Palatino Linotype" w:cs="Palatino Linotype"/>
          <w:b/>
          <w:bCs/>
        </w:rPr>
        <w:t>179, fracción V, de 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la entrega de información incompleta,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señalada. </w:t>
      </w:r>
    </w:p>
    <w:p w:rsidR="00296557" w:rsidRDefault="00296557">
      <w:pPr>
        <w:spacing w:line="360" w:lineRule="auto"/>
        <w:ind w:right="-1071"/>
        <w:rPr>
          <w:rFonts w:ascii="Palatino Linotype" w:eastAsia="Palatino Linotype" w:hAnsi="Palatino Linotype" w:cs="Palatino Linotype"/>
        </w:rPr>
      </w:pPr>
    </w:p>
    <w:p w:rsidR="00296557" w:rsidRDefault="00767B3E">
      <w:pPr>
        <w:pStyle w:val="Ttulo2"/>
        <w:ind w:right="-1071"/>
        <w:rPr>
          <w:rFonts w:ascii="Palatino Linotype" w:eastAsia="Palatino Linotype" w:hAnsi="Palatino Linotype" w:cs="Palatino Linotype"/>
          <w:b/>
          <w:bCs/>
          <w:color w:val="000000"/>
          <w:sz w:val="24"/>
          <w:szCs w:val="24"/>
        </w:rPr>
      </w:pPr>
      <w:bookmarkStart w:id="6" w:name="_heading=h.1t3h5sf" w:colFirst="0" w:colLast="0"/>
      <w:bookmarkEnd w:id="6"/>
      <w:r>
        <w:rPr>
          <w:rFonts w:ascii="Palatino Linotype" w:eastAsia="Palatino Linotype" w:hAnsi="Palatino Linotype" w:cs="Palatino Linotype"/>
          <w:b/>
          <w:bCs/>
          <w:color w:val="000000"/>
          <w:sz w:val="24"/>
          <w:szCs w:val="24"/>
        </w:rPr>
        <w:lastRenderedPageBreak/>
        <w:t>CUARTO. Del estudio y resolución del asunto.</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96557" w:rsidRDefault="00296557">
      <w:pPr>
        <w:pBdr>
          <w:top w:val="nil"/>
          <w:left w:val="nil"/>
          <w:bottom w:val="nil"/>
          <w:right w:val="nil"/>
          <w:between w:val="nil"/>
        </w:pBdr>
        <w:spacing w:line="360" w:lineRule="auto"/>
        <w:ind w:left="720" w:right="-1071"/>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96557" w:rsidRDefault="00767B3E">
      <w:pPr>
        <w:numPr>
          <w:ilvl w:val="0"/>
          <w:numId w:val="1"/>
        </w:numPr>
        <w:pBdr>
          <w:top w:val="nil"/>
          <w:left w:val="nil"/>
          <w:bottom w:val="nil"/>
          <w:right w:val="nil"/>
          <w:between w:val="nil"/>
        </w:pBdr>
        <w:spacing w:line="360" w:lineRule="auto"/>
        <w:ind w:right="-1071"/>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Del Sujeto Obligado.</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El ejercicio de la función jurisdiccional corresponde a los órganos del Poder Judicial en los términos que establece la Constitución y se deposita de la siguiente manera, tal como la Ley Orgánica del Poder Judicial del Estado de México:</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w:t>
      </w:r>
      <w:r>
        <w:rPr>
          <w:rFonts w:ascii="Palatino Linotype" w:eastAsia="Palatino Linotype" w:hAnsi="Palatino Linotype" w:cs="Palatino Linotype"/>
          <w:i/>
          <w:iCs/>
          <w:color w:val="000000"/>
        </w:rPr>
        <w:t xml:space="preserve">. El ejercicio de la función jurisdiccional corresponde a los órganos del Poder Judicial en los términos que establece la Constitución y se deposita en: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 El Tribunal Superior de Justicia, que funcionará en Pleno y en Salas;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b) La Presidenta o Presidente del Tribunal Superior de Justicia;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c) Una Sala Constitucional;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 Una Sala de Asuntos Indígenas;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 Salas colegiadas y unitarias;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f) Tribunales de alzada;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g) Tribunales de enjuiciamiento, </w:t>
      </w:r>
      <w:r>
        <w:rPr>
          <w:rFonts w:ascii="Palatino Linotype" w:eastAsia="Palatino Linotype" w:hAnsi="Palatino Linotype" w:cs="Palatino Linotype"/>
          <w:b/>
          <w:bCs/>
          <w:i/>
          <w:iCs/>
          <w:color w:val="000000"/>
        </w:rPr>
        <w:t>juzgados de primera instancia</w:t>
      </w:r>
      <w:r>
        <w:rPr>
          <w:rFonts w:ascii="Palatino Linotype" w:eastAsia="Palatino Linotype" w:hAnsi="Palatino Linotype" w:cs="Palatino Linotype"/>
          <w:i/>
          <w:iCs/>
          <w:color w:val="000000"/>
        </w:rPr>
        <w:t xml:space="preserve"> y juzgados de ejecución;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h) Juzgados de cuantía menor y juzgados de control; y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rPr>
      </w:pPr>
      <w:r>
        <w:rPr>
          <w:rFonts w:ascii="Palatino Linotype" w:eastAsia="Palatino Linotype" w:hAnsi="Palatino Linotype" w:cs="Palatino Linotype"/>
          <w:i/>
          <w:iCs/>
          <w:color w:val="000000"/>
        </w:rPr>
        <w:t>i) Tribunales laborales</w:t>
      </w:r>
      <w:r>
        <w:rPr>
          <w:rFonts w:ascii="Palatino Linotype" w:eastAsia="Palatino Linotype" w:hAnsi="Palatino Linotype" w:cs="Palatino Linotype"/>
        </w:rPr>
        <w:t>.</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El Poder Judicial contará con un Tribunal de Disciplina Judicial</w:t>
      </w:r>
      <w:r>
        <w:rPr>
          <w:rFonts w:ascii="Palatino Linotype" w:eastAsia="Palatino Linotype" w:hAnsi="Palatino Linotype" w:cs="Palatino Linotype"/>
          <w:i/>
          <w:iCs/>
          <w:color w:val="000000"/>
        </w:rPr>
        <w:t>, un Órgano de Administración Judicial, una Contraloría Interna, la Escuela Judicial y el Centro Estatal de Mediación, Conciliación y Justicia Restaurativa del Estado de México, así como las demás unidades administrativas que determine el Órgano de Administración Judicial para el adecuado ejercicio de sus funciones.</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TÍTULO OCTAVO</w:t>
      </w: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DEL TRIBUNAL DE DISCIPLINA JUDICIAL</w:t>
      </w:r>
    </w:p>
    <w:p w:rsidR="00296557" w:rsidRDefault="00296557">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CAPÍTULO PRIMERO</w:t>
      </w: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Naturaleza, Integración y Funcionamiento</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Tribunal de Disciplina Judicial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192</w:t>
      </w:r>
      <w:r>
        <w:rPr>
          <w:rFonts w:ascii="Palatino Linotype" w:eastAsia="Palatino Linotype" w:hAnsi="Palatino Linotype" w:cs="Palatino Linotype"/>
          <w:i/>
          <w:iCs/>
          <w:color w:val="000000"/>
        </w:rPr>
        <w:t xml:space="preserve">. La disciplina del Poder Judicial del Estado de México estará a cargo del Tribunal de Disciplina Judicial. </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Independencia técnica, de gestión y autonomía del Tribunal de Disciplina Judicial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lastRenderedPageBreak/>
        <w:t>Artículo 193</w:t>
      </w:r>
      <w:r>
        <w:rPr>
          <w:rFonts w:ascii="Palatino Linotype" w:eastAsia="Palatino Linotype" w:hAnsi="Palatino Linotype" w:cs="Palatino Linotype"/>
          <w:i/>
          <w:iCs/>
          <w:color w:val="000000"/>
        </w:rPr>
        <w:t>. El Tribunal de Disciplina Judicial es un órgano del Poder Judicial, con independencia técnica, de gestión y con autonomía para emitir sus resoluciones, que tiene como fin velar por la independencia, la integridad y la honestidad en la administración e impartición de justicia.</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Investigación, substanciación y resolución de procedimientos de responsabilidad administrativa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198</w:t>
      </w:r>
      <w:r>
        <w:rPr>
          <w:rFonts w:ascii="Palatino Linotype" w:eastAsia="Palatino Linotype" w:hAnsi="Palatino Linotype" w:cs="Palatino Linotype"/>
          <w:i/>
          <w:iCs/>
          <w:color w:val="000000"/>
        </w:rPr>
        <w:t xml:space="preserve">. El </w:t>
      </w:r>
      <w:r>
        <w:rPr>
          <w:rFonts w:ascii="Palatino Linotype" w:eastAsia="Palatino Linotype" w:hAnsi="Palatino Linotype" w:cs="Palatino Linotype"/>
          <w:b/>
          <w:bCs/>
          <w:i/>
          <w:iCs/>
          <w:color w:val="000000"/>
        </w:rPr>
        <w:t>Tribunal de Disciplina Judicial</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000000"/>
        </w:rPr>
        <w:t>tendrá como atribuciones</w:t>
      </w:r>
      <w:r>
        <w:rPr>
          <w:rFonts w:ascii="Palatino Linotype" w:eastAsia="Palatino Linotype" w:hAnsi="Palatino Linotype" w:cs="Palatino Linotype"/>
          <w:i/>
          <w:iCs/>
          <w:color w:val="000000"/>
        </w:rPr>
        <w:t xml:space="preserve"> para cumplir con su objeto, la </w:t>
      </w:r>
      <w:r>
        <w:rPr>
          <w:rFonts w:ascii="Palatino Linotype" w:eastAsia="Palatino Linotype" w:hAnsi="Palatino Linotype" w:cs="Palatino Linotype"/>
          <w:b/>
          <w:bCs/>
          <w:i/>
          <w:iCs/>
          <w:color w:val="000000"/>
        </w:rPr>
        <w:t>investigación, substanciación y resolución de los procedimientos de responsabilidad administrativa</w:t>
      </w:r>
      <w:r>
        <w:rPr>
          <w:rFonts w:ascii="Palatino Linotype" w:eastAsia="Palatino Linotype" w:hAnsi="Palatino Linotype" w:cs="Palatino Linotype"/>
          <w:i/>
          <w:iCs/>
          <w:color w:val="000000"/>
        </w:rPr>
        <w:t>, por faltas cometidas por todas las personas servidoras públicas del Poder Judicial que desempeñen funciones de carácter jurisdiccional, así como la resolución de los recursos de revisión en los procedimientos de responsabilidades contra cualquier persona servidora pública del Poder Judicial.</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CAPÍTULO SEXTO</w:t>
      </w: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Órganos del Tribunal de Disciplina Judicial</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Órganos del Tribunal de Disciplina Judicial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236</w:t>
      </w:r>
      <w:r>
        <w:rPr>
          <w:rFonts w:ascii="Palatino Linotype" w:eastAsia="Palatino Linotype" w:hAnsi="Palatino Linotype" w:cs="Palatino Linotype"/>
          <w:i/>
          <w:iCs/>
          <w:color w:val="000000"/>
        </w:rPr>
        <w:t xml:space="preserve">. Para el ejercicio de sus atribuciones, el Tribunal de Disciplina Judicial, contará con las siguientes unidades administrativas con autonomía de gestión: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I. Una Secretaría de Acuerdos;</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 Una Visitaduría General, encargada de planear, coordinar y supervisar de manera integral las funciones de investigación, substanciación y evaluación vinculadas con la responsabilidad administrativa, el desempeño y los conflictos laborales del personal del Poder Judicial, integrada por las unidades administrativas con autonomía de gestión siguientes:</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Una Unidad Jurídica; y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IV. Cualquier otro órgano auxiliar, sea desconcentrado, dirección general, coordinación general, coordinación, dirección, subdirección o unidad administrativa que sea necesaria, y que se justifique con base en las necesidades del servicio, para el ejercicio de sus atribuciones y el desempeño de sus funciones.</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TÍTULO DÉCIMO TERCERO</w:t>
      </w: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DE LA SECRETARÍA DE ACUERDOS DEL TRIBUNAL SUPERIOR DE JUSTICIA Y DEL TRIBUNAL DE DISCIPLINA JUDICIAL</w:t>
      </w:r>
    </w:p>
    <w:p w:rsidR="00296557" w:rsidRDefault="00296557">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CAPÍTULO ÚNICO</w:t>
      </w:r>
    </w:p>
    <w:p w:rsidR="00296557" w:rsidRDefault="00767B3E">
      <w:pPr>
        <w:pBdr>
          <w:top w:val="nil"/>
          <w:left w:val="nil"/>
          <w:bottom w:val="nil"/>
          <w:right w:val="nil"/>
          <w:between w:val="nil"/>
        </w:pBdr>
        <w:tabs>
          <w:tab w:val="left" w:pos="426"/>
        </w:tabs>
        <w:ind w:left="567" w:right="-1071"/>
        <w:jc w:val="center"/>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Conformación y atribuciones</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 xml:space="preserve">Secretaría de Acuerdos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351</w:t>
      </w:r>
      <w:r>
        <w:rPr>
          <w:rFonts w:ascii="Palatino Linotype" w:eastAsia="Palatino Linotype" w:hAnsi="Palatino Linotype" w:cs="Palatino Linotype"/>
          <w:i/>
          <w:iCs/>
          <w:color w:val="000000"/>
        </w:rPr>
        <w:t xml:space="preserve">. Para el ejercicio de sus funciones el Tribunal Superior de Justicia y el Tribunal de Disciplina Judicial contarán cada uno de ellos, con una Secretaría de Acuerdos, que tendrán las siguientes atribuciones: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 Apoyar a la Presidenta o Presidente del Tribunal Superior de Justicia o del Tribunal de Disciplina Judicial, según corresponda, en las tareas que le encomiende relacionadas con el Pleno;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 Dar cuenta, tomar las votaciones y formular el acta respectiva en las sesiones del Pleno;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Supervisar que se hagan en tiempo y forma las notificaciones del Pleno;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IV. Autorizar con su firma las actuaciones del Pleno;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 Expedir los certificados de constancias que se requieran;</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 Verificar la autenticidad de títulos y cedulas profesionales, por conducto del Órgano de Administración Judicial; y </w:t>
      </w:r>
    </w:p>
    <w:p w:rsidR="00296557" w:rsidRDefault="00767B3E">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VII. Las demás que le señalen las leyes y la normatividad que resulte aplicable.</w:t>
      </w:r>
    </w:p>
    <w:p w:rsidR="00296557" w:rsidRDefault="00296557">
      <w:pPr>
        <w:pBdr>
          <w:top w:val="nil"/>
          <w:left w:val="nil"/>
          <w:bottom w:val="nil"/>
          <w:right w:val="nil"/>
          <w:between w:val="nil"/>
        </w:pBdr>
        <w:tabs>
          <w:tab w:val="left" w:pos="426"/>
        </w:tabs>
        <w:ind w:left="567" w:right="-1071"/>
        <w:jc w:val="both"/>
        <w:rPr>
          <w:rFonts w:ascii="Palatino Linotype" w:eastAsia="Palatino Linotype" w:hAnsi="Palatino Linotype" w:cs="Palatino Linotype"/>
          <w:i/>
          <w:iCs/>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bCs/>
        </w:rPr>
        <w:t xml:space="preserve">Secretaría de Acuerdos </w:t>
      </w:r>
      <w:r>
        <w:rPr>
          <w:rFonts w:ascii="Palatino Linotype" w:eastAsia="Palatino Linotype" w:hAnsi="Palatino Linotype" w:cs="Palatino Linotype"/>
        </w:rPr>
        <w:t>del Tribunal de Disciplina Judicial, tiene dentro de sus funciones la de apoyar al titular de la presidencia municipal en las tareas encomendadas por el Pleno, así como formular las actas respectivas en las sesiones del Pleno y autorizar las actuaciones del Pleno, entre otras.</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pPr>
      <w:r>
        <w:rPr>
          <w:rFonts w:ascii="Palatino Linotype" w:eastAsia="Palatino Linotype" w:hAnsi="Palatino Linotype" w:cs="Palatino Linotype"/>
        </w:rPr>
        <w:t xml:space="preserve">De lo expuesto es de precisar que la respuesta fue emitida por la </w:t>
      </w:r>
      <w:r>
        <w:rPr>
          <w:rFonts w:ascii="Palatino Linotype" w:eastAsia="Palatino Linotype" w:hAnsi="Palatino Linotype" w:cs="Palatino Linotype"/>
          <w:b/>
          <w:bCs/>
        </w:rPr>
        <w:t xml:space="preserve">Secretaría de Acuerdos </w:t>
      </w:r>
      <w:r>
        <w:rPr>
          <w:rFonts w:ascii="Palatino Linotype" w:eastAsia="Palatino Linotype" w:hAnsi="Palatino Linotype" w:cs="Palatino Linotype"/>
        </w:rPr>
        <w:t xml:space="preserve">del Tribunal de Disciplina Judicial,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96557" w:rsidRDefault="00767B3E">
      <w:pPr>
        <w:ind w:left="708" w:right="-1071"/>
        <w:jc w:val="both"/>
        <w:rPr>
          <w:rFonts w:ascii="Palatino Linotype" w:eastAsia="Palatino Linotype" w:hAnsi="Palatino Linotype" w:cs="Palatino Linotype"/>
          <w:i/>
          <w:iCs/>
        </w:rPr>
      </w:pPr>
      <w:r>
        <w:rPr>
          <w:rFonts w:ascii="Palatino Linotype" w:eastAsia="Palatino Linotype" w:hAnsi="Palatino Linotype" w:cs="Palatino Linotype"/>
          <w:b/>
          <w:bCs/>
          <w:i/>
          <w:iCs/>
        </w:rPr>
        <w:lastRenderedPageBreak/>
        <w:t>XXXIX.</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Servidor público habilitado</w:t>
      </w:r>
      <w:r>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96557" w:rsidRDefault="00296557">
      <w:pPr>
        <w:spacing w:line="360" w:lineRule="auto"/>
        <w:ind w:left="708"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296557" w:rsidRDefault="00767B3E">
      <w:pPr>
        <w:ind w:left="425" w:right="-107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162.</w:t>
      </w:r>
      <w:r>
        <w:rPr>
          <w:rFonts w:ascii="Palatino Linotype" w:eastAsia="Palatino Linotype" w:hAnsi="Palatino Linotype" w:cs="Palatino Linotype"/>
          <w:i/>
          <w:iCs/>
        </w:rPr>
        <w:t xml:space="preserve"> Las unidades de transparencia deberán garantizar que las solicitudes se turnen a </w:t>
      </w:r>
      <w:r>
        <w:rPr>
          <w:rFonts w:ascii="Palatino Linotype" w:eastAsia="Palatino Linotype" w:hAnsi="Palatino Linotype" w:cs="Palatino Linotype"/>
          <w:b/>
          <w:bCs/>
          <w:i/>
          <w:iCs/>
        </w:rPr>
        <w:t>todas las Áreas competentes</w:t>
      </w:r>
      <w:r>
        <w:rPr>
          <w:rFonts w:ascii="Palatino Linotype" w:eastAsia="Palatino Linotype" w:hAnsi="Palatino Linotype" w:cs="Palatino Linotype"/>
          <w:i/>
          <w:iCs/>
        </w:rPr>
        <w:t xml:space="preserve"> que cuenten con la información o deban tenerla de acuerdo a sus facultades, competencias y funciones, con el objeto de que realicen una búsqueda exhaustiva y razonable de la información solicitada.”</w:t>
      </w:r>
    </w:p>
    <w:p w:rsidR="00296557" w:rsidRDefault="00296557">
      <w:pPr>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color w:val="000000"/>
        </w:rPr>
      </w:pPr>
      <w:r>
        <w:rPr>
          <w:rFonts w:ascii="Palatino Linotype" w:eastAsia="Palatino Linotype" w:hAnsi="Palatino Linotype" w:cs="Palatino Linotype"/>
          <w:color w:val="000000"/>
        </w:rPr>
        <w:t xml:space="preserve">Es de subrayar que el derecho de acceso a la información pública, consiste en que la información </w:t>
      </w:r>
      <w:r>
        <w:rPr>
          <w:rFonts w:ascii="Palatino Linotype" w:eastAsia="Palatino Linotype" w:hAnsi="Palatino Linotype" w:cs="Palatino Linotype"/>
        </w:rPr>
        <w:t>solicitada</w:t>
      </w:r>
      <w:r>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96557" w:rsidRDefault="00767B3E">
      <w:pPr>
        <w:ind w:left="1134"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 xml:space="preserve">Artículo 3. </w:t>
      </w:r>
      <w:r>
        <w:rPr>
          <w:rFonts w:ascii="Palatino Linotype" w:eastAsia="Palatino Linotype" w:hAnsi="Palatino Linotype" w:cs="Palatino Linotype"/>
          <w:i/>
          <w:iCs/>
          <w:color w:val="000000"/>
        </w:rPr>
        <w:t>Para los efectos de la presente Ley se entenderá por:</w:t>
      </w:r>
    </w:p>
    <w:p w:rsidR="00296557" w:rsidRDefault="00767B3E">
      <w:pPr>
        <w:ind w:left="1134"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767B3E">
      <w:pPr>
        <w:ind w:left="1134"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XI. Documento:</w:t>
      </w:r>
      <w:r>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96557" w:rsidRDefault="00767B3E">
      <w:pPr>
        <w:spacing w:line="360" w:lineRule="auto"/>
        <w:ind w:left="1134"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767B3E">
      <w:pPr>
        <w:numPr>
          <w:ilvl w:val="0"/>
          <w:numId w:val="2"/>
        </w:numPr>
        <w:spacing w:line="360" w:lineRule="auto"/>
        <w:ind w:left="0" w:right="-1071" w:firstLine="0"/>
        <w:jc w:val="both"/>
        <w:rPr>
          <w:color w:val="000000"/>
        </w:rPr>
      </w:pPr>
      <w:r>
        <w:rPr>
          <w:rFonts w:ascii="Palatino Linotype" w:eastAsia="Palatino Linotype" w:hAnsi="Palatino Linotype" w:cs="Palatino Linotype"/>
          <w:color w:val="000000"/>
        </w:rPr>
        <w:lastRenderedPageBreak/>
        <w:t xml:space="preserve">Siendo aplicable el Criterio de interpretación en el orden administrativo número 0002-11, emitido por </w:t>
      </w:r>
      <w:r>
        <w:rPr>
          <w:rFonts w:ascii="Palatino Linotype" w:eastAsia="Palatino Linotype" w:hAnsi="Palatino Linotype" w:cs="Palatino Linotype"/>
        </w:rPr>
        <w:t>Acuerdo</w:t>
      </w:r>
      <w:r>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96557" w:rsidRDefault="00767B3E">
      <w:pPr>
        <w:ind w:left="850" w:right="-1071"/>
        <w:jc w:val="both"/>
        <w:rPr>
          <w:rFonts w:ascii="Palatino Linotype" w:eastAsia="Palatino Linotype" w:hAnsi="Palatino Linotype" w:cs="Palatino Linotype"/>
          <w:b/>
          <w:bCs/>
          <w:i/>
          <w:iCs/>
        </w:rPr>
      </w:pPr>
      <w:r>
        <w:rPr>
          <w:rFonts w:ascii="Palatino Linotype" w:eastAsia="Palatino Linotype" w:hAnsi="Palatino Linotype" w:cs="Palatino Linotype"/>
          <w:b/>
          <w:bCs/>
        </w:rPr>
        <w:t>“</w:t>
      </w:r>
      <w:r>
        <w:rPr>
          <w:rFonts w:ascii="Palatino Linotype" w:eastAsia="Palatino Linotype" w:hAnsi="Palatino Linotype" w:cs="Palatino Linotype"/>
          <w:b/>
          <w:bCs/>
          <w:i/>
          <w:iCs/>
        </w:rPr>
        <w:t>CRITERIO 0002-11</w:t>
      </w:r>
    </w:p>
    <w:p w:rsidR="00296557" w:rsidRDefault="00767B3E">
      <w:pPr>
        <w:ind w:left="850" w:right="-1071"/>
        <w:jc w:val="both"/>
        <w:rPr>
          <w:rFonts w:ascii="Palatino Linotype" w:eastAsia="Palatino Linotype" w:hAnsi="Palatino Linotype" w:cs="Palatino Linotype"/>
          <w:i/>
          <w:iCs/>
        </w:rPr>
      </w:pPr>
      <w:r>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96557" w:rsidRDefault="00767B3E">
      <w:pPr>
        <w:ind w:left="850" w:right="-1071"/>
        <w:jc w:val="both"/>
        <w:rPr>
          <w:rFonts w:ascii="Palatino Linotype" w:eastAsia="Palatino Linotype" w:hAnsi="Palatino Linotype" w:cs="Palatino Linotype"/>
          <w:i/>
          <w:iCs/>
        </w:rPr>
      </w:pPr>
      <w:r>
        <w:rPr>
          <w:rFonts w:ascii="Palatino Linotype" w:eastAsia="Palatino Linotype" w:hAnsi="Palatino Linotype" w:cs="Palatino Linotype"/>
          <w:i/>
          <w:iCs/>
        </w:rPr>
        <w:t>En consecuencia el acceso a la información se refiere a que se cumplan cualquiera de los siguientes tres supuestos:</w:t>
      </w:r>
    </w:p>
    <w:p w:rsidR="00296557" w:rsidRDefault="00767B3E">
      <w:pPr>
        <w:ind w:left="850" w:right="-1071"/>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1) </w:t>
      </w:r>
      <w:r>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296557" w:rsidRDefault="00767B3E">
      <w:pPr>
        <w:ind w:left="850" w:right="-1071"/>
        <w:jc w:val="both"/>
        <w:rPr>
          <w:rFonts w:ascii="Palatino Linotype" w:eastAsia="Palatino Linotype" w:hAnsi="Palatino Linotype" w:cs="Palatino Linotype"/>
          <w:i/>
          <w:iCs/>
        </w:rPr>
      </w:pPr>
      <w:r>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296557" w:rsidRDefault="00767B3E">
      <w:pPr>
        <w:ind w:left="850" w:right="-1071"/>
        <w:jc w:val="both"/>
        <w:rPr>
          <w:rFonts w:ascii="Palatino Linotype" w:eastAsia="Palatino Linotype" w:hAnsi="Palatino Linotype" w:cs="Palatino Linotype"/>
          <w:i/>
          <w:iCs/>
        </w:rPr>
      </w:pPr>
      <w:r>
        <w:rPr>
          <w:rFonts w:ascii="Palatino Linotype" w:eastAsia="Palatino Linotype" w:hAnsi="Palatino Linotype" w:cs="Palatino Linotype"/>
          <w:i/>
          <w:iCs/>
        </w:rPr>
        <w:t>3) Que se trate de información registrada en cualquier soporte documental, que en ejercicio de las atribuciones conferidas, se encuentre en posesión de los Sujetos Obligados.”</w:t>
      </w:r>
    </w:p>
    <w:p w:rsidR="00296557" w:rsidRDefault="00767B3E">
      <w:pPr>
        <w:tabs>
          <w:tab w:val="left" w:pos="851"/>
        </w:tabs>
        <w:spacing w:line="360" w:lineRule="auto"/>
        <w:ind w:left="850" w:right="-1071"/>
        <w:rPr>
          <w:rFonts w:ascii="Palatino Linotype" w:eastAsia="Palatino Linotype" w:hAnsi="Palatino Linotype" w:cs="Palatino Linotype"/>
        </w:rPr>
      </w:pPr>
      <w:r>
        <w:rPr>
          <w:rFonts w:ascii="Palatino Linotype" w:eastAsia="Palatino Linotype" w:hAnsi="Palatino Linotype" w:cs="Palatino Linotype"/>
        </w:rPr>
        <w:t>(Énfasis Añadido)</w:t>
      </w:r>
    </w:p>
    <w:p w:rsidR="00296557" w:rsidRDefault="00296557">
      <w:pPr>
        <w:pBdr>
          <w:top w:val="nil"/>
          <w:left w:val="nil"/>
          <w:bottom w:val="nil"/>
          <w:right w:val="nil"/>
          <w:between w:val="nil"/>
        </w:pBdr>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color w:val="000000"/>
        </w:rPr>
      </w:pPr>
      <w:r>
        <w:rPr>
          <w:rFonts w:ascii="Palatino Linotype" w:eastAsia="Palatino Linotype" w:hAnsi="Palatino Linotype" w:cs="Palatino Linotype"/>
          <w:color w:val="000000"/>
        </w:rPr>
        <w:t xml:space="preserve">Por su parte </w:t>
      </w:r>
      <w:r>
        <w:rPr>
          <w:rFonts w:ascii="Palatino Linotype" w:eastAsia="Palatino Linotype" w:hAnsi="Palatino Linotype" w:cs="Palatino Linotype"/>
        </w:rPr>
        <w:t>los</w:t>
      </w:r>
      <w:r>
        <w:rPr>
          <w:rFonts w:ascii="Palatino Linotype" w:eastAsia="Palatino Linotype" w:hAnsi="Palatino Linotype" w:cs="Palatino Linotype"/>
          <w:color w:val="000000"/>
        </w:rPr>
        <w:t xml:space="preserve"> artículos 160 y 166, de la Ley local en la materia, que se reproduce de la siguiente forma:</w:t>
      </w:r>
    </w:p>
    <w:p w:rsidR="00296557" w:rsidRDefault="00767B3E">
      <w:pPr>
        <w:ind w:left="566" w:right="-107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160.</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rPr>
        <w:t>.</w:t>
      </w:r>
    </w:p>
    <w:p w:rsidR="00296557" w:rsidRDefault="00296557">
      <w:pPr>
        <w:ind w:left="566" w:right="-1071"/>
        <w:jc w:val="both"/>
        <w:rPr>
          <w:rFonts w:ascii="Palatino Linotype" w:eastAsia="Palatino Linotype" w:hAnsi="Palatino Linotype" w:cs="Palatino Linotype"/>
          <w:i/>
          <w:iCs/>
        </w:rPr>
      </w:pPr>
    </w:p>
    <w:p w:rsidR="00296557" w:rsidRDefault="00767B3E">
      <w:pPr>
        <w:ind w:left="566" w:right="-1071"/>
        <w:jc w:val="both"/>
        <w:rPr>
          <w:rFonts w:ascii="Palatino Linotype" w:eastAsia="Palatino Linotype" w:hAnsi="Palatino Linotype" w:cs="Palatino Linotype"/>
          <w:i/>
          <w:iCs/>
        </w:rPr>
      </w:pPr>
      <w:r>
        <w:rPr>
          <w:rFonts w:ascii="Palatino Linotype" w:eastAsia="Palatino Linotype" w:hAnsi="Palatino Linotype" w:cs="Palatino Linotype"/>
          <w:i/>
          <w:iCs/>
        </w:rPr>
        <w:t>En caso que la información solicitada consista en bases de datos se deberá privilegiar la entrega de la misma en formatos abiertos.</w:t>
      </w:r>
    </w:p>
    <w:p w:rsidR="00296557" w:rsidRDefault="00767B3E">
      <w:pPr>
        <w:ind w:left="566" w:right="-1071"/>
        <w:jc w:val="both"/>
        <w:rPr>
          <w:rFonts w:ascii="Palatino Linotype" w:eastAsia="Palatino Linotype" w:hAnsi="Palatino Linotype" w:cs="Palatino Linotype"/>
          <w:i/>
          <w:iCs/>
          <w:u w:val="single"/>
        </w:rPr>
      </w:pPr>
      <w:r>
        <w:rPr>
          <w:rFonts w:ascii="Palatino Linotype" w:eastAsia="Palatino Linotype" w:hAnsi="Palatino Linotype" w:cs="Palatino Linotype"/>
          <w:b/>
          <w:bCs/>
          <w:i/>
          <w:iCs/>
        </w:rPr>
        <w:lastRenderedPageBreak/>
        <w:t>Artículo 166.</w:t>
      </w:r>
      <w:r>
        <w:rPr>
          <w:rFonts w:ascii="Palatino Linotype" w:eastAsia="Palatino Linotype" w:hAnsi="Palatino Linotype" w:cs="Palatino Linotype"/>
          <w:i/>
          <w:iCs/>
        </w:rPr>
        <w:t xml:space="preserve"> </w:t>
      </w:r>
      <w:r>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296557" w:rsidRDefault="00767B3E">
      <w:pPr>
        <w:spacing w:line="360" w:lineRule="auto"/>
        <w:ind w:left="566" w:right="-1071"/>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rsidR="00296557" w:rsidRDefault="00296557">
      <w:pPr>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color w:val="000000"/>
        </w:rPr>
      </w:pPr>
      <w:r>
        <w:rPr>
          <w:rFonts w:ascii="Palatino Linotype" w:eastAsia="Palatino Linotype" w:hAnsi="Palatino Linotype" w:cs="Palatino Linotype"/>
          <w:color w:val="000000"/>
        </w:rPr>
        <w:t xml:space="preserve">Así que la obligación de los Sujetos Obligados de dar acceso a la información pública que generen, </w:t>
      </w:r>
      <w:r>
        <w:rPr>
          <w:rFonts w:ascii="Palatino Linotype" w:eastAsia="Palatino Linotype" w:hAnsi="Palatino Linotype" w:cs="Palatino Linotype"/>
        </w:rPr>
        <w:t>administren</w:t>
      </w:r>
      <w:r>
        <w:rPr>
          <w:rFonts w:ascii="Palatino Linotype" w:eastAsia="Palatino Linotype" w:hAnsi="Palatino Linotype" w:cs="Palatino Linotype"/>
          <w:color w:val="000000"/>
        </w:rPr>
        <w:t xml:space="preserve"> o posean, se tendrá por cumplida cuando el solicitante tenga a su disposición la información requerida, o cuando realice la consulta de la misma en el lugar que ésta se localice, siempre y cuando así resultare procedente.</w:t>
      </w:r>
    </w:p>
    <w:p w:rsidR="00296557" w:rsidRDefault="00296557">
      <w:pPr>
        <w:spacing w:line="360" w:lineRule="auto"/>
        <w:ind w:right="-1071"/>
        <w:jc w:val="both"/>
        <w:rPr>
          <w:color w:val="000000"/>
        </w:rPr>
      </w:pPr>
    </w:p>
    <w:p w:rsidR="00296557" w:rsidRDefault="00767B3E">
      <w:pPr>
        <w:numPr>
          <w:ilvl w:val="0"/>
          <w:numId w:val="8"/>
        </w:numPr>
        <w:pBdr>
          <w:top w:val="nil"/>
          <w:left w:val="nil"/>
          <w:bottom w:val="nil"/>
          <w:right w:val="nil"/>
          <w:between w:val="nil"/>
        </w:pBdr>
        <w:tabs>
          <w:tab w:val="left" w:pos="0"/>
          <w:tab w:val="left" w:pos="567"/>
        </w:tabs>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De la naturaleza de la información solicitada. </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 precisa </w:t>
      </w:r>
      <w:r>
        <w:rPr>
          <w:rFonts w:ascii="Palatino Linotype" w:eastAsia="Palatino Linotype" w:hAnsi="Palatino Linotype" w:cs="Palatino Linotype"/>
          <w:color w:val="000000"/>
        </w:rPr>
        <w:t>que</w:t>
      </w:r>
      <w:r>
        <w:rPr>
          <w:rFonts w:ascii="Palatino Linotype" w:eastAsia="Palatino Linotype" w:hAnsi="Palatino Linotype" w:cs="Palatino Linotype"/>
        </w:rPr>
        <w:t xml:space="preserve"> se obvia el análisis de la competencia por parte del </w:t>
      </w:r>
      <w:r>
        <w:rPr>
          <w:rFonts w:ascii="Palatino Linotype" w:eastAsia="Palatino Linotype" w:hAnsi="Palatino Linotype" w:cs="Palatino Linotype"/>
          <w:b/>
          <w:bCs/>
        </w:rPr>
        <w:t>SUJETO OBLIGADO</w:t>
      </w:r>
      <w:r>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 tan es así que remitió el link para consultar el acuerdo emitido por el Comité de Transparencia en el que se aprobó la reserva de la información requerida.</w:t>
      </w:r>
    </w:p>
    <w:p w:rsidR="000E7D8B" w:rsidRDefault="000E7D8B" w:rsidP="000E7D8B">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pPr>
      <w:bookmarkStart w:id="7" w:name="_heading=h.2s8eyo1" w:colFirst="0" w:colLast="0"/>
      <w:bookmarkEnd w:id="7"/>
      <w:r>
        <w:rPr>
          <w:rFonts w:ascii="Palatino Linotype" w:eastAsia="Palatino Linotype" w:hAnsi="Palatino Linotype" w:cs="Palatino Linotype"/>
        </w:rPr>
        <w:t xml:space="preserve">En efecto, el </w:t>
      </w:r>
      <w:r>
        <w:rPr>
          <w:rFonts w:ascii="Palatino Linotype" w:eastAsia="Palatino Linotype" w:hAnsi="Palatino Linotype" w:cs="Palatino Linotype"/>
          <w:color w:val="000000"/>
        </w:rPr>
        <w:t>hecho</w:t>
      </w:r>
      <w:r>
        <w:rPr>
          <w:rFonts w:ascii="Palatino Linotype" w:eastAsia="Palatino Linotype" w:hAnsi="Palatino Linotype" w:cs="Palatino Linotype"/>
        </w:rPr>
        <w:t xml:space="preserve"> de que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96557" w:rsidRDefault="00767B3E">
      <w:pPr>
        <w:tabs>
          <w:tab w:val="left" w:pos="8505"/>
        </w:tabs>
        <w:ind w:left="709" w:right="-1071"/>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w:t>
      </w:r>
      <w:r>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296557" w:rsidRDefault="00296557">
      <w:pPr>
        <w:tabs>
          <w:tab w:val="left" w:pos="8505"/>
        </w:tabs>
        <w:ind w:left="709" w:right="-1071"/>
        <w:jc w:val="both"/>
        <w:rPr>
          <w:rFonts w:ascii="Palatino Linotype" w:eastAsia="Palatino Linotype" w:hAnsi="Palatino Linotype" w:cs="Palatino Linotype"/>
          <w:i/>
          <w:iCs/>
        </w:rPr>
      </w:pPr>
    </w:p>
    <w:p w:rsidR="00296557" w:rsidRDefault="00767B3E">
      <w:pPr>
        <w:tabs>
          <w:tab w:val="left" w:pos="8505"/>
        </w:tabs>
        <w:ind w:left="709" w:right="-1071"/>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La obligación de proporcionar información </w:t>
      </w:r>
      <w:r>
        <w:rPr>
          <w:rFonts w:ascii="Palatino Linotype" w:eastAsia="Palatino Linotype" w:hAnsi="Palatino Linotype" w:cs="Palatino Linotype"/>
          <w:i/>
          <w:iCs/>
        </w:rPr>
        <w:lastRenderedPageBreak/>
        <w:t>no comprende el procesamiento de la misma, ni el presentarla conforme al interés del solicitante; no estarán obligados a generarla, resumirla, efectuar cálculos o practicar investigaciones.”</w:t>
      </w:r>
    </w:p>
    <w:p w:rsidR="00296557" w:rsidRDefault="00296557">
      <w:pPr>
        <w:tabs>
          <w:tab w:val="left" w:pos="8505"/>
        </w:tabs>
        <w:ind w:left="709" w:right="-1071"/>
        <w:jc w:val="both"/>
        <w:rPr>
          <w:rFonts w:ascii="Palatino Linotype" w:eastAsia="Palatino Linotype" w:hAnsi="Palatino Linotype" w:cs="Palatino Linotype"/>
          <w:i/>
          <w:iCs/>
        </w:rPr>
      </w:pPr>
    </w:p>
    <w:p w:rsidR="00296557" w:rsidRDefault="00296557">
      <w:pPr>
        <w:pBdr>
          <w:top w:val="nil"/>
          <w:left w:val="nil"/>
          <w:bottom w:val="nil"/>
          <w:right w:val="nil"/>
          <w:between w:val="nil"/>
        </w:pBdr>
        <w:ind w:left="-566" w:right="-1071"/>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color w:val="000000"/>
        </w:rPr>
      </w:pPr>
      <w:r>
        <w:rPr>
          <w:rFonts w:ascii="Palatino Linotype" w:eastAsia="Palatino Linotype" w:hAnsi="Palatino Linotype" w:cs="Palatino Linotype"/>
        </w:rPr>
        <w:t xml:space="preserve">Así, el estudio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la</w:t>
      </w:r>
      <w:r>
        <w:rPr>
          <w:rFonts w:ascii="Palatino Linotype" w:eastAsia="Palatino Linotype" w:hAnsi="Palatino Linotype" w:cs="Palatino Linotype"/>
        </w:rPr>
        <w:t xml:space="preserve"> naturaleza jurídica de la información pública solicitada, tiene por objeto determinar si ésta la genera, posee o administra </w:t>
      </w:r>
      <w:r>
        <w:rPr>
          <w:rFonts w:ascii="Palatino Linotype" w:eastAsia="Palatino Linotype" w:hAnsi="Palatino Linotype" w:cs="Palatino Linotype"/>
          <w:b/>
          <w:bCs/>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96557" w:rsidRDefault="00296557">
      <w:pPr>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w:t>
      </w:r>
      <w:r>
        <w:rPr>
          <w:rFonts w:ascii="Palatino Linotype" w:eastAsia="Palatino Linotype" w:hAnsi="Palatino Linotype" w:cs="Palatino Linotype"/>
        </w:rPr>
        <w:t xml:space="preserve"> bien, es de recordar que el particular solicitó tener acceso a la información siguiente</w:t>
      </w:r>
      <w:r>
        <w:rPr>
          <w:rFonts w:ascii="Palatino Linotype" w:eastAsia="Palatino Linotype" w:hAnsi="Palatino Linotype" w:cs="Palatino Linotype"/>
          <w:i/>
          <w:iCs/>
        </w:rPr>
        <w:t xml:space="preserve">: </w:t>
      </w:r>
      <w:r>
        <w:rPr>
          <w:rFonts w:ascii="Palatino Linotype" w:eastAsia="Palatino Linotype" w:hAnsi="Palatino Linotype" w:cs="Palatino Linotype"/>
          <w:i/>
          <w:iCs/>
          <w:color w:val="000000"/>
          <w:u w:val="single"/>
        </w:rPr>
        <w:t>Respecto de la noticia que ha circulado recientemente, en la cual el Tribunal de Disciplina Judicial del Estado de México determinó la inhabilitación por un periodo de diez años de un Juez de Primera Instancia, solicito la siguiente información: Estatus actual del procedimiento sancionador mediante el cual se determinó la inhabilitación referida. Distrito Judicial y Juzgado al que se encontraba adscrito el Juez de Primera Instancia inhabilitado. Autoridad o persona que asumirá las funciones jurisdiccionales que desempeñaba el servidor público inhabilitado. Procedimiento aplicable para la designación o elección de la persona que sustituirá al juez inhabilitado. Fundamento constitucional y legal que sustenta el procedimiento de sustitución del juez inhabilitado. Listado de las personas que, en su caso, sustituirán o asumirán temporal o definitivamente el cargo del juez inhabilitado</w:t>
      </w:r>
      <w:r>
        <w:rPr>
          <w:rFonts w:ascii="Palatino Linotype" w:eastAsia="Palatino Linotype" w:hAnsi="Palatino Linotype" w:cs="Palatino Linotype"/>
        </w:rPr>
        <w:t xml:space="preserve">, por lo que a través de respuesta el Sujeto Obligado a través de la Secretaria de Acuerdos del Tribunal de Disciplina Judicial, señalando que el procedimiento de responsabilidad administrativa aún se encuentra en trámite, por lo que </w:t>
      </w:r>
      <w:r>
        <w:rPr>
          <w:rFonts w:ascii="Palatino Linotype" w:eastAsia="Palatino Linotype" w:hAnsi="Palatino Linotype" w:cs="Palatino Linotype"/>
          <w:i/>
          <w:iCs/>
        </w:rPr>
        <w:t>el Comité de Transparencia y Justicia Abierta del Poder Judicial del Estado de México, mediante Sesión Ordinaria 02/2026, aprobó la reserva de la información requerida por un periodo de un año y medio, en tanto quede firme</w:t>
      </w:r>
      <w:r>
        <w:rPr>
          <w:rFonts w:ascii="Palatino Linotype" w:eastAsia="Palatino Linotype" w:hAnsi="Palatino Linotype" w:cs="Palatino Linotype"/>
        </w:rPr>
        <w:t>, refiriendo el link para la consulta del mismo.</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consecuencia el particular como razones o motivos de inconformidad señaló: </w:t>
      </w:r>
      <w:r>
        <w:rPr>
          <w:rFonts w:ascii="Palatino Linotype" w:eastAsia="Palatino Linotype" w:hAnsi="Palatino Linotype" w:cs="Palatino Linotype"/>
          <w:i/>
          <w:iCs/>
        </w:rPr>
        <w:t xml:space="preserve">No entrega toda la información referente a Autoridad o persona que asumirá las funciones jurisdiccionales que desempeñaba el servidor público inhabilitado. Procedimiento aplicable para la designación o elección de la persona que sustituirá al juez inhabilitado. Fundamento constitucional y legal que sustenta el procedimiento de sustitución del juez inhabilitado. Listado de las personas que, en su caso, sustituirán o asumirán temporal o definitivamente el cargo del juez inhabilitado; </w:t>
      </w:r>
      <w:r>
        <w:rPr>
          <w:rFonts w:ascii="Palatino Linotype" w:eastAsia="Palatino Linotype" w:hAnsi="Palatino Linotype" w:cs="Palatino Linotype"/>
          <w:color w:val="000000"/>
        </w:rPr>
        <w:t xml:space="preserve">por lo que, la parte de la solicitud que no fue combatida se debe tener como </w:t>
      </w:r>
      <w:r>
        <w:rPr>
          <w:rFonts w:ascii="Palatino Linotype" w:eastAsia="Palatino Linotype" w:hAnsi="Palatino Linotype" w:cs="Palatino Linotype"/>
          <w:b/>
          <w:bCs/>
          <w:color w:val="000000"/>
        </w:rPr>
        <w:t>actos consentidos</w:t>
      </w:r>
      <w:r>
        <w:rPr>
          <w:rFonts w:ascii="Palatino Linotype" w:eastAsia="Palatino Linotype" w:hAnsi="Palatino Linotype" w:cs="Palatino Linotype"/>
          <w:color w:val="000000"/>
        </w:rPr>
        <w:t>, por no haber pronunciamiento de impugnación.</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al no existir inconformidad, la información se tiene por </w:t>
      </w:r>
      <w:r>
        <w:rPr>
          <w:rFonts w:ascii="Palatino Linotype" w:eastAsia="Palatino Linotype" w:hAnsi="Palatino Linotype" w:cs="Palatino Linotype"/>
          <w:color w:val="000000"/>
        </w:rPr>
        <w:t>consentida</w:t>
      </w:r>
      <w:r>
        <w:rPr>
          <w:rFonts w:ascii="Palatino Linotype" w:eastAsia="Palatino Linotype" w:hAnsi="Palatino Linotype" w:cs="Palatino Linotype"/>
        </w:rPr>
        <w:t>, ya</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que la falta de </w:t>
      </w:r>
      <w:r>
        <w:rPr>
          <w:rFonts w:ascii="Palatino Linotype" w:eastAsia="Palatino Linotype" w:hAnsi="Palatino Linotype" w:cs="Palatino Linotype"/>
          <w:color w:val="000000"/>
        </w:rPr>
        <w:t>impugnación</w:t>
      </w:r>
      <w:r>
        <w:rPr>
          <w:rFonts w:ascii="Palatino Linotype" w:eastAsia="Palatino Linotype" w:hAnsi="Palatino Linotype" w:cs="Palatino Linotype"/>
        </w:rPr>
        <w:t xml:space="preserve"> resp</w:t>
      </w:r>
      <w:r>
        <w:rPr>
          <w:rFonts w:ascii="Palatino Linotype" w:eastAsia="Palatino Linotype" w:hAnsi="Palatino Linotype" w:cs="Palatino Linotype"/>
          <w:color w:val="000000"/>
        </w:rPr>
        <w:t>e</w:t>
      </w:r>
      <w:r>
        <w:rPr>
          <w:rFonts w:ascii="Palatino Linotype" w:eastAsia="Palatino Linotype" w:hAnsi="Palatino Linotype" w:cs="Palatino Linotype"/>
        </w:rPr>
        <w:t xml:space="preserve">cto de los requerimientos que no fueron manifestados en el recurso de revisión, debe entenderse como </w:t>
      </w:r>
      <w:r>
        <w:rPr>
          <w:rFonts w:ascii="Palatino Linotype" w:eastAsia="Palatino Linotype" w:hAnsi="Palatino Linotype" w:cs="Palatino Linotype"/>
          <w:b/>
          <w:bCs/>
        </w:rPr>
        <w:t>actos consentidos</w:t>
      </w:r>
      <w:r>
        <w:rPr>
          <w:rFonts w:ascii="Palatino Linotype" w:eastAsia="Palatino Linotype" w:hAnsi="Palatino Linotype" w:cs="Palatino Linotype"/>
        </w:rPr>
        <w:t>.</w:t>
      </w:r>
    </w:p>
    <w:p w:rsidR="00296557" w:rsidRDefault="00296557">
      <w:pPr>
        <w:pBdr>
          <w:top w:val="nil"/>
          <w:left w:val="nil"/>
          <w:bottom w:val="nil"/>
          <w:right w:val="nil"/>
          <w:between w:val="nil"/>
        </w:pBdr>
        <w:spacing w:line="360" w:lineRule="auto"/>
        <w:ind w:right="-1071"/>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así, debido a que cuando el recurrente impugna la respuesta del sujeto obligado y éste no expresa </w:t>
      </w:r>
      <w:r>
        <w:rPr>
          <w:rFonts w:ascii="Palatino Linotype" w:eastAsia="Palatino Linotype" w:hAnsi="Palatino Linotype" w:cs="Palatino Linotype"/>
          <w:color w:val="000000"/>
        </w:rPr>
        <w:t>razón</w:t>
      </w:r>
      <w:r>
        <w:rPr>
          <w:rFonts w:ascii="Palatino Linotype" w:eastAsia="Palatino Linotype" w:hAnsi="Palatino Linotype" w:cs="Palatino Linotype"/>
        </w:rPr>
        <w:t xml:space="preserve">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“REVISIÓN EN AMPARO. LOS RESOLUTIVOS NO COMBATIDOS DEBEN DECLARARSE FIRMES. </w:t>
      </w:r>
      <w:r>
        <w:rPr>
          <w:rFonts w:ascii="Palatino Linotype" w:eastAsia="Palatino Linotype" w:hAnsi="Palatino Linotype" w:cs="Palatino Linotype"/>
          <w:i/>
          <w:iCs/>
          <w:color w:val="000000"/>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iCs/>
          <w:color w:val="000000"/>
        </w:rPr>
        <w:t> Esto es, en el caso referido, no obstante que la materia de la revisión comprende a todos los resolutivos que afectan a EL RECURRENTE, </w:t>
      </w:r>
      <w:r>
        <w:rPr>
          <w:rFonts w:ascii="Palatino Linotype" w:eastAsia="Palatino Linotype" w:hAnsi="Palatino Linotype" w:cs="Palatino Linotype"/>
          <w:i/>
          <w:iCs/>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iCs/>
          <w:color w:val="000000"/>
        </w:rPr>
        <w:t>.”</w:t>
      </w:r>
    </w:p>
    <w:p w:rsidR="00296557" w:rsidRDefault="00296557">
      <w:pPr>
        <w:pBdr>
          <w:top w:val="nil"/>
          <w:left w:val="nil"/>
          <w:bottom w:val="nil"/>
          <w:right w:val="nil"/>
          <w:between w:val="nil"/>
        </w:pBdr>
        <w:spacing w:line="360" w:lineRule="auto"/>
        <w:ind w:left="426" w:right="-1071"/>
        <w:jc w:val="center"/>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Consecutivamente, </w:t>
      </w:r>
      <w:r>
        <w:rPr>
          <w:rFonts w:ascii="Palatino Linotype" w:eastAsia="Palatino Linotype" w:hAnsi="Palatino Linotype" w:cs="Palatino Linotype"/>
          <w:b/>
          <w:bCs/>
        </w:rPr>
        <w:t xml:space="preserve">la parte de la respuesta que no fue impugnada debe declararse consentida por el recurrente, toda vez que no realizó </w:t>
      </w:r>
      <w:r>
        <w:rPr>
          <w:rFonts w:ascii="Palatino Linotype" w:eastAsia="Palatino Linotype" w:hAnsi="Palatino Linotype" w:cs="Palatino Linotype"/>
        </w:rPr>
        <w:t>manifestaciones</w:t>
      </w:r>
      <w:r>
        <w:rPr>
          <w:rFonts w:ascii="Palatino Linotype" w:eastAsia="Palatino Linotype" w:hAnsi="Palatino Linotype" w:cs="Palatino Linotype"/>
          <w:b/>
          <w:bCs/>
        </w:rPr>
        <w:t xml:space="preserve"> </w:t>
      </w:r>
      <w:r>
        <w:rPr>
          <w:rFonts w:ascii="Palatino Linotype" w:eastAsia="Palatino Linotype" w:hAnsi="Palatino Linotype" w:cs="Palatino Linotype"/>
        </w:rPr>
        <w:t>de</w:t>
      </w:r>
      <w:r>
        <w:rPr>
          <w:rFonts w:ascii="Palatino Linotype" w:eastAsia="Palatino Linotype" w:hAnsi="Palatino Linotype" w:cs="Palatino Linotype"/>
          <w:b/>
          <w:bCs/>
        </w:rPr>
        <w:t xml:space="preserve"> inconformidad</w:t>
      </w:r>
      <w:r>
        <w:rPr>
          <w:rFonts w:ascii="Palatino Linotype" w:eastAsia="Palatino Linotype" w:hAnsi="Palatino Linotype" w:cs="Palatino Linotype"/>
        </w:rPr>
        <w:t xml:space="preserve">; por lo que, no pueden producirse efectos jurídicos tendentes a revocar, confirmar o modificar el acto reclamado ya que </w:t>
      </w:r>
      <w:r>
        <w:rPr>
          <w:rFonts w:ascii="Palatino Linotype" w:eastAsia="Palatino Linotype" w:hAnsi="Palatino Linotype" w:cs="Palatino Linotype"/>
          <w:b/>
          <w:bCs/>
        </w:rPr>
        <w:t>se infiere su consentimiento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ante la falta de impugnación </w:t>
      </w:r>
      <w:r>
        <w:rPr>
          <w:rFonts w:ascii="Palatino Linotype" w:eastAsia="Palatino Linotype" w:hAnsi="Palatino Linotype" w:cs="Palatino Linotype"/>
        </w:rPr>
        <w:t>eficaz. Sirve de sustento a lo anterior por analogía la tesis jurisprudencial número 176,608 del Semanario Judicial de la Federación y su Gaceta que a la letra dice:</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“ACTOS CONSENTIDOS. SON LOS QUE NO SE IMPUGNAN MEDIANTE EL RECURSO IDÓNEO. </w:t>
      </w:r>
      <w:r>
        <w:rPr>
          <w:rFonts w:ascii="Palatino Linotype" w:eastAsia="Palatino Linotype" w:hAnsi="Palatino Linotype" w:cs="Palatino Linotype"/>
          <w:i/>
          <w:iCs/>
          <w:color w:val="000000"/>
          <w:u w:val="single"/>
        </w:rPr>
        <w:t>Debe reputarse como consentido el acto que no se impugnó por el medio establecido por la ley</w:t>
      </w:r>
      <w:r>
        <w:rPr>
          <w:rFonts w:ascii="Palatino Linotype" w:eastAsia="Palatino Linotype" w:hAnsi="Palatino Linotype" w:cs="Palatino Linotype"/>
          <w:i/>
          <w:iCs/>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96557" w:rsidRDefault="00296557">
      <w:pPr>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Continuando con el estudio subsisten los puntos de inconformidad relativos a los puntos de solicitud siguientes:</w:t>
      </w:r>
    </w:p>
    <w:p w:rsidR="00296557" w:rsidRDefault="00767B3E">
      <w:pPr>
        <w:numPr>
          <w:ilvl w:val="0"/>
          <w:numId w:val="9"/>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Autoridad o persona que asumirá las funciones jurisdiccionales que desempeñaba el servidor público inhabilitado. </w:t>
      </w:r>
    </w:p>
    <w:p w:rsidR="00296557" w:rsidRDefault="00767B3E">
      <w:pPr>
        <w:numPr>
          <w:ilvl w:val="0"/>
          <w:numId w:val="9"/>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Procedimiento aplicable para la designación o elección de la persona que sustituirá al juez inhabilitado. </w:t>
      </w:r>
    </w:p>
    <w:p w:rsidR="00296557" w:rsidRDefault="00767B3E">
      <w:pPr>
        <w:numPr>
          <w:ilvl w:val="0"/>
          <w:numId w:val="9"/>
        </w:numPr>
        <w:pBdr>
          <w:top w:val="nil"/>
          <w:left w:val="nil"/>
          <w:bottom w:val="nil"/>
          <w:right w:val="nil"/>
          <w:between w:val="nil"/>
        </w:pBdr>
        <w:ind w:left="993"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Fundamento constitucional y legal que sustenta el procedimiento de sustitución del juez inhabilitado. </w:t>
      </w:r>
    </w:p>
    <w:p w:rsidR="00296557" w:rsidRDefault="00767B3E">
      <w:pPr>
        <w:numPr>
          <w:ilvl w:val="0"/>
          <w:numId w:val="9"/>
        </w:numPr>
        <w:pBdr>
          <w:top w:val="nil"/>
          <w:left w:val="nil"/>
          <w:bottom w:val="nil"/>
          <w:right w:val="nil"/>
          <w:between w:val="nil"/>
        </w:pBdr>
        <w:ind w:left="993" w:right="-1071"/>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Listado de las personas que, en su caso, sustituirán o asumirán temporal o definitivamente el cargo del juez inhabilitado.</w:t>
      </w:r>
    </w:p>
    <w:p w:rsidR="00296557" w:rsidRDefault="00296557">
      <w:pPr>
        <w:pBdr>
          <w:top w:val="nil"/>
          <w:left w:val="nil"/>
          <w:bottom w:val="nil"/>
          <w:right w:val="nil"/>
          <w:between w:val="nil"/>
        </w:pBdr>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Posteriormente</w:t>
      </w:r>
      <w:r>
        <w:rPr>
          <w:rFonts w:ascii="Palatino Linotype" w:eastAsia="Palatino Linotype" w:hAnsi="Palatino Linotype" w:cs="Palatino Linotype"/>
          <w:color w:val="000000"/>
        </w:rPr>
        <w:t xml:space="preserve">, a través de informe justificado, el Sujeto Obligado ratificó su respuesta remitiendo el Acta de sesión ordinaria 02/2026, del Comité de Transparencia y Justicia Abierta del Poder Judicial del Estado de México en la que mediante acuerdo SO/02/2026/04: Se </w:t>
      </w:r>
      <w:r>
        <w:rPr>
          <w:rFonts w:ascii="Palatino Linotype" w:eastAsia="Palatino Linotype" w:hAnsi="Palatino Linotype" w:cs="Palatino Linotype"/>
          <w:b/>
          <w:bCs/>
          <w:color w:val="000000"/>
        </w:rPr>
        <w:t>CONFIRMA</w:t>
      </w:r>
      <w:r>
        <w:rPr>
          <w:rFonts w:ascii="Palatino Linotype" w:eastAsia="Palatino Linotype" w:hAnsi="Palatino Linotype" w:cs="Palatino Linotype"/>
          <w:color w:val="000000"/>
        </w:rPr>
        <w:t xml:space="preserve"> por UNANIMIDAD </w:t>
      </w:r>
      <w:r>
        <w:rPr>
          <w:rFonts w:ascii="Palatino Linotype" w:eastAsia="Palatino Linotype" w:hAnsi="Palatino Linotype" w:cs="Palatino Linotype"/>
          <w:b/>
          <w:bCs/>
          <w:color w:val="000000"/>
        </w:rPr>
        <w:t xml:space="preserve">la clasificación de la Resolución de fecha veintitrés de enero de dos mil veintiséis, del Tribunal de Disciplina Judicial del Poder Judicial del Estado de México, Procedimiento de Responsabilidad Administrativa, como información reservada por un periodo de Un año y medio o en tanto quede firme, </w:t>
      </w:r>
      <w:r>
        <w:rPr>
          <w:rFonts w:ascii="Palatino Linotype" w:eastAsia="Palatino Linotype" w:hAnsi="Palatino Linotype" w:cs="Palatino Linotype"/>
          <w:color w:val="000000"/>
        </w:rPr>
        <w:t>reiterando además que:</w:t>
      </w: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 xml:space="preserve">… respecto de lo manifestado por el recurrente en el sentido de que </w:t>
      </w:r>
      <w:r>
        <w:rPr>
          <w:rFonts w:ascii="Palatino Linotype" w:eastAsia="Palatino Linotype" w:hAnsi="Palatino Linotype" w:cs="Palatino Linotype"/>
          <w:i/>
          <w:iCs/>
          <w:color w:val="000000"/>
          <w:u w:val="single"/>
        </w:rPr>
        <w:t>no se proporcionó información relativa a la autoridad o persona que asumirá las funciones jurisdiccionales que desempeñaba el servidor público inhabilitado, así como el listado de las personas que, en su caso, podrían sustituirlo</w:t>
      </w:r>
      <w:r>
        <w:rPr>
          <w:rFonts w:ascii="Palatino Linotype" w:eastAsia="Palatino Linotype" w:hAnsi="Palatino Linotype" w:cs="Palatino Linotype"/>
          <w:i/>
          <w:iCs/>
          <w:color w:val="000000"/>
        </w:rPr>
        <w:t xml:space="preserve">, es preciso señalar que </w:t>
      </w:r>
      <w:r>
        <w:rPr>
          <w:rFonts w:ascii="Palatino Linotype" w:eastAsia="Palatino Linotype" w:hAnsi="Palatino Linotype" w:cs="Palatino Linotype"/>
          <w:b/>
          <w:bCs/>
          <w:i/>
          <w:iCs/>
          <w:color w:val="000000"/>
        </w:rPr>
        <w:t xml:space="preserve">la divulgación de dichos datos implicaría revelar información directamente vinculada con el procedimiento de responsabilidad administrativa que dio origen a la resolución mencionada, el cual no ha quedado firme, al existir medios de defensa pendientes de resolución ante instancias jurisdiccionales federales. </w:t>
      </w:r>
    </w:p>
    <w:p w:rsidR="00296557" w:rsidRDefault="00296557">
      <w:pPr>
        <w:spacing w:line="360" w:lineRule="auto"/>
        <w:ind w:left="426" w:right="-1071"/>
        <w:jc w:val="both"/>
        <w:rPr>
          <w:rFonts w:ascii="Palatino Linotype" w:eastAsia="Palatino Linotype" w:hAnsi="Palatino Linotype" w:cs="Palatino Linotype"/>
          <w:i/>
          <w:iCs/>
          <w:color w:val="000000"/>
        </w:rPr>
      </w:pP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ese sentido, </w:t>
      </w:r>
      <w:r>
        <w:rPr>
          <w:rFonts w:ascii="Palatino Linotype" w:eastAsia="Palatino Linotype" w:hAnsi="Palatino Linotype" w:cs="Palatino Linotype"/>
          <w:b/>
          <w:bCs/>
          <w:i/>
          <w:iCs/>
          <w:color w:val="000000"/>
        </w:rPr>
        <w:t>proporcionar información</w:t>
      </w:r>
      <w:r>
        <w:rPr>
          <w:rFonts w:ascii="Palatino Linotype" w:eastAsia="Palatino Linotype" w:hAnsi="Palatino Linotype" w:cs="Palatino Linotype"/>
          <w:i/>
          <w:iCs/>
          <w:color w:val="000000"/>
        </w:rPr>
        <w:t xml:space="preserve"> que permita identificar a la persona que eventualmente asumiría las funciones jurisdiccionales del servidor público involucrado, o bien revelar el listado de posibles sustitutos, </w:t>
      </w:r>
      <w:r>
        <w:rPr>
          <w:rFonts w:ascii="Palatino Linotype" w:eastAsia="Palatino Linotype" w:hAnsi="Palatino Linotype" w:cs="Palatino Linotype"/>
          <w:b/>
          <w:bCs/>
          <w:i/>
          <w:iCs/>
          <w:color w:val="000000"/>
        </w:rPr>
        <w:t>haría posible inferir elementos sustanciales del procedimiento disciplinario en trámite, así como aspectos relativos a la ejecución de la determinación adoptada por el Tribunal de Disciplina Judicial, lo cual se encuentra estrechamente vinculado con el expediente respectivo</w:t>
      </w:r>
      <w:r>
        <w:rPr>
          <w:rFonts w:ascii="Palatino Linotype" w:eastAsia="Palatino Linotype" w:hAnsi="Palatino Linotype" w:cs="Palatino Linotype"/>
          <w:i/>
          <w:iCs/>
          <w:color w:val="000000"/>
        </w:rPr>
        <w:t xml:space="preserve">. </w:t>
      </w:r>
    </w:p>
    <w:p w:rsidR="00296557" w:rsidRDefault="00296557">
      <w:pPr>
        <w:spacing w:line="360" w:lineRule="auto"/>
        <w:ind w:left="426" w:right="-1071"/>
        <w:jc w:val="both"/>
        <w:rPr>
          <w:rFonts w:ascii="Palatino Linotype" w:eastAsia="Palatino Linotype" w:hAnsi="Palatino Linotype" w:cs="Palatino Linotype"/>
          <w:i/>
          <w:iCs/>
          <w:color w:val="000000"/>
        </w:rPr>
      </w:pP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consecuencia, </w:t>
      </w:r>
      <w:r>
        <w:rPr>
          <w:rFonts w:ascii="Palatino Linotype" w:eastAsia="Palatino Linotype" w:hAnsi="Palatino Linotype" w:cs="Palatino Linotype"/>
          <w:b/>
          <w:bCs/>
          <w:i/>
          <w:iCs/>
          <w:color w:val="000000"/>
        </w:rPr>
        <w:t>su divulgación contravendría la clasificación de información previamente aprobada</w:t>
      </w:r>
      <w:r>
        <w:rPr>
          <w:rFonts w:ascii="Palatino Linotype" w:eastAsia="Palatino Linotype" w:hAnsi="Palatino Linotype" w:cs="Palatino Linotype"/>
          <w:i/>
          <w:iCs/>
          <w:color w:val="000000"/>
        </w:rPr>
        <w:t xml:space="preserve"> por el Comité de Transparencia y Justicia Abierta del Poder Judicial del Estado de México mediante acuerdo SO/02/2026/04, ya que permitiría hacer identificable información que actualmente se encuentra reservada, generando un riesgo real, demostrable e identificable de afectar la conducción del procedimiento administrativo y los derechos inherentes al debido proceso, en términos de lo previsto por el artículo 140, fracciones VIII y X, de la Ley de Transparencia y Acceso a la Información Pública del Estado de México y Municipios. </w:t>
      </w:r>
    </w:p>
    <w:p w:rsidR="00296557" w:rsidRDefault="00296557">
      <w:pPr>
        <w:spacing w:line="360" w:lineRule="auto"/>
        <w:ind w:left="426" w:right="-1071"/>
        <w:jc w:val="both"/>
        <w:rPr>
          <w:rFonts w:ascii="Palatino Linotype" w:eastAsia="Palatino Linotype" w:hAnsi="Palatino Linotype" w:cs="Palatino Linotype"/>
          <w:i/>
          <w:iCs/>
          <w:color w:val="000000"/>
        </w:rPr>
      </w:pP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Por lo anterior, aun cuando el solicitante requiera conocer la autoridad o persona que asumiría las funciones jurisdiccionales o el listado de posibles sustitutos, </w:t>
      </w:r>
      <w:r>
        <w:rPr>
          <w:rFonts w:ascii="Palatino Linotype" w:eastAsia="Palatino Linotype" w:hAnsi="Palatino Linotype" w:cs="Palatino Linotype"/>
          <w:b/>
          <w:bCs/>
          <w:i/>
          <w:iCs/>
          <w:color w:val="000000"/>
        </w:rPr>
        <w:t xml:space="preserve">dicha información no puede ser proporcionada en tanto subsista la causal de reserva, pues hacerlo implicaría revelar </w:t>
      </w:r>
      <w:r>
        <w:rPr>
          <w:rFonts w:ascii="Palatino Linotype" w:eastAsia="Palatino Linotype" w:hAnsi="Palatino Linotype" w:cs="Palatino Linotype"/>
          <w:b/>
          <w:bCs/>
          <w:i/>
          <w:iCs/>
          <w:color w:val="000000"/>
        </w:rPr>
        <w:lastRenderedPageBreak/>
        <w:t>indirectamente información contenida en un procedimiento que se encuentra sub judice</w:t>
      </w:r>
      <w:r>
        <w:rPr>
          <w:rFonts w:ascii="Palatino Linotype" w:eastAsia="Palatino Linotype" w:hAnsi="Palatino Linotype" w:cs="Palatino Linotype"/>
          <w:i/>
          <w:iCs/>
          <w:color w:val="000000"/>
        </w:rPr>
        <w:t>, lo que resultaría contrario a los principios de legalidad, certeza y protección del debido proceso que deben observar los sujetos obligados en materia de acceso a la información.</w:t>
      </w: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767B3E">
      <w:pPr>
        <w:spacing w:line="360" w:lineRule="auto"/>
        <w:ind w:left="426"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También se considera reservada la información</w:t>
      </w:r>
      <w:r>
        <w:rPr>
          <w:rFonts w:ascii="Palatino Linotype" w:eastAsia="Palatino Linotype" w:hAnsi="Palatino Linotype" w:cs="Palatino Linotype"/>
          <w:i/>
          <w:iCs/>
          <w:color w:val="000000"/>
        </w:rPr>
        <w:t xml:space="preserve"> que vulnere la conducción de expedientes judiciales o administrativos seguidos en forma de juicio, especialmente </w:t>
      </w:r>
      <w:r>
        <w:rPr>
          <w:rFonts w:ascii="Palatino Linotype" w:eastAsia="Palatino Linotype" w:hAnsi="Palatino Linotype" w:cs="Palatino Linotype"/>
          <w:b/>
          <w:bCs/>
          <w:i/>
          <w:iCs/>
          <w:color w:val="000000"/>
        </w:rPr>
        <w:t>cuando se trate de actuaciones o constancias del procedimiento aún no resuelto.</w:t>
      </w:r>
    </w:p>
    <w:p w:rsidR="00296557" w:rsidRDefault="00767B3E">
      <w:pPr>
        <w:spacing w:line="360" w:lineRule="auto"/>
        <w:ind w:left="426"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w:t>
      </w:r>
    </w:p>
    <w:p w:rsidR="00296557" w:rsidRDefault="00767B3E">
      <w:pPr>
        <w:spacing w:line="360" w:lineRule="auto"/>
        <w:ind w:left="426"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De todo lo anterior, </w:t>
      </w:r>
      <w:r>
        <w:rPr>
          <w:rFonts w:ascii="Palatino Linotype" w:eastAsia="Palatino Linotype" w:hAnsi="Palatino Linotype" w:cs="Palatino Linotype"/>
          <w:b/>
          <w:bCs/>
          <w:i/>
          <w:iCs/>
          <w:color w:val="000000"/>
        </w:rPr>
        <w:t>revelar la identidad de la persona que asumiría las funciones jurisdiccionales del servidor público inhabilitado o proporcionar un listado de posibles sustitutos implicaría divulgar elementos relacionados con la ejecución y consecuencias del procedimiento disciplinario actualmente impugnado, lo cual permitiría inferir información sustancial del expediente en trámite</w:t>
      </w:r>
      <w:r>
        <w:rPr>
          <w:rFonts w:ascii="Palatino Linotype" w:eastAsia="Palatino Linotype" w:hAnsi="Palatino Linotype" w:cs="Palatino Linotype"/>
          <w:i/>
          <w:iCs/>
          <w:color w:val="000000"/>
        </w:rPr>
        <w:t xml:space="preserve">. En consecuencia, su divulgación podría afectar la conducción del procedimiento y los derechos inherentes al debido proceso, motivo por el cual </w:t>
      </w:r>
      <w:r>
        <w:rPr>
          <w:rFonts w:ascii="Palatino Linotype" w:eastAsia="Palatino Linotype" w:hAnsi="Palatino Linotype" w:cs="Palatino Linotype"/>
          <w:b/>
          <w:bCs/>
          <w:i/>
          <w:iCs/>
          <w:color w:val="000000"/>
        </w:rPr>
        <w:t>dicha información se encuentra válidamente clasificada como reservada</w:t>
      </w:r>
      <w:r>
        <w:rPr>
          <w:rFonts w:ascii="Palatino Linotype" w:eastAsia="Palatino Linotype" w:hAnsi="Palatino Linotype" w:cs="Palatino Linotype"/>
          <w:i/>
          <w:iCs/>
          <w:color w:val="000000"/>
        </w:rPr>
        <w:t xml:space="preserve"> conforme a los criterios emitidos por el Sistema Nacional de Transparencia, el Instituto Nacional de Transparencia y la Suprema Corte de Justicia de la Nación.</w:t>
      </w:r>
    </w:p>
    <w:p w:rsidR="00296557" w:rsidRDefault="00767B3E">
      <w:pPr>
        <w:pBdr>
          <w:top w:val="nil"/>
          <w:left w:val="nil"/>
          <w:bottom w:val="nil"/>
          <w:right w:val="nil"/>
          <w:between w:val="nil"/>
        </w:pBdr>
        <w:ind w:right="-107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Al </w:t>
      </w:r>
      <w:r>
        <w:rPr>
          <w:rFonts w:ascii="Palatino Linotype" w:eastAsia="Palatino Linotype" w:hAnsi="Palatino Linotype" w:cs="Palatino Linotype"/>
        </w:rPr>
        <w:t>respecto</w:t>
      </w:r>
      <w:r>
        <w:rPr>
          <w:rFonts w:ascii="Palatino Linotype" w:eastAsia="Palatino Linotype" w:hAnsi="Palatino Linotype" w:cs="Palatino Linotype"/>
          <w:color w:val="0D0D0D"/>
        </w:rPr>
        <w:t xml:space="preserve">, el artículo 140, fracciones VI, VIII y X, de la Ley de Transparencia y Acceso a la Información Pública del Estado de México y Municipios establecen que será información </w:t>
      </w:r>
      <w:r>
        <w:rPr>
          <w:rFonts w:ascii="Palatino Linotype" w:eastAsia="Palatino Linotype" w:hAnsi="Palatino Linotype" w:cs="Palatino Linotype"/>
          <w:b/>
          <w:bCs/>
          <w:color w:val="0D0D0D"/>
        </w:rPr>
        <w:t>RESERVADA</w:t>
      </w:r>
      <w:r>
        <w:rPr>
          <w:rFonts w:ascii="Palatino Linotype" w:eastAsia="Palatino Linotype" w:hAnsi="Palatino Linotype" w:cs="Palatino Linotype"/>
          <w:color w:val="0D0D0D"/>
        </w:rPr>
        <w:t xml:space="preserve">, aquella que vulnere la conducción de los </w:t>
      </w:r>
      <w:r>
        <w:rPr>
          <w:rFonts w:ascii="Palatino Linotype" w:eastAsia="Palatino Linotype" w:hAnsi="Palatino Linotype" w:cs="Palatino Linotype"/>
          <w:b/>
          <w:bCs/>
          <w:color w:val="0D0D0D"/>
        </w:rPr>
        <w:t>expedientes judiciales</w:t>
      </w:r>
      <w:r>
        <w:rPr>
          <w:rFonts w:ascii="Palatino Linotype" w:eastAsia="Palatino Linotype" w:hAnsi="Palatino Linotype" w:cs="Palatino Linotype"/>
          <w:color w:val="0D0D0D"/>
        </w:rPr>
        <w:t xml:space="preserve"> o de los </w:t>
      </w:r>
      <w:r>
        <w:rPr>
          <w:rFonts w:ascii="Palatino Linotype" w:eastAsia="Palatino Linotype" w:hAnsi="Palatino Linotype" w:cs="Palatino Linotype"/>
          <w:b/>
          <w:bCs/>
          <w:color w:val="0D0D0D"/>
        </w:rPr>
        <w:t>procedimientos administrativos seguidos en forma de juicio</w:t>
      </w:r>
      <w:r>
        <w:rPr>
          <w:rFonts w:ascii="Palatino Linotype" w:eastAsia="Palatino Linotype" w:hAnsi="Palatino Linotype" w:cs="Palatino Linotype"/>
          <w:color w:val="0D0D0D"/>
        </w:rPr>
        <w:t xml:space="preserve">, en tanto no hayan quedado firmes. </w:t>
      </w:r>
    </w:p>
    <w:p w:rsidR="00296557" w:rsidRDefault="00296557">
      <w:pPr>
        <w:spacing w:line="360" w:lineRule="auto"/>
        <w:ind w:right="-1071"/>
        <w:jc w:val="both"/>
        <w:rPr>
          <w:rFonts w:ascii="Palatino Linotype" w:eastAsia="Palatino Linotype" w:hAnsi="Palatino Linotype" w:cs="Palatino Linotype"/>
          <w:color w:val="0D0D0D"/>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lastRenderedPageBreak/>
        <w:t xml:space="preserve">En ese </w:t>
      </w:r>
      <w:r>
        <w:rPr>
          <w:rFonts w:ascii="Palatino Linotype" w:eastAsia="Palatino Linotype" w:hAnsi="Palatino Linotype" w:cs="Palatino Linotype"/>
          <w:color w:val="000000"/>
        </w:rPr>
        <w:t>sentido</w:t>
      </w:r>
      <w:r>
        <w:rPr>
          <w:rFonts w:ascii="Palatino Linotype" w:eastAsia="Palatino Linotype" w:hAnsi="Palatino Linotype" w:cs="Palatino Linotype"/>
          <w:color w:val="0D0D0D"/>
        </w:rPr>
        <w:t xml:space="preserve">, los </w:t>
      </w:r>
      <w:r>
        <w:rPr>
          <w:rFonts w:ascii="Palatino Linotype" w:eastAsia="Palatino Linotype" w:hAnsi="Palatino Linotype" w:cs="Palatino Linotype"/>
          <w:color w:val="000000"/>
        </w:rPr>
        <w:t xml:space="preserve">Lineamientos Generales en Materia de Clasificación y Desclasificación de la Información, así como para la Elaboración de Versiones Públicas –Lineamientos Generales-, </w:t>
      </w:r>
      <w:r>
        <w:rPr>
          <w:rFonts w:ascii="Palatino Linotype" w:eastAsia="Palatino Linotype" w:hAnsi="Palatino Linotype" w:cs="Palatino Linotype"/>
          <w:color w:val="0D0D0D"/>
        </w:rPr>
        <w:t>prevén lo siguiente:</w:t>
      </w:r>
    </w:p>
    <w:p w:rsidR="00296557" w:rsidRDefault="00767B3E">
      <w:pPr>
        <w:ind w:left="567" w:right="-1071"/>
        <w:jc w:val="both"/>
        <w:rPr>
          <w:rFonts w:ascii="Palatino Linotype" w:eastAsia="Palatino Linotype" w:hAnsi="Palatino Linotype" w:cs="Palatino Linotype"/>
          <w:i/>
          <w:iCs/>
          <w:color w:val="0D0D0D"/>
        </w:rPr>
      </w:pPr>
      <w:r>
        <w:rPr>
          <w:rFonts w:ascii="Palatino Linotype" w:eastAsia="Palatino Linotype" w:hAnsi="Palatino Linotype" w:cs="Palatino Linotype"/>
          <w:b/>
          <w:bCs/>
          <w:i/>
          <w:iCs/>
          <w:color w:val="0D0D0D"/>
        </w:rPr>
        <w:t>“Trigésimo.</w:t>
      </w:r>
      <w:r>
        <w:rPr>
          <w:rFonts w:ascii="Palatino Linotype" w:eastAsia="Palatino Linotype" w:hAnsi="Palatino Linotype" w:cs="Palatino Linotype"/>
          <w:i/>
          <w:iCs/>
          <w:color w:val="0D0D0D"/>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296557" w:rsidRDefault="00296557">
      <w:pPr>
        <w:ind w:left="567" w:right="-1071"/>
        <w:jc w:val="both"/>
        <w:rPr>
          <w:rFonts w:ascii="Palatino Linotype" w:eastAsia="Palatino Linotype" w:hAnsi="Palatino Linotype" w:cs="Palatino Linotype"/>
          <w:i/>
          <w:iCs/>
          <w:color w:val="0D0D0D"/>
        </w:rPr>
      </w:pPr>
    </w:p>
    <w:p w:rsidR="00296557" w:rsidRDefault="00767B3E">
      <w:pPr>
        <w:ind w:left="567" w:right="-1071"/>
        <w:jc w:val="both"/>
        <w:rPr>
          <w:rFonts w:ascii="Palatino Linotype" w:eastAsia="Palatino Linotype" w:hAnsi="Palatino Linotype" w:cs="Palatino Linotype"/>
          <w:i/>
          <w:iCs/>
        </w:rPr>
      </w:pPr>
      <w:r>
        <w:rPr>
          <w:rFonts w:ascii="Palatino Linotype" w:eastAsia="Palatino Linotype" w:hAnsi="Palatino Linotype" w:cs="Palatino Linotype"/>
          <w:b/>
          <w:bCs/>
          <w:i/>
          <w:iCs/>
        </w:rPr>
        <w:t>I.</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u w:val="single"/>
        </w:rPr>
        <w:t>La existencia de un juicio</w:t>
      </w:r>
      <w:r>
        <w:rPr>
          <w:rFonts w:ascii="Palatino Linotype" w:eastAsia="Palatino Linotype" w:hAnsi="Palatino Linotype" w:cs="Palatino Linotype"/>
          <w:i/>
          <w:iCs/>
        </w:rPr>
        <w:t xml:space="preserve"> o procedimiento administrativo materialmente jurisdiccional, que se encuentre en trámite; </w:t>
      </w:r>
    </w:p>
    <w:p w:rsidR="00296557" w:rsidRDefault="00296557">
      <w:pPr>
        <w:ind w:left="567" w:right="-1071"/>
        <w:jc w:val="both"/>
        <w:rPr>
          <w:rFonts w:ascii="Palatino Linotype" w:eastAsia="Palatino Linotype" w:hAnsi="Palatino Linotype" w:cs="Palatino Linotype"/>
          <w:i/>
          <w:iCs/>
        </w:rPr>
      </w:pPr>
    </w:p>
    <w:p w:rsidR="00296557" w:rsidRDefault="00767B3E">
      <w:pPr>
        <w:ind w:left="567" w:right="-1071"/>
        <w:jc w:val="both"/>
        <w:rPr>
          <w:rFonts w:ascii="Palatino Linotype" w:eastAsia="Palatino Linotype" w:hAnsi="Palatino Linotype" w:cs="Palatino Linotype"/>
          <w:i/>
          <w:iCs/>
        </w:rPr>
      </w:pPr>
      <w:r>
        <w:rPr>
          <w:rFonts w:ascii="Palatino Linotype" w:eastAsia="Palatino Linotype" w:hAnsi="Palatino Linotype" w:cs="Palatino Linotype"/>
          <w:b/>
          <w:bCs/>
          <w:i/>
          <w:iCs/>
        </w:rPr>
        <w:t>II.</w:t>
      </w: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Que la información solicitada se refiera a actuaciones, diligencias o constancias propias del procedimiento</w:t>
      </w:r>
      <w:r>
        <w:rPr>
          <w:rFonts w:ascii="Palatino Linotype" w:eastAsia="Palatino Linotype" w:hAnsi="Palatino Linotype" w:cs="Palatino Linotype"/>
          <w:i/>
          <w:iCs/>
        </w:rPr>
        <w:t>; y</w:t>
      </w:r>
    </w:p>
    <w:p w:rsidR="00296557" w:rsidRDefault="00296557">
      <w:pPr>
        <w:ind w:right="-1071"/>
        <w:jc w:val="both"/>
        <w:rPr>
          <w:rFonts w:ascii="Palatino Linotype" w:eastAsia="Palatino Linotype" w:hAnsi="Palatino Linotype" w:cs="Palatino Linotype"/>
          <w:i/>
          <w:iCs/>
          <w:color w:val="0D0D0D"/>
        </w:rPr>
      </w:pPr>
    </w:p>
    <w:p w:rsidR="00296557" w:rsidRDefault="00767B3E">
      <w:pPr>
        <w:ind w:left="567" w:right="-1071"/>
        <w:jc w:val="both"/>
        <w:rPr>
          <w:rFonts w:ascii="Palatino Linotype" w:eastAsia="Palatino Linotype" w:hAnsi="Palatino Linotype" w:cs="Palatino Linotype"/>
          <w:i/>
          <w:iCs/>
          <w:color w:val="0D0D0D"/>
        </w:rPr>
      </w:pPr>
      <w:r>
        <w:rPr>
          <w:rFonts w:ascii="Palatino Linotype" w:eastAsia="Palatino Linotype" w:hAnsi="Palatino Linotype" w:cs="Palatino Linotype"/>
          <w:i/>
          <w:iCs/>
          <w:color w:val="0D0D0D"/>
        </w:rPr>
        <w:t xml:space="preserve">Para los efectos del primer párrafo de este numeral, se considera procedimiento seguido en forma de juicio a aquel formalmente administrativo, pero materialmente jurisdiccional; esto es, en el que concurran los siguientes elementos: </w:t>
      </w:r>
    </w:p>
    <w:p w:rsidR="00296557" w:rsidRDefault="00296557">
      <w:pPr>
        <w:ind w:left="567" w:right="-1071"/>
        <w:jc w:val="both"/>
        <w:rPr>
          <w:rFonts w:ascii="Palatino Linotype" w:eastAsia="Palatino Linotype" w:hAnsi="Palatino Linotype" w:cs="Palatino Linotype"/>
          <w:i/>
          <w:iCs/>
          <w:color w:val="0D0D0D"/>
        </w:rPr>
      </w:pPr>
    </w:p>
    <w:p w:rsidR="00296557" w:rsidRDefault="00767B3E">
      <w:pPr>
        <w:ind w:left="567" w:right="-1071"/>
        <w:jc w:val="both"/>
        <w:rPr>
          <w:rFonts w:ascii="Palatino Linotype" w:eastAsia="Palatino Linotype" w:hAnsi="Palatino Linotype" w:cs="Palatino Linotype"/>
          <w:i/>
          <w:iCs/>
          <w:color w:val="0D0D0D"/>
        </w:rPr>
      </w:pPr>
      <w:r>
        <w:rPr>
          <w:rFonts w:ascii="Palatino Linotype" w:eastAsia="Palatino Linotype" w:hAnsi="Palatino Linotype" w:cs="Palatino Linotype"/>
          <w:b/>
          <w:bCs/>
          <w:i/>
          <w:iCs/>
          <w:color w:val="0D0D0D"/>
        </w:rPr>
        <w:t>1.</w:t>
      </w:r>
      <w:r>
        <w:rPr>
          <w:rFonts w:ascii="Palatino Linotype" w:eastAsia="Palatino Linotype" w:hAnsi="Palatino Linotype" w:cs="Palatino Linotype"/>
          <w:i/>
          <w:iCs/>
          <w:color w:val="0D0D0D"/>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296557" w:rsidRDefault="00296557">
      <w:pPr>
        <w:ind w:left="567" w:right="-1071"/>
        <w:jc w:val="both"/>
        <w:rPr>
          <w:rFonts w:ascii="Palatino Linotype" w:eastAsia="Palatino Linotype" w:hAnsi="Palatino Linotype" w:cs="Palatino Linotype"/>
          <w:i/>
          <w:iCs/>
          <w:color w:val="0D0D0D"/>
        </w:rPr>
      </w:pPr>
    </w:p>
    <w:p w:rsidR="00296557" w:rsidRDefault="00767B3E">
      <w:pPr>
        <w:ind w:left="567" w:right="-1071"/>
        <w:jc w:val="both"/>
        <w:rPr>
          <w:rFonts w:ascii="Palatino Linotype" w:eastAsia="Palatino Linotype" w:hAnsi="Palatino Linotype" w:cs="Palatino Linotype"/>
          <w:i/>
          <w:iCs/>
          <w:color w:val="0D0D0D"/>
        </w:rPr>
      </w:pPr>
      <w:r>
        <w:rPr>
          <w:rFonts w:ascii="Palatino Linotype" w:eastAsia="Palatino Linotype" w:hAnsi="Palatino Linotype" w:cs="Palatino Linotype"/>
          <w:b/>
          <w:bCs/>
          <w:i/>
          <w:iCs/>
          <w:color w:val="0D0D0D"/>
        </w:rPr>
        <w:t>2.</w:t>
      </w:r>
      <w:r>
        <w:rPr>
          <w:rFonts w:ascii="Palatino Linotype" w:eastAsia="Palatino Linotype" w:hAnsi="Palatino Linotype" w:cs="Palatino Linotype"/>
          <w:i/>
          <w:iCs/>
          <w:color w:val="0D0D0D"/>
        </w:rPr>
        <w:t xml:space="preserve"> Que se cumplan las formalidades esenciales del procedimiento. </w:t>
      </w:r>
    </w:p>
    <w:p w:rsidR="00296557" w:rsidRDefault="00296557">
      <w:pPr>
        <w:ind w:left="567" w:right="-1071"/>
        <w:jc w:val="both"/>
        <w:rPr>
          <w:rFonts w:ascii="Palatino Linotype" w:eastAsia="Palatino Linotype" w:hAnsi="Palatino Linotype" w:cs="Palatino Linotype"/>
          <w:i/>
          <w:iCs/>
          <w:color w:val="0D0D0D"/>
        </w:rPr>
      </w:pPr>
    </w:p>
    <w:p w:rsidR="00296557" w:rsidRDefault="00767B3E">
      <w:pPr>
        <w:ind w:left="567" w:right="-1071"/>
        <w:jc w:val="both"/>
        <w:rPr>
          <w:rFonts w:ascii="Palatino Linotype" w:eastAsia="Palatino Linotype" w:hAnsi="Palatino Linotype" w:cs="Palatino Linotype"/>
          <w:i/>
          <w:iCs/>
          <w:color w:val="0D0D0D"/>
        </w:rPr>
      </w:pPr>
      <w:r>
        <w:rPr>
          <w:rFonts w:ascii="Palatino Linotype" w:eastAsia="Palatino Linotype" w:hAnsi="Palatino Linotype" w:cs="Palatino Linotype"/>
          <w:i/>
          <w:iCs/>
          <w:color w:val="0D0D0D"/>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296557" w:rsidRDefault="00296557">
      <w:pPr>
        <w:spacing w:line="360" w:lineRule="auto"/>
        <w:ind w:right="-1071"/>
        <w:jc w:val="both"/>
        <w:rPr>
          <w:rFonts w:ascii="Palatino Linotype" w:eastAsia="Palatino Linotype" w:hAnsi="Palatino Linotype" w:cs="Palatino Linotype"/>
          <w:color w:val="0D0D0D"/>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D0D0D"/>
        </w:rPr>
      </w:pPr>
      <w:r>
        <w:rPr>
          <w:rFonts w:ascii="Palatino Linotype" w:eastAsia="Palatino Linotype" w:hAnsi="Palatino Linotype" w:cs="Palatino Linotype"/>
          <w:color w:val="0D0D0D"/>
        </w:rPr>
        <w:t xml:space="preserve">De </w:t>
      </w:r>
      <w:r>
        <w:rPr>
          <w:rFonts w:ascii="Palatino Linotype" w:eastAsia="Palatino Linotype" w:hAnsi="Palatino Linotype" w:cs="Palatino Linotype"/>
          <w:color w:val="000000"/>
        </w:rPr>
        <w:t>la</w:t>
      </w:r>
      <w:r>
        <w:rPr>
          <w:rFonts w:ascii="Palatino Linotype" w:eastAsia="Palatino Linotype" w:hAnsi="Palatino Linotype" w:cs="Palatino Linotype"/>
          <w:color w:val="0D0D0D"/>
        </w:rPr>
        <w:t xml:space="preserve"> </w:t>
      </w:r>
      <w:r>
        <w:rPr>
          <w:rFonts w:ascii="Palatino Linotype" w:eastAsia="Palatino Linotype" w:hAnsi="Palatino Linotype" w:cs="Palatino Linotype"/>
          <w:color w:val="000000"/>
        </w:rPr>
        <w:t>normatividad</w:t>
      </w:r>
      <w:r>
        <w:rPr>
          <w:rFonts w:ascii="Palatino Linotype" w:eastAsia="Palatino Linotype" w:hAnsi="Palatino Linotype" w:cs="Palatino Linotype"/>
          <w:color w:val="0D0D0D"/>
        </w:rPr>
        <w:t xml:space="preserve"> citada, se desprende que el supuesto de clasificación, prevé que como información </w:t>
      </w:r>
      <w:r>
        <w:rPr>
          <w:rFonts w:ascii="Palatino Linotype" w:eastAsia="Palatino Linotype" w:hAnsi="Palatino Linotype" w:cs="Palatino Linotype"/>
          <w:b/>
          <w:bCs/>
          <w:color w:val="0D0D0D"/>
        </w:rPr>
        <w:t>RESERVADA</w:t>
      </w:r>
      <w:r>
        <w:rPr>
          <w:rFonts w:ascii="Palatino Linotype" w:eastAsia="Palatino Linotype" w:hAnsi="Palatino Linotype" w:cs="Palatino Linotype"/>
          <w:color w:val="0D0D0D"/>
        </w:rPr>
        <w:t xml:space="preserve"> podrá clasificarse aquella que vulnere la conducción de los </w:t>
      </w:r>
      <w:r>
        <w:rPr>
          <w:rFonts w:ascii="Palatino Linotype" w:eastAsia="Palatino Linotype" w:hAnsi="Palatino Linotype" w:cs="Palatino Linotype"/>
          <w:b/>
          <w:bCs/>
          <w:color w:val="0D0D0D"/>
        </w:rPr>
        <w:t>expedientes judiciales</w:t>
      </w:r>
      <w:r>
        <w:rPr>
          <w:rFonts w:ascii="Palatino Linotype" w:eastAsia="Palatino Linotype" w:hAnsi="Palatino Linotype" w:cs="Palatino Linotype"/>
          <w:color w:val="0D0D0D"/>
        </w:rPr>
        <w:t xml:space="preserve"> o </w:t>
      </w:r>
      <w:r>
        <w:rPr>
          <w:rFonts w:ascii="Palatino Linotype" w:eastAsia="Palatino Linotype" w:hAnsi="Palatino Linotype" w:cs="Palatino Linotype"/>
          <w:b/>
          <w:bCs/>
          <w:color w:val="0D0D0D"/>
        </w:rPr>
        <w:t>procedimientos administrativos seguidos en forma de juicio en tanto no hayan causado estado</w:t>
      </w:r>
      <w:r>
        <w:rPr>
          <w:rFonts w:ascii="Palatino Linotype" w:eastAsia="Palatino Linotype" w:hAnsi="Palatino Linotype" w:cs="Palatino Linotype"/>
          <w:color w:val="0D0D0D"/>
        </w:rPr>
        <w:t>. Por lo cual, para considerar que se actualiza dicha causal es necesario que se configuren los siguientes elementos:</w:t>
      </w:r>
    </w:p>
    <w:p w:rsidR="00296557" w:rsidRDefault="00767B3E">
      <w:pPr>
        <w:numPr>
          <w:ilvl w:val="0"/>
          <w:numId w:val="12"/>
        </w:numPr>
        <w:spacing w:after="240" w:line="360" w:lineRule="auto"/>
        <w:ind w:right="-1071"/>
        <w:jc w:val="both"/>
        <w:rPr>
          <w:rFonts w:ascii="Palatino Linotype" w:eastAsia="Palatino Linotype" w:hAnsi="Palatino Linotype" w:cs="Palatino Linotype"/>
        </w:rPr>
      </w:pPr>
      <w:r>
        <w:rPr>
          <w:rFonts w:ascii="Palatino Linotype" w:eastAsia="Palatino Linotype" w:hAnsi="Palatino Linotype" w:cs="Palatino Linotype"/>
          <w:b/>
          <w:bCs/>
          <w:u w:val="single"/>
        </w:rPr>
        <w:lastRenderedPageBreak/>
        <w:t>La existencia de un procedimientos administrativos seguidos en forma de juicio</w:t>
      </w:r>
      <w:r>
        <w:rPr>
          <w:rFonts w:ascii="Palatino Linotype" w:eastAsia="Palatino Linotype" w:hAnsi="Palatino Linotype" w:cs="Palatino Linotype"/>
        </w:rPr>
        <w:t xml:space="preserve">, </w:t>
      </w:r>
      <w:r>
        <w:rPr>
          <w:rFonts w:ascii="Palatino Linotype" w:eastAsia="Palatino Linotype" w:hAnsi="Palatino Linotype" w:cs="Palatino Linotype"/>
          <w:b/>
          <w:bCs/>
        </w:rPr>
        <w:t>que se encuentre en trámite</w:t>
      </w:r>
      <w:r>
        <w:rPr>
          <w:rFonts w:ascii="Palatino Linotype" w:eastAsia="Palatino Linotype" w:hAnsi="Palatino Linotype" w:cs="Palatino Linotype"/>
        </w:rPr>
        <w:t>;</w:t>
      </w:r>
    </w:p>
    <w:p w:rsidR="00296557" w:rsidRDefault="00767B3E">
      <w:pPr>
        <w:numPr>
          <w:ilvl w:val="0"/>
          <w:numId w:val="12"/>
        </w:numPr>
        <w:spacing w:after="240" w:line="360" w:lineRule="auto"/>
        <w:ind w:right="-1071"/>
        <w:jc w:val="both"/>
        <w:rPr>
          <w:rFonts w:ascii="Palatino Linotype" w:eastAsia="Palatino Linotype" w:hAnsi="Palatino Linotype" w:cs="Palatino Linotype"/>
        </w:rPr>
      </w:pPr>
      <w:r>
        <w:rPr>
          <w:rFonts w:ascii="Palatino Linotype" w:eastAsia="Palatino Linotype" w:hAnsi="Palatino Linotype" w:cs="Palatino Linotype"/>
          <w:b/>
          <w:bCs/>
        </w:rPr>
        <w:t>Que la información solicitada se refiera a actuaciones, diligencias o constancias propias del juicio</w:t>
      </w:r>
      <w:r>
        <w:rPr>
          <w:rFonts w:ascii="Palatino Linotype" w:eastAsia="Palatino Linotype" w:hAnsi="Palatino Linotype" w:cs="Palatino Linotype"/>
        </w:rPr>
        <w:t>, y</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 </w:t>
      </w:r>
      <w:r>
        <w:rPr>
          <w:rFonts w:ascii="Palatino Linotype" w:eastAsia="Palatino Linotype" w:hAnsi="Palatino Linotype" w:cs="Palatino Linotype"/>
          <w:color w:val="000000"/>
        </w:rPr>
        <w:t>base</w:t>
      </w:r>
      <w:r>
        <w:rPr>
          <w:rFonts w:ascii="Palatino Linotype" w:eastAsia="Palatino Linotype" w:hAnsi="Palatino Linotype" w:cs="Palatino Linotype"/>
        </w:rPr>
        <w:t xml:space="preserve"> en lo expuesto, le asiste la razón al Sujeto Obligado, ya que como bien refirió a divulgación de dichos datos implicaría revelar información directamente vinculada con el procedimiento de responsabilidad administrativa, el cual no ha quedado firme, por lo que la información sobre </w:t>
      </w:r>
      <w:r>
        <w:rPr>
          <w:rFonts w:ascii="Palatino Linotype" w:eastAsia="Palatino Linotype" w:hAnsi="Palatino Linotype" w:cs="Palatino Linotype"/>
          <w:i/>
          <w:iCs/>
          <w:color w:val="000000"/>
        </w:rPr>
        <w:t>Autoridad o persona que asumirá las funciones jurisdiccionales que desempeñaba el servidor público inhabilitado</w:t>
      </w:r>
      <w:r>
        <w:rPr>
          <w:rFonts w:ascii="Palatino Linotype" w:eastAsia="Palatino Linotype" w:hAnsi="Palatino Linotype" w:cs="Palatino Linotype"/>
        </w:rPr>
        <w:t xml:space="preserve">: y </w:t>
      </w:r>
      <w:r>
        <w:rPr>
          <w:rFonts w:ascii="Palatino Linotype" w:eastAsia="Palatino Linotype" w:hAnsi="Palatino Linotype" w:cs="Palatino Linotype"/>
          <w:i/>
          <w:iCs/>
        </w:rPr>
        <w:t>Listado de las personas que, en su caso, sustituirán o asumirán temporal o definitivamente el cargo del juez inhabilitado</w:t>
      </w:r>
      <w:r>
        <w:rPr>
          <w:rFonts w:ascii="Palatino Linotype" w:eastAsia="Palatino Linotype" w:hAnsi="Palatino Linotype" w:cs="Palatino Linotype"/>
        </w:rPr>
        <w:t xml:space="preserve">, es información estrechamente relacionada con </w:t>
      </w:r>
      <w:r>
        <w:rPr>
          <w:rFonts w:ascii="Palatino Linotype" w:eastAsia="Palatino Linotype" w:hAnsi="Palatino Linotype" w:cs="Palatino Linotype"/>
          <w:b/>
          <w:bCs/>
        </w:rPr>
        <w:t>actuaciones, diligencias o constancias propias del juicio que se encuentra en trámite</w:t>
      </w:r>
      <w:r>
        <w:rPr>
          <w:rFonts w:ascii="Palatino Linotype" w:eastAsia="Palatino Linotype" w:hAnsi="Palatino Linotype" w:cs="Palatino Linotype"/>
        </w:rPr>
        <w:t xml:space="preserve">, información clasificada como </w:t>
      </w:r>
      <w:r>
        <w:rPr>
          <w:rFonts w:ascii="Palatino Linotype" w:eastAsia="Palatino Linotype" w:hAnsi="Palatino Linotype" w:cs="Palatino Linotype"/>
          <w:b/>
          <w:bCs/>
        </w:rPr>
        <w:t>RESERVADA</w:t>
      </w:r>
      <w:r>
        <w:rPr>
          <w:rFonts w:ascii="Palatino Linotype" w:eastAsia="Palatino Linotype" w:hAnsi="Palatino Linotype" w:cs="Palatino Linotype"/>
        </w:rPr>
        <w:t xml:space="preserve"> bajo el supuesto aludido por el </w:t>
      </w:r>
      <w:r>
        <w:rPr>
          <w:rFonts w:ascii="Palatino Linotype" w:eastAsia="Palatino Linotype" w:hAnsi="Palatino Linotype" w:cs="Palatino Linotype"/>
          <w:b/>
          <w:bCs/>
        </w:rPr>
        <w:t>Sujeto Obligado</w:t>
      </w:r>
      <w:r>
        <w:rPr>
          <w:rFonts w:ascii="Palatino Linotype" w:eastAsia="Palatino Linotype" w:hAnsi="Palatino Linotype" w:cs="Palatino Linotype"/>
        </w:rPr>
        <w:t>, inmersa en el acuerdo de clasificación de información remitido en respuesta, que como ya fue señalado, no fue motivo de impugnación; asimismo, a través de Informe Justificado, el Sujeto Obligado amplía su respuesta al puntualizar que dichos elementos se encuentran en el supuesto antes referido, por lo que estos puntos de solicitud se consideran atendidos.</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rPr>
          <w:rFonts w:ascii="Palatino Linotype" w:eastAsia="Palatino Linotype" w:hAnsi="Palatino Linotype" w:cs="Palatino Linotype"/>
        </w:rPr>
      </w:pPr>
      <w:r>
        <w:rPr>
          <w:rFonts w:ascii="Palatino Linotype" w:eastAsia="Palatino Linotype" w:hAnsi="Palatino Linotype" w:cs="Palatino Linotype"/>
        </w:rPr>
        <w:t xml:space="preserve">En lo que respecta a los puntos de solicitud </w:t>
      </w:r>
      <w:r>
        <w:rPr>
          <w:rFonts w:ascii="Palatino Linotype" w:eastAsia="Palatino Linotype" w:hAnsi="Palatino Linotype" w:cs="Palatino Linotype"/>
          <w:i/>
          <w:iCs/>
          <w:u w:val="single"/>
        </w:rPr>
        <w:t>Procedimiento aplicable para la designación o elección de la persona que sustituirá al juez inhabilitado; y Fundamento constitucional y legal que sustenta el procedimiento de sustitución del juez inhabilitado</w:t>
      </w:r>
      <w:r>
        <w:rPr>
          <w:rFonts w:ascii="Palatino Linotype" w:eastAsia="Palatino Linotype" w:hAnsi="Palatino Linotype" w:cs="Palatino Linotype"/>
        </w:rPr>
        <w:t>, a través de Informe Justificado, el Sujeto Obligado señaló que:</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el fundamento constitucional y legal que sustenta el procedimiento de sustitución de un juez inhabilitado en el Estado de México, se basa en la normativa que rige la carrera judicial, la disciplina y la organización del Poder Judicial local, principalmente a través del Tribunal de Disciplina Judicial y el Órgano de Administración Judicial conforme al artículo 93 de la Constitución Política del Estado Libre y Soberano de México. </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Artículo 93</w:t>
      </w:r>
      <w:r>
        <w:rPr>
          <w:rFonts w:ascii="Palatino Linotype" w:eastAsia="Palatino Linotype" w:hAnsi="Palatino Linotype" w:cs="Palatino Linotype"/>
          <w:i/>
          <w:iCs/>
          <w:color w:val="000000"/>
        </w:rPr>
        <w:t xml:space="preserve">.- Cuando la falta de una Magistrada o Magistrado del Tribunal Superior de Justicia, del Tribunal de Disciplina Judicial, y </w:t>
      </w:r>
      <w:r>
        <w:rPr>
          <w:rFonts w:ascii="Palatino Linotype" w:eastAsia="Palatino Linotype" w:hAnsi="Palatino Linotype" w:cs="Palatino Linotype"/>
          <w:b/>
          <w:bCs/>
          <w:i/>
          <w:iCs/>
          <w:color w:val="000000"/>
        </w:rPr>
        <w:t>Jueza o Juez</w:t>
      </w:r>
      <w:r>
        <w:rPr>
          <w:rFonts w:ascii="Palatino Linotype" w:eastAsia="Palatino Linotype" w:hAnsi="Palatino Linotype" w:cs="Palatino Linotype"/>
          <w:i/>
          <w:iCs/>
          <w:color w:val="000000"/>
        </w:rPr>
        <w:t xml:space="preserve"> del Poder Judicial excediere de un mes sin licencia o dicha falta se deba a su defunción, renuncia o cualquier causa de separación definitiva, ocupará la vacante la persona del mismo género que haya obtenido el segundo lugar en número de votos en la elección para ese cargo; en caso de declinación o imposibilidad, seguirá en orden de prelación la persona que haya obtenido mayor votación. La Legislatura o la Diputación Permanente tomará protesta a la persona sustituta para desempeñarse por el periodo que reste al encargo. </w:t>
      </w:r>
    </w:p>
    <w:p w:rsidR="00296557" w:rsidRDefault="00296557">
      <w:pPr>
        <w:pBdr>
          <w:top w:val="nil"/>
          <w:left w:val="nil"/>
          <w:bottom w:val="nil"/>
          <w:right w:val="nil"/>
          <w:between w:val="nil"/>
        </w:pBdr>
        <w:ind w:left="567" w:right="-1071"/>
        <w:jc w:val="both"/>
        <w:rPr>
          <w:rFonts w:ascii="Palatino Linotype" w:eastAsia="Palatino Linotype" w:hAnsi="Palatino Linotype" w:cs="Palatino Linotype"/>
          <w:i/>
          <w:iCs/>
          <w:color w:val="000000"/>
        </w:rPr>
      </w:pP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En caso de agotarse o no existir candidatura que ocupe la vacante, la Legislatura o la Diputación Permanente designará a quien ejercerá en forma interina las funciones de Magistrada, Magistrado, </w:t>
      </w:r>
      <w:r>
        <w:rPr>
          <w:rFonts w:ascii="Palatino Linotype" w:eastAsia="Palatino Linotype" w:hAnsi="Palatino Linotype" w:cs="Palatino Linotype"/>
          <w:b/>
          <w:bCs/>
          <w:i/>
          <w:iCs/>
          <w:color w:val="000000"/>
        </w:rPr>
        <w:t>Jueza o Juez</w:t>
      </w:r>
      <w:r>
        <w:rPr>
          <w:rFonts w:ascii="Palatino Linotype" w:eastAsia="Palatino Linotype" w:hAnsi="Palatino Linotype" w:cs="Palatino Linotype"/>
          <w:i/>
          <w:iCs/>
          <w:color w:val="000000"/>
        </w:rPr>
        <w:t xml:space="preserve">, de una terna de jueces o secretarios, respectivamente, que proponga el Órgano de Administración Judicial; encargo que ocupará hasta en tanto se celebren nuevas elecciones y tomen protesta las magistraturas o personas juzgadoras electas. Lo mismo acontecerá si por algún motivo no hubiera podido efectuarse la elección, fuese nula o no estuviere hecha y declarada en la fecha señalada por esta Constitución. </w:t>
      </w:r>
    </w:p>
    <w:p w:rsidR="00296557" w:rsidRDefault="00767B3E">
      <w:pPr>
        <w:pBdr>
          <w:top w:val="nil"/>
          <w:left w:val="nil"/>
          <w:bottom w:val="nil"/>
          <w:right w:val="nil"/>
          <w:between w:val="nil"/>
        </w:pBdr>
        <w:ind w:left="567" w:right="-1071"/>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rsidR="00296557" w:rsidRDefault="00296557">
      <w:pPr>
        <w:spacing w:line="360" w:lineRule="auto"/>
        <w:ind w:right="-1071"/>
        <w:rPr>
          <w:rFonts w:ascii="Palatino Linotype" w:eastAsia="Palatino Linotype" w:hAnsi="Palatino Linotype" w:cs="Palatino Linotype"/>
          <w:i/>
          <w:iCs/>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De tal pronunciamiento, se advierte que el Sujeto Obligado indica el procedimiento y fundamento constitucional para ocupar la vacante de una Jueza o Juez, por lo que el punto de solicitud ha sido atendido en su totalidad.</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 xml:space="preserve">Por lo anterior  resulta necesario </w:t>
      </w:r>
      <w:r>
        <w:rPr>
          <w:rFonts w:ascii="Palatino Linotype" w:eastAsia="Palatino Linotype" w:hAnsi="Palatino Linotype" w:cs="Palatino Linotype"/>
          <w:color w:val="000000"/>
        </w:rPr>
        <w:t>puntualizar</w:t>
      </w:r>
      <w:r>
        <w:rPr>
          <w:rFonts w:ascii="Palatino Linotype" w:eastAsia="Palatino Linotype" w:hAnsi="Palatino Linotype" w:cs="Palatino Linotype"/>
        </w:rPr>
        <w:t xml:space="preserve">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296557" w:rsidRDefault="00296557">
      <w:pPr>
        <w:pBdr>
          <w:top w:val="nil"/>
          <w:left w:val="nil"/>
          <w:bottom w:val="nil"/>
          <w:right w:val="nil"/>
          <w:between w:val="nil"/>
        </w:pBdr>
        <w:spacing w:line="360" w:lineRule="auto"/>
        <w:ind w:left="851" w:right="-1071"/>
        <w:jc w:val="both"/>
        <w:rPr>
          <w:rFonts w:ascii="Palatino Linotype" w:eastAsia="Palatino Linotype" w:hAnsi="Palatino Linotype" w:cs="Palatino Linotype"/>
          <w:i/>
          <w:iCs/>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w:t>
      </w:r>
      <w:r>
        <w:rPr>
          <w:rFonts w:ascii="Palatino Linotype" w:eastAsia="Palatino Linotype" w:hAnsi="Palatino Linotype" w:cs="Palatino Linotype"/>
        </w:rPr>
        <w:lastRenderedPageBreak/>
        <w:t xml:space="preserve">información, por lo que deberán apegarse en todo momento a los criterios de publicidad, </w:t>
      </w:r>
      <w:r>
        <w:rPr>
          <w:rFonts w:ascii="Palatino Linotype" w:eastAsia="Palatino Linotype" w:hAnsi="Palatino Linotype" w:cs="Palatino Linotype"/>
          <w:b/>
          <w:bCs/>
        </w:rPr>
        <w:t>veracidad</w:t>
      </w:r>
      <w:r>
        <w:rPr>
          <w:rFonts w:ascii="Palatino Linotype" w:eastAsia="Palatino Linotype" w:hAnsi="Palatino Linotype" w:cs="Palatino Linotype"/>
        </w:rPr>
        <w:t>, oportunidad entre otros, numeral en comento que a la letra señala;</w:t>
      </w:r>
    </w:p>
    <w:p w:rsidR="00296557" w:rsidRDefault="00767B3E">
      <w:pPr>
        <w:pBdr>
          <w:top w:val="nil"/>
          <w:left w:val="nil"/>
          <w:bottom w:val="nil"/>
          <w:right w:val="nil"/>
          <w:between w:val="nil"/>
        </w:pBdr>
        <w:ind w:left="646" w:right="-1071"/>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296557" w:rsidRDefault="00296557">
      <w:pPr>
        <w:spacing w:line="360" w:lineRule="auto"/>
        <w:ind w:right="-1071"/>
        <w:jc w:val="both"/>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w:t>
      </w:r>
      <w:r>
        <w:rPr>
          <w:rFonts w:ascii="Palatino Linotype" w:eastAsia="Palatino Linotype" w:hAnsi="Palatino Linotype" w:cs="Palatino Linotype"/>
        </w:rPr>
        <w:t>entonces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rPr>
        <w:t>obligación</w:t>
      </w:r>
      <w:r>
        <w:rPr>
          <w:rFonts w:ascii="Palatino Linotype" w:eastAsia="Palatino Linotype" w:hAnsi="Palatino Linotype" w:cs="Palatino Linotype"/>
          <w:color w:val="000000"/>
        </w:rPr>
        <w:t xml:space="preserve"> de los Sujetos Obligados de dar acceso a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se tendrá por cumplida cuando </w:t>
      </w:r>
      <w:r>
        <w:rPr>
          <w:rFonts w:ascii="Palatino Linotype" w:eastAsia="Palatino Linotype" w:hAnsi="Palatino Linotype" w:cs="Palatino Linotype"/>
          <w:b/>
          <w:bCs/>
          <w:color w:val="000000"/>
        </w:rPr>
        <w:t>el solicitante tenga a su disposición la información requerida, como ha sucedido al caso concreto</w:t>
      </w:r>
      <w:r>
        <w:rPr>
          <w:rFonts w:ascii="Palatino Linotype" w:eastAsia="Palatino Linotype" w:hAnsi="Palatino Linotype" w:cs="Palatino Linotype"/>
          <w:color w:val="000000"/>
        </w:rPr>
        <w:t xml:space="preserve">, en consecuencia, </w:t>
      </w:r>
      <w:r>
        <w:rPr>
          <w:rFonts w:ascii="Palatino Linotype" w:eastAsia="Palatino Linotype" w:hAnsi="Palatino Linotype" w:cs="Palatino Linotype"/>
        </w:rPr>
        <w:t>la</w:t>
      </w:r>
      <w:r>
        <w:rPr>
          <w:rFonts w:ascii="Palatino Linotype" w:eastAsia="Palatino Linotype" w:hAnsi="Palatino Linotype" w:cs="Palatino Linotype"/>
          <w:color w:val="000000"/>
        </w:rPr>
        <w:t xml:space="preserve"> solicitud de información </w:t>
      </w:r>
      <w:r>
        <w:rPr>
          <w:rFonts w:ascii="Palatino Linotype" w:eastAsia="Palatino Linotype" w:hAnsi="Palatino Linotype" w:cs="Palatino Linotype"/>
          <w:b/>
          <w:bCs/>
          <w:color w:val="000000"/>
        </w:rPr>
        <w:t>ha quedado satisfecha</w:t>
      </w: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 </w:t>
      </w:r>
    </w:p>
    <w:p w:rsidR="00296557" w:rsidRDefault="00296557">
      <w:pPr>
        <w:spacing w:line="360" w:lineRule="auto"/>
        <w:ind w:left="360" w:right="-1071"/>
        <w:jc w:val="both"/>
        <w:rPr>
          <w:rFonts w:ascii="Palatino Linotype" w:eastAsia="Palatino Linotype" w:hAnsi="Palatino Linotype" w:cs="Palatino Linotype"/>
          <w:i/>
          <w:iCs/>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 </w:t>
      </w:r>
      <w:r>
        <w:rPr>
          <w:rFonts w:ascii="Palatino Linotype" w:eastAsia="Palatino Linotype" w:hAnsi="Palatino Linotype" w:cs="Palatino Linotype"/>
          <w:color w:val="000000"/>
        </w:rPr>
        <w:t>todo</w:t>
      </w:r>
      <w:r>
        <w:rPr>
          <w:rFonts w:ascii="Palatino Linotype" w:eastAsia="Palatino Linotype" w:hAnsi="Palatino Linotype" w:cs="Palatino Linotype"/>
        </w:rPr>
        <w:t xml:space="preserve"> lo expuesto, se advierte que el </w:t>
      </w:r>
      <w:r>
        <w:rPr>
          <w:rFonts w:ascii="Palatino Linotype" w:eastAsia="Palatino Linotype" w:hAnsi="Palatino Linotype" w:cs="Palatino Linotype"/>
          <w:b/>
          <w:bCs/>
        </w:rPr>
        <w:t xml:space="preserve">SUJETO OBLIGADO modificó su acto al complementar su respuesta en informe justificado, </w:t>
      </w:r>
      <w:r>
        <w:rPr>
          <w:rFonts w:ascii="Palatino Linotype" w:eastAsia="Palatino Linotype" w:hAnsi="Palatino Linotype" w:cs="Palatino Linotype"/>
        </w:rPr>
        <w:t>ratificando su respuesta inicial, pero precisando que la información relativa a la persona o listado de personas que asumirán las funciones del juez inhabilitado, es información integrante de las actuaciones, diligencias o constancias propias del procedimiento que se encuentra en trámite, información se encuentra válidamente clasificada como reservada; así como, indicar el procedimiento y fundamento constitucional y legal para ocupar la vacante de una Jueza o Juez.</w:t>
      </w:r>
    </w:p>
    <w:p w:rsidR="00296557" w:rsidRDefault="00296557">
      <w:pPr>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w:t>
      </w:r>
      <w:r>
        <w:rPr>
          <w:rFonts w:ascii="Palatino Linotype" w:eastAsia="Palatino Linotype" w:hAnsi="Palatino Linotype" w:cs="Palatino Linotype"/>
        </w:rPr>
        <w:t>entonces</w:t>
      </w:r>
      <w:r>
        <w:rPr>
          <w:rFonts w:ascii="Palatino Linotype" w:eastAsia="Palatino Linotype" w:hAnsi="Palatino Linotype" w:cs="Palatino Linotype"/>
          <w:color w:val="000000"/>
        </w:rPr>
        <w:t xml:space="preserve">, al haberse ampliado la respuesta inicial, resulta necesario invocar la fracción III, del artículo 192,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 xml:space="preserve">, por contener la causal de sobreseimiento relativa a que el Sujeto Obligado </w:t>
      </w:r>
      <w:r>
        <w:rPr>
          <w:rFonts w:ascii="Palatino Linotype" w:eastAsia="Palatino Linotype" w:hAnsi="Palatino Linotype" w:cs="Palatino Linotype"/>
          <w:b/>
          <w:bCs/>
          <w:color w:val="000000"/>
          <w:u w:val="single"/>
        </w:rPr>
        <w:t>modifique o revoque el acto</w:t>
      </w:r>
      <w:r>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Para los </w:t>
      </w:r>
      <w:r>
        <w:rPr>
          <w:rFonts w:ascii="Palatino Linotype" w:eastAsia="Palatino Linotype" w:hAnsi="Palatino Linotype" w:cs="Palatino Linotype"/>
        </w:rPr>
        <w:t>efectos</w:t>
      </w:r>
      <w:r>
        <w:rPr>
          <w:rFonts w:ascii="Palatino Linotype" w:eastAsia="Palatino Linotype" w:hAnsi="Palatino Linotype" w:cs="Palatino Linotype"/>
          <w:color w:val="000000"/>
        </w:rPr>
        <w:t xml:space="preserve"> de esta resolución, es oportuno precisar los alcances jurídicos de la fracción III de </w:t>
      </w:r>
      <w:r>
        <w:rPr>
          <w:rFonts w:ascii="Palatino Linotype" w:eastAsia="Palatino Linotype" w:hAnsi="Palatino Linotype" w:cs="Palatino Linotype"/>
        </w:rPr>
        <w:t>referencia</w:t>
      </w:r>
      <w:r>
        <w:rPr>
          <w:rFonts w:ascii="Palatino Linotype" w:eastAsia="Palatino Linotype" w:hAnsi="Palatino Linotype" w:cs="Palatino Linotype"/>
          <w:color w:val="000000"/>
        </w:rPr>
        <w:t>, a saber:</w:t>
      </w:r>
    </w:p>
    <w:p w:rsidR="00296557" w:rsidRDefault="00767B3E">
      <w:pPr>
        <w:numPr>
          <w:ilvl w:val="0"/>
          <w:numId w:val="10"/>
        </w:numPr>
        <w:spacing w:line="360" w:lineRule="auto"/>
        <w:ind w:left="1134" w:right="-1071" w:firstLine="0"/>
        <w:jc w:val="both"/>
        <w:rPr>
          <w:rFonts w:ascii="Palatino Linotype" w:eastAsia="Palatino Linotype" w:hAnsi="Palatino Linotype" w:cs="Palatino Linotype"/>
        </w:rPr>
      </w:pPr>
      <w:r>
        <w:rPr>
          <w:rFonts w:ascii="Palatino Linotype" w:eastAsia="Palatino Linotype" w:hAnsi="Palatino Linotype" w:cs="Palatino Linotype"/>
          <w:b/>
          <w:bCs/>
        </w:rPr>
        <w:t>Modifique el acto impugnado:</w:t>
      </w:r>
      <w:r>
        <w:rPr>
          <w:rFonts w:ascii="Palatino Linotype" w:eastAsia="Palatino Linotype" w:hAnsi="Palatino Linotype" w:cs="Palatino Linotype"/>
        </w:rPr>
        <w:t xml:space="preserve"> Se actualiza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rsidR="00296557" w:rsidRDefault="00767B3E">
      <w:pPr>
        <w:numPr>
          <w:ilvl w:val="0"/>
          <w:numId w:val="10"/>
        </w:numPr>
        <w:spacing w:line="360" w:lineRule="auto"/>
        <w:ind w:left="1134" w:right="-1071" w:firstLine="0"/>
        <w:jc w:val="both"/>
        <w:rPr>
          <w:rFonts w:ascii="Palatino Linotype" w:eastAsia="Palatino Linotype" w:hAnsi="Palatino Linotype" w:cs="Palatino Linotype"/>
        </w:rPr>
      </w:pPr>
      <w:r>
        <w:rPr>
          <w:rFonts w:ascii="Palatino Linotype" w:eastAsia="Palatino Linotype" w:hAnsi="Palatino Linotype" w:cs="Palatino Linotype"/>
          <w:b/>
          <w:bCs/>
        </w:rPr>
        <w:t>Revoque el acto impugnado:</w:t>
      </w:r>
      <w:r>
        <w:rPr>
          <w:rFonts w:ascii="Palatino Linotype" w:eastAsia="Palatino Linotype" w:hAnsi="Palatino Linotype" w:cs="Palatino Linotype"/>
        </w:rPr>
        <w:t xml:space="preserve"> En este supuesto,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deja sin efectos la primera respuesta y en su lugar emite otra que satisfaga lo solicitado por el particular en un primer momento.</w:t>
      </w:r>
    </w:p>
    <w:p w:rsidR="00296557" w:rsidRDefault="00296557">
      <w:pPr>
        <w:pBdr>
          <w:top w:val="nil"/>
          <w:left w:val="nil"/>
          <w:bottom w:val="nil"/>
          <w:right w:val="nil"/>
          <w:between w:val="nil"/>
        </w:pBdr>
        <w:spacing w:line="360" w:lineRule="auto"/>
        <w:ind w:right="-1071"/>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consecuencias </w:t>
      </w:r>
      <w:r>
        <w:rPr>
          <w:rFonts w:ascii="Palatino Linotype" w:eastAsia="Palatino Linotype" w:hAnsi="Palatino Linotype" w:cs="Palatino Linotype"/>
        </w:rPr>
        <w:t>jurídicas</w:t>
      </w:r>
      <w:r>
        <w:rPr>
          <w:rFonts w:ascii="Palatino Linotype" w:eastAsia="Palatino Linotype" w:hAnsi="Palatino Linotype" w:cs="Palatino Linotype"/>
          <w:color w:val="000000"/>
        </w:rPr>
        <w:t xml:space="preserve">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296557" w:rsidRDefault="00296557">
      <w:pPr>
        <w:spacing w:line="360" w:lineRule="auto"/>
        <w:ind w:right="-1071"/>
        <w:jc w:val="both"/>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w:t>
      </w:r>
      <w:r>
        <w:rPr>
          <w:rFonts w:ascii="Palatino Linotype" w:eastAsia="Palatino Linotype" w:hAnsi="Palatino Linotype" w:cs="Palatino Linotype"/>
        </w:rPr>
        <w:t>presente</w:t>
      </w:r>
      <w:r>
        <w:rPr>
          <w:rFonts w:ascii="Palatino Linotype" w:eastAsia="Palatino Linotype" w:hAnsi="Palatino Linotype" w:cs="Palatino Linotype"/>
          <w:color w:val="000000"/>
        </w:rPr>
        <w:t xml:space="preserve"> asunto, este Pleno advierte que el Sujeto Obligado con la información precisada a través del informe de justificado, </w:t>
      </w:r>
      <w:r>
        <w:rPr>
          <w:rFonts w:ascii="Palatino Linotype" w:eastAsia="Palatino Linotype" w:hAnsi="Palatino Linotype" w:cs="Palatino Linotype"/>
          <w:b/>
          <w:bCs/>
          <w:color w:val="000000"/>
        </w:rPr>
        <w:t>modifica</w:t>
      </w:r>
      <w:r>
        <w:rPr>
          <w:rFonts w:ascii="Palatino Linotype" w:eastAsia="Palatino Linotype" w:hAnsi="Palatino Linotype" w:cs="Palatino Linotype"/>
          <w:color w:val="000000"/>
        </w:rPr>
        <w:t xml:space="preserve"> el acto que le dio origen al recurso de revisión, lo que trae como consecuencia que el mismo quede sin materia, actualizándose de este modo, la hipótesis jurídica contenida en la fracción III, del citado artículo 192.</w:t>
      </w:r>
    </w:p>
    <w:p w:rsidR="00296557" w:rsidRDefault="00296557">
      <w:pPr>
        <w:spacing w:line="360" w:lineRule="auto"/>
        <w:ind w:right="-1071"/>
        <w:rPr>
          <w:rFonts w:ascii="Palatino Linotype" w:eastAsia="Palatino Linotype" w:hAnsi="Palatino Linotype" w:cs="Palatino Linotype"/>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w:t>
      </w:r>
      <w:r>
        <w:rPr>
          <w:rFonts w:ascii="Palatino Linotype" w:eastAsia="Palatino Linotype" w:hAnsi="Palatino Linotype" w:cs="Palatino Linotype"/>
        </w:rPr>
        <w:t>este</w:t>
      </w:r>
      <w:r>
        <w:rPr>
          <w:rFonts w:ascii="Palatino Linotype" w:eastAsia="Palatino Linotype" w:hAnsi="Palatino Linotype" w:cs="Palatino Linotype"/>
          <w:color w:val="000000"/>
        </w:rPr>
        <w:t xml:space="preserve"> modo, cuando el Sujeto Obligado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w:t>
      </w:r>
      <w:r>
        <w:rPr>
          <w:rFonts w:ascii="Palatino Linotype" w:eastAsia="Palatino Linotype" w:hAnsi="Palatino Linotype" w:cs="Palatino Linotype"/>
          <w:color w:val="000000"/>
        </w:rPr>
        <w:lastRenderedPageBreak/>
        <w:t>planteada, debido a que la afectación en su esfera de derechos fue restituida por la propia autoridad que emitió el acto motivo de impugnación.</w:t>
      </w:r>
    </w:p>
    <w:p w:rsidR="000E7D8B" w:rsidRDefault="000E7D8B" w:rsidP="000E7D8B">
      <w:pPr>
        <w:spacing w:line="360" w:lineRule="auto"/>
        <w:ind w:right="-1071"/>
        <w:jc w:val="both"/>
        <w:rPr>
          <w:rFonts w:ascii="Palatino Linotype" w:eastAsia="Palatino Linotype" w:hAnsi="Palatino Linotype" w:cs="Palatino Linotype"/>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Sirve de sustento a lo anterior la siguiente jurisprudencia por contradicción, cuyo rubro, texto y </w:t>
      </w:r>
      <w:r>
        <w:rPr>
          <w:rFonts w:ascii="Palatino Linotype" w:eastAsia="Palatino Linotype" w:hAnsi="Palatino Linotype" w:cs="Palatino Linotype"/>
        </w:rPr>
        <w:t>datos</w:t>
      </w:r>
      <w:r>
        <w:rPr>
          <w:rFonts w:ascii="Palatino Linotype" w:eastAsia="Palatino Linotype" w:hAnsi="Palatino Linotype" w:cs="Palatino Linotype"/>
          <w:color w:val="000000"/>
        </w:rPr>
        <w:t xml:space="preserve"> de identificación son los siguientes:</w:t>
      </w:r>
    </w:p>
    <w:p w:rsidR="00296557" w:rsidRDefault="00767B3E">
      <w:pPr>
        <w:ind w:left="567" w:right="-1071"/>
        <w:jc w:val="both"/>
        <w:rPr>
          <w:rFonts w:ascii="Palatino Linotype" w:eastAsia="Palatino Linotype" w:hAnsi="Palatino Linotype" w:cs="Palatino Linotype"/>
          <w:i/>
          <w:iCs/>
        </w:rPr>
      </w:pPr>
      <w:r>
        <w:rPr>
          <w:rFonts w:ascii="Palatino Linotype" w:eastAsia="Palatino Linotype" w:hAnsi="Palatino Linotype" w:cs="Palatino Linotype"/>
          <w:b/>
          <w:bCs/>
          <w:i/>
          <w:iCs/>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Pr>
          <w:rFonts w:ascii="Palatino Linotype" w:eastAsia="Palatino Linotype" w:hAnsi="Palatino Linotype" w:cs="Palatino Linotype"/>
          <w:i/>
          <w:iCs/>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296557" w:rsidRDefault="00296557">
      <w:pPr>
        <w:spacing w:line="360" w:lineRule="auto"/>
        <w:ind w:right="-1071"/>
        <w:jc w:val="both"/>
        <w:rPr>
          <w:rFonts w:ascii="Palatino Linotype" w:eastAsia="Palatino Linotype" w:hAnsi="Palatino Linotype" w:cs="Palatino Linotype"/>
          <w:i/>
          <w:iCs/>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anterior jurisprudencia resulta aplicable al presente asunto, en dos aspectos:</w:t>
      </w:r>
    </w:p>
    <w:p w:rsidR="00296557" w:rsidRDefault="00767B3E">
      <w:pPr>
        <w:numPr>
          <w:ilvl w:val="0"/>
          <w:numId w:val="11"/>
        </w:numPr>
        <w:spacing w:line="360" w:lineRule="auto"/>
        <w:ind w:left="1134" w:right="-1071" w:firstLine="0"/>
        <w:jc w:val="both"/>
        <w:rPr>
          <w:rFonts w:ascii="Palatino Linotype" w:eastAsia="Palatino Linotype" w:hAnsi="Palatino Linotype" w:cs="Palatino Linotype"/>
        </w:rPr>
      </w:pPr>
      <w:r>
        <w:rPr>
          <w:rFonts w:ascii="Palatino Linotype" w:eastAsia="Palatino Linotype" w:hAnsi="Palatino Linotype" w:cs="Palatino Linotype"/>
          <w:b/>
          <w:bCs/>
        </w:rPr>
        <w:t>La cesación de los efectos perniciosos del acto de autoridad:</w:t>
      </w:r>
      <w:r>
        <w:rPr>
          <w:rFonts w:ascii="Palatino Linotype" w:eastAsia="Palatino Linotype" w:hAnsi="Palatino Linotype" w:cs="Palatino Linotype"/>
        </w:rPr>
        <w:t xml:space="preserve"> Al respecto, la Ley de Transparencia contempla la figura jurídica del sobreseimiento cuando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de </w:t>
      </w:r>
      <w:r>
        <w:rPr>
          <w:rFonts w:ascii="Palatino Linotype" w:eastAsia="Palatino Linotype" w:hAnsi="Palatino Linotype" w:cs="Palatino Linotype"/>
          <w:i/>
          <w:iCs/>
        </w:rPr>
        <w:t>motu proprio</w:t>
      </w:r>
      <w:r>
        <w:rPr>
          <w:rFonts w:ascii="Palatino Linotype" w:eastAsia="Palatino Linotype" w:hAnsi="Palatino Linotype" w:cs="Palatino Linotype"/>
        </w:rPr>
        <w:t xml:space="preserve"> modifica o revoca de tal manera el acto motivo de la impugnación que lo deja sin materia; es decir, cesan los efectos de éste y el derecho de acceso a la información pública se encuentra satisfecho.</w:t>
      </w:r>
    </w:p>
    <w:p w:rsidR="00296557" w:rsidRDefault="00767B3E">
      <w:pPr>
        <w:numPr>
          <w:ilvl w:val="0"/>
          <w:numId w:val="11"/>
        </w:numPr>
        <w:spacing w:line="360" w:lineRule="auto"/>
        <w:ind w:left="1134" w:right="-1071" w:firstLine="0"/>
        <w:jc w:val="both"/>
        <w:rPr>
          <w:rFonts w:ascii="Palatino Linotype" w:eastAsia="Palatino Linotype" w:hAnsi="Palatino Linotype" w:cs="Palatino Linotype"/>
        </w:rPr>
      </w:pPr>
      <w:r>
        <w:rPr>
          <w:rFonts w:ascii="Palatino Linotype" w:eastAsia="Palatino Linotype" w:hAnsi="Palatino Linotype" w:cs="Palatino Linotype"/>
          <w:b/>
          <w:bCs/>
        </w:rPr>
        <w:lastRenderedPageBreak/>
        <w:t>El momento procesal para modificar el acto impugnado:</w:t>
      </w:r>
      <w:r>
        <w:rPr>
          <w:rFonts w:ascii="Palatino Linotype" w:eastAsia="Palatino Linotype" w:hAnsi="Palatino Linotype" w:cs="Palatino Linotype"/>
        </w:rPr>
        <w:t xml:space="preserve"> Para que se actualice el sobreseimiento de un recurso de revisión,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puede entregar o completar la información al momento de rendir su informe de justificación o </w:t>
      </w:r>
      <w:r>
        <w:rPr>
          <w:rFonts w:ascii="Palatino Linotype" w:eastAsia="Palatino Linotype" w:hAnsi="Palatino Linotype" w:cs="Palatino Linotype"/>
          <w:b/>
          <w:bCs/>
          <w:u w:val="single"/>
        </w:rPr>
        <w:t>posteriormente</w:t>
      </w:r>
      <w:r>
        <w:rPr>
          <w:rFonts w:ascii="Palatino Linotype" w:eastAsia="Palatino Linotype" w:hAnsi="Palatino Linotype" w:cs="Palatino Linotype"/>
        </w:rPr>
        <w:t xml:space="preserve"> a éste, siempre y cuando el Pleno del Instituto no haya dictado resolución definitiva.</w:t>
      </w:r>
    </w:p>
    <w:p w:rsidR="00296557" w:rsidRDefault="00296557">
      <w:pPr>
        <w:pBdr>
          <w:top w:val="nil"/>
          <w:left w:val="nil"/>
          <w:bottom w:val="nil"/>
          <w:right w:val="nil"/>
          <w:between w:val="nil"/>
        </w:pBdr>
        <w:spacing w:line="360" w:lineRule="auto"/>
        <w:ind w:right="-1071"/>
        <w:jc w:val="both"/>
        <w:rPr>
          <w:rFonts w:ascii="Palatino Linotype" w:eastAsia="Palatino Linotype" w:hAnsi="Palatino Linotype" w:cs="Palatino Linotype"/>
          <w:i/>
          <w:iCs/>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Bajo</w:t>
      </w:r>
      <w:r>
        <w:rPr>
          <w:rFonts w:ascii="Palatino Linotype" w:eastAsia="Palatino Linotype" w:hAnsi="Palatino Linotype" w:cs="Palatino Linotype"/>
        </w:rPr>
        <w:t xml:space="preserve"> ese </w:t>
      </w:r>
      <w:r>
        <w:rPr>
          <w:rFonts w:ascii="Palatino Linotype" w:eastAsia="Palatino Linotype" w:hAnsi="Palatino Linotype" w:cs="Palatino Linotype"/>
          <w:color w:val="000000"/>
        </w:rPr>
        <w:t>tenor</w:t>
      </w:r>
      <w:r>
        <w:rPr>
          <w:rFonts w:ascii="Palatino Linotype" w:eastAsia="Palatino Linotype" w:hAnsi="Palatino Linotype" w:cs="Palatino Linotype"/>
        </w:rPr>
        <w:t xml:space="preserve"> con </w:t>
      </w:r>
      <w:r>
        <w:rPr>
          <w:rFonts w:ascii="Palatino Linotype" w:eastAsia="Palatino Linotype" w:hAnsi="Palatino Linotype" w:cs="Palatino Linotype"/>
          <w:color w:val="000000"/>
        </w:rPr>
        <w:t>fundamento</w:t>
      </w:r>
      <w:r>
        <w:rPr>
          <w:rFonts w:ascii="Palatino Linotype" w:eastAsia="Palatino Linotype" w:hAnsi="Palatino Linotype" w:cs="Palatino Linotype"/>
        </w:rPr>
        <w:t xml:space="preserve"> en la segunda hipótesis de la fracción I, del artículo 186, de la Ley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Transparencia y Acceso a la Información Pública del Estado de México y Municipios, se </w:t>
      </w:r>
      <w:r>
        <w:rPr>
          <w:rFonts w:ascii="Palatino Linotype" w:eastAsia="Palatino Linotype" w:hAnsi="Palatino Linotype" w:cs="Palatino Linotype"/>
          <w:b/>
          <w:bCs/>
        </w:rPr>
        <w:t xml:space="preserve">SOBRESEE </w:t>
      </w:r>
      <w:r>
        <w:rPr>
          <w:rFonts w:ascii="Palatino Linotype" w:eastAsia="Palatino Linotype" w:hAnsi="Palatino Linotype" w:cs="Palatino Linotype"/>
        </w:rPr>
        <w:t xml:space="preserve">el recurso de revisión </w:t>
      </w:r>
      <w:r>
        <w:rPr>
          <w:rFonts w:ascii="Palatino Linotype" w:eastAsia="Palatino Linotype" w:hAnsi="Palatino Linotype" w:cs="Palatino Linotype"/>
          <w:b/>
          <w:bCs/>
          <w:color w:val="000000"/>
        </w:rPr>
        <w:t>02958/INFOEM/IP/RR/2026</w:t>
      </w:r>
      <w:r>
        <w:rPr>
          <w:rFonts w:ascii="Palatino Linotype" w:eastAsia="Palatino Linotype" w:hAnsi="Palatino Linotype" w:cs="Palatino Linotype"/>
        </w:rPr>
        <w:t>, que ha sido materia del presente fallo.</w:t>
      </w:r>
    </w:p>
    <w:p w:rsidR="00296557" w:rsidRDefault="00296557">
      <w:pPr>
        <w:spacing w:line="360" w:lineRule="auto"/>
        <w:ind w:right="-1071"/>
        <w:jc w:val="both"/>
        <w:rPr>
          <w:color w:val="000000"/>
        </w:rPr>
      </w:pPr>
    </w:p>
    <w:p w:rsidR="00296557" w:rsidRDefault="00767B3E">
      <w:pPr>
        <w:numPr>
          <w:ilvl w:val="0"/>
          <w:numId w:val="2"/>
        </w:numPr>
        <w:spacing w:line="360" w:lineRule="auto"/>
        <w:ind w:left="0" w:right="-1071"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y con fundamento en lo prescrito en los artículos </w:t>
      </w:r>
      <w:r>
        <w:rPr>
          <w:rFonts w:ascii="Palatino Linotype" w:eastAsia="Palatino Linotype" w:hAnsi="Palatino Linotype" w:cs="Palatino Linotype"/>
          <w:color w:val="000000"/>
        </w:rPr>
        <w:t xml:space="preserve">5, párrafos cuadragésimo cuarto, </w:t>
      </w:r>
      <w:r>
        <w:rPr>
          <w:rFonts w:ascii="Palatino Linotype" w:eastAsia="Palatino Linotype" w:hAnsi="Palatino Linotype" w:cs="Palatino Linotype"/>
        </w:rPr>
        <w:t>cuadragésimo</w:t>
      </w:r>
      <w:r>
        <w:rPr>
          <w:rFonts w:ascii="Palatino Linotype" w:eastAsia="Palatino Linotype" w:hAnsi="Palatino Linotype" w:cs="Palatino Linotype"/>
          <w:color w:val="000000"/>
        </w:rPr>
        <w:t xml:space="preserve"> quinto y cuadragésimo sexto,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96557" w:rsidRDefault="00296557">
      <w:pPr>
        <w:ind w:right="-1071"/>
        <w:rPr>
          <w:rFonts w:ascii="Palatino Linotype" w:eastAsia="Palatino Linotype" w:hAnsi="Palatino Linotype" w:cs="Palatino Linotype"/>
        </w:rPr>
      </w:pPr>
    </w:p>
    <w:p w:rsidR="00296557" w:rsidRDefault="00767B3E">
      <w:pPr>
        <w:spacing w:line="360" w:lineRule="auto"/>
        <w:ind w:right="-1071"/>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296557" w:rsidRDefault="00296557">
      <w:pPr>
        <w:spacing w:line="360" w:lineRule="auto"/>
        <w:ind w:right="-1071"/>
        <w:jc w:val="center"/>
        <w:rPr>
          <w:rFonts w:ascii="Palatino Linotype" w:eastAsia="Palatino Linotype" w:hAnsi="Palatino Linotype" w:cs="Palatino Linotype"/>
          <w:b/>
          <w:bCs/>
        </w:rPr>
      </w:pPr>
    </w:p>
    <w:p w:rsidR="00296557" w:rsidRDefault="00767B3E">
      <w:pPr>
        <w:spacing w:line="360" w:lineRule="auto"/>
        <w:ind w:right="-1071"/>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SOBRESEE</w:t>
      </w:r>
      <w:r>
        <w:rPr>
          <w:rFonts w:ascii="Palatino Linotype" w:eastAsia="Palatino Linotype" w:hAnsi="Palatino Linotype" w:cs="Palatino Linotype"/>
        </w:rPr>
        <w:t xml:space="preserve"> el Recurso de Revisión número </w:t>
      </w:r>
      <w:r>
        <w:rPr>
          <w:rFonts w:ascii="Palatino Linotype" w:eastAsia="Palatino Linotype" w:hAnsi="Palatino Linotype" w:cs="Palatino Linotype"/>
          <w:b/>
          <w:bCs/>
          <w:color w:val="000000"/>
        </w:rPr>
        <w:t>02958/INFOEM/IP/RR/2026</w:t>
      </w:r>
      <w:r>
        <w:rPr>
          <w:rFonts w:ascii="Palatino Linotype" w:eastAsia="Palatino Linotype" w:hAnsi="Palatino Linotype" w:cs="Palatino Linotype"/>
        </w:rPr>
        <w:t xml:space="preserve">, conforme al artículo 192, fracción III, de la Ley de la Materia, porque al modificar la respuesta, el Recurso de Revisión quedó sin materia en términos del </w:t>
      </w:r>
      <w:r>
        <w:rPr>
          <w:rFonts w:ascii="Palatino Linotype" w:eastAsia="Palatino Linotype" w:hAnsi="Palatino Linotype" w:cs="Palatino Linotype"/>
          <w:b/>
          <w:bCs/>
        </w:rPr>
        <w:t>Considerando Cuarto</w:t>
      </w:r>
      <w:r>
        <w:rPr>
          <w:rFonts w:ascii="Palatino Linotype" w:eastAsia="Palatino Linotype" w:hAnsi="Palatino Linotype" w:cs="Palatino Linotype"/>
        </w:rPr>
        <w:t xml:space="preserve"> de la presente resolución.</w:t>
      </w:r>
    </w:p>
    <w:p w:rsidR="00296557" w:rsidRDefault="00296557">
      <w:pPr>
        <w:spacing w:line="360" w:lineRule="auto"/>
        <w:ind w:right="-1071"/>
        <w:jc w:val="both"/>
        <w:rPr>
          <w:rFonts w:ascii="Palatino Linotype" w:eastAsia="Palatino Linotype" w:hAnsi="Palatino Linotype" w:cs="Palatino Linotype"/>
          <w:b/>
          <w:bCs/>
        </w:rPr>
      </w:pPr>
    </w:p>
    <w:p w:rsidR="00296557" w:rsidRDefault="00767B3E">
      <w:pPr>
        <w:spacing w:line="360" w:lineRule="auto"/>
        <w:ind w:right="-1071"/>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rPr>
        <w:t xml:space="preserve">SEGUNDO.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bCs/>
        </w:rPr>
        <w:t xml:space="preserve">SUJETO OBLIGADO </w:t>
      </w:r>
      <w:r>
        <w:rPr>
          <w:rFonts w:ascii="Palatino Linotype" w:eastAsia="Palatino Linotype" w:hAnsi="Palatino Linotype" w:cs="Palatino Linotype"/>
        </w:rPr>
        <w:t>vía SAIMEX, para su conocimiento</w:t>
      </w:r>
      <w:r>
        <w:rPr>
          <w:rFonts w:ascii="Palatino Linotype" w:eastAsia="Palatino Linotype" w:hAnsi="Palatino Linotype" w:cs="Palatino Linotype"/>
          <w:color w:val="000000"/>
          <w:highlight w:val="white"/>
        </w:rPr>
        <w:t>.</w:t>
      </w:r>
    </w:p>
    <w:p w:rsidR="00296557" w:rsidRDefault="00296557">
      <w:pPr>
        <w:shd w:val="clear" w:color="auto" w:fill="FFFFFF"/>
        <w:spacing w:line="360" w:lineRule="auto"/>
        <w:ind w:right="-1071"/>
        <w:jc w:val="both"/>
        <w:rPr>
          <w:rFonts w:ascii="Palatino Linotype" w:eastAsia="Palatino Linotype" w:hAnsi="Palatino Linotype" w:cs="Palatino Linotype"/>
          <w:color w:val="000000"/>
          <w:highlight w:val="white"/>
        </w:rPr>
      </w:pPr>
    </w:p>
    <w:p w:rsidR="00296557" w:rsidRDefault="00767B3E">
      <w:pPr>
        <w:spacing w:line="360" w:lineRule="auto"/>
        <w:ind w:right="-1071"/>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color w:val="000000"/>
        </w:rPr>
        <w:t>TERCERO</w:t>
      </w:r>
      <w:r>
        <w:rPr>
          <w:rFonts w:ascii="Palatino Linotype" w:eastAsia="Palatino Linotype" w:hAnsi="Palatino Linotype" w:cs="Palatino Linotype"/>
          <w:b/>
          <w:bCs/>
          <w:color w:val="222222"/>
        </w:rPr>
        <w:t xml:space="preserve">. 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bCs/>
          <w:color w:val="222222"/>
        </w:rPr>
        <w:t>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color w:val="000000"/>
          <w:highlight w:val="white"/>
        </w:rPr>
        <w:t>.</w:t>
      </w:r>
    </w:p>
    <w:p w:rsidR="00296557" w:rsidRDefault="00296557">
      <w:pPr>
        <w:spacing w:line="360" w:lineRule="auto"/>
        <w:ind w:right="-1071"/>
        <w:jc w:val="both"/>
        <w:rPr>
          <w:rFonts w:ascii="Palatino Linotype" w:eastAsia="Palatino Linotype" w:hAnsi="Palatino Linotype" w:cs="Palatino Linotype"/>
          <w:color w:val="000000"/>
          <w:highlight w:val="white"/>
        </w:rPr>
      </w:pPr>
    </w:p>
    <w:p w:rsidR="00296557" w:rsidRDefault="00767B3E">
      <w:pPr>
        <w:spacing w:line="360" w:lineRule="auto"/>
        <w:ind w:right="-1071"/>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222222"/>
        </w:rPr>
        <w:t xml:space="preserve">CUARTO. </w:t>
      </w:r>
      <w:r>
        <w:rPr>
          <w:rFonts w:ascii="Palatino Linotype" w:eastAsia="Palatino Linotype" w:hAnsi="Palatino Linotype" w:cs="Palatino Linotype"/>
          <w:color w:val="000000"/>
        </w:rPr>
        <w:t>Se hace del conocimiento del</w:t>
      </w:r>
      <w:r>
        <w:rPr>
          <w:rFonts w:ascii="Palatino Linotype" w:eastAsia="Palatino Linotype" w:hAnsi="Palatino Linotype" w:cs="Palatino Linotype"/>
          <w:b/>
          <w:bCs/>
          <w:color w:val="000000"/>
        </w:rPr>
        <w:t xml:space="preserve">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rsidR="00296557" w:rsidRDefault="00296557">
      <w:pPr>
        <w:spacing w:line="360" w:lineRule="auto"/>
        <w:ind w:right="-1071"/>
        <w:jc w:val="both"/>
        <w:rPr>
          <w:rFonts w:ascii="Palatino Linotype" w:eastAsia="Palatino Linotype" w:hAnsi="Palatino Linotype" w:cs="Palatino Linotype"/>
        </w:rPr>
      </w:pPr>
    </w:p>
    <w:p w:rsidR="00095581" w:rsidRPr="003E2295" w:rsidRDefault="00095581" w:rsidP="00095581">
      <w:pPr>
        <w:spacing w:before="240" w:after="240" w:line="360" w:lineRule="auto"/>
        <w:ind w:right="-943" w:firstLine="1"/>
        <w:jc w:val="both"/>
        <w:rPr>
          <w:rFonts w:ascii="Palatino Linotype" w:hAnsi="Palatino Linotype"/>
        </w:rPr>
      </w:pPr>
      <w:bookmarkStart w:id="8" w:name="_heading=h.oa51i0a36u8w" w:colFirst="0" w:colLast="0"/>
      <w:bookmarkStart w:id="9" w:name="_Hlk99014733"/>
      <w:bookmarkEnd w:id="8"/>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 xml:space="preserve">VIGÉSIMA TERCERA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JUNIO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9"/>
    <w:p w:rsidR="00296557" w:rsidRDefault="00296557">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p w:rsidR="00221BB6" w:rsidRDefault="00221BB6">
      <w:pPr>
        <w:ind w:right="-1071"/>
        <w:rPr>
          <w:rFonts w:ascii="Palatino Linotype" w:eastAsia="Palatino Linotype" w:hAnsi="Palatino Linotype" w:cs="Palatino Linotype"/>
        </w:rPr>
      </w:pPr>
    </w:p>
    <w:sectPr w:rsidR="00221BB6">
      <w:headerReference w:type="default" r:id="rId9"/>
      <w:footerReference w:type="default" r:id="rId10"/>
      <w:headerReference w:type="first" r:id="rId11"/>
      <w:footerReference w:type="first" r:id="rId12"/>
      <w:pgSz w:w="12240" w:h="15840"/>
      <w:pgMar w:top="1574"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3AC" w:rsidRDefault="00DD13AC">
      <w:r>
        <w:separator/>
      </w:r>
    </w:p>
  </w:endnote>
  <w:endnote w:type="continuationSeparator" w:id="0">
    <w:p w:rsidR="00DD13AC" w:rsidRDefault="00DD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60DC152-C009-414A-85D6-00FA958FCEE9}"/>
    <w:embedBold r:id="rId2" w:fontKey="{3F09AB7E-F767-4C90-B9D6-55B1CF9D66FD}"/>
    <w:embedItalic r:id="rId3" w:fontKey="{657F68CF-EDE5-4AC9-97F0-A4F87E088131}"/>
    <w:embedBoldItalic r:id="rId4" w:fontKey="{06AF6D38-19B9-4A49-ADD5-6BF75ACCB2F5}"/>
  </w:font>
  <w:font w:name="Noto Sans Symbols">
    <w:altName w:val="Times New Roman"/>
    <w:charset w:val="00"/>
    <w:family w:val="auto"/>
    <w:pitch w:val="default"/>
    <w:embedRegular r:id="rId5" w:fontKey="{DD0847EC-CD85-4A3E-B174-6B00C211EDB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31373B6-094E-43D3-AF5F-633782798B16}"/>
  </w:font>
  <w:font w:name="Georgia">
    <w:panose1 w:val="02040502050405020303"/>
    <w:charset w:val="00"/>
    <w:family w:val="roman"/>
    <w:pitch w:val="variable"/>
    <w:sig w:usb0="00000287" w:usb1="00000000" w:usb2="00000000" w:usb3="00000000" w:csb0="0000009F" w:csb1="00000000"/>
    <w:embedItalic r:id="rId7" w:fontKey="{DE83BD9A-D530-4175-B105-EFE6A4001AC0}"/>
  </w:font>
  <w:font w:name="Cambria">
    <w:panose1 w:val="02040503050406030204"/>
    <w:charset w:val="00"/>
    <w:family w:val="roman"/>
    <w:pitch w:val="variable"/>
    <w:sig w:usb0="E00006FF" w:usb1="420024FF" w:usb2="02000000" w:usb3="00000000" w:csb0="0000019F" w:csb1="00000000"/>
    <w:embedRegular r:id="rId8" w:fontKey="{BFCC0A04-DEFD-44A4-B17C-2E22151A4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557" w:rsidRDefault="00767B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455BDF">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455BDF">
      <w:rPr>
        <w:rFonts w:ascii="Palatino Linotype" w:eastAsia="Palatino Linotype" w:hAnsi="Palatino Linotype" w:cs="Palatino Linotype"/>
        <w:b/>
        <w:bCs/>
        <w:noProof/>
        <w:color w:val="000000"/>
        <w:sz w:val="22"/>
        <w:szCs w:val="22"/>
      </w:rPr>
      <w:t>27</w:t>
    </w:r>
    <w:r>
      <w:rPr>
        <w:rFonts w:ascii="Palatino Linotype" w:eastAsia="Palatino Linotype" w:hAnsi="Palatino Linotype" w:cs="Palatino Linotype"/>
        <w:b/>
        <w:bCs/>
        <w:color w:val="000000"/>
        <w:sz w:val="22"/>
        <w:szCs w:val="22"/>
      </w:rPr>
      <w:fldChar w:fldCharType="end"/>
    </w:r>
  </w:p>
  <w:p w:rsidR="00296557" w:rsidRDefault="0029655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557" w:rsidRDefault="00767B3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55BD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55BDF">
      <w:rPr>
        <w:rFonts w:ascii="Palatino Linotype" w:eastAsia="Palatino Linotype" w:hAnsi="Palatino Linotype" w:cs="Palatino Linotype"/>
        <w:noProof/>
        <w:color w:val="000000"/>
        <w:sz w:val="22"/>
        <w:szCs w:val="22"/>
      </w:rPr>
      <w:t>27</w:t>
    </w:r>
    <w:r>
      <w:rPr>
        <w:rFonts w:ascii="Palatino Linotype" w:eastAsia="Palatino Linotype" w:hAnsi="Palatino Linotype" w:cs="Palatino Linotype"/>
        <w:color w:val="000000"/>
        <w:sz w:val="22"/>
        <w:szCs w:val="22"/>
      </w:rPr>
      <w:fldChar w:fldCharType="end"/>
    </w:r>
  </w:p>
  <w:p w:rsidR="00296557" w:rsidRDefault="00296557">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3AC" w:rsidRDefault="00DD13AC">
      <w:r>
        <w:separator/>
      </w:r>
    </w:p>
  </w:footnote>
  <w:footnote w:type="continuationSeparator" w:id="0">
    <w:p w:rsidR="00DD13AC" w:rsidRDefault="00DD1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8370"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4485"/>
      <w:gridCol w:w="3885"/>
    </w:tblGrid>
    <w:tr w:rsidR="00296557" w:rsidTr="000E7D8B">
      <w:trPr>
        <w:trHeight w:val="138"/>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sz w:val="26"/>
              <w:szCs w:val="26"/>
            </w:rPr>
            <w:tab/>
          </w:r>
          <w:r>
            <w:rPr>
              <w:rFonts w:ascii="Palatino Linotype" w:eastAsia="Palatino Linotype" w:hAnsi="Palatino Linotype" w:cs="Palatino Linotype"/>
              <w:b/>
              <w:bCs/>
            </w:rPr>
            <w:t>RECURSO DE REVISIÓN:</w:t>
          </w:r>
        </w:p>
      </w:tc>
      <w:tc>
        <w:tcPr>
          <w:tcW w:w="3885" w:type="dxa"/>
          <w:vAlign w:val="center"/>
        </w:tcPr>
        <w:p w:rsidR="00296557" w:rsidRDefault="00767B3E">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02958/INFOEM/IP/RR/2026</w:t>
          </w:r>
        </w:p>
      </w:tc>
    </w:tr>
    <w:tr w:rsidR="00296557" w:rsidTr="000E7D8B">
      <w:trPr>
        <w:trHeight w:val="321"/>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885" w:type="dxa"/>
          <w:vAlign w:val="center"/>
        </w:tcPr>
        <w:p w:rsidR="00296557" w:rsidRDefault="00767B3E">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Poder Judicial</w:t>
          </w:r>
        </w:p>
      </w:tc>
    </w:tr>
    <w:tr w:rsidR="00296557" w:rsidTr="000E7D8B">
      <w:trPr>
        <w:trHeight w:val="321"/>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885" w:type="dxa"/>
          <w:vAlign w:val="center"/>
        </w:tcPr>
        <w:p w:rsidR="00296557" w:rsidRDefault="00767B3E">
          <w:pPr>
            <w:pBdr>
              <w:top w:val="nil"/>
              <w:left w:val="nil"/>
              <w:bottom w:val="nil"/>
              <w:right w:val="nil"/>
              <w:between w:val="nil"/>
            </w:pBdr>
            <w:tabs>
              <w:tab w:val="center" w:pos="4494"/>
              <w:tab w:val="right" w:pos="8504"/>
            </w:tabs>
            <w:ind w:left="33" w:right="-1566" w:hanging="3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296557" w:rsidRDefault="00767B3E">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simplePos x="0" y="0"/>
          <wp:positionH relativeFrom="page">
            <wp:posOffset>212425</wp:posOffset>
          </wp:positionH>
          <wp:positionV relativeFrom="page">
            <wp:posOffset>-216931</wp:posOffset>
          </wp:positionV>
          <wp:extent cx="7694930" cy="100203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8370"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4485"/>
      <w:gridCol w:w="3885"/>
    </w:tblGrid>
    <w:tr w:rsidR="00296557" w:rsidTr="000E7D8B">
      <w:trPr>
        <w:trHeight w:val="138"/>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rPr>
            <w:tab/>
          </w:r>
          <w:r>
            <w:rPr>
              <w:rFonts w:ascii="Palatino Linotype" w:eastAsia="Palatino Linotype" w:hAnsi="Palatino Linotype" w:cs="Palatino Linotype"/>
              <w:b/>
              <w:bCs/>
            </w:rPr>
            <w:t>RECURSO DE REVISIÓN:</w:t>
          </w:r>
        </w:p>
      </w:tc>
      <w:tc>
        <w:tcPr>
          <w:tcW w:w="3885" w:type="dxa"/>
          <w:vAlign w:val="center"/>
        </w:tcPr>
        <w:p w:rsidR="00296557" w:rsidRDefault="00767B3E">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02958/INFOEM/IP/RR/2026</w:t>
          </w:r>
        </w:p>
      </w:tc>
    </w:tr>
    <w:tr w:rsidR="00296557" w:rsidTr="000E7D8B">
      <w:trPr>
        <w:trHeight w:val="233"/>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885" w:type="dxa"/>
        </w:tcPr>
        <w:p w:rsidR="00296557" w:rsidRDefault="00455BDF">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XXXX</w:t>
          </w:r>
        </w:p>
      </w:tc>
    </w:tr>
    <w:tr w:rsidR="00296557" w:rsidTr="000E7D8B">
      <w:trPr>
        <w:trHeight w:val="321"/>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3885" w:type="dxa"/>
          <w:vAlign w:val="center"/>
        </w:tcPr>
        <w:p w:rsidR="00296557" w:rsidRDefault="00767B3E">
          <w:pPr>
            <w:pBdr>
              <w:top w:val="nil"/>
              <w:left w:val="nil"/>
              <w:bottom w:val="nil"/>
              <w:right w:val="nil"/>
              <w:between w:val="nil"/>
            </w:pBdr>
            <w:tabs>
              <w:tab w:val="center" w:pos="4494"/>
              <w:tab w:val="right" w:pos="8504"/>
            </w:tabs>
            <w:ind w:right="-1566"/>
            <w:rPr>
              <w:rFonts w:ascii="Palatino Linotype" w:eastAsia="Palatino Linotype" w:hAnsi="Palatino Linotype" w:cs="Palatino Linotype"/>
              <w:color w:val="000000"/>
            </w:rPr>
          </w:pPr>
          <w:r>
            <w:rPr>
              <w:rFonts w:ascii="Palatino Linotype" w:eastAsia="Palatino Linotype" w:hAnsi="Palatino Linotype" w:cs="Palatino Linotype"/>
              <w:color w:val="000000"/>
            </w:rPr>
            <w:t>Poder Judicial</w:t>
          </w:r>
        </w:p>
      </w:tc>
    </w:tr>
    <w:tr w:rsidR="00296557" w:rsidTr="000E7D8B">
      <w:trPr>
        <w:trHeight w:val="321"/>
      </w:trPr>
      <w:tc>
        <w:tcPr>
          <w:tcW w:w="4485" w:type="dxa"/>
          <w:vAlign w:val="center"/>
        </w:tcPr>
        <w:p w:rsidR="00296557" w:rsidRDefault="00767B3E">
          <w:pPr>
            <w:ind w:firstLine="425"/>
            <w:jc w:val="right"/>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3885" w:type="dxa"/>
          <w:vAlign w:val="center"/>
        </w:tcPr>
        <w:p w:rsidR="00296557" w:rsidRDefault="00767B3E">
          <w:pPr>
            <w:pBdr>
              <w:top w:val="nil"/>
              <w:left w:val="nil"/>
              <w:bottom w:val="nil"/>
              <w:right w:val="nil"/>
              <w:between w:val="nil"/>
            </w:pBdr>
            <w:tabs>
              <w:tab w:val="center" w:pos="4494"/>
              <w:tab w:val="right" w:pos="8504"/>
            </w:tabs>
            <w:ind w:left="33" w:right="-1566" w:hanging="33"/>
            <w:rPr>
              <w:rFonts w:ascii="Palatino Linotype" w:eastAsia="Palatino Linotype" w:hAnsi="Palatino Linotype" w:cs="Palatino Linotype"/>
              <w:color w:val="000000"/>
            </w:rPr>
          </w:pPr>
          <w:r>
            <w:rPr>
              <w:rFonts w:ascii="Palatino Linotype" w:eastAsia="Palatino Linotype" w:hAnsi="Palatino Linotype" w:cs="Palatino Linotype"/>
              <w:color w:val="000000"/>
            </w:rPr>
            <w:t>María del Rosario Mejía Ayala</w:t>
          </w:r>
        </w:p>
      </w:tc>
    </w:tr>
  </w:tbl>
  <w:p w:rsidR="00296557" w:rsidRDefault="00DD13AC">
    <w:pPr>
      <w:pBdr>
        <w:top w:val="nil"/>
        <w:left w:val="nil"/>
        <w:bottom w:val="nil"/>
        <w:right w:val="nil"/>
        <w:between w:val="nil"/>
      </w:pBdr>
      <w:tabs>
        <w:tab w:val="center" w:pos="4252"/>
        <w:tab w:val="right" w:pos="8504"/>
        <w:tab w:val="left" w:pos="3103"/>
      </w:tabs>
      <w:rPr>
        <w:color w:val="0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1.2pt;margin-top:-121.85pt;width:615.75pt;height:12in;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35722"/>
    <w:multiLevelType w:val="multilevel"/>
    <w:tmpl w:val="E22C640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0B817948"/>
    <w:multiLevelType w:val="multilevel"/>
    <w:tmpl w:val="4510D86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F57183"/>
    <w:multiLevelType w:val="multilevel"/>
    <w:tmpl w:val="E322344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289D4F91"/>
    <w:multiLevelType w:val="multilevel"/>
    <w:tmpl w:val="82E29BC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2AC915DD"/>
    <w:multiLevelType w:val="multilevel"/>
    <w:tmpl w:val="FFA2A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ED1376"/>
    <w:multiLevelType w:val="multilevel"/>
    <w:tmpl w:val="9C4EF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E35A6D"/>
    <w:multiLevelType w:val="multilevel"/>
    <w:tmpl w:val="AC248A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51EB5A66"/>
    <w:multiLevelType w:val="multilevel"/>
    <w:tmpl w:val="94A4F0A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8" w15:restartNumberingAfterBreak="0">
    <w:nsid w:val="58422625"/>
    <w:multiLevelType w:val="multilevel"/>
    <w:tmpl w:val="3E18AA9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9" w15:restartNumberingAfterBreak="0">
    <w:nsid w:val="6BCC4525"/>
    <w:multiLevelType w:val="multilevel"/>
    <w:tmpl w:val="B0F2EB38"/>
    <w:lvl w:ilvl="0">
      <w:start w:val="1"/>
      <w:numFmt w:val="decimal"/>
      <w:lvlText w:val="%1)"/>
      <w:lvlJc w:val="left"/>
      <w:pPr>
        <w:ind w:left="720" w:hanging="360"/>
      </w:pPr>
      <w:rPr>
        <w:b/>
        <w:bCs/>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10" w15:restartNumberingAfterBreak="0">
    <w:nsid w:val="70D265B6"/>
    <w:multiLevelType w:val="multilevel"/>
    <w:tmpl w:val="8E164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E32EC8"/>
    <w:multiLevelType w:val="multilevel"/>
    <w:tmpl w:val="D27EBA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7"/>
  </w:num>
  <w:num w:numId="2">
    <w:abstractNumId w:val="1"/>
  </w:num>
  <w:num w:numId="3">
    <w:abstractNumId w:val="6"/>
  </w:num>
  <w:num w:numId="4">
    <w:abstractNumId w:val="4"/>
  </w:num>
  <w:num w:numId="5">
    <w:abstractNumId w:val="10"/>
  </w:num>
  <w:num w:numId="6">
    <w:abstractNumId w:val="3"/>
  </w:num>
  <w:num w:numId="7">
    <w:abstractNumId w:val="2"/>
  </w:num>
  <w:num w:numId="8">
    <w:abstractNumId w:val="5"/>
  </w:num>
  <w:num w:numId="9">
    <w:abstractNumId w:val="0"/>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57"/>
    <w:rsid w:val="00095581"/>
    <w:rsid w:val="000E7D8B"/>
    <w:rsid w:val="001B08A7"/>
    <w:rsid w:val="00221BB6"/>
    <w:rsid w:val="00296557"/>
    <w:rsid w:val="002E52DA"/>
    <w:rsid w:val="00455BDF"/>
    <w:rsid w:val="00625B99"/>
    <w:rsid w:val="00767B3E"/>
    <w:rsid w:val="00944A35"/>
    <w:rsid w:val="00DD13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5A30D22-7D6F-485D-992D-56F0AB11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0E7D8B"/>
    <w:pPr>
      <w:tabs>
        <w:tab w:val="center" w:pos="4419"/>
        <w:tab w:val="right" w:pos="8838"/>
      </w:tabs>
    </w:pPr>
  </w:style>
  <w:style w:type="character" w:customStyle="1" w:styleId="EncabezadoCar">
    <w:name w:val="Encabezado Car"/>
    <w:basedOn w:val="Fuentedeprrafopredeter"/>
    <w:link w:val="Encabezado"/>
    <w:uiPriority w:val="99"/>
    <w:rsid w:val="000E7D8B"/>
  </w:style>
  <w:style w:type="paragraph" w:styleId="Piedepgina">
    <w:name w:val="footer"/>
    <w:basedOn w:val="Normal"/>
    <w:link w:val="PiedepginaCar"/>
    <w:uiPriority w:val="99"/>
    <w:unhideWhenUsed/>
    <w:rsid w:val="000E7D8B"/>
    <w:pPr>
      <w:tabs>
        <w:tab w:val="center" w:pos="4419"/>
        <w:tab w:val="right" w:pos="8838"/>
      </w:tabs>
    </w:pPr>
  </w:style>
  <w:style w:type="character" w:customStyle="1" w:styleId="PiedepginaCar">
    <w:name w:val="Pie de página Car"/>
    <w:basedOn w:val="Fuentedeprrafopredeter"/>
    <w:link w:val="Piedepgina"/>
    <w:uiPriority w:val="99"/>
    <w:rsid w:val="000E7D8B"/>
  </w:style>
  <w:style w:type="paragraph" w:styleId="Prrafodelista">
    <w:name w:val="List Paragraph"/>
    <w:basedOn w:val="Normal"/>
    <w:uiPriority w:val="34"/>
    <w:qFormat/>
    <w:rsid w:val="000E7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edomex.gob.mx/transparencia/8_actas_comi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5dgwS5gwmkVm0iGOzpQ7F3JEg==">CgMxLjAyDmguYmFmbG1rcTlnZTFmMgloLjFmb2I5dGUyDmguZjUzM2N5cWZic2EyMgloLjN6bnlzaDcyCWguMmV0OTJwMDIJaC4xdDNoNXNmMgloLjJzOGV5bzEyDmgub2E1MWkwYTM2dTh3OAByITFVcFpuQWhFS2xJUHZvbzdlNVdwYWpHSjlkdGxIM2FYSQ==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7862</Words>
  <Characters>43245</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7</cp:revision>
  <cp:lastPrinted>2026-06-29T15:58:00Z</cp:lastPrinted>
  <dcterms:created xsi:type="dcterms:W3CDTF">2026-06-24T19:40:00Z</dcterms:created>
  <dcterms:modified xsi:type="dcterms:W3CDTF">2026-07-03T00:27:00Z</dcterms:modified>
</cp:coreProperties>
</file>