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8CE8B87" w:rsidR="007D645B" w:rsidRPr="004803A9" w:rsidRDefault="0029071C" w:rsidP="003212CC">
      <w:pPr>
        <w:shd w:val="clear" w:color="auto" w:fill="FFFFFF"/>
        <w:spacing w:line="360" w:lineRule="auto"/>
        <w:jc w:val="both"/>
        <w:rPr>
          <w:rFonts w:ascii="Palatino Linotype" w:hAnsi="Palatino Linotype" w:cs="Arial"/>
          <w:color w:val="000000"/>
          <w:lang w:val="es-MX" w:eastAsia="es-MX"/>
        </w:rPr>
      </w:pPr>
      <w:r w:rsidRPr="004803A9">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139C2" w:rsidRPr="004803A9">
        <w:rPr>
          <w:rFonts w:ascii="Palatino Linotype" w:hAnsi="Palatino Linotype" w:cs="Arial"/>
          <w:color w:val="000000"/>
          <w:lang w:val="es-MX" w:eastAsia="es-MX"/>
        </w:rPr>
        <w:t>veintiuno de enero de dos mil veintiséis</w:t>
      </w:r>
      <w:r w:rsidRPr="004803A9">
        <w:rPr>
          <w:rFonts w:ascii="Palatino Linotype" w:hAnsi="Palatino Linotype" w:cs="Arial"/>
          <w:color w:val="000000"/>
          <w:lang w:val="es-MX" w:eastAsia="es-MX"/>
        </w:rPr>
        <w:t>.</w:t>
      </w:r>
    </w:p>
    <w:p w14:paraId="2A0F879A" w14:textId="77777777" w:rsidR="00A97F97" w:rsidRPr="004803A9" w:rsidRDefault="00A97F97" w:rsidP="003212CC">
      <w:pPr>
        <w:shd w:val="clear" w:color="auto" w:fill="FFFFFF"/>
        <w:spacing w:line="360" w:lineRule="auto"/>
        <w:jc w:val="both"/>
        <w:rPr>
          <w:rFonts w:ascii="Palatino Linotype" w:hAnsi="Palatino Linotype" w:cs="Arial"/>
          <w:color w:val="000000"/>
          <w:lang w:val="es-MX" w:eastAsia="es-MX"/>
        </w:rPr>
      </w:pPr>
    </w:p>
    <w:p w14:paraId="5D167B00" w14:textId="531D9599" w:rsidR="007D645B" w:rsidRPr="004803A9" w:rsidRDefault="0029071C" w:rsidP="003212CC">
      <w:pPr>
        <w:tabs>
          <w:tab w:val="left" w:pos="1701"/>
        </w:tabs>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b/>
          <w:lang w:val="es-MX" w:eastAsia="en-US"/>
        </w:rPr>
        <w:t>VISTO</w:t>
      </w:r>
      <w:r w:rsidRPr="004803A9">
        <w:rPr>
          <w:rFonts w:ascii="Palatino Linotype" w:eastAsiaTheme="minorHAnsi" w:hAnsi="Palatino Linotype" w:cs="Arial"/>
          <w:lang w:val="es-MX" w:eastAsia="en-US"/>
        </w:rPr>
        <w:t xml:space="preserve"> el expediente electrónico formado con motivo del recurso de revisión número </w:t>
      </w:r>
      <w:r w:rsidR="007D645B" w:rsidRPr="004803A9">
        <w:rPr>
          <w:rFonts w:ascii="Palatino Linotype" w:eastAsiaTheme="minorHAnsi" w:hAnsi="Palatino Linotype" w:cs="Arial"/>
          <w:b/>
          <w:lang w:val="es-MX" w:eastAsia="en-US"/>
        </w:rPr>
        <w:t>0</w:t>
      </w:r>
      <w:r w:rsidR="00D21824" w:rsidRPr="004803A9">
        <w:rPr>
          <w:rFonts w:ascii="Palatino Linotype" w:eastAsiaTheme="minorHAnsi" w:hAnsi="Palatino Linotype" w:cs="Arial"/>
          <w:b/>
          <w:lang w:val="es-MX" w:eastAsia="en-US"/>
        </w:rPr>
        <w:t>597</w:t>
      </w:r>
      <w:r w:rsidR="00543E50" w:rsidRPr="004803A9">
        <w:rPr>
          <w:rFonts w:ascii="Palatino Linotype" w:eastAsiaTheme="minorHAnsi" w:hAnsi="Palatino Linotype" w:cs="Arial"/>
          <w:b/>
          <w:lang w:val="es-MX" w:eastAsia="en-US"/>
        </w:rPr>
        <w:t>5</w:t>
      </w:r>
      <w:r w:rsidR="00951242" w:rsidRPr="004803A9">
        <w:rPr>
          <w:rFonts w:ascii="Palatino Linotype" w:eastAsiaTheme="minorHAnsi" w:hAnsi="Palatino Linotype" w:cs="Arial"/>
          <w:b/>
          <w:lang w:val="es-MX" w:eastAsia="en-US"/>
        </w:rPr>
        <w:t>/</w:t>
      </w:r>
      <w:r w:rsidRPr="004803A9">
        <w:rPr>
          <w:rFonts w:ascii="Palatino Linotype" w:eastAsiaTheme="minorHAnsi" w:hAnsi="Palatino Linotype" w:cs="Arial"/>
          <w:b/>
          <w:bCs/>
          <w:lang w:val="es-MX" w:eastAsia="es-MX"/>
        </w:rPr>
        <w:t>INFOEM/IP/RR/202</w:t>
      </w:r>
      <w:r w:rsidR="00B14416" w:rsidRPr="004803A9">
        <w:rPr>
          <w:rFonts w:ascii="Palatino Linotype" w:eastAsiaTheme="minorHAnsi" w:hAnsi="Palatino Linotype" w:cs="Arial"/>
          <w:b/>
          <w:bCs/>
          <w:lang w:val="es-MX" w:eastAsia="es-MX"/>
        </w:rPr>
        <w:t>5</w:t>
      </w:r>
      <w:r w:rsidRPr="004803A9">
        <w:rPr>
          <w:rFonts w:ascii="Palatino Linotype" w:eastAsiaTheme="minorHAnsi" w:hAnsi="Palatino Linotype" w:cs="Arial"/>
          <w:lang w:val="es-MX" w:eastAsia="en-US"/>
        </w:rPr>
        <w:t xml:space="preserve">, </w:t>
      </w:r>
      <w:r w:rsidR="00266841" w:rsidRPr="004803A9">
        <w:rPr>
          <w:rFonts w:ascii="Palatino Linotype" w:hAnsi="Palatino Linotype" w:cs="Arial"/>
        </w:rPr>
        <w:t>interpuesto</w:t>
      </w:r>
      <w:r w:rsidR="005327BF" w:rsidRPr="004803A9">
        <w:rPr>
          <w:rFonts w:ascii="Palatino Linotype" w:hAnsi="Palatino Linotype" w:cs="Arial"/>
        </w:rPr>
        <w:t xml:space="preserve"> </w:t>
      </w:r>
      <w:r w:rsidR="00B14416" w:rsidRPr="004803A9">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4803A9">
        <w:rPr>
          <w:rFonts w:ascii="Palatino Linotype" w:hAnsi="Palatino Linotype" w:cs="Arial"/>
        </w:rPr>
        <w:t>,</w:t>
      </w:r>
      <w:r w:rsidR="005F1F89" w:rsidRPr="004803A9">
        <w:rPr>
          <w:rFonts w:ascii="Palatino Linotype" w:hAnsi="Palatino Linotype" w:cs="Arial"/>
          <w:b/>
        </w:rPr>
        <w:t xml:space="preserve"> </w:t>
      </w:r>
      <w:r w:rsidR="005F1F89" w:rsidRPr="004803A9">
        <w:rPr>
          <w:rFonts w:ascii="Palatino Linotype" w:hAnsi="Palatino Linotype" w:cs="Arial"/>
        </w:rPr>
        <w:t>en lo sucesivo</w:t>
      </w:r>
      <w:r w:rsidR="0027342B" w:rsidRPr="004803A9">
        <w:rPr>
          <w:rFonts w:ascii="Palatino Linotype" w:hAnsi="Palatino Linotype" w:cs="Arial"/>
        </w:rPr>
        <w:t xml:space="preserve"> la parte </w:t>
      </w:r>
      <w:r w:rsidR="005F1F89" w:rsidRPr="004803A9">
        <w:rPr>
          <w:rFonts w:ascii="Palatino Linotype" w:hAnsi="Palatino Linotype" w:cs="Arial"/>
          <w:b/>
        </w:rPr>
        <w:t>Recurrente</w:t>
      </w:r>
      <w:r w:rsidRPr="004803A9">
        <w:rPr>
          <w:rFonts w:ascii="Palatino Linotype" w:eastAsiaTheme="minorHAnsi" w:hAnsi="Palatino Linotype" w:cs="Arial"/>
          <w:lang w:val="es-MX" w:eastAsia="en-US"/>
        </w:rPr>
        <w:t>, en contra de la respuesta de</w:t>
      </w:r>
      <w:r w:rsidR="00B20C2B" w:rsidRPr="004803A9">
        <w:rPr>
          <w:rFonts w:ascii="Palatino Linotype" w:eastAsiaTheme="minorHAnsi" w:hAnsi="Palatino Linotype" w:cs="Arial"/>
          <w:lang w:val="es-MX" w:eastAsia="en-US"/>
        </w:rPr>
        <w:t>l</w:t>
      </w:r>
      <w:r w:rsidRPr="004803A9">
        <w:rPr>
          <w:rFonts w:ascii="Palatino Linotype" w:eastAsiaTheme="minorHAnsi" w:hAnsi="Palatino Linotype" w:cs="Arial"/>
          <w:lang w:val="es-MX" w:eastAsia="en-US"/>
        </w:rPr>
        <w:t xml:space="preserve"> </w:t>
      </w:r>
      <w:r w:rsidR="0007165B" w:rsidRPr="004803A9">
        <w:rPr>
          <w:rFonts w:ascii="Palatino Linotype" w:eastAsiaTheme="minorHAnsi" w:hAnsi="Palatino Linotype" w:cs="Arial"/>
          <w:b/>
          <w:lang w:val="es-MX" w:eastAsia="en-US"/>
        </w:rPr>
        <w:t xml:space="preserve">Ayuntamiento de </w:t>
      </w:r>
      <w:r w:rsidR="001F479D" w:rsidRPr="004803A9">
        <w:rPr>
          <w:rFonts w:ascii="Palatino Linotype" w:eastAsiaTheme="minorHAnsi" w:hAnsi="Palatino Linotype" w:cs="Arial"/>
          <w:b/>
          <w:lang w:val="es-MX" w:eastAsia="en-US"/>
        </w:rPr>
        <w:t>Toluca</w:t>
      </w:r>
      <w:r w:rsidRPr="004803A9">
        <w:rPr>
          <w:rFonts w:ascii="Palatino Linotype" w:eastAsiaTheme="minorHAnsi" w:hAnsi="Palatino Linotype" w:cs="Arial"/>
          <w:lang w:val="es-MX" w:eastAsia="en-US"/>
        </w:rPr>
        <w:t>,</w:t>
      </w:r>
      <w:r w:rsidRPr="004803A9">
        <w:rPr>
          <w:rFonts w:ascii="Palatino Linotype" w:eastAsiaTheme="minorHAnsi" w:hAnsi="Palatino Linotype" w:cs="Arial"/>
          <w:b/>
          <w:lang w:val="es-MX" w:eastAsia="en-US"/>
        </w:rPr>
        <w:t xml:space="preserve"> </w:t>
      </w:r>
      <w:r w:rsidRPr="004803A9">
        <w:rPr>
          <w:rFonts w:ascii="Palatino Linotype" w:eastAsiaTheme="minorHAnsi" w:hAnsi="Palatino Linotype" w:cs="Arial"/>
          <w:lang w:val="es-MX" w:eastAsia="en-US"/>
        </w:rPr>
        <w:t>en lo subsecuente</w:t>
      </w:r>
      <w:r w:rsidR="001F479D" w:rsidRPr="004803A9">
        <w:rPr>
          <w:rFonts w:ascii="Palatino Linotype" w:eastAsiaTheme="minorHAnsi" w:hAnsi="Palatino Linotype" w:cs="Arial"/>
          <w:lang w:val="es-MX" w:eastAsia="en-US"/>
        </w:rPr>
        <w:t xml:space="preserve"> el </w:t>
      </w:r>
      <w:r w:rsidRPr="004803A9">
        <w:rPr>
          <w:rFonts w:ascii="Palatino Linotype" w:eastAsiaTheme="minorHAnsi" w:hAnsi="Palatino Linotype" w:cs="Arial"/>
          <w:b/>
          <w:lang w:val="es-MX" w:eastAsia="en-US"/>
        </w:rPr>
        <w:t xml:space="preserve">Sujeto Obligado, </w:t>
      </w:r>
      <w:r w:rsidRPr="004803A9">
        <w:rPr>
          <w:rFonts w:ascii="Palatino Linotype" w:eastAsiaTheme="minorHAnsi" w:hAnsi="Palatino Linotype" w:cs="Arial"/>
          <w:lang w:val="es-MX" w:eastAsia="en-US"/>
        </w:rPr>
        <w:t>se procede a dictar la presente resolución.</w:t>
      </w:r>
    </w:p>
    <w:p w14:paraId="34051789" w14:textId="77777777" w:rsidR="00A97F97" w:rsidRPr="004803A9" w:rsidRDefault="00A97F97" w:rsidP="003212CC">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4803A9" w:rsidRDefault="0029071C" w:rsidP="003212CC">
      <w:pPr>
        <w:spacing w:line="360" w:lineRule="auto"/>
        <w:jc w:val="center"/>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A N T E C E D E N T E S</w:t>
      </w:r>
    </w:p>
    <w:p w14:paraId="44F11F6B" w14:textId="77777777" w:rsidR="007D645B" w:rsidRPr="004803A9" w:rsidRDefault="007D645B" w:rsidP="003212CC">
      <w:pPr>
        <w:pStyle w:val="Sinespaciado"/>
        <w:spacing w:line="360" w:lineRule="auto"/>
        <w:rPr>
          <w:rFonts w:eastAsiaTheme="minorHAnsi"/>
          <w:lang w:eastAsia="en-US"/>
        </w:rPr>
      </w:pPr>
    </w:p>
    <w:p w14:paraId="1AD87C73" w14:textId="77777777" w:rsidR="0029071C" w:rsidRPr="004803A9" w:rsidRDefault="0029071C" w:rsidP="003212CC">
      <w:pPr>
        <w:spacing w:line="360" w:lineRule="auto"/>
        <w:jc w:val="both"/>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PRIMERO. De la solicitud de información.</w:t>
      </w:r>
    </w:p>
    <w:p w14:paraId="172BC2B9" w14:textId="2829C27F" w:rsidR="00807D02" w:rsidRPr="004803A9" w:rsidRDefault="0029071C" w:rsidP="003212CC">
      <w:pPr>
        <w:spacing w:line="360" w:lineRule="auto"/>
        <w:jc w:val="both"/>
        <w:rPr>
          <w:rFonts w:ascii="Palatino Linotype" w:eastAsiaTheme="minorHAnsi" w:hAnsi="Palatino Linotype" w:cs="Arial"/>
          <w:szCs w:val="22"/>
          <w:lang w:val="es-MX" w:eastAsia="en-US"/>
        </w:rPr>
      </w:pPr>
      <w:r w:rsidRPr="004803A9">
        <w:rPr>
          <w:rFonts w:ascii="Palatino Linotype" w:eastAsiaTheme="minorHAnsi" w:hAnsi="Palatino Linotype" w:cs="Arial"/>
          <w:szCs w:val="22"/>
          <w:lang w:val="es-MX" w:eastAsia="en-US"/>
        </w:rPr>
        <w:t xml:space="preserve">En fecha </w:t>
      </w:r>
      <w:r w:rsidR="00D21824" w:rsidRPr="004803A9">
        <w:rPr>
          <w:rFonts w:ascii="Palatino Linotype" w:eastAsiaTheme="minorHAnsi" w:hAnsi="Palatino Linotype" w:cs="Arial"/>
          <w:szCs w:val="22"/>
          <w:lang w:val="es-MX" w:eastAsia="en-US"/>
        </w:rPr>
        <w:t>dos de mayo</w:t>
      </w:r>
      <w:r w:rsidR="00B14416" w:rsidRPr="004803A9">
        <w:rPr>
          <w:rFonts w:ascii="Palatino Linotype" w:eastAsiaTheme="minorHAnsi" w:hAnsi="Palatino Linotype" w:cs="Arial"/>
          <w:szCs w:val="22"/>
          <w:lang w:val="es-MX" w:eastAsia="en-US"/>
        </w:rPr>
        <w:t xml:space="preserve"> de dos mil veinticinco</w:t>
      </w:r>
      <w:r w:rsidRPr="004803A9">
        <w:rPr>
          <w:rFonts w:ascii="Palatino Linotype" w:eastAsiaTheme="minorHAnsi" w:hAnsi="Palatino Linotype" w:cs="Arial"/>
          <w:szCs w:val="22"/>
          <w:lang w:val="es-MX" w:eastAsia="en-US"/>
        </w:rPr>
        <w:t xml:space="preserve">, </w:t>
      </w:r>
      <w:r w:rsidR="0027342B" w:rsidRPr="004803A9">
        <w:rPr>
          <w:rFonts w:ascii="Palatino Linotype" w:eastAsiaTheme="minorHAnsi" w:hAnsi="Palatino Linotype" w:cs="Arial"/>
          <w:szCs w:val="22"/>
          <w:lang w:val="es-MX" w:eastAsia="en-US"/>
        </w:rPr>
        <w:t xml:space="preserve">la parte </w:t>
      </w:r>
      <w:r w:rsidRPr="004803A9">
        <w:rPr>
          <w:rFonts w:ascii="Palatino Linotype" w:eastAsiaTheme="minorHAnsi" w:hAnsi="Palatino Linotype" w:cs="Arial"/>
          <w:b/>
          <w:szCs w:val="22"/>
          <w:lang w:val="es-MX" w:eastAsia="en-US"/>
        </w:rPr>
        <w:t>Recurrente</w:t>
      </w:r>
      <w:r w:rsidRPr="004803A9">
        <w:rPr>
          <w:rFonts w:ascii="Palatino Linotype" w:eastAsiaTheme="minorHAnsi" w:hAnsi="Palatino Linotype" w:cs="Arial"/>
          <w:szCs w:val="22"/>
          <w:lang w:val="es-MX" w:eastAsia="en-US"/>
        </w:rPr>
        <w:t xml:space="preserve">, presentó a través del Sistema de Acceso a la Información Mexiquense </w:t>
      </w:r>
      <w:r w:rsidRPr="004803A9">
        <w:rPr>
          <w:rFonts w:ascii="Palatino Linotype" w:eastAsiaTheme="minorHAnsi" w:hAnsi="Palatino Linotype" w:cs="Arial"/>
          <w:b/>
          <w:szCs w:val="22"/>
          <w:lang w:val="es-MX" w:eastAsia="en-US"/>
        </w:rPr>
        <w:t>(SAIMEX),</w:t>
      </w:r>
      <w:r w:rsidRPr="004803A9">
        <w:rPr>
          <w:rFonts w:ascii="Palatino Linotype" w:eastAsiaTheme="minorHAnsi" w:hAnsi="Palatino Linotype" w:cs="Arial"/>
          <w:szCs w:val="22"/>
          <w:lang w:val="es-MX" w:eastAsia="en-US"/>
        </w:rPr>
        <w:t xml:space="preserve"> ante el </w:t>
      </w:r>
      <w:r w:rsidRPr="004803A9">
        <w:rPr>
          <w:rFonts w:ascii="Palatino Linotype" w:eastAsiaTheme="minorHAnsi" w:hAnsi="Palatino Linotype" w:cs="Arial"/>
          <w:b/>
          <w:szCs w:val="22"/>
          <w:lang w:val="es-MX" w:eastAsia="en-US"/>
        </w:rPr>
        <w:t>Sujeto Obligado</w:t>
      </w:r>
      <w:r w:rsidRPr="004803A9">
        <w:rPr>
          <w:rFonts w:ascii="Palatino Linotype" w:eastAsiaTheme="minorHAnsi" w:hAnsi="Palatino Linotype" w:cs="Arial"/>
          <w:szCs w:val="22"/>
          <w:lang w:val="es-MX" w:eastAsia="en-US"/>
        </w:rPr>
        <w:t xml:space="preserve">, </w:t>
      </w:r>
      <w:proofErr w:type="gramStart"/>
      <w:r w:rsidRPr="004803A9">
        <w:rPr>
          <w:rFonts w:ascii="Palatino Linotype" w:eastAsiaTheme="minorHAnsi" w:hAnsi="Palatino Linotype" w:cs="Arial"/>
          <w:szCs w:val="22"/>
          <w:lang w:val="es-MX" w:eastAsia="en-US"/>
        </w:rPr>
        <w:t>la</w:t>
      </w:r>
      <w:proofErr w:type="gramEnd"/>
      <w:r w:rsidRPr="004803A9">
        <w:rPr>
          <w:rFonts w:ascii="Palatino Linotype" w:eastAsiaTheme="minorHAnsi" w:hAnsi="Palatino Linotype" w:cs="Arial"/>
          <w:szCs w:val="22"/>
          <w:lang w:val="es-MX" w:eastAsia="en-US"/>
        </w:rPr>
        <w:t xml:space="preserve"> solicitud de acceso a la información pública, a la que se le</w:t>
      </w:r>
      <w:r w:rsidR="00C753C2" w:rsidRPr="004803A9">
        <w:rPr>
          <w:rFonts w:ascii="Palatino Linotype" w:eastAsiaTheme="minorHAnsi" w:hAnsi="Palatino Linotype" w:cs="Arial"/>
          <w:szCs w:val="22"/>
          <w:lang w:val="es-MX" w:eastAsia="en-US"/>
        </w:rPr>
        <w:t xml:space="preserve"> asignó el número de expediente</w:t>
      </w:r>
      <w:r w:rsidR="00807D02" w:rsidRPr="004803A9">
        <w:rPr>
          <w:rFonts w:ascii="Palatino Linotype" w:eastAsiaTheme="minorHAnsi" w:hAnsi="Palatino Linotype" w:cs="Arial"/>
          <w:szCs w:val="22"/>
          <w:lang w:val="es-MX" w:eastAsia="en-US"/>
        </w:rPr>
        <w:t xml:space="preserve"> </w:t>
      </w:r>
      <w:r w:rsidR="00D21824" w:rsidRPr="004803A9">
        <w:rPr>
          <w:rFonts w:ascii="Palatino Linotype" w:eastAsiaTheme="minorHAnsi" w:hAnsi="Palatino Linotype" w:cs="Arial"/>
          <w:b/>
          <w:szCs w:val="22"/>
          <w:lang w:val="es-MX" w:eastAsia="en-US"/>
        </w:rPr>
        <w:t>02617/TOLUCA/IP/2025</w:t>
      </w:r>
      <w:r w:rsidRPr="004803A9">
        <w:rPr>
          <w:rFonts w:ascii="Palatino Linotype" w:eastAsiaTheme="minorHAnsi" w:hAnsi="Palatino Linotype" w:cs="Arial"/>
          <w:szCs w:val="22"/>
          <w:lang w:val="es-MX" w:eastAsia="en-US"/>
        </w:rPr>
        <w:t>, solicitó lo siguiente:</w:t>
      </w:r>
    </w:p>
    <w:p w14:paraId="5040BCCA" w14:textId="77777777" w:rsidR="00FF3FFB" w:rsidRPr="004803A9" w:rsidRDefault="00FF3FFB" w:rsidP="003212CC">
      <w:pPr>
        <w:spacing w:line="360" w:lineRule="auto"/>
        <w:jc w:val="both"/>
        <w:rPr>
          <w:rFonts w:ascii="Palatino Linotype" w:eastAsiaTheme="minorHAnsi" w:hAnsi="Palatino Linotype" w:cs="Arial"/>
          <w:szCs w:val="22"/>
          <w:lang w:val="es-MX" w:eastAsia="en-US"/>
        </w:rPr>
      </w:pPr>
    </w:p>
    <w:p w14:paraId="3A941F80" w14:textId="286F66BC" w:rsidR="0027342B" w:rsidRPr="004803A9" w:rsidRDefault="0029071C" w:rsidP="003212CC">
      <w:pPr>
        <w:spacing w:line="360" w:lineRule="auto"/>
        <w:ind w:left="284" w:right="332"/>
        <w:jc w:val="both"/>
        <w:rPr>
          <w:rFonts w:ascii="Palatino Linotype" w:hAnsi="Palatino Linotype"/>
          <w:i/>
          <w:sz w:val="22"/>
          <w:szCs w:val="22"/>
          <w:lang w:val="es-ES_tradnl"/>
        </w:rPr>
      </w:pPr>
      <w:r w:rsidRPr="004803A9">
        <w:rPr>
          <w:rFonts w:ascii="Palatino Linotype" w:hAnsi="Palatino Linotype"/>
          <w:i/>
          <w:sz w:val="22"/>
          <w:szCs w:val="22"/>
          <w:lang w:val="es-MX"/>
        </w:rPr>
        <w:t>“</w:t>
      </w:r>
      <w:bookmarkStart w:id="0" w:name="_Hlk198034959"/>
      <w:r w:rsidR="00D21824" w:rsidRPr="004803A9">
        <w:rPr>
          <w:rFonts w:ascii="Palatino Linotype" w:hAnsi="Palatino Linotype"/>
          <w:i/>
          <w:sz w:val="22"/>
          <w:szCs w:val="22"/>
        </w:rPr>
        <w:t xml:space="preserve">El plan de accione </w:t>
      </w:r>
      <w:proofErr w:type="spellStart"/>
      <w:r w:rsidR="00D21824" w:rsidRPr="004803A9">
        <w:rPr>
          <w:rFonts w:ascii="Palatino Linotype" w:hAnsi="Palatino Linotype"/>
          <w:i/>
          <w:sz w:val="22"/>
          <w:szCs w:val="22"/>
        </w:rPr>
        <w:t>sy</w:t>
      </w:r>
      <w:proofErr w:type="spellEnd"/>
      <w:r w:rsidR="00D21824" w:rsidRPr="004803A9">
        <w:rPr>
          <w:rFonts w:ascii="Palatino Linotype" w:hAnsi="Palatino Linotype"/>
          <w:i/>
          <w:sz w:val="22"/>
          <w:szCs w:val="22"/>
        </w:rPr>
        <w:t xml:space="preserve"> programas con el presupuesto asignado y ejercido por cada uno por el Instituto de la Mujer para erradicar la Violencia de Género por año de 2020 a la fecha</w:t>
      </w:r>
      <w:r w:rsidR="00BD6364" w:rsidRPr="004803A9">
        <w:rPr>
          <w:rFonts w:ascii="Palatino Linotype" w:hAnsi="Palatino Linotype"/>
          <w:i/>
          <w:sz w:val="22"/>
          <w:szCs w:val="22"/>
          <w:lang w:val="es-MX" w:eastAsia="es-MX"/>
        </w:rPr>
        <w:t>”</w:t>
      </w:r>
      <w:r w:rsidR="00807D02" w:rsidRPr="004803A9">
        <w:rPr>
          <w:rFonts w:ascii="Palatino Linotype" w:hAnsi="Palatino Linotype"/>
          <w:i/>
          <w:sz w:val="22"/>
          <w:szCs w:val="22"/>
          <w:lang w:val="es-MX" w:eastAsia="es-MX"/>
        </w:rPr>
        <w:t xml:space="preserve"> </w:t>
      </w:r>
      <w:bookmarkEnd w:id="0"/>
      <w:r w:rsidRPr="004803A9">
        <w:rPr>
          <w:rFonts w:ascii="Palatino Linotype" w:hAnsi="Palatino Linotype"/>
          <w:i/>
          <w:sz w:val="22"/>
          <w:szCs w:val="22"/>
          <w:lang w:val="es-ES_tradnl"/>
        </w:rPr>
        <w:t>(Sic).</w:t>
      </w:r>
    </w:p>
    <w:p w14:paraId="7ECF9543" w14:textId="77777777" w:rsidR="00807D02" w:rsidRPr="004803A9" w:rsidRDefault="00807D02" w:rsidP="003212CC">
      <w:pPr>
        <w:spacing w:line="360" w:lineRule="auto"/>
        <w:ind w:left="284" w:right="332"/>
        <w:jc w:val="both"/>
        <w:rPr>
          <w:rFonts w:ascii="Palatino Linotype" w:hAnsi="Palatino Linotype"/>
          <w:i/>
          <w:sz w:val="22"/>
          <w:szCs w:val="20"/>
          <w:lang w:val="es-ES_tradnl"/>
        </w:rPr>
      </w:pPr>
      <w:bookmarkStart w:id="1" w:name="_GoBack"/>
      <w:bookmarkEnd w:id="1"/>
    </w:p>
    <w:p w14:paraId="0FD49E12" w14:textId="45846240" w:rsidR="001F479D" w:rsidRPr="004803A9" w:rsidRDefault="0029071C" w:rsidP="003212CC">
      <w:pPr>
        <w:tabs>
          <w:tab w:val="left" w:pos="5647"/>
        </w:tabs>
        <w:spacing w:line="360" w:lineRule="auto"/>
        <w:ind w:right="850"/>
        <w:jc w:val="both"/>
        <w:rPr>
          <w:rFonts w:ascii="Palatino Linotype" w:eastAsiaTheme="minorHAnsi" w:hAnsi="Palatino Linotype" w:cstheme="minorBidi"/>
          <w:color w:val="000000"/>
          <w:lang w:val="es-MX" w:eastAsia="en-US"/>
        </w:rPr>
      </w:pPr>
      <w:r w:rsidRPr="004803A9">
        <w:rPr>
          <w:rFonts w:ascii="Palatino Linotype" w:hAnsi="Palatino Linotype"/>
          <w:b/>
          <w:lang w:val="es-ES_tradnl"/>
        </w:rPr>
        <w:t>MODALIDAD DE ENTREGA:</w:t>
      </w:r>
      <w:r w:rsidRPr="004803A9">
        <w:rPr>
          <w:rFonts w:ascii="Palatino Linotype" w:hAnsi="Palatino Linotype"/>
          <w:lang w:val="es-ES_tradnl"/>
        </w:rPr>
        <w:t xml:space="preserve"> </w:t>
      </w:r>
      <w:r w:rsidRPr="004803A9">
        <w:rPr>
          <w:rFonts w:ascii="Palatino Linotype" w:eastAsiaTheme="minorHAnsi" w:hAnsi="Palatino Linotype" w:cstheme="minorBidi"/>
          <w:color w:val="000000"/>
          <w:lang w:val="es-MX" w:eastAsia="en-US"/>
        </w:rPr>
        <w:t xml:space="preserve">A través del </w:t>
      </w:r>
      <w:r w:rsidRPr="004803A9">
        <w:rPr>
          <w:rFonts w:ascii="Palatino Linotype" w:eastAsiaTheme="minorHAnsi" w:hAnsi="Palatino Linotype" w:cstheme="minorBidi"/>
          <w:b/>
          <w:color w:val="000000"/>
          <w:lang w:val="es-MX" w:eastAsia="en-US"/>
        </w:rPr>
        <w:t>SAIMEX</w:t>
      </w:r>
      <w:r w:rsidRPr="004803A9">
        <w:rPr>
          <w:rFonts w:ascii="Palatino Linotype" w:eastAsiaTheme="minorHAnsi" w:hAnsi="Palatino Linotype" w:cstheme="minorBidi"/>
          <w:color w:val="000000"/>
          <w:lang w:val="es-MX" w:eastAsia="en-US"/>
        </w:rPr>
        <w:t>.</w:t>
      </w:r>
    </w:p>
    <w:p w14:paraId="6AC0D4DB" w14:textId="77777777" w:rsidR="001F479D" w:rsidRPr="004803A9" w:rsidRDefault="001F479D" w:rsidP="003212CC">
      <w:pPr>
        <w:spacing w:line="360" w:lineRule="auto"/>
        <w:jc w:val="both"/>
        <w:rPr>
          <w:rFonts w:ascii="Palatino Linotype" w:eastAsiaTheme="minorHAnsi" w:hAnsi="Palatino Linotype" w:cs="Arial"/>
          <w:lang w:val="es-MX" w:eastAsia="en-US"/>
        </w:rPr>
      </w:pPr>
    </w:p>
    <w:p w14:paraId="02B2B7DE" w14:textId="57CD56CE" w:rsidR="001F479D" w:rsidRPr="004803A9" w:rsidRDefault="00366C55" w:rsidP="003212CC">
      <w:pPr>
        <w:spacing w:line="360" w:lineRule="auto"/>
        <w:jc w:val="both"/>
        <w:rPr>
          <w:rFonts w:ascii="Palatino Linotype" w:hAnsi="Palatino Linotype" w:cs="Arial"/>
          <w:b/>
          <w:sz w:val="28"/>
        </w:rPr>
      </w:pPr>
      <w:r w:rsidRPr="004803A9">
        <w:rPr>
          <w:rFonts w:ascii="Palatino Linotype" w:hAnsi="Palatino Linotype" w:cs="Arial"/>
          <w:b/>
          <w:sz w:val="28"/>
        </w:rPr>
        <w:t>SEGUNDO</w:t>
      </w:r>
      <w:r w:rsidR="001F479D" w:rsidRPr="004803A9">
        <w:rPr>
          <w:rFonts w:ascii="Palatino Linotype" w:hAnsi="Palatino Linotype" w:cs="Arial"/>
          <w:b/>
          <w:sz w:val="28"/>
        </w:rPr>
        <w:t xml:space="preserve">. </w:t>
      </w:r>
      <w:r w:rsidR="001F479D" w:rsidRPr="004803A9">
        <w:rPr>
          <w:rFonts w:ascii="Palatino Linotype" w:hAnsi="Palatino Linotype" w:cs="Arial"/>
          <w:b/>
          <w:sz w:val="28"/>
          <w:szCs w:val="20"/>
        </w:rPr>
        <w:t>De la respuesta del Sujeto Obligado.</w:t>
      </w:r>
    </w:p>
    <w:p w14:paraId="1D447F1D" w14:textId="13107E52" w:rsidR="001F479D" w:rsidRPr="004803A9" w:rsidRDefault="001F479D" w:rsidP="003212CC">
      <w:pPr>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lastRenderedPageBreak/>
        <w:t xml:space="preserve">De las constancias que obran en el sistema </w:t>
      </w:r>
      <w:r w:rsidRPr="004803A9">
        <w:rPr>
          <w:rFonts w:ascii="Palatino Linotype" w:eastAsiaTheme="minorHAnsi" w:hAnsi="Palatino Linotype" w:cs="Arial"/>
          <w:b/>
          <w:lang w:val="es-MX" w:eastAsia="en-US"/>
        </w:rPr>
        <w:t>SAIMEX</w:t>
      </w:r>
      <w:r w:rsidRPr="004803A9">
        <w:rPr>
          <w:rFonts w:ascii="Palatino Linotype" w:eastAsiaTheme="minorHAnsi" w:hAnsi="Palatino Linotype" w:cs="Arial"/>
          <w:lang w:val="es-MX" w:eastAsia="en-US"/>
        </w:rPr>
        <w:t xml:space="preserve">, se advierte que en fecha </w:t>
      </w:r>
      <w:r w:rsidR="00D21824" w:rsidRPr="004803A9">
        <w:rPr>
          <w:rFonts w:ascii="Palatino Linotype" w:eastAsiaTheme="minorHAnsi" w:hAnsi="Palatino Linotype" w:cs="Arial"/>
          <w:lang w:val="es-MX" w:eastAsia="en-US"/>
        </w:rPr>
        <w:t>veintidós de mayo</w:t>
      </w:r>
      <w:r w:rsidR="00366C55" w:rsidRPr="004803A9">
        <w:rPr>
          <w:rFonts w:ascii="Palatino Linotype" w:eastAsiaTheme="minorHAnsi" w:hAnsi="Palatino Linotype" w:cs="Arial"/>
          <w:lang w:val="es-MX" w:eastAsia="en-US"/>
        </w:rPr>
        <w:t xml:space="preserve"> </w:t>
      </w:r>
      <w:r w:rsidRPr="004803A9">
        <w:rPr>
          <w:rFonts w:ascii="Palatino Linotype" w:eastAsiaTheme="minorHAnsi" w:hAnsi="Palatino Linotype" w:cs="Arial"/>
          <w:lang w:val="es-MX" w:eastAsia="en-US"/>
        </w:rPr>
        <w:t xml:space="preserve">de dos mil veinticinco, el </w:t>
      </w:r>
      <w:r w:rsidRPr="004803A9">
        <w:rPr>
          <w:rFonts w:ascii="Palatino Linotype" w:eastAsiaTheme="minorHAnsi" w:hAnsi="Palatino Linotype" w:cs="Arial"/>
          <w:b/>
          <w:lang w:val="es-MX" w:eastAsia="en-US"/>
        </w:rPr>
        <w:t>Sujeto Obligado</w:t>
      </w:r>
      <w:r w:rsidRPr="004803A9">
        <w:rPr>
          <w:rFonts w:ascii="Palatino Linotype" w:eastAsiaTheme="minorHAnsi" w:hAnsi="Palatino Linotype" w:cs="Arial"/>
          <w:lang w:val="es-MX" w:eastAsia="en-US"/>
        </w:rPr>
        <w:t xml:space="preserve"> emitió la respuesta en los siguientes términos:</w:t>
      </w:r>
    </w:p>
    <w:p w14:paraId="67CD4F9B" w14:textId="77777777" w:rsidR="001F479D" w:rsidRPr="004803A9" w:rsidRDefault="001F479D" w:rsidP="003212CC">
      <w:pPr>
        <w:spacing w:line="360" w:lineRule="auto"/>
        <w:rPr>
          <w:lang w:val="es-MX"/>
        </w:rPr>
      </w:pPr>
    </w:p>
    <w:p w14:paraId="15FF5739" w14:textId="77777777" w:rsidR="00D21824" w:rsidRPr="004803A9" w:rsidRDefault="001F479D" w:rsidP="003212CC">
      <w:pPr>
        <w:spacing w:line="360" w:lineRule="auto"/>
        <w:ind w:left="567" w:right="567"/>
        <w:jc w:val="right"/>
        <w:rPr>
          <w:rFonts w:ascii="Palatino Linotype" w:hAnsi="Palatino Linotype"/>
          <w:i/>
          <w:sz w:val="22"/>
          <w:szCs w:val="22"/>
          <w:lang w:val="es-MX" w:eastAsia="es-MX"/>
        </w:rPr>
      </w:pPr>
      <w:r w:rsidRPr="004803A9">
        <w:rPr>
          <w:rFonts w:ascii="Palatino Linotype" w:hAnsi="Palatino Linotype"/>
          <w:i/>
          <w:sz w:val="22"/>
          <w:szCs w:val="22"/>
          <w:lang w:val="es-MX" w:eastAsia="es-MX"/>
        </w:rPr>
        <w:t>“</w:t>
      </w:r>
      <w:r w:rsidR="00D21824" w:rsidRPr="004803A9">
        <w:rPr>
          <w:rFonts w:ascii="Palatino Linotype" w:hAnsi="Palatino Linotype"/>
          <w:i/>
          <w:sz w:val="22"/>
          <w:szCs w:val="22"/>
          <w:lang w:val="es-MX" w:eastAsia="es-MX"/>
        </w:rPr>
        <w:t>Folio de la solicitud: 02617/TOLUCA/IP/2025</w:t>
      </w:r>
    </w:p>
    <w:p w14:paraId="50C841F9" w14:textId="77777777" w:rsidR="00D21824" w:rsidRPr="004803A9" w:rsidRDefault="00D21824" w:rsidP="003212CC">
      <w:pPr>
        <w:spacing w:line="360" w:lineRule="auto"/>
        <w:ind w:left="567" w:right="567"/>
        <w:jc w:val="both"/>
        <w:rPr>
          <w:rFonts w:ascii="Palatino Linotype" w:hAnsi="Palatino Linotype"/>
          <w:i/>
          <w:sz w:val="22"/>
          <w:szCs w:val="22"/>
          <w:lang w:val="es-MX" w:eastAsia="es-MX"/>
        </w:rPr>
      </w:pPr>
    </w:p>
    <w:p w14:paraId="7FC1D44F" w14:textId="77777777" w:rsidR="00D21824" w:rsidRPr="004803A9" w:rsidRDefault="00D21824" w:rsidP="003212CC">
      <w:pPr>
        <w:spacing w:line="360" w:lineRule="auto"/>
        <w:ind w:left="567" w:right="567"/>
        <w:jc w:val="both"/>
        <w:rPr>
          <w:rFonts w:ascii="Palatino Linotype" w:hAnsi="Palatino Linotype"/>
          <w:i/>
          <w:sz w:val="22"/>
          <w:szCs w:val="22"/>
          <w:lang w:val="es-MX" w:eastAsia="es-MX"/>
        </w:rPr>
      </w:pPr>
      <w:r w:rsidRPr="004803A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D97DCCD" w14:textId="77777777" w:rsidR="00D21824" w:rsidRPr="004803A9" w:rsidRDefault="00D21824" w:rsidP="003212CC">
      <w:pPr>
        <w:spacing w:line="360" w:lineRule="auto"/>
        <w:ind w:left="567" w:right="567"/>
        <w:jc w:val="both"/>
        <w:rPr>
          <w:rFonts w:ascii="Palatino Linotype" w:hAnsi="Palatino Linotype"/>
          <w:i/>
          <w:sz w:val="22"/>
          <w:szCs w:val="22"/>
          <w:lang w:val="es-MX" w:eastAsia="es-MX"/>
        </w:rPr>
      </w:pPr>
    </w:p>
    <w:p w14:paraId="49FADA27" w14:textId="77777777" w:rsidR="00D21824" w:rsidRPr="004803A9" w:rsidRDefault="00D21824" w:rsidP="003212CC">
      <w:pPr>
        <w:spacing w:line="360" w:lineRule="auto"/>
        <w:ind w:left="567" w:right="567"/>
        <w:jc w:val="both"/>
        <w:rPr>
          <w:rFonts w:ascii="Palatino Linotype" w:hAnsi="Palatino Linotype"/>
          <w:i/>
          <w:sz w:val="22"/>
          <w:szCs w:val="22"/>
          <w:lang w:val="es-MX" w:eastAsia="es-MX"/>
        </w:rPr>
      </w:pPr>
      <w:r w:rsidRPr="004803A9">
        <w:rPr>
          <w:rFonts w:ascii="Palatino Linotype" w:hAnsi="Palatino Linotype"/>
          <w:i/>
          <w:sz w:val="22"/>
          <w:szCs w:val="22"/>
          <w:lang w:val="es-MX" w:eastAsia="es-MX"/>
        </w:rPr>
        <w:t>En atención a la solicitud de información con número de folio 02617/TOLUCA/IP/2025, se adjunta la respuesta correspondiente del Instituto Municipal de la Mujer de Toluca, sin más por el momento reciba un cordial saludo.</w:t>
      </w:r>
    </w:p>
    <w:p w14:paraId="35FE7B2A" w14:textId="77777777" w:rsidR="00D21824" w:rsidRPr="004803A9" w:rsidRDefault="00D21824" w:rsidP="003212CC">
      <w:pPr>
        <w:spacing w:line="360" w:lineRule="auto"/>
        <w:ind w:left="567" w:right="567"/>
        <w:jc w:val="both"/>
        <w:rPr>
          <w:rFonts w:ascii="Palatino Linotype" w:hAnsi="Palatino Linotype"/>
          <w:i/>
          <w:sz w:val="22"/>
          <w:szCs w:val="22"/>
          <w:lang w:val="es-MX" w:eastAsia="es-MX"/>
        </w:rPr>
      </w:pPr>
    </w:p>
    <w:p w14:paraId="378FE2F5" w14:textId="77777777" w:rsidR="00D21824" w:rsidRPr="004803A9" w:rsidRDefault="00D21824" w:rsidP="003212CC">
      <w:pPr>
        <w:spacing w:line="360" w:lineRule="auto"/>
        <w:ind w:left="567" w:right="567"/>
        <w:jc w:val="both"/>
        <w:rPr>
          <w:rFonts w:ascii="Palatino Linotype" w:hAnsi="Palatino Linotype"/>
          <w:i/>
          <w:sz w:val="22"/>
          <w:szCs w:val="22"/>
          <w:lang w:val="es-MX" w:eastAsia="es-MX"/>
        </w:rPr>
      </w:pPr>
      <w:r w:rsidRPr="004803A9">
        <w:rPr>
          <w:rFonts w:ascii="Palatino Linotype" w:hAnsi="Palatino Linotype"/>
          <w:i/>
          <w:sz w:val="22"/>
          <w:szCs w:val="22"/>
          <w:lang w:val="es-MX" w:eastAsia="es-MX"/>
        </w:rPr>
        <w:t>ATENTAMENTE</w:t>
      </w:r>
    </w:p>
    <w:p w14:paraId="4C82CF01" w14:textId="2602B436" w:rsidR="001F479D" w:rsidRPr="004803A9" w:rsidRDefault="00D21824" w:rsidP="003212CC">
      <w:pPr>
        <w:spacing w:line="360" w:lineRule="auto"/>
        <w:ind w:left="567" w:right="567"/>
        <w:jc w:val="both"/>
        <w:rPr>
          <w:rFonts w:ascii="Palatino Linotype" w:hAnsi="Palatino Linotype"/>
          <w:i/>
          <w:sz w:val="22"/>
          <w:szCs w:val="22"/>
          <w:lang w:val="es-MX" w:eastAsia="es-MX"/>
        </w:rPr>
      </w:pPr>
      <w:r w:rsidRPr="004803A9">
        <w:rPr>
          <w:rFonts w:ascii="Palatino Linotype" w:hAnsi="Palatino Linotype"/>
          <w:i/>
          <w:sz w:val="22"/>
          <w:szCs w:val="22"/>
          <w:lang w:val="es-MX" w:eastAsia="es-MX"/>
        </w:rPr>
        <w:t xml:space="preserve">Dr. </w:t>
      </w:r>
      <w:proofErr w:type="spellStart"/>
      <w:r w:rsidRPr="004803A9">
        <w:rPr>
          <w:rFonts w:ascii="Palatino Linotype" w:hAnsi="Palatino Linotype"/>
          <w:i/>
          <w:sz w:val="22"/>
          <w:szCs w:val="22"/>
          <w:lang w:val="es-MX" w:eastAsia="es-MX"/>
        </w:rPr>
        <w:t>Nahum</w:t>
      </w:r>
      <w:proofErr w:type="spellEnd"/>
      <w:r w:rsidRPr="004803A9">
        <w:rPr>
          <w:rFonts w:ascii="Palatino Linotype" w:hAnsi="Palatino Linotype"/>
          <w:i/>
          <w:sz w:val="22"/>
          <w:szCs w:val="22"/>
          <w:lang w:val="es-MX" w:eastAsia="es-MX"/>
        </w:rPr>
        <w:t xml:space="preserve"> Miguel Mendoza Morales</w:t>
      </w:r>
      <w:r w:rsidR="001F479D" w:rsidRPr="004803A9">
        <w:rPr>
          <w:rFonts w:ascii="Palatino Linotype" w:hAnsi="Palatino Linotype"/>
          <w:i/>
          <w:sz w:val="22"/>
          <w:szCs w:val="22"/>
          <w:lang w:val="es-MX" w:eastAsia="es-MX"/>
        </w:rPr>
        <w:t>” (Sic).</w:t>
      </w:r>
    </w:p>
    <w:p w14:paraId="514C3A9F" w14:textId="77777777" w:rsidR="001F479D" w:rsidRPr="004803A9" w:rsidRDefault="001F479D" w:rsidP="003212CC">
      <w:pPr>
        <w:spacing w:line="360" w:lineRule="auto"/>
        <w:ind w:right="567"/>
        <w:jc w:val="both"/>
        <w:rPr>
          <w:rFonts w:ascii="Palatino Linotype" w:hAnsi="Palatino Linotype"/>
          <w:i/>
          <w:sz w:val="14"/>
          <w:szCs w:val="22"/>
          <w:lang w:val="es-MX" w:eastAsia="es-MX"/>
        </w:rPr>
      </w:pPr>
    </w:p>
    <w:p w14:paraId="7471B6C2" w14:textId="77777777" w:rsidR="001F479D" w:rsidRPr="004803A9" w:rsidRDefault="001F479D" w:rsidP="003212CC">
      <w:pPr>
        <w:pStyle w:val="Sinespaciado"/>
        <w:spacing w:line="360" w:lineRule="auto"/>
        <w:rPr>
          <w:lang w:eastAsia="es-MX"/>
        </w:rPr>
      </w:pPr>
    </w:p>
    <w:p w14:paraId="497D17E1" w14:textId="7E4C025F" w:rsidR="001F479D" w:rsidRPr="004803A9" w:rsidRDefault="001F479D" w:rsidP="003212CC">
      <w:pPr>
        <w:spacing w:line="360" w:lineRule="auto"/>
        <w:jc w:val="both"/>
        <w:rPr>
          <w:rFonts w:ascii="Palatino Linotype" w:hAnsi="Palatino Linotype"/>
          <w:i/>
          <w:sz w:val="22"/>
          <w:szCs w:val="22"/>
          <w:lang w:val="es-MX" w:eastAsia="es-MX"/>
        </w:rPr>
      </w:pPr>
      <w:r w:rsidRPr="004803A9">
        <w:rPr>
          <w:rFonts w:ascii="Palatino Linotype" w:eastAsiaTheme="minorHAnsi" w:hAnsi="Palatino Linotype" w:cs="Arial"/>
          <w:lang w:val="es-MX" w:eastAsia="en-US"/>
        </w:rPr>
        <w:t xml:space="preserve">El </w:t>
      </w:r>
      <w:r w:rsidRPr="004803A9">
        <w:rPr>
          <w:rFonts w:ascii="Palatino Linotype" w:eastAsiaTheme="minorHAnsi" w:hAnsi="Palatino Linotype" w:cs="Arial"/>
          <w:b/>
          <w:lang w:val="es-MX" w:eastAsia="en-US"/>
        </w:rPr>
        <w:t>Sujeto Obligado</w:t>
      </w:r>
      <w:r w:rsidRPr="004803A9">
        <w:rPr>
          <w:rFonts w:ascii="Palatino Linotype" w:eastAsiaTheme="minorHAnsi" w:hAnsi="Palatino Linotype" w:cs="Arial"/>
          <w:lang w:val="es-MX" w:eastAsia="en-US"/>
        </w:rPr>
        <w:t xml:space="preserve"> adjuntó a su respuesta, </w:t>
      </w:r>
      <w:r w:rsidR="00D21824" w:rsidRPr="004803A9">
        <w:rPr>
          <w:rFonts w:ascii="Palatino Linotype" w:eastAsiaTheme="minorHAnsi" w:hAnsi="Palatino Linotype" w:cs="Arial"/>
          <w:lang w:val="es-MX" w:eastAsia="en-US"/>
        </w:rPr>
        <w:t>el archivo electrónico denominado</w:t>
      </w:r>
      <w:r w:rsidRPr="004803A9">
        <w:rPr>
          <w:rFonts w:ascii="Palatino Linotype" w:eastAsiaTheme="minorHAnsi" w:hAnsi="Palatino Linotype" w:cs="Arial"/>
          <w:lang w:val="es-MX" w:eastAsia="en-US"/>
        </w:rPr>
        <w:t xml:space="preserve"> </w:t>
      </w:r>
      <w:r w:rsidRPr="004803A9">
        <w:rPr>
          <w:rFonts w:ascii="Palatino Linotype" w:eastAsiaTheme="minorHAnsi" w:hAnsi="Palatino Linotype" w:cs="Arial"/>
          <w:b/>
          <w:i/>
          <w:lang w:val="es-MX" w:eastAsia="en-US"/>
        </w:rPr>
        <w:t>“</w:t>
      </w:r>
      <w:proofErr w:type="spellStart"/>
      <w:r w:rsidR="00D21824" w:rsidRPr="004803A9">
        <w:rPr>
          <w:rFonts w:ascii="Palatino Linotype" w:eastAsiaTheme="minorHAnsi" w:hAnsi="Palatino Linotype" w:cs="Arial"/>
          <w:b/>
          <w:i/>
          <w:lang w:val="es-MX" w:eastAsia="en-US"/>
        </w:rPr>
        <w:t>Respsol</w:t>
      </w:r>
      <w:proofErr w:type="spellEnd"/>
      <w:r w:rsidR="00D21824" w:rsidRPr="004803A9">
        <w:rPr>
          <w:rFonts w:ascii="Palatino Linotype" w:eastAsiaTheme="minorHAnsi" w:hAnsi="Palatino Linotype" w:cs="Arial"/>
          <w:b/>
          <w:i/>
          <w:lang w:val="es-MX" w:eastAsia="en-US"/>
        </w:rPr>
        <w:t xml:space="preserve"> 02617-2025 VP.pdf</w:t>
      </w:r>
      <w:r w:rsidR="004C2182" w:rsidRPr="004803A9">
        <w:rPr>
          <w:rFonts w:ascii="Palatino Linotype" w:eastAsiaTheme="minorHAnsi" w:hAnsi="Palatino Linotype" w:cs="Arial"/>
          <w:b/>
          <w:i/>
          <w:lang w:val="es-MX" w:eastAsia="en-US"/>
        </w:rPr>
        <w:t>”</w:t>
      </w:r>
      <w:r w:rsidRPr="004803A9">
        <w:rPr>
          <w:rFonts w:ascii="Palatino Linotype" w:eastAsiaTheme="minorHAnsi" w:hAnsi="Palatino Linotype" w:cs="Arial"/>
          <w:b/>
          <w:i/>
          <w:lang w:val="es-MX" w:eastAsia="en-US"/>
        </w:rPr>
        <w:t>;</w:t>
      </w:r>
      <w:r w:rsidRPr="004803A9">
        <w:rPr>
          <w:rFonts w:ascii="Palatino Linotype" w:eastAsiaTheme="minorHAnsi" w:hAnsi="Palatino Linotype" w:cs="Arial"/>
          <w:b/>
          <w:lang w:val="es-MX" w:eastAsia="en-US"/>
        </w:rPr>
        <w:t xml:space="preserve"> </w:t>
      </w:r>
      <w:r w:rsidRPr="004803A9">
        <w:rPr>
          <w:rFonts w:ascii="Palatino Linotype" w:eastAsiaTheme="minorHAnsi" w:hAnsi="Palatino Linotype" w:cs="Arial"/>
          <w:lang w:val="es-MX" w:eastAsia="en-US"/>
        </w:rPr>
        <w:t>cuyo contenido no se inserta por ser del conocimiento de las partes, sin embargo, será</w:t>
      </w:r>
      <w:r w:rsidR="004C2182" w:rsidRPr="004803A9">
        <w:rPr>
          <w:rFonts w:ascii="Palatino Linotype" w:eastAsiaTheme="minorHAnsi" w:hAnsi="Palatino Linotype" w:cs="Arial"/>
          <w:lang w:val="es-MX" w:eastAsia="en-US"/>
        </w:rPr>
        <w:t>n</w:t>
      </w:r>
      <w:r w:rsidRPr="004803A9">
        <w:rPr>
          <w:rFonts w:ascii="Palatino Linotype" w:eastAsiaTheme="minorHAnsi" w:hAnsi="Palatino Linotype" w:cs="Arial"/>
          <w:lang w:val="es-MX" w:eastAsia="en-US"/>
        </w:rPr>
        <w:t xml:space="preserve"> motivo de estudio en el Considerado respectivo. </w:t>
      </w:r>
    </w:p>
    <w:p w14:paraId="5F09DFB0" w14:textId="77777777" w:rsidR="001F479D" w:rsidRPr="004803A9" w:rsidRDefault="001F479D" w:rsidP="003212CC">
      <w:pPr>
        <w:spacing w:line="360" w:lineRule="auto"/>
        <w:jc w:val="both"/>
        <w:rPr>
          <w:rFonts w:ascii="Palatino Linotype" w:hAnsi="Palatino Linotype"/>
          <w:szCs w:val="22"/>
          <w:lang w:val="es-MX" w:eastAsia="es-MX"/>
        </w:rPr>
      </w:pPr>
    </w:p>
    <w:p w14:paraId="18D751AF" w14:textId="76445F23" w:rsidR="001F479D" w:rsidRPr="004803A9" w:rsidRDefault="00366C55" w:rsidP="003212CC">
      <w:pPr>
        <w:spacing w:line="360" w:lineRule="auto"/>
        <w:jc w:val="both"/>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TERCERO</w:t>
      </w:r>
      <w:r w:rsidR="001F479D" w:rsidRPr="004803A9">
        <w:rPr>
          <w:rFonts w:ascii="Palatino Linotype" w:eastAsiaTheme="minorHAnsi" w:hAnsi="Palatino Linotype" w:cs="Arial"/>
          <w:b/>
          <w:sz w:val="28"/>
          <w:lang w:val="es-MX" w:eastAsia="en-US"/>
        </w:rPr>
        <w:t>. Del recurso de revisión.</w:t>
      </w:r>
    </w:p>
    <w:p w14:paraId="17656BE3" w14:textId="35338BF9" w:rsidR="001F479D" w:rsidRPr="004803A9" w:rsidRDefault="001F479D" w:rsidP="003212CC">
      <w:pPr>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Inconforme con la respuesta</w:t>
      </w:r>
      <w:r w:rsidR="00483248" w:rsidRPr="004803A9">
        <w:rPr>
          <w:rFonts w:ascii="Palatino Linotype" w:eastAsiaTheme="minorHAnsi" w:hAnsi="Palatino Linotype" w:cs="Arial"/>
          <w:lang w:val="es-MX" w:eastAsia="en-US"/>
        </w:rPr>
        <w:t xml:space="preserve"> emitida</w:t>
      </w:r>
      <w:r w:rsidRPr="004803A9">
        <w:rPr>
          <w:rFonts w:ascii="Palatino Linotype" w:eastAsiaTheme="minorHAnsi" w:hAnsi="Palatino Linotype" w:cs="Arial"/>
          <w:lang w:val="es-MX" w:eastAsia="en-US"/>
        </w:rPr>
        <w:t xml:space="preserve"> por parte del </w:t>
      </w:r>
      <w:r w:rsidRPr="004803A9">
        <w:rPr>
          <w:rFonts w:ascii="Palatino Linotype" w:eastAsiaTheme="minorHAnsi" w:hAnsi="Palatino Linotype" w:cs="Arial"/>
          <w:b/>
          <w:lang w:val="es-MX" w:eastAsia="en-US"/>
        </w:rPr>
        <w:t>Sujeto Obligado</w:t>
      </w:r>
      <w:r w:rsidRPr="004803A9">
        <w:rPr>
          <w:rFonts w:ascii="Palatino Linotype" w:eastAsiaTheme="minorHAnsi" w:hAnsi="Palatino Linotype" w:cs="Arial"/>
          <w:lang w:val="es-MX" w:eastAsia="en-US"/>
        </w:rPr>
        <w:t xml:space="preserve">, el ahora </w:t>
      </w:r>
      <w:r w:rsidRPr="004803A9">
        <w:rPr>
          <w:rFonts w:ascii="Palatino Linotype" w:eastAsiaTheme="minorHAnsi" w:hAnsi="Palatino Linotype" w:cs="Arial"/>
          <w:b/>
          <w:lang w:val="es-MX" w:eastAsia="en-US"/>
        </w:rPr>
        <w:t>Recurrente</w:t>
      </w:r>
      <w:r w:rsidRPr="004803A9">
        <w:rPr>
          <w:rFonts w:ascii="Palatino Linotype" w:eastAsiaTheme="minorHAnsi" w:hAnsi="Palatino Linotype" w:cs="Arial"/>
          <w:lang w:val="es-MX" w:eastAsia="en-US"/>
        </w:rPr>
        <w:t xml:space="preserve"> interpuso el presente recurso de revisión en fecha </w:t>
      </w:r>
      <w:r w:rsidR="00D21824" w:rsidRPr="004803A9">
        <w:rPr>
          <w:rFonts w:ascii="Palatino Linotype" w:eastAsiaTheme="minorHAnsi" w:hAnsi="Palatino Linotype" w:cs="Arial"/>
          <w:lang w:val="es-MX" w:eastAsia="en-US"/>
        </w:rPr>
        <w:t>veintiséis de mayo</w:t>
      </w:r>
      <w:r w:rsidRPr="004803A9">
        <w:rPr>
          <w:rFonts w:ascii="Palatino Linotype" w:eastAsiaTheme="minorHAnsi" w:hAnsi="Palatino Linotype" w:cs="Arial"/>
          <w:lang w:val="es-MX" w:eastAsia="en-US"/>
        </w:rPr>
        <w:t xml:space="preserve"> de dos mil veinticinco, el cual fue registrado</w:t>
      </w:r>
      <w:r w:rsidRPr="004803A9">
        <w:rPr>
          <w:rFonts w:ascii="Palatino Linotype" w:eastAsiaTheme="minorHAnsi" w:hAnsi="Palatino Linotype" w:cs="Arial"/>
          <w:b/>
          <w:lang w:val="es-MX" w:eastAsia="en-US"/>
        </w:rPr>
        <w:t xml:space="preserve"> </w:t>
      </w:r>
      <w:r w:rsidRPr="004803A9">
        <w:rPr>
          <w:rFonts w:ascii="Palatino Linotype" w:eastAsiaTheme="minorHAnsi" w:hAnsi="Palatino Linotype" w:cs="Arial"/>
          <w:lang w:val="es-MX" w:eastAsia="en-US"/>
        </w:rPr>
        <w:t xml:space="preserve">en el sistema electrónico con el expediente número </w:t>
      </w:r>
      <w:r w:rsidRPr="004803A9">
        <w:rPr>
          <w:rFonts w:ascii="Palatino Linotype" w:eastAsiaTheme="minorHAnsi" w:hAnsi="Palatino Linotype" w:cs="Arial"/>
          <w:b/>
          <w:bCs/>
          <w:lang w:val="es-MX" w:eastAsia="es-MX"/>
        </w:rPr>
        <w:t>0</w:t>
      </w:r>
      <w:r w:rsidR="00D21824" w:rsidRPr="004803A9">
        <w:rPr>
          <w:rFonts w:ascii="Palatino Linotype" w:eastAsiaTheme="minorHAnsi" w:hAnsi="Palatino Linotype" w:cs="Arial"/>
          <w:b/>
          <w:bCs/>
          <w:lang w:val="es-MX" w:eastAsia="es-MX"/>
        </w:rPr>
        <w:t>5975</w:t>
      </w:r>
      <w:r w:rsidRPr="004803A9">
        <w:rPr>
          <w:rFonts w:ascii="Palatino Linotype" w:eastAsiaTheme="minorHAnsi" w:hAnsi="Palatino Linotype" w:cs="Arial"/>
          <w:b/>
          <w:bCs/>
          <w:lang w:val="es-MX" w:eastAsia="es-MX"/>
        </w:rPr>
        <w:t>/INFOEM/IP/RR/2025</w:t>
      </w:r>
      <w:r w:rsidRPr="004803A9">
        <w:rPr>
          <w:rFonts w:ascii="Palatino Linotype" w:eastAsiaTheme="minorHAnsi" w:hAnsi="Palatino Linotype" w:cs="Arial"/>
          <w:lang w:val="es-MX" w:eastAsia="en-US"/>
        </w:rPr>
        <w:t>, en el cual aduce, las siguientes manifestaciones:</w:t>
      </w:r>
    </w:p>
    <w:p w14:paraId="28E8979E" w14:textId="77777777" w:rsidR="001F479D" w:rsidRPr="004803A9" w:rsidRDefault="001F479D" w:rsidP="003212CC">
      <w:pPr>
        <w:spacing w:line="360" w:lineRule="auto"/>
        <w:jc w:val="both"/>
        <w:rPr>
          <w:rFonts w:ascii="Palatino Linotype" w:eastAsiaTheme="minorHAnsi" w:hAnsi="Palatino Linotype" w:cs="Arial"/>
          <w:lang w:val="es-MX" w:eastAsia="en-US"/>
        </w:rPr>
      </w:pPr>
    </w:p>
    <w:p w14:paraId="7E0D4C0E" w14:textId="755F679D" w:rsidR="001F479D" w:rsidRPr="004803A9" w:rsidRDefault="001F479D" w:rsidP="003212CC">
      <w:pPr>
        <w:numPr>
          <w:ilvl w:val="0"/>
          <w:numId w:val="1"/>
        </w:numPr>
        <w:spacing w:line="360" w:lineRule="auto"/>
        <w:jc w:val="both"/>
        <w:rPr>
          <w:rFonts w:ascii="Palatino Linotype" w:hAnsi="Palatino Linotype" w:cs="Arial"/>
          <w:b/>
        </w:rPr>
      </w:pPr>
      <w:r w:rsidRPr="004803A9">
        <w:rPr>
          <w:rFonts w:ascii="Palatino Linotype" w:hAnsi="Palatino Linotype" w:cs="Arial"/>
          <w:b/>
        </w:rPr>
        <w:t xml:space="preserve">Acto Impugnado: </w:t>
      </w:r>
      <w:r w:rsidRPr="004803A9">
        <w:rPr>
          <w:rFonts w:ascii="Palatino Linotype" w:eastAsiaTheme="minorHAnsi" w:hAnsi="Palatino Linotype" w:cstheme="minorBidi"/>
          <w:i/>
          <w:color w:val="000000"/>
          <w:lang w:val="es-MX" w:eastAsia="en-US"/>
        </w:rPr>
        <w:t>“</w:t>
      </w:r>
      <w:r w:rsidR="00D21824" w:rsidRPr="004803A9">
        <w:rPr>
          <w:rFonts w:ascii="Palatino Linotype" w:eastAsiaTheme="minorHAnsi" w:hAnsi="Palatino Linotype" w:cstheme="minorBidi"/>
          <w:i/>
          <w:color w:val="000000"/>
          <w:lang w:val="es-MX" w:eastAsia="en-US"/>
        </w:rPr>
        <w:t>LA ENTREGA DE LA INFROMACIÓN NO ENTREGA TODO LO SOLCIITADO Y LO QUE ENTREGA NO CORRESPONDE</w:t>
      </w:r>
      <w:r w:rsidRPr="004803A9">
        <w:rPr>
          <w:rFonts w:ascii="Palatino Linotype" w:eastAsiaTheme="minorHAnsi" w:hAnsi="Palatino Linotype" w:cstheme="minorBidi"/>
          <w:i/>
          <w:color w:val="000000"/>
          <w:lang w:val="es-MX" w:eastAsia="en-US"/>
        </w:rPr>
        <w:t>” (Sic).</w:t>
      </w:r>
    </w:p>
    <w:p w14:paraId="60DA97F6" w14:textId="77777777" w:rsidR="00366C55" w:rsidRPr="004803A9" w:rsidRDefault="00366C55" w:rsidP="003212CC">
      <w:pPr>
        <w:pStyle w:val="Sinespaciado"/>
        <w:spacing w:line="360" w:lineRule="auto"/>
        <w:jc w:val="both"/>
        <w:rPr>
          <w:rFonts w:eastAsiaTheme="minorHAnsi"/>
          <w:lang w:eastAsia="en-US"/>
        </w:rPr>
      </w:pPr>
    </w:p>
    <w:p w14:paraId="76B5F793" w14:textId="1299718B" w:rsidR="001F479D" w:rsidRPr="004803A9" w:rsidRDefault="001F479D" w:rsidP="003212CC">
      <w:pPr>
        <w:pStyle w:val="Prrafodelista"/>
        <w:numPr>
          <w:ilvl w:val="0"/>
          <w:numId w:val="1"/>
        </w:numPr>
        <w:spacing w:line="360" w:lineRule="auto"/>
        <w:jc w:val="both"/>
        <w:rPr>
          <w:rFonts w:ascii="Palatino Linotype" w:hAnsi="Palatino Linotype"/>
          <w:i/>
          <w:lang w:val="es-MX" w:eastAsia="es-MX"/>
        </w:rPr>
      </w:pPr>
      <w:r w:rsidRPr="004803A9">
        <w:rPr>
          <w:rFonts w:ascii="Palatino Linotype" w:hAnsi="Palatino Linotype" w:cs="Arial"/>
          <w:b/>
        </w:rPr>
        <w:t>Razones o Motivos de Inconformidad</w:t>
      </w:r>
      <w:r w:rsidRPr="004803A9">
        <w:rPr>
          <w:rFonts w:ascii="Palatino Linotype" w:hAnsi="Palatino Linotype" w:cs="Arial"/>
        </w:rPr>
        <w:t xml:space="preserve">: </w:t>
      </w:r>
      <w:r w:rsidRPr="004803A9">
        <w:rPr>
          <w:rFonts w:ascii="Palatino Linotype" w:eastAsiaTheme="minorHAnsi" w:hAnsi="Palatino Linotype" w:cs="Arial"/>
          <w:i/>
          <w:lang w:val="es-MX" w:eastAsia="en-US"/>
        </w:rPr>
        <w:t>“</w:t>
      </w:r>
      <w:r w:rsidR="00D21824" w:rsidRPr="004803A9">
        <w:rPr>
          <w:rFonts w:ascii="Palatino Linotype" w:eastAsiaTheme="minorHAnsi" w:hAnsi="Palatino Linotype" w:cstheme="minorBidi"/>
          <w:i/>
          <w:color w:val="000000"/>
          <w:lang w:val="es-MX" w:eastAsia="en-US"/>
        </w:rPr>
        <w:t>LA ENTREGA DE LA INFROMACIÓN NO ENTREGA TODO LO SOLCIITADO Y LO QUE ENTREGA NO CORRESPONDE</w:t>
      </w:r>
      <w:r w:rsidRPr="004803A9">
        <w:rPr>
          <w:rFonts w:ascii="Palatino Linotype" w:eastAsiaTheme="minorHAnsi" w:hAnsi="Palatino Linotype" w:cstheme="minorBidi"/>
          <w:i/>
          <w:color w:val="000000"/>
          <w:lang w:val="es-MX" w:eastAsia="en-US"/>
        </w:rPr>
        <w:t>” (Sic)</w:t>
      </w:r>
    </w:p>
    <w:p w14:paraId="3DE7B139" w14:textId="77777777" w:rsidR="001F479D" w:rsidRPr="004803A9" w:rsidRDefault="001F479D" w:rsidP="003212CC">
      <w:pPr>
        <w:pStyle w:val="Sinespaciado"/>
        <w:spacing w:line="360" w:lineRule="auto"/>
        <w:rPr>
          <w:rFonts w:ascii="Palatino Linotype" w:hAnsi="Palatino Linotype"/>
          <w:lang w:eastAsia="es-MX"/>
        </w:rPr>
      </w:pPr>
    </w:p>
    <w:p w14:paraId="7C86A40E" w14:textId="0430A99B" w:rsidR="001F479D" w:rsidRPr="004803A9" w:rsidRDefault="00366C55" w:rsidP="003212CC">
      <w:pPr>
        <w:spacing w:line="360" w:lineRule="auto"/>
        <w:jc w:val="both"/>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CUAR</w:t>
      </w:r>
      <w:r w:rsidR="001F479D" w:rsidRPr="004803A9">
        <w:rPr>
          <w:rFonts w:ascii="Palatino Linotype" w:eastAsiaTheme="minorHAnsi" w:hAnsi="Palatino Linotype" w:cs="Arial"/>
          <w:b/>
          <w:sz w:val="28"/>
          <w:lang w:val="es-MX" w:eastAsia="en-US"/>
        </w:rPr>
        <w:t>TO. Del turno del recurso de revisión.</w:t>
      </w:r>
    </w:p>
    <w:p w14:paraId="5450B0CF" w14:textId="0CE4A1BD" w:rsidR="001F479D" w:rsidRPr="004803A9" w:rsidRDefault="001F479D" w:rsidP="003212CC">
      <w:pPr>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 xml:space="preserve">Medio de impugnación que le fue turnado al Comisionado Presidente </w:t>
      </w:r>
      <w:r w:rsidRPr="004803A9">
        <w:rPr>
          <w:rFonts w:ascii="Palatino Linotype" w:eastAsiaTheme="minorHAnsi" w:hAnsi="Palatino Linotype" w:cs="Arial"/>
          <w:b/>
          <w:lang w:val="es-MX" w:eastAsia="en-US"/>
        </w:rPr>
        <w:t>José Martínez Vilchis</w:t>
      </w:r>
      <w:r w:rsidRPr="004803A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D21824" w:rsidRPr="004803A9">
        <w:rPr>
          <w:rFonts w:ascii="Palatino Linotype" w:eastAsiaTheme="minorHAnsi" w:hAnsi="Palatino Linotype" w:cs="Arial"/>
          <w:lang w:val="es-MX" w:eastAsia="en-US"/>
        </w:rPr>
        <w:t>veintinueve de mayo</w:t>
      </w:r>
      <w:r w:rsidRPr="004803A9">
        <w:rPr>
          <w:rFonts w:ascii="Palatino Linotype" w:eastAsiaTheme="minorHAnsi" w:hAnsi="Palatino Linotype" w:cs="Arial"/>
          <w:lang w:val="es-MX" w:eastAsia="en-US"/>
        </w:rPr>
        <w:t xml:space="preserve"> de dos mil veinticinco, determinándose en él, un plazo de siete días para que las partes manifestaran lo que a su derecho corresponda en términos del numeral ya citado.</w:t>
      </w:r>
    </w:p>
    <w:p w14:paraId="369BDBA1" w14:textId="77777777" w:rsidR="001F479D" w:rsidRPr="004803A9" w:rsidRDefault="001F479D" w:rsidP="003212CC">
      <w:pPr>
        <w:spacing w:line="360" w:lineRule="auto"/>
        <w:jc w:val="both"/>
        <w:rPr>
          <w:rFonts w:ascii="Palatino Linotype" w:eastAsiaTheme="minorHAnsi" w:hAnsi="Palatino Linotype" w:cs="Arial"/>
          <w:lang w:val="es-MX" w:eastAsia="en-US"/>
        </w:rPr>
      </w:pPr>
    </w:p>
    <w:p w14:paraId="14456E95" w14:textId="24D9914C" w:rsidR="001F479D" w:rsidRPr="004803A9" w:rsidRDefault="00366C55" w:rsidP="003212CC">
      <w:pPr>
        <w:spacing w:line="360" w:lineRule="auto"/>
        <w:jc w:val="both"/>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QUINTO</w:t>
      </w:r>
      <w:r w:rsidR="001F479D" w:rsidRPr="004803A9">
        <w:rPr>
          <w:rFonts w:ascii="Palatino Linotype" w:eastAsiaTheme="minorHAnsi" w:hAnsi="Palatino Linotype" w:cs="Arial"/>
          <w:b/>
          <w:sz w:val="28"/>
          <w:lang w:val="es-MX" w:eastAsia="en-US"/>
        </w:rPr>
        <w:t>. De la etapa de manifestaciones y/o alegatos.</w:t>
      </w:r>
    </w:p>
    <w:p w14:paraId="684AB8DC" w14:textId="7B056F31" w:rsidR="001F479D" w:rsidRPr="004803A9" w:rsidRDefault="001F479D" w:rsidP="003212CC">
      <w:pPr>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 xml:space="preserve">Una vez transcurrido el término legal referido se destaca que, en fecha </w:t>
      </w:r>
      <w:r w:rsidR="00366C55" w:rsidRPr="004803A9">
        <w:rPr>
          <w:rFonts w:ascii="Palatino Linotype" w:eastAsiaTheme="minorHAnsi" w:hAnsi="Palatino Linotype" w:cs="Arial"/>
          <w:lang w:val="es-MX" w:eastAsia="en-US"/>
        </w:rPr>
        <w:t>veinti</w:t>
      </w:r>
      <w:r w:rsidR="005B255B" w:rsidRPr="004803A9">
        <w:rPr>
          <w:rFonts w:ascii="Palatino Linotype" w:eastAsiaTheme="minorHAnsi" w:hAnsi="Palatino Linotype" w:cs="Arial"/>
          <w:lang w:val="es-MX" w:eastAsia="en-US"/>
        </w:rPr>
        <w:t>cinco</w:t>
      </w:r>
      <w:r w:rsidRPr="004803A9">
        <w:rPr>
          <w:rFonts w:ascii="Palatino Linotype" w:eastAsiaTheme="minorHAnsi" w:hAnsi="Palatino Linotype" w:cs="Arial"/>
          <w:lang w:val="es-MX" w:eastAsia="en-US"/>
        </w:rPr>
        <w:t xml:space="preserve"> de </w:t>
      </w:r>
      <w:r w:rsidR="005B255B" w:rsidRPr="004803A9">
        <w:rPr>
          <w:rFonts w:ascii="Palatino Linotype" w:eastAsiaTheme="minorHAnsi" w:hAnsi="Palatino Linotype" w:cs="Arial"/>
          <w:lang w:val="es-MX" w:eastAsia="en-US"/>
        </w:rPr>
        <w:t xml:space="preserve">agosto </w:t>
      </w:r>
      <w:r w:rsidRPr="004803A9">
        <w:rPr>
          <w:rFonts w:ascii="Palatino Linotype" w:eastAsiaTheme="minorHAnsi" w:hAnsi="Palatino Linotype" w:cs="Arial"/>
          <w:lang w:val="es-MX" w:eastAsia="en-US"/>
        </w:rPr>
        <w:t xml:space="preserve">de dos mil veinticinco, el </w:t>
      </w:r>
      <w:r w:rsidRPr="004803A9">
        <w:rPr>
          <w:rFonts w:ascii="Palatino Linotype" w:eastAsiaTheme="minorHAnsi" w:hAnsi="Palatino Linotype" w:cs="Arial"/>
          <w:b/>
          <w:lang w:val="es-MX" w:eastAsia="en-US"/>
        </w:rPr>
        <w:t>Sujeto Obligado</w:t>
      </w:r>
      <w:r w:rsidRPr="004803A9">
        <w:rPr>
          <w:rFonts w:ascii="Palatino Linotype" w:eastAsiaTheme="minorHAnsi" w:hAnsi="Palatino Linotype" w:cs="Arial"/>
          <w:lang w:val="es-MX" w:eastAsia="en-US"/>
        </w:rPr>
        <w:t xml:space="preserve"> remitió su informe justificado mediante </w:t>
      </w:r>
      <w:r w:rsidR="00D21824" w:rsidRPr="004803A9">
        <w:rPr>
          <w:rFonts w:ascii="Palatino Linotype" w:eastAsiaTheme="minorHAnsi" w:hAnsi="Palatino Linotype" w:cs="Arial"/>
          <w:lang w:val="es-MX" w:eastAsia="en-US"/>
        </w:rPr>
        <w:t>el archivo electrónico denominado</w:t>
      </w:r>
      <w:r w:rsidRPr="004803A9">
        <w:rPr>
          <w:rFonts w:ascii="Palatino Linotype" w:eastAsiaTheme="minorHAnsi" w:hAnsi="Palatino Linotype" w:cs="Arial"/>
          <w:lang w:val="es-MX" w:eastAsia="en-US"/>
        </w:rPr>
        <w:t xml:space="preserve"> </w:t>
      </w:r>
      <w:r w:rsidRPr="004803A9">
        <w:rPr>
          <w:rFonts w:ascii="Palatino Linotype" w:eastAsiaTheme="minorHAnsi" w:hAnsi="Palatino Linotype" w:cs="Arial"/>
          <w:b/>
          <w:i/>
          <w:lang w:val="es-MX" w:eastAsia="en-US"/>
        </w:rPr>
        <w:t>“</w:t>
      </w:r>
      <w:r w:rsidR="00D21824" w:rsidRPr="004803A9">
        <w:rPr>
          <w:rFonts w:ascii="Palatino Linotype" w:eastAsiaTheme="minorHAnsi" w:hAnsi="Palatino Linotype" w:cs="Arial"/>
          <w:b/>
          <w:i/>
          <w:lang w:val="es-MX" w:eastAsia="en-US"/>
        </w:rPr>
        <w:t>Ratificación 05975.pdf</w:t>
      </w:r>
      <w:r w:rsidR="00366C55" w:rsidRPr="004803A9">
        <w:rPr>
          <w:rFonts w:ascii="Palatino Linotype" w:eastAsiaTheme="minorHAnsi" w:hAnsi="Palatino Linotype" w:cs="Arial"/>
          <w:b/>
          <w:i/>
          <w:lang w:val="es-MX" w:eastAsia="en-US"/>
        </w:rPr>
        <w:t>”</w:t>
      </w:r>
      <w:r w:rsidRPr="004803A9">
        <w:rPr>
          <w:rFonts w:ascii="Palatino Linotype" w:eastAsiaTheme="minorHAnsi" w:hAnsi="Palatino Linotype" w:cs="Arial"/>
          <w:lang w:val="es-MX" w:eastAsia="en-US"/>
        </w:rPr>
        <w:t xml:space="preserve">; mismo que fue puesto a la vista del particular mediante Acuerdo de fecha </w:t>
      </w:r>
      <w:r w:rsidR="00D21824" w:rsidRPr="004803A9">
        <w:rPr>
          <w:rFonts w:ascii="Palatino Linotype" w:eastAsiaTheme="minorHAnsi" w:hAnsi="Palatino Linotype" w:cs="Arial"/>
          <w:lang w:val="es-MX" w:eastAsia="en-US"/>
        </w:rPr>
        <w:t>siete de octubre</w:t>
      </w:r>
      <w:r w:rsidR="00366C55" w:rsidRPr="004803A9">
        <w:rPr>
          <w:rFonts w:ascii="Palatino Linotype" w:eastAsiaTheme="minorHAnsi" w:hAnsi="Palatino Linotype" w:cs="Arial"/>
          <w:lang w:val="es-MX" w:eastAsia="en-US"/>
        </w:rPr>
        <w:t xml:space="preserve"> del año en curso</w:t>
      </w:r>
      <w:r w:rsidRPr="004803A9">
        <w:rPr>
          <w:rFonts w:ascii="Palatino Linotype" w:eastAsiaTheme="minorHAnsi" w:hAnsi="Palatino Linotype" w:cs="Arial"/>
          <w:lang w:val="es-MX" w:eastAsia="en-US"/>
        </w:rPr>
        <w:t xml:space="preserve">; asimismo, se aprecia que la parte </w:t>
      </w:r>
      <w:r w:rsidRPr="004803A9">
        <w:rPr>
          <w:rFonts w:ascii="Palatino Linotype" w:eastAsiaTheme="minorHAnsi" w:hAnsi="Palatino Linotype" w:cs="Arial"/>
          <w:b/>
          <w:lang w:val="es-MX" w:eastAsia="en-US"/>
        </w:rPr>
        <w:t>Recurrente</w:t>
      </w:r>
      <w:r w:rsidRPr="004803A9">
        <w:rPr>
          <w:rFonts w:ascii="Palatino Linotype" w:eastAsiaTheme="minorHAnsi" w:hAnsi="Palatino Linotype" w:cs="Arial"/>
          <w:lang w:val="es-MX" w:eastAsia="en-US"/>
        </w:rPr>
        <w:t xml:space="preserve"> no emitió aleg</w:t>
      </w:r>
      <w:r w:rsidR="00D21824" w:rsidRPr="004803A9">
        <w:rPr>
          <w:rFonts w:ascii="Palatino Linotype" w:eastAsiaTheme="minorHAnsi" w:hAnsi="Palatino Linotype" w:cs="Arial"/>
          <w:lang w:val="es-MX" w:eastAsia="en-US"/>
        </w:rPr>
        <w:t>atos pruebas o manifestaciones.</w:t>
      </w:r>
    </w:p>
    <w:p w14:paraId="1D8DE18C" w14:textId="1A879ECB" w:rsidR="001F479D" w:rsidRPr="004803A9" w:rsidRDefault="001F479D" w:rsidP="003212CC">
      <w:pPr>
        <w:spacing w:line="360" w:lineRule="auto"/>
        <w:jc w:val="both"/>
        <w:rPr>
          <w:rFonts w:ascii="Palatino Linotype" w:eastAsiaTheme="minorHAnsi" w:hAnsi="Palatino Linotype" w:cs="Arial"/>
          <w:lang w:val="es-MX" w:eastAsia="en-US"/>
        </w:rPr>
      </w:pPr>
    </w:p>
    <w:p w14:paraId="3D44C562" w14:textId="77777777" w:rsidR="00D21824" w:rsidRPr="004803A9" w:rsidRDefault="00366C55" w:rsidP="003212CC">
      <w:pPr>
        <w:spacing w:line="360" w:lineRule="auto"/>
        <w:jc w:val="both"/>
        <w:rPr>
          <w:rFonts w:ascii="Palatino Linotype" w:hAnsi="Palatino Linotype" w:cs="Arial"/>
          <w:b/>
        </w:rPr>
      </w:pPr>
      <w:r w:rsidRPr="004803A9">
        <w:rPr>
          <w:rFonts w:ascii="Palatino Linotype" w:eastAsiaTheme="minorHAnsi" w:hAnsi="Palatino Linotype" w:cs="Arial"/>
          <w:b/>
          <w:sz w:val="28"/>
          <w:lang w:val="es-MX" w:eastAsia="en-US"/>
        </w:rPr>
        <w:t>SEXTO</w:t>
      </w:r>
      <w:r w:rsidR="001F479D" w:rsidRPr="004803A9">
        <w:rPr>
          <w:rFonts w:ascii="Palatino Linotype" w:eastAsiaTheme="minorHAnsi" w:hAnsi="Palatino Linotype" w:cs="Arial"/>
          <w:b/>
          <w:sz w:val="28"/>
          <w:lang w:val="es-MX" w:eastAsia="en-US"/>
        </w:rPr>
        <w:t xml:space="preserve">. </w:t>
      </w:r>
      <w:r w:rsidR="00D21824" w:rsidRPr="004803A9">
        <w:rPr>
          <w:rFonts w:ascii="Palatino Linotype" w:hAnsi="Palatino Linotype" w:cs="Arial"/>
          <w:b/>
          <w:sz w:val="28"/>
          <w:szCs w:val="28"/>
        </w:rPr>
        <w:t>De la ampliación de plazo para resolver.</w:t>
      </w:r>
    </w:p>
    <w:p w14:paraId="1255260F" w14:textId="0CD3D99F" w:rsidR="00D21824" w:rsidRPr="004803A9" w:rsidRDefault="00D21824" w:rsidP="003212CC">
      <w:pPr>
        <w:spacing w:line="360" w:lineRule="auto"/>
        <w:jc w:val="both"/>
        <w:rPr>
          <w:rFonts w:ascii="Palatino Linotype" w:hAnsi="Palatino Linotype"/>
          <w:lang w:val="es-MX"/>
        </w:rPr>
      </w:pPr>
      <w:r w:rsidRPr="004803A9">
        <w:rPr>
          <w:rFonts w:ascii="Palatino Linotype" w:hAnsi="Palatino Linotype" w:cs="Arial"/>
          <w:lang w:val="es-MX"/>
        </w:rPr>
        <w:lastRenderedPageBreak/>
        <w:t>E</w:t>
      </w:r>
      <w:r w:rsidRPr="004803A9">
        <w:rPr>
          <w:rFonts w:ascii="Palatino Linotype" w:hAnsi="Palatino Linotype"/>
          <w:lang w:val="es-MX"/>
        </w:rPr>
        <w:t>n fecha siete de octubre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67A1BEAD" w14:textId="77777777" w:rsidR="00D21824" w:rsidRPr="004803A9" w:rsidRDefault="00D21824" w:rsidP="003212CC">
      <w:pPr>
        <w:spacing w:line="360" w:lineRule="auto"/>
        <w:jc w:val="both"/>
        <w:rPr>
          <w:rFonts w:ascii="Palatino Linotype" w:hAnsi="Palatino Linotype"/>
          <w:lang w:val="es-MX"/>
        </w:rPr>
      </w:pPr>
    </w:p>
    <w:p w14:paraId="431CD9A6"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 xml:space="preserve">Es menester precisar que, si bien se ha excedido el plazo para resolver el presente medio de impugnación, de conformidad con la ley de la materia, </w:t>
      </w:r>
      <w:r w:rsidRPr="004803A9">
        <w:rPr>
          <w:rFonts w:ascii="Palatino Linotype" w:eastAsiaTheme="minorHAnsi" w:hAnsi="Palatino Linotype" w:cstheme="minorBidi"/>
          <w:bCs/>
          <w:szCs w:val="22"/>
          <w:lang w:val="es-MX" w:eastAsia="en-US"/>
        </w:rPr>
        <w:t>el plazo para emitir resolución</w:t>
      </w:r>
      <w:r w:rsidRPr="004803A9">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4D6973C"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p>
    <w:p w14:paraId="7774C225"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48EE1E"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p>
    <w:p w14:paraId="69E3C54B"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14CAA0"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p>
    <w:p w14:paraId="52AE4A0B"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035B73BF" w14:textId="77777777" w:rsidR="00D21824" w:rsidRPr="004803A9" w:rsidRDefault="00D21824" w:rsidP="003212CC">
      <w:pPr>
        <w:spacing w:line="360" w:lineRule="auto"/>
        <w:rPr>
          <w:rFonts w:ascii="Palatino Linotype" w:eastAsiaTheme="minorHAnsi" w:hAnsi="Palatino Linotype" w:cstheme="minorBidi"/>
          <w:sz w:val="22"/>
          <w:szCs w:val="22"/>
          <w:lang w:val="es-MX" w:eastAsia="en-US"/>
        </w:rPr>
      </w:pPr>
    </w:p>
    <w:p w14:paraId="66742181"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lastRenderedPageBreak/>
        <w:t>a)      Complejidad del asunto: La complejidad de la prueba, la pluralidad de sujetos procesales, el tiempo transcurrido, las características y contexto del recurso.</w:t>
      </w:r>
    </w:p>
    <w:p w14:paraId="103637C5"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b)     Actividad Procesal del interesado: Acciones u omisiones del interesado.</w:t>
      </w:r>
    </w:p>
    <w:p w14:paraId="0B06353F"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0835599A"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01BB26C4" w14:textId="77777777" w:rsidR="00D21824" w:rsidRPr="004803A9" w:rsidRDefault="00D21824" w:rsidP="003212CC">
      <w:pPr>
        <w:spacing w:line="360" w:lineRule="auto"/>
        <w:jc w:val="both"/>
        <w:rPr>
          <w:rFonts w:ascii="Palatino Linotype" w:eastAsiaTheme="minorHAnsi" w:hAnsi="Palatino Linotype" w:cstheme="minorBidi"/>
          <w:sz w:val="22"/>
          <w:szCs w:val="22"/>
          <w:lang w:val="es-MX" w:eastAsia="en-US"/>
        </w:rPr>
      </w:pPr>
    </w:p>
    <w:p w14:paraId="03CADB10"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42AE96"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p>
    <w:p w14:paraId="51307CAF"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Argumento que encuentra sustento en la jurisprudencia P</w:t>
      </w:r>
      <w:proofErr w:type="gramStart"/>
      <w:r w:rsidRPr="004803A9">
        <w:rPr>
          <w:rFonts w:ascii="Palatino Linotype" w:eastAsiaTheme="minorHAnsi" w:hAnsi="Palatino Linotype" w:cstheme="minorBidi"/>
          <w:szCs w:val="22"/>
          <w:lang w:val="es-MX" w:eastAsia="en-US"/>
        </w:rPr>
        <w:t>./</w:t>
      </w:r>
      <w:proofErr w:type="gramEnd"/>
      <w:r w:rsidRPr="004803A9">
        <w:rPr>
          <w:rFonts w:ascii="Palatino Linotype" w:eastAsiaTheme="minorHAnsi" w:hAnsi="Palatino Linotype" w:cstheme="minorBidi"/>
          <w:szCs w:val="22"/>
          <w:lang w:val="es-MX" w:eastAsia="en-US"/>
        </w:rPr>
        <w:t xml:space="preserve">J. 32/92 emitida por el Pleno de la Suprema Corte de Justicia de la Nación de rubro </w:t>
      </w:r>
      <w:r w:rsidRPr="004803A9">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4803A9">
        <w:rPr>
          <w:rFonts w:ascii="Palatino Linotype" w:eastAsiaTheme="minorHAnsi" w:hAnsi="Palatino Linotype" w:cstheme="minorBidi"/>
          <w:szCs w:val="22"/>
          <w:lang w:val="es-MX" w:eastAsia="en-US"/>
        </w:rPr>
        <w:t>, visible en la Gaceta del Seminario Judicial de la Federación con el registro digital 205635.</w:t>
      </w:r>
    </w:p>
    <w:p w14:paraId="4C2C2C1D"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p>
    <w:p w14:paraId="55A5314C"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4803A9">
        <w:rPr>
          <w:rFonts w:ascii="Palatino Linotype" w:eastAsiaTheme="minorHAnsi" w:hAnsi="Palatino Linotype" w:cstheme="minorBidi"/>
          <w:szCs w:val="22"/>
          <w:lang w:val="es-MX"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610581"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p>
    <w:p w14:paraId="4E1CF7FC" w14:textId="77777777" w:rsidR="00D21824" w:rsidRPr="004803A9" w:rsidRDefault="00D21824" w:rsidP="003212CC">
      <w:pPr>
        <w:spacing w:line="360" w:lineRule="auto"/>
        <w:jc w:val="both"/>
        <w:rPr>
          <w:rFonts w:ascii="Palatino Linotype" w:eastAsiaTheme="minorHAnsi" w:hAnsi="Palatino Linotype" w:cstheme="minorBidi"/>
          <w:szCs w:val="22"/>
          <w:lang w:val="es-MX" w:eastAsia="en-US"/>
        </w:rPr>
      </w:pPr>
      <w:r w:rsidRPr="004803A9">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48625B62" w14:textId="77777777" w:rsidR="00D21824" w:rsidRPr="004803A9" w:rsidRDefault="00D21824" w:rsidP="003212CC">
      <w:pPr>
        <w:spacing w:line="360" w:lineRule="auto"/>
        <w:jc w:val="both"/>
        <w:rPr>
          <w:rFonts w:ascii="Palatino Linotype" w:eastAsiaTheme="minorHAnsi" w:hAnsi="Palatino Linotype" w:cstheme="minorBidi"/>
          <w:b/>
          <w:i/>
          <w:sz w:val="22"/>
          <w:szCs w:val="22"/>
          <w:lang w:val="es-MX" w:eastAsia="en-US"/>
        </w:rPr>
      </w:pPr>
    </w:p>
    <w:p w14:paraId="00589A78" w14:textId="77777777" w:rsidR="00D21824" w:rsidRPr="004803A9" w:rsidRDefault="00D21824" w:rsidP="003212CC">
      <w:pPr>
        <w:spacing w:line="360" w:lineRule="auto"/>
        <w:jc w:val="both"/>
        <w:rPr>
          <w:rFonts w:ascii="Palatino Linotype" w:eastAsiaTheme="minorHAnsi" w:hAnsi="Palatino Linotype" w:cstheme="minorBidi"/>
          <w:sz w:val="22"/>
          <w:szCs w:val="22"/>
          <w:lang w:val="es-MX" w:eastAsia="en-US"/>
        </w:rPr>
      </w:pPr>
      <w:r w:rsidRPr="004803A9">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4803A9">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622A953B" w14:textId="77777777" w:rsidR="00D21824" w:rsidRPr="004803A9" w:rsidRDefault="00D21824" w:rsidP="003212CC">
      <w:pPr>
        <w:spacing w:line="360" w:lineRule="auto"/>
        <w:jc w:val="both"/>
        <w:rPr>
          <w:rFonts w:ascii="Palatino Linotype" w:eastAsiaTheme="minorHAnsi" w:hAnsi="Palatino Linotype" w:cstheme="minorBidi"/>
          <w:b/>
          <w:i/>
          <w:sz w:val="22"/>
          <w:szCs w:val="22"/>
          <w:lang w:val="es-MX" w:eastAsia="en-US"/>
        </w:rPr>
      </w:pPr>
    </w:p>
    <w:p w14:paraId="16ABD5A6" w14:textId="77777777" w:rsidR="00D21824" w:rsidRPr="004803A9" w:rsidRDefault="00D21824" w:rsidP="003212CC">
      <w:pPr>
        <w:spacing w:line="360" w:lineRule="auto"/>
        <w:jc w:val="both"/>
        <w:rPr>
          <w:rFonts w:ascii="Palatino Linotype" w:eastAsiaTheme="minorHAnsi" w:hAnsi="Palatino Linotype" w:cstheme="minorBidi"/>
          <w:sz w:val="22"/>
          <w:szCs w:val="22"/>
          <w:lang w:val="es-MX" w:eastAsia="en-US"/>
        </w:rPr>
      </w:pPr>
      <w:r w:rsidRPr="004803A9">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4803A9">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593001AB" w14:textId="77777777" w:rsidR="00D21824" w:rsidRPr="004803A9" w:rsidRDefault="00D21824" w:rsidP="003212CC">
      <w:pPr>
        <w:spacing w:line="360" w:lineRule="auto"/>
        <w:jc w:val="both"/>
        <w:rPr>
          <w:rFonts w:ascii="Palatino Linotype" w:eastAsiaTheme="minorHAnsi" w:hAnsi="Palatino Linotype" w:cstheme="minorBidi"/>
          <w:sz w:val="22"/>
          <w:szCs w:val="22"/>
          <w:lang w:val="es-MX" w:eastAsia="en-US"/>
        </w:rPr>
      </w:pPr>
    </w:p>
    <w:p w14:paraId="4AE5BA4F" w14:textId="21BCD816" w:rsidR="001F479D" w:rsidRPr="004803A9" w:rsidRDefault="00D21824" w:rsidP="003212CC">
      <w:pPr>
        <w:tabs>
          <w:tab w:val="left" w:pos="3206"/>
        </w:tabs>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1B442B0D" w14:textId="77777777" w:rsidR="00FF3FFB" w:rsidRPr="004803A9" w:rsidRDefault="00FF3FFB" w:rsidP="003212CC">
      <w:pPr>
        <w:spacing w:line="360" w:lineRule="auto"/>
        <w:jc w:val="both"/>
        <w:rPr>
          <w:rFonts w:ascii="Palatino Linotype" w:eastAsiaTheme="minorHAnsi" w:hAnsi="Palatino Linotype" w:cs="Arial"/>
          <w:lang w:val="es-MX" w:eastAsia="en-US"/>
        </w:rPr>
      </w:pPr>
    </w:p>
    <w:p w14:paraId="365071E5" w14:textId="77777777" w:rsidR="00D21824" w:rsidRPr="004803A9" w:rsidRDefault="00366C55" w:rsidP="003212CC">
      <w:pPr>
        <w:tabs>
          <w:tab w:val="left" w:pos="3206"/>
        </w:tabs>
        <w:spacing w:line="360" w:lineRule="auto"/>
        <w:jc w:val="both"/>
        <w:rPr>
          <w:rFonts w:ascii="Palatino Linotype" w:eastAsiaTheme="minorHAnsi" w:hAnsi="Palatino Linotype" w:cs="Arial"/>
          <w:b/>
          <w:sz w:val="28"/>
          <w:lang w:val="es-MX" w:eastAsia="en-US"/>
        </w:rPr>
      </w:pPr>
      <w:r w:rsidRPr="004803A9">
        <w:rPr>
          <w:rFonts w:ascii="Palatino Linotype" w:hAnsi="Palatino Linotype" w:cs="Arial"/>
          <w:b/>
          <w:sz w:val="28"/>
        </w:rPr>
        <w:t>SÉPTIMO</w:t>
      </w:r>
      <w:r w:rsidR="006021E7" w:rsidRPr="004803A9">
        <w:rPr>
          <w:rFonts w:ascii="Palatino Linotype" w:hAnsi="Palatino Linotype" w:cs="Arial"/>
          <w:b/>
        </w:rPr>
        <w:t xml:space="preserve">. </w:t>
      </w:r>
      <w:r w:rsidR="00D21824" w:rsidRPr="004803A9">
        <w:rPr>
          <w:rFonts w:ascii="Palatino Linotype" w:eastAsiaTheme="minorHAnsi" w:hAnsi="Palatino Linotype" w:cs="Arial"/>
          <w:b/>
          <w:sz w:val="28"/>
          <w:lang w:val="es-MX" w:eastAsia="en-US"/>
        </w:rPr>
        <w:t>Del cierre de instrucción.</w:t>
      </w:r>
      <w:r w:rsidR="00D21824" w:rsidRPr="004803A9">
        <w:rPr>
          <w:rFonts w:ascii="Palatino Linotype" w:eastAsiaTheme="minorHAnsi" w:hAnsi="Palatino Linotype" w:cs="Arial"/>
          <w:b/>
          <w:sz w:val="28"/>
          <w:lang w:val="es-MX" w:eastAsia="en-US"/>
        </w:rPr>
        <w:tab/>
      </w:r>
    </w:p>
    <w:p w14:paraId="472E1C75" w14:textId="30D6A348" w:rsidR="00D21824" w:rsidRPr="004803A9" w:rsidRDefault="00D21824" w:rsidP="003212CC">
      <w:pPr>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lastRenderedPageBreak/>
        <w:t>Así, una vez transcurrido el término legal, permitió decretarse el cierre de instrucción en fecha treinta de octubre de dos mil veinticinco, en términos del artículo 185, Fracción VI, de la Ley de Transparencia y Acceso a la Información Pública del Estado de México y Municipios, iniciando el término legal para dictar resolución definitiva del asunto.</w:t>
      </w:r>
    </w:p>
    <w:p w14:paraId="58CEF86E" w14:textId="77777777" w:rsidR="003212CC" w:rsidRPr="004803A9" w:rsidRDefault="003212CC" w:rsidP="003212CC">
      <w:pPr>
        <w:spacing w:line="360" w:lineRule="auto"/>
        <w:jc w:val="both"/>
        <w:rPr>
          <w:rFonts w:ascii="Palatino Linotype" w:eastAsiaTheme="minorHAnsi" w:hAnsi="Palatino Linotype" w:cs="Arial"/>
          <w:lang w:val="es-MX" w:eastAsia="en-US"/>
        </w:rPr>
      </w:pPr>
    </w:p>
    <w:p w14:paraId="2FDBFDAE" w14:textId="77777777" w:rsidR="00E74701" w:rsidRPr="004803A9" w:rsidRDefault="00E74701" w:rsidP="003212CC">
      <w:pPr>
        <w:spacing w:line="360" w:lineRule="auto"/>
        <w:jc w:val="center"/>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C O N S I D E R A N</w:t>
      </w:r>
      <w:r w:rsidR="00D57F74" w:rsidRPr="004803A9">
        <w:rPr>
          <w:rFonts w:ascii="Palatino Linotype" w:eastAsiaTheme="minorHAnsi" w:hAnsi="Palatino Linotype" w:cs="Arial"/>
          <w:b/>
          <w:sz w:val="28"/>
          <w:lang w:val="es-MX" w:eastAsia="en-US"/>
        </w:rPr>
        <w:t xml:space="preserve"> D O </w:t>
      </w:r>
    </w:p>
    <w:p w14:paraId="3542D560" w14:textId="77777777" w:rsidR="00D21824" w:rsidRPr="004803A9" w:rsidRDefault="00D21824" w:rsidP="003212CC">
      <w:pPr>
        <w:spacing w:line="360" w:lineRule="auto"/>
        <w:jc w:val="center"/>
        <w:rPr>
          <w:rFonts w:ascii="Palatino Linotype" w:eastAsiaTheme="minorHAnsi" w:hAnsi="Palatino Linotype" w:cs="Arial"/>
          <w:b/>
          <w:lang w:val="es-MX" w:eastAsia="en-US"/>
        </w:rPr>
      </w:pPr>
    </w:p>
    <w:p w14:paraId="259FBCF3" w14:textId="77777777" w:rsidR="00D57F74" w:rsidRPr="004803A9" w:rsidRDefault="00D57F74" w:rsidP="003212CC">
      <w:pPr>
        <w:spacing w:line="360" w:lineRule="auto"/>
        <w:jc w:val="center"/>
        <w:rPr>
          <w:rFonts w:ascii="Palatino Linotype" w:eastAsiaTheme="minorHAnsi" w:hAnsi="Palatino Linotype" w:cs="Arial"/>
          <w:b/>
          <w:sz w:val="6"/>
          <w:lang w:val="es-MX" w:eastAsia="en-US"/>
        </w:rPr>
      </w:pPr>
    </w:p>
    <w:p w14:paraId="7C208DB7" w14:textId="77777777" w:rsidR="0029071C" w:rsidRPr="004803A9" w:rsidRDefault="0029071C" w:rsidP="003212CC">
      <w:pPr>
        <w:spacing w:line="360" w:lineRule="auto"/>
        <w:jc w:val="both"/>
        <w:rPr>
          <w:rFonts w:ascii="Palatino Linotype" w:eastAsiaTheme="minorHAnsi" w:hAnsi="Palatino Linotype" w:cs="Arial"/>
          <w:sz w:val="28"/>
          <w:lang w:val="es-MX" w:eastAsia="en-US"/>
        </w:rPr>
      </w:pPr>
      <w:r w:rsidRPr="004803A9">
        <w:rPr>
          <w:rFonts w:ascii="Palatino Linotype" w:eastAsiaTheme="minorHAnsi" w:hAnsi="Palatino Linotype" w:cs="Arial"/>
          <w:b/>
          <w:sz w:val="28"/>
          <w:lang w:val="es-MX" w:eastAsia="en-US"/>
        </w:rPr>
        <w:t>PRIMERO. De la competencia</w:t>
      </w:r>
      <w:r w:rsidRPr="004803A9">
        <w:rPr>
          <w:rFonts w:ascii="Palatino Linotype" w:eastAsiaTheme="minorHAnsi" w:hAnsi="Palatino Linotype" w:cs="Arial"/>
          <w:sz w:val="28"/>
          <w:lang w:val="es-MX" w:eastAsia="en-US"/>
        </w:rPr>
        <w:t>.</w:t>
      </w:r>
    </w:p>
    <w:p w14:paraId="528FEDC1" w14:textId="77777777" w:rsidR="00EB4458" w:rsidRPr="004803A9" w:rsidRDefault="00EB4458"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6C44F22" w14:textId="77777777" w:rsidR="005B255B" w:rsidRPr="004803A9" w:rsidRDefault="005B255B" w:rsidP="003212CC">
      <w:pPr>
        <w:autoSpaceDE w:val="0"/>
        <w:autoSpaceDN w:val="0"/>
        <w:adjustRightInd w:val="0"/>
        <w:spacing w:line="360" w:lineRule="auto"/>
        <w:jc w:val="both"/>
        <w:rPr>
          <w:rFonts w:ascii="Palatino Linotype" w:eastAsiaTheme="minorHAnsi" w:hAnsi="Palatino Linotype" w:cs="Arial"/>
          <w:lang w:val="es-MX" w:eastAsia="en-US"/>
        </w:rPr>
      </w:pPr>
    </w:p>
    <w:p w14:paraId="7A9D3570" w14:textId="0F588917" w:rsidR="0029071C" w:rsidRPr="004803A9" w:rsidRDefault="0029071C" w:rsidP="003212CC">
      <w:pPr>
        <w:autoSpaceDE w:val="0"/>
        <w:autoSpaceDN w:val="0"/>
        <w:adjustRightInd w:val="0"/>
        <w:spacing w:line="360" w:lineRule="auto"/>
        <w:jc w:val="both"/>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4803A9" w:rsidRDefault="0029071C"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4803A9">
        <w:rPr>
          <w:rFonts w:ascii="Palatino Linotype" w:eastAsiaTheme="minorHAnsi" w:hAnsi="Palatino Linotype" w:cs="Arial"/>
          <w:lang w:val="es-MX" w:eastAsia="en-US"/>
        </w:rPr>
        <w:t xml:space="preserve"> fracción V, </w:t>
      </w:r>
      <w:r w:rsidRPr="004803A9">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4803A9">
        <w:rPr>
          <w:rFonts w:ascii="Palatino Linotype" w:eastAsiaTheme="minorHAnsi" w:hAnsi="Palatino Linotype" w:cs="Arial"/>
          <w:lang w:val="es-MX" w:eastAsia="en-US"/>
        </w:rPr>
        <w:lastRenderedPageBreak/>
        <w:t>derecho de acceso a la información pública y garantizando el principio rector de máxima publicidad.</w:t>
      </w:r>
    </w:p>
    <w:p w14:paraId="5E1B7350" w14:textId="77777777" w:rsidR="00A97F97" w:rsidRPr="004803A9" w:rsidRDefault="00A97F97" w:rsidP="003212C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4803A9" w:rsidRDefault="00A97F97"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4803A9" w:rsidRDefault="00A97F97" w:rsidP="003212CC">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4803A9" w:rsidRDefault="00A97F97"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4803A9" w:rsidRDefault="001F479D" w:rsidP="003212CC">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4803A9" w:rsidRDefault="00A97F97"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4803A9">
        <w:rPr>
          <w:rFonts w:ascii="Palatino Linotype" w:eastAsiaTheme="minorHAnsi" w:hAnsi="Palatino Linotype" w:cs="Arial"/>
          <w:lang w:val="es-MX" w:eastAsia="en-US"/>
        </w:rPr>
        <w:t>Resolutor</w:t>
      </w:r>
      <w:proofErr w:type="spellEnd"/>
      <w:r w:rsidRPr="004803A9">
        <w:rPr>
          <w:rFonts w:ascii="Palatino Linotype" w:eastAsiaTheme="minorHAnsi" w:hAnsi="Palatino Linotype" w:cs="Arial"/>
          <w:lang w:val="es-MX" w:eastAsia="en-US"/>
        </w:rPr>
        <w:t xml:space="preserve">, se </w:t>
      </w:r>
      <w:proofErr w:type="gramStart"/>
      <w:r w:rsidRPr="004803A9">
        <w:rPr>
          <w:rFonts w:ascii="Palatino Linotype" w:eastAsiaTheme="minorHAnsi" w:hAnsi="Palatino Linotype" w:cs="Arial"/>
          <w:lang w:val="es-MX" w:eastAsia="en-US"/>
        </w:rPr>
        <w:t>procede</w:t>
      </w:r>
      <w:proofErr w:type="gramEnd"/>
      <w:r w:rsidRPr="004803A9">
        <w:rPr>
          <w:rFonts w:ascii="Palatino Linotype" w:eastAsiaTheme="minorHAnsi" w:hAnsi="Palatino Linotype" w:cs="Arial"/>
          <w:lang w:val="es-MX" w:eastAsia="en-US"/>
        </w:rPr>
        <w:t xml:space="preserve"> al análisis del fondo de los asuntos en los siguientes términos.</w:t>
      </w:r>
    </w:p>
    <w:p w14:paraId="232BF133" w14:textId="77777777" w:rsidR="004C2182" w:rsidRPr="004803A9" w:rsidRDefault="004C2182" w:rsidP="003212C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4803A9" w:rsidRDefault="00B14416" w:rsidP="003212CC">
      <w:pPr>
        <w:autoSpaceDE w:val="0"/>
        <w:autoSpaceDN w:val="0"/>
        <w:adjustRightInd w:val="0"/>
        <w:spacing w:line="360" w:lineRule="auto"/>
        <w:jc w:val="both"/>
        <w:rPr>
          <w:rFonts w:ascii="Palatino Linotype" w:hAnsi="Palatino Linotype" w:cs="Arial"/>
          <w:b/>
        </w:rPr>
      </w:pPr>
      <w:r w:rsidRPr="004803A9">
        <w:rPr>
          <w:rFonts w:ascii="Palatino Linotype" w:hAnsi="Palatino Linotype" w:cs="Arial"/>
          <w:b/>
          <w:sz w:val="28"/>
        </w:rPr>
        <w:t>TERCERO. Cuestiones de previo y especial pronunciamiento</w:t>
      </w:r>
      <w:r w:rsidRPr="004803A9">
        <w:rPr>
          <w:rFonts w:ascii="Palatino Linotype" w:hAnsi="Palatino Linotype" w:cs="Arial"/>
          <w:b/>
        </w:rPr>
        <w:t>.</w:t>
      </w:r>
    </w:p>
    <w:p w14:paraId="74545F1F" w14:textId="77777777" w:rsidR="00B14416" w:rsidRPr="004803A9" w:rsidRDefault="00B14416" w:rsidP="003212CC">
      <w:pPr>
        <w:spacing w:line="360" w:lineRule="auto"/>
        <w:jc w:val="both"/>
        <w:rPr>
          <w:rFonts w:ascii="Palatino Linotype" w:hAnsi="Palatino Linotype" w:cs="Arial"/>
        </w:rPr>
      </w:pPr>
      <w:r w:rsidRPr="004803A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803A9">
        <w:rPr>
          <w:rFonts w:ascii="Palatino Linotype" w:hAnsi="Palatino Linotype"/>
          <w:b/>
        </w:rPr>
        <w:t>Recurrente,</w:t>
      </w:r>
      <w:r w:rsidRPr="004803A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4803A9">
        <w:rPr>
          <w:rFonts w:ascii="Palatino Linotype" w:hAnsi="Palatino Linotype"/>
        </w:rPr>
        <w:lastRenderedPageBreak/>
        <w:t>es requisito indispensable contener el nombre cuando se hace la impugnación de manera electrónica, ello porque no se advierte nombre en específico</w:t>
      </w:r>
      <w:r w:rsidRPr="004803A9">
        <w:rPr>
          <w:rFonts w:ascii="Palatino Linotype" w:hAnsi="Palatino Linotype" w:cs="Arial"/>
        </w:rPr>
        <w:t>, del cual no se colige que corresponda al nombre de una persona.</w:t>
      </w:r>
    </w:p>
    <w:p w14:paraId="725D9260" w14:textId="77777777" w:rsidR="00EC1F45" w:rsidRPr="004803A9" w:rsidRDefault="00EC1F45" w:rsidP="003212CC">
      <w:pPr>
        <w:spacing w:line="360" w:lineRule="auto"/>
        <w:jc w:val="both"/>
        <w:rPr>
          <w:rFonts w:ascii="Palatino Linotype" w:hAnsi="Palatino Linotype"/>
        </w:rPr>
      </w:pPr>
    </w:p>
    <w:p w14:paraId="0D08D5C7" w14:textId="77777777" w:rsidR="00B14416" w:rsidRPr="004803A9" w:rsidRDefault="00B14416" w:rsidP="003212CC">
      <w:pPr>
        <w:widowControl w:val="0"/>
        <w:autoSpaceDE w:val="0"/>
        <w:autoSpaceDN w:val="0"/>
        <w:adjustRightInd w:val="0"/>
        <w:spacing w:line="360" w:lineRule="auto"/>
        <w:jc w:val="both"/>
        <w:rPr>
          <w:rFonts w:ascii="Palatino Linotype" w:hAnsi="Palatino Linotype" w:cs="Arial"/>
        </w:rPr>
      </w:pPr>
      <w:r w:rsidRPr="004803A9">
        <w:rPr>
          <w:rFonts w:ascii="Palatino Linotype" w:hAnsi="Palatino Linotype" w:cs="Arial"/>
        </w:rPr>
        <w:t xml:space="preserve">Esta Ponencia considera importante abordar el análisis de los requisitos de </w:t>
      </w:r>
      <w:proofErr w:type="spellStart"/>
      <w:r w:rsidRPr="004803A9">
        <w:rPr>
          <w:rFonts w:ascii="Palatino Linotype" w:hAnsi="Palatino Linotype" w:cs="Arial"/>
        </w:rPr>
        <w:t>procedibilidad</w:t>
      </w:r>
      <w:proofErr w:type="spellEnd"/>
      <w:r w:rsidRPr="004803A9">
        <w:rPr>
          <w:rFonts w:ascii="Palatino Linotype" w:hAnsi="Palatino Linotype" w:cs="Arial"/>
        </w:rPr>
        <w:t xml:space="preserve"> de los recursos de revisión, así el artículo 180 de la </w:t>
      </w:r>
      <w:r w:rsidRPr="004803A9">
        <w:rPr>
          <w:rFonts w:ascii="Palatino Linotype" w:hAnsi="Palatino Linotype" w:cs="Arial"/>
          <w:lang w:eastAsia="es-MX"/>
        </w:rPr>
        <w:t xml:space="preserve">Ley de Transparencia y Acceso a la Información Pública del Estado de México y Municipios, que </w:t>
      </w:r>
      <w:r w:rsidRPr="004803A9">
        <w:rPr>
          <w:rFonts w:ascii="Palatino Linotype" w:hAnsi="Palatino Linotype" w:cs="Arial"/>
        </w:rPr>
        <w:t>establece lo siguiente:</w:t>
      </w:r>
    </w:p>
    <w:p w14:paraId="26FDF5FB" w14:textId="77777777" w:rsidR="00B14416" w:rsidRPr="004803A9" w:rsidRDefault="00B14416" w:rsidP="003212CC">
      <w:pPr>
        <w:spacing w:line="360" w:lineRule="auto"/>
        <w:rPr>
          <w:lang w:val="es-MX"/>
        </w:rPr>
      </w:pPr>
    </w:p>
    <w:p w14:paraId="77D26AFB" w14:textId="77777777" w:rsidR="00B14416" w:rsidRPr="004803A9" w:rsidRDefault="00B14416" w:rsidP="003212CC">
      <w:pPr>
        <w:spacing w:line="360" w:lineRule="auto"/>
        <w:ind w:left="851" w:right="851"/>
        <w:jc w:val="both"/>
        <w:rPr>
          <w:rFonts w:ascii="Palatino Linotype" w:hAnsi="Palatino Linotype"/>
          <w:b/>
          <w:i/>
          <w:sz w:val="22"/>
        </w:rPr>
      </w:pPr>
      <w:r w:rsidRPr="004803A9">
        <w:rPr>
          <w:rFonts w:ascii="Palatino Linotype" w:hAnsi="Palatino Linotype"/>
          <w:i/>
          <w:sz w:val="22"/>
        </w:rPr>
        <w:t>“</w:t>
      </w:r>
      <w:r w:rsidRPr="004803A9">
        <w:rPr>
          <w:rFonts w:ascii="Palatino Linotype" w:hAnsi="Palatino Linotype"/>
          <w:b/>
          <w:i/>
          <w:sz w:val="22"/>
        </w:rPr>
        <w:t xml:space="preserve">Artículo 180. </w:t>
      </w:r>
      <w:r w:rsidRPr="004803A9">
        <w:rPr>
          <w:rFonts w:ascii="Palatino Linotype" w:hAnsi="Palatino Linotype"/>
          <w:i/>
          <w:sz w:val="22"/>
        </w:rPr>
        <w:t xml:space="preserve">El </w:t>
      </w:r>
      <w:r w:rsidRPr="004803A9">
        <w:rPr>
          <w:rFonts w:ascii="Palatino Linotype" w:hAnsi="Palatino Linotype" w:cs="Arial"/>
          <w:i/>
          <w:sz w:val="22"/>
        </w:rPr>
        <w:t>recurso</w:t>
      </w:r>
      <w:r w:rsidRPr="004803A9">
        <w:rPr>
          <w:rFonts w:ascii="Palatino Linotype" w:hAnsi="Palatino Linotype"/>
          <w:i/>
          <w:sz w:val="22"/>
        </w:rPr>
        <w:t xml:space="preserve"> </w:t>
      </w:r>
      <w:r w:rsidRPr="004803A9">
        <w:rPr>
          <w:rFonts w:ascii="Palatino Linotype" w:hAnsi="Palatino Linotype" w:cs="Arial"/>
          <w:i/>
          <w:sz w:val="22"/>
          <w:lang w:eastAsia="es-MX"/>
        </w:rPr>
        <w:t>de</w:t>
      </w:r>
      <w:r w:rsidRPr="004803A9">
        <w:rPr>
          <w:rFonts w:ascii="Palatino Linotype" w:hAnsi="Palatino Linotype"/>
          <w:i/>
          <w:sz w:val="22"/>
        </w:rPr>
        <w:t xml:space="preserve"> revisión contendrá:</w:t>
      </w:r>
      <w:r w:rsidRPr="004803A9">
        <w:rPr>
          <w:rFonts w:ascii="Palatino Linotype" w:hAnsi="Palatino Linotype"/>
          <w:b/>
          <w:i/>
          <w:sz w:val="22"/>
        </w:rPr>
        <w:t xml:space="preserve"> </w:t>
      </w:r>
    </w:p>
    <w:p w14:paraId="5E5F265A" w14:textId="77777777" w:rsidR="00B14416" w:rsidRPr="004803A9" w:rsidRDefault="00B14416" w:rsidP="003212CC">
      <w:pPr>
        <w:spacing w:line="360" w:lineRule="auto"/>
        <w:ind w:left="851" w:right="851"/>
        <w:jc w:val="both"/>
        <w:rPr>
          <w:rFonts w:ascii="Palatino Linotype" w:hAnsi="Palatino Linotype"/>
          <w:b/>
          <w:i/>
          <w:sz w:val="22"/>
        </w:rPr>
      </w:pPr>
      <w:r w:rsidRPr="004803A9">
        <w:rPr>
          <w:rFonts w:ascii="Palatino Linotype" w:hAnsi="Palatino Linotype"/>
          <w:b/>
          <w:i/>
          <w:sz w:val="22"/>
        </w:rPr>
        <w:t xml:space="preserve">I. </w:t>
      </w:r>
      <w:r w:rsidRPr="004803A9">
        <w:rPr>
          <w:rFonts w:ascii="Palatino Linotype" w:hAnsi="Palatino Linotype"/>
          <w:i/>
          <w:sz w:val="22"/>
        </w:rPr>
        <w:t xml:space="preserve">El sujeto obligado ante </w:t>
      </w:r>
      <w:r w:rsidRPr="004803A9">
        <w:rPr>
          <w:rFonts w:ascii="Palatino Linotype" w:hAnsi="Palatino Linotype" w:cs="Arial"/>
          <w:i/>
          <w:sz w:val="22"/>
        </w:rPr>
        <w:t>la</w:t>
      </w:r>
      <w:r w:rsidRPr="004803A9">
        <w:rPr>
          <w:rFonts w:ascii="Palatino Linotype" w:hAnsi="Palatino Linotype"/>
          <w:i/>
          <w:sz w:val="22"/>
        </w:rPr>
        <w:t xml:space="preserve"> cual </w:t>
      </w:r>
      <w:r w:rsidRPr="004803A9">
        <w:rPr>
          <w:rFonts w:ascii="Palatino Linotype" w:hAnsi="Palatino Linotype" w:cs="Arial"/>
          <w:i/>
          <w:sz w:val="22"/>
          <w:lang w:eastAsia="es-MX"/>
        </w:rPr>
        <w:t>se</w:t>
      </w:r>
      <w:r w:rsidRPr="004803A9">
        <w:rPr>
          <w:rFonts w:ascii="Palatino Linotype" w:hAnsi="Palatino Linotype"/>
          <w:i/>
          <w:sz w:val="22"/>
        </w:rPr>
        <w:t xml:space="preserve"> presentó la solicitud;</w:t>
      </w:r>
      <w:r w:rsidRPr="004803A9">
        <w:rPr>
          <w:rFonts w:ascii="Palatino Linotype" w:hAnsi="Palatino Linotype"/>
          <w:b/>
          <w:i/>
          <w:sz w:val="22"/>
        </w:rPr>
        <w:t xml:space="preserve"> </w:t>
      </w:r>
    </w:p>
    <w:p w14:paraId="034F3E9D" w14:textId="77777777" w:rsidR="00B14416" w:rsidRPr="004803A9" w:rsidRDefault="00B14416" w:rsidP="003212CC">
      <w:pPr>
        <w:spacing w:line="360" w:lineRule="auto"/>
        <w:ind w:left="851" w:right="851"/>
        <w:jc w:val="both"/>
        <w:rPr>
          <w:rFonts w:ascii="Palatino Linotype" w:hAnsi="Palatino Linotype"/>
          <w:b/>
          <w:i/>
          <w:sz w:val="22"/>
        </w:rPr>
      </w:pPr>
      <w:r w:rsidRPr="004803A9">
        <w:rPr>
          <w:rFonts w:ascii="Palatino Linotype" w:hAnsi="Palatino Linotype"/>
          <w:b/>
          <w:i/>
          <w:sz w:val="22"/>
        </w:rPr>
        <w:t xml:space="preserve">II. </w:t>
      </w:r>
      <w:r w:rsidRPr="004803A9">
        <w:rPr>
          <w:rFonts w:ascii="Palatino Linotype" w:hAnsi="Palatino Linotype"/>
          <w:b/>
          <w:i/>
          <w:sz w:val="22"/>
          <w:u w:val="single"/>
        </w:rPr>
        <w:t xml:space="preserve">El nombre del solicitante </w:t>
      </w:r>
      <w:r w:rsidRPr="004803A9">
        <w:rPr>
          <w:rFonts w:ascii="Palatino Linotype" w:hAnsi="Palatino Linotype" w:cs="Arial"/>
          <w:b/>
          <w:i/>
          <w:sz w:val="22"/>
          <w:u w:val="single"/>
          <w:lang w:eastAsia="es-MX"/>
        </w:rPr>
        <w:t>que</w:t>
      </w:r>
      <w:r w:rsidRPr="004803A9">
        <w:rPr>
          <w:rFonts w:ascii="Palatino Linotype" w:hAnsi="Palatino Linotype"/>
          <w:b/>
          <w:i/>
          <w:sz w:val="22"/>
          <w:u w:val="single"/>
        </w:rPr>
        <w:t xml:space="preserve"> recurre</w:t>
      </w:r>
      <w:r w:rsidRPr="004803A9">
        <w:rPr>
          <w:rFonts w:ascii="Palatino Linotype" w:hAnsi="Palatino Linotype"/>
          <w:b/>
          <w:i/>
          <w:sz w:val="22"/>
        </w:rPr>
        <w:t xml:space="preserve"> </w:t>
      </w:r>
      <w:r w:rsidRPr="004803A9">
        <w:rPr>
          <w:rFonts w:ascii="Palatino Linotype" w:hAnsi="Palatino Linotype"/>
          <w:i/>
          <w:sz w:val="22"/>
        </w:rPr>
        <w:t>o de su representante y, en su caso, del tercero interesado, así como la dirección o medio que señale para recibir notificaciones;</w:t>
      </w:r>
      <w:r w:rsidRPr="004803A9">
        <w:rPr>
          <w:rFonts w:ascii="Palatino Linotype" w:hAnsi="Palatino Linotype"/>
          <w:b/>
          <w:i/>
          <w:sz w:val="22"/>
        </w:rPr>
        <w:t xml:space="preserve"> </w:t>
      </w:r>
    </w:p>
    <w:p w14:paraId="1221C070" w14:textId="77777777" w:rsidR="00B14416" w:rsidRPr="004803A9" w:rsidRDefault="00B14416" w:rsidP="003212CC">
      <w:pPr>
        <w:widowControl w:val="0"/>
        <w:autoSpaceDE w:val="0"/>
        <w:autoSpaceDN w:val="0"/>
        <w:adjustRightInd w:val="0"/>
        <w:spacing w:line="360" w:lineRule="auto"/>
        <w:jc w:val="both"/>
        <w:rPr>
          <w:rFonts w:ascii="Palatino Linotype" w:hAnsi="Palatino Linotype"/>
        </w:rPr>
      </w:pPr>
    </w:p>
    <w:p w14:paraId="33E05365" w14:textId="77777777" w:rsidR="00B14416" w:rsidRPr="004803A9" w:rsidRDefault="00B14416" w:rsidP="003212CC">
      <w:pPr>
        <w:widowControl w:val="0"/>
        <w:autoSpaceDE w:val="0"/>
        <w:autoSpaceDN w:val="0"/>
        <w:adjustRightInd w:val="0"/>
        <w:spacing w:line="360" w:lineRule="auto"/>
        <w:jc w:val="both"/>
        <w:rPr>
          <w:rFonts w:ascii="Palatino Linotype" w:hAnsi="Palatino Linotype"/>
        </w:rPr>
      </w:pPr>
      <w:r w:rsidRPr="004803A9">
        <w:rPr>
          <w:rFonts w:ascii="Palatino Linotype" w:hAnsi="Palatino Linotype"/>
        </w:rPr>
        <w:t xml:space="preserve">En principio, de una interpretación del artículo transcrito se observan los requisitos que </w:t>
      </w:r>
      <w:r w:rsidRPr="004803A9">
        <w:rPr>
          <w:rFonts w:ascii="Palatino Linotype" w:hAnsi="Palatino Linotype" w:cs="Arial"/>
        </w:rPr>
        <w:t>deberán</w:t>
      </w:r>
      <w:r w:rsidRPr="004803A9">
        <w:rPr>
          <w:rFonts w:ascii="Palatino Linotype" w:hAnsi="Palatino Linotype"/>
        </w:rPr>
        <w:t xml:space="preserve"> contener los recursos de revisión; sobre el particular, de la revisión del expediente electrónico del </w:t>
      </w:r>
      <w:r w:rsidRPr="004803A9">
        <w:rPr>
          <w:rFonts w:ascii="Palatino Linotype" w:hAnsi="Palatino Linotype"/>
          <w:b/>
        </w:rPr>
        <w:t>SAIMEX</w:t>
      </w:r>
      <w:r w:rsidRPr="004803A9">
        <w:rPr>
          <w:rFonts w:ascii="Palatino Linotype" w:hAnsi="Palatino Linotype"/>
        </w:rPr>
        <w:t xml:space="preserve"> se desprende que el solicitante y ahora </w:t>
      </w:r>
      <w:r w:rsidRPr="004803A9">
        <w:rPr>
          <w:rFonts w:ascii="Palatino Linotype" w:hAnsi="Palatino Linotype"/>
          <w:b/>
        </w:rPr>
        <w:t>Recurrente</w:t>
      </w:r>
      <w:r w:rsidRPr="004803A9">
        <w:rPr>
          <w:rFonts w:ascii="Palatino Linotype" w:hAnsi="Palatino Linotype"/>
        </w:rPr>
        <w:t xml:space="preserve">, en ejercicio de su derecho de acceso a la información pública, no proporcionó un nombre para que </w:t>
      </w:r>
      <w:r w:rsidRPr="004803A9">
        <w:rPr>
          <w:rFonts w:ascii="Palatino Linotype" w:hAnsi="Palatino Linotype" w:cs="Arial"/>
        </w:rPr>
        <w:t>sea</w:t>
      </w:r>
      <w:r w:rsidRPr="004803A9">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4803A9" w:rsidRDefault="00B14416" w:rsidP="003212CC">
      <w:pPr>
        <w:widowControl w:val="0"/>
        <w:autoSpaceDE w:val="0"/>
        <w:autoSpaceDN w:val="0"/>
        <w:adjustRightInd w:val="0"/>
        <w:spacing w:line="360" w:lineRule="auto"/>
        <w:jc w:val="both"/>
        <w:rPr>
          <w:rFonts w:ascii="Palatino Linotype" w:hAnsi="Palatino Linotype"/>
        </w:rPr>
      </w:pPr>
    </w:p>
    <w:p w14:paraId="5F5B7E40" w14:textId="77777777" w:rsidR="00B14416" w:rsidRPr="004803A9" w:rsidRDefault="00B14416" w:rsidP="003212CC">
      <w:pPr>
        <w:widowControl w:val="0"/>
        <w:autoSpaceDE w:val="0"/>
        <w:autoSpaceDN w:val="0"/>
        <w:adjustRightInd w:val="0"/>
        <w:spacing w:line="360" w:lineRule="auto"/>
        <w:jc w:val="both"/>
        <w:rPr>
          <w:rFonts w:ascii="Palatino Linotype" w:hAnsi="Palatino Linotype" w:cs="Arial"/>
        </w:rPr>
      </w:pPr>
      <w:r w:rsidRPr="004803A9">
        <w:rPr>
          <w:rFonts w:ascii="Palatino Linotype" w:hAnsi="Palatino Linotype"/>
        </w:rPr>
        <w:t xml:space="preserve">No obstante lo anterior, debe destacarse que el artículo 15, de </w:t>
      </w:r>
      <w:r w:rsidRPr="004803A9">
        <w:rPr>
          <w:rFonts w:ascii="Palatino Linotype" w:hAnsi="Palatino Linotype" w:cs="Arial"/>
          <w:lang w:eastAsia="es-MX"/>
        </w:rPr>
        <w:t xml:space="preserve">Ley de Transparencia y Acceso a la </w:t>
      </w:r>
      <w:r w:rsidRPr="004803A9">
        <w:rPr>
          <w:rFonts w:ascii="Palatino Linotype" w:hAnsi="Palatino Linotype" w:cs="Arial"/>
        </w:rPr>
        <w:t>Información</w:t>
      </w:r>
      <w:r w:rsidRPr="004803A9">
        <w:rPr>
          <w:rFonts w:ascii="Palatino Linotype" w:hAnsi="Palatino Linotype" w:cs="Arial"/>
          <w:lang w:eastAsia="es-MX"/>
        </w:rPr>
        <w:t xml:space="preserve"> Pública del Estado de México y Municipios </w:t>
      </w:r>
      <w:r w:rsidRPr="004803A9">
        <w:rPr>
          <w:rFonts w:ascii="Palatino Linotype" w:hAnsi="Palatino Linotype" w:cs="Arial"/>
          <w:iCs/>
        </w:rPr>
        <w:t xml:space="preserve">prevé que, </w:t>
      </w:r>
      <w:r w:rsidRPr="004803A9">
        <w:rPr>
          <w:rFonts w:ascii="Palatino Linotype" w:hAnsi="Palatino Linotype"/>
        </w:rPr>
        <w:t xml:space="preserve">toda persona tendrá acceso a la información </w:t>
      </w:r>
      <w:r w:rsidRPr="004803A9">
        <w:rPr>
          <w:rFonts w:ascii="Palatino Linotype" w:hAnsi="Palatino Linotype" w:cs="Arial"/>
        </w:rPr>
        <w:t xml:space="preserve">sin necesidad de acreditar interés alguno o justificar su utilización, de lo que se infiere que para el </w:t>
      </w:r>
      <w:r w:rsidRPr="004803A9">
        <w:rPr>
          <w:rFonts w:ascii="Palatino Linotype" w:hAnsi="Palatino Linotype"/>
        </w:rPr>
        <w:t>ejercicio</w:t>
      </w:r>
      <w:r w:rsidRPr="004803A9">
        <w:rPr>
          <w:rFonts w:ascii="Palatino Linotype" w:hAnsi="Palatino Linotype" w:cs="Arial"/>
        </w:rPr>
        <w:t xml:space="preserve"> del derecho de acceso </w:t>
      </w:r>
      <w:r w:rsidRPr="004803A9">
        <w:rPr>
          <w:rFonts w:ascii="Palatino Linotype" w:hAnsi="Palatino Linotype" w:cs="Arial"/>
        </w:rPr>
        <w:lastRenderedPageBreak/>
        <w:t xml:space="preserve">a la información pública, el nombre no es un requisito </w:t>
      </w:r>
      <w:r w:rsidRPr="004803A9">
        <w:rPr>
          <w:rFonts w:ascii="Palatino Linotype" w:hAnsi="Palatino Linotype" w:cs="Arial"/>
          <w:i/>
        </w:rPr>
        <w:t>sine qua non</w:t>
      </w:r>
      <w:r w:rsidRPr="004803A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4803A9" w:rsidRDefault="00B14416" w:rsidP="003212CC">
      <w:pPr>
        <w:widowControl w:val="0"/>
        <w:autoSpaceDE w:val="0"/>
        <w:autoSpaceDN w:val="0"/>
        <w:adjustRightInd w:val="0"/>
        <w:spacing w:line="360" w:lineRule="auto"/>
        <w:jc w:val="both"/>
        <w:rPr>
          <w:rFonts w:ascii="Palatino Linotype" w:hAnsi="Palatino Linotype" w:cs="Arial"/>
        </w:rPr>
      </w:pPr>
    </w:p>
    <w:p w14:paraId="5993255B" w14:textId="38234DA0" w:rsidR="00B14416" w:rsidRPr="004803A9" w:rsidRDefault="00B14416"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803A9">
        <w:rPr>
          <w:rFonts w:ascii="Palatino Linotype" w:hAnsi="Palatino Linotype" w:cs="Arial"/>
        </w:rPr>
        <w:t>derecho</w:t>
      </w:r>
      <w:r w:rsidRPr="004803A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4803A9" w:rsidRDefault="00EC1F45" w:rsidP="003212CC">
      <w:pPr>
        <w:widowControl w:val="0"/>
        <w:autoSpaceDE w:val="0"/>
        <w:autoSpaceDN w:val="0"/>
        <w:adjustRightInd w:val="0"/>
        <w:spacing w:line="360" w:lineRule="auto"/>
        <w:jc w:val="both"/>
        <w:rPr>
          <w:rFonts w:ascii="Palatino Linotype" w:hAnsi="Palatino Linotype"/>
        </w:rPr>
      </w:pPr>
    </w:p>
    <w:p w14:paraId="325C04EB" w14:textId="0DDD5091" w:rsidR="0029071C" w:rsidRPr="004803A9" w:rsidRDefault="00B14416" w:rsidP="003212CC">
      <w:pPr>
        <w:autoSpaceDE w:val="0"/>
        <w:autoSpaceDN w:val="0"/>
        <w:adjustRightInd w:val="0"/>
        <w:spacing w:line="360" w:lineRule="auto"/>
        <w:jc w:val="both"/>
        <w:rPr>
          <w:rFonts w:ascii="Palatino Linotype" w:eastAsiaTheme="minorHAnsi" w:hAnsi="Palatino Linotype" w:cs="Arial"/>
          <w:b/>
          <w:sz w:val="28"/>
          <w:lang w:val="es-MX" w:eastAsia="en-US"/>
        </w:rPr>
      </w:pPr>
      <w:r w:rsidRPr="004803A9">
        <w:rPr>
          <w:rFonts w:ascii="Palatino Linotype" w:eastAsiaTheme="minorHAnsi" w:hAnsi="Palatino Linotype" w:cs="Arial"/>
          <w:b/>
          <w:sz w:val="28"/>
          <w:lang w:val="es-MX" w:eastAsia="en-US"/>
        </w:rPr>
        <w:t>CUART</w:t>
      </w:r>
      <w:r w:rsidR="0029071C" w:rsidRPr="004803A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4803A9" w:rsidRDefault="0029071C"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4803A9">
        <w:rPr>
          <w:rFonts w:ascii="Palatino Linotype" w:eastAsiaTheme="minorHAnsi" w:hAnsi="Palatino Linotype" w:cs="Arial"/>
          <w:lang w:val="es-MX" w:eastAsia="en-US"/>
        </w:rPr>
        <w:t>Resolutor</w:t>
      </w:r>
      <w:proofErr w:type="spellEnd"/>
      <w:r w:rsidRPr="004803A9">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4803A9">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4803A9">
        <w:rPr>
          <w:rStyle w:val="Refdenotaalpie"/>
          <w:rFonts w:ascii="Palatino Linotype" w:eastAsiaTheme="minorHAnsi" w:hAnsi="Palatino Linotype" w:cs="Arial"/>
          <w:lang w:val="es-MX" w:eastAsia="en-US"/>
        </w:rPr>
        <w:footnoteReference w:id="1"/>
      </w:r>
      <w:r w:rsidRPr="004803A9">
        <w:rPr>
          <w:rFonts w:ascii="Palatino Linotype" w:eastAsiaTheme="minorHAnsi" w:hAnsi="Palatino Linotype" w:cs="Arial"/>
          <w:lang w:val="es-MX" w:eastAsia="en-US"/>
        </w:rPr>
        <w:t>.</w:t>
      </w:r>
    </w:p>
    <w:p w14:paraId="5DF25401" w14:textId="77777777" w:rsidR="001F479D" w:rsidRPr="004803A9" w:rsidRDefault="001F479D" w:rsidP="003212C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4803A9" w:rsidRDefault="0029071C"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4803A9" w:rsidRDefault="0029071C" w:rsidP="003212CC">
      <w:pPr>
        <w:spacing w:line="360" w:lineRule="auto"/>
        <w:rPr>
          <w:lang w:val="es-MX"/>
        </w:rPr>
      </w:pPr>
    </w:p>
    <w:p w14:paraId="6A3C738B"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w:t>
      </w:r>
      <w:r w:rsidRPr="004803A9">
        <w:rPr>
          <w:rFonts w:ascii="Palatino Linotype" w:hAnsi="Palatino Linotype" w:cs="Arial"/>
          <w:b/>
          <w:i/>
          <w:sz w:val="22"/>
          <w:szCs w:val="22"/>
        </w:rPr>
        <w:t>Artículo 191.</w:t>
      </w:r>
      <w:r w:rsidRPr="004803A9">
        <w:rPr>
          <w:rFonts w:ascii="Palatino Linotype" w:hAnsi="Palatino Linotype" w:cs="Arial"/>
          <w:i/>
          <w:sz w:val="22"/>
          <w:szCs w:val="22"/>
        </w:rPr>
        <w:t xml:space="preserve"> El recurso será desechado por improcedente cuando:  </w:t>
      </w:r>
    </w:p>
    <w:p w14:paraId="2C29909C"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 xml:space="preserve">III. No actualice alguno de los supuestos previstos en la presente Ley;  </w:t>
      </w:r>
    </w:p>
    <w:p w14:paraId="050BC017"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IV. No se haya desahogado la prevención en los términos establecidos en la presente Ley;</w:t>
      </w:r>
    </w:p>
    <w:p w14:paraId="2ED4EE39"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 xml:space="preserve">V. Se impugne la veracidad de la información proporcionada;  </w:t>
      </w:r>
    </w:p>
    <w:p w14:paraId="39C3DF91"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t xml:space="preserve">VI. Se trate de una consulta, o trámite en específico; y  </w:t>
      </w:r>
    </w:p>
    <w:p w14:paraId="2A6495DE" w14:textId="77777777" w:rsidR="0029071C" w:rsidRPr="004803A9" w:rsidRDefault="0029071C" w:rsidP="003212CC">
      <w:pPr>
        <w:autoSpaceDE w:val="0"/>
        <w:autoSpaceDN w:val="0"/>
        <w:adjustRightInd w:val="0"/>
        <w:spacing w:line="360" w:lineRule="auto"/>
        <w:ind w:left="708" w:right="850"/>
        <w:jc w:val="both"/>
        <w:rPr>
          <w:rFonts w:ascii="Palatino Linotype" w:hAnsi="Palatino Linotype" w:cs="Arial"/>
          <w:i/>
          <w:sz w:val="22"/>
          <w:szCs w:val="22"/>
        </w:rPr>
      </w:pPr>
      <w:r w:rsidRPr="004803A9">
        <w:rPr>
          <w:rFonts w:ascii="Palatino Linotype" w:hAnsi="Palatino Linotype" w:cs="Arial"/>
          <w:i/>
          <w:sz w:val="22"/>
          <w:szCs w:val="22"/>
        </w:rPr>
        <w:lastRenderedPageBreak/>
        <w:t>VII. El recurrente amplíe su solicitud en el recurso de revisión, únicamente respecto de los nuevos contenidos.”</w:t>
      </w:r>
    </w:p>
    <w:p w14:paraId="10727A16" w14:textId="77777777" w:rsidR="00EC1F45" w:rsidRPr="004803A9" w:rsidRDefault="00EC1F45" w:rsidP="003212C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4803A9" w:rsidRDefault="0029071C" w:rsidP="003212CC">
      <w:pPr>
        <w:autoSpaceDE w:val="0"/>
        <w:autoSpaceDN w:val="0"/>
        <w:adjustRightInd w:val="0"/>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4803A9" w:rsidRDefault="00EA46CC" w:rsidP="003212CC">
      <w:pPr>
        <w:autoSpaceDE w:val="0"/>
        <w:autoSpaceDN w:val="0"/>
        <w:adjustRightInd w:val="0"/>
        <w:spacing w:line="360" w:lineRule="auto"/>
        <w:jc w:val="both"/>
        <w:rPr>
          <w:rFonts w:ascii="Palatino Linotype" w:hAnsi="Palatino Linotype" w:cs="Arial"/>
        </w:rPr>
      </w:pPr>
    </w:p>
    <w:p w14:paraId="361A7B38" w14:textId="77777777" w:rsidR="0029071C" w:rsidRPr="004803A9" w:rsidRDefault="0029071C" w:rsidP="003212CC">
      <w:pPr>
        <w:autoSpaceDE w:val="0"/>
        <w:autoSpaceDN w:val="0"/>
        <w:adjustRightInd w:val="0"/>
        <w:spacing w:line="360" w:lineRule="auto"/>
        <w:jc w:val="both"/>
        <w:rPr>
          <w:rFonts w:ascii="Palatino Linotype" w:hAnsi="Palatino Linotype" w:cs="Arial"/>
        </w:rPr>
      </w:pPr>
      <w:r w:rsidRPr="004803A9">
        <w:rPr>
          <w:rFonts w:ascii="Palatino Linotype" w:hAnsi="Palatino Linotype" w:cs="Arial"/>
        </w:rPr>
        <w:t xml:space="preserve">Así las cosas, al no existir causas de improcedencia invocadas por las partes ni advertidas de oficio por este </w:t>
      </w:r>
      <w:proofErr w:type="spellStart"/>
      <w:r w:rsidRPr="004803A9">
        <w:rPr>
          <w:rFonts w:ascii="Palatino Linotype" w:hAnsi="Palatino Linotype" w:cs="Arial"/>
        </w:rPr>
        <w:t>Resolutor</w:t>
      </w:r>
      <w:proofErr w:type="spellEnd"/>
      <w:r w:rsidRPr="004803A9">
        <w:rPr>
          <w:rFonts w:ascii="Palatino Linotype" w:hAnsi="Palatino Linotype" w:cs="Arial"/>
        </w:rPr>
        <w:t xml:space="preserve">, se </w:t>
      </w:r>
      <w:proofErr w:type="gramStart"/>
      <w:r w:rsidRPr="004803A9">
        <w:rPr>
          <w:rFonts w:ascii="Palatino Linotype" w:hAnsi="Palatino Linotype" w:cs="Arial"/>
        </w:rPr>
        <w:t>procede</w:t>
      </w:r>
      <w:proofErr w:type="gramEnd"/>
      <w:r w:rsidRPr="004803A9">
        <w:rPr>
          <w:rFonts w:ascii="Palatino Linotype" w:hAnsi="Palatino Linotype" w:cs="Arial"/>
        </w:rPr>
        <w:t xml:space="preserve"> al análisis del fondo de los asuntos en los siguientes términos.</w:t>
      </w:r>
    </w:p>
    <w:p w14:paraId="30F5D428" w14:textId="77777777" w:rsidR="00F712EE" w:rsidRPr="004803A9" w:rsidRDefault="00F712EE" w:rsidP="003212CC">
      <w:pPr>
        <w:autoSpaceDE w:val="0"/>
        <w:autoSpaceDN w:val="0"/>
        <w:adjustRightInd w:val="0"/>
        <w:spacing w:line="360" w:lineRule="auto"/>
        <w:jc w:val="both"/>
        <w:rPr>
          <w:rFonts w:ascii="Palatino Linotype" w:hAnsi="Palatino Linotype" w:cs="Arial"/>
        </w:rPr>
      </w:pPr>
    </w:p>
    <w:p w14:paraId="61D8E0F0" w14:textId="489E8911" w:rsidR="0029071C" w:rsidRPr="004803A9" w:rsidRDefault="00B14416" w:rsidP="003212CC">
      <w:pPr>
        <w:autoSpaceDE w:val="0"/>
        <w:autoSpaceDN w:val="0"/>
        <w:adjustRightInd w:val="0"/>
        <w:spacing w:line="360" w:lineRule="auto"/>
        <w:jc w:val="both"/>
        <w:rPr>
          <w:rFonts w:ascii="Palatino Linotype" w:hAnsi="Palatino Linotype" w:cs="Arial"/>
          <w:sz w:val="28"/>
        </w:rPr>
      </w:pPr>
      <w:r w:rsidRPr="004803A9">
        <w:rPr>
          <w:rFonts w:ascii="Palatino Linotype" w:hAnsi="Palatino Linotype" w:cs="Arial"/>
          <w:b/>
          <w:sz w:val="28"/>
        </w:rPr>
        <w:t>QUIN</w:t>
      </w:r>
      <w:r w:rsidR="00266841" w:rsidRPr="004803A9">
        <w:rPr>
          <w:rFonts w:ascii="Palatino Linotype" w:hAnsi="Palatino Linotype" w:cs="Arial"/>
          <w:b/>
          <w:sz w:val="28"/>
        </w:rPr>
        <w:t>T</w:t>
      </w:r>
      <w:r w:rsidR="0029071C" w:rsidRPr="004803A9">
        <w:rPr>
          <w:rFonts w:ascii="Palatino Linotype" w:hAnsi="Palatino Linotype" w:cs="Arial"/>
          <w:b/>
          <w:sz w:val="28"/>
        </w:rPr>
        <w:t>O. Del estudio y resolución del asunto.</w:t>
      </w:r>
      <w:r w:rsidR="0029071C" w:rsidRPr="004803A9">
        <w:rPr>
          <w:rFonts w:ascii="Palatino Linotype" w:hAnsi="Palatino Linotype" w:cs="Arial"/>
          <w:sz w:val="28"/>
        </w:rPr>
        <w:t xml:space="preserve"> </w:t>
      </w:r>
    </w:p>
    <w:p w14:paraId="6C7BE2A6" w14:textId="77777777" w:rsidR="003F3E3F" w:rsidRPr="004803A9" w:rsidRDefault="003F3E3F" w:rsidP="003212CC">
      <w:pPr>
        <w:pStyle w:val="Prrafodelista"/>
        <w:autoSpaceDE w:val="0"/>
        <w:autoSpaceDN w:val="0"/>
        <w:adjustRightInd w:val="0"/>
        <w:spacing w:line="360" w:lineRule="auto"/>
        <w:ind w:left="0"/>
        <w:jc w:val="both"/>
        <w:rPr>
          <w:rFonts w:ascii="Palatino Linotype" w:hAnsi="Palatino Linotype" w:cs="Arial"/>
        </w:rPr>
      </w:pPr>
      <w:r w:rsidRPr="004803A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F22A43B" w14:textId="77777777" w:rsidR="003F3E3F" w:rsidRPr="004803A9" w:rsidRDefault="003F3E3F" w:rsidP="003212CC">
      <w:pPr>
        <w:pStyle w:val="Prrafodelista"/>
        <w:autoSpaceDE w:val="0"/>
        <w:autoSpaceDN w:val="0"/>
        <w:adjustRightInd w:val="0"/>
        <w:spacing w:line="360" w:lineRule="auto"/>
        <w:ind w:left="0"/>
        <w:jc w:val="both"/>
        <w:rPr>
          <w:rFonts w:ascii="Palatino Linotype" w:hAnsi="Palatino Linotype" w:cs="Arial"/>
        </w:rPr>
      </w:pPr>
    </w:p>
    <w:p w14:paraId="67B2E4DA" w14:textId="77777777" w:rsidR="003F3E3F" w:rsidRPr="004803A9" w:rsidRDefault="003F3E3F" w:rsidP="003212CC">
      <w:pPr>
        <w:spacing w:line="360" w:lineRule="auto"/>
        <w:jc w:val="both"/>
        <w:rPr>
          <w:rFonts w:ascii="Palatino Linotype" w:hAnsi="Palatino Linotype"/>
        </w:rPr>
      </w:pPr>
      <w:r w:rsidRPr="004803A9">
        <w:rPr>
          <w:rFonts w:ascii="Palatino Linotype" w:hAnsi="Palatino Linotype" w:cs="Arial"/>
        </w:rPr>
        <w:t xml:space="preserve">En este tenor, es necesario subrayar que </w:t>
      </w:r>
      <w:r w:rsidRPr="004803A9">
        <w:rPr>
          <w:rFonts w:ascii="Palatino Linotype" w:hAnsi="Palatino Linotype"/>
        </w:rPr>
        <w:t xml:space="preserve">el derecho de acceso a la información pública implica que cualquier persona conozca la información contenida en los documentos </w:t>
      </w:r>
      <w:r w:rsidRPr="004803A9">
        <w:rPr>
          <w:rFonts w:ascii="Palatino Linotype" w:hAnsi="Palatino Linotype"/>
        </w:rPr>
        <w:lastRenderedPageBreak/>
        <w:t>que se encuentren en los archivos de los sujetos obligados, conforme a los artículos 4, 12, 24 último párrafo y 160 de la Ley local en la materia, que a la letra citan:</w:t>
      </w:r>
    </w:p>
    <w:p w14:paraId="6F037885" w14:textId="77777777" w:rsidR="003F3E3F" w:rsidRPr="004803A9" w:rsidRDefault="003F3E3F" w:rsidP="003212CC">
      <w:pPr>
        <w:spacing w:line="360" w:lineRule="auto"/>
        <w:jc w:val="both"/>
        <w:rPr>
          <w:rFonts w:ascii="Palatino Linotype" w:hAnsi="Palatino Linotype"/>
        </w:rPr>
      </w:pPr>
    </w:p>
    <w:p w14:paraId="5502646C"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b/>
          <w:i/>
        </w:rPr>
        <w:t>“Artículo 4.</w:t>
      </w:r>
      <w:r w:rsidRPr="004803A9">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D36C48"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EDF952"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18829F99"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b/>
          <w:i/>
        </w:rPr>
        <w:t>Artículo 12.</w:t>
      </w:r>
      <w:r w:rsidRPr="004803A9">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66317E21"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4803A9">
        <w:rPr>
          <w:rFonts w:ascii="Palatino Linotype" w:hAnsi="Palatino Linotype"/>
          <w:i/>
        </w:rPr>
        <w:lastRenderedPageBreak/>
        <w:t xml:space="preserve">misma, ni el presentarla conforme al interés del solicitante; no estarán obligados a generarla, resumirla, efectuar cálculos o practicar investigaciones. </w:t>
      </w:r>
    </w:p>
    <w:p w14:paraId="13C0B81E"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w:t>
      </w:r>
    </w:p>
    <w:p w14:paraId="6364219A" w14:textId="77777777" w:rsidR="003F3E3F" w:rsidRPr="004803A9" w:rsidRDefault="003F3E3F" w:rsidP="003212CC">
      <w:pPr>
        <w:spacing w:line="360" w:lineRule="auto"/>
        <w:ind w:left="851" w:right="851"/>
        <w:jc w:val="both"/>
        <w:rPr>
          <w:rFonts w:ascii="Palatino Linotype" w:hAnsi="Palatino Linotype"/>
          <w:b/>
          <w:i/>
        </w:rPr>
      </w:pPr>
      <w:r w:rsidRPr="004803A9">
        <w:rPr>
          <w:rFonts w:ascii="Palatino Linotype" w:hAnsi="Palatino Linotype"/>
          <w:b/>
          <w:i/>
        </w:rPr>
        <w:t xml:space="preserve">Artículo 24. </w:t>
      </w:r>
    </w:p>
    <w:p w14:paraId="1369EE75"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w:t>
      </w:r>
    </w:p>
    <w:p w14:paraId="61EDCC5A"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Los sujetos obligados solo proporcionarán la información pública que generen, administren o posean en el ejercicio de sus atribuciones.”</w:t>
      </w:r>
    </w:p>
    <w:p w14:paraId="7AC58E54"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i/>
        </w:rPr>
        <w:t>(…)</w:t>
      </w:r>
    </w:p>
    <w:p w14:paraId="07F23377" w14:textId="77777777" w:rsidR="003F3E3F" w:rsidRPr="004803A9" w:rsidRDefault="003F3E3F" w:rsidP="003212CC">
      <w:pPr>
        <w:spacing w:line="360" w:lineRule="auto"/>
        <w:ind w:left="851" w:right="851"/>
        <w:jc w:val="both"/>
        <w:rPr>
          <w:rFonts w:ascii="Palatino Linotype" w:hAnsi="Palatino Linotype"/>
          <w:i/>
        </w:rPr>
      </w:pPr>
      <w:r w:rsidRPr="004803A9">
        <w:rPr>
          <w:rFonts w:ascii="Palatino Linotype" w:hAnsi="Palatino Linotype"/>
          <w:b/>
          <w:i/>
        </w:rPr>
        <w:t>Artículo 160.</w:t>
      </w:r>
      <w:r w:rsidRPr="004803A9">
        <w:rPr>
          <w:rFonts w:ascii="Palatino Linotype" w:hAnsi="Palatino Linotype"/>
          <w:i/>
        </w:rPr>
        <w:t xml:space="preserve"> Los sujetos obligados deberán otorgar acceso a los documentos que se </w:t>
      </w:r>
      <w:r w:rsidRPr="004803A9">
        <w:rPr>
          <w:rFonts w:ascii="Palatino Linotype" w:hAnsi="Palatino Linotype"/>
          <w:b/>
          <w:i/>
        </w:rPr>
        <w:t xml:space="preserve"> </w:t>
      </w:r>
      <w:r w:rsidRPr="004803A9">
        <w:rPr>
          <w:rFonts w:ascii="Palatino Linotype" w:hAnsi="Palatino Linotype"/>
          <w:i/>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AD14F3" w14:textId="77777777" w:rsidR="003F3E3F" w:rsidRPr="004803A9" w:rsidRDefault="003F3E3F" w:rsidP="003212CC">
      <w:pPr>
        <w:spacing w:line="360" w:lineRule="auto"/>
        <w:ind w:left="851" w:right="851"/>
        <w:jc w:val="both"/>
        <w:rPr>
          <w:rFonts w:ascii="Palatino Linotype" w:hAnsi="Palatino Linotype"/>
          <w:b/>
          <w:i/>
        </w:rPr>
      </w:pPr>
      <w:r w:rsidRPr="004803A9">
        <w:rPr>
          <w:rFonts w:ascii="Palatino Linotype" w:hAnsi="Palatino Linotype"/>
          <w:i/>
        </w:rPr>
        <w:t>En caso que la información solicitada consista en bases de datos se deberá privilegiar la entrega de la misma en formatos abiertos.”</w:t>
      </w:r>
      <w:r w:rsidRPr="004803A9">
        <w:rPr>
          <w:rFonts w:ascii="Palatino Linotype" w:hAnsi="Palatino Linotype"/>
          <w:b/>
          <w:i/>
        </w:rPr>
        <w:t>[Sic]</w:t>
      </w:r>
    </w:p>
    <w:p w14:paraId="18099B60" w14:textId="77777777" w:rsidR="003F3E3F" w:rsidRPr="004803A9" w:rsidRDefault="003F3E3F" w:rsidP="003212CC">
      <w:pPr>
        <w:spacing w:line="360" w:lineRule="auto"/>
        <w:jc w:val="both"/>
        <w:rPr>
          <w:rFonts w:ascii="Palatino Linotype" w:hAnsi="Palatino Linotype"/>
        </w:rPr>
      </w:pPr>
    </w:p>
    <w:p w14:paraId="439A7755" w14:textId="77777777" w:rsidR="003F3E3F" w:rsidRPr="004803A9" w:rsidRDefault="003F3E3F" w:rsidP="003212CC">
      <w:pPr>
        <w:spacing w:line="360" w:lineRule="auto"/>
        <w:jc w:val="both"/>
        <w:rPr>
          <w:rFonts w:ascii="Palatino Linotype" w:hAnsi="Palatino Linotype"/>
        </w:rPr>
      </w:pPr>
      <w:r w:rsidRPr="004803A9">
        <w:rPr>
          <w:rFonts w:ascii="Palatino Linotype" w:hAnsi="Palatino Linotype"/>
        </w:rPr>
        <w:t xml:space="preserve">Así que la obligación de los </w:t>
      </w:r>
      <w:r w:rsidRPr="004803A9">
        <w:rPr>
          <w:rFonts w:ascii="Palatino Linotype" w:hAnsi="Palatino Linotype"/>
          <w:b/>
        </w:rPr>
        <w:t>Sujetos Obligados</w:t>
      </w:r>
      <w:r w:rsidRPr="004803A9">
        <w:rPr>
          <w:rFonts w:ascii="Palatino Linotype" w:hAnsi="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4803A9">
        <w:rPr>
          <w:rFonts w:ascii="Palatino Linotype" w:hAnsi="Palatino Linotype"/>
          <w:bCs/>
        </w:rPr>
        <w:t>de la Ley local en la materia, que se reproduce de la siguiente forma</w:t>
      </w:r>
      <w:r w:rsidRPr="004803A9">
        <w:rPr>
          <w:rFonts w:ascii="Palatino Linotype" w:hAnsi="Palatino Linotype"/>
        </w:rPr>
        <w:t>:</w:t>
      </w:r>
    </w:p>
    <w:p w14:paraId="10A1101B" w14:textId="77777777" w:rsidR="003F3E3F" w:rsidRPr="004803A9" w:rsidRDefault="003F3E3F" w:rsidP="003212CC">
      <w:pPr>
        <w:spacing w:line="360" w:lineRule="auto"/>
        <w:jc w:val="both"/>
        <w:rPr>
          <w:rFonts w:ascii="Palatino Linotype" w:hAnsi="Palatino Linotype"/>
        </w:rPr>
      </w:pPr>
    </w:p>
    <w:p w14:paraId="17E0E055" w14:textId="77777777" w:rsidR="003F3E3F" w:rsidRPr="004803A9" w:rsidRDefault="003F3E3F" w:rsidP="003212CC">
      <w:pPr>
        <w:spacing w:line="360" w:lineRule="auto"/>
        <w:ind w:left="851" w:right="851"/>
        <w:jc w:val="both"/>
        <w:rPr>
          <w:rFonts w:ascii="Palatino Linotype" w:hAnsi="Palatino Linotype" w:cs="Arial"/>
          <w:b/>
          <w:i/>
        </w:rPr>
      </w:pPr>
      <w:r w:rsidRPr="004803A9">
        <w:rPr>
          <w:rFonts w:ascii="Palatino Linotype" w:hAnsi="Palatino Linotype" w:cs="Arial"/>
          <w:i/>
        </w:rPr>
        <w:t xml:space="preserve">“Artículo 166. La obligación de acceso a la información pública se tendrá por cumplida cuando el solicitante tenga a su disposición la información </w:t>
      </w:r>
      <w:r w:rsidRPr="004803A9">
        <w:rPr>
          <w:rFonts w:ascii="Palatino Linotype" w:hAnsi="Palatino Linotype" w:cs="Arial"/>
          <w:i/>
        </w:rPr>
        <w:lastRenderedPageBreak/>
        <w:t xml:space="preserve">requerida, o cuando realice la consulta de la misma en el lugar en el que ésta se localice.” </w:t>
      </w:r>
      <w:r w:rsidRPr="004803A9">
        <w:rPr>
          <w:rFonts w:ascii="Palatino Linotype" w:hAnsi="Palatino Linotype" w:cs="Arial"/>
          <w:b/>
          <w:i/>
        </w:rPr>
        <w:t>[Sic]</w:t>
      </w:r>
    </w:p>
    <w:p w14:paraId="0DF38C84" w14:textId="77777777" w:rsidR="003F3E3F" w:rsidRPr="004803A9" w:rsidRDefault="003F3E3F" w:rsidP="003212CC">
      <w:pPr>
        <w:spacing w:line="360" w:lineRule="auto"/>
        <w:ind w:left="851" w:right="851"/>
        <w:jc w:val="both"/>
        <w:rPr>
          <w:rFonts w:ascii="Palatino Linotype" w:hAnsi="Palatino Linotype" w:cs="Arial"/>
          <w:b/>
          <w:i/>
        </w:rPr>
      </w:pPr>
    </w:p>
    <w:p w14:paraId="290AD84C" w14:textId="77777777" w:rsidR="003F3E3F" w:rsidRPr="004803A9" w:rsidRDefault="003F3E3F" w:rsidP="003212CC">
      <w:pPr>
        <w:spacing w:line="360" w:lineRule="auto"/>
        <w:jc w:val="both"/>
        <w:rPr>
          <w:rFonts w:ascii="Palatino Linotype" w:hAnsi="Palatino Linotype" w:cs="Arial"/>
        </w:rPr>
      </w:pPr>
      <w:r w:rsidRPr="004803A9">
        <w:rPr>
          <w:rFonts w:ascii="Palatino Linotype" w:hAnsi="Palatino Linotype" w:cs="Arial"/>
        </w:rPr>
        <w:t xml:space="preserve">En una aproximación inicial, con relación a la solicitud de información </w:t>
      </w:r>
      <w:r w:rsidRPr="004803A9">
        <w:rPr>
          <w:rFonts w:ascii="Palatino Linotype" w:hAnsi="Palatino Linotype" w:cs="Arial"/>
          <w:b/>
          <w:bCs/>
        </w:rPr>
        <w:t xml:space="preserve">00436/TOLUCA/IP/2025 </w:t>
      </w:r>
      <w:r w:rsidRPr="004803A9">
        <w:rPr>
          <w:rFonts w:ascii="Palatino Linotype" w:hAnsi="Palatino Linotype" w:cs="Arial"/>
        </w:rPr>
        <w:t>se desprenden las siguientes consideraciones:</w:t>
      </w:r>
    </w:p>
    <w:p w14:paraId="536259FA" w14:textId="77777777" w:rsidR="003F3E3F" w:rsidRPr="004803A9" w:rsidRDefault="003F3E3F" w:rsidP="003212CC">
      <w:pPr>
        <w:spacing w:line="360" w:lineRule="auto"/>
        <w:jc w:val="both"/>
        <w:rPr>
          <w:rFonts w:ascii="Palatino Linotype" w:eastAsia="Calibri" w:hAnsi="Palatino Linotype"/>
          <w:b/>
          <w:color w:val="000000" w:themeColor="text1"/>
        </w:rPr>
      </w:pPr>
    </w:p>
    <w:p w14:paraId="2018B706" w14:textId="77777777" w:rsidR="003F3E3F" w:rsidRPr="004803A9" w:rsidRDefault="003F3E3F" w:rsidP="003212CC">
      <w:pPr>
        <w:pStyle w:val="Prrafodelista"/>
        <w:numPr>
          <w:ilvl w:val="0"/>
          <w:numId w:val="7"/>
        </w:numPr>
        <w:autoSpaceDE w:val="0"/>
        <w:autoSpaceDN w:val="0"/>
        <w:adjustRightInd w:val="0"/>
        <w:spacing w:line="360" w:lineRule="auto"/>
        <w:jc w:val="both"/>
        <w:rPr>
          <w:rFonts w:ascii="Palatino Linotype" w:hAnsi="Palatino Linotype" w:cs="Arial"/>
        </w:rPr>
      </w:pPr>
      <w:r w:rsidRPr="004803A9">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803A9">
        <w:rPr>
          <w:rFonts w:ascii="Palatino Linotype" w:hAnsi="Palatino Linotype" w:cs="Arial"/>
          <w:b/>
          <w:bCs/>
        </w:rPr>
        <w:t xml:space="preserve">Sujetos Obligados. </w:t>
      </w:r>
    </w:p>
    <w:p w14:paraId="6F322BBB" w14:textId="6034E462" w:rsidR="003F3E3F" w:rsidRPr="004803A9" w:rsidRDefault="003F3E3F" w:rsidP="003212CC">
      <w:pPr>
        <w:pStyle w:val="Prrafodelista"/>
        <w:numPr>
          <w:ilvl w:val="0"/>
          <w:numId w:val="6"/>
        </w:numPr>
        <w:autoSpaceDE w:val="0"/>
        <w:autoSpaceDN w:val="0"/>
        <w:adjustRightInd w:val="0"/>
        <w:spacing w:line="360" w:lineRule="auto"/>
        <w:jc w:val="both"/>
        <w:rPr>
          <w:rFonts w:ascii="Palatino Linotype" w:hAnsi="Palatino Linotype"/>
        </w:rPr>
      </w:pPr>
      <w:r w:rsidRPr="004803A9">
        <w:rPr>
          <w:rFonts w:ascii="Palatino Linotype" w:hAnsi="Palatino Linotype" w:cs="Arial"/>
        </w:rPr>
        <w:t xml:space="preserve">Que mediante la solicitud de información </w:t>
      </w:r>
      <w:r w:rsidRPr="004803A9">
        <w:rPr>
          <w:rFonts w:ascii="Palatino Linotype" w:hAnsi="Palatino Linotype" w:cs="Arial"/>
          <w:b/>
          <w:bCs/>
        </w:rPr>
        <w:t xml:space="preserve">00436/TOLUCA/IP/2025 </w:t>
      </w:r>
      <w:r w:rsidRPr="004803A9">
        <w:rPr>
          <w:rFonts w:ascii="Palatino Linotype" w:hAnsi="Palatino Linotype" w:cs="Arial"/>
        </w:rPr>
        <w:t xml:space="preserve">fueron formulados diversos requerimientos que giran </w:t>
      </w:r>
      <w:r w:rsidR="00EF1E2B" w:rsidRPr="004803A9">
        <w:rPr>
          <w:rFonts w:ascii="Palatino Linotype" w:hAnsi="Palatino Linotype" w:cs="Arial"/>
        </w:rPr>
        <w:t>en torno</w:t>
      </w:r>
      <w:r w:rsidRPr="004803A9">
        <w:rPr>
          <w:rFonts w:ascii="Palatino Linotype" w:hAnsi="Palatino Linotype" w:cs="Arial"/>
        </w:rPr>
        <w:t xml:space="preserve"> al programa anual para erradicar la violencia de género en los años 2020 al 02 de mayo de 2025. </w:t>
      </w:r>
    </w:p>
    <w:p w14:paraId="72C49ADE" w14:textId="5710BC96" w:rsidR="003F3E3F" w:rsidRPr="004803A9" w:rsidRDefault="003F3E3F" w:rsidP="003212CC">
      <w:pPr>
        <w:pStyle w:val="Prrafodelista"/>
        <w:numPr>
          <w:ilvl w:val="0"/>
          <w:numId w:val="6"/>
        </w:numPr>
        <w:autoSpaceDE w:val="0"/>
        <w:autoSpaceDN w:val="0"/>
        <w:adjustRightInd w:val="0"/>
        <w:spacing w:line="360" w:lineRule="auto"/>
        <w:jc w:val="both"/>
        <w:rPr>
          <w:rFonts w:ascii="Palatino Linotype" w:hAnsi="Palatino Linotype"/>
        </w:rPr>
      </w:pPr>
      <w:r w:rsidRPr="004803A9">
        <w:rPr>
          <w:rFonts w:ascii="Palatino Linotype" w:hAnsi="Palatino Linotype" w:cs="Arial"/>
        </w:rPr>
        <w:t>Que con relación a</w:t>
      </w:r>
      <w:r w:rsidR="00341BBF" w:rsidRPr="004803A9">
        <w:rPr>
          <w:rFonts w:ascii="Palatino Linotype" w:hAnsi="Palatino Linotype" w:cs="Arial"/>
        </w:rPr>
        <w:t>l requerimiento</w:t>
      </w:r>
      <w:r w:rsidRPr="004803A9">
        <w:rPr>
          <w:rFonts w:ascii="Palatino Linotype" w:hAnsi="Palatino Linotype" w:cs="Arial"/>
        </w:rPr>
        <w:t xml:space="preserve"> </w:t>
      </w:r>
      <w:r w:rsidRPr="004803A9">
        <w:rPr>
          <w:rFonts w:ascii="Palatino Linotype" w:hAnsi="Palatino Linotype" w:cs="Arial"/>
          <w:b/>
          <w:bCs/>
        </w:rPr>
        <w:t xml:space="preserve">2, </w:t>
      </w:r>
      <w:r w:rsidRPr="004803A9">
        <w:rPr>
          <w:rFonts w:ascii="Palatino Linotype" w:hAnsi="Palatino Linotype" w:cs="Arial"/>
        </w:rPr>
        <w:t xml:space="preserve">se destaca que cuando los particulares no identifican de forma precisa el documento requerido, bastará con que </w:t>
      </w:r>
      <w:r w:rsidRPr="004803A9">
        <w:rPr>
          <w:rFonts w:ascii="Palatino Linotype" w:hAnsi="Palatino Linotype"/>
        </w:rPr>
        <w:t xml:space="preserve">se remita cualquiera que refleje la información requerida. Al respecto, cobra relevancia el criterio emitido por el Órgano Garante Nacional con número </w:t>
      </w:r>
      <w:r w:rsidRPr="004803A9">
        <w:rPr>
          <w:rFonts w:ascii="Palatino Linotype" w:hAnsi="Palatino Linotype"/>
          <w:b/>
          <w:bCs/>
        </w:rPr>
        <w:t xml:space="preserve">16/17 </w:t>
      </w:r>
      <w:r w:rsidRPr="004803A9">
        <w:rPr>
          <w:rFonts w:ascii="Palatino Linotype" w:hAnsi="Palatino Linotype"/>
        </w:rPr>
        <w:t>cuyo rubro y texto disponen a la literalidad lo siguiente:</w:t>
      </w:r>
    </w:p>
    <w:p w14:paraId="475E8855" w14:textId="77777777" w:rsidR="003F3E3F" w:rsidRPr="004803A9" w:rsidRDefault="003F3E3F" w:rsidP="003212CC">
      <w:pPr>
        <w:pStyle w:val="Prrafodelista"/>
        <w:autoSpaceDE w:val="0"/>
        <w:autoSpaceDN w:val="0"/>
        <w:adjustRightInd w:val="0"/>
        <w:spacing w:line="360" w:lineRule="auto"/>
        <w:ind w:left="720"/>
        <w:jc w:val="both"/>
        <w:rPr>
          <w:rFonts w:ascii="Palatino Linotype" w:hAnsi="Palatino Linotype"/>
        </w:rPr>
      </w:pPr>
    </w:p>
    <w:p w14:paraId="7B763340" w14:textId="77777777" w:rsidR="003F3E3F" w:rsidRPr="004803A9" w:rsidRDefault="003F3E3F" w:rsidP="003212CC">
      <w:pPr>
        <w:pStyle w:val="Citas"/>
        <w:spacing w:before="0" w:after="0"/>
        <w:jc w:val="center"/>
        <w:rPr>
          <w:b/>
          <w:bCs/>
          <w:sz w:val="24"/>
          <w:szCs w:val="24"/>
        </w:rPr>
      </w:pPr>
      <w:r w:rsidRPr="004803A9">
        <w:rPr>
          <w:b/>
          <w:bCs/>
          <w:sz w:val="24"/>
          <w:szCs w:val="24"/>
        </w:rPr>
        <w:t>“EXPRESIÓN DOCUMENTAL.</w:t>
      </w:r>
    </w:p>
    <w:p w14:paraId="00992127" w14:textId="77777777" w:rsidR="003F3E3F" w:rsidRPr="004803A9" w:rsidRDefault="003F3E3F" w:rsidP="003212CC">
      <w:pPr>
        <w:pStyle w:val="Citas"/>
        <w:spacing w:before="0" w:after="0"/>
        <w:rPr>
          <w:szCs w:val="24"/>
        </w:rPr>
      </w:pPr>
      <w:r w:rsidRPr="004803A9">
        <w:rPr>
          <w:bCs/>
          <w:szCs w:val="24"/>
        </w:rPr>
        <w:t>Cuando</w:t>
      </w:r>
      <w:r w:rsidRPr="004803A9">
        <w:rPr>
          <w:lang w:val="es-ES"/>
        </w:rPr>
        <w:t xml:space="preserve"> los particulares presenten solicitudes de acceso a la información sin identificar de forma precisa la documentación que pudiera contener la información de su interés, </w:t>
      </w:r>
      <w:r w:rsidRPr="004803A9">
        <w:rPr>
          <w:szCs w:val="24"/>
        </w:rPr>
        <w:t>o bien, la solicitud constituya una consulta,</w:t>
      </w:r>
      <w:r w:rsidRPr="004803A9">
        <w:rPr>
          <w:lang w:val="es-ES"/>
        </w:rPr>
        <w:t xml:space="preserve"> pero la respuesta pudiera obrar en algún documento en poder de los sujetos obligados, éstos deben dar a dichas solicitudes una interpretación que les otorgue una expresión documental. </w:t>
      </w:r>
    </w:p>
    <w:p w14:paraId="0D99953C" w14:textId="77777777" w:rsidR="003F3E3F" w:rsidRPr="004803A9" w:rsidRDefault="003F3E3F" w:rsidP="003212CC">
      <w:pPr>
        <w:pStyle w:val="Citas"/>
        <w:spacing w:before="0" w:after="0"/>
        <w:rPr>
          <w:b/>
        </w:rPr>
      </w:pPr>
      <w:r w:rsidRPr="004803A9">
        <w:rPr>
          <w:b/>
        </w:rPr>
        <w:t>Precedentes:</w:t>
      </w:r>
    </w:p>
    <w:p w14:paraId="57FEDDE3" w14:textId="77777777" w:rsidR="003F3E3F" w:rsidRPr="004803A9" w:rsidRDefault="003F3E3F" w:rsidP="003212CC">
      <w:pPr>
        <w:pStyle w:val="Citas"/>
        <w:numPr>
          <w:ilvl w:val="0"/>
          <w:numId w:val="8"/>
        </w:numPr>
        <w:spacing w:before="0" w:after="0"/>
        <w:rPr>
          <w:color w:val="000000"/>
        </w:rPr>
      </w:pPr>
      <w:r w:rsidRPr="004803A9">
        <w:lastRenderedPageBreak/>
        <w:t xml:space="preserve">Acceso a la información pública. RRA 0774/16. Sesión del 31 de agosto de 2016. Votación por unanimidad. </w:t>
      </w:r>
      <w:r w:rsidRPr="004803A9">
        <w:rPr>
          <w:rFonts w:eastAsia="Arial"/>
        </w:rPr>
        <w:t>Sin votos disidentes o particulares.</w:t>
      </w:r>
      <w:r w:rsidRPr="004803A9">
        <w:t xml:space="preserve"> Secretaría de Salud. Comisionada Ponente María Patricia </w:t>
      </w:r>
      <w:proofErr w:type="spellStart"/>
      <w:r w:rsidRPr="004803A9">
        <w:t>Kurczyn</w:t>
      </w:r>
      <w:proofErr w:type="spellEnd"/>
      <w:r w:rsidRPr="004803A9">
        <w:t xml:space="preserve"> Villalobos.</w:t>
      </w:r>
    </w:p>
    <w:p w14:paraId="6793308E" w14:textId="77777777" w:rsidR="003F3E3F" w:rsidRPr="004803A9" w:rsidRDefault="003F3E3F" w:rsidP="003212CC">
      <w:pPr>
        <w:pStyle w:val="Citas"/>
        <w:numPr>
          <w:ilvl w:val="0"/>
          <w:numId w:val="8"/>
        </w:numPr>
        <w:spacing w:before="0" w:after="0"/>
        <w:rPr>
          <w:color w:val="000000"/>
        </w:rPr>
      </w:pPr>
      <w:r w:rsidRPr="004803A9">
        <w:t xml:space="preserve">Acceso a la información pública. RRA 0143/17. Sesión del 22 de febrero de 2017. Votación por unanimidad. </w:t>
      </w:r>
      <w:r w:rsidRPr="004803A9">
        <w:rPr>
          <w:rFonts w:eastAsia="Arial"/>
        </w:rPr>
        <w:t>Sin votos disidentes o particulares.</w:t>
      </w:r>
      <w:r w:rsidRPr="004803A9">
        <w:t xml:space="preserve"> Universidad Autónoma Agraria Antonio Narro. Comisionado Ponente Oscar Mauricio Guerra Ford. </w:t>
      </w:r>
    </w:p>
    <w:p w14:paraId="14BAAD14" w14:textId="77777777" w:rsidR="003F3E3F" w:rsidRPr="004803A9" w:rsidRDefault="003F3E3F" w:rsidP="003212CC">
      <w:pPr>
        <w:pStyle w:val="Citas"/>
        <w:numPr>
          <w:ilvl w:val="0"/>
          <w:numId w:val="8"/>
        </w:numPr>
        <w:spacing w:before="0" w:after="0"/>
        <w:rPr>
          <w:color w:val="000000"/>
        </w:rPr>
      </w:pPr>
      <w:r w:rsidRPr="004803A9">
        <w:t xml:space="preserve">Acceso a la información pública. RRA 0540/17. Sesión del 08 de marzo del 2017. Votación por unanimidad. </w:t>
      </w:r>
      <w:r w:rsidRPr="004803A9">
        <w:rPr>
          <w:rFonts w:eastAsia="Arial"/>
        </w:rPr>
        <w:t>Sin votos disidentes o particulares.</w:t>
      </w:r>
      <w:r w:rsidRPr="004803A9">
        <w:t xml:space="preserve"> Secretaría de Economía. Comisionado Ponente Francisco Javier Acuña Llamas. “ </w:t>
      </w:r>
      <w:r w:rsidRPr="004803A9">
        <w:rPr>
          <w:b/>
          <w:bCs/>
        </w:rPr>
        <w:t>(Sic)</w:t>
      </w:r>
    </w:p>
    <w:p w14:paraId="588E848C" w14:textId="77777777" w:rsidR="003F3E3F" w:rsidRPr="004803A9" w:rsidRDefault="003F3E3F" w:rsidP="003212CC">
      <w:pPr>
        <w:autoSpaceDE w:val="0"/>
        <w:autoSpaceDN w:val="0"/>
        <w:adjustRightInd w:val="0"/>
        <w:spacing w:line="360" w:lineRule="auto"/>
        <w:jc w:val="both"/>
        <w:rPr>
          <w:rFonts w:ascii="Palatino Linotype" w:hAnsi="Palatino Linotype"/>
        </w:rPr>
      </w:pPr>
    </w:p>
    <w:p w14:paraId="6E7FD61C" w14:textId="77777777" w:rsidR="003F3E3F" w:rsidRPr="004803A9" w:rsidRDefault="003F3E3F" w:rsidP="003212CC">
      <w:pPr>
        <w:spacing w:line="360" w:lineRule="auto"/>
        <w:jc w:val="both"/>
        <w:rPr>
          <w:rFonts w:ascii="Palatino Linotype" w:hAnsi="Palatino Linotype"/>
        </w:rPr>
      </w:pPr>
      <w:r w:rsidRPr="004803A9">
        <w:rPr>
          <w:rFonts w:ascii="Palatino Linotype" w:hAnsi="Palatino Linotype"/>
        </w:rPr>
        <w:t xml:space="preserve">Dichas precisiones, con fundamento en los artículos 13 y 181 cuarto párrafo de la Ley en materia, los cuales a la letra rezan: </w:t>
      </w:r>
    </w:p>
    <w:p w14:paraId="7B6AB2E9" w14:textId="77777777" w:rsidR="003F3E3F" w:rsidRPr="004803A9" w:rsidRDefault="003F3E3F" w:rsidP="003212CC">
      <w:pPr>
        <w:spacing w:line="360" w:lineRule="auto"/>
        <w:jc w:val="both"/>
        <w:rPr>
          <w:rFonts w:ascii="Palatino Linotype" w:hAnsi="Palatino Linotype"/>
        </w:rPr>
      </w:pPr>
    </w:p>
    <w:p w14:paraId="3945D58D" w14:textId="77777777" w:rsidR="003F3E3F" w:rsidRPr="004803A9" w:rsidRDefault="003F3E3F" w:rsidP="003212CC">
      <w:pPr>
        <w:pStyle w:val="Citas"/>
        <w:spacing w:before="0" w:after="0"/>
      </w:pPr>
      <w:r w:rsidRPr="004803A9">
        <w:rPr>
          <w:b/>
          <w:bCs/>
        </w:rPr>
        <w:t xml:space="preserve">“Artículo 13. </w:t>
      </w:r>
      <w:r w:rsidRPr="004803A9">
        <w:t>El Instituto, en el ámbito de sus atribuciones, deberá suplir cualquier deficiencia para garantizar el ejercicio del derecho de acceso a la información.</w:t>
      </w:r>
    </w:p>
    <w:p w14:paraId="471E52EC" w14:textId="77777777" w:rsidR="003F3E3F" w:rsidRPr="004803A9" w:rsidRDefault="003F3E3F" w:rsidP="003212CC">
      <w:pPr>
        <w:pStyle w:val="Citas"/>
        <w:spacing w:before="0" w:after="0"/>
        <w:rPr>
          <w:b/>
        </w:rPr>
      </w:pPr>
      <w:r w:rsidRPr="004803A9">
        <w:rPr>
          <w:b/>
        </w:rPr>
        <w:t xml:space="preserve">Artículo 181. … </w:t>
      </w:r>
    </w:p>
    <w:p w14:paraId="715FF342" w14:textId="77777777" w:rsidR="003F3E3F" w:rsidRPr="004803A9" w:rsidRDefault="003F3E3F" w:rsidP="003212CC">
      <w:pPr>
        <w:pStyle w:val="Citas"/>
        <w:spacing w:before="0" w:after="0"/>
        <w:rPr>
          <w:b/>
        </w:rPr>
      </w:pPr>
      <w:r w:rsidRPr="004803A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4803A9">
        <w:rPr>
          <w:b/>
        </w:rPr>
        <w:t>[Sic]</w:t>
      </w:r>
    </w:p>
    <w:p w14:paraId="2D62912F" w14:textId="77777777" w:rsidR="003F3E3F" w:rsidRPr="004803A9" w:rsidRDefault="003F3E3F" w:rsidP="003212CC">
      <w:pPr>
        <w:spacing w:line="360" w:lineRule="auto"/>
        <w:jc w:val="both"/>
        <w:rPr>
          <w:rFonts w:ascii="Palatino Linotype" w:hAnsi="Palatino Linotype"/>
        </w:rPr>
      </w:pPr>
    </w:p>
    <w:p w14:paraId="09042EC7" w14:textId="77777777" w:rsidR="003F3E3F" w:rsidRPr="004803A9" w:rsidRDefault="003F3E3F" w:rsidP="003212CC">
      <w:pPr>
        <w:spacing w:line="360" w:lineRule="auto"/>
        <w:jc w:val="both"/>
        <w:rPr>
          <w:rFonts w:ascii="Palatino Linotype" w:hAnsi="Palatino Linotype"/>
        </w:rPr>
      </w:pPr>
      <w:r w:rsidRPr="004803A9">
        <w:rPr>
          <w:rFonts w:ascii="Palatino Linotype" w:hAnsi="Palatino Linotype"/>
        </w:rPr>
        <w:t xml:space="preserve">Bajo estas líneas argumentativas, al retomar y delimitar los requerimientos formulados por el ahora </w:t>
      </w:r>
      <w:r w:rsidRPr="004803A9">
        <w:rPr>
          <w:rFonts w:ascii="Palatino Linotype" w:hAnsi="Palatino Linotype"/>
          <w:b/>
          <w:bCs/>
        </w:rPr>
        <w:t xml:space="preserve">Recurrente, </w:t>
      </w:r>
      <w:r w:rsidRPr="004803A9">
        <w:rPr>
          <w:rFonts w:ascii="Palatino Linotype" w:hAnsi="Palatino Linotype"/>
        </w:rPr>
        <w:t xml:space="preserve">de manera objetiva se precisa que versa en conocer, a través del </w:t>
      </w:r>
      <w:r w:rsidRPr="004803A9">
        <w:rPr>
          <w:rFonts w:ascii="Palatino Linotype" w:hAnsi="Palatino Linotype"/>
          <w:b/>
          <w:bCs/>
        </w:rPr>
        <w:t xml:space="preserve">SAIMEX, </w:t>
      </w:r>
      <w:r w:rsidRPr="004803A9">
        <w:rPr>
          <w:rFonts w:ascii="Palatino Linotype" w:hAnsi="Palatino Linotype"/>
        </w:rPr>
        <w:t>la siguiente información:</w:t>
      </w:r>
    </w:p>
    <w:p w14:paraId="3968900A" w14:textId="77777777" w:rsidR="003F3E3F" w:rsidRPr="004803A9" w:rsidRDefault="003F3E3F" w:rsidP="003212CC">
      <w:pPr>
        <w:spacing w:line="360" w:lineRule="auto"/>
        <w:jc w:val="both"/>
        <w:rPr>
          <w:rFonts w:ascii="Palatino Linotype" w:hAnsi="Palatino Linotype"/>
        </w:rPr>
      </w:pPr>
    </w:p>
    <w:p w14:paraId="00834F41" w14:textId="4DB226FF" w:rsidR="003F3E3F" w:rsidRPr="004803A9" w:rsidRDefault="00341BBF" w:rsidP="003212CC">
      <w:pPr>
        <w:pStyle w:val="Prrafodelista"/>
        <w:numPr>
          <w:ilvl w:val="0"/>
          <w:numId w:val="9"/>
        </w:numPr>
        <w:autoSpaceDE w:val="0"/>
        <w:autoSpaceDN w:val="0"/>
        <w:adjustRightInd w:val="0"/>
        <w:spacing w:line="360" w:lineRule="auto"/>
        <w:jc w:val="both"/>
        <w:rPr>
          <w:rFonts w:ascii="Palatino Linotype" w:hAnsi="Palatino Linotype"/>
        </w:rPr>
      </w:pPr>
      <w:r w:rsidRPr="004803A9">
        <w:rPr>
          <w:rFonts w:ascii="Palatino Linotype" w:hAnsi="Palatino Linotype"/>
        </w:rPr>
        <w:t>Planes de acción y programas</w:t>
      </w:r>
      <w:r w:rsidR="003F3E3F" w:rsidRPr="004803A9">
        <w:rPr>
          <w:rFonts w:ascii="Palatino Linotype" w:hAnsi="Palatino Linotype"/>
        </w:rPr>
        <w:t xml:space="preserve"> para erradicar la violencia de género </w:t>
      </w:r>
      <w:r w:rsidRPr="004803A9">
        <w:rPr>
          <w:rFonts w:ascii="Palatino Linotype" w:hAnsi="Palatino Linotype"/>
        </w:rPr>
        <w:t>por año del primero de enero de dos mil veinte al dos de mayo de dos mil veinticinco.</w:t>
      </w:r>
      <w:r w:rsidR="003F3E3F" w:rsidRPr="004803A9">
        <w:rPr>
          <w:rFonts w:ascii="Palatino Linotype" w:hAnsi="Palatino Linotype"/>
        </w:rPr>
        <w:t xml:space="preserve"> </w:t>
      </w:r>
    </w:p>
    <w:p w14:paraId="6325B662" w14:textId="250F8B0C" w:rsidR="00341BBF" w:rsidRPr="004803A9" w:rsidRDefault="003F3E3F" w:rsidP="003212CC">
      <w:pPr>
        <w:pStyle w:val="Prrafodelista"/>
        <w:numPr>
          <w:ilvl w:val="0"/>
          <w:numId w:val="9"/>
        </w:numPr>
        <w:autoSpaceDE w:val="0"/>
        <w:autoSpaceDN w:val="0"/>
        <w:adjustRightInd w:val="0"/>
        <w:spacing w:line="360" w:lineRule="auto"/>
        <w:jc w:val="both"/>
        <w:rPr>
          <w:rFonts w:ascii="Palatino Linotype" w:hAnsi="Palatino Linotype"/>
        </w:rPr>
      </w:pPr>
      <w:r w:rsidRPr="004803A9">
        <w:rPr>
          <w:rFonts w:ascii="Palatino Linotype" w:hAnsi="Palatino Linotype"/>
        </w:rPr>
        <w:t xml:space="preserve">El o los documentos donde conste el presupuesto municipal asignado y ejercido para erradicar la violencia de género, por año del primero de enero de dos mil veinte al dos de mayo de dos mil </w:t>
      </w:r>
      <w:r w:rsidR="00341BBF" w:rsidRPr="004803A9">
        <w:rPr>
          <w:rFonts w:ascii="Palatino Linotype" w:hAnsi="Palatino Linotype"/>
        </w:rPr>
        <w:t>veinticinco</w:t>
      </w:r>
      <w:r w:rsidRPr="004803A9">
        <w:rPr>
          <w:rFonts w:ascii="Palatino Linotype" w:hAnsi="Palatino Linotype"/>
        </w:rPr>
        <w:t xml:space="preserve">. </w:t>
      </w:r>
      <w:bookmarkStart w:id="2" w:name="_Hlk211361121"/>
      <w:bookmarkStart w:id="3" w:name="_Hlk212549635"/>
    </w:p>
    <w:bookmarkEnd w:id="2"/>
    <w:p w14:paraId="0AE96B73" w14:textId="77777777" w:rsidR="00833152" w:rsidRPr="004803A9" w:rsidRDefault="00833152" w:rsidP="003212CC">
      <w:pPr>
        <w:spacing w:line="360" w:lineRule="auto"/>
        <w:ind w:right="49"/>
        <w:jc w:val="both"/>
        <w:rPr>
          <w:rFonts w:ascii="Palatino Linotype" w:eastAsiaTheme="minorHAnsi" w:hAnsi="Palatino Linotype" w:cstheme="minorBidi"/>
          <w:iCs/>
          <w:sz w:val="22"/>
          <w:szCs w:val="22"/>
          <w:lang w:eastAsia="es-MX"/>
        </w:rPr>
      </w:pPr>
    </w:p>
    <w:bookmarkEnd w:id="3"/>
    <w:p w14:paraId="532DDCF5" w14:textId="01875921" w:rsidR="00901F1F" w:rsidRPr="004803A9" w:rsidRDefault="00901F1F" w:rsidP="003212CC">
      <w:p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 xml:space="preserve">Atento a la solicitud de información el </w:t>
      </w:r>
      <w:r w:rsidRPr="004803A9">
        <w:rPr>
          <w:rFonts w:ascii="Palatino Linotype" w:eastAsiaTheme="minorHAnsi" w:hAnsi="Palatino Linotype" w:cstheme="minorBidi"/>
          <w:b/>
          <w:lang w:val="es-MX" w:eastAsia="es-MX"/>
        </w:rPr>
        <w:t>Sujeto Obligado</w:t>
      </w:r>
      <w:r w:rsidRPr="004803A9">
        <w:rPr>
          <w:rFonts w:ascii="Palatino Linotype" w:eastAsiaTheme="minorHAnsi" w:hAnsi="Palatino Linotype" w:cstheme="minorBidi"/>
          <w:lang w:val="es-MX" w:eastAsia="es-MX"/>
        </w:rPr>
        <w:t xml:space="preserve">, mediante el oficio número </w:t>
      </w:r>
      <w:proofErr w:type="spellStart"/>
      <w:r w:rsidR="00341BBF" w:rsidRPr="004803A9">
        <w:rPr>
          <w:rFonts w:ascii="Palatino Linotype" w:eastAsiaTheme="minorHAnsi" w:hAnsi="Palatino Linotype" w:cstheme="minorBidi"/>
          <w:b/>
          <w:lang w:val="es-MX" w:eastAsia="es-MX"/>
        </w:rPr>
        <w:t>Respsol</w:t>
      </w:r>
      <w:proofErr w:type="spellEnd"/>
      <w:r w:rsidR="00341BBF" w:rsidRPr="004803A9">
        <w:rPr>
          <w:rFonts w:ascii="Palatino Linotype" w:eastAsiaTheme="minorHAnsi" w:hAnsi="Palatino Linotype" w:cstheme="minorBidi"/>
          <w:b/>
          <w:lang w:val="es-MX" w:eastAsia="es-MX"/>
        </w:rPr>
        <w:t xml:space="preserve"> 02617-2025 VP.pdf</w:t>
      </w:r>
      <w:r w:rsidRPr="004803A9">
        <w:rPr>
          <w:rFonts w:ascii="Palatino Linotype" w:eastAsiaTheme="minorHAnsi" w:hAnsi="Palatino Linotype" w:cstheme="minorBidi"/>
          <w:lang w:val="es-MX" w:eastAsia="es-MX"/>
        </w:rPr>
        <w:t>, el cual señala lo siguiente:</w:t>
      </w:r>
    </w:p>
    <w:p w14:paraId="21827308" w14:textId="77777777" w:rsidR="00901F1F" w:rsidRPr="004803A9" w:rsidRDefault="00901F1F" w:rsidP="003212CC">
      <w:pPr>
        <w:spacing w:line="360" w:lineRule="auto"/>
        <w:ind w:right="49"/>
        <w:jc w:val="both"/>
        <w:rPr>
          <w:rFonts w:ascii="Palatino Linotype" w:eastAsiaTheme="minorHAnsi" w:hAnsi="Palatino Linotype" w:cstheme="minorBidi"/>
          <w:lang w:val="es-MX" w:eastAsia="es-MX"/>
        </w:rPr>
      </w:pPr>
    </w:p>
    <w:p w14:paraId="682A5F63" w14:textId="0066414E" w:rsidR="00EF1E2B" w:rsidRPr="004803A9" w:rsidRDefault="00341BBF" w:rsidP="003212CC">
      <w:pPr>
        <w:pStyle w:val="Prrafodelista"/>
        <w:numPr>
          <w:ilvl w:val="0"/>
          <w:numId w:val="4"/>
        </w:numPr>
        <w:spacing w:line="360" w:lineRule="auto"/>
        <w:ind w:right="49"/>
        <w:jc w:val="both"/>
        <w:rPr>
          <w:rFonts w:ascii="Palatino Linotype" w:eastAsiaTheme="minorHAnsi" w:hAnsi="Palatino Linotype" w:cstheme="minorBidi"/>
          <w:b/>
          <w:lang w:val="es-MX" w:eastAsia="es-MX"/>
        </w:rPr>
      </w:pPr>
      <w:proofErr w:type="spellStart"/>
      <w:r w:rsidRPr="004803A9">
        <w:rPr>
          <w:rFonts w:ascii="Palatino Linotype" w:eastAsiaTheme="minorHAnsi" w:hAnsi="Palatino Linotype" w:cstheme="minorBidi"/>
          <w:b/>
          <w:lang w:val="es-MX" w:eastAsia="es-MX"/>
        </w:rPr>
        <w:t>Respsol</w:t>
      </w:r>
      <w:proofErr w:type="spellEnd"/>
      <w:r w:rsidRPr="004803A9">
        <w:rPr>
          <w:rFonts w:ascii="Palatino Linotype" w:eastAsiaTheme="minorHAnsi" w:hAnsi="Palatino Linotype" w:cstheme="minorBidi"/>
          <w:b/>
          <w:lang w:val="es-MX" w:eastAsia="es-MX"/>
        </w:rPr>
        <w:t xml:space="preserve"> 02617-2025 VP.pdf</w:t>
      </w:r>
      <w:r w:rsidR="00901F1F" w:rsidRPr="004803A9">
        <w:rPr>
          <w:rFonts w:ascii="Palatino Linotype" w:eastAsiaTheme="minorHAnsi" w:hAnsi="Palatino Linotype" w:cstheme="minorBidi"/>
          <w:b/>
          <w:lang w:val="es-MX" w:eastAsia="es-MX"/>
        </w:rPr>
        <w:t xml:space="preserve">: </w:t>
      </w:r>
      <w:r w:rsidR="00C03357" w:rsidRPr="004803A9">
        <w:rPr>
          <w:rFonts w:ascii="Palatino Linotype" w:eastAsiaTheme="minorHAnsi" w:hAnsi="Palatino Linotype" w:cstheme="minorBidi"/>
          <w:lang w:val="es-MX" w:eastAsia="es-MX"/>
        </w:rPr>
        <w:t>Consta del oficio 200F10300/357/2025, de fecha trece de mayo de dos mil veinticinco, signado por la Coordinadora de Administración y Finanzas del Instituto Municipal de la Mujer de Toluca, mediante el cual, medularmente refiere que, la Secretaría de las Mujeres del Estado de México, establece los mecanismos para la Operación de Recursos para la Mitigación de la Alerta de Violencia de Género contra las Mujeres por Feminicidio y Desaparición de Niñas, Adolescentes y Mujeres, la asignación presupuestal que designa al Instituto, para erradicar la Violencia de Género en cada Ejercicio Fiscal, con Financiamiento Estatal, se aplica en Proyectos Aprobados por el Comité Técnico en el caso de Toluca se aprobaron como se enuncia en una liga electrónica que se adjunta, en datos cerrados, asimismo adjunta l</w:t>
      </w:r>
      <w:r w:rsidR="00390BFC" w:rsidRPr="004803A9">
        <w:rPr>
          <w:rFonts w:ascii="Palatino Linotype" w:eastAsiaTheme="minorHAnsi" w:hAnsi="Palatino Linotype" w:cstheme="minorBidi"/>
          <w:lang w:val="es-MX" w:eastAsia="es-MX"/>
        </w:rPr>
        <w:t>a siguiente lista:</w:t>
      </w:r>
    </w:p>
    <w:p w14:paraId="3B79C7FA" w14:textId="45ECADF3" w:rsidR="00390BFC" w:rsidRPr="004803A9" w:rsidRDefault="00390BFC" w:rsidP="003212CC">
      <w:pPr>
        <w:pStyle w:val="Prrafodelista"/>
        <w:numPr>
          <w:ilvl w:val="0"/>
          <w:numId w:val="10"/>
        </w:num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Grupo Especial de Atención a Víctimas de Violencia Familiar y de Género (</w:t>
      </w:r>
      <w:proofErr w:type="spellStart"/>
      <w:r w:rsidRPr="004803A9">
        <w:rPr>
          <w:rFonts w:ascii="Palatino Linotype" w:eastAsiaTheme="minorHAnsi" w:hAnsi="Palatino Linotype" w:cstheme="minorBidi"/>
          <w:lang w:val="es-MX" w:eastAsia="es-MX"/>
        </w:rPr>
        <w:t>GEAVyG</w:t>
      </w:r>
      <w:proofErr w:type="spellEnd"/>
      <w:r w:rsidRPr="004803A9">
        <w:rPr>
          <w:rFonts w:ascii="Palatino Linotype" w:eastAsiaTheme="minorHAnsi" w:hAnsi="Palatino Linotype" w:cstheme="minorBidi"/>
          <w:lang w:val="es-MX" w:eastAsia="es-MX"/>
        </w:rPr>
        <w:t>)</w:t>
      </w:r>
    </w:p>
    <w:p w14:paraId="23DA2356" w14:textId="7B4448E2" w:rsidR="00390BFC" w:rsidRPr="004803A9" w:rsidRDefault="00390BFC" w:rsidP="003212CC">
      <w:pPr>
        <w:pStyle w:val="Prrafodelista"/>
        <w:numPr>
          <w:ilvl w:val="0"/>
          <w:numId w:val="10"/>
        </w:num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lastRenderedPageBreak/>
        <w:t>Integración de Redes Comunitarias de Mujeres por la Prevención de la Violencia.</w:t>
      </w:r>
    </w:p>
    <w:p w14:paraId="05ACF0F4" w14:textId="4ADC2022" w:rsidR="00390BFC" w:rsidRPr="004803A9" w:rsidRDefault="00390BFC" w:rsidP="003212CC">
      <w:pPr>
        <w:pStyle w:val="Prrafodelista"/>
        <w:numPr>
          <w:ilvl w:val="0"/>
          <w:numId w:val="10"/>
        </w:num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Recuperación de Espacios Públicos.</w:t>
      </w:r>
    </w:p>
    <w:p w14:paraId="79C99BEE" w14:textId="5EC02BD1" w:rsidR="00390BFC" w:rsidRPr="004803A9" w:rsidRDefault="00390BFC" w:rsidP="003212CC">
      <w:pPr>
        <w:pStyle w:val="Prrafodelista"/>
        <w:numPr>
          <w:ilvl w:val="0"/>
          <w:numId w:val="10"/>
        </w:num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Talleres en Materia de Violencia de Género y Sexualidad.</w:t>
      </w:r>
    </w:p>
    <w:p w14:paraId="0D5DE452" w14:textId="1BE7B1F2" w:rsidR="00390BFC" w:rsidRPr="004803A9" w:rsidRDefault="00390BFC" w:rsidP="003212CC">
      <w:pPr>
        <w:pStyle w:val="Prrafodelista"/>
        <w:numPr>
          <w:ilvl w:val="0"/>
          <w:numId w:val="10"/>
        </w:num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Capacitación a Servidoras y Servidores Públicos.</w:t>
      </w:r>
    </w:p>
    <w:p w14:paraId="22A25553" w14:textId="150F3EDB" w:rsidR="00390BFC" w:rsidRPr="004803A9" w:rsidRDefault="00390BFC" w:rsidP="003212CC">
      <w:pPr>
        <w:pStyle w:val="Prrafodelista"/>
        <w:numPr>
          <w:ilvl w:val="0"/>
          <w:numId w:val="10"/>
        </w:numPr>
        <w:spacing w:line="360" w:lineRule="auto"/>
        <w:ind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Empoderamiento de la Mujer.</w:t>
      </w:r>
    </w:p>
    <w:p w14:paraId="04EB07D1" w14:textId="0D8CC58F" w:rsidR="00390BFC" w:rsidRPr="004803A9" w:rsidRDefault="00390BFC" w:rsidP="003212CC">
      <w:pPr>
        <w:spacing w:line="360" w:lineRule="auto"/>
        <w:ind w:left="709" w:right="49"/>
        <w:jc w:val="both"/>
        <w:rPr>
          <w:rFonts w:ascii="Palatino Linotype" w:eastAsiaTheme="minorHAnsi" w:hAnsi="Palatino Linotype" w:cstheme="minorBidi"/>
          <w:lang w:val="es-MX" w:eastAsia="es-MX"/>
        </w:rPr>
      </w:pPr>
      <w:r w:rsidRPr="004803A9">
        <w:rPr>
          <w:rFonts w:ascii="Palatino Linotype" w:eastAsiaTheme="minorHAnsi" w:hAnsi="Palatino Linotype" w:cstheme="minorBidi"/>
          <w:lang w:val="es-MX" w:eastAsia="es-MX"/>
        </w:rPr>
        <w:t>De igual manera, refiere que respecto al ejercicio 2025, no se ha asignado presupuesto al Instituto para este rubro. Del mismo modo, se adjunta una captura de pantalla del portal al que dirige la liga electrónica referida con anterioridad.</w:t>
      </w:r>
    </w:p>
    <w:p w14:paraId="6A93DACA" w14:textId="77777777" w:rsidR="00901F1F" w:rsidRPr="004803A9" w:rsidRDefault="00901F1F" w:rsidP="003212CC">
      <w:pPr>
        <w:spacing w:line="360" w:lineRule="auto"/>
        <w:ind w:right="49"/>
        <w:jc w:val="both"/>
        <w:rPr>
          <w:rFonts w:ascii="Palatino Linotype" w:eastAsiaTheme="minorHAnsi" w:hAnsi="Palatino Linotype" w:cstheme="minorBidi"/>
          <w:lang w:val="es-MX" w:eastAsia="es-MX"/>
        </w:rPr>
      </w:pPr>
    </w:p>
    <w:p w14:paraId="453D6142" w14:textId="589017C3" w:rsidR="00901F1F" w:rsidRPr="004803A9" w:rsidRDefault="00901F1F" w:rsidP="003212CC">
      <w:pPr>
        <w:spacing w:line="360" w:lineRule="auto"/>
        <w:ind w:right="141"/>
        <w:jc w:val="both"/>
        <w:rPr>
          <w:rFonts w:ascii="Palatino Linotype" w:eastAsiaTheme="minorHAnsi" w:hAnsi="Palatino Linotype" w:cs="Arial"/>
          <w:bCs/>
          <w:i/>
          <w:lang w:val="es-MX" w:eastAsia="en-US"/>
        </w:rPr>
      </w:pPr>
      <w:r w:rsidRPr="004803A9">
        <w:rPr>
          <w:rFonts w:ascii="Palatino Linotype" w:eastAsiaTheme="minorHAnsi" w:hAnsi="Palatino Linotype" w:cs="Arial"/>
          <w:bCs/>
          <w:lang w:val="es-MX" w:eastAsia="en-US"/>
        </w:rPr>
        <w:t xml:space="preserve">Es así que derivado de la respuesta emitida por parte del </w:t>
      </w:r>
      <w:r w:rsidRPr="004803A9">
        <w:rPr>
          <w:rFonts w:ascii="Palatino Linotype" w:eastAsiaTheme="minorHAnsi" w:hAnsi="Palatino Linotype" w:cs="Arial"/>
          <w:b/>
          <w:bCs/>
          <w:lang w:val="es-MX" w:eastAsia="en-US"/>
        </w:rPr>
        <w:t>Sujeto Obligado</w:t>
      </w:r>
      <w:r w:rsidRPr="004803A9">
        <w:rPr>
          <w:rFonts w:ascii="Palatino Linotype" w:eastAsiaTheme="minorHAnsi" w:hAnsi="Palatino Linotype" w:cs="Arial"/>
          <w:bCs/>
          <w:lang w:val="es-MX" w:eastAsia="en-US"/>
        </w:rPr>
        <w:t xml:space="preserve">, la parte </w:t>
      </w:r>
      <w:r w:rsidRPr="004803A9">
        <w:rPr>
          <w:rFonts w:ascii="Palatino Linotype" w:eastAsiaTheme="minorHAnsi" w:hAnsi="Palatino Linotype" w:cs="Arial"/>
          <w:b/>
          <w:bCs/>
          <w:lang w:val="es-MX" w:eastAsia="en-US"/>
        </w:rPr>
        <w:t>Recurrente</w:t>
      </w:r>
      <w:r w:rsidRPr="004803A9">
        <w:rPr>
          <w:rFonts w:ascii="Palatino Linotype" w:eastAsiaTheme="minorHAnsi" w:hAnsi="Palatino Linotype" w:cs="Arial"/>
          <w:bCs/>
          <w:lang w:val="es-MX" w:eastAsia="en-US"/>
        </w:rPr>
        <w:t xml:space="preserve">, interpuso el presente recurso de revisión, señalando sustancialmente en sus </w:t>
      </w:r>
      <w:r w:rsidRPr="004803A9">
        <w:rPr>
          <w:rFonts w:ascii="Palatino Linotype" w:eastAsiaTheme="minorHAnsi" w:hAnsi="Palatino Linotype" w:cs="Arial"/>
          <w:b/>
          <w:bCs/>
          <w:lang w:val="es-MX" w:eastAsia="en-US"/>
        </w:rPr>
        <w:t>razones o motivos de la inconformidad</w:t>
      </w:r>
      <w:r w:rsidRPr="004803A9">
        <w:rPr>
          <w:rFonts w:ascii="Palatino Linotype" w:eastAsiaTheme="minorHAnsi" w:hAnsi="Palatino Linotype" w:cs="Arial"/>
          <w:bCs/>
          <w:lang w:val="es-MX" w:eastAsia="en-US"/>
        </w:rPr>
        <w:t xml:space="preserve">, lo siguiente: </w:t>
      </w:r>
      <w:r w:rsidRPr="004803A9">
        <w:rPr>
          <w:rFonts w:ascii="Palatino Linotype" w:eastAsiaTheme="minorHAnsi" w:hAnsi="Palatino Linotype" w:cs="Arial"/>
          <w:bCs/>
          <w:i/>
          <w:lang w:val="es-MX" w:eastAsia="en-US"/>
        </w:rPr>
        <w:t>“</w:t>
      </w:r>
      <w:r w:rsidR="00390BFC" w:rsidRPr="004803A9">
        <w:rPr>
          <w:rFonts w:ascii="Palatino Linotype" w:eastAsiaTheme="minorHAnsi" w:hAnsi="Palatino Linotype" w:cs="Arial"/>
          <w:bCs/>
          <w:i/>
          <w:lang w:eastAsia="en-US"/>
        </w:rPr>
        <w:t>LA ENTREGA DE LA INFROMACIÓN NO ENTREGA TODO LO SOLCIITADO Y LO QUE ENTREGA NO CORRESPONDE</w:t>
      </w:r>
      <w:r w:rsidRPr="004803A9">
        <w:rPr>
          <w:rFonts w:ascii="Palatino Linotype" w:eastAsiaTheme="minorHAnsi" w:hAnsi="Palatino Linotype" w:cs="Arial"/>
          <w:bCs/>
          <w:i/>
          <w:lang w:val="es-MX" w:eastAsia="en-US"/>
        </w:rPr>
        <w:t>” (Sic).</w:t>
      </w:r>
    </w:p>
    <w:p w14:paraId="5EC8EDB4" w14:textId="77777777" w:rsidR="00901F1F" w:rsidRPr="004803A9" w:rsidRDefault="00901F1F" w:rsidP="003212CC">
      <w:pPr>
        <w:spacing w:line="360" w:lineRule="auto"/>
        <w:ind w:right="141"/>
        <w:jc w:val="both"/>
        <w:rPr>
          <w:rFonts w:ascii="Palatino Linotype" w:eastAsiaTheme="minorHAnsi" w:hAnsi="Palatino Linotype" w:cs="Arial"/>
          <w:bCs/>
          <w:i/>
          <w:lang w:val="es-MX" w:eastAsia="en-US"/>
        </w:rPr>
      </w:pPr>
    </w:p>
    <w:p w14:paraId="5D53EC3A" w14:textId="38FCD08A" w:rsidR="00901F1F" w:rsidRPr="004803A9" w:rsidRDefault="00901F1F" w:rsidP="003212CC">
      <w:pPr>
        <w:spacing w:line="360" w:lineRule="auto"/>
        <w:ind w:right="141"/>
        <w:jc w:val="both"/>
        <w:rPr>
          <w:rFonts w:ascii="Palatino Linotype" w:eastAsiaTheme="minorHAnsi" w:hAnsi="Palatino Linotype" w:cs="Arial"/>
          <w:bCs/>
          <w:lang w:val="es-MX" w:eastAsia="en-US"/>
        </w:rPr>
      </w:pPr>
      <w:r w:rsidRPr="004803A9">
        <w:rPr>
          <w:rFonts w:ascii="Palatino Linotype" w:eastAsiaTheme="minorHAnsi" w:hAnsi="Palatino Linotype" w:cs="Arial"/>
          <w:bCs/>
          <w:lang w:val="es-MX" w:eastAsia="en-US"/>
        </w:rPr>
        <w:t xml:space="preserve">Por lo que, en la etapa de manifestaciones el </w:t>
      </w:r>
      <w:r w:rsidRPr="004803A9">
        <w:rPr>
          <w:rFonts w:ascii="Palatino Linotype" w:eastAsiaTheme="minorHAnsi" w:hAnsi="Palatino Linotype" w:cs="Arial"/>
          <w:b/>
          <w:bCs/>
          <w:lang w:val="es-MX" w:eastAsia="en-US"/>
        </w:rPr>
        <w:t>Sujeto Obligado</w:t>
      </w:r>
      <w:r w:rsidRPr="004803A9">
        <w:rPr>
          <w:rFonts w:ascii="Palatino Linotype" w:eastAsiaTheme="minorHAnsi" w:hAnsi="Palatino Linotype" w:cs="Arial"/>
          <w:bCs/>
          <w:lang w:val="es-MX" w:eastAsia="en-US"/>
        </w:rPr>
        <w:t xml:space="preserve"> a través del documento electrónico denominado “</w:t>
      </w:r>
      <w:r w:rsidR="00390BFC" w:rsidRPr="004803A9">
        <w:rPr>
          <w:rFonts w:ascii="Palatino Linotype" w:eastAsiaTheme="minorHAnsi" w:hAnsi="Palatino Linotype" w:cs="Arial"/>
          <w:b/>
          <w:bCs/>
          <w:lang w:val="es-MX" w:eastAsia="en-US"/>
        </w:rPr>
        <w:t>Ratificación 05975.pdf</w:t>
      </w:r>
      <w:r w:rsidRPr="004803A9">
        <w:rPr>
          <w:rFonts w:ascii="Palatino Linotype" w:eastAsiaTheme="minorHAnsi" w:hAnsi="Palatino Linotype" w:cs="Arial"/>
          <w:b/>
          <w:bCs/>
          <w:lang w:val="es-MX" w:eastAsia="en-US"/>
        </w:rPr>
        <w:t>”</w:t>
      </w:r>
      <w:r w:rsidRPr="004803A9">
        <w:rPr>
          <w:rFonts w:ascii="Palatino Linotype" w:eastAsiaTheme="minorHAnsi" w:hAnsi="Palatino Linotype" w:cs="Arial"/>
          <w:bCs/>
          <w:lang w:val="es-MX" w:eastAsia="en-US"/>
        </w:rPr>
        <w:t>, el cual señala lo siguiente:</w:t>
      </w:r>
    </w:p>
    <w:p w14:paraId="779A651A" w14:textId="77777777" w:rsidR="00901F1F" w:rsidRPr="004803A9" w:rsidRDefault="00901F1F" w:rsidP="003212CC">
      <w:pPr>
        <w:spacing w:line="360" w:lineRule="auto"/>
        <w:ind w:right="141"/>
        <w:jc w:val="both"/>
        <w:rPr>
          <w:rFonts w:ascii="Palatino Linotype" w:eastAsiaTheme="minorHAnsi" w:hAnsi="Palatino Linotype" w:cs="Arial"/>
          <w:bCs/>
          <w:lang w:val="es-MX" w:eastAsia="en-US"/>
        </w:rPr>
      </w:pPr>
    </w:p>
    <w:p w14:paraId="6DE3FFD6" w14:textId="42AD7D37" w:rsidR="00EF1E2B" w:rsidRPr="004803A9" w:rsidRDefault="00390BFC" w:rsidP="003212CC">
      <w:pPr>
        <w:pStyle w:val="Prrafodelista"/>
        <w:numPr>
          <w:ilvl w:val="0"/>
          <w:numId w:val="4"/>
        </w:numPr>
        <w:spacing w:line="360" w:lineRule="auto"/>
        <w:ind w:right="141"/>
        <w:jc w:val="both"/>
        <w:rPr>
          <w:rFonts w:ascii="Palatino Linotype" w:eastAsiaTheme="minorHAnsi" w:hAnsi="Palatino Linotype" w:cs="Arial"/>
          <w:b/>
          <w:bCs/>
          <w:lang w:val="es-MX" w:eastAsia="en-US"/>
        </w:rPr>
      </w:pPr>
      <w:r w:rsidRPr="004803A9">
        <w:rPr>
          <w:rFonts w:ascii="Palatino Linotype" w:eastAsiaTheme="minorHAnsi" w:hAnsi="Palatino Linotype" w:cs="Arial"/>
          <w:b/>
          <w:bCs/>
          <w:lang w:val="es-MX" w:eastAsia="en-US"/>
        </w:rPr>
        <w:t>Ratificación 05975.pdf</w:t>
      </w:r>
      <w:r w:rsidR="00901F1F" w:rsidRPr="004803A9">
        <w:rPr>
          <w:rFonts w:ascii="Palatino Linotype" w:eastAsiaTheme="minorHAnsi" w:hAnsi="Palatino Linotype" w:cs="Arial"/>
          <w:b/>
          <w:bCs/>
          <w:lang w:val="es-MX" w:eastAsia="en-US"/>
        </w:rPr>
        <w:t xml:space="preserve">: </w:t>
      </w:r>
      <w:r w:rsidR="006C5673" w:rsidRPr="004803A9">
        <w:rPr>
          <w:rFonts w:ascii="Palatino Linotype" w:eastAsiaTheme="minorHAnsi" w:hAnsi="Palatino Linotype" w:cs="Arial"/>
          <w:bCs/>
          <w:lang w:val="es-MX" w:eastAsia="en-US"/>
        </w:rPr>
        <w:t>Contiene un documento emitido por el Titular de la Unidad de Transparencia, mediante el cual, medularmente refiere que se ratifica la respuesta emitida por el Instituto Municipal de la Mujer de Toluca, del 22 de mayo de 2025 a la solicitud de información</w:t>
      </w:r>
      <w:r w:rsidR="00901F1F" w:rsidRPr="004803A9">
        <w:rPr>
          <w:rFonts w:ascii="Palatino Linotype" w:eastAsiaTheme="minorHAnsi" w:hAnsi="Palatino Linotype" w:cs="Arial"/>
          <w:bCs/>
          <w:lang w:val="es-MX" w:eastAsia="en-US"/>
        </w:rPr>
        <w:t>.</w:t>
      </w:r>
    </w:p>
    <w:p w14:paraId="454ABAE3" w14:textId="77777777" w:rsidR="00EF1E2B" w:rsidRPr="004803A9" w:rsidRDefault="00EF1E2B" w:rsidP="003212CC">
      <w:pPr>
        <w:spacing w:line="360" w:lineRule="auto"/>
        <w:ind w:right="141"/>
        <w:jc w:val="both"/>
        <w:rPr>
          <w:rFonts w:ascii="Palatino Linotype" w:eastAsiaTheme="minorHAnsi" w:hAnsi="Palatino Linotype" w:cs="Arial"/>
          <w:bCs/>
          <w:lang w:val="es-MX" w:eastAsia="en-US"/>
        </w:rPr>
      </w:pPr>
    </w:p>
    <w:p w14:paraId="470A5B17" w14:textId="521805FE" w:rsidR="00EF1E2B" w:rsidRPr="004803A9" w:rsidRDefault="00EF1E2B" w:rsidP="003212CC">
      <w:pPr>
        <w:spacing w:line="360" w:lineRule="auto"/>
        <w:jc w:val="both"/>
        <w:rPr>
          <w:rFonts w:ascii="Palatino Linotype" w:eastAsia="Palatino Linotype" w:hAnsi="Palatino Linotype" w:cs="Palatino Linotype"/>
        </w:rPr>
      </w:pPr>
      <w:r w:rsidRPr="004803A9">
        <w:rPr>
          <w:rFonts w:ascii="Palatino Linotype" w:eastAsia="Palatino Linotype" w:hAnsi="Palatino Linotype" w:cs="Palatino Linotype"/>
        </w:rPr>
        <w:lastRenderedPageBreak/>
        <w:t xml:space="preserve">De lo con anterioridad, podemos advertir que, </w:t>
      </w:r>
      <w:r w:rsidRPr="004803A9">
        <w:rPr>
          <w:rFonts w:ascii="Palatino Linotype" w:eastAsia="Palatino Linotype" w:hAnsi="Palatino Linotype" w:cs="Palatino Linotype"/>
          <w:b/>
          <w:bCs/>
        </w:rPr>
        <w:t>El Sujeto Obligado</w:t>
      </w:r>
      <w:r w:rsidRPr="004803A9">
        <w:rPr>
          <w:rFonts w:ascii="Palatino Linotype" w:eastAsia="Palatino Linotype" w:hAnsi="Palatino Linotype" w:cs="Palatino Linotype"/>
        </w:rPr>
        <w:t xml:space="preserve"> remitió una liga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4803A9">
        <w:rPr>
          <w:rFonts w:ascii="Palatino Linotype" w:eastAsia="Palatino Linotype" w:hAnsi="Palatino Linotype" w:cs="Palatino Linotype"/>
          <w:b/>
          <w:bCs/>
        </w:rPr>
        <w:t>Sujeto Obligado</w:t>
      </w:r>
      <w:r w:rsidRPr="004803A9">
        <w:rPr>
          <w:rFonts w:ascii="Palatino Linotype" w:eastAsia="Palatino Linotype" w:hAnsi="Palatino Linotype" w:cs="Palatino Linotype"/>
        </w:rPr>
        <w:t xml:space="preserve"> que, cuando realice la entrega de la información a través de links o enlaces electrónicos, estos permitan el acceso directo y no en formato cerrado, que permita al usuario a cometer un error humano en la misma digitación de la información.</w:t>
      </w:r>
    </w:p>
    <w:p w14:paraId="73554D2E" w14:textId="77777777" w:rsidR="00EF1E2B" w:rsidRPr="004803A9" w:rsidRDefault="00EF1E2B" w:rsidP="003212CC">
      <w:pPr>
        <w:spacing w:line="360" w:lineRule="auto"/>
        <w:jc w:val="both"/>
        <w:rPr>
          <w:rFonts w:ascii="Palatino Linotype" w:eastAsia="Palatino Linotype" w:hAnsi="Palatino Linotype" w:cs="Palatino Linotype"/>
        </w:rPr>
      </w:pPr>
    </w:p>
    <w:p w14:paraId="2A7ED706" w14:textId="77777777" w:rsidR="00EF1E2B" w:rsidRPr="004803A9" w:rsidRDefault="00EF1E2B" w:rsidP="003212CC">
      <w:pPr>
        <w:spacing w:line="360" w:lineRule="auto"/>
        <w:jc w:val="both"/>
        <w:rPr>
          <w:rFonts w:ascii="Palatino Linotype" w:hAnsi="Palatino Linotype" w:cs="Tahoma"/>
          <w:b/>
          <w:bCs/>
          <w:i/>
        </w:rPr>
      </w:pPr>
      <w:r w:rsidRPr="004803A9">
        <w:rPr>
          <w:rFonts w:ascii="Palatino Linotype" w:hAnsi="Palatino Linotype"/>
        </w:rPr>
        <w:t xml:space="preserve">Asimismo, se debe establecer que al proporcionar información pública es indispensable que sea en un formato que no tenga ninguna restricción en el acceso o reutilización, por lo que, es necesario que los datos digitales (como ligas electrónicas), se proporcionen en un formato abierto. </w:t>
      </w:r>
      <w:r w:rsidRPr="004803A9">
        <w:rPr>
          <w:rFonts w:ascii="Palatino Linotype" w:hAnsi="Palatino Linotype" w:cs="Tahoma"/>
          <w:bCs/>
        </w:rPr>
        <w:t xml:space="preserve">Derivado de lo anterior, se considera necesario precisar que datos abiertos, conforme a la Carta Internacional de Datos Abiertos </w:t>
      </w:r>
      <w:r w:rsidRPr="004803A9">
        <w:rPr>
          <w:rFonts w:ascii="Palatino Linotype" w:hAnsi="Palatino Linotype" w:cs="Tahoma"/>
          <w:bCs/>
          <w:i/>
        </w:rPr>
        <w:t xml:space="preserve">son datos digitales que son puestos a disposición con las características técnicas y jurídicas necesarias para que </w:t>
      </w:r>
      <w:r w:rsidRPr="004803A9">
        <w:rPr>
          <w:rFonts w:ascii="Palatino Linotype" w:hAnsi="Palatino Linotype" w:cs="Tahoma"/>
          <w:b/>
          <w:bCs/>
          <w:i/>
        </w:rPr>
        <w:t xml:space="preserve">puedan ser </w:t>
      </w:r>
      <w:r w:rsidRPr="004803A9">
        <w:rPr>
          <w:rFonts w:ascii="Palatino Linotype" w:hAnsi="Palatino Linotype" w:cs="Tahoma"/>
          <w:b/>
          <w:bCs/>
          <w:i/>
          <w:u w:val="single"/>
        </w:rPr>
        <w:t>usados, reutilizados y redistribuidos</w:t>
      </w:r>
      <w:r w:rsidRPr="004803A9">
        <w:rPr>
          <w:rFonts w:ascii="Palatino Linotype" w:hAnsi="Palatino Linotype" w:cs="Tahoma"/>
          <w:b/>
          <w:bCs/>
          <w:i/>
        </w:rPr>
        <w:t xml:space="preserve"> libremente por cualquier persona, en cualquier momento y en cualquier lugar.</w:t>
      </w:r>
    </w:p>
    <w:p w14:paraId="5F0BB7A7" w14:textId="77777777" w:rsidR="00EF1E2B" w:rsidRPr="004803A9" w:rsidRDefault="00EF1E2B" w:rsidP="003212CC">
      <w:pPr>
        <w:spacing w:line="360" w:lineRule="auto"/>
        <w:jc w:val="both"/>
        <w:rPr>
          <w:rFonts w:ascii="Palatino Linotype" w:hAnsi="Palatino Linotype"/>
        </w:rPr>
      </w:pPr>
    </w:p>
    <w:p w14:paraId="5F915D87" w14:textId="77777777" w:rsidR="00EF1E2B" w:rsidRPr="004803A9" w:rsidRDefault="00EF1E2B" w:rsidP="003212CC">
      <w:pPr>
        <w:spacing w:line="360" w:lineRule="auto"/>
        <w:jc w:val="both"/>
        <w:rPr>
          <w:rFonts w:ascii="Palatino Linotype" w:hAnsi="Palatino Linotype"/>
        </w:rPr>
      </w:pPr>
      <w:r w:rsidRPr="004803A9">
        <w:rPr>
          <w:rFonts w:ascii="Palatino Linotype" w:hAnsi="Palatino Linotype"/>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6BDF868" w14:textId="77777777" w:rsidR="00EF1E2B" w:rsidRPr="004803A9" w:rsidRDefault="00EF1E2B" w:rsidP="003212CC">
      <w:pPr>
        <w:spacing w:line="360" w:lineRule="auto"/>
        <w:jc w:val="both"/>
        <w:rPr>
          <w:rFonts w:ascii="Palatino Linotype" w:hAnsi="Palatino Linotype"/>
        </w:rPr>
      </w:pPr>
    </w:p>
    <w:p w14:paraId="20EF8AFF" w14:textId="77777777" w:rsidR="00EF1E2B" w:rsidRPr="004803A9" w:rsidRDefault="00EF1E2B" w:rsidP="003212CC">
      <w:pPr>
        <w:spacing w:line="360" w:lineRule="auto"/>
        <w:ind w:left="851" w:right="851"/>
        <w:jc w:val="both"/>
        <w:rPr>
          <w:rFonts w:ascii="Palatino Linotype" w:hAnsi="Palatino Linotype"/>
          <w:i/>
        </w:rPr>
      </w:pPr>
      <w:r w:rsidRPr="004803A9">
        <w:rPr>
          <w:rFonts w:ascii="Palatino Linotype" w:hAnsi="Palatino Linotype"/>
        </w:rPr>
        <w:t xml:space="preserve">·         </w:t>
      </w:r>
      <w:r w:rsidRPr="004803A9">
        <w:rPr>
          <w:rFonts w:ascii="Palatino Linotype" w:hAnsi="Palatino Linotype"/>
          <w:b/>
          <w:bCs/>
          <w:i/>
        </w:rPr>
        <w:t xml:space="preserve">Dato abierto: </w:t>
      </w:r>
      <w:r w:rsidRPr="004803A9">
        <w:rPr>
          <w:rFonts w:ascii="Palatino Linotype" w:hAnsi="Palatino Linotype"/>
          <w:i/>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0B40A9E" w14:textId="77777777" w:rsidR="00EF1E2B" w:rsidRPr="004803A9" w:rsidRDefault="00EF1E2B" w:rsidP="003212CC">
      <w:pPr>
        <w:spacing w:line="360" w:lineRule="auto"/>
        <w:ind w:left="851" w:right="851"/>
        <w:jc w:val="both"/>
        <w:rPr>
          <w:rFonts w:ascii="Palatino Linotype" w:hAnsi="Palatino Linotype"/>
          <w:i/>
        </w:rPr>
      </w:pPr>
    </w:p>
    <w:p w14:paraId="360808CB" w14:textId="77777777" w:rsidR="00EF1E2B" w:rsidRPr="004803A9" w:rsidRDefault="00EF1E2B" w:rsidP="003212CC">
      <w:pPr>
        <w:spacing w:line="360" w:lineRule="auto"/>
        <w:ind w:left="851" w:right="851"/>
        <w:jc w:val="both"/>
        <w:rPr>
          <w:rFonts w:ascii="Palatino Linotype" w:hAnsi="Palatino Linotype"/>
          <w:i/>
        </w:rPr>
      </w:pPr>
      <w:r w:rsidRPr="004803A9">
        <w:rPr>
          <w:rFonts w:ascii="Palatino Linotype" w:hAnsi="Palatino Linotype"/>
          <w:i/>
        </w:rPr>
        <w:t xml:space="preserve">·         </w:t>
      </w:r>
      <w:r w:rsidRPr="004803A9">
        <w:rPr>
          <w:rFonts w:ascii="Palatino Linotype" w:hAnsi="Palatino Linotype"/>
          <w:b/>
          <w:bCs/>
          <w:i/>
        </w:rPr>
        <w:t xml:space="preserve">Formato accesible: </w:t>
      </w:r>
      <w:r w:rsidRPr="004803A9">
        <w:rPr>
          <w:rFonts w:ascii="Palatino Linotype" w:hAnsi="Palatino Linotype"/>
          <w:i/>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D4632D4" w14:textId="77777777" w:rsidR="00EF1E2B" w:rsidRPr="004803A9" w:rsidRDefault="00EF1E2B" w:rsidP="003212CC">
      <w:pPr>
        <w:spacing w:line="360" w:lineRule="auto"/>
        <w:ind w:left="851" w:right="851"/>
        <w:jc w:val="both"/>
        <w:rPr>
          <w:rFonts w:ascii="Palatino Linotype" w:hAnsi="Palatino Linotype"/>
          <w:i/>
        </w:rPr>
      </w:pPr>
    </w:p>
    <w:p w14:paraId="3918DC1D" w14:textId="77777777" w:rsidR="00EF1E2B" w:rsidRPr="004803A9" w:rsidRDefault="00EF1E2B" w:rsidP="003212CC">
      <w:pPr>
        <w:autoSpaceDE w:val="0"/>
        <w:autoSpaceDN w:val="0"/>
        <w:adjustRightInd w:val="0"/>
        <w:spacing w:line="360" w:lineRule="auto"/>
        <w:jc w:val="both"/>
        <w:rPr>
          <w:rFonts w:ascii="Palatino Linotype" w:hAnsi="Palatino Linotype" w:cs="Tahoma"/>
          <w:bCs/>
        </w:rPr>
      </w:pPr>
      <w:r w:rsidRPr="004803A9">
        <w:rPr>
          <w:rFonts w:ascii="Palatino Linotype" w:hAnsi="Palatino Linotype" w:cs="Tahoma"/>
          <w:bCs/>
        </w:rPr>
        <w:t xml:space="preserve">En este sentido, los datos abiertos cumplen con la finalidad de poder ser utilizados, </w:t>
      </w:r>
      <w:r w:rsidRPr="004803A9">
        <w:rPr>
          <w:rFonts w:ascii="Palatino Linotype" w:hAnsi="Palatino Linotype" w:cs="Tahoma"/>
          <w:b/>
          <w:bCs/>
          <w:u w:val="single"/>
        </w:rPr>
        <w:t xml:space="preserve">reutilizados </w:t>
      </w:r>
      <w:r w:rsidRPr="004803A9">
        <w:rPr>
          <w:rFonts w:ascii="Palatino Linotype" w:hAnsi="Palatino Linotype" w:cs="Tahoma"/>
          <w:bCs/>
        </w:rPr>
        <w:t xml:space="preserve">y redistribuidos; y que el formato de datos abiertos, </w:t>
      </w:r>
      <w:r w:rsidRPr="004803A9">
        <w:rPr>
          <w:rFonts w:ascii="Palatino Linotype" w:hAnsi="Palatino Linotype" w:cs="Tahoma"/>
          <w:b/>
          <w:bCs/>
        </w:rPr>
        <w:t>debe permitir la aplicación y reproducción</w:t>
      </w:r>
      <w:r w:rsidRPr="004803A9">
        <w:rPr>
          <w:rFonts w:ascii="Palatino Linotype" w:hAnsi="Palatino Linotype"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4803A9">
        <w:rPr>
          <w:rFonts w:ascii="Palatino Linotype" w:hAnsi="Palatino Linotype" w:cs="Tahoma"/>
          <w:bCs/>
        </w:rPr>
        <w:t>pdf</w:t>
      </w:r>
      <w:proofErr w:type="spellEnd"/>
      <w:r w:rsidRPr="004803A9">
        <w:rPr>
          <w:rFonts w:ascii="Palatino Linotype" w:hAnsi="Palatino Linotype" w:cs="Tahoma"/>
          <w:bCs/>
        </w:rPr>
        <w:t>, no permite seleccionar texto, copiarlo y pegarlo; por tanto, tampoco permite que la información pueda ser utilizada, reutilizada o redistribuida.</w:t>
      </w:r>
    </w:p>
    <w:p w14:paraId="14A98970" w14:textId="77777777" w:rsidR="00EF1E2B" w:rsidRPr="004803A9" w:rsidRDefault="00EF1E2B" w:rsidP="003212CC">
      <w:pPr>
        <w:spacing w:line="360" w:lineRule="auto"/>
        <w:ind w:right="141"/>
        <w:jc w:val="both"/>
        <w:rPr>
          <w:rFonts w:ascii="Palatino Linotype" w:eastAsiaTheme="minorHAnsi" w:hAnsi="Palatino Linotype" w:cs="Arial"/>
          <w:bCs/>
          <w:lang w:val="es-MX" w:eastAsia="en-US"/>
        </w:rPr>
      </w:pPr>
    </w:p>
    <w:p w14:paraId="42C6C7D0" w14:textId="77777777" w:rsidR="00901F1F" w:rsidRPr="004803A9" w:rsidRDefault="00901F1F" w:rsidP="003212CC">
      <w:pPr>
        <w:spacing w:line="360" w:lineRule="auto"/>
        <w:ind w:right="141"/>
        <w:jc w:val="both"/>
        <w:rPr>
          <w:rFonts w:ascii="Palatino Linotype" w:eastAsiaTheme="minorHAnsi" w:hAnsi="Palatino Linotype" w:cs="Arial"/>
          <w:bCs/>
          <w:lang w:val="es-MX" w:eastAsia="en-US"/>
        </w:rPr>
      </w:pPr>
      <w:r w:rsidRPr="004803A9">
        <w:rPr>
          <w:rFonts w:ascii="Palatino Linotype" w:eastAsiaTheme="minorHAnsi" w:hAnsi="Palatino Linotype" w:cs="Arial"/>
          <w:bCs/>
          <w:lang w:val="es-MX" w:eastAsia="en-US"/>
        </w:rPr>
        <w:t>La obligación de proporcionar información no comprende el procesamiento de la misma, ni el presentarla con forme al interés del solicitante; no estarán obligados a generarla, resumirla, efectuar cálculos o practicar investigaciones.</w:t>
      </w:r>
    </w:p>
    <w:p w14:paraId="5EEC4563" w14:textId="77777777" w:rsidR="00901F1F" w:rsidRPr="004803A9" w:rsidRDefault="00901F1F" w:rsidP="003212CC">
      <w:pPr>
        <w:spacing w:line="360" w:lineRule="auto"/>
        <w:ind w:right="141"/>
        <w:jc w:val="both"/>
        <w:rPr>
          <w:rFonts w:ascii="Palatino Linotype" w:eastAsiaTheme="minorHAnsi" w:hAnsi="Palatino Linotype" w:cs="Arial"/>
          <w:bCs/>
          <w:lang w:val="es-MX" w:eastAsia="en-US"/>
        </w:rPr>
      </w:pPr>
    </w:p>
    <w:p w14:paraId="292EC41A"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r w:rsidRPr="004803A9">
        <w:rPr>
          <w:rFonts w:ascii="Palatino Linotype" w:eastAsiaTheme="minorHAnsi" w:hAnsi="Palatino Linotype" w:cs="Arial"/>
          <w:lang w:val="es-ES_tradnl" w:eastAsia="en-US"/>
        </w:rPr>
        <w:lastRenderedPageBreak/>
        <w:t xml:space="preserve">Por lo que, es de </w:t>
      </w:r>
      <w:r w:rsidRPr="004803A9">
        <w:rPr>
          <w:rFonts w:ascii="Palatino Linotype" w:eastAsiaTheme="minorHAnsi" w:hAnsi="Palatino Linotype" w:cs="Arial"/>
          <w:lang w:val="es-MX" w:eastAsia="en-US"/>
        </w:rPr>
        <w:t>señalar que el artículo 4, párrafo segundo de la Ley de Transparencia y Acceso a la Información Pública del Estado de México y Municipios, dispone:</w:t>
      </w:r>
    </w:p>
    <w:p w14:paraId="0225EAD2" w14:textId="77777777" w:rsidR="00901F1F" w:rsidRPr="004803A9" w:rsidRDefault="00901F1F" w:rsidP="003212CC">
      <w:pPr>
        <w:spacing w:line="360" w:lineRule="auto"/>
        <w:rPr>
          <w:rFonts w:ascii="Palatino Linotype" w:eastAsiaTheme="minorHAnsi" w:hAnsi="Palatino Linotype" w:cstheme="minorBidi"/>
          <w:lang w:val="es-MX" w:eastAsia="en-US"/>
        </w:rPr>
      </w:pPr>
    </w:p>
    <w:p w14:paraId="03AE37CF"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t>“</w:t>
      </w:r>
      <w:r w:rsidRPr="004803A9">
        <w:rPr>
          <w:rFonts w:ascii="Palatino Linotype" w:eastAsiaTheme="minorHAnsi" w:hAnsi="Palatino Linotype" w:cs="Arial"/>
          <w:b/>
          <w:i/>
          <w:lang w:val="es-MX" w:eastAsia="en-US"/>
        </w:rPr>
        <w:t xml:space="preserve">Artículo 4. </w:t>
      </w:r>
      <w:r w:rsidRPr="004803A9">
        <w:rPr>
          <w:rFonts w:ascii="Palatino Linotype" w:eastAsiaTheme="minorHAnsi" w:hAnsi="Palatino Linotype" w:cs="Arial"/>
          <w:i/>
          <w:lang w:val="es-MX" w:eastAsia="en-US"/>
        </w:rPr>
        <w:t xml:space="preserve">… </w:t>
      </w:r>
    </w:p>
    <w:p w14:paraId="4D9FB88C"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77B41C"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ES_tradnl" w:eastAsia="en-US"/>
        </w:rPr>
      </w:pPr>
    </w:p>
    <w:p w14:paraId="224557E3"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ES_tradnl" w:eastAsia="en-US"/>
        </w:rPr>
      </w:pPr>
      <w:r w:rsidRPr="004803A9">
        <w:rPr>
          <w:rFonts w:ascii="Palatino Linotype" w:eastAsiaTheme="minorHAnsi" w:hAnsi="Palatino Linotype" w:cs="Arial"/>
          <w:lang w:val="es-ES_tradnl" w:eastAsia="en-U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9495E67"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p>
    <w:p w14:paraId="6EB7856F"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186E25F" w14:textId="77777777" w:rsidR="00901F1F" w:rsidRPr="004803A9" w:rsidRDefault="00901F1F" w:rsidP="003212CC">
      <w:pPr>
        <w:pStyle w:val="Sinespaciado"/>
        <w:spacing w:line="360" w:lineRule="auto"/>
        <w:rPr>
          <w:rFonts w:ascii="Palatino Linotype" w:eastAsiaTheme="minorHAnsi" w:hAnsi="Palatino Linotype"/>
          <w:lang w:eastAsia="en-US"/>
        </w:rPr>
      </w:pPr>
    </w:p>
    <w:p w14:paraId="7EA7117A"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lastRenderedPageBreak/>
        <w:t>“</w:t>
      </w:r>
      <w:r w:rsidRPr="004803A9">
        <w:rPr>
          <w:rFonts w:ascii="Palatino Linotype" w:eastAsiaTheme="minorHAnsi" w:hAnsi="Palatino Linotype" w:cs="Arial"/>
          <w:b/>
          <w:i/>
          <w:lang w:val="es-MX" w:eastAsia="en-US"/>
        </w:rPr>
        <w:t>Artículo 12.</w:t>
      </w:r>
      <w:r w:rsidRPr="004803A9">
        <w:rPr>
          <w:rFonts w:ascii="Palatino Linotype" w:eastAsiaTheme="minorHAnsi" w:hAnsi="Palatino Linotype" w:cs="Arial"/>
          <w:i/>
          <w:lang w:val="es-MX" w:eastAsia="en-US"/>
        </w:rPr>
        <w:t xml:space="preserve"> Quienes generen, recopilen, administren, manejen, procesen, archiven o conserven información pública serán responsables de la misma en los términos de las disposiciones jurídicas aplicables. </w:t>
      </w:r>
    </w:p>
    <w:p w14:paraId="6A5673A6"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19F8ABD"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p>
    <w:p w14:paraId="309A2990"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53935EE"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p>
    <w:p w14:paraId="1ED6C347" w14:textId="77777777" w:rsidR="00901F1F" w:rsidRPr="004803A9" w:rsidRDefault="00901F1F" w:rsidP="003212CC">
      <w:pPr>
        <w:tabs>
          <w:tab w:val="left" w:pos="709"/>
        </w:tabs>
        <w:spacing w:line="360" w:lineRule="auto"/>
        <w:contextualSpacing/>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 xml:space="preserve">En esta misma tesitura, el derecho de acceso a la información pública, consiste en que la información solicitada conste en un soporte documental en cualquiera de sus formas, a saber: </w:t>
      </w:r>
      <w:r w:rsidRPr="004803A9">
        <w:rPr>
          <w:rFonts w:ascii="Palatino Linotype" w:eastAsiaTheme="minorHAnsi" w:hAnsi="Palatino Linotype" w:cs="Arial"/>
          <w:b/>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4803A9">
        <w:rPr>
          <w:rFonts w:ascii="Palatino Linotype" w:eastAsiaTheme="minorHAnsi" w:hAnsi="Palatino Linotype" w:cs="Arial"/>
          <w:lang w:val="es-MX" w:eastAsia="en-US"/>
        </w:rPr>
        <w:t xml:space="preserve"> de los Sujetos Obligados; los que, podrán estar en cualquier medio, sea escrito, impreso, sonoro, visual, electrónico, informático </w:t>
      </w:r>
      <w:r w:rsidRPr="004803A9">
        <w:rPr>
          <w:rFonts w:ascii="Palatino Linotype" w:eastAsiaTheme="minorHAnsi" w:hAnsi="Palatino Linotype" w:cs="Arial"/>
          <w:lang w:val="es-MX" w:eastAsia="en-US"/>
        </w:rPr>
        <w:lastRenderedPageBreak/>
        <w:t xml:space="preserve">u holográfico, de conformidad con el artículo 3, fracción XI, de la Ley de la materia, el cual dispone lo siguiente: </w:t>
      </w:r>
    </w:p>
    <w:p w14:paraId="300E5023" w14:textId="77777777" w:rsidR="00901F1F" w:rsidRPr="004803A9" w:rsidRDefault="00901F1F" w:rsidP="003212CC">
      <w:pPr>
        <w:pStyle w:val="Sinespaciado"/>
        <w:spacing w:line="360" w:lineRule="auto"/>
        <w:rPr>
          <w:rFonts w:ascii="Palatino Linotype" w:eastAsiaTheme="minorHAnsi" w:hAnsi="Palatino Linotype"/>
          <w:lang w:eastAsia="en-US"/>
        </w:rPr>
      </w:pPr>
    </w:p>
    <w:p w14:paraId="30252449"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t>“</w:t>
      </w:r>
      <w:r w:rsidRPr="004803A9">
        <w:rPr>
          <w:rFonts w:ascii="Palatino Linotype" w:eastAsiaTheme="minorHAnsi" w:hAnsi="Palatino Linotype" w:cs="Arial"/>
          <w:b/>
          <w:i/>
          <w:lang w:val="es-MX" w:eastAsia="en-US"/>
        </w:rPr>
        <w:t xml:space="preserve">Artículo 3. </w:t>
      </w:r>
      <w:r w:rsidRPr="004803A9">
        <w:rPr>
          <w:rFonts w:ascii="Palatino Linotype" w:eastAsiaTheme="minorHAnsi" w:hAnsi="Palatino Linotype" w:cs="Arial"/>
          <w:i/>
          <w:lang w:val="es-MX" w:eastAsia="en-US"/>
        </w:rPr>
        <w:t>Para los efectos de la presente Ley se entenderá por:</w:t>
      </w:r>
    </w:p>
    <w:p w14:paraId="1BEDC8A2"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t>(…)</w:t>
      </w:r>
    </w:p>
    <w:p w14:paraId="0C36A69A"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b/>
          <w:i/>
          <w:lang w:val="es-MX" w:eastAsia="en-US"/>
        </w:rPr>
        <w:t>XI. Documento:</w:t>
      </w:r>
      <w:r w:rsidRPr="004803A9">
        <w:rPr>
          <w:rFonts w:ascii="Palatino Linotype" w:eastAsiaTheme="minorHAnsi" w:hAnsi="Palatino Linotype" w:cs="Arial"/>
          <w:i/>
          <w:lang w:val="es-MX" w:eastAsia="en-US"/>
        </w:rPr>
        <w:t xml:space="preserve"> Los expedientes, reportes, estudios, actas, resoluciones, oficios, correspondencia, acuerdos, directivas, directrices, circulares, contratos, convenios, instructivos, notas, memorandos, estadísticas o bien, cualquier otro </w:t>
      </w:r>
      <w:r w:rsidRPr="004803A9">
        <w:rPr>
          <w:rFonts w:ascii="Palatino Linotype" w:eastAsiaTheme="minorHAnsi" w:hAnsi="Palatino Linotype" w:cs="Arial"/>
          <w:b/>
          <w:i/>
          <w:u w:val="single"/>
          <w:lang w:val="es-MX" w:eastAsia="en-US"/>
        </w:rPr>
        <w:t>registro que documente el ejercicio de las facultades, funciones y competencias de los sujetos obligados</w:t>
      </w:r>
      <w:r w:rsidRPr="004803A9">
        <w:rPr>
          <w:rFonts w:ascii="Palatino Linotype" w:eastAsiaTheme="minorHAnsi" w:hAnsi="Palatino Linotype" w:cs="Arial"/>
          <w:i/>
          <w:u w:val="single"/>
          <w:lang w:val="es-MX" w:eastAsia="en-US"/>
        </w:rPr>
        <w:t>,</w:t>
      </w:r>
      <w:r w:rsidRPr="004803A9">
        <w:rPr>
          <w:rFonts w:ascii="Palatino Linotype" w:eastAsiaTheme="minorHAnsi" w:hAnsi="Palatino Linotype" w:cs="Arial"/>
          <w:i/>
          <w:lang w:val="es-MX" w:eastAsia="en-US"/>
        </w:rPr>
        <w:t xml:space="preserve"> sus servidores públicos e integrantes, </w:t>
      </w:r>
      <w:r w:rsidRPr="004803A9">
        <w:rPr>
          <w:rFonts w:ascii="Palatino Linotype" w:eastAsiaTheme="minorHAnsi" w:hAnsi="Palatino Linotype" w:cs="Arial"/>
          <w:b/>
          <w:i/>
          <w:u w:val="single"/>
          <w:lang w:val="es-MX" w:eastAsia="en-US"/>
        </w:rPr>
        <w:t>sin importar su fuente o fecha de elaboración.</w:t>
      </w:r>
      <w:r w:rsidRPr="004803A9">
        <w:rPr>
          <w:rFonts w:ascii="Palatino Linotype" w:eastAsiaTheme="minorHAnsi" w:hAnsi="Palatino Linotype" w:cs="Arial"/>
          <w:i/>
          <w:lang w:val="es-MX" w:eastAsia="en-US"/>
        </w:rPr>
        <w:t xml:space="preserve"> Los documentos podrán estar en cualquier medio, sea escrito, impreso, sonoro, visual, electrónico, informático u holográfico;</w:t>
      </w:r>
    </w:p>
    <w:p w14:paraId="27A21AD1" w14:textId="77777777" w:rsidR="00901F1F" w:rsidRPr="004803A9" w:rsidRDefault="00901F1F" w:rsidP="003212CC">
      <w:pPr>
        <w:spacing w:line="360" w:lineRule="auto"/>
        <w:ind w:left="567" w:right="616"/>
        <w:jc w:val="both"/>
        <w:rPr>
          <w:rFonts w:ascii="Palatino Linotype" w:eastAsiaTheme="minorHAnsi" w:hAnsi="Palatino Linotype" w:cs="Arial"/>
          <w:i/>
          <w:lang w:val="es-MX" w:eastAsia="en-US"/>
        </w:rPr>
      </w:pPr>
      <w:r w:rsidRPr="004803A9">
        <w:rPr>
          <w:rFonts w:ascii="Palatino Linotype" w:eastAsiaTheme="minorHAnsi" w:hAnsi="Palatino Linotype" w:cs="Arial"/>
          <w:i/>
          <w:lang w:val="es-MX" w:eastAsia="en-US"/>
        </w:rPr>
        <w:t>(…)”</w:t>
      </w:r>
    </w:p>
    <w:p w14:paraId="10EB9899" w14:textId="77777777" w:rsidR="00901F1F" w:rsidRPr="004803A9" w:rsidRDefault="00901F1F" w:rsidP="003212CC">
      <w:pPr>
        <w:spacing w:line="360" w:lineRule="auto"/>
        <w:rPr>
          <w:rFonts w:ascii="Palatino Linotype" w:eastAsiaTheme="minorHAnsi" w:hAnsi="Palatino Linotype" w:cstheme="minorBidi"/>
          <w:lang w:val="es-MX" w:eastAsia="en-US"/>
        </w:rPr>
      </w:pPr>
    </w:p>
    <w:p w14:paraId="3949E2CD" w14:textId="77777777" w:rsidR="00901F1F" w:rsidRPr="004803A9" w:rsidRDefault="00901F1F" w:rsidP="003212CC">
      <w:pPr>
        <w:spacing w:line="360" w:lineRule="auto"/>
        <w:ind w:right="49"/>
        <w:contextualSpacing/>
        <w:jc w:val="both"/>
        <w:rPr>
          <w:rFonts w:ascii="Palatino Linotype" w:eastAsiaTheme="minorHAnsi" w:hAnsi="Palatino Linotype" w:cs="Arial"/>
          <w:lang w:val="es-MX" w:eastAsia="es-MX"/>
        </w:rPr>
      </w:pPr>
      <w:r w:rsidRPr="004803A9">
        <w:rPr>
          <w:rFonts w:ascii="Palatino Linotype" w:eastAsiaTheme="minorHAnsi" w:hAnsi="Palatino Linotype" w:cs="Arial"/>
          <w:lang w:val="es-MX" w:eastAsia="en-US"/>
        </w:rPr>
        <w:t xml:space="preserve">Además, </w:t>
      </w:r>
      <w:r w:rsidRPr="004803A9">
        <w:rPr>
          <w:rFonts w:ascii="Palatino Linotype" w:eastAsia="MS Mincho" w:hAnsi="Palatino Linotype" w:cstheme="minorBidi"/>
          <w:lang w:val="es-MX" w:eastAsia="en-US"/>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28E954F" w14:textId="77777777" w:rsidR="00901F1F" w:rsidRPr="004803A9" w:rsidRDefault="00901F1F" w:rsidP="003212CC">
      <w:pPr>
        <w:spacing w:line="360" w:lineRule="auto"/>
        <w:ind w:right="49"/>
        <w:contextualSpacing/>
        <w:jc w:val="both"/>
        <w:rPr>
          <w:rFonts w:ascii="Palatino Linotype" w:eastAsiaTheme="minorHAnsi" w:hAnsi="Palatino Linotype" w:cs="Arial"/>
          <w:lang w:val="es-MX" w:eastAsia="es-MX"/>
        </w:rPr>
      </w:pPr>
    </w:p>
    <w:p w14:paraId="1302D271" w14:textId="77777777" w:rsidR="00901F1F" w:rsidRPr="004803A9" w:rsidRDefault="00901F1F" w:rsidP="003212CC">
      <w:pPr>
        <w:spacing w:line="360" w:lineRule="auto"/>
        <w:ind w:right="49"/>
        <w:contextualSpacing/>
        <w:jc w:val="both"/>
        <w:rPr>
          <w:rFonts w:ascii="Palatino Linotype" w:eastAsia="MS Mincho" w:hAnsi="Palatino Linotype" w:cs="Tahoma"/>
          <w:lang w:val="es-MX" w:eastAsia="en-US"/>
        </w:rPr>
      </w:pPr>
      <w:r w:rsidRPr="004803A9">
        <w:rPr>
          <w:rFonts w:ascii="Palatino Linotype" w:eastAsiaTheme="minorHAnsi" w:hAnsi="Palatino Linotype" w:cs="Arial"/>
          <w:lang w:val="es-MX" w:eastAsia="es-MX"/>
        </w:rPr>
        <w:t xml:space="preserve">De la misma forma, </w:t>
      </w:r>
      <w:r w:rsidRPr="004803A9">
        <w:rPr>
          <w:rFonts w:ascii="Palatino Linotype" w:eastAsia="MS Mincho" w:hAnsi="Palatino Linotype" w:cstheme="minorBidi"/>
          <w:lang w:val="es-MX" w:eastAsia="en-US"/>
        </w:rPr>
        <w:t>de acuerdo al contenido del artículo 160,</w:t>
      </w:r>
      <w:r w:rsidRPr="004803A9">
        <w:rPr>
          <w:rFonts w:ascii="Palatino Linotype" w:eastAsiaTheme="minorHAnsi" w:hAnsi="Palatino Linotype" w:cs="Arial"/>
          <w:lang w:val="es-MX" w:eastAsia="en-US"/>
        </w:rPr>
        <w:t xml:space="preserve"> de la Ley </w:t>
      </w:r>
      <w:r w:rsidRPr="004803A9">
        <w:rPr>
          <w:rFonts w:ascii="Palatino Linotype" w:eastAsia="MS Mincho" w:hAnsi="Palatino Linotype" w:cs="Tahoma"/>
          <w:lang w:val="es-MX" w:eastAsia="en-US"/>
        </w:rPr>
        <w:t>General de Transparencia y Acceso a la Información Pública que a la letra dispone:</w:t>
      </w:r>
    </w:p>
    <w:p w14:paraId="6E4FEB40" w14:textId="77777777" w:rsidR="00901F1F" w:rsidRPr="004803A9" w:rsidRDefault="00901F1F" w:rsidP="003212CC">
      <w:pPr>
        <w:pStyle w:val="Sinespaciado"/>
        <w:spacing w:line="360" w:lineRule="auto"/>
        <w:rPr>
          <w:rFonts w:ascii="Palatino Linotype" w:eastAsia="MS Mincho" w:hAnsi="Palatino Linotype"/>
          <w:lang w:eastAsia="en-US"/>
        </w:rPr>
      </w:pPr>
    </w:p>
    <w:p w14:paraId="0B00EAEB" w14:textId="77777777" w:rsidR="00901F1F" w:rsidRPr="004803A9" w:rsidRDefault="00901F1F" w:rsidP="003212CC">
      <w:pPr>
        <w:spacing w:line="360" w:lineRule="auto"/>
        <w:ind w:left="567" w:right="616"/>
        <w:contextualSpacing/>
        <w:jc w:val="both"/>
        <w:rPr>
          <w:rFonts w:ascii="Palatino Linotype" w:eastAsiaTheme="minorHAnsi" w:hAnsi="Palatino Linotype" w:cs="Arial"/>
          <w:i/>
          <w:lang w:val="es-MX" w:eastAsia="gl-ES"/>
        </w:rPr>
      </w:pPr>
      <w:r w:rsidRPr="004803A9">
        <w:rPr>
          <w:rFonts w:ascii="Palatino Linotype" w:eastAsiaTheme="minorHAnsi" w:hAnsi="Palatino Linotype" w:cs="Arial"/>
          <w:b/>
          <w:i/>
          <w:lang w:val="es-MX" w:eastAsia="gl-ES"/>
        </w:rPr>
        <w:t>Artículo 160</w:t>
      </w:r>
      <w:r w:rsidRPr="004803A9">
        <w:rPr>
          <w:rFonts w:ascii="Palatino Linotype" w:eastAsiaTheme="minorHAnsi" w:hAnsi="Palatino Linotype" w:cs="Arial"/>
          <w:i/>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40E5CE" w14:textId="77777777" w:rsidR="00901F1F" w:rsidRPr="004803A9" w:rsidRDefault="00901F1F" w:rsidP="003212CC">
      <w:pPr>
        <w:spacing w:line="360" w:lineRule="auto"/>
        <w:ind w:right="567"/>
        <w:jc w:val="both"/>
        <w:rPr>
          <w:rFonts w:ascii="Palatino Linotype" w:hAnsi="Palatino Linotype" w:cs="Arial"/>
          <w:i/>
        </w:rPr>
      </w:pPr>
    </w:p>
    <w:p w14:paraId="22A3EA1B" w14:textId="77777777" w:rsidR="00DE018B" w:rsidRPr="004803A9" w:rsidRDefault="00901F1F" w:rsidP="003212CC">
      <w:pPr>
        <w:pStyle w:val="Sinespaciado"/>
        <w:spacing w:line="360" w:lineRule="auto"/>
        <w:jc w:val="both"/>
        <w:rPr>
          <w:rFonts w:ascii="Palatino Linotype" w:hAnsi="Palatino Linotype"/>
        </w:rPr>
      </w:pPr>
      <w:r w:rsidRPr="004803A9">
        <w:rPr>
          <w:rFonts w:ascii="Palatino Linotype" w:eastAsiaTheme="minorHAnsi" w:hAnsi="Palatino Linotype" w:cs="Arial"/>
          <w:lang w:eastAsia="en-US"/>
        </w:rPr>
        <w:t xml:space="preserve">Por lo que, de la respuesta emitida por parte de la Unidad de Transparencia del </w:t>
      </w:r>
      <w:r w:rsidRPr="004803A9">
        <w:rPr>
          <w:rFonts w:ascii="Palatino Linotype" w:eastAsiaTheme="minorHAnsi" w:hAnsi="Palatino Linotype" w:cs="Arial"/>
          <w:b/>
          <w:lang w:eastAsia="en-US"/>
        </w:rPr>
        <w:t>Sujeto Obligado</w:t>
      </w:r>
      <w:r w:rsidRPr="004803A9">
        <w:rPr>
          <w:rFonts w:ascii="Palatino Linotype" w:eastAsiaTheme="minorHAnsi" w:hAnsi="Palatino Linotype" w:cs="Arial"/>
          <w:lang w:eastAsia="en-US"/>
        </w:rPr>
        <w:t xml:space="preserve"> generó, se enuncia cada una de las respuestas proporcionadas, con la finalidad de saber si se da cumplimiento a todos los requerimientos y si los motivos de inconformidad resultan procedentes. </w:t>
      </w:r>
      <w:r w:rsidR="00DE018B" w:rsidRPr="004803A9">
        <w:rPr>
          <w:rFonts w:ascii="Palatino Linotype" w:hAnsi="Palatino Linotype"/>
        </w:rPr>
        <w:t xml:space="preserve">En este sentido, a efecto de ilustrar la esfera competencial de la unidad administrativa en cita, resulta oportuno traer a colación los artículos 90 y 92 del Bando municipal de Toluca; el numeral 54 de la Ley de Acceso de las mujeres a una vida libre de violencia del Estado de México; los artículos 87 y  96 </w:t>
      </w:r>
      <w:proofErr w:type="spellStart"/>
      <w:r w:rsidR="00DE018B" w:rsidRPr="004803A9">
        <w:rPr>
          <w:rFonts w:ascii="Palatino Linotype" w:hAnsi="Palatino Linotype"/>
        </w:rPr>
        <w:t>quaterdecies</w:t>
      </w:r>
      <w:proofErr w:type="spellEnd"/>
      <w:r w:rsidR="00DE018B" w:rsidRPr="004803A9">
        <w:rPr>
          <w:rFonts w:ascii="Palatino Linotype" w:hAnsi="Palatino Linotype"/>
        </w:rPr>
        <w:t xml:space="preserve"> de la Ley orgánica municipal del Estado de México; así como el numeral 17 del Reglamento interno del organismo público descentralizado Instituto Municipal de la Mujer de Toluca, porciones normativas que disponen a la literalidad lo siguiente: </w:t>
      </w:r>
    </w:p>
    <w:p w14:paraId="171D80AF" w14:textId="77777777" w:rsidR="003212CC" w:rsidRPr="004803A9" w:rsidRDefault="003212CC" w:rsidP="003212CC">
      <w:pPr>
        <w:pStyle w:val="Sinespaciado"/>
        <w:spacing w:line="360" w:lineRule="auto"/>
        <w:jc w:val="both"/>
        <w:rPr>
          <w:rFonts w:ascii="Palatino Linotype" w:hAnsi="Palatino Linotype"/>
        </w:rPr>
      </w:pPr>
    </w:p>
    <w:p w14:paraId="0558BFB7" w14:textId="77777777" w:rsidR="00DE018B" w:rsidRPr="004803A9" w:rsidRDefault="00DE018B" w:rsidP="003212CC">
      <w:pPr>
        <w:pStyle w:val="Citas"/>
        <w:spacing w:before="0" w:after="0"/>
        <w:jc w:val="center"/>
        <w:rPr>
          <w:b/>
          <w:bCs/>
          <w:i w:val="0"/>
          <w:iCs/>
        </w:rPr>
      </w:pPr>
      <w:r w:rsidRPr="004803A9">
        <w:rPr>
          <w:b/>
          <w:bCs/>
          <w:i w:val="0"/>
          <w:iCs/>
        </w:rPr>
        <w:t>BANDO MUNICIPAL DE TOLUCA</w:t>
      </w:r>
    </w:p>
    <w:p w14:paraId="38BF81E8" w14:textId="77777777" w:rsidR="00DE018B" w:rsidRPr="004803A9" w:rsidRDefault="00DE018B" w:rsidP="003212CC">
      <w:pPr>
        <w:pStyle w:val="Citas"/>
        <w:spacing w:before="0" w:after="0"/>
      </w:pPr>
      <w:r w:rsidRPr="004803A9">
        <w:t xml:space="preserve">“Artículo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w:t>
      </w:r>
      <w:r w:rsidRPr="004803A9">
        <w:lastRenderedPageBreak/>
        <w:t>Orgánica Municipal, el presente Bando y demás disposiciones aplicables, y se auxiliará de las siguientes:</w:t>
      </w:r>
    </w:p>
    <w:p w14:paraId="25E7847D" w14:textId="77777777" w:rsidR="00DE018B" w:rsidRPr="004803A9" w:rsidRDefault="00DE018B" w:rsidP="003212CC">
      <w:pPr>
        <w:pStyle w:val="Citas"/>
        <w:spacing w:before="0" w:after="0"/>
      </w:pPr>
      <w:r w:rsidRPr="004803A9">
        <w:t>(…)</w:t>
      </w:r>
    </w:p>
    <w:p w14:paraId="3DD275C5" w14:textId="77777777" w:rsidR="00DE018B" w:rsidRPr="004803A9" w:rsidRDefault="00DE018B" w:rsidP="003212CC">
      <w:pPr>
        <w:pStyle w:val="Citas"/>
        <w:spacing w:before="0" w:after="0"/>
      </w:pPr>
      <w:r w:rsidRPr="004803A9">
        <w:t>II. ORGANISMOS DESCENTRALIZADOS:</w:t>
      </w:r>
    </w:p>
    <w:p w14:paraId="4DFCCF8C" w14:textId="77777777" w:rsidR="00DE018B" w:rsidRPr="004803A9" w:rsidRDefault="00DE018B" w:rsidP="003212CC">
      <w:pPr>
        <w:pStyle w:val="Citas"/>
        <w:spacing w:before="0" w:after="0"/>
      </w:pPr>
      <w:proofErr w:type="gramStart"/>
      <w:r w:rsidRPr="004803A9">
        <w:t>1.Sistema</w:t>
      </w:r>
      <w:proofErr w:type="gramEnd"/>
      <w:r w:rsidRPr="004803A9">
        <w:t xml:space="preserve"> Municipal para el Desarrollo Integral de la Familia de Toluca;</w:t>
      </w:r>
    </w:p>
    <w:p w14:paraId="76B3048C" w14:textId="77777777" w:rsidR="00DE018B" w:rsidRPr="004803A9" w:rsidRDefault="00DE018B" w:rsidP="003212CC">
      <w:pPr>
        <w:pStyle w:val="Citas"/>
        <w:spacing w:before="0" w:after="0"/>
      </w:pPr>
      <w:proofErr w:type="gramStart"/>
      <w:r w:rsidRPr="004803A9">
        <w:t>2.Instituto</w:t>
      </w:r>
      <w:proofErr w:type="gramEnd"/>
      <w:r w:rsidRPr="004803A9">
        <w:t xml:space="preserve"> Municipal de Cultura Física y Deporte de Toluca;</w:t>
      </w:r>
    </w:p>
    <w:p w14:paraId="4CC27521" w14:textId="77777777" w:rsidR="00DE018B" w:rsidRPr="004803A9" w:rsidRDefault="00DE018B" w:rsidP="003212CC">
      <w:pPr>
        <w:pStyle w:val="Citas"/>
        <w:spacing w:before="0" w:after="0"/>
        <w:rPr>
          <w:b/>
          <w:bCs/>
          <w:u w:val="single"/>
        </w:rPr>
      </w:pPr>
      <w:proofErr w:type="gramStart"/>
      <w:r w:rsidRPr="004803A9">
        <w:rPr>
          <w:b/>
          <w:bCs/>
          <w:u w:val="single"/>
        </w:rPr>
        <w:t>3.Instituto</w:t>
      </w:r>
      <w:proofErr w:type="gramEnd"/>
      <w:r w:rsidRPr="004803A9">
        <w:rPr>
          <w:b/>
          <w:bCs/>
          <w:u w:val="single"/>
        </w:rPr>
        <w:t xml:space="preserve"> Municipal de la Mujer de Toluca; y</w:t>
      </w:r>
    </w:p>
    <w:p w14:paraId="5B146002" w14:textId="77777777" w:rsidR="00DE018B" w:rsidRPr="004803A9" w:rsidRDefault="00DE018B" w:rsidP="003212CC">
      <w:pPr>
        <w:pStyle w:val="Citas"/>
        <w:spacing w:before="0" w:after="0"/>
      </w:pPr>
      <w:proofErr w:type="gramStart"/>
      <w:r w:rsidRPr="004803A9">
        <w:t>4.Organismo</w:t>
      </w:r>
      <w:proofErr w:type="gramEnd"/>
      <w:r w:rsidRPr="004803A9">
        <w:t xml:space="preserve"> Agua y Saneamiento de Toluca.</w:t>
      </w:r>
    </w:p>
    <w:p w14:paraId="37B41195" w14:textId="77777777" w:rsidR="00DE018B" w:rsidRPr="004803A9" w:rsidRDefault="00DE018B" w:rsidP="003212CC">
      <w:pPr>
        <w:pStyle w:val="Citas"/>
        <w:spacing w:before="0" w:after="0"/>
      </w:pPr>
      <w:r w:rsidRPr="004803A9">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12134757" w14:textId="77777777" w:rsidR="00DE018B" w:rsidRPr="004803A9" w:rsidRDefault="00DE018B" w:rsidP="003212CC">
      <w:pPr>
        <w:pStyle w:val="Citas"/>
        <w:spacing w:before="0" w:after="0"/>
      </w:pPr>
      <w:r w:rsidRPr="004803A9">
        <w:t>(…)</w:t>
      </w:r>
    </w:p>
    <w:p w14:paraId="08A48FA7" w14:textId="77777777" w:rsidR="00DE018B" w:rsidRPr="004803A9" w:rsidRDefault="00DE018B" w:rsidP="003212CC">
      <w:pPr>
        <w:pStyle w:val="Citas"/>
        <w:spacing w:before="0" w:after="0"/>
      </w:pPr>
      <w:r w:rsidRPr="004803A9">
        <w:t>XVI. La persona titular del Instituto Municipal de la Mujer de Toluca 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asegurando la ejecución de programas y acciones afirmativas para la igualdad de derechos, además de fortalecer la capacidad productiva de las mujeres. Asimismo, coordinará esfuerzos para prevenir y erradicar la violencia de género, asegurando una aplicación eficiente de los recursos públicos sin duplicidades mediante la colaboración con diversas dependencias municipales.</w:t>
      </w:r>
    </w:p>
    <w:p w14:paraId="2C27B23E" w14:textId="77777777" w:rsidR="00DE018B" w:rsidRPr="004803A9" w:rsidRDefault="00DE018B" w:rsidP="003212CC">
      <w:pPr>
        <w:pStyle w:val="Citas"/>
        <w:spacing w:before="0" w:after="0"/>
      </w:pPr>
      <w:r w:rsidRPr="004803A9">
        <w:lastRenderedPageBreak/>
        <w:t>Para ello, se implementará el Modelo Único de Atención para la Violencia de Género en todas las unidades administrativas y territorio municipal para beneficio de todas las mujeres toluqueñas.</w:t>
      </w:r>
    </w:p>
    <w:p w14:paraId="09EDAD53" w14:textId="77777777" w:rsidR="00DE018B" w:rsidRPr="004803A9" w:rsidRDefault="00DE018B" w:rsidP="003212CC">
      <w:pPr>
        <w:pStyle w:val="Citas"/>
        <w:spacing w:before="0" w:after="0"/>
      </w:pPr>
    </w:p>
    <w:p w14:paraId="7E1EF07C" w14:textId="77777777" w:rsidR="00DE018B" w:rsidRPr="004803A9" w:rsidRDefault="00DE018B" w:rsidP="003212CC">
      <w:pPr>
        <w:pStyle w:val="Citas"/>
        <w:spacing w:before="0" w:after="0"/>
        <w:jc w:val="center"/>
        <w:rPr>
          <w:b/>
          <w:bCs/>
          <w:i w:val="0"/>
          <w:iCs/>
        </w:rPr>
      </w:pPr>
      <w:r w:rsidRPr="004803A9">
        <w:rPr>
          <w:b/>
          <w:bCs/>
          <w:i w:val="0"/>
          <w:iCs/>
        </w:rPr>
        <w:t>LEY DE ACCESO DE LAS MUJERES A UNA VIDA LIBRE DE VIOLENCIA DEL ESTADO DE MÉXICO</w:t>
      </w:r>
    </w:p>
    <w:p w14:paraId="03FCD31D" w14:textId="77777777" w:rsidR="00DE018B" w:rsidRPr="004803A9" w:rsidRDefault="00DE018B" w:rsidP="003212CC">
      <w:pPr>
        <w:pStyle w:val="Citas"/>
        <w:spacing w:before="0" w:after="0"/>
      </w:pPr>
      <w:r w:rsidRPr="004803A9">
        <w:t>“Artículo 54.- Corresponde a los municipios, en materia de prevención, atención, sanción y erradicación de la violencia de género:</w:t>
      </w:r>
    </w:p>
    <w:p w14:paraId="153BC200" w14:textId="77777777" w:rsidR="00DE018B" w:rsidRPr="004803A9" w:rsidRDefault="00DE018B" w:rsidP="003212CC">
      <w:pPr>
        <w:pStyle w:val="Citas"/>
        <w:spacing w:before="0" w:after="0"/>
      </w:pPr>
      <w:r w:rsidRPr="004803A9">
        <w:t>(…)</w:t>
      </w:r>
    </w:p>
    <w:p w14:paraId="308E31E6" w14:textId="77777777" w:rsidR="00DE018B" w:rsidRPr="004803A9" w:rsidRDefault="00DE018B" w:rsidP="003212CC">
      <w:pPr>
        <w:pStyle w:val="Citas"/>
        <w:spacing w:before="0" w:after="0"/>
      </w:pPr>
      <w:r w:rsidRPr="004803A9">
        <w:t>V. Expedir las disposiciones jurídicas municipales encaminadas a lograr la participación conjunta y coordinada de la administración pública municipal para garantizar el derecho de las mujeres a una vida libre de violencia en su ámbito territorial;</w:t>
      </w:r>
    </w:p>
    <w:p w14:paraId="5A1D0B5C" w14:textId="77777777" w:rsidR="00DE018B" w:rsidRPr="004803A9" w:rsidRDefault="00DE018B" w:rsidP="003212CC">
      <w:pPr>
        <w:pStyle w:val="Citas"/>
        <w:spacing w:before="0" w:after="0"/>
        <w:rPr>
          <w:b/>
          <w:bCs/>
          <w:u w:val="single"/>
        </w:rPr>
      </w:pPr>
      <w:r w:rsidRPr="004803A9">
        <w:rPr>
          <w:b/>
          <w:bCs/>
          <w:u w:val="single"/>
        </w:rPr>
        <w:t>VI. Formular, ejecutar y evaluar el Programa Municipal para la Igualdad de Trato y Oportunidades entre Mujeres y Hombres y para Prevenir, Atender, Sancionar y Erradicar la Violencia contra las Mujeres, mismo que será remitido al Sistema Estatal y a la Legislatura del Estado, dentro de los primeros tres meses de la gestión municipal para los efectos conducentes;</w:t>
      </w:r>
    </w:p>
    <w:p w14:paraId="2749BB37" w14:textId="77777777" w:rsidR="00DE018B" w:rsidRPr="004803A9" w:rsidRDefault="00DE018B" w:rsidP="003212CC">
      <w:pPr>
        <w:pStyle w:val="Citas"/>
        <w:spacing w:before="0" w:after="0"/>
      </w:pPr>
      <w:r w:rsidRPr="004803A9">
        <w:t>VII. Promover, en coordinación con el Gobierno Estatal, cursos de formación, especialización y actualización constante sobre violencia de género y Derechos Humanos de las niñas, adolescentes y mujeres; a las personas que atienden a las mujeres víctimas de violencia, en los términos de la presente Ley;</w:t>
      </w:r>
    </w:p>
    <w:p w14:paraId="529FEAF2" w14:textId="77777777" w:rsidR="00DE018B" w:rsidRPr="004803A9" w:rsidRDefault="00DE018B" w:rsidP="003212CC">
      <w:pPr>
        <w:pStyle w:val="Citas"/>
        <w:spacing w:before="0" w:after="0"/>
      </w:pPr>
      <w:r w:rsidRPr="004803A9">
        <w:t>(…)</w:t>
      </w:r>
    </w:p>
    <w:p w14:paraId="5C052812" w14:textId="77777777" w:rsidR="00DE018B" w:rsidRPr="004803A9" w:rsidRDefault="00DE018B" w:rsidP="003212CC">
      <w:pPr>
        <w:pStyle w:val="Citas"/>
        <w:spacing w:before="0" w:after="0"/>
      </w:pPr>
      <w:r w:rsidRPr="004803A9">
        <w:t xml:space="preserve">X. Ter. Crear una Dirección de las Mujeres o, en su caso, un Instituto Municipal de las Mujeres, para promover y fomentar las condiciones que faciliten el pleno ejercicio de los derechos humanos, la igualdad, el desarrollo económico, social, político y cultural, la no discriminación y la erradicación de la violencia contra las niñas, las adolescentes y las mujeres, en concordancia con la Constitución Política de los </w:t>
      </w:r>
      <w:r w:rsidRPr="004803A9">
        <w:lastRenderedPageBreak/>
        <w:t>Estados Unidos Mexicanos, las leyes generales y las estatales, las políticas, nacional y estatal, así como los tratados internacionales en la materia;</w:t>
      </w:r>
    </w:p>
    <w:p w14:paraId="4CDF126E" w14:textId="77777777" w:rsidR="00DE018B" w:rsidRPr="004803A9" w:rsidRDefault="00DE018B" w:rsidP="003212CC">
      <w:pPr>
        <w:pStyle w:val="Citas"/>
        <w:spacing w:before="0" w:after="0"/>
        <w:rPr>
          <w:b/>
          <w:bCs/>
        </w:rPr>
      </w:pPr>
      <w:r w:rsidRPr="004803A9">
        <w:t xml:space="preserve">(…)” </w:t>
      </w:r>
      <w:r w:rsidRPr="004803A9">
        <w:rPr>
          <w:b/>
          <w:bCs/>
        </w:rPr>
        <w:t>(Sic)</w:t>
      </w:r>
    </w:p>
    <w:p w14:paraId="24D2E246" w14:textId="77777777" w:rsidR="00DE018B" w:rsidRPr="004803A9" w:rsidRDefault="00DE018B" w:rsidP="003212CC">
      <w:pPr>
        <w:spacing w:line="360" w:lineRule="auto"/>
        <w:jc w:val="both"/>
        <w:rPr>
          <w:rFonts w:ascii="Palatino Linotype" w:hAnsi="Palatino Linotype" w:cs="Arial"/>
        </w:rPr>
      </w:pPr>
    </w:p>
    <w:p w14:paraId="493F68E0" w14:textId="77777777" w:rsidR="00DE018B" w:rsidRPr="004803A9" w:rsidRDefault="00DE018B" w:rsidP="003212CC">
      <w:pPr>
        <w:pStyle w:val="Citas"/>
        <w:spacing w:before="0" w:after="0"/>
        <w:jc w:val="center"/>
        <w:rPr>
          <w:b/>
          <w:bCs/>
          <w:i w:val="0"/>
          <w:iCs/>
        </w:rPr>
      </w:pPr>
      <w:r w:rsidRPr="004803A9">
        <w:rPr>
          <w:b/>
          <w:bCs/>
          <w:i w:val="0"/>
          <w:iCs/>
        </w:rPr>
        <w:t>LEY ORGÁNICA MUNICIPAL DEL ESTADO DE MÉXICO</w:t>
      </w:r>
    </w:p>
    <w:p w14:paraId="20A7443A" w14:textId="77777777" w:rsidR="00DE018B" w:rsidRPr="004803A9" w:rsidRDefault="00DE018B" w:rsidP="003212CC">
      <w:pPr>
        <w:pStyle w:val="Citas"/>
        <w:spacing w:before="0" w:after="0"/>
      </w:pPr>
      <w:r w:rsidRPr="004803A9">
        <w:t>“Artículo 87.- Para el despacho, estudio y planeación de los diversos asuntos de la administración municipal, el ayuntamiento contará por lo menos con las siguientes Dependencias:</w:t>
      </w:r>
    </w:p>
    <w:p w14:paraId="4BF1194C" w14:textId="77777777" w:rsidR="00DE018B" w:rsidRPr="004803A9" w:rsidRDefault="00DE018B" w:rsidP="003212CC">
      <w:pPr>
        <w:pStyle w:val="Citas"/>
        <w:spacing w:before="0" w:after="0"/>
      </w:pPr>
      <w:r w:rsidRPr="004803A9">
        <w:t>(…)</w:t>
      </w:r>
    </w:p>
    <w:p w14:paraId="7B64433C" w14:textId="77777777" w:rsidR="00DE018B" w:rsidRPr="004803A9" w:rsidRDefault="00DE018B" w:rsidP="003212CC">
      <w:pPr>
        <w:pStyle w:val="Citas"/>
        <w:spacing w:before="0" w:after="0"/>
      </w:pPr>
      <w:r w:rsidRPr="004803A9">
        <w:t>IX. La Dirección de las Mujeres o equivalente</w:t>
      </w:r>
    </w:p>
    <w:p w14:paraId="507451B4" w14:textId="77777777" w:rsidR="00DE018B" w:rsidRPr="004803A9" w:rsidRDefault="00DE018B" w:rsidP="003212CC">
      <w:pPr>
        <w:pStyle w:val="Citas"/>
        <w:spacing w:before="0" w:after="0"/>
      </w:pPr>
      <w:r w:rsidRPr="004803A9">
        <w:t>(…)</w:t>
      </w:r>
    </w:p>
    <w:p w14:paraId="196F3871" w14:textId="77777777" w:rsidR="00DE018B" w:rsidRPr="004803A9" w:rsidRDefault="00DE018B" w:rsidP="003212CC">
      <w:pPr>
        <w:pStyle w:val="Citas"/>
        <w:spacing w:before="0" w:after="0"/>
      </w:pPr>
      <w:r w:rsidRPr="004803A9">
        <w:t xml:space="preserve">Artículo 96 </w:t>
      </w:r>
      <w:proofErr w:type="spellStart"/>
      <w:r w:rsidRPr="004803A9">
        <w:t>Quaterdecies</w:t>
      </w:r>
      <w:proofErr w:type="spellEnd"/>
      <w:r w:rsidRPr="004803A9">
        <w:t>.- La Dirección de las Mujeres, tiene las siguientes atribuciones:</w:t>
      </w:r>
    </w:p>
    <w:p w14:paraId="5AD4F68E" w14:textId="77777777" w:rsidR="00DE018B" w:rsidRPr="004803A9" w:rsidRDefault="00DE018B" w:rsidP="003212CC">
      <w:pPr>
        <w:pStyle w:val="Citas"/>
        <w:spacing w:before="0" w:after="0"/>
      </w:pPr>
      <w:r w:rsidRPr="004803A9">
        <w:t xml:space="preserve">I. Proponer, coordinar y ejecutar las políticas públicas, programas y acciones que aseguren la igualdad y la no discriminación hacia las mujeres en sus distintas etapas de la vida, desde una perspectiva transversal e </w:t>
      </w:r>
      <w:proofErr w:type="spellStart"/>
      <w:r w:rsidRPr="004803A9">
        <w:t>interseccional</w:t>
      </w:r>
      <w:proofErr w:type="spellEnd"/>
      <w:r w:rsidRPr="004803A9">
        <w:t xml:space="preserve"> y con enfoque de derechos humanos;</w:t>
      </w:r>
    </w:p>
    <w:p w14:paraId="2287FD7E" w14:textId="500AEC4B" w:rsidR="00DE018B" w:rsidRPr="004803A9" w:rsidRDefault="00DE018B" w:rsidP="003212CC">
      <w:pPr>
        <w:pStyle w:val="Citas"/>
        <w:spacing w:before="0" w:after="0"/>
        <w:rPr>
          <w:b/>
          <w:bCs/>
        </w:rPr>
      </w:pPr>
      <w:r w:rsidRPr="004803A9">
        <w:t xml:space="preserve">(…)” </w:t>
      </w:r>
      <w:r w:rsidRPr="004803A9">
        <w:rPr>
          <w:b/>
          <w:bCs/>
        </w:rPr>
        <w:t>(Sic)</w:t>
      </w:r>
    </w:p>
    <w:p w14:paraId="4E17E60B" w14:textId="77777777" w:rsidR="003212CC" w:rsidRPr="004803A9" w:rsidRDefault="003212CC" w:rsidP="003212CC">
      <w:pPr>
        <w:pStyle w:val="Citas"/>
        <w:spacing w:before="0" w:after="0"/>
        <w:rPr>
          <w:b/>
          <w:bCs/>
          <w:i w:val="0"/>
        </w:rPr>
      </w:pPr>
    </w:p>
    <w:p w14:paraId="5614915B" w14:textId="77777777" w:rsidR="00DE018B" w:rsidRPr="004803A9" w:rsidRDefault="00DE018B" w:rsidP="003212CC">
      <w:pPr>
        <w:pStyle w:val="Citas"/>
        <w:spacing w:before="0" w:after="0"/>
        <w:rPr>
          <w:b/>
          <w:bCs/>
          <w:i w:val="0"/>
          <w:iCs/>
        </w:rPr>
      </w:pPr>
      <w:r w:rsidRPr="004803A9">
        <w:rPr>
          <w:b/>
          <w:bCs/>
          <w:i w:val="0"/>
          <w:iCs/>
        </w:rPr>
        <w:t xml:space="preserve">REGLAMENTO INTERNO DEL ORGANISMO PÚBLICO DESCENTRALIZADO INSTITUTO MUNICIPAL DE LA MUJER DE TOLUCA </w:t>
      </w:r>
    </w:p>
    <w:p w14:paraId="6E192DF1" w14:textId="77777777" w:rsidR="00DE018B" w:rsidRPr="004803A9" w:rsidRDefault="00DE018B" w:rsidP="003212CC">
      <w:pPr>
        <w:pStyle w:val="Citas"/>
        <w:spacing w:before="0" w:after="0"/>
      </w:pPr>
      <w:r w:rsidRPr="004803A9">
        <w:t>“Artículo 17. La persona titular de la Coordinación de Administración y Finanzas tendrá las siguientes atribuciones:</w:t>
      </w:r>
    </w:p>
    <w:p w14:paraId="5704673E" w14:textId="77777777" w:rsidR="00DE018B" w:rsidRPr="004803A9" w:rsidRDefault="00DE018B" w:rsidP="003212CC">
      <w:pPr>
        <w:pStyle w:val="Citas"/>
        <w:spacing w:before="0" w:after="0"/>
      </w:pPr>
      <w:r w:rsidRPr="004803A9">
        <w:t>(…)</w:t>
      </w:r>
    </w:p>
    <w:p w14:paraId="5EF9968E" w14:textId="77777777" w:rsidR="00DE018B" w:rsidRPr="004803A9" w:rsidRDefault="00DE018B" w:rsidP="003212CC">
      <w:pPr>
        <w:pStyle w:val="Citas"/>
        <w:spacing w:before="0" w:after="0"/>
      </w:pPr>
      <w:r w:rsidRPr="004803A9">
        <w:t>IV. Integrar el anteproyecto de presupuesto anual de ingresos y egresos del Instituto y someterlo a la consideración de la Dirección General, así como realizar la calendarización de los recursos del presupuesto autorizado.</w:t>
      </w:r>
    </w:p>
    <w:p w14:paraId="2811A80B" w14:textId="77777777" w:rsidR="00DE018B" w:rsidRPr="004803A9" w:rsidRDefault="00DE018B" w:rsidP="003212CC">
      <w:pPr>
        <w:pStyle w:val="Citas"/>
        <w:spacing w:before="0" w:after="0"/>
      </w:pPr>
      <w:r w:rsidRPr="004803A9">
        <w:lastRenderedPageBreak/>
        <w:t xml:space="preserve">V. Coordinar la operación, ejecución y control del presupuesto de las unidades administrativas del Instituto y vigilar su aplicación. </w:t>
      </w:r>
    </w:p>
    <w:p w14:paraId="48687B66" w14:textId="77777777" w:rsidR="00DE018B" w:rsidRPr="004803A9" w:rsidRDefault="00DE018B" w:rsidP="003212CC">
      <w:pPr>
        <w:pStyle w:val="Citas"/>
        <w:spacing w:before="0" w:after="0"/>
      </w:pPr>
      <w:r w:rsidRPr="004803A9">
        <w:t>VI. Ejecutar los procedimientos y mecanismos sobre el ejercicio y control del presupuesto de gasto corriente y de inversión, así como verificar su aplicación.</w:t>
      </w:r>
    </w:p>
    <w:p w14:paraId="72693533" w14:textId="6131880C" w:rsidR="00901F1F" w:rsidRPr="004803A9" w:rsidRDefault="00DE018B" w:rsidP="003212CC">
      <w:pPr>
        <w:pStyle w:val="Citas"/>
        <w:spacing w:before="0" w:after="0"/>
        <w:rPr>
          <w:b/>
          <w:bCs/>
        </w:rPr>
      </w:pPr>
      <w:r w:rsidRPr="004803A9">
        <w:t xml:space="preserve">(…)” </w:t>
      </w:r>
      <w:r w:rsidRPr="004803A9">
        <w:rPr>
          <w:b/>
          <w:bCs/>
        </w:rPr>
        <w:t>(Sic)</w:t>
      </w:r>
    </w:p>
    <w:p w14:paraId="492ACA88" w14:textId="77777777" w:rsidR="00901F1F" w:rsidRPr="004803A9" w:rsidRDefault="00901F1F" w:rsidP="003212CC">
      <w:pPr>
        <w:spacing w:line="360" w:lineRule="auto"/>
        <w:contextualSpacing/>
        <w:jc w:val="both"/>
        <w:rPr>
          <w:rFonts w:ascii="Palatino Linotype" w:hAnsi="Palatino Linotype" w:cs="Arial"/>
          <w:bCs/>
        </w:rPr>
      </w:pPr>
    </w:p>
    <w:p w14:paraId="131BB4F0" w14:textId="0AEB1FAB" w:rsidR="00483071" w:rsidRPr="004803A9" w:rsidRDefault="003212CC" w:rsidP="00483071">
      <w:pPr>
        <w:tabs>
          <w:tab w:val="left" w:pos="709"/>
        </w:tabs>
        <w:spacing w:line="360" w:lineRule="auto"/>
        <w:jc w:val="both"/>
        <w:rPr>
          <w:rFonts w:ascii="Palatino Linotype" w:hAnsi="Palatino Linotype" w:cs="Arial"/>
          <w:bCs/>
        </w:rPr>
      </w:pPr>
      <w:r w:rsidRPr="004803A9">
        <w:rPr>
          <w:rFonts w:ascii="Palatino Linotype" w:hAnsi="Palatino Linotype" w:cs="Arial"/>
          <w:bCs/>
        </w:rPr>
        <w:t xml:space="preserve">Derivado de lo anterior, es necesario referir que la información solicitada respecto del presupuesto asignado puede encontrarse dentro de los </w:t>
      </w:r>
      <w:proofErr w:type="spellStart"/>
      <w:r w:rsidRPr="004803A9">
        <w:rPr>
          <w:rFonts w:ascii="Palatino Linotype" w:hAnsi="Palatino Linotype" w:cs="Arial"/>
          <w:bCs/>
        </w:rPr>
        <w:t>PbRM</w:t>
      </w:r>
      <w:proofErr w:type="spellEnd"/>
      <w:r w:rsidRPr="004803A9">
        <w:rPr>
          <w:rFonts w:ascii="Palatino Linotype" w:hAnsi="Palatino Linotype" w:cs="Arial"/>
          <w:bCs/>
        </w:rPr>
        <w:t xml:space="preserve">, </w:t>
      </w:r>
      <w:r w:rsidR="00483071" w:rsidRPr="004803A9">
        <w:rPr>
          <w:rFonts w:ascii="Palatino Linotype" w:hAnsi="Palatino Linotype" w:cs="Arial"/>
          <w:bCs/>
        </w:rPr>
        <w:t>toda vez que l</w:t>
      </w:r>
      <w:r w:rsidR="00483071" w:rsidRPr="004803A9">
        <w:rPr>
          <w:rFonts w:ascii="Palatino Linotype" w:hAnsi="Palatino Linotype" w:cs="Arial"/>
        </w:rPr>
        <w:t xml:space="preserve">a composición del Presupuesto de egresos contempla diversos formatos de los que encontramos los siguientes </w:t>
      </w:r>
      <w:r w:rsidR="00483071" w:rsidRPr="004803A9">
        <w:rPr>
          <w:rFonts w:ascii="Palatino Linotype" w:eastAsiaTheme="minorHAnsi" w:hAnsi="Palatino Linotype" w:cstheme="minorBidi"/>
          <w:b/>
          <w:color w:val="000000"/>
          <w:u w:val="single"/>
          <w:lang w:val="es-MX" w:eastAsia="en-US"/>
        </w:rPr>
        <w:t>PbRM-01a Programa Anual Dimensión Administrativa del Gasto</w:t>
      </w:r>
      <w:r w:rsidR="00483071" w:rsidRPr="004803A9">
        <w:rPr>
          <w:rFonts w:ascii="Palatino Linotype" w:eastAsiaTheme="minorHAnsi" w:hAnsi="Palatino Linotype" w:cstheme="minorBidi"/>
          <w:color w:val="000000"/>
          <w:lang w:val="es-MX" w:eastAsia="en-US"/>
        </w:rPr>
        <w:t xml:space="preserve">, </w:t>
      </w:r>
      <w:r w:rsidR="00483071" w:rsidRPr="004803A9">
        <w:rPr>
          <w:rFonts w:ascii="Palatino Linotype" w:eastAsiaTheme="minorHAnsi" w:hAnsi="Palatino Linotype" w:cstheme="minorBidi"/>
          <w:b/>
          <w:bCs/>
          <w:color w:val="000000"/>
          <w:lang w:val="es-MX" w:eastAsia="en-US"/>
        </w:rPr>
        <w:t>PbRM-01b</w:t>
      </w:r>
      <w:r w:rsidR="00483071" w:rsidRPr="004803A9">
        <w:rPr>
          <w:rFonts w:ascii="Palatino Linotype" w:eastAsiaTheme="minorHAnsi" w:hAnsi="Palatino Linotype" w:cstheme="minorBidi"/>
          <w:color w:val="000000"/>
          <w:lang w:val="es-MX" w:eastAsia="en-US"/>
        </w:rPr>
        <w:t xml:space="preserve"> Programa Anual Descripción del Programa Presupuestario, </w:t>
      </w:r>
      <w:r w:rsidR="00483071" w:rsidRPr="004803A9">
        <w:rPr>
          <w:rFonts w:ascii="Palatino Linotype" w:eastAsiaTheme="minorHAnsi" w:hAnsi="Palatino Linotype" w:cstheme="minorBidi"/>
          <w:b/>
          <w:color w:val="000000"/>
          <w:lang w:val="es-MX" w:eastAsia="en-US"/>
        </w:rPr>
        <w:t>PbRM-01c</w:t>
      </w:r>
      <w:r w:rsidR="00483071" w:rsidRPr="004803A9">
        <w:rPr>
          <w:rFonts w:ascii="Palatino Linotype" w:eastAsiaTheme="minorHAnsi" w:hAnsi="Palatino Linotype" w:cstheme="minorBidi"/>
          <w:color w:val="000000"/>
          <w:lang w:val="es-MX" w:eastAsia="en-US"/>
        </w:rPr>
        <w:t xml:space="preserve"> Programa Anual de Metas de actividad por Proyecto, </w:t>
      </w:r>
      <w:r w:rsidR="00483071" w:rsidRPr="004803A9">
        <w:rPr>
          <w:rFonts w:ascii="Palatino Linotype" w:eastAsiaTheme="minorHAnsi" w:hAnsi="Palatino Linotype" w:cstheme="minorBidi"/>
          <w:b/>
          <w:color w:val="000000"/>
          <w:lang w:val="es-MX" w:eastAsia="en-US"/>
        </w:rPr>
        <w:t>PbRM-01d</w:t>
      </w:r>
      <w:r w:rsidR="00483071" w:rsidRPr="004803A9">
        <w:rPr>
          <w:rFonts w:ascii="Palatino Linotype" w:eastAsiaTheme="minorHAnsi" w:hAnsi="Palatino Linotype" w:cstheme="minorBidi"/>
          <w:color w:val="000000"/>
          <w:lang w:val="es-MX" w:eastAsia="en-US"/>
        </w:rPr>
        <w:t xml:space="preserve"> Ficha técnica de diseño de indicadores estratégicos o de gestión, </w:t>
      </w:r>
      <w:r w:rsidR="00483071" w:rsidRPr="004803A9">
        <w:rPr>
          <w:rFonts w:ascii="Palatino Linotype" w:eastAsiaTheme="minorHAnsi" w:hAnsi="Palatino Linotype" w:cstheme="minorBidi"/>
          <w:b/>
          <w:color w:val="000000"/>
          <w:lang w:val="es-MX" w:eastAsia="en-US"/>
        </w:rPr>
        <w:t>PbRM-01e</w:t>
      </w:r>
      <w:r w:rsidR="00483071" w:rsidRPr="004803A9">
        <w:rPr>
          <w:rFonts w:ascii="Palatino Linotype" w:eastAsiaTheme="minorHAnsi" w:hAnsi="Palatino Linotype" w:cstheme="minorBidi"/>
          <w:color w:val="000000"/>
          <w:lang w:val="es-MX" w:eastAsia="en-US"/>
        </w:rPr>
        <w:t xml:space="preserve"> Matriz de indicadores para resultados por programa presupuestario y dependencia general, </w:t>
      </w:r>
      <w:r w:rsidR="00483071" w:rsidRPr="004803A9">
        <w:rPr>
          <w:rFonts w:ascii="Palatino Linotype" w:eastAsiaTheme="minorHAnsi" w:hAnsi="Palatino Linotype" w:cstheme="minorBidi"/>
          <w:b/>
          <w:color w:val="000000"/>
          <w:lang w:val="es-MX" w:eastAsia="en-US"/>
        </w:rPr>
        <w:t>PbRM-02a</w:t>
      </w:r>
      <w:r w:rsidR="00483071" w:rsidRPr="004803A9">
        <w:rPr>
          <w:rFonts w:ascii="Palatino Linotype" w:eastAsiaTheme="minorHAnsi" w:hAnsi="Palatino Linotype" w:cstheme="minorBidi"/>
          <w:color w:val="000000"/>
          <w:lang w:val="es-MX" w:eastAsia="en-US"/>
        </w:rPr>
        <w:t xml:space="preserve"> Calendarización de Metas de actividad por Proyecto, </w:t>
      </w:r>
      <w:r w:rsidR="00483071" w:rsidRPr="004803A9">
        <w:rPr>
          <w:rFonts w:ascii="Palatino Linotype" w:eastAsiaTheme="minorHAnsi" w:hAnsi="Palatino Linotype" w:cstheme="minorBidi"/>
          <w:b/>
          <w:color w:val="000000"/>
          <w:lang w:val="es-MX" w:eastAsia="en-US"/>
        </w:rPr>
        <w:t>PbRM-03a</w:t>
      </w:r>
      <w:r w:rsidR="00483071" w:rsidRPr="004803A9">
        <w:rPr>
          <w:rFonts w:ascii="Palatino Linotype" w:eastAsiaTheme="minorHAnsi" w:hAnsi="Palatino Linotype" w:cstheme="minorBidi"/>
          <w:color w:val="000000"/>
          <w:lang w:val="es-MX" w:eastAsia="en-US"/>
        </w:rPr>
        <w:t xml:space="preserve"> Presupuesto de Ingresos Detallado, </w:t>
      </w:r>
      <w:r w:rsidR="00483071" w:rsidRPr="004803A9">
        <w:rPr>
          <w:rFonts w:ascii="Palatino Linotype" w:eastAsiaTheme="minorHAnsi" w:hAnsi="Palatino Linotype" w:cstheme="minorBidi"/>
          <w:b/>
          <w:color w:val="000000"/>
          <w:lang w:val="es-MX" w:eastAsia="en-US"/>
        </w:rPr>
        <w:t>PbRM-03b</w:t>
      </w:r>
      <w:r w:rsidR="00483071" w:rsidRPr="004803A9">
        <w:rPr>
          <w:rFonts w:ascii="Palatino Linotype" w:eastAsiaTheme="minorHAnsi" w:hAnsi="Palatino Linotype" w:cstheme="minorBidi"/>
          <w:color w:val="000000"/>
          <w:lang w:val="es-MX" w:eastAsia="en-US"/>
        </w:rPr>
        <w:t xml:space="preserve"> Caratula de Presupuesto de Ingresos, </w:t>
      </w:r>
      <w:r w:rsidR="00483071" w:rsidRPr="004803A9">
        <w:rPr>
          <w:rFonts w:ascii="Palatino Linotype" w:eastAsiaTheme="minorHAnsi" w:hAnsi="Palatino Linotype" w:cstheme="minorBidi"/>
          <w:b/>
          <w:lang w:val="es-MX" w:eastAsia="en-US"/>
        </w:rPr>
        <w:t xml:space="preserve">PbRM-04a </w:t>
      </w:r>
      <w:r w:rsidR="00483071" w:rsidRPr="004803A9">
        <w:rPr>
          <w:rFonts w:ascii="Palatino Linotype" w:eastAsiaTheme="minorHAnsi" w:hAnsi="Palatino Linotype" w:cstheme="minorBidi"/>
          <w:lang w:val="es-MX" w:eastAsia="en-US"/>
        </w:rPr>
        <w:t>Presupuesto de Egresos Detallado</w:t>
      </w:r>
      <w:r w:rsidR="00483071" w:rsidRPr="004803A9">
        <w:rPr>
          <w:rFonts w:ascii="Palatino Linotype" w:eastAsiaTheme="minorHAnsi" w:hAnsi="Palatino Linotype" w:cstheme="minorBidi"/>
          <w:color w:val="000000"/>
          <w:lang w:val="es-MX" w:eastAsia="en-US"/>
        </w:rPr>
        <w:t xml:space="preserve">, </w:t>
      </w:r>
      <w:r w:rsidR="00483071" w:rsidRPr="004803A9">
        <w:rPr>
          <w:rFonts w:ascii="Palatino Linotype" w:eastAsiaTheme="minorHAnsi" w:hAnsi="Palatino Linotype" w:cstheme="minorBidi"/>
          <w:b/>
          <w:color w:val="000000"/>
          <w:lang w:val="es-MX" w:eastAsia="en-US"/>
        </w:rPr>
        <w:t>PbRM-04b</w:t>
      </w:r>
      <w:r w:rsidR="00483071" w:rsidRPr="004803A9">
        <w:rPr>
          <w:rFonts w:ascii="Palatino Linotype" w:eastAsiaTheme="minorHAnsi" w:hAnsi="Palatino Linotype" w:cstheme="minorBidi"/>
          <w:color w:val="000000"/>
          <w:lang w:val="es-MX" w:eastAsia="en-US"/>
        </w:rPr>
        <w:t xml:space="preserve"> Presupuesto de Egresos por Objeto del Gasto, </w:t>
      </w:r>
      <w:r w:rsidR="00483071" w:rsidRPr="004803A9">
        <w:rPr>
          <w:rFonts w:ascii="Palatino Linotype" w:eastAsiaTheme="minorHAnsi" w:hAnsi="Palatino Linotype" w:cstheme="minorBidi"/>
          <w:b/>
          <w:color w:val="000000"/>
          <w:lang w:val="es-MX" w:eastAsia="en-US"/>
        </w:rPr>
        <w:t>PbRM-04c</w:t>
      </w:r>
      <w:r w:rsidR="00483071" w:rsidRPr="004803A9">
        <w:rPr>
          <w:rFonts w:ascii="Palatino Linotype" w:eastAsiaTheme="minorHAnsi" w:hAnsi="Palatino Linotype" w:cstheme="minorBidi"/>
          <w:color w:val="000000"/>
          <w:lang w:val="es-MX" w:eastAsia="en-US"/>
        </w:rPr>
        <w:t xml:space="preserve"> Presupuesto de Egresos Global Calendarizado, </w:t>
      </w:r>
      <w:r w:rsidR="00483071" w:rsidRPr="004803A9">
        <w:rPr>
          <w:rFonts w:ascii="Palatino Linotype" w:eastAsiaTheme="minorHAnsi" w:hAnsi="Palatino Linotype" w:cstheme="minorBidi"/>
          <w:b/>
          <w:color w:val="000000"/>
          <w:lang w:val="es-MX" w:eastAsia="en-US"/>
        </w:rPr>
        <w:t>PbRM-04d</w:t>
      </w:r>
      <w:r w:rsidR="00483071" w:rsidRPr="004803A9">
        <w:rPr>
          <w:rFonts w:ascii="Palatino Linotype" w:eastAsiaTheme="minorHAnsi" w:hAnsi="Palatino Linotype" w:cstheme="minorBidi"/>
          <w:color w:val="000000"/>
          <w:lang w:val="es-MX" w:eastAsia="en-US"/>
        </w:rPr>
        <w:t xml:space="preserve"> Caratula de Presupuesto de Egresos, </w:t>
      </w:r>
      <w:r w:rsidR="00483071" w:rsidRPr="004803A9">
        <w:rPr>
          <w:rFonts w:ascii="Palatino Linotype" w:eastAsiaTheme="minorHAnsi" w:hAnsi="Palatino Linotype" w:cstheme="minorBidi"/>
          <w:b/>
          <w:color w:val="000000"/>
          <w:lang w:val="es-MX" w:eastAsia="en-US"/>
        </w:rPr>
        <w:t>PbRM-05</w:t>
      </w:r>
      <w:r w:rsidR="00483071" w:rsidRPr="004803A9">
        <w:rPr>
          <w:rFonts w:ascii="Palatino Linotype" w:eastAsiaTheme="minorHAnsi" w:hAnsi="Palatino Linotype" w:cstheme="minorBidi"/>
          <w:color w:val="000000"/>
          <w:lang w:val="es-MX" w:eastAsia="en-US"/>
        </w:rPr>
        <w:t xml:space="preserve"> Tabulador de Sueldos, </w:t>
      </w:r>
      <w:r w:rsidR="00483071" w:rsidRPr="004803A9">
        <w:rPr>
          <w:rFonts w:ascii="Palatino Linotype" w:eastAsiaTheme="minorHAnsi" w:hAnsi="Palatino Linotype" w:cstheme="minorBidi"/>
          <w:b/>
          <w:color w:val="000000"/>
          <w:lang w:val="es-MX" w:eastAsia="en-US"/>
        </w:rPr>
        <w:t>PbRM-06</w:t>
      </w:r>
      <w:r w:rsidR="00483071" w:rsidRPr="004803A9">
        <w:rPr>
          <w:rFonts w:ascii="Palatino Linotype" w:eastAsiaTheme="minorHAnsi" w:hAnsi="Palatino Linotype" w:cstheme="minorBidi"/>
          <w:color w:val="000000"/>
          <w:lang w:val="es-MX" w:eastAsia="en-US"/>
        </w:rPr>
        <w:t xml:space="preserve"> Programa Anual de Adquisiciones, </w:t>
      </w:r>
      <w:r w:rsidR="00483071" w:rsidRPr="004803A9">
        <w:rPr>
          <w:rFonts w:ascii="Palatino Linotype" w:eastAsiaTheme="minorHAnsi" w:hAnsi="Palatino Linotype" w:cstheme="minorBidi"/>
          <w:b/>
          <w:color w:val="000000"/>
          <w:lang w:val="es-MX" w:eastAsia="en-US"/>
        </w:rPr>
        <w:t>PbRM-07</w:t>
      </w:r>
      <w:r w:rsidR="00483071" w:rsidRPr="004803A9">
        <w:rPr>
          <w:rFonts w:ascii="Palatino Linotype" w:eastAsiaTheme="minorHAnsi" w:hAnsi="Palatino Linotype" w:cstheme="minorBidi"/>
          <w:color w:val="000000"/>
          <w:lang w:val="es-MX" w:eastAsia="en-US"/>
        </w:rPr>
        <w:t xml:space="preserve"> Programa Anual de Obra y </w:t>
      </w:r>
      <w:r w:rsidR="00483071" w:rsidRPr="004803A9">
        <w:rPr>
          <w:rFonts w:ascii="Palatino Linotype" w:eastAsiaTheme="minorHAnsi" w:hAnsi="Palatino Linotype" w:cstheme="minorBidi"/>
          <w:b/>
          <w:color w:val="000000"/>
          <w:lang w:val="es-MX" w:eastAsia="en-US"/>
        </w:rPr>
        <w:t>PbRM-07b</w:t>
      </w:r>
      <w:r w:rsidR="00483071" w:rsidRPr="004803A9">
        <w:rPr>
          <w:rFonts w:ascii="Palatino Linotype" w:eastAsiaTheme="minorHAnsi" w:hAnsi="Palatino Linotype" w:cstheme="minorBidi"/>
          <w:color w:val="000000"/>
          <w:lang w:val="es-MX" w:eastAsia="en-US"/>
        </w:rPr>
        <w:t xml:space="preserve"> Programa Anual de Obra (Reparaciones y Mantenimiento).</w:t>
      </w:r>
    </w:p>
    <w:p w14:paraId="33FC6181" w14:textId="77777777" w:rsidR="00483071" w:rsidRPr="004803A9" w:rsidRDefault="00483071" w:rsidP="00483071">
      <w:pPr>
        <w:tabs>
          <w:tab w:val="left" w:pos="709"/>
        </w:tabs>
        <w:spacing w:line="360" w:lineRule="auto"/>
        <w:jc w:val="both"/>
        <w:rPr>
          <w:rFonts w:ascii="Palatino Linotype" w:eastAsiaTheme="minorHAnsi" w:hAnsi="Palatino Linotype" w:cstheme="minorBidi"/>
          <w:color w:val="000000"/>
          <w:lang w:val="es-MX" w:eastAsia="en-US"/>
        </w:rPr>
      </w:pPr>
    </w:p>
    <w:p w14:paraId="61DE828D" w14:textId="5A9E9B45" w:rsidR="003212CC" w:rsidRPr="004803A9" w:rsidRDefault="00483071" w:rsidP="00483071">
      <w:pPr>
        <w:spacing w:line="360" w:lineRule="auto"/>
        <w:contextualSpacing/>
        <w:jc w:val="both"/>
        <w:rPr>
          <w:rFonts w:ascii="Palatino Linotype" w:eastAsiaTheme="minorHAnsi" w:hAnsi="Palatino Linotype" w:cstheme="minorBidi"/>
          <w:color w:val="000000"/>
          <w:lang w:val="es-MX" w:eastAsia="en-US"/>
        </w:rPr>
      </w:pPr>
      <w:r w:rsidRPr="004803A9">
        <w:rPr>
          <w:rFonts w:ascii="Palatino Linotype" w:eastAsiaTheme="minorHAnsi" w:hAnsi="Palatino Linotype" w:cstheme="minorBidi"/>
          <w:color w:val="000000"/>
          <w:lang w:val="es-MX" w:eastAsia="en-US"/>
        </w:rPr>
        <w:t>Una vez recopilada la información del Anteproyecto de Presupuesto de Egresos por la Tesorería, mediante los formatos del Programa Anual (PbRM-01 en todas sus series),</w:t>
      </w:r>
      <w:r w:rsidRPr="004803A9">
        <w:t xml:space="preserve"> </w:t>
      </w:r>
      <w:r w:rsidRPr="004803A9">
        <w:rPr>
          <w:rFonts w:ascii="Palatino Linotype" w:eastAsiaTheme="minorHAnsi" w:hAnsi="Palatino Linotype" w:cstheme="minorBidi"/>
          <w:color w:val="000000"/>
          <w:lang w:val="es-MX" w:eastAsia="en-US"/>
        </w:rPr>
        <w:t xml:space="preserve">y en el caso particular, resulta ser de nuestro interés el formato </w:t>
      </w:r>
      <w:proofErr w:type="gramStart"/>
      <w:r w:rsidRPr="004803A9">
        <w:rPr>
          <w:rFonts w:ascii="Palatino Linotype" w:eastAsiaTheme="minorHAnsi" w:hAnsi="Palatino Linotype" w:cstheme="minorBidi"/>
          <w:color w:val="000000"/>
          <w:lang w:val="es-MX" w:eastAsia="en-US"/>
        </w:rPr>
        <w:t xml:space="preserve">denominado </w:t>
      </w:r>
      <w:r w:rsidRPr="004803A9">
        <w:rPr>
          <w:rFonts w:ascii="Palatino Linotype" w:eastAsiaTheme="minorHAnsi" w:hAnsi="Palatino Linotype" w:cstheme="minorBidi"/>
          <w:b/>
          <w:bCs/>
          <w:color w:val="000000"/>
          <w:lang w:val="es-MX" w:eastAsia="en-US"/>
        </w:rPr>
        <w:t xml:space="preserve"> </w:t>
      </w:r>
      <w:r w:rsidRPr="004803A9">
        <w:rPr>
          <w:rFonts w:ascii="Palatino Linotype" w:eastAsiaTheme="minorHAnsi" w:hAnsi="Palatino Linotype" w:cstheme="minorBidi"/>
          <w:b/>
          <w:color w:val="000000"/>
          <w:u w:val="single"/>
          <w:lang w:val="es-MX" w:eastAsia="en-US"/>
        </w:rPr>
        <w:t>Programa</w:t>
      </w:r>
      <w:proofErr w:type="gramEnd"/>
      <w:r w:rsidRPr="004803A9">
        <w:rPr>
          <w:rFonts w:ascii="Palatino Linotype" w:eastAsiaTheme="minorHAnsi" w:hAnsi="Palatino Linotype" w:cstheme="minorBidi"/>
          <w:b/>
          <w:color w:val="000000"/>
          <w:u w:val="single"/>
          <w:lang w:val="es-MX" w:eastAsia="en-US"/>
        </w:rPr>
        <w:t xml:space="preserve"> </w:t>
      </w:r>
      <w:r w:rsidRPr="004803A9">
        <w:rPr>
          <w:rFonts w:ascii="Palatino Linotype" w:eastAsiaTheme="minorHAnsi" w:hAnsi="Palatino Linotype" w:cstheme="minorBidi"/>
          <w:b/>
          <w:color w:val="000000"/>
          <w:u w:val="single"/>
          <w:lang w:val="es-MX" w:eastAsia="en-US"/>
        </w:rPr>
        <w:lastRenderedPageBreak/>
        <w:t>Anual Dimensión Administrativa del Gasto (PbRM-01a)</w:t>
      </w:r>
      <w:r w:rsidRPr="004803A9">
        <w:rPr>
          <w:rFonts w:ascii="Palatino Linotype" w:eastAsiaTheme="minorHAnsi" w:hAnsi="Palatino Linotype" w:cstheme="minorBidi"/>
          <w:color w:val="000000"/>
          <w:lang w:val="es-MX" w:eastAsia="en-US"/>
        </w:rPr>
        <w:t>, el cual contiene lo siguiente:</w:t>
      </w:r>
    </w:p>
    <w:p w14:paraId="3EBCBDB8" w14:textId="4AD67F56" w:rsidR="00483071" w:rsidRPr="004803A9" w:rsidRDefault="00483071" w:rsidP="00483071">
      <w:pPr>
        <w:spacing w:line="360" w:lineRule="auto"/>
        <w:contextualSpacing/>
        <w:jc w:val="center"/>
        <w:rPr>
          <w:rFonts w:ascii="Palatino Linotype" w:hAnsi="Palatino Linotype" w:cs="Arial"/>
          <w:bCs/>
        </w:rPr>
      </w:pPr>
      <w:r w:rsidRPr="004803A9">
        <w:rPr>
          <w:rFonts w:ascii="Palatino Linotype" w:hAnsi="Palatino Linotype" w:cs="Arial"/>
          <w:bCs/>
          <w:noProof/>
          <w:lang w:val="es-MX" w:eastAsia="es-MX"/>
        </w:rPr>
        <w:drawing>
          <wp:inline distT="0" distB="0" distL="0" distR="0" wp14:anchorId="21DFDEF6" wp14:editId="4E8DC147">
            <wp:extent cx="5312440" cy="5953125"/>
            <wp:effectExtent l="190500" t="190500" r="19304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17301" cy="5958572"/>
                    </a:xfrm>
                    <a:prstGeom prst="rect">
                      <a:avLst/>
                    </a:prstGeom>
                    <a:ln>
                      <a:noFill/>
                    </a:ln>
                    <a:effectLst>
                      <a:outerShdw blurRad="190500" algn="tl" rotWithShape="0">
                        <a:srgbClr val="000000">
                          <a:alpha val="70000"/>
                        </a:srgbClr>
                      </a:outerShdw>
                    </a:effectLst>
                  </pic:spPr>
                </pic:pic>
              </a:graphicData>
            </a:graphic>
          </wp:inline>
        </w:drawing>
      </w:r>
    </w:p>
    <w:p w14:paraId="2F3CB250" w14:textId="77777777" w:rsidR="00483071" w:rsidRPr="004803A9" w:rsidRDefault="00483071" w:rsidP="003212CC">
      <w:pPr>
        <w:spacing w:line="360" w:lineRule="auto"/>
        <w:jc w:val="both"/>
        <w:rPr>
          <w:rFonts w:ascii="Palatino Linotype" w:hAnsi="Palatino Linotype"/>
        </w:rPr>
      </w:pPr>
    </w:p>
    <w:p w14:paraId="09A8978E" w14:textId="77777777" w:rsidR="00901F1F" w:rsidRPr="004803A9" w:rsidRDefault="00901F1F" w:rsidP="003212CC">
      <w:pPr>
        <w:spacing w:line="360" w:lineRule="auto"/>
        <w:jc w:val="both"/>
        <w:rPr>
          <w:rFonts w:ascii="Palatino Linotype" w:hAnsi="Palatino Linotype" w:cs="Arial"/>
        </w:rPr>
      </w:pPr>
      <w:r w:rsidRPr="004803A9">
        <w:rPr>
          <w:rFonts w:ascii="Palatino Linotype" w:hAnsi="Palatino Linotype"/>
        </w:rPr>
        <w:t xml:space="preserve">En las generalizaciones anteriores, se desprende que la esfera competencial del </w:t>
      </w:r>
      <w:r w:rsidRPr="004803A9">
        <w:rPr>
          <w:rFonts w:ascii="Palatino Linotype" w:hAnsi="Palatino Linotype"/>
          <w:b/>
          <w:bCs/>
        </w:rPr>
        <w:t xml:space="preserve">Sujeto Obligado </w:t>
      </w:r>
      <w:r w:rsidRPr="004803A9">
        <w:rPr>
          <w:rFonts w:ascii="Palatino Linotype" w:hAnsi="Palatino Linotype"/>
        </w:rPr>
        <w:t xml:space="preserve">le constriñe a generar, poseer y administrar la información requerida. </w:t>
      </w:r>
      <w:r w:rsidRPr="004803A9">
        <w:rPr>
          <w:rFonts w:ascii="Palatino Linotype" w:hAnsi="Palatino Linotype" w:cs="Arial"/>
        </w:rPr>
        <w:t xml:space="preserve">Bajo </w:t>
      </w:r>
      <w:r w:rsidRPr="004803A9">
        <w:rPr>
          <w:rFonts w:ascii="Palatino Linotype" w:hAnsi="Palatino Linotype" w:cs="Arial"/>
        </w:rPr>
        <w:lastRenderedPageBreak/>
        <w:t xml:space="preserve">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87608AB" w14:textId="77777777" w:rsidR="006C5673" w:rsidRPr="004803A9" w:rsidRDefault="006C5673" w:rsidP="003212CC">
      <w:pPr>
        <w:spacing w:line="360" w:lineRule="auto"/>
        <w:jc w:val="both"/>
        <w:rPr>
          <w:rFonts w:ascii="Palatino Linotype" w:hAnsi="Palatino Linotype" w:cs="Arial"/>
        </w:rPr>
      </w:pPr>
    </w:p>
    <w:p w14:paraId="23CAD564" w14:textId="77777777" w:rsidR="00901F1F" w:rsidRPr="004803A9" w:rsidRDefault="00901F1F" w:rsidP="003212CC">
      <w:pPr>
        <w:pStyle w:val="Citas"/>
        <w:spacing w:before="0" w:after="0"/>
      </w:pPr>
      <w:r w:rsidRPr="004803A9">
        <w:t xml:space="preserve">“Artículo 18. Los sujetos obligados deberán documentar todo acto que derive del ejercicio de sus facultades, competencias o funciones, considerando desde su origen la eventual publicidad y reutilización de la información que generen. </w:t>
      </w:r>
    </w:p>
    <w:p w14:paraId="376916A6" w14:textId="77777777" w:rsidR="00901F1F" w:rsidRPr="004803A9" w:rsidRDefault="00901F1F" w:rsidP="003212CC">
      <w:pPr>
        <w:pStyle w:val="Citas"/>
        <w:spacing w:before="0" w:after="0"/>
      </w:pPr>
      <w:r w:rsidRPr="004803A9">
        <w:t xml:space="preserve">Artículo 19. Se presume que la información debe existir si se refiere a las facultades, competencias y funciones que los ordenamientos jurídicos aplicables otorgan a los sujetos obligados. </w:t>
      </w:r>
    </w:p>
    <w:p w14:paraId="5596B66B" w14:textId="77777777" w:rsidR="00901F1F" w:rsidRPr="004803A9" w:rsidRDefault="00901F1F" w:rsidP="003212CC">
      <w:pPr>
        <w:pStyle w:val="Citas"/>
        <w:spacing w:before="0" w:after="0"/>
      </w:pPr>
      <w:r w:rsidRPr="004803A9">
        <w:t xml:space="preserve">En los casos en que ciertas facultades, competencias o funciones no se hayan ejercido, se debe motivar la respuesta en función de las causas que motiven tal circunstancia. </w:t>
      </w:r>
    </w:p>
    <w:p w14:paraId="11E11817" w14:textId="77777777" w:rsidR="00901F1F" w:rsidRPr="004803A9" w:rsidRDefault="00901F1F" w:rsidP="003212CC">
      <w:pPr>
        <w:spacing w:line="360" w:lineRule="auto"/>
        <w:ind w:left="851" w:right="899"/>
        <w:contextualSpacing/>
        <w:jc w:val="both"/>
        <w:rPr>
          <w:rFonts w:ascii="Palatino Linotype" w:hAnsi="Palatino Linotype" w:cs="Arial"/>
          <w:bCs/>
          <w:i/>
        </w:rPr>
      </w:pPr>
      <w:r w:rsidRPr="004803A9">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4803A9">
        <w:rPr>
          <w:rFonts w:ascii="Palatino Linotype" w:hAnsi="Palatino Linotype"/>
          <w:b/>
          <w:bCs/>
          <w:i/>
        </w:rPr>
        <w:t>(Sic)</w:t>
      </w:r>
    </w:p>
    <w:p w14:paraId="0365EF72" w14:textId="77777777" w:rsidR="00901F1F" w:rsidRPr="004803A9" w:rsidRDefault="00901F1F" w:rsidP="003212CC">
      <w:pPr>
        <w:spacing w:line="360" w:lineRule="auto"/>
        <w:contextualSpacing/>
        <w:jc w:val="both"/>
        <w:rPr>
          <w:rFonts w:ascii="Palatino Linotype" w:hAnsi="Palatino Linotype" w:cs="Arial"/>
          <w:bCs/>
        </w:rPr>
      </w:pPr>
    </w:p>
    <w:p w14:paraId="789F87A8" w14:textId="77777777" w:rsidR="00901F1F" w:rsidRPr="004803A9" w:rsidRDefault="00901F1F" w:rsidP="003212CC">
      <w:pPr>
        <w:spacing w:line="360" w:lineRule="auto"/>
        <w:contextualSpacing/>
        <w:jc w:val="both"/>
        <w:rPr>
          <w:rFonts w:ascii="Palatino Linotype" w:hAnsi="Palatino Linotype"/>
          <w:iCs/>
        </w:rPr>
      </w:pPr>
      <w:r w:rsidRPr="004803A9">
        <w:rPr>
          <w:rFonts w:ascii="Palatino Linotype" w:hAnsi="Palatino Linotype" w:cs="Arial"/>
          <w:bCs/>
        </w:rPr>
        <w:t xml:space="preserve">De forma complementaria, se comprende que el </w:t>
      </w:r>
      <w:r w:rsidRPr="004803A9">
        <w:rPr>
          <w:rFonts w:ascii="Palatino Linotype" w:hAnsi="Palatino Linotype"/>
          <w:iCs/>
        </w:rPr>
        <w:t xml:space="preserve">derecho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1B242E6C" w14:textId="77777777" w:rsidR="00901F1F" w:rsidRPr="004803A9" w:rsidRDefault="00901F1F" w:rsidP="003212CC">
      <w:pPr>
        <w:spacing w:line="360" w:lineRule="auto"/>
        <w:contextualSpacing/>
        <w:jc w:val="both"/>
        <w:rPr>
          <w:rFonts w:ascii="Palatino Linotype" w:eastAsia="MS Mincho" w:hAnsi="Palatino Linotype" w:cs="Arial"/>
          <w:lang w:val="es-MX"/>
        </w:rPr>
      </w:pPr>
    </w:p>
    <w:p w14:paraId="56159869" w14:textId="77777777" w:rsidR="00901F1F" w:rsidRPr="004803A9" w:rsidRDefault="00901F1F" w:rsidP="003212CC">
      <w:pPr>
        <w:autoSpaceDE w:val="0"/>
        <w:autoSpaceDN w:val="0"/>
        <w:adjustRightInd w:val="0"/>
        <w:spacing w:line="360" w:lineRule="auto"/>
        <w:contextualSpacing/>
        <w:jc w:val="both"/>
        <w:rPr>
          <w:rFonts w:ascii="Palatino Linotype" w:hAnsi="Palatino Linotype" w:cs="Arial"/>
          <w:b/>
          <w:i/>
          <w:sz w:val="28"/>
        </w:rPr>
      </w:pPr>
      <w:r w:rsidRPr="004803A9">
        <w:rPr>
          <w:rFonts w:ascii="Palatino Linotype" w:hAnsi="Palatino Linotype" w:cs="Arial"/>
          <w:b/>
          <w:i/>
          <w:sz w:val="28"/>
        </w:rPr>
        <w:t>De la versión pública</w:t>
      </w:r>
    </w:p>
    <w:p w14:paraId="1584D04F"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3382A36"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3CB82658"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7FA3D7CE"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4B9AF1DF"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23DD18E"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689CEA62"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4803A9">
        <w:rPr>
          <w:rFonts w:ascii="Palatino Linotype" w:eastAsia="Calibri" w:hAnsi="Palatino Linotype" w:cs="Arial"/>
          <w:lang w:eastAsia="es-MX"/>
        </w:rPr>
        <w:lastRenderedPageBreak/>
        <w:t xml:space="preserve">deben testarse al momento de la elaboración de versiones públicas, tal es el caso del </w:t>
      </w:r>
      <w:r w:rsidRPr="004803A9">
        <w:rPr>
          <w:rFonts w:ascii="Palatino Linotype" w:eastAsia="Calibri" w:hAnsi="Palatino Linotype" w:cs="Arial"/>
          <w:b/>
          <w:lang w:eastAsia="es-MX"/>
        </w:rPr>
        <w:t>Registro Federal de Contribuyentes</w:t>
      </w:r>
      <w:r w:rsidRPr="004803A9">
        <w:rPr>
          <w:rFonts w:ascii="Palatino Linotype" w:eastAsia="Calibri" w:hAnsi="Palatino Linotype" w:cs="Arial"/>
          <w:lang w:eastAsia="es-MX"/>
        </w:rPr>
        <w:t xml:space="preserve"> (RFC), la </w:t>
      </w:r>
      <w:r w:rsidRPr="004803A9">
        <w:rPr>
          <w:rFonts w:ascii="Palatino Linotype" w:eastAsia="Calibri" w:hAnsi="Palatino Linotype" w:cs="Arial"/>
          <w:b/>
          <w:lang w:eastAsia="es-MX"/>
        </w:rPr>
        <w:t>Clave Única de Registro de Población</w:t>
      </w:r>
      <w:r w:rsidRPr="004803A9">
        <w:rPr>
          <w:rFonts w:ascii="Palatino Linotype" w:eastAsia="Calibri" w:hAnsi="Palatino Linotype" w:cs="Arial"/>
          <w:lang w:eastAsia="es-MX"/>
        </w:rPr>
        <w:t xml:space="preserve"> (CURP).</w:t>
      </w:r>
    </w:p>
    <w:p w14:paraId="66D89B79"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1ED1640D"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 xml:space="preserve">En cuanto al </w:t>
      </w:r>
      <w:r w:rsidRPr="004803A9">
        <w:rPr>
          <w:rFonts w:ascii="Palatino Linotype" w:eastAsia="Calibri" w:hAnsi="Palatino Linotype" w:cs="Arial"/>
          <w:b/>
          <w:lang w:eastAsia="es-MX"/>
        </w:rPr>
        <w:t>RFC</w:t>
      </w:r>
      <w:r w:rsidRPr="004803A9">
        <w:rPr>
          <w:rFonts w:ascii="Palatino Linotype" w:eastAsia="Calibri" w:hAnsi="Palatino Linotype" w:cs="Arial"/>
          <w:lang w:eastAsia="es-MX"/>
        </w:rPr>
        <w:t xml:space="preserv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1F7FA32"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01464834"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Lo anterior, es compartido por el entonces Instituto Federal de Acceso a la Información Protección de Datos (IFAI) a través del Criterio 09/2009, el cual es del tenor literal siguiente:</w:t>
      </w:r>
    </w:p>
    <w:p w14:paraId="004CA5EC"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1785F69A"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
          <w:bCs/>
          <w:i/>
          <w:lang w:eastAsia="es-MX"/>
        </w:rPr>
        <w:t xml:space="preserve">“Registro Federal de Contribuyentes (RFC) de las personas físicas es un dato personal confidencial. </w:t>
      </w:r>
      <w:r w:rsidRPr="004803A9">
        <w:rPr>
          <w:rFonts w:ascii="Palatino Linotype" w:eastAsia="Calibri" w:hAnsi="Palatino Linotype" w:cs="Arial"/>
          <w:i/>
          <w:lang w:eastAsia="es-MX"/>
        </w:rPr>
        <w:t>De conformidad con lo establecido en el artículo 18,</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fracción II de la Ley Federal de Transparencia y Acceso a la Información Pública</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 xml:space="preserve">Gubernamental </w:t>
      </w:r>
      <w:r w:rsidRPr="004803A9">
        <w:rPr>
          <w:rFonts w:ascii="Palatino Linotype" w:eastAsia="Calibri" w:hAnsi="Palatino Linotype" w:cs="Arial"/>
          <w:i/>
          <w:u w:val="single"/>
          <w:lang w:eastAsia="es-MX"/>
        </w:rPr>
        <w:t>se considera información confidencial los datos personales que</w:t>
      </w:r>
      <w:r w:rsidRPr="004803A9">
        <w:rPr>
          <w:rFonts w:ascii="Palatino Linotype" w:eastAsia="Calibri" w:hAnsi="Palatino Linotype" w:cs="Arial"/>
          <w:bCs/>
          <w:i/>
          <w:u w:val="single"/>
          <w:lang w:eastAsia="es-MX"/>
        </w:rPr>
        <w:t xml:space="preserve"> </w:t>
      </w:r>
      <w:r w:rsidRPr="004803A9">
        <w:rPr>
          <w:rFonts w:ascii="Palatino Linotype" w:eastAsia="Calibri" w:hAnsi="Palatino Linotype" w:cs="Arial"/>
          <w:i/>
          <w:u w:val="single"/>
          <w:lang w:eastAsia="es-MX"/>
        </w:rPr>
        <w:t>requieren el consentimiento de los individuos para su difusión, distribución o</w:t>
      </w:r>
      <w:r w:rsidRPr="004803A9">
        <w:rPr>
          <w:rFonts w:ascii="Palatino Linotype" w:eastAsia="Calibri" w:hAnsi="Palatino Linotype" w:cs="Arial"/>
          <w:bCs/>
          <w:i/>
          <w:u w:val="single"/>
          <w:lang w:eastAsia="es-MX"/>
        </w:rPr>
        <w:t xml:space="preserve"> </w:t>
      </w:r>
      <w:r w:rsidRPr="004803A9">
        <w:rPr>
          <w:rFonts w:ascii="Palatino Linotype" w:eastAsia="Calibri" w:hAnsi="Palatino Linotype" w:cs="Arial"/>
          <w:i/>
          <w:u w:val="single"/>
          <w:lang w:eastAsia="es-MX"/>
        </w:rPr>
        <w:t>comercialización en los términos de esta Ley. Por su parte, según dispone el</w:t>
      </w:r>
      <w:r w:rsidRPr="004803A9">
        <w:rPr>
          <w:rFonts w:ascii="Palatino Linotype" w:eastAsia="Calibri" w:hAnsi="Palatino Linotype" w:cs="Arial"/>
          <w:bCs/>
          <w:i/>
          <w:u w:val="single"/>
          <w:lang w:eastAsia="es-MX"/>
        </w:rPr>
        <w:t xml:space="preserve"> </w:t>
      </w:r>
      <w:r w:rsidRPr="004803A9">
        <w:rPr>
          <w:rFonts w:ascii="Palatino Linotype" w:eastAsia="Calibri" w:hAnsi="Palatino Linotype" w:cs="Arial"/>
          <w:i/>
          <w:u w:val="single"/>
          <w:lang w:eastAsia="es-MX"/>
        </w:rPr>
        <w:t>artículo 3, fracción II de la Ley Federal de Transparencia y Acceso a la Información</w:t>
      </w:r>
      <w:r w:rsidRPr="004803A9">
        <w:rPr>
          <w:rFonts w:ascii="Palatino Linotype" w:eastAsia="Calibri" w:hAnsi="Palatino Linotype" w:cs="Arial"/>
          <w:bCs/>
          <w:i/>
          <w:u w:val="single"/>
          <w:lang w:eastAsia="es-MX"/>
        </w:rPr>
        <w:t xml:space="preserve"> </w:t>
      </w:r>
      <w:r w:rsidRPr="004803A9">
        <w:rPr>
          <w:rFonts w:ascii="Palatino Linotype" w:eastAsia="Calibri" w:hAnsi="Palatino Linotype" w:cs="Arial"/>
          <w:i/>
          <w:u w:val="single"/>
          <w:lang w:eastAsia="es-MX"/>
        </w:rPr>
        <w:t>Pública Gubernamental, dato personal es toda aquella información concerniente a</w:t>
      </w:r>
      <w:r w:rsidRPr="004803A9">
        <w:rPr>
          <w:rFonts w:ascii="Palatino Linotype" w:eastAsia="Calibri" w:hAnsi="Palatino Linotype" w:cs="Arial"/>
          <w:bCs/>
          <w:i/>
          <w:u w:val="single"/>
          <w:lang w:eastAsia="es-MX"/>
        </w:rPr>
        <w:t xml:space="preserve"> </w:t>
      </w:r>
      <w:r w:rsidRPr="004803A9">
        <w:rPr>
          <w:rFonts w:ascii="Palatino Linotype" w:eastAsia="Calibri" w:hAnsi="Palatino Linotype" w:cs="Arial"/>
          <w:i/>
          <w:u w:val="single"/>
          <w:lang w:eastAsia="es-MX"/>
        </w:rPr>
        <w:t>una persona física identificada o identificable</w:t>
      </w:r>
      <w:r w:rsidRPr="004803A9">
        <w:rPr>
          <w:rFonts w:ascii="Palatino Linotype" w:eastAsia="Calibri" w:hAnsi="Palatino Linotype" w:cs="Arial"/>
          <w:i/>
          <w:lang w:eastAsia="es-MX"/>
        </w:rPr>
        <w:t xml:space="preserve">. Para </w:t>
      </w:r>
      <w:r w:rsidRPr="004803A9">
        <w:rPr>
          <w:rFonts w:ascii="Palatino Linotype" w:eastAsia="Calibri" w:hAnsi="Palatino Linotype" w:cs="Arial"/>
          <w:i/>
          <w:u w:val="single"/>
          <w:lang w:eastAsia="es-MX"/>
        </w:rPr>
        <w:t>obtener el RFC es necesario</w:t>
      </w:r>
      <w:r w:rsidRPr="004803A9">
        <w:rPr>
          <w:rFonts w:ascii="Palatino Linotype" w:eastAsia="Calibri" w:hAnsi="Palatino Linotype" w:cs="Arial"/>
          <w:b/>
          <w:bCs/>
          <w:i/>
          <w:u w:val="single"/>
          <w:lang w:eastAsia="es-MX"/>
        </w:rPr>
        <w:t xml:space="preserve"> </w:t>
      </w:r>
      <w:r w:rsidRPr="004803A9">
        <w:rPr>
          <w:rFonts w:ascii="Palatino Linotype" w:eastAsia="Calibri" w:hAnsi="Palatino Linotype" w:cs="Arial"/>
          <w:i/>
          <w:u w:val="single"/>
          <w:lang w:eastAsia="es-MX"/>
        </w:rPr>
        <w:t>acreditar previamente mediante documentos oficiales (pasaporte, acta de</w:t>
      </w:r>
      <w:r w:rsidRPr="004803A9">
        <w:rPr>
          <w:rFonts w:ascii="Palatino Linotype" w:eastAsia="Calibri" w:hAnsi="Palatino Linotype" w:cs="Arial"/>
          <w:b/>
          <w:bCs/>
          <w:i/>
          <w:u w:val="single"/>
          <w:lang w:eastAsia="es-MX"/>
        </w:rPr>
        <w:t xml:space="preserve"> </w:t>
      </w:r>
      <w:r w:rsidRPr="004803A9">
        <w:rPr>
          <w:rFonts w:ascii="Palatino Linotype" w:eastAsia="Calibri" w:hAnsi="Palatino Linotype" w:cs="Arial"/>
          <w:i/>
          <w:u w:val="single"/>
          <w:lang w:eastAsia="es-MX"/>
        </w:rPr>
        <w:t xml:space="preserve">nacimiento, etc.) la </w:t>
      </w:r>
      <w:r w:rsidRPr="004803A9">
        <w:rPr>
          <w:rFonts w:ascii="Palatino Linotype" w:eastAsia="Calibri" w:hAnsi="Palatino Linotype" w:cs="Arial"/>
          <w:i/>
          <w:u w:val="single"/>
          <w:lang w:eastAsia="es-MX"/>
        </w:rPr>
        <w:lastRenderedPageBreak/>
        <w:t>identidad de la persona, su fecha y lugar de nacimiento, entre</w:t>
      </w:r>
      <w:r w:rsidRPr="004803A9">
        <w:rPr>
          <w:rFonts w:ascii="Palatino Linotype" w:eastAsia="Calibri" w:hAnsi="Palatino Linotype" w:cs="Arial"/>
          <w:b/>
          <w:bCs/>
          <w:i/>
          <w:u w:val="single"/>
          <w:lang w:eastAsia="es-MX"/>
        </w:rPr>
        <w:t xml:space="preserve"> </w:t>
      </w:r>
      <w:r w:rsidRPr="004803A9">
        <w:rPr>
          <w:rFonts w:ascii="Palatino Linotype" w:eastAsia="Calibri" w:hAnsi="Palatino Linotype" w:cs="Arial"/>
          <w:i/>
          <w:u w:val="single"/>
          <w:lang w:eastAsia="es-MX"/>
        </w:rPr>
        <w:t xml:space="preserve">otros. </w:t>
      </w:r>
      <w:r w:rsidRPr="004803A9">
        <w:rPr>
          <w:rFonts w:ascii="Palatino Linotype" w:eastAsia="Calibri" w:hAnsi="Palatino Linotype" w:cs="Arial"/>
          <w:i/>
          <w:lang w:eastAsia="es-MX"/>
        </w:rPr>
        <w:t>De acuerdo con la legislación tributaria, las personas físicas tramitan su</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inscripción en el Registro Federal de Contribuyentes con el único propósito de</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realizar mediante esa clave de identificación, operaciones o actividades de</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naturaleza tributaria. En este sentido, el artículo 79 del Código Fiscal de la</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Federación prevé que la utilización de una clave de registro no asignada por la</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autoridad constituye como una infracción en materia fiscal. De acuerdo con lo</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antes apuntado, el RFC vinculado al nombre de su titular, permite identificar la</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 xml:space="preserve">edad de la persona, así como su </w:t>
      </w:r>
      <w:proofErr w:type="spellStart"/>
      <w:r w:rsidRPr="004803A9">
        <w:rPr>
          <w:rFonts w:ascii="Palatino Linotype" w:eastAsia="Calibri" w:hAnsi="Palatino Linotype" w:cs="Arial"/>
          <w:i/>
          <w:lang w:eastAsia="es-MX"/>
        </w:rPr>
        <w:t>homoclave</w:t>
      </w:r>
      <w:proofErr w:type="spellEnd"/>
      <w:r w:rsidRPr="004803A9">
        <w:rPr>
          <w:rFonts w:ascii="Palatino Linotype" w:eastAsia="Calibri" w:hAnsi="Palatino Linotype" w:cs="Arial"/>
          <w:i/>
          <w:lang w:eastAsia="es-MX"/>
        </w:rPr>
        <w:t>, siendo esta última única e irrepetible,</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por lo que es posible concluir que el RFC constituye un dato personal y, por tanto,</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información confidencial, de conformidad con los previsto en el artículo 18,</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fracción II de la Ley Federal de Transparencia y Acceso a la Información Pública</w:t>
      </w:r>
      <w:r w:rsidRPr="004803A9">
        <w:rPr>
          <w:rFonts w:ascii="Palatino Linotype" w:eastAsia="Calibri" w:hAnsi="Palatino Linotype" w:cs="Arial"/>
          <w:b/>
          <w:bCs/>
          <w:i/>
          <w:lang w:eastAsia="es-MX"/>
        </w:rPr>
        <w:t xml:space="preserve"> </w:t>
      </w:r>
      <w:r w:rsidRPr="004803A9">
        <w:rPr>
          <w:rFonts w:ascii="Palatino Linotype" w:eastAsia="Calibri" w:hAnsi="Palatino Linotype" w:cs="Arial"/>
          <w:i/>
          <w:lang w:eastAsia="es-MX"/>
        </w:rPr>
        <w:t>Gubernamental</w:t>
      </w:r>
      <w:r w:rsidRPr="004803A9">
        <w:rPr>
          <w:rFonts w:ascii="Palatino Linotype" w:eastAsia="Calibri" w:hAnsi="Palatino Linotype" w:cs="Arial"/>
          <w:bCs/>
          <w:i/>
          <w:lang w:eastAsia="es-MX"/>
        </w:rPr>
        <w:t>…” (Sic)</w:t>
      </w:r>
    </w:p>
    <w:p w14:paraId="095222D6" w14:textId="77777777" w:rsidR="00901F1F" w:rsidRPr="004803A9" w:rsidRDefault="00901F1F" w:rsidP="003212CC">
      <w:pPr>
        <w:tabs>
          <w:tab w:val="left" w:pos="8647"/>
        </w:tabs>
        <w:spacing w:line="360" w:lineRule="auto"/>
        <w:ind w:left="567" w:right="284"/>
        <w:jc w:val="right"/>
        <w:rPr>
          <w:rFonts w:ascii="Palatino Linotype" w:eastAsia="Calibri" w:hAnsi="Palatino Linotype" w:cs="Arial"/>
          <w:lang w:eastAsia="es-MX"/>
        </w:rPr>
      </w:pPr>
      <w:r w:rsidRPr="004803A9">
        <w:rPr>
          <w:rFonts w:ascii="Palatino Linotype" w:eastAsia="Calibri" w:hAnsi="Palatino Linotype" w:cs="Arial"/>
          <w:lang w:eastAsia="es-MX"/>
        </w:rPr>
        <w:t>(Énfasis añadido)</w:t>
      </w:r>
    </w:p>
    <w:p w14:paraId="2F0F3240"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7507982A"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 xml:space="preserve">Así, el RFC se vincula al nombre de su titular y permite identificar la edad de la persona, su fecha de nacimiento, así como su </w:t>
      </w:r>
      <w:proofErr w:type="spellStart"/>
      <w:r w:rsidRPr="004803A9">
        <w:rPr>
          <w:rFonts w:ascii="Palatino Linotype" w:eastAsia="Calibri" w:hAnsi="Palatino Linotype" w:cs="Arial"/>
          <w:lang w:eastAsia="es-MX"/>
        </w:rPr>
        <w:t>homoclave</w:t>
      </w:r>
      <w:proofErr w:type="spellEnd"/>
      <w:r w:rsidRPr="004803A9">
        <w:rPr>
          <w:rFonts w:ascii="Palatino Linotype" w:eastAsia="Calibri"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F657812"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32BC2B46"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 xml:space="preserve">En cuanto al CURP, en virtud de que éste se integra por datos personales que únicamente le conciernen a un particular como son su fecha de nacimiento, su nombre, sus apellidos y su lugar de nacimiento; información que permite distinguirlo del resto </w:t>
      </w:r>
      <w:r w:rsidRPr="004803A9">
        <w:rPr>
          <w:rFonts w:ascii="Palatino Linotype" w:eastAsia="Calibri" w:hAnsi="Palatino Linotype" w:cs="Arial"/>
          <w:lang w:eastAsia="es-MX"/>
        </w:rPr>
        <w:lastRenderedPageBreak/>
        <w:t xml:space="preserve">de los habitantes, se considera que es de carácter confidencial. Argumento que es compartido por el entonces </w:t>
      </w:r>
      <w:r w:rsidRPr="004803A9">
        <w:rPr>
          <w:rFonts w:ascii="Palatino Linotype" w:eastAsia="Calibri" w:hAnsi="Palatino Linotype" w:cs="Arial"/>
          <w:b/>
          <w:bCs/>
          <w:lang w:eastAsia="es-MX"/>
        </w:rPr>
        <w:t xml:space="preserve">Instituto Federal de Acceso a la Información y Protección de Datos (IFAI), conforme al </w:t>
      </w:r>
      <w:r w:rsidRPr="004803A9">
        <w:rPr>
          <w:rFonts w:ascii="Palatino Linotype" w:eastAsia="Calibri" w:hAnsi="Palatino Linotype" w:cs="Arial"/>
          <w:lang w:eastAsia="es-MX"/>
        </w:rPr>
        <w:t xml:space="preserve">criterio número 0003-10, el cual refiere: </w:t>
      </w:r>
    </w:p>
    <w:p w14:paraId="77D4E302"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3D15C7FA" w14:textId="77777777" w:rsidR="00901F1F" w:rsidRPr="004803A9" w:rsidRDefault="00901F1F" w:rsidP="003212CC">
      <w:pPr>
        <w:tabs>
          <w:tab w:val="left" w:pos="8505"/>
        </w:tabs>
        <w:spacing w:line="360" w:lineRule="auto"/>
        <w:ind w:left="567" w:right="567"/>
        <w:jc w:val="both"/>
        <w:rPr>
          <w:rFonts w:ascii="Palatino Linotype" w:eastAsia="Calibri" w:hAnsi="Palatino Linotype" w:cs="Arial"/>
          <w:i/>
          <w:lang w:eastAsia="es-MX"/>
        </w:rPr>
      </w:pPr>
      <w:r w:rsidRPr="004803A9">
        <w:rPr>
          <w:rFonts w:ascii="Palatino Linotype" w:eastAsia="Calibri" w:hAnsi="Palatino Linotype" w:cs="Arial"/>
          <w:b/>
          <w:bCs/>
          <w:i/>
          <w:lang w:eastAsia="es-MX"/>
        </w:rPr>
        <w:t xml:space="preserve">“Clave Única de Registro de Población (CURP) es un dato personal confidencial. </w:t>
      </w:r>
      <w:r w:rsidRPr="004803A9">
        <w:rPr>
          <w:rFonts w:ascii="Palatino Linotype" w:eastAsia="Calibri" w:hAnsi="Palatino Linotype" w:cs="Arial"/>
          <w:i/>
          <w:lang w:eastAsia="es-MX"/>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w:t>
      </w:r>
      <w:proofErr w:type="spellStart"/>
      <w:r w:rsidRPr="004803A9">
        <w:rPr>
          <w:rFonts w:ascii="Palatino Linotype" w:eastAsia="Calibri" w:hAnsi="Palatino Linotype" w:cs="Arial"/>
          <w:i/>
          <w:lang w:eastAsia="es-MX"/>
        </w:rPr>
        <w:t>requier</w:t>
      </w:r>
      <w:proofErr w:type="spellEnd"/>
      <w:r w:rsidRPr="004803A9">
        <w:rPr>
          <w:rFonts w:ascii="Palatino Linotype" w:eastAsia="Calibri" w:hAnsi="Palatino Linotype" w:cs="Arial"/>
          <w:i/>
          <w:lang w:eastAsia="es-MX"/>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803A9">
        <w:rPr>
          <w:rFonts w:ascii="Palatino Linotype" w:eastAsia="Calibri" w:hAnsi="Palatino Linotype" w:cs="Arial"/>
          <w:b/>
          <w:bCs/>
          <w:i/>
          <w:lang w:eastAsia="es-MX"/>
        </w:rPr>
        <w:t>..</w:t>
      </w:r>
      <w:r w:rsidRPr="004803A9">
        <w:rPr>
          <w:rFonts w:ascii="Palatino Linotype" w:eastAsia="Calibri" w:hAnsi="Palatino Linotype" w:cs="Arial"/>
          <w:i/>
          <w:lang w:eastAsia="es-MX"/>
        </w:rPr>
        <w:t>.” (Sic)</w:t>
      </w:r>
    </w:p>
    <w:p w14:paraId="07A58C3A" w14:textId="77777777" w:rsidR="00901F1F" w:rsidRPr="004803A9" w:rsidRDefault="00901F1F" w:rsidP="003212CC">
      <w:pPr>
        <w:autoSpaceDE w:val="0"/>
        <w:autoSpaceDN w:val="0"/>
        <w:adjustRightInd w:val="0"/>
        <w:spacing w:line="360" w:lineRule="auto"/>
        <w:contextualSpacing/>
        <w:jc w:val="both"/>
        <w:rPr>
          <w:rFonts w:ascii="Palatino Linotype" w:hAnsi="Palatino Linotype" w:cs="Arial"/>
        </w:rPr>
      </w:pPr>
    </w:p>
    <w:p w14:paraId="75014EB4" w14:textId="77777777" w:rsidR="00901F1F" w:rsidRPr="004803A9" w:rsidRDefault="00901F1F" w:rsidP="003212CC">
      <w:pPr>
        <w:autoSpaceDE w:val="0"/>
        <w:autoSpaceDN w:val="0"/>
        <w:adjustRightInd w:val="0"/>
        <w:spacing w:line="360" w:lineRule="auto"/>
        <w:contextualSpacing/>
        <w:jc w:val="both"/>
        <w:rPr>
          <w:rFonts w:ascii="Palatino Linotype" w:hAnsi="Palatino Linotype" w:cs="Arial"/>
        </w:rPr>
      </w:pPr>
      <w:r w:rsidRPr="004803A9">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E355417" w14:textId="77777777" w:rsidR="00901F1F" w:rsidRPr="004803A9" w:rsidRDefault="00901F1F" w:rsidP="003212CC">
      <w:pPr>
        <w:autoSpaceDE w:val="0"/>
        <w:autoSpaceDN w:val="0"/>
        <w:adjustRightInd w:val="0"/>
        <w:spacing w:line="360" w:lineRule="auto"/>
        <w:contextualSpacing/>
        <w:jc w:val="both"/>
        <w:rPr>
          <w:rFonts w:ascii="Palatino Linotype" w:hAnsi="Palatino Linotype" w:cs="Arial"/>
        </w:rPr>
      </w:pPr>
    </w:p>
    <w:p w14:paraId="6EE7C434"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 xml:space="preserve">Además de ello, se considera que se deberá testar el sello digital del contribuyente que lo expide y la cadena original de éste, en virtud de que éstos se pueden vincular con la </w:t>
      </w:r>
      <w:r w:rsidRPr="004803A9">
        <w:rPr>
          <w:rFonts w:ascii="Palatino Linotype" w:eastAsia="Calibri" w:hAnsi="Palatino Linotype" w:cs="Arial"/>
          <w:lang w:eastAsia="es-MX"/>
        </w:rPr>
        <w:lastRenderedPageBreak/>
        <w:t>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C5EF487"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71D7BFC6"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CE4FBDF"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779F9E68" w14:textId="77777777" w:rsidR="00901F1F" w:rsidRPr="004803A9" w:rsidRDefault="00901F1F" w:rsidP="003212CC">
      <w:pPr>
        <w:tabs>
          <w:tab w:val="left" w:pos="8505"/>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w:t>
      </w:r>
      <w:r w:rsidRPr="004803A9">
        <w:rPr>
          <w:rFonts w:ascii="Palatino Linotype" w:eastAsia="Calibri" w:hAnsi="Palatino Linotype" w:cs="Arial"/>
          <w:b/>
          <w:bCs/>
          <w:i/>
          <w:lang w:eastAsia="es-MX"/>
        </w:rPr>
        <w:t>Cuarto</w:t>
      </w:r>
      <w:r w:rsidRPr="004803A9">
        <w:rPr>
          <w:rFonts w:ascii="Palatino Linotype" w:eastAsia="Calibri" w:hAnsi="Palatino Linotype" w:cs="Arial"/>
          <w:bCs/>
          <w:i/>
          <w:lang w:eastAsia="es-MX"/>
        </w:rPr>
        <w:t xml:space="preserve">. </w:t>
      </w:r>
      <w:r w:rsidRPr="004803A9">
        <w:rPr>
          <w:rFonts w:ascii="Palatino Linotype" w:eastAsia="Calibri" w:hAnsi="Palatino Linotype" w:cs="Arial"/>
          <w:b/>
          <w:bCs/>
          <w:i/>
          <w:u w:val="single"/>
          <w:lang w:eastAsia="es-MX"/>
        </w:rPr>
        <w:t>Para clasificar la información como reservada o confidencial,</w:t>
      </w:r>
      <w:r w:rsidRPr="004803A9">
        <w:rPr>
          <w:rFonts w:ascii="Palatino Linotype" w:eastAsia="Calibri" w:hAnsi="Palatino Linotype" w:cs="Arial"/>
          <w:bCs/>
          <w:i/>
          <w:lang w:eastAsia="es-MX"/>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8CFA7C"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Los sujetos obligados deberán aplicar, de manera estricta, las excepciones al derecho de acceso a la información y sólo podrán invocarlas cuando acrediten su procedencia.</w:t>
      </w:r>
    </w:p>
    <w:p w14:paraId="587246E1"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w:t>
      </w:r>
    </w:p>
    <w:p w14:paraId="33160BCB"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
          <w:bCs/>
          <w:i/>
          <w:lang w:eastAsia="es-MX"/>
        </w:rPr>
        <w:t>Quinto</w:t>
      </w:r>
      <w:r w:rsidRPr="004803A9">
        <w:rPr>
          <w:rFonts w:ascii="Palatino Linotype" w:eastAsia="Calibri" w:hAnsi="Palatino Linotype" w:cs="Arial"/>
          <w:bCs/>
          <w:i/>
          <w:lang w:eastAsia="es-MX"/>
        </w:rPr>
        <w:t xml:space="preserve">. </w:t>
      </w:r>
      <w:r w:rsidRPr="004803A9">
        <w:rPr>
          <w:rFonts w:ascii="Palatino Linotype" w:eastAsia="Calibri" w:hAnsi="Palatino Linotype" w:cs="Arial"/>
          <w:b/>
          <w:bCs/>
          <w:i/>
          <w:lang w:eastAsia="es-MX"/>
        </w:rPr>
        <w:t xml:space="preserve">La carga de la prueba para justificar toda negativa de acceso a la información, </w:t>
      </w:r>
      <w:r w:rsidRPr="004803A9">
        <w:rPr>
          <w:rFonts w:ascii="Palatino Linotype" w:eastAsia="Calibri" w:hAnsi="Palatino Linotype" w:cs="Arial"/>
          <w:bCs/>
          <w:i/>
          <w:lang w:eastAsia="es-MX"/>
        </w:rPr>
        <w:t>por actualizarse cualquiera de los supuestos de clasificación previstos en la Ley General, la Ley Federal y leyes estatales, corresponderá</w:t>
      </w:r>
      <w:r w:rsidRPr="004803A9">
        <w:rPr>
          <w:rFonts w:ascii="Palatino Linotype" w:eastAsia="Calibri" w:hAnsi="Palatino Linotype" w:cs="Arial"/>
          <w:b/>
          <w:bCs/>
          <w:i/>
          <w:lang w:eastAsia="es-MX"/>
        </w:rPr>
        <w:t xml:space="preserve"> a los sujetos </w:t>
      </w:r>
      <w:r w:rsidRPr="004803A9">
        <w:rPr>
          <w:rFonts w:ascii="Palatino Linotype" w:eastAsia="Calibri" w:hAnsi="Palatino Linotype" w:cs="Arial"/>
          <w:b/>
          <w:bCs/>
          <w:i/>
          <w:lang w:eastAsia="es-MX"/>
        </w:rPr>
        <w:lastRenderedPageBreak/>
        <w:t>obligados, por lo que deberán fundar y motivar debidamente la clasificación de la información ante una solicitud de acceso o al momento en que generen versiones públicas para dar cumplimiento a las obligaciones de transparencia</w:t>
      </w:r>
      <w:r w:rsidRPr="004803A9">
        <w:rPr>
          <w:rFonts w:ascii="Palatino Linotype" w:eastAsia="Calibri" w:hAnsi="Palatino Linotype" w:cs="Arial"/>
          <w:bCs/>
          <w:i/>
          <w:lang w:eastAsia="es-MX"/>
        </w:rPr>
        <w:t>, observando lo dispuesto en la Ley General y las demás disposiciones aplicables en la materia.</w:t>
      </w:r>
    </w:p>
    <w:p w14:paraId="6FCF2D5B"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
          <w:bCs/>
          <w:i/>
          <w:lang w:eastAsia="es-MX"/>
        </w:rPr>
        <w:t>Octavo</w:t>
      </w:r>
      <w:r w:rsidRPr="004803A9">
        <w:rPr>
          <w:rFonts w:ascii="Palatino Linotype" w:eastAsia="Calibri" w:hAnsi="Palatino Linotype" w:cs="Arial"/>
          <w:bCs/>
          <w:i/>
          <w:lang w:eastAsia="es-MX"/>
        </w:rPr>
        <w:t xml:space="preserve">. </w:t>
      </w:r>
      <w:r w:rsidRPr="004803A9">
        <w:rPr>
          <w:rFonts w:ascii="Palatino Linotype" w:eastAsia="Calibri" w:hAnsi="Palatino Linotype" w:cs="Arial"/>
          <w:bCs/>
          <w:i/>
          <w:u w:val="single"/>
          <w:lang w:eastAsia="es-MX"/>
        </w:rPr>
        <w:t>Para fundar la clasificación de la información se debe señalar el artículo, fracción, inciso, párrafo o numeral de la ley o tratado internacional</w:t>
      </w:r>
      <w:r w:rsidRPr="004803A9">
        <w:rPr>
          <w:rFonts w:ascii="Palatino Linotype" w:eastAsia="Calibri" w:hAnsi="Palatino Linotype" w:cs="Arial"/>
          <w:bCs/>
          <w:i/>
          <w:lang w:eastAsia="es-MX"/>
        </w:rPr>
        <w:t xml:space="preserve"> suscrito por el Estado mexicano que expresamente le otorga el carácter de reservada o confidencial.</w:t>
      </w:r>
    </w:p>
    <w:p w14:paraId="7A0BE840"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Para motivar la clasificación se deberán señalar las razones o circunstancias especiales que lo llevaron a concluir que el caso particular se ajusta al supuesto previsto por la norma legal invocada como fundamento.</w:t>
      </w:r>
    </w:p>
    <w:p w14:paraId="35D9EA8B"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w:t>
      </w:r>
    </w:p>
    <w:p w14:paraId="0407A3C0"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
          <w:bCs/>
          <w:i/>
          <w:lang w:eastAsia="es-MX"/>
        </w:rPr>
      </w:pPr>
      <w:r w:rsidRPr="004803A9">
        <w:rPr>
          <w:rFonts w:ascii="Palatino Linotype" w:eastAsia="Calibri" w:hAnsi="Palatino Linotype" w:cs="Arial"/>
          <w:b/>
          <w:bCs/>
          <w:i/>
          <w:lang w:eastAsia="es-MX"/>
        </w:rPr>
        <w:t>DE LA INFORMACIÓN CONFIDENCIAL</w:t>
      </w:r>
    </w:p>
    <w:p w14:paraId="3421BAA4"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
          <w:bCs/>
          <w:i/>
          <w:lang w:eastAsia="es-MX"/>
        </w:rPr>
        <w:t xml:space="preserve">Trigésimo octavo. </w:t>
      </w:r>
      <w:r w:rsidRPr="004803A9">
        <w:rPr>
          <w:rFonts w:ascii="Palatino Linotype" w:eastAsia="Calibri" w:hAnsi="Palatino Linotype" w:cs="Arial"/>
          <w:bCs/>
          <w:i/>
          <w:lang w:eastAsia="es-MX"/>
        </w:rPr>
        <w:t>Se considera información confidencial:</w:t>
      </w:r>
    </w:p>
    <w:p w14:paraId="0D0200C5"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
          <w:bCs/>
          <w:i/>
          <w:lang w:eastAsia="es-MX"/>
        </w:rPr>
      </w:pPr>
      <w:r w:rsidRPr="004803A9">
        <w:rPr>
          <w:rFonts w:ascii="Palatino Linotype" w:eastAsia="Calibri" w:hAnsi="Palatino Linotype" w:cs="Arial"/>
          <w:bCs/>
          <w:i/>
          <w:lang w:eastAsia="es-MX"/>
        </w:rPr>
        <w:t xml:space="preserve">I. </w:t>
      </w:r>
      <w:r w:rsidRPr="004803A9">
        <w:rPr>
          <w:rFonts w:ascii="Palatino Linotype" w:eastAsia="Calibri" w:hAnsi="Palatino Linotype" w:cs="Arial"/>
          <w:b/>
          <w:bCs/>
          <w:i/>
          <w:u w:val="single"/>
          <w:lang w:eastAsia="es-MX"/>
        </w:rPr>
        <w:t>Los datos personales en los términos de la norma aplicable</w:t>
      </w:r>
      <w:r w:rsidRPr="004803A9">
        <w:rPr>
          <w:rFonts w:ascii="Palatino Linotype" w:eastAsia="Calibri" w:hAnsi="Palatino Linotype" w:cs="Arial"/>
          <w:b/>
          <w:bCs/>
          <w:i/>
          <w:lang w:eastAsia="es-MX"/>
        </w:rPr>
        <w:t>;</w:t>
      </w:r>
    </w:p>
    <w:p w14:paraId="20E43B38"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6EC088EA"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proofErr w:type="gramStart"/>
      <w:r w:rsidRPr="004803A9">
        <w:rPr>
          <w:rFonts w:ascii="Palatino Linotype" w:eastAsia="Calibri" w:hAnsi="Palatino Linotype" w:cs="Arial"/>
          <w:bCs/>
          <w:i/>
          <w:lang w:eastAsia="es-MX"/>
        </w:rPr>
        <w:t>III …</w:t>
      </w:r>
      <w:proofErr w:type="gramEnd"/>
    </w:p>
    <w:p w14:paraId="6B517456" w14:textId="77777777" w:rsidR="00901F1F" w:rsidRPr="004803A9" w:rsidRDefault="00901F1F" w:rsidP="003212CC">
      <w:pPr>
        <w:tabs>
          <w:tab w:val="left" w:pos="8647"/>
        </w:tabs>
        <w:spacing w:line="360" w:lineRule="auto"/>
        <w:ind w:left="567" w:right="567"/>
        <w:jc w:val="both"/>
        <w:rPr>
          <w:rFonts w:ascii="Palatino Linotype" w:eastAsia="Calibri" w:hAnsi="Palatino Linotype" w:cs="Arial"/>
          <w:bCs/>
          <w:i/>
          <w:lang w:eastAsia="es-MX"/>
        </w:rPr>
      </w:pPr>
      <w:r w:rsidRPr="004803A9">
        <w:rPr>
          <w:rFonts w:ascii="Palatino Linotype" w:eastAsia="Calibri" w:hAnsi="Palatino Linotype" w:cs="Arial"/>
          <w:bCs/>
          <w:i/>
          <w:lang w:eastAsia="es-MX"/>
        </w:rPr>
        <w:t>La información confidencial no estará sujeta a temporalidad alguna y sólo podrán tener acceso a ella los titulares de la misma, sus representantes y los servidores públicos facultados para ello.”</w:t>
      </w:r>
    </w:p>
    <w:p w14:paraId="2EE906D9" w14:textId="77777777" w:rsidR="00901F1F" w:rsidRPr="004803A9" w:rsidRDefault="00901F1F" w:rsidP="003212CC">
      <w:pPr>
        <w:tabs>
          <w:tab w:val="left" w:pos="8647"/>
        </w:tabs>
        <w:spacing w:line="360" w:lineRule="auto"/>
        <w:ind w:left="567" w:right="567"/>
        <w:jc w:val="right"/>
        <w:rPr>
          <w:rFonts w:ascii="Palatino Linotype" w:eastAsia="Calibri" w:hAnsi="Palatino Linotype" w:cs="Arial"/>
          <w:bCs/>
          <w:lang w:eastAsia="es-MX"/>
        </w:rPr>
      </w:pPr>
      <w:r w:rsidRPr="004803A9">
        <w:rPr>
          <w:rFonts w:ascii="Palatino Linotype" w:eastAsia="Calibri" w:hAnsi="Palatino Linotype" w:cs="Arial"/>
          <w:bCs/>
          <w:lang w:eastAsia="es-MX"/>
        </w:rPr>
        <w:t>(Énfasis añadido)</w:t>
      </w:r>
    </w:p>
    <w:p w14:paraId="3CB87332"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0B282021"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1D655919"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5417D605"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r w:rsidRPr="004803A9">
        <w:rPr>
          <w:rFonts w:ascii="Palatino Linotype" w:eastAsia="Calibri" w:hAnsi="Palatino Linotype" w:cs="Arial"/>
          <w:lang w:eastAsia="es-MX"/>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7A51AA" w14:textId="77777777" w:rsidR="00901F1F" w:rsidRPr="004803A9" w:rsidRDefault="00901F1F" w:rsidP="003212CC">
      <w:pPr>
        <w:tabs>
          <w:tab w:val="left" w:pos="8647"/>
        </w:tabs>
        <w:spacing w:line="360" w:lineRule="auto"/>
        <w:ind w:right="51"/>
        <w:jc w:val="both"/>
        <w:rPr>
          <w:rFonts w:ascii="Palatino Linotype" w:eastAsia="Calibri" w:hAnsi="Palatino Linotype" w:cs="Arial"/>
          <w:lang w:eastAsia="es-MX"/>
        </w:rPr>
      </w:pPr>
    </w:p>
    <w:p w14:paraId="3C9BA40D" w14:textId="77777777" w:rsidR="00901F1F" w:rsidRPr="004803A9" w:rsidRDefault="00901F1F" w:rsidP="003212CC">
      <w:pPr>
        <w:autoSpaceDE w:val="0"/>
        <w:autoSpaceDN w:val="0"/>
        <w:adjustRightInd w:val="0"/>
        <w:spacing w:line="360" w:lineRule="auto"/>
        <w:contextualSpacing/>
        <w:jc w:val="both"/>
        <w:rPr>
          <w:rFonts w:ascii="Palatino Linotype" w:eastAsia="Calibri" w:hAnsi="Palatino Linotype" w:cs="Arial"/>
          <w:lang w:eastAsia="es-MX"/>
        </w:rPr>
      </w:pPr>
      <w:r w:rsidRPr="004803A9">
        <w:rPr>
          <w:rFonts w:ascii="Palatino Linotype" w:hAnsi="Palatino Linotype" w:cs="Arial"/>
        </w:rPr>
        <w:t xml:space="preserve">Entonces, el </w:t>
      </w:r>
      <w:r w:rsidRPr="004803A9">
        <w:rPr>
          <w:rFonts w:ascii="Palatino Linotype" w:hAnsi="Palatino Linotype" w:cs="Arial"/>
          <w:b/>
        </w:rPr>
        <w:t>Sujeto Obligado</w:t>
      </w:r>
      <w:r w:rsidRPr="004803A9">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803A9">
        <w:rPr>
          <w:rFonts w:ascii="Palatino Linotype" w:hAnsi="Palatino Linotype" w:cs="Arial"/>
          <w:i/>
          <w:iCs/>
        </w:rPr>
        <w:t>.</w:t>
      </w:r>
    </w:p>
    <w:p w14:paraId="39F15087" w14:textId="77777777" w:rsidR="00901F1F" w:rsidRPr="004803A9" w:rsidRDefault="00901F1F" w:rsidP="003212CC">
      <w:pPr>
        <w:spacing w:line="360" w:lineRule="auto"/>
        <w:jc w:val="both"/>
        <w:rPr>
          <w:rFonts w:ascii="Palatino Linotype" w:hAnsi="Palatino Linotype"/>
        </w:rPr>
      </w:pPr>
    </w:p>
    <w:p w14:paraId="79AB21A8" w14:textId="17A27C29" w:rsidR="00901F1F" w:rsidRPr="004803A9" w:rsidRDefault="00901F1F" w:rsidP="003212CC">
      <w:pPr>
        <w:spacing w:line="360" w:lineRule="auto"/>
        <w:jc w:val="both"/>
        <w:rPr>
          <w:rFonts w:ascii="Palatino Linotype" w:hAnsi="Palatino Linotype" w:cs="Arial"/>
        </w:rPr>
      </w:pPr>
      <w:r w:rsidRPr="004803A9">
        <w:rPr>
          <w:rFonts w:ascii="Palatino Linotype" w:hAnsi="Palatino Linotype"/>
        </w:rPr>
        <w:t xml:space="preserve">En mérito de lo expuesto en líneas anteriores, resultan fundados los motivos de inconformidad que arguye </w:t>
      </w:r>
      <w:r w:rsidRPr="004803A9">
        <w:rPr>
          <w:rFonts w:ascii="Palatino Linotype" w:hAnsi="Palatino Linotype"/>
          <w:bCs/>
        </w:rPr>
        <w:t>la parte</w:t>
      </w:r>
      <w:r w:rsidRPr="004803A9">
        <w:rPr>
          <w:rFonts w:ascii="Palatino Linotype" w:hAnsi="Palatino Linotype"/>
          <w:b/>
          <w:bCs/>
        </w:rPr>
        <w:t xml:space="preserve"> Recurrente </w:t>
      </w:r>
      <w:r w:rsidRPr="004803A9">
        <w:rPr>
          <w:rFonts w:ascii="Palatino Linotype" w:hAnsi="Palatino Linotype"/>
        </w:rPr>
        <w:t xml:space="preserve">en su medio de impugnación que fue </w:t>
      </w:r>
      <w:r w:rsidRPr="004803A9">
        <w:rPr>
          <w:rFonts w:ascii="Palatino Linotype" w:hAnsi="Palatino Linotype"/>
        </w:rPr>
        <w:lastRenderedPageBreak/>
        <w:t xml:space="preserve">materia de estudio, por ello </w:t>
      </w:r>
      <w:r w:rsidRPr="004803A9">
        <w:rPr>
          <w:rFonts w:ascii="Palatino Linotype" w:hAnsi="Palatino Linotype" w:cs="Arial"/>
        </w:rPr>
        <w:t>con fundamento en la</w:t>
      </w:r>
      <w:r w:rsidRPr="004803A9">
        <w:rPr>
          <w:rFonts w:ascii="Palatino Linotype" w:hAnsi="Palatino Linotype" w:cs="Arial"/>
          <w:b/>
        </w:rPr>
        <w:t xml:space="preserve"> </w:t>
      </w:r>
      <w:r w:rsidRPr="004803A9">
        <w:rPr>
          <w:rFonts w:ascii="Palatino Linotype" w:hAnsi="Palatino Linotype" w:cs="Arial"/>
          <w:b/>
          <w:bCs/>
          <w:i/>
        </w:rPr>
        <w:t>segunda hipótesis</w:t>
      </w:r>
      <w:r w:rsidRPr="004803A9">
        <w:rPr>
          <w:rFonts w:ascii="Palatino Linotype" w:hAnsi="Palatino Linotype" w:cs="Arial"/>
          <w:b/>
        </w:rPr>
        <w:t xml:space="preserve"> </w:t>
      </w:r>
      <w:r w:rsidRPr="004803A9">
        <w:rPr>
          <w:rFonts w:ascii="Palatino Linotype" w:hAnsi="Palatino Linotype" w:cs="Arial"/>
        </w:rPr>
        <w:t>de la fracción</w:t>
      </w:r>
      <w:r w:rsidRPr="004803A9">
        <w:rPr>
          <w:rFonts w:ascii="Palatino Linotype" w:hAnsi="Palatino Linotype" w:cs="Arial"/>
          <w:b/>
        </w:rPr>
        <w:t xml:space="preserve"> </w:t>
      </w:r>
      <w:r w:rsidRPr="004803A9">
        <w:rPr>
          <w:rFonts w:ascii="Palatino Linotype" w:hAnsi="Palatino Linotype" w:cs="Arial"/>
        </w:rPr>
        <w:t>III, del artículo 186,</w:t>
      </w:r>
      <w:r w:rsidRPr="004803A9">
        <w:rPr>
          <w:rFonts w:ascii="Palatino Linotype" w:hAnsi="Palatino Linotype" w:cs="Arial"/>
          <w:b/>
        </w:rPr>
        <w:t xml:space="preserve"> </w:t>
      </w:r>
      <w:r w:rsidRPr="004803A9">
        <w:rPr>
          <w:rFonts w:ascii="Palatino Linotype" w:hAnsi="Palatino Linotype" w:cs="Arial"/>
        </w:rPr>
        <w:t xml:space="preserve">de la Ley de Transparencia y Acceso a la Información Pública del Estado de México y Municipios, se </w:t>
      </w:r>
      <w:r w:rsidRPr="004803A9">
        <w:rPr>
          <w:rFonts w:ascii="Palatino Linotype" w:hAnsi="Palatino Linotype" w:cs="Arial"/>
          <w:b/>
        </w:rPr>
        <w:t xml:space="preserve">MODIFICA </w:t>
      </w:r>
      <w:r w:rsidRPr="004803A9">
        <w:rPr>
          <w:rFonts w:ascii="Palatino Linotype" w:hAnsi="Palatino Linotype" w:cs="Arial"/>
        </w:rPr>
        <w:t>la respuesta a la solicitud de información número</w:t>
      </w:r>
      <w:r w:rsidRPr="004803A9">
        <w:rPr>
          <w:rFonts w:ascii="Palatino Linotype" w:hAnsi="Palatino Linotype"/>
          <w:b/>
        </w:rPr>
        <w:t xml:space="preserve"> </w:t>
      </w:r>
      <w:r w:rsidR="00DE018B" w:rsidRPr="004803A9">
        <w:rPr>
          <w:rFonts w:ascii="Palatino Linotype" w:hAnsi="Palatino Linotype" w:cs="Arial"/>
          <w:b/>
        </w:rPr>
        <w:t>02617/TOLUCA/IP/2025</w:t>
      </w:r>
      <w:r w:rsidRPr="004803A9">
        <w:rPr>
          <w:rFonts w:ascii="Palatino Linotype" w:hAnsi="Palatino Linotype" w:cs="Arial"/>
          <w:b/>
        </w:rPr>
        <w:t xml:space="preserve"> </w:t>
      </w:r>
      <w:r w:rsidRPr="004803A9">
        <w:rPr>
          <w:rFonts w:ascii="Palatino Linotype" w:hAnsi="Palatino Linotype" w:cs="Arial"/>
        </w:rPr>
        <w:t xml:space="preserve">que ha sido materia del presente fallo. </w:t>
      </w:r>
    </w:p>
    <w:p w14:paraId="35372956" w14:textId="77777777" w:rsidR="00901F1F" w:rsidRPr="004803A9" w:rsidRDefault="00901F1F" w:rsidP="003212CC">
      <w:pPr>
        <w:spacing w:line="360" w:lineRule="auto"/>
        <w:jc w:val="both"/>
        <w:rPr>
          <w:rFonts w:ascii="Palatino Linotype" w:hAnsi="Palatino Linotype"/>
        </w:rPr>
      </w:pPr>
    </w:p>
    <w:p w14:paraId="20399319" w14:textId="77777777" w:rsidR="00901F1F" w:rsidRPr="004803A9" w:rsidRDefault="00901F1F" w:rsidP="003212CC">
      <w:pPr>
        <w:spacing w:line="360" w:lineRule="auto"/>
        <w:jc w:val="both"/>
        <w:rPr>
          <w:rFonts w:ascii="Palatino Linotype" w:hAnsi="Palatino Linotype"/>
        </w:rPr>
      </w:pPr>
      <w:r w:rsidRPr="004803A9">
        <w:rPr>
          <w:rFonts w:ascii="Palatino Linotype" w:hAnsi="Palatino Linotype"/>
        </w:rPr>
        <w:t>Por lo antes expuesto y fundado es de resolverse y,</w:t>
      </w:r>
    </w:p>
    <w:p w14:paraId="5BCCEB2A" w14:textId="77777777" w:rsidR="00901F1F" w:rsidRPr="004803A9" w:rsidRDefault="00901F1F" w:rsidP="003212CC">
      <w:pPr>
        <w:spacing w:line="360" w:lineRule="auto"/>
        <w:jc w:val="both"/>
        <w:rPr>
          <w:rFonts w:ascii="Palatino Linotype" w:hAnsi="Palatino Linotype"/>
        </w:rPr>
      </w:pPr>
    </w:p>
    <w:p w14:paraId="5F66963A" w14:textId="77777777" w:rsidR="00901F1F" w:rsidRPr="004803A9" w:rsidRDefault="00901F1F" w:rsidP="003212CC">
      <w:pPr>
        <w:spacing w:line="360" w:lineRule="auto"/>
        <w:ind w:left="426"/>
        <w:jc w:val="center"/>
        <w:rPr>
          <w:rFonts w:ascii="Palatino Linotype" w:hAnsi="Palatino Linotype"/>
          <w:b/>
          <w:color w:val="000000"/>
          <w:sz w:val="28"/>
        </w:rPr>
      </w:pPr>
      <w:r w:rsidRPr="004803A9">
        <w:rPr>
          <w:rFonts w:ascii="Palatino Linotype" w:hAnsi="Palatino Linotype"/>
          <w:b/>
          <w:color w:val="000000"/>
          <w:sz w:val="28"/>
        </w:rPr>
        <w:t>SE    RESUELVE</w:t>
      </w:r>
    </w:p>
    <w:p w14:paraId="7D9E2574" w14:textId="77777777" w:rsidR="00901F1F" w:rsidRPr="004803A9" w:rsidRDefault="00901F1F" w:rsidP="003212CC">
      <w:pPr>
        <w:tabs>
          <w:tab w:val="left" w:pos="8647"/>
        </w:tabs>
        <w:spacing w:line="360" w:lineRule="auto"/>
        <w:ind w:right="51"/>
        <w:jc w:val="both"/>
        <w:rPr>
          <w:rFonts w:ascii="Palatino Linotype" w:hAnsi="Palatino Linotype" w:cs="Arial"/>
        </w:rPr>
      </w:pPr>
    </w:p>
    <w:p w14:paraId="370FD30B" w14:textId="77777777" w:rsidR="00901F1F" w:rsidRPr="004803A9" w:rsidRDefault="00901F1F" w:rsidP="003212CC">
      <w:pPr>
        <w:spacing w:line="360" w:lineRule="auto"/>
        <w:jc w:val="both"/>
        <w:rPr>
          <w:rFonts w:ascii="Palatino Linotype" w:hAnsi="Palatino Linotype" w:cs="Arial"/>
        </w:rPr>
      </w:pPr>
      <w:r w:rsidRPr="004803A9">
        <w:rPr>
          <w:rFonts w:ascii="Palatino Linotype" w:hAnsi="Palatino Linotype" w:cs="Arial"/>
          <w:b/>
          <w:sz w:val="28"/>
          <w:szCs w:val="28"/>
        </w:rPr>
        <w:t>PRIMERO</w:t>
      </w:r>
      <w:r w:rsidRPr="004803A9">
        <w:rPr>
          <w:rFonts w:ascii="Palatino Linotype" w:hAnsi="Palatino Linotype" w:cs="Arial"/>
          <w:sz w:val="32"/>
          <w:szCs w:val="28"/>
        </w:rPr>
        <w:t>.</w:t>
      </w:r>
      <w:r w:rsidRPr="004803A9">
        <w:rPr>
          <w:rFonts w:ascii="Palatino Linotype" w:hAnsi="Palatino Linotype" w:cs="Arial"/>
        </w:rPr>
        <w:t xml:space="preserve"> Resultan parcialmente </w:t>
      </w:r>
      <w:r w:rsidRPr="004803A9">
        <w:rPr>
          <w:rFonts w:ascii="Palatino Linotype" w:hAnsi="Palatino Linotype" w:cs="Arial"/>
          <w:b/>
        </w:rPr>
        <w:t>fundadas</w:t>
      </w:r>
      <w:r w:rsidRPr="004803A9">
        <w:rPr>
          <w:rFonts w:ascii="Palatino Linotype" w:hAnsi="Palatino Linotype" w:cs="Arial"/>
        </w:rPr>
        <w:t xml:space="preserve"> las razones o motivos de inconformidad planteadas por </w:t>
      </w:r>
      <w:r w:rsidRPr="004803A9">
        <w:rPr>
          <w:rFonts w:ascii="Palatino Linotype" w:hAnsi="Palatino Linotype"/>
          <w:b/>
          <w:szCs w:val="17"/>
          <w:lang w:eastAsia="es-ES_tradnl"/>
        </w:rPr>
        <w:t>LA PARTE</w:t>
      </w:r>
      <w:r w:rsidRPr="004803A9">
        <w:rPr>
          <w:rFonts w:ascii="Palatino Linotype" w:hAnsi="Palatino Linotype" w:cs="Arial"/>
          <w:b/>
        </w:rPr>
        <w:t xml:space="preserve"> RECURRENTE</w:t>
      </w:r>
      <w:r w:rsidRPr="004803A9">
        <w:rPr>
          <w:rFonts w:ascii="Palatino Linotype" w:hAnsi="Palatino Linotype" w:cs="Arial"/>
        </w:rPr>
        <w:t xml:space="preserve">, en términos del Considerando </w:t>
      </w:r>
      <w:r w:rsidRPr="004803A9">
        <w:rPr>
          <w:rFonts w:ascii="Palatino Linotype" w:hAnsi="Palatino Linotype" w:cs="Arial"/>
          <w:b/>
        </w:rPr>
        <w:t>Cuarto</w:t>
      </w:r>
      <w:r w:rsidRPr="004803A9">
        <w:rPr>
          <w:rFonts w:ascii="Palatino Linotype" w:hAnsi="Palatino Linotype" w:cs="Arial"/>
        </w:rPr>
        <w:t xml:space="preserve"> de la presente resolución.</w:t>
      </w:r>
    </w:p>
    <w:p w14:paraId="7520293B" w14:textId="77777777" w:rsidR="00901F1F" w:rsidRPr="004803A9" w:rsidRDefault="00901F1F" w:rsidP="003212CC">
      <w:pPr>
        <w:spacing w:line="360" w:lineRule="auto"/>
        <w:jc w:val="both"/>
        <w:rPr>
          <w:rFonts w:ascii="Palatino Linotype" w:hAnsi="Palatino Linotype" w:cs="Arial"/>
        </w:rPr>
      </w:pPr>
    </w:p>
    <w:p w14:paraId="6DDAAD46" w14:textId="1B0C4143" w:rsidR="00901F1F" w:rsidRPr="004803A9" w:rsidRDefault="00901F1F" w:rsidP="003212CC">
      <w:pPr>
        <w:spacing w:line="360" w:lineRule="auto"/>
        <w:ind w:right="49"/>
        <w:jc w:val="both"/>
        <w:rPr>
          <w:rFonts w:ascii="Palatino Linotype" w:hAnsi="Palatino Linotype"/>
          <w:bCs/>
        </w:rPr>
      </w:pPr>
      <w:r w:rsidRPr="004803A9">
        <w:rPr>
          <w:rFonts w:ascii="Palatino Linotype" w:hAnsi="Palatino Linotype" w:cs="Arial"/>
          <w:b/>
          <w:sz w:val="28"/>
          <w:szCs w:val="28"/>
        </w:rPr>
        <w:t>SEGUNDO</w:t>
      </w:r>
      <w:r w:rsidRPr="004803A9">
        <w:rPr>
          <w:rFonts w:ascii="Palatino Linotype" w:hAnsi="Palatino Linotype" w:cs="Arial"/>
          <w:sz w:val="28"/>
          <w:szCs w:val="28"/>
        </w:rPr>
        <w:t>.</w:t>
      </w:r>
      <w:r w:rsidRPr="004803A9">
        <w:rPr>
          <w:rFonts w:ascii="Palatino Linotype" w:hAnsi="Palatino Linotype" w:cs="Arial"/>
        </w:rPr>
        <w:t xml:space="preserve"> </w:t>
      </w:r>
      <w:r w:rsidRPr="004803A9">
        <w:rPr>
          <w:rFonts w:ascii="Palatino Linotype" w:eastAsia="Calibri" w:hAnsi="Palatino Linotype" w:cs="Arial"/>
        </w:rPr>
        <w:t xml:space="preserve">Se </w:t>
      </w:r>
      <w:r w:rsidRPr="004803A9">
        <w:rPr>
          <w:rFonts w:ascii="Palatino Linotype" w:eastAsia="Calibri" w:hAnsi="Palatino Linotype" w:cs="Arial"/>
          <w:b/>
        </w:rPr>
        <w:t xml:space="preserve">MODIFICA </w:t>
      </w:r>
      <w:r w:rsidRPr="004803A9">
        <w:rPr>
          <w:rFonts w:ascii="Palatino Linotype" w:eastAsia="Calibri" w:hAnsi="Palatino Linotype" w:cs="Arial"/>
        </w:rPr>
        <w:t xml:space="preserve">la respuesta proporcionada por </w:t>
      </w:r>
      <w:r w:rsidRPr="004803A9">
        <w:rPr>
          <w:rFonts w:ascii="Palatino Linotype" w:eastAsia="Calibri" w:hAnsi="Palatino Linotype" w:cs="Arial"/>
          <w:b/>
        </w:rPr>
        <w:t xml:space="preserve">EL SUJETO OBLIGADO </w:t>
      </w:r>
      <w:r w:rsidRPr="004803A9">
        <w:rPr>
          <w:rFonts w:ascii="Palatino Linotype" w:hAnsi="Palatino Linotype" w:cs="Arial"/>
        </w:rPr>
        <w:t xml:space="preserve">en la solicitud de información número </w:t>
      </w:r>
      <w:r w:rsidR="00DE018B" w:rsidRPr="004803A9">
        <w:rPr>
          <w:rFonts w:ascii="Palatino Linotype" w:hAnsi="Palatino Linotype" w:cs="Arial"/>
          <w:b/>
        </w:rPr>
        <w:t>02617/TOLUCA/IP/2025</w:t>
      </w:r>
      <w:r w:rsidRPr="004803A9">
        <w:rPr>
          <w:rFonts w:ascii="Palatino Linotype" w:hAnsi="Palatino Linotype" w:cs="Arial"/>
          <w:b/>
        </w:rPr>
        <w:t xml:space="preserve"> </w:t>
      </w:r>
      <w:r w:rsidRPr="004803A9">
        <w:rPr>
          <w:rFonts w:ascii="Palatino Linotype" w:eastAsia="Calibri" w:hAnsi="Palatino Linotype" w:cs="Arial"/>
        </w:rPr>
        <w:t xml:space="preserve">y se </w:t>
      </w:r>
      <w:r w:rsidRPr="004803A9">
        <w:rPr>
          <w:rFonts w:ascii="Palatino Linotype" w:eastAsia="Calibri" w:hAnsi="Palatino Linotype" w:cs="Arial"/>
          <w:b/>
        </w:rPr>
        <w:t>ORDENA</w:t>
      </w:r>
      <w:r w:rsidRPr="004803A9">
        <w:rPr>
          <w:rFonts w:ascii="Palatino Linotype" w:eastAsia="Calibri" w:hAnsi="Palatino Linotype" w:cs="Arial"/>
          <w:b/>
          <w:sz w:val="28"/>
        </w:rPr>
        <w:t xml:space="preserve"> </w:t>
      </w:r>
      <w:r w:rsidRPr="004803A9">
        <w:rPr>
          <w:rFonts w:ascii="Palatino Linotype" w:hAnsi="Palatino Linotype" w:cs="Arial"/>
        </w:rPr>
        <w:t xml:space="preserve">al </w:t>
      </w:r>
      <w:r w:rsidRPr="004803A9">
        <w:rPr>
          <w:rFonts w:ascii="Palatino Linotype" w:hAnsi="Palatino Linotype" w:cs="Arial"/>
          <w:b/>
        </w:rPr>
        <w:t>Sujeto Obligado</w:t>
      </w:r>
      <w:r w:rsidRPr="004803A9">
        <w:rPr>
          <w:rFonts w:ascii="Palatino Linotype" w:hAnsi="Palatino Linotype" w:cs="Arial"/>
        </w:rPr>
        <w:t xml:space="preserve">, </w:t>
      </w:r>
      <w:r w:rsidRPr="004803A9">
        <w:rPr>
          <w:rFonts w:ascii="Palatino Linotype" w:hAnsi="Palatino Linotype" w:cs="Tahoma"/>
        </w:rPr>
        <w:t>a efecto de que previa búsqueda exhaustiva y razonable, entregue vía</w:t>
      </w:r>
      <w:r w:rsidRPr="004803A9">
        <w:rPr>
          <w:rFonts w:ascii="Palatino Linotype" w:hAnsi="Palatino Linotype" w:cs="Tahoma"/>
          <w:b/>
        </w:rPr>
        <w:t xml:space="preserve"> </w:t>
      </w:r>
      <w:r w:rsidRPr="004803A9">
        <w:rPr>
          <w:rFonts w:ascii="Palatino Linotype" w:eastAsia="Calibri" w:hAnsi="Palatino Linotype" w:cs="Tahoma"/>
          <w:bCs/>
          <w:lang w:eastAsia="es-MX"/>
        </w:rPr>
        <w:t>Sistema de Acceso a la Información Mexiquense (SAIMEX), de ser procedente en versión pública</w:t>
      </w:r>
      <w:r w:rsidRPr="004803A9">
        <w:rPr>
          <w:rFonts w:ascii="Palatino Linotype" w:hAnsi="Palatino Linotype" w:cs="Arial"/>
        </w:rPr>
        <w:t>, de lo siguiente</w:t>
      </w:r>
      <w:r w:rsidRPr="004803A9">
        <w:rPr>
          <w:rFonts w:ascii="Palatino Linotype" w:hAnsi="Palatino Linotype"/>
          <w:bCs/>
        </w:rPr>
        <w:t>:</w:t>
      </w:r>
    </w:p>
    <w:p w14:paraId="7936458C" w14:textId="77777777" w:rsidR="00901F1F" w:rsidRPr="004803A9" w:rsidRDefault="00901F1F" w:rsidP="003212CC">
      <w:pPr>
        <w:spacing w:line="360" w:lineRule="auto"/>
        <w:ind w:right="49"/>
        <w:jc w:val="both"/>
        <w:rPr>
          <w:rFonts w:ascii="Palatino Linotype" w:hAnsi="Palatino Linotype"/>
          <w:bCs/>
        </w:rPr>
      </w:pPr>
    </w:p>
    <w:p w14:paraId="7A6BE2C7" w14:textId="194D04B8" w:rsidR="00DE018B" w:rsidRPr="004803A9" w:rsidRDefault="00DE018B" w:rsidP="00446FB3">
      <w:pPr>
        <w:pStyle w:val="Prrafodelista"/>
        <w:numPr>
          <w:ilvl w:val="0"/>
          <w:numId w:val="5"/>
        </w:numPr>
        <w:autoSpaceDE w:val="0"/>
        <w:autoSpaceDN w:val="0"/>
        <w:adjustRightInd w:val="0"/>
        <w:spacing w:line="360" w:lineRule="auto"/>
        <w:jc w:val="both"/>
        <w:rPr>
          <w:rFonts w:ascii="Palatino Linotype" w:hAnsi="Palatino Linotype"/>
        </w:rPr>
      </w:pPr>
      <w:r w:rsidRPr="004803A9">
        <w:rPr>
          <w:rFonts w:ascii="Palatino Linotype" w:hAnsi="Palatino Linotype"/>
        </w:rPr>
        <w:t xml:space="preserve">Planes de acción y programas para erradicar la violencia de género por año </w:t>
      </w:r>
      <w:r w:rsidR="00446FB3" w:rsidRPr="004803A9">
        <w:rPr>
          <w:rFonts w:ascii="Palatino Linotype" w:hAnsi="Palatino Linotype"/>
        </w:rPr>
        <w:t>del primero de enero de dos mil veinte al dos de mayo de dos mil veinticinco</w:t>
      </w:r>
      <w:r w:rsidRPr="004803A9">
        <w:rPr>
          <w:rFonts w:ascii="Palatino Linotype" w:hAnsi="Palatino Linotype"/>
        </w:rPr>
        <w:t xml:space="preserve">. </w:t>
      </w:r>
    </w:p>
    <w:p w14:paraId="17E7F1F8" w14:textId="78DCC3F3" w:rsidR="00DE018B" w:rsidRPr="004803A9" w:rsidRDefault="00DE018B" w:rsidP="003212CC">
      <w:pPr>
        <w:pStyle w:val="Prrafodelista"/>
        <w:numPr>
          <w:ilvl w:val="0"/>
          <w:numId w:val="5"/>
        </w:numPr>
        <w:autoSpaceDE w:val="0"/>
        <w:autoSpaceDN w:val="0"/>
        <w:adjustRightInd w:val="0"/>
        <w:spacing w:line="360" w:lineRule="auto"/>
        <w:jc w:val="both"/>
        <w:rPr>
          <w:rFonts w:ascii="Palatino Linotype" w:hAnsi="Palatino Linotype"/>
        </w:rPr>
      </w:pPr>
      <w:r w:rsidRPr="004803A9">
        <w:rPr>
          <w:rFonts w:ascii="Palatino Linotype" w:hAnsi="Palatino Linotype"/>
        </w:rPr>
        <w:t xml:space="preserve">El o los documentos donde conste el presupuesto municipal asignado y ejercido para erradicar la violencia de género, por año del primero de enero de dos mil veinte al </w:t>
      </w:r>
      <w:r w:rsidR="001E6A81" w:rsidRPr="004803A9">
        <w:rPr>
          <w:rFonts w:ascii="Palatino Linotype" w:hAnsi="Palatino Linotype"/>
        </w:rPr>
        <w:t>treinta y uno de diciembre de dos mil veinticuatro.</w:t>
      </w:r>
      <w:r w:rsidRPr="004803A9">
        <w:rPr>
          <w:rFonts w:ascii="Palatino Linotype" w:hAnsi="Palatino Linotype"/>
        </w:rPr>
        <w:t xml:space="preserve"> </w:t>
      </w:r>
    </w:p>
    <w:p w14:paraId="3216F416" w14:textId="383A6C5E" w:rsidR="00901F1F" w:rsidRPr="004803A9" w:rsidRDefault="00901F1F" w:rsidP="003212C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803A9">
        <w:rPr>
          <w:rFonts w:ascii="Palatino Linotype" w:eastAsia="Calibri" w:hAnsi="Palatino Linotype" w:cs="Tahoma"/>
          <w:bCs/>
          <w:lang w:eastAsia="es-MX"/>
        </w:rPr>
        <w:t xml:space="preserve"> </w:t>
      </w:r>
    </w:p>
    <w:p w14:paraId="359EBCF2" w14:textId="77777777" w:rsidR="00901F1F" w:rsidRPr="004803A9" w:rsidRDefault="00901F1F" w:rsidP="003212CC">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color w:val="000000"/>
        </w:rPr>
      </w:pPr>
    </w:p>
    <w:p w14:paraId="25C3584C" w14:textId="77777777" w:rsidR="00901F1F" w:rsidRPr="004803A9" w:rsidRDefault="00901F1F" w:rsidP="003212CC">
      <w:pPr>
        <w:spacing w:line="360" w:lineRule="auto"/>
        <w:ind w:left="360"/>
        <w:jc w:val="both"/>
        <w:rPr>
          <w:rFonts w:ascii="Palatino Linotype" w:hAnsi="Palatino Linotype" w:cs="Arial"/>
          <w:i/>
          <w:sz w:val="22"/>
        </w:rPr>
      </w:pPr>
      <w:r w:rsidRPr="004803A9">
        <w:rPr>
          <w:rFonts w:ascii="Palatino Linotype" w:hAnsi="Palatino Linotype" w:cs="Arial"/>
          <w:i/>
          <w:sz w:val="22"/>
        </w:rPr>
        <w:t>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Recurrente.</w:t>
      </w:r>
    </w:p>
    <w:p w14:paraId="521F20EB" w14:textId="77777777" w:rsidR="00901F1F" w:rsidRPr="004803A9" w:rsidRDefault="00901F1F" w:rsidP="003212CC">
      <w:pPr>
        <w:spacing w:line="360" w:lineRule="auto"/>
        <w:ind w:left="360"/>
        <w:jc w:val="both"/>
        <w:rPr>
          <w:rFonts w:ascii="Palatino Linotype" w:hAnsi="Palatino Linotype" w:cs="Arial"/>
          <w:i/>
          <w:sz w:val="22"/>
        </w:rPr>
      </w:pPr>
    </w:p>
    <w:p w14:paraId="0F3EB1E3" w14:textId="77777777" w:rsidR="00901F1F" w:rsidRPr="004803A9" w:rsidRDefault="00901F1F" w:rsidP="003212CC">
      <w:pPr>
        <w:autoSpaceDE w:val="0"/>
        <w:autoSpaceDN w:val="0"/>
        <w:adjustRightInd w:val="0"/>
        <w:spacing w:line="360" w:lineRule="auto"/>
        <w:ind w:right="49"/>
        <w:jc w:val="both"/>
        <w:rPr>
          <w:rFonts w:ascii="Palatino Linotype" w:hAnsi="Palatino Linotype" w:cs="Arial"/>
          <w:b/>
          <w:szCs w:val="28"/>
          <w:lang w:val="es-ES_tradnl"/>
        </w:rPr>
      </w:pPr>
    </w:p>
    <w:p w14:paraId="733B151F" w14:textId="77777777" w:rsidR="00901F1F" w:rsidRPr="004803A9" w:rsidRDefault="00901F1F" w:rsidP="003212CC">
      <w:pPr>
        <w:autoSpaceDE w:val="0"/>
        <w:autoSpaceDN w:val="0"/>
        <w:adjustRightInd w:val="0"/>
        <w:spacing w:line="360" w:lineRule="auto"/>
        <w:ind w:right="49"/>
        <w:jc w:val="both"/>
        <w:rPr>
          <w:rFonts w:ascii="Palatino Linotype" w:hAnsi="Palatino Linotype" w:cs="Arial"/>
          <w:szCs w:val="28"/>
          <w:lang w:val="es-ES_tradnl"/>
        </w:rPr>
      </w:pPr>
      <w:r w:rsidRPr="004803A9">
        <w:rPr>
          <w:rFonts w:ascii="Palatino Linotype" w:hAnsi="Palatino Linotype" w:cs="Arial"/>
          <w:b/>
          <w:sz w:val="28"/>
          <w:szCs w:val="28"/>
          <w:lang w:val="es-ES_tradnl"/>
        </w:rPr>
        <w:t xml:space="preserve">TERCERO. </w:t>
      </w:r>
      <w:r w:rsidRPr="004803A9">
        <w:rPr>
          <w:rFonts w:ascii="Palatino Linotype" w:hAnsi="Palatino Linotype" w:cs="Arial"/>
          <w:b/>
          <w:szCs w:val="28"/>
          <w:lang w:val="es-ES_tradnl"/>
        </w:rPr>
        <w:t xml:space="preserve">NOTIFÍQUESE </w:t>
      </w:r>
      <w:r w:rsidRPr="004803A9">
        <w:rPr>
          <w:rFonts w:ascii="Palatino Linotype" w:hAnsi="Palatino Linotype" w:cs="Arial"/>
          <w:szCs w:val="28"/>
          <w:lang w:val="es-ES_tradnl"/>
        </w:rPr>
        <w:t xml:space="preserve">la presente resolución </w:t>
      </w:r>
      <w:r w:rsidRPr="004803A9">
        <w:rPr>
          <w:rFonts w:ascii="Palatino Linotype" w:hAnsi="Palatino Linotype" w:cs="Arial"/>
        </w:rPr>
        <w:t xml:space="preserve">a través del Sistema de Acceso a la Información Mexiquense </w:t>
      </w:r>
      <w:r w:rsidRPr="004803A9">
        <w:rPr>
          <w:rFonts w:ascii="Palatino Linotype" w:hAnsi="Palatino Linotype" w:cs="Arial"/>
          <w:b/>
        </w:rPr>
        <w:t>(SAIMEX)</w:t>
      </w:r>
      <w:r w:rsidRPr="004803A9">
        <w:rPr>
          <w:rFonts w:ascii="Palatino Linotype" w:hAnsi="Palatino Linotype" w:cs="Arial"/>
          <w:szCs w:val="28"/>
          <w:lang w:val="es-ES_tradnl"/>
        </w:rPr>
        <w:t xml:space="preserve"> al Titular de la Unidad de Transparencia del </w:t>
      </w:r>
      <w:r w:rsidRPr="004803A9">
        <w:rPr>
          <w:rFonts w:ascii="Palatino Linotype" w:hAnsi="Palatino Linotype" w:cs="Arial"/>
          <w:b/>
          <w:szCs w:val="28"/>
          <w:lang w:val="es-ES_tradnl"/>
        </w:rPr>
        <w:t>Sujeto Obligado</w:t>
      </w:r>
      <w:r w:rsidRPr="004803A9">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CA6474A" w14:textId="77777777" w:rsidR="00901F1F" w:rsidRPr="004803A9" w:rsidRDefault="00901F1F" w:rsidP="003212CC">
      <w:pPr>
        <w:autoSpaceDE w:val="0"/>
        <w:autoSpaceDN w:val="0"/>
        <w:adjustRightInd w:val="0"/>
        <w:spacing w:line="360" w:lineRule="auto"/>
        <w:ind w:right="49"/>
        <w:jc w:val="both"/>
        <w:rPr>
          <w:rFonts w:ascii="Palatino Linotype" w:hAnsi="Palatino Linotype" w:cs="Arial"/>
          <w:szCs w:val="28"/>
          <w:lang w:val="es-ES_tradnl"/>
        </w:rPr>
      </w:pPr>
    </w:p>
    <w:p w14:paraId="5209B3A1" w14:textId="77777777" w:rsidR="00901F1F" w:rsidRPr="004803A9" w:rsidRDefault="00901F1F" w:rsidP="003212CC">
      <w:pPr>
        <w:spacing w:line="360" w:lineRule="auto"/>
        <w:jc w:val="both"/>
        <w:rPr>
          <w:rFonts w:ascii="Palatino Linotype" w:hAnsi="Palatino Linotype" w:cs="Arial"/>
          <w:bCs/>
          <w:szCs w:val="28"/>
        </w:rPr>
      </w:pPr>
      <w:r w:rsidRPr="004803A9">
        <w:rPr>
          <w:rFonts w:ascii="Palatino Linotype" w:hAnsi="Palatino Linotype" w:cs="Arial"/>
          <w:b/>
          <w:bCs/>
          <w:sz w:val="28"/>
          <w:szCs w:val="28"/>
        </w:rPr>
        <w:t>CUARTO.</w:t>
      </w:r>
      <w:r w:rsidRPr="004803A9">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4803A9">
        <w:rPr>
          <w:rFonts w:ascii="Palatino Linotype" w:hAnsi="Palatino Linotype" w:cs="Arial"/>
          <w:b/>
          <w:bCs/>
          <w:szCs w:val="28"/>
        </w:rPr>
        <w:t>Sujeto Obligado</w:t>
      </w:r>
      <w:r w:rsidRPr="004803A9">
        <w:rPr>
          <w:rFonts w:ascii="Palatino Linotype" w:hAnsi="Palatino Linotype" w:cs="Arial"/>
          <w:bCs/>
          <w:szCs w:val="28"/>
        </w:rPr>
        <w:t xml:space="preserve"> de manera fundada y motivada, podrá solicitar una ampliación de plazo para el cumplimiento de la presente resolución.</w:t>
      </w:r>
    </w:p>
    <w:p w14:paraId="593D07D8" w14:textId="77777777" w:rsidR="00901F1F" w:rsidRPr="004803A9" w:rsidRDefault="00901F1F" w:rsidP="003212CC">
      <w:pPr>
        <w:autoSpaceDE w:val="0"/>
        <w:autoSpaceDN w:val="0"/>
        <w:adjustRightInd w:val="0"/>
        <w:spacing w:line="360" w:lineRule="auto"/>
        <w:ind w:right="49"/>
        <w:jc w:val="both"/>
        <w:rPr>
          <w:rFonts w:ascii="Palatino Linotype" w:hAnsi="Palatino Linotype" w:cs="Arial"/>
          <w:b/>
          <w:szCs w:val="28"/>
        </w:rPr>
      </w:pPr>
    </w:p>
    <w:p w14:paraId="7A3861A3" w14:textId="7BD46160" w:rsidR="0047203A" w:rsidRPr="004803A9" w:rsidRDefault="00901F1F" w:rsidP="003212CC">
      <w:pPr>
        <w:spacing w:line="360" w:lineRule="auto"/>
        <w:jc w:val="both"/>
        <w:rPr>
          <w:rFonts w:ascii="Palatino Linotype" w:eastAsiaTheme="minorHAnsi" w:hAnsi="Palatino Linotype" w:cstheme="minorBidi"/>
          <w:lang w:val="es-MX" w:eastAsia="en-US"/>
        </w:rPr>
      </w:pPr>
      <w:r w:rsidRPr="004803A9">
        <w:rPr>
          <w:rFonts w:ascii="Palatino Linotype" w:hAnsi="Palatino Linotype" w:cs="Arial"/>
          <w:b/>
          <w:sz w:val="28"/>
          <w:szCs w:val="28"/>
        </w:rPr>
        <w:lastRenderedPageBreak/>
        <w:t>QUINTO.</w:t>
      </w:r>
      <w:r w:rsidRPr="004803A9">
        <w:rPr>
          <w:rFonts w:ascii="Palatino Linotype" w:hAnsi="Palatino Linotype" w:cs="Arial"/>
          <w:b/>
        </w:rPr>
        <w:t xml:space="preserve"> NOTIFÍQUESE</w:t>
      </w:r>
      <w:r w:rsidRPr="004803A9">
        <w:rPr>
          <w:rFonts w:ascii="Palatino Linotype" w:hAnsi="Palatino Linotype" w:cs="Arial"/>
        </w:rPr>
        <w:t xml:space="preserve"> a la parte </w:t>
      </w:r>
      <w:r w:rsidRPr="004803A9">
        <w:rPr>
          <w:rFonts w:ascii="Palatino Linotype" w:hAnsi="Palatino Linotype" w:cs="Arial"/>
          <w:b/>
        </w:rPr>
        <w:t>Recurrente</w:t>
      </w:r>
      <w:r w:rsidRPr="004803A9">
        <w:rPr>
          <w:rFonts w:ascii="Palatino Linotype" w:hAnsi="Palatino Linotype" w:cs="Arial"/>
        </w:rPr>
        <w:t xml:space="preserve"> la presente resolución a través del Sistema de Acceso a la Información Mexiquense </w:t>
      </w:r>
      <w:r w:rsidRPr="004803A9">
        <w:rPr>
          <w:rFonts w:ascii="Palatino Linotype" w:hAnsi="Palatino Linotype" w:cs="Arial"/>
          <w:b/>
        </w:rPr>
        <w:t xml:space="preserve">(SAIMEX) </w:t>
      </w:r>
      <w:r w:rsidRPr="004803A9">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63F14" w14:textId="77777777" w:rsidR="00E9162D" w:rsidRPr="004803A9" w:rsidRDefault="00E9162D" w:rsidP="003212CC">
      <w:pPr>
        <w:spacing w:line="360" w:lineRule="auto"/>
        <w:jc w:val="both"/>
        <w:rPr>
          <w:rFonts w:ascii="Palatino Linotype" w:eastAsiaTheme="minorHAnsi" w:hAnsi="Palatino Linotype" w:cstheme="minorBidi"/>
          <w:lang w:val="es-MX" w:eastAsia="en-US"/>
        </w:rPr>
      </w:pPr>
    </w:p>
    <w:p w14:paraId="708C2C7B" w14:textId="2B2665A9" w:rsidR="00B10A2E" w:rsidRPr="004803A9" w:rsidRDefault="004803A9" w:rsidP="003212CC">
      <w:pPr>
        <w:spacing w:line="360" w:lineRule="auto"/>
        <w:jc w:val="both"/>
        <w:rPr>
          <w:rFonts w:ascii="Palatino Linotype" w:eastAsiaTheme="minorHAnsi" w:hAnsi="Palatino Linotype" w:cs="Arial"/>
          <w:lang w:val="es-MX" w:eastAsia="en-US"/>
        </w:rPr>
      </w:pPr>
      <w:r w:rsidRPr="004803A9">
        <w:rPr>
          <w:rFonts w:ascii="Palatino Linotype" w:eastAsiaTheme="minorHAnsi" w:hAnsi="Palatino Linotype" w:cs="Arial"/>
          <w:lang w:val="es-MX" w:eastAsia="en-US"/>
        </w:rPr>
        <w:t>ASÍ LO RESUELVE, POR UNANIMIDAD DE VOTOS, EL PLENO DEL</w:t>
      </w:r>
      <w:r w:rsidRPr="004803A9">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4803A9">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054E04" w:rsidRPr="004803A9">
        <w:rPr>
          <w:rFonts w:ascii="Palatino Linotype" w:eastAsiaTheme="minorHAnsi" w:hAnsi="Palatino Linotype" w:cs="Arial"/>
          <w:lang w:val="es-MX" w:eastAsia="en-US"/>
        </w:rPr>
        <w:t>.</w:t>
      </w:r>
      <w:r w:rsidR="00B10A2E" w:rsidRPr="004803A9">
        <w:rPr>
          <w:rFonts w:ascii="Palatino Linotype" w:eastAsiaTheme="minorHAnsi" w:hAnsi="Palatino Linotype" w:cs="Arial"/>
          <w:lang w:val="es-MX" w:eastAsia="en-US"/>
        </w:rPr>
        <w:t>-----------</w:t>
      </w:r>
      <w:r w:rsidR="00C120DF" w:rsidRPr="004803A9">
        <w:rPr>
          <w:rFonts w:ascii="Palatino Linotype" w:eastAsiaTheme="minorHAnsi" w:hAnsi="Palatino Linotype" w:cs="Arial"/>
          <w:lang w:val="es-MX" w:eastAsia="en-US"/>
        </w:rPr>
        <w:t>----------------------------------------------------------------------------------------</w:t>
      </w:r>
      <w:r w:rsidR="003806D2" w:rsidRPr="004803A9">
        <w:rPr>
          <w:rFonts w:ascii="Palatino Linotype" w:eastAsiaTheme="minorHAnsi" w:hAnsi="Palatino Linotype" w:cs="Arial"/>
          <w:lang w:val="es-MX" w:eastAsia="en-US"/>
        </w:rPr>
        <w:t>---------------------------------------------------------------------------------------------------------------------------------------------------------------------------------------------------</w:t>
      </w:r>
      <w:r w:rsidR="005353D3" w:rsidRPr="004803A9">
        <w:rPr>
          <w:rFonts w:ascii="Palatino Linotype" w:eastAsiaTheme="minorHAnsi" w:hAnsi="Palatino Linotype" w:cs="Arial"/>
          <w:lang w:val="es-MX" w:eastAsia="en-US"/>
        </w:rPr>
        <w:t>-------------------------------------------------------------------------------------------------------------------------------------------------------------------------------------------------------------------------------------------------------------------------------------------------------------------------------------------------------------------------------------------------------------------------------------------------------------------------------------------------------------------------------------------------------------------------------------------------------------------------------------------------------------------------------------------------</w:t>
      </w:r>
      <w:r w:rsidR="00B139C2" w:rsidRPr="004803A9">
        <w:rPr>
          <w:rFonts w:ascii="Palatino Linotype" w:eastAsiaTheme="minorHAnsi" w:hAnsi="Palatino Linotype" w:cs="Arial"/>
          <w:lang w:val="es-MX" w:eastAsia="en-US"/>
        </w:rPr>
        <w:t>---------------------</w:t>
      </w:r>
      <w:r w:rsidR="005353D3" w:rsidRPr="004803A9">
        <w:rPr>
          <w:rFonts w:ascii="Palatino Linotype" w:eastAsiaTheme="minorHAnsi" w:hAnsi="Palatino Linotype" w:cs="Arial"/>
          <w:lang w:val="es-MX" w:eastAsia="en-US"/>
        </w:rPr>
        <w:t>-----------------------</w:t>
      </w:r>
    </w:p>
    <w:p w14:paraId="30DC6A28" w14:textId="1C68EE53" w:rsidR="00B10A2E" w:rsidRPr="00B10A2E" w:rsidRDefault="00DE018B" w:rsidP="003212CC">
      <w:pPr>
        <w:spacing w:line="360" w:lineRule="auto"/>
        <w:jc w:val="both"/>
        <w:rPr>
          <w:rFonts w:ascii="Palatino Linotype" w:eastAsiaTheme="minorHAnsi" w:hAnsi="Palatino Linotype" w:cs="Arial"/>
          <w:sz w:val="16"/>
          <w:szCs w:val="16"/>
          <w:lang w:val="es-MX" w:eastAsia="en-US"/>
        </w:rPr>
      </w:pPr>
      <w:r w:rsidRPr="004803A9">
        <w:rPr>
          <w:rFonts w:ascii="Palatino Linotype" w:eastAsiaTheme="minorHAnsi" w:hAnsi="Palatino Linotype" w:cs="Arial"/>
          <w:sz w:val="16"/>
          <w:szCs w:val="16"/>
          <w:lang w:val="es-MX" w:eastAsia="en-US"/>
        </w:rPr>
        <w:t>JMV/CCR/</w:t>
      </w:r>
    </w:p>
    <w:p w14:paraId="3045BEB7" w14:textId="77777777" w:rsidR="0029071C" w:rsidRDefault="0029071C" w:rsidP="003212CC">
      <w:pPr>
        <w:spacing w:line="360" w:lineRule="auto"/>
      </w:pPr>
    </w:p>
    <w:p w14:paraId="7EB24772" w14:textId="77777777" w:rsidR="0029071C" w:rsidRDefault="0029071C" w:rsidP="003212CC">
      <w:pPr>
        <w:spacing w:line="360" w:lineRule="auto"/>
      </w:pPr>
    </w:p>
    <w:p w14:paraId="186BDFDF" w14:textId="77777777" w:rsidR="0029071C" w:rsidRDefault="0029071C" w:rsidP="003212CC">
      <w:pPr>
        <w:spacing w:line="360" w:lineRule="auto"/>
      </w:pPr>
    </w:p>
    <w:p w14:paraId="7D78206F" w14:textId="77777777" w:rsidR="0029071C" w:rsidRDefault="0029071C" w:rsidP="003212CC">
      <w:pPr>
        <w:spacing w:line="360" w:lineRule="auto"/>
      </w:pPr>
    </w:p>
    <w:p w14:paraId="04814BE6" w14:textId="77777777" w:rsidR="0029071C" w:rsidRDefault="0029071C" w:rsidP="003212CC">
      <w:pPr>
        <w:spacing w:line="360" w:lineRule="auto"/>
      </w:pPr>
    </w:p>
    <w:p w14:paraId="6F49568C" w14:textId="77777777" w:rsidR="0029071C" w:rsidRDefault="0029071C" w:rsidP="003212CC">
      <w:pPr>
        <w:spacing w:line="360" w:lineRule="auto"/>
      </w:pPr>
    </w:p>
    <w:p w14:paraId="6B8A2833" w14:textId="77777777" w:rsidR="0029071C" w:rsidRDefault="0029071C" w:rsidP="003212CC">
      <w:pPr>
        <w:spacing w:line="360" w:lineRule="auto"/>
      </w:pPr>
    </w:p>
    <w:p w14:paraId="2E3529BC" w14:textId="77777777" w:rsidR="0029071C" w:rsidRDefault="0029071C" w:rsidP="003212CC">
      <w:pPr>
        <w:spacing w:line="360" w:lineRule="auto"/>
      </w:pPr>
    </w:p>
    <w:p w14:paraId="488ED8DA" w14:textId="77777777" w:rsidR="0029071C" w:rsidRDefault="0029071C" w:rsidP="003212CC">
      <w:pPr>
        <w:spacing w:line="360" w:lineRule="auto"/>
      </w:pPr>
    </w:p>
    <w:p w14:paraId="2B220EF2" w14:textId="77777777" w:rsidR="0029071C" w:rsidRDefault="0029071C" w:rsidP="003212CC">
      <w:pPr>
        <w:spacing w:line="360" w:lineRule="auto"/>
      </w:pPr>
    </w:p>
    <w:p w14:paraId="54A41508" w14:textId="77777777" w:rsidR="0029071C" w:rsidRDefault="0029071C" w:rsidP="003212CC">
      <w:pPr>
        <w:spacing w:line="360" w:lineRule="auto"/>
      </w:pPr>
    </w:p>
    <w:p w14:paraId="35C7B9CF" w14:textId="77777777" w:rsidR="0029071C" w:rsidRDefault="0029071C" w:rsidP="003212CC">
      <w:pPr>
        <w:spacing w:line="360" w:lineRule="auto"/>
      </w:pPr>
    </w:p>
    <w:p w14:paraId="4A30153D" w14:textId="77777777" w:rsidR="0029071C" w:rsidRDefault="0029071C" w:rsidP="003212CC">
      <w:pPr>
        <w:spacing w:line="360" w:lineRule="auto"/>
      </w:pPr>
    </w:p>
    <w:p w14:paraId="31AB933D" w14:textId="77777777" w:rsidR="0029071C" w:rsidRDefault="0029071C" w:rsidP="003212CC">
      <w:pPr>
        <w:spacing w:line="360" w:lineRule="auto"/>
      </w:pPr>
    </w:p>
    <w:p w14:paraId="0176EBE0" w14:textId="77777777" w:rsidR="0029071C" w:rsidRDefault="0029071C" w:rsidP="003212CC">
      <w:pPr>
        <w:spacing w:line="360" w:lineRule="auto"/>
      </w:pPr>
    </w:p>
    <w:p w14:paraId="4A43AF8A" w14:textId="77777777" w:rsidR="0029071C" w:rsidRDefault="0029071C" w:rsidP="003212CC">
      <w:pPr>
        <w:spacing w:line="360" w:lineRule="auto"/>
      </w:pPr>
    </w:p>
    <w:p w14:paraId="21B21FB2" w14:textId="77777777" w:rsidR="0029071C" w:rsidRDefault="0029071C" w:rsidP="003212CC">
      <w:pPr>
        <w:spacing w:line="360" w:lineRule="auto"/>
      </w:pPr>
    </w:p>
    <w:p w14:paraId="4976B772" w14:textId="77777777" w:rsidR="0029071C" w:rsidRDefault="0029071C" w:rsidP="003212CC">
      <w:pPr>
        <w:spacing w:line="360" w:lineRule="auto"/>
      </w:pPr>
    </w:p>
    <w:p w14:paraId="6A686AB3" w14:textId="77777777" w:rsidR="0029071C" w:rsidRDefault="0029071C" w:rsidP="003212CC">
      <w:pPr>
        <w:spacing w:line="360" w:lineRule="auto"/>
      </w:pPr>
    </w:p>
    <w:p w14:paraId="42D25082" w14:textId="77777777" w:rsidR="0029071C" w:rsidRDefault="0029071C" w:rsidP="003212CC">
      <w:pPr>
        <w:spacing w:line="360" w:lineRule="auto"/>
      </w:pPr>
    </w:p>
    <w:p w14:paraId="19677241" w14:textId="77777777" w:rsidR="0029071C" w:rsidRDefault="0029071C" w:rsidP="003212CC">
      <w:pPr>
        <w:spacing w:line="360" w:lineRule="auto"/>
      </w:pPr>
    </w:p>
    <w:p w14:paraId="3096F816" w14:textId="77777777" w:rsidR="0029071C" w:rsidRDefault="0029071C" w:rsidP="003212CC">
      <w:pPr>
        <w:spacing w:line="360" w:lineRule="auto"/>
      </w:pPr>
    </w:p>
    <w:p w14:paraId="2AB840FB" w14:textId="77777777" w:rsidR="0029071C" w:rsidRDefault="0029071C" w:rsidP="003212CC">
      <w:pPr>
        <w:spacing w:line="360" w:lineRule="auto"/>
      </w:pPr>
    </w:p>
    <w:p w14:paraId="79A1A09E" w14:textId="77777777" w:rsidR="0029071C" w:rsidRDefault="0029071C" w:rsidP="003212CC">
      <w:pPr>
        <w:spacing w:line="360" w:lineRule="auto"/>
      </w:pPr>
    </w:p>
    <w:p w14:paraId="489BB985" w14:textId="77777777" w:rsidR="0029071C" w:rsidRDefault="0029071C" w:rsidP="003212CC">
      <w:pPr>
        <w:spacing w:line="360" w:lineRule="auto"/>
      </w:pPr>
    </w:p>
    <w:p w14:paraId="1929015B" w14:textId="24C1203A" w:rsidR="0029071C" w:rsidRPr="003E56C9" w:rsidRDefault="0029071C" w:rsidP="003212CC">
      <w:pPr>
        <w:spacing w:line="360" w:lineRule="auto"/>
      </w:pPr>
    </w:p>
    <w:p w14:paraId="38F7B516" w14:textId="77777777" w:rsidR="003212CC" w:rsidRPr="003E56C9" w:rsidRDefault="003212CC">
      <w:pPr>
        <w:spacing w:line="360" w:lineRule="auto"/>
      </w:pPr>
    </w:p>
    <w:sectPr w:rsidR="003212C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27F5A" w14:textId="77777777" w:rsidR="001A00E4" w:rsidRDefault="001A00E4" w:rsidP="000B5E25">
      <w:r>
        <w:separator/>
      </w:r>
    </w:p>
  </w:endnote>
  <w:endnote w:type="continuationSeparator" w:id="0">
    <w:p w14:paraId="294AB91F" w14:textId="77777777" w:rsidR="001A00E4" w:rsidRDefault="001A00E4"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00C2B094" w:rsidR="00390BFC" w:rsidRPr="000D3AD4" w:rsidRDefault="00390BF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3505">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3505">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23EC3304" w:rsidR="00390BFC" w:rsidRPr="000D3AD4" w:rsidRDefault="00390BFC"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3505">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3505">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9CB8" w14:textId="77777777" w:rsidR="001A00E4" w:rsidRDefault="001A00E4" w:rsidP="000B5E25">
      <w:r>
        <w:separator/>
      </w:r>
    </w:p>
  </w:footnote>
  <w:footnote w:type="continuationSeparator" w:id="0">
    <w:p w14:paraId="32665FD7" w14:textId="77777777" w:rsidR="001A00E4" w:rsidRDefault="001A00E4" w:rsidP="000B5E25">
      <w:r>
        <w:continuationSeparator/>
      </w:r>
    </w:p>
  </w:footnote>
  <w:footnote w:id="1">
    <w:p w14:paraId="415B7283" w14:textId="77777777" w:rsidR="00390BFC" w:rsidRPr="008A64CB" w:rsidRDefault="00390BFC"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390BFC" w:rsidRDefault="00390BFC" w:rsidP="008A64CB">
      <w:pPr>
        <w:autoSpaceDE w:val="0"/>
        <w:autoSpaceDN w:val="0"/>
        <w:adjustRightInd w:val="0"/>
        <w:ind w:right="49"/>
        <w:jc w:val="both"/>
        <w:rPr>
          <w:rFonts w:ascii="Palatino Linotype" w:hAnsi="Palatino Linotype"/>
          <w:i/>
          <w:sz w:val="18"/>
          <w:szCs w:val="22"/>
        </w:rPr>
      </w:pPr>
    </w:p>
    <w:p w14:paraId="2A843A3D" w14:textId="77777777" w:rsidR="00390BFC" w:rsidRPr="008A64CB" w:rsidRDefault="00390BFC"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390BFC" w:rsidRPr="008A64CB" w:rsidRDefault="00390BFC">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390BFC" w:rsidRDefault="001A00E4">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390BFC" w:rsidRPr="008F2CCC" w14:paraId="6A2352FA" w14:textId="77777777" w:rsidTr="00BC757D">
      <w:tc>
        <w:tcPr>
          <w:tcW w:w="2693" w:type="dxa"/>
          <w:vAlign w:val="center"/>
        </w:tcPr>
        <w:p w14:paraId="217E963F" w14:textId="77777777" w:rsidR="00390BFC" w:rsidRPr="008F5DAE" w:rsidRDefault="00390BF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2DA70D8E" w:rsidR="00390BFC" w:rsidRPr="0029071C" w:rsidRDefault="00390BFC" w:rsidP="00D2182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05975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90BFC" w:rsidRPr="008F2CCC" w14:paraId="1F299A1F" w14:textId="77777777" w:rsidTr="00BC757D">
      <w:trPr>
        <w:trHeight w:val="228"/>
      </w:trPr>
      <w:tc>
        <w:tcPr>
          <w:tcW w:w="2693" w:type="dxa"/>
          <w:vAlign w:val="center"/>
        </w:tcPr>
        <w:p w14:paraId="683328AB" w14:textId="77777777" w:rsidR="00390BFC" w:rsidRPr="008F5DAE" w:rsidRDefault="00390BF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390BFC" w:rsidRPr="0029071C" w:rsidRDefault="00390BFC"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Pr>
              <w:rFonts w:ascii="Palatino Linotype" w:hAnsi="Palatino Linotype"/>
              <w:sz w:val="22"/>
              <w:szCs w:val="22"/>
            </w:rPr>
            <w:t>Toluca</w:t>
          </w:r>
        </w:p>
      </w:tc>
    </w:tr>
    <w:tr w:rsidR="00390BFC" w:rsidRPr="008F2CCC" w14:paraId="46D09EF7" w14:textId="77777777" w:rsidTr="00BC757D">
      <w:tc>
        <w:tcPr>
          <w:tcW w:w="2693" w:type="dxa"/>
          <w:vAlign w:val="center"/>
        </w:tcPr>
        <w:p w14:paraId="1A0A5ED2" w14:textId="77777777" w:rsidR="00390BFC" w:rsidRPr="008F5DAE" w:rsidRDefault="00390BFC"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390BFC" w:rsidRPr="0029071C" w:rsidRDefault="00390BF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390BFC" w:rsidRPr="001779E0" w:rsidRDefault="001A00E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390BFC" w:rsidRPr="008F2CCC" w14:paraId="647E1A5E" w14:textId="77777777" w:rsidTr="00515252">
      <w:tc>
        <w:tcPr>
          <w:tcW w:w="2552" w:type="dxa"/>
          <w:vAlign w:val="center"/>
        </w:tcPr>
        <w:p w14:paraId="61C1A94D" w14:textId="77777777" w:rsidR="00390BFC" w:rsidRPr="008F5DAE" w:rsidRDefault="00390BF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0A8F32D4" w:rsidR="00390BFC" w:rsidRPr="0029071C" w:rsidRDefault="00390BFC"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05975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390BFC" w:rsidRPr="008F2CCC" w14:paraId="34929B82" w14:textId="77777777" w:rsidTr="00515252">
      <w:tc>
        <w:tcPr>
          <w:tcW w:w="2552" w:type="dxa"/>
          <w:vAlign w:val="center"/>
        </w:tcPr>
        <w:p w14:paraId="54C68700" w14:textId="77777777" w:rsidR="00390BFC" w:rsidRPr="008F5DAE" w:rsidRDefault="00390BF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44E1C57" w:rsidR="00390BFC" w:rsidRPr="006D30E6" w:rsidRDefault="00E93505"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390BFC" w:rsidRPr="008F2CCC" w14:paraId="15459416" w14:textId="77777777" w:rsidTr="00515252">
      <w:trPr>
        <w:trHeight w:val="228"/>
      </w:trPr>
      <w:tc>
        <w:tcPr>
          <w:tcW w:w="2552" w:type="dxa"/>
          <w:vAlign w:val="center"/>
        </w:tcPr>
        <w:p w14:paraId="776491B5" w14:textId="77777777" w:rsidR="00390BFC" w:rsidRPr="008F5DAE" w:rsidRDefault="00390BF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390BFC" w:rsidRPr="0029071C" w:rsidRDefault="00390BFC"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Pr>
              <w:rFonts w:ascii="Palatino Linotype" w:hAnsi="Palatino Linotype"/>
              <w:sz w:val="22"/>
              <w:szCs w:val="22"/>
            </w:rPr>
            <w:t>Toluca</w:t>
          </w:r>
        </w:p>
      </w:tc>
    </w:tr>
    <w:tr w:rsidR="00390BFC" w:rsidRPr="008F2CCC" w14:paraId="5C009CDE" w14:textId="77777777" w:rsidTr="00515252">
      <w:tc>
        <w:tcPr>
          <w:tcW w:w="2552" w:type="dxa"/>
          <w:vAlign w:val="center"/>
        </w:tcPr>
        <w:p w14:paraId="294ED620" w14:textId="77777777" w:rsidR="00390BFC" w:rsidRPr="008F5DAE" w:rsidRDefault="00390BFC"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390BFC" w:rsidRPr="0029071C" w:rsidRDefault="00390BFC"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390BFC" w:rsidRDefault="001A00E4">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390BFC" w:rsidRPr="009F1AB6" w:rsidRDefault="00390BFC">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F417E"/>
    <w:multiLevelType w:val="hybridMultilevel"/>
    <w:tmpl w:val="03182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EF015A"/>
    <w:multiLevelType w:val="hybridMultilevel"/>
    <w:tmpl w:val="2F00960A"/>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096425"/>
    <w:multiLevelType w:val="hybridMultilevel"/>
    <w:tmpl w:val="0F1E3CFE"/>
    <w:lvl w:ilvl="0" w:tplc="4C024914">
      <w:start w:val="1"/>
      <w:numFmt w:val="decimal"/>
      <w:lvlText w:val="%1."/>
      <w:lvlJc w:val="left"/>
      <w:pPr>
        <w:ind w:left="720" w:hanging="360"/>
      </w:pPr>
      <w:rPr>
        <w:rFonts w:eastAsia="Times New Roman"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566460E"/>
    <w:multiLevelType w:val="hybridMultilevel"/>
    <w:tmpl w:val="A2B0DC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0"/>
  </w:num>
  <w:num w:numId="5">
    <w:abstractNumId w:val="6"/>
  </w:num>
  <w:num w:numId="6">
    <w:abstractNumId w:val="8"/>
  </w:num>
  <w:num w:numId="7">
    <w:abstractNumId w:val="5"/>
  </w:num>
  <w:num w:numId="8">
    <w:abstractNumId w:val="1"/>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070"/>
    <w:rsid w:val="000478CF"/>
    <w:rsid w:val="00050462"/>
    <w:rsid w:val="00054A13"/>
    <w:rsid w:val="00054E04"/>
    <w:rsid w:val="00056A58"/>
    <w:rsid w:val="000572E9"/>
    <w:rsid w:val="000671F2"/>
    <w:rsid w:val="00070547"/>
    <w:rsid w:val="00071173"/>
    <w:rsid w:val="0007165B"/>
    <w:rsid w:val="000775FC"/>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46F55"/>
    <w:rsid w:val="00151D4C"/>
    <w:rsid w:val="00152DAD"/>
    <w:rsid w:val="001558F3"/>
    <w:rsid w:val="00160C09"/>
    <w:rsid w:val="00165DB1"/>
    <w:rsid w:val="001660E9"/>
    <w:rsid w:val="001676E1"/>
    <w:rsid w:val="00167AD9"/>
    <w:rsid w:val="00170AA7"/>
    <w:rsid w:val="001762FA"/>
    <w:rsid w:val="00184176"/>
    <w:rsid w:val="00186CCB"/>
    <w:rsid w:val="00191418"/>
    <w:rsid w:val="0019170F"/>
    <w:rsid w:val="00193F09"/>
    <w:rsid w:val="00197B1A"/>
    <w:rsid w:val="001A00E4"/>
    <w:rsid w:val="001A46ED"/>
    <w:rsid w:val="001A6109"/>
    <w:rsid w:val="001C054C"/>
    <w:rsid w:val="001C14AC"/>
    <w:rsid w:val="001C7F56"/>
    <w:rsid w:val="001D09E1"/>
    <w:rsid w:val="001D2DE0"/>
    <w:rsid w:val="001D4046"/>
    <w:rsid w:val="001D5495"/>
    <w:rsid w:val="001E2DA3"/>
    <w:rsid w:val="001E45B5"/>
    <w:rsid w:val="001E4FD8"/>
    <w:rsid w:val="001E6A81"/>
    <w:rsid w:val="001F1FCC"/>
    <w:rsid w:val="001F2305"/>
    <w:rsid w:val="001F2E4C"/>
    <w:rsid w:val="001F3672"/>
    <w:rsid w:val="001F479D"/>
    <w:rsid w:val="001F6BF1"/>
    <w:rsid w:val="0020249A"/>
    <w:rsid w:val="00202C04"/>
    <w:rsid w:val="00203662"/>
    <w:rsid w:val="002167BB"/>
    <w:rsid w:val="00217B24"/>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86CD4"/>
    <w:rsid w:val="0029071C"/>
    <w:rsid w:val="002934B4"/>
    <w:rsid w:val="00295B3F"/>
    <w:rsid w:val="00297A54"/>
    <w:rsid w:val="002A040B"/>
    <w:rsid w:val="002A15AF"/>
    <w:rsid w:val="002A238F"/>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453"/>
    <w:rsid w:val="002F55B9"/>
    <w:rsid w:val="002F5EDD"/>
    <w:rsid w:val="002F6ADB"/>
    <w:rsid w:val="00302343"/>
    <w:rsid w:val="00306F04"/>
    <w:rsid w:val="00307006"/>
    <w:rsid w:val="0030701F"/>
    <w:rsid w:val="00313F8E"/>
    <w:rsid w:val="00314E62"/>
    <w:rsid w:val="00316511"/>
    <w:rsid w:val="00320F38"/>
    <w:rsid w:val="003212CC"/>
    <w:rsid w:val="00322715"/>
    <w:rsid w:val="003237EC"/>
    <w:rsid w:val="003255A4"/>
    <w:rsid w:val="00325B77"/>
    <w:rsid w:val="00326B44"/>
    <w:rsid w:val="00327151"/>
    <w:rsid w:val="00330FC3"/>
    <w:rsid w:val="00331E82"/>
    <w:rsid w:val="00335C6A"/>
    <w:rsid w:val="003370A0"/>
    <w:rsid w:val="00340A06"/>
    <w:rsid w:val="00341BBF"/>
    <w:rsid w:val="00343753"/>
    <w:rsid w:val="00343F0B"/>
    <w:rsid w:val="00344236"/>
    <w:rsid w:val="003502CA"/>
    <w:rsid w:val="00351E9D"/>
    <w:rsid w:val="003520C5"/>
    <w:rsid w:val="0035559A"/>
    <w:rsid w:val="00357C37"/>
    <w:rsid w:val="00360FB7"/>
    <w:rsid w:val="00363F90"/>
    <w:rsid w:val="00365F0F"/>
    <w:rsid w:val="00366C55"/>
    <w:rsid w:val="00371835"/>
    <w:rsid w:val="0037207F"/>
    <w:rsid w:val="003746DE"/>
    <w:rsid w:val="00376422"/>
    <w:rsid w:val="00377DDD"/>
    <w:rsid w:val="003804E8"/>
    <w:rsid w:val="003806D2"/>
    <w:rsid w:val="00380D3E"/>
    <w:rsid w:val="003816D4"/>
    <w:rsid w:val="003818CD"/>
    <w:rsid w:val="00386D38"/>
    <w:rsid w:val="00390BFC"/>
    <w:rsid w:val="00393723"/>
    <w:rsid w:val="00396DB6"/>
    <w:rsid w:val="003A769D"/>
    <w:rsid w:val="003B153A"/>
    <w:rsid w:val="003B1C85"/>
    <w:rsid w:val="003B4CF3"/>
    <w:rsid w:val="003B70B0"/>
    <w:rsid w:val="003C6E1C"/>
    <w:rsid w:val="003C7465"/>
    <w:rsid w:val="003C7A9B"/>
    <w:rsid w:val="003D0889"/>
    <w:rsid w:val="003D1214"/>
    <w:rsid w:val="003D5C8A"/>
    <w:rsid w:val="003E21A7"/>
    <w:rsid w:val="003E56C9"/>
    <w:rsid w:val="003E6116"/>
    <w:rsid w:val="003F22BA"/>
    <w:rsid w:val="003F28C1"/>
    <w:rsid w:val="003F3E3F"/>
    <w:rsid w:val="003F684E"/>
    <w:rsid w:val="004018F9"/>
    <w:rsid w:val="00402765"/>
    <w:rsid w:val="00415D24"/>
    <w:rsid w:val="00424FFC"/>
    <w:rsid w:val="00425E0F"/>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46FB3"/>
    <w:rsid w:val="004514F1"/>
    <w:rsid w:val="004672ED"/>
    <w:rsid w:val="0047203A"/>
    <w:rsid w:val="00474B1F"/>
    <w:rsid w:val="00474D3D"/>
    <w:rsid w:val="00480299"/>
    <w:rsid w:val="004803A9"/>
    <w:rsid w:val="00483071"/>
    <w:rsid w:val="00483248"/>
    <w:rsid w:val="00483895"/>
    <w:rsid w:val="00491137"/>
    <w:rsid w:val="00492129"/>
    <w:rsid w:val="004A0B63"/>
    <w:rsid w:val="004A26CF"/>
    <w:rsid w:val="004A2D65"/>
    <w:rsid w:val="004B200D"/>
    <w:rsid w:val="004B2314"/>
    <w:rsid w:val="004B4B9F"/>
    <w:rsid w:val="004B5F63"/>
    <w:rsid w:val="004C2182"/>
    <w:rsid w:val="004C6BB5"/>
    <w:rsid w:val="004C7090"/>
    <w:rsid w:val="004D0867"/>
    <w:rsid w:val="004D18B6"/>
    <w:rsid w:val="004D193E"/>
    <w:rsid w:val="004D5D2F"/>
    <w:rsid w:val="004D6F71"/>
    <w:rsid w:val="004E06F5"/>
    <w:rsid w:val="004E3A1A"/>
    <w:rsid w:val="004E5628"/>
    <w:rsid w:val="004F0BF1"/>
    <w:rsid w:val="004F5303"/>
    <w:rsid w:val="004F5A12"/>
    <w:rsid w:val="004F7F8A"/>
    <w:rsid w:val="00500B82"/>
    <w:rsid w:val="0050130E"/>
    <w:rsid w:val="0050243E"/>
    <w:rsid w:val="005128C2"/>
    <w:rsid w:val="00515252"/>
    <w:rsid w:val="005153E5"/>
    <w:rsid w:val="00517275"/>
    <w:rsid w:val="00524546"/>
    <w:rsid w:val="00524A8D"/>
    <w:rsid w:val="0052578D"/>
    <w:rsid w:val="00526853"/>
    <w:rsid w:val="0053247E"/>
    <w:rsid w:val="005327BF"/>
    <w:rsid w:val="0053343D"/>
    <w:rsid w:val="00535341"/>
    <w:rsid w:val="005353D3"/>
    <w:rsid w:val="00541687"/>
    <w:rsid w:val="0054391A"/>
    <w:rsid w:val="00543E50"/>
    <w:rsid w:val="00544BA0"/>
    <w:rsid w:val="00545ABC"/>
    <w:rsid w:val="00555C87"/>
    <w:rsid w:val="00561A6E"/>
    <w:rsid w:val="00561D99"/>
    <w:rsid w:val="00563B39"/>
    <w:rsid w:val="00572099"/>
    <w:rsid w:val="0057280C"/>
    <w:rsid w:val="0057289F"/>
    <w:rsid w:val="00574FDC"/>
    <w:rsid w:val="005803C9"/>
    <w:rsid w:val="00581DC8"/>
    <w:rsid w:val="005866E8"/>
    <w:rsid w:val="0059023C"/>
    <w:rsid w:val="0059032F"/>
    <w:rsid w:val="005917D2"/>
    <w:rsid w:val="0059614C"/>
    <w:rsid w:val="00597D71"/>
    <w:rsid w:val="005A46BC"/>
    <w:rsid w:val="005A4C88"/>
    <w:rsid w:val="005A6216"/>
    <w:rsid w:val="005B0692"/>
    <w:rsid w:val="005B234D"/>
    <w:rsid w:val="005B255B"/>
    <w:rsid w:val="005B26AD"/>
    <w:rsid w:val="005B36A8"/>
    <w:rsid w:val="005B5693"/>
    <w:rsid w:val="005C2ACA"/>
    <w:rsid w:val="005C6646"/>
    <w:rsid w:val="005C71A7"/>
    <w:rsid w:val="005D14FC"/>
    <w:rsid w:val="005D77CC"/>
    <w:rsid w:val="005E09AB"/>
    <w:rsid w:val="005E3D88"/>
    <w:rsid w:val="005E5716"/>
    <w:rsid w:val="005F1F89"/>
    <w:rsid w:val="005F38DA"/>
    <w:rsid w:val="005F4BFB"/>
    <w:rsid w:val="006000C5"/>
    <w:rsid w:val="006002E0"/>
    <w:rsid w:val="006002E3"/>
    <w:rsid w:val="006021E7"/>
    <w:rsid w:val="006072DA"/>
    <w:rsid w:val="0061406C"/>
    <w:rsid w:val="00617E73"/>
    <w:rsid w:val="00620280"/>
    <w:rsid w:val="0062349E"/>
    <w:rsid w:val="006258FD"/>
    <w:rsid w:val="00632E48"/>
    <w:rsid w:val="00634FF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C5673"/>
    <w:rsid w:val="006D1713"/>
    <w:rsid w:val="006D30E6"/>
    <w:rsid w:val="006D3A03"/>
    <w:rsid w:val="006D3ED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270C"/>
    <w:rsid w:val="007348B7"/>
    <w:rsid w:val="00736781"/>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C65F1"/>
    <w:rsid w:val="007D2A81"/>
    <w:rsid w:val="007D645B"/>
    <w:rsid w:val="007E52D5"/>
    <w:rsid w:val="007E534B"/>
    <w:rsid w:val="007E6F30"/>
    <w:rsid w:val="007E7C02"/>
    <w:rsid w:val="007F7462"/>
    <w:rsid w:val="00800A80"/>
    <w:rsid w:val="00800C72"/>
    <w:rsid w:val="00803913"/>
    <w:rsid w:val="00807D02"/>
    <w:rsid w:val="0081709C"/>
    <w:rsid w:val="00823690"/>
    <w:rsid w:val="00831185"/>
    <w:rsid w:val="00833152"/>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3E1C"/>
    <w:rsid w:val="008F5D37"/>
    <w:rsid w:val="008F5DAE"/>
    <w:rsid w:val="008F7C23"/>
    <w:rsid w:val="00900C9B"/>
    <w:rsid w:val="00901487"/>
    <w:rsid w:val="00901F1F"/>
    <w:rsid w:val="009072AA"/>
    <w:rsid w:val="00907F13"/>
    <w:rsid w:val="00914306"/>
    <w:rsid w:val="00921551"/>
    <w:rsid w:val="009217E8"/>
    <w:rsid w:val="00922456"/>
    <w:rsid w:val="00925B0B"/>
    <w:rsid w:val="0092622F"/>
    <w:rsid w:val="00926C44"/>
    <w:rsid w:val="0093645B"/>
    <w:rsid w:val="0094381A"/>
    <w:rsid w:val="00951242"/>
    <w:rsid w:val="009569DB"/>
    <w:rsid w:val="00961002"/>
    <w:rsid w:val="0096424E"/>
    <w:rsid w:val="00973F9B"/>
    <w:rsid w:val="009758CB"/>
    <w:rsid w:val="00980909"/>
    <w:rsid w:val="00984706"/>
    <w:rsid w:val="0098485C"/>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5CF"/>
    <w:rsid w:val="009E0C45"/>
    <w:rsid w:val="009E0E89"/>
    <w:rsid w:val="009E1F26"/>
    <w:rsid w:val="009E3A2B"/>
    <w:rsid w:val="009E46C3"/>
    <w:rsid w:val="009F4FF4"/>
    <w:rsid w:val="009F62C3"/>
    <w:rsid w:val="009F71DC"/>
    <w:rsid w:val="009F769D"/>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88B"/>
    <w:rsid w:val="00A44C61"/>
    <w:rsid w:val="00A5260D"/>
    <w:rsid w:val="00A535E4"/>
    <w:rsid w:val="00A54C18"/>
    <w:rsid w:val="00A57A40"/>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129C"/>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39C2"/>
    <w:rsid w:val="00B14416"/>
    <w:rsid w:val="00B17992"/>
    <w:rsid w:val="00B20A5F"/>
    <w:rsid w:val="00B20C2B"/>
    <w:rsid w:val="00B22965"/>
    <w:rsid w:val="00B22D8E"/>
    <w:rsid w:val="00B22E97"/>
    <w:rsid w:val="00B23344"/>
    <w:rsid w:val="00B24B11"/>
    <w:rsid w:val="00B250D7"/>
    <w:rsid w:val="00B253F0"/>
    <w:rsid w:val="00B26798"/>
    <w:rsid w:val="00B309E3"/>
    <w:rsid w:val="00B31853"/>
    <w:rsid w:val="00B31EA1"/>
    <w:rsid w:val="00B36260"/>
    <w:rsid w:val="00B409D1"/>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AAD"/>
    <w:rsid w:val="00B83E10"/>
    <w:rsid w:val="00B85697"/>
    <w:rsid w:val="00B85F29"/>
    <w:rsid w:val="00B911AF"/>
    <w:rsid w:val="00B9358F"/>
    <w:rsid w:val="00B96A17"/>
    <w:rsid w:val="00BA0F27"/>
    <w:rsid w:val="00BA27FC"/>
    <w:rsid w:val="00BA43DC"/>
    <w:rsid w:val="00BB02B0"/>
    <w:rsid w:val="00BB06D2"/>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3357"/>
    <w:rsid w:val="00C039CA"/>
    <w:rsid w:val="00C03CF0"/>
    <w:rsid w:val="00C0414E"/>
    <w:rsid w:val="00C058C8"/>
    <w:rsid w:val="00C120DF"/>
    <w:rsid w:val="00C145A0"/>
    <w:rsid w:val="00C20F80"/>
    <w:rsid w:val="00C233E9"/>
    <w:rsid w:val="00C2389C"/>
    <w:rsid w:val="00C249A6"/>
    <w:rsid w:val="00C32A3B"/>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63B4"/>
    <w:rsid w:val="00CB54CA"/>
    <w:rsid w:val="00CC0700"/>
    <w:rsid w:val="00CC0B81"/>
    <w:rsid w:val="00CC6C65"/>
    <w:rsid w:val="00CD024D"/>
    <w:rsid w:val="00CD0A7D"/>
    <w:rsid w:val="00CD11A0"/>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072ED"/>
    <w:rsid w:val="00D1060F"/>
    <w:rsid w:val="00D10C88"/>
    <w:rsid w:val="00D12C36"/>
    <w:rsid w:val="00D13B13"/>
    <w:rsid w:val="00D13D7F"/>
    <w:rsid w:val="00D21824"/>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1A1D"/>
    <w:rsid w:val="00DD5A69"/>
    <w:rsid w:val="00DE018B"/>
    <w:rsid w:val="00DE0A8D"/>
    <w:rsid w:val="00DE2068"/>
    <w:rsid w:val="00DE347D"/>
    <w:rsid w:val="00DE562A"/>
    <w:rsid w:val="00DE6CF9"/>
    <w:rsid w:val="00DE7148"/>
    <w:rsid w:val="00DF0080"/>
    <w:rsid w:val="00DF06EF"/>
    <w:rsid w:val="00DF2507"/>
    <w:rsid w:val="00DF62A4"/>
    <w:rsid w:val="00DF6342"/>
    <w:rsid w:val="00DF665C"/>
    <w:rsid w:val="00DF700F"/>
    <w:rsid w:val="00E00D15"/>
    <w:rsid w:val="00E024E4"/>
    <w:rsid w:val="00E03E5B"/>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8735B"/>
    <w:rsid w:val="00E90222"/>
    <w:rsid w:val="00E9091C"/>
    <w:rsid w:val="00E9162D"/>
    <w:rsid w:val="00E92136"/>
    <w:rsid w:val="00E93505"/>
    <w:rsid w:val="00E93766"/>
    <w:rsid w:val="00E93BB3"/>
    <w:rsid w:val="00E9680B"/>
    <w:rsid w:val="00EA0618"/>
    <w:rsid w:val="00EA46CC"/>
    <w:rsid w:val="00EA49B9"/>
    <w:rsid w:val="00EA5AA1"/>
    <w:rsid w:val="00EA61B9"/>
    <w:rsid w:val="00EA75FB"/>
    <w:rsid w:val="00EA7BF4"/>
    <w:rsid w:val="00EB4458"/>
    <w:rsid w:val="00EB6C62"/>
    <w:rsid w:val="00EB7A95"/>
    <w:rsid w:val="00EC0266"/>
    <w:rsid w:val="00EC19DC"/>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1E2B"/>
    <w:rsid w:val="00EF7F82"/>
    <w:rsid w:val="00F01B15"/>
    <w:rsid w:val="00F01C71"/>
    <w:rsid w:val="00F1159D"/>
    <w:rsid w:val="00F12F52"/>
    <w:rsid w:val="00F221AF"/>
    <w:rsid w:val="00F2283A"/>
    <w:rsid w:val="00F239B9"/>
    <w:rsid w:val="00F240DF"/>
    <w:rsid w:val="00F241AD"/>
    <w:rsid w:val="00F30B8C"/>
    <w:rsid w:val="00F30C1D"/>
    <w:rsid w:val="00F30C33"/>
    <w:rsid w:val="00F3172F"/>
    <w:rsid w:val="00F32EBF"/>
    <w:rsid w:val="00F34A32"/>
    <w:rsid w:val="00F34FC5"/>
    <w:rsid w:val="00F40D75"/>
    <w:rsid w:val="00F43F9A"/>
    <w:rsid w:val="00F455F1"/>
    <w:rsid w:val="00F50C03"/>
    <w:rsid w:val="00F538CE"/>
    <w:rsid w:val="00F551C6"/>
    <w:rsid w:val="00F56606"/>
    <w:rsid w:val="00F570D3"/>
    <w:rsid w:val="00F61C9C"/>
    <w:rsid w:val="00F62221"/>
    <w:rsid w:val="00F63223"/>
    <w:rsid w:val="00F6546B"/>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5954798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9F2E-BE25-454D-B067-01E20657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41</Pages>
  <Words>9396</Words>
  <Characters>51678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cp:lastPrinted>2026-01-22T18:12:00Z</cp:lastPrinted>
  <dcterms:created xsi:type="dcterms:W3CDTF">2026-01-13T21:32:00Z</dcterms:created>
  <dcterms:modified xsi:type="dcterms:W3CDTF">2026-03-04T18:44:00Z</dcterms:modified>
</cp:coreProperties>
</file>