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280C" w:rsidRPr="00E94A19" w:rsidRDefault="002178B2">
      <w:pPr>
        <w:tabs>
          <w:tab w:val="left" w:pos="3465"/>
        </w:tabs>
        <w:spacing w:line="360" w:lineRule="auto"/>
        <w:ind w:right="-787"/>
        <w:jc w:val="both"/>
        <w:rPr>
          <w:rFonts w:ascii="Palatino Linotype" w:eastAsia="Palatino Linotype" w:hAnsi="Palatino Linotype" w:cs="Palatino Linotype"/>
          <w:b/>
        </w:rPr>
      </w:pPr>
      <w:bookmarkStart w:id="0" w:name="_GoBack"/>
      <w:bookmarkEnd w:id="0"/>
      <w:r w:rsidRPr="00E94A1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w:t>
      </w:r>
      <w:r w:rsidR="00E217DE" w:rsidRPr="00E94A19">
        <w:rPr>
          <w:rFonts w:ascii="Palatino Linotype" w:eastAsia="Palatino Linotype" w:hAnsi="Palatino Linotype" w:cs="Palatino Linotype"/>
        </w:rPr>
        <w:t xml:space="preserve">o de México; </w:t>
      </w:r>
      <w:r w:rsidR="00E217DE" w:rsidRPr="00E94A19">
        <w:rPr>
          <w:rFonts w:ascii="Palatino Linotype" w:eastAsia="Palatino Linotype" w:hAnsi="Palatino Linotype" w:cs="Palatino Linotype"/>
          <w:b/>
        </w:rPr>
        <w:t>de fecha cinco</w:t>
      </w:r>
      <w:r w:rsidR="00E94A19" w:rsidRPr="00E94A19">
        <w:rPr>
          <w:rFonts w:ascii="Palatino Linotype" w:eastAsia="Palatino Linotype" w:hAnsi="Palatino Linotype" w:cs="Palatino Linotype"/>
          <w:b/>
        </w:rPr>
        <w:t xml:space="preserve"> (05)</w:t>
      </w:r>
      <w:r w:rsidR="00E217DE" w:rsidRPr="00E94A19">
        <w:rPr>
          <w:rFonts w:ascii="Palatino Linotype" w:eastAsia="Palatino Linotype" w:hAnsi="Palatino Linotype" w:cs="Palatino Linotype"/>
          <w:b/>
        </w:rPr>
        <w:t xml:space="preserve"> de febrero</w:t>
      </w:r>
      <w:r w:rsidRPr="00E94A19">
        <w:rPr>
          <w:rFonts w:ascii="Palatino Linotype" w:eastAsia="Palatino Linotype" w:hAnsi="Palatino Linotype" w:cs="Palatino Linotype"/>
          <w:b/>
        </w:rPr>
        <w:t xml:space="preserve"> de dos mil veintiséis.</w:t>
      </w:r>
    </w:p>
    <w:p w:rsidR="002D280C" w:rsidRPr="00E94A19" w:rsidRDefault="002D280C">
      <w:pPr>
        <w:tabs>
          <w:tab w:val="left" w:pos="3465"/>
        </w:tabs>
        <w:spacing w:line="360" w:lineRule="auto"/>
        <w:ind w:right="-787"/>
        <w:jc w:val="both"/>
        <w:rPr>
          <w:rFonts w:ascii="Palatino Linotype" w:eastAsia="Palatino Linotype" w:hAnsi="Palatino Linotype" w:cs="Palatino Linotype"/>
        </w:rPr>
      </w:pPr>
    </w:p>
    <w:p w:rsidR="002D280C" w:rsidRPr="00E94A19" w:rsidRDefault="002178B2">
      <w:pPr>
        <w:spacing w:line="360" w:lineRule="auto"/>
        <w:ind w:right="-787"/>
        <w:jc w:val="both"/>
        <w:rPr>
          <w:rFonts w:ascii="Palatino Linotype" w:eastAsia="Palatino Linotype" w:hAnsi="Palatino Linotype" w:cs="Palatino Linotype"/>
        </w:rPr>
      </w:pPr>
      <w:r w:rsidRPr="00E94A19">
        <w:rPr>
          <w:rFonts w:ascii="Palatino Linotype" w:eastAsia="Palatino Linotype" w:hAnsi="Palatino Linotype" w:cs="Palatino Linotype"/>
          <w:b/>
          <w:bCs/>
        </w:rPr>
        <w:t xml:space="preserve">VISTAS </w:t>
      </w:r>
      <w:r w:rsidRPr="00E94A19">
        <w:rPr>
          <w:rFonts w:ascii="Palatino Linotype" w:eastAsia="Palatino Linotype" w:hAnsi="Palatino Linotype" w:cs="Palatino Linotype"/>
        </w:rPr>
        <w:t xml:space="preserve">las constancias para resolver </w:t>
      </w:r>
      <w:r w:rsidRPr="00E94A19">
        <w:rPr>
          <w:rFonts w:ascii="Palatino Linotype" w:eastAsia="Palatino Linotype" w:hAnsi="Palatino Linotype" w:cs="Palatino Linotype"/>
          <w:color w:val="000000"/>
        </w:rPr>
        <w:t xml:space="preserve">el Recurso de Revisión </w:t>
      </w:r>
      <w:r w:rsidRPr="00E94A19">
        <w:rPr>
          <w:rFonts w:ascii="Palatino Linotype" w:eastAsia="Palatino Linotype" w:hAnsi="Palatino Linotype" w:cs="Palatino Linotype"/>
          <w:b/>
          <w:bCs/>
          <w:color w:val="000000"/>
        </w:rPr>
        <w:t>08458/INFOEM/IP/RR/2025</w:t>
      </w:r>
      <w:r w:rsidRPr="00E94A19">
        <w:rPr>
          <w:rFonts w:ascii="Palatino Linotype" w:eastAsia="Palatino Linotype" w:hAnsi="Palatino Linotype" w:cs="Palatino Linotype"/>
          <w:color w:val="000000"/>
        </w:rPr>
        <w:t xml:space="preserve">, promovido </w:t>
      </w:r>
      <w:r w:rsidRPr="00E94A19">
        <w:rPr>
          <w:rFonts w:ascii="Palatino Linotype" w:eastAsia="Palatino Linotype" w:hAnsi="Palatino Linotype" w:cs="Palatino Linotype"/>
          <w:b/>
          <w:color w:val="000000"/>
        </w:rPr>
        <w:t>de manera anónima</w:t>
      </w:r>
      <w:r w:rsidRPr="00E94A19">
        <w:rPr>
          <w:rFonts w:ascii="Palatino Linotype" w:eastAsia="Palatino Linotype" w:hAnsi="Palatino Linotype" w:cs="Palatino Linotype"/>
          <w:color w:val="000000"/>
        </w:rPr>
        <w:t>,</w:t>
      </w:r>
      <w:r w:rsidRPr="00E94A19">
        <w:rPr>
          <w:rFonts w:ascii="Palatino Linotype" w:eastAsia="Palatino Linotype" w:hAnsi="Palatino Linotype" w:cs="Palatino Linotype"/>
        </w:rPr>
        <w:t xml:space="preserve"> en lo sucesivo </w:t>
      </w:r>
      <w:r w:rsidRPr="00E94A19">
        <w:rPr>
          <w:rFonts w:ascii="Palatino Linotype" w:eastAsia="Palatino Linotype" w:hAnsi="Palatino Linotype" w:cs="Palatino Linotype"/>
          <w:b/>
          <w:bCs/>
        </w:rPr>
        <w:t>EL RECURRENTE</w:t>
      </w:r>
      <w:r w:rsidRPr="00E94A19">
        <w:rPr>
          <w:rFonts w:ascii="Palatino Linotype" w:eastAsia="Palatino Linotype" w:hAnsi="Palatino Linotype" w:cs="Palatino Linotype"/>
        </w:rPr>
        <w:t xml:space="preserve">, en contra de la respuesta otorgada a la solicitud de información </w:t>
      </w:r>
      <w:r w:rsidRPr="00E94A19">
        <w:rPr>
          <w:rFonts w:ascii="Palatino Linotype" w:eastAsia="Palatino Linotype" w:hAnsi="Palatino Linotype" w:cs="Palatino Linotype"/>
          <w:b/>
          <w:bCs/>
        </w:rPr>
        <w:t>00139/JOCOTIT/IP/2025</w:t>
      </w:r>
      <w:r w:rsidRPr="00E94A19">
        <w:rPr>
          <w:rFonts w:ascii="Palatino Linotype" w:eastAsia="Palatino Linotype" w:hAnsi="Palatino Linotype" w:cs="Palatino Linotype"/>
        </w:rPr>
        <w:t xml:space="preserve">, por parte del </w:t>
      </w:r>
      <w:r w:rsidRPr="00E94A19">
        <w:rPr>
          <w:rFonts w:ascii="Palatino Linotype" w:eastAsia="Palatino Linotype" w:hAnsi="Palatino Linotype" w:cs="Palatino Linotype"/>
          <w:b/>
          <w:bCs/>
        </w:rPr>
        <w:t xml:space="preserve">Ayuntamiento de Jocotitlán, </w:t>
      </w:r>
      <w:r w:rsidRPr="00E94A19">
        <w:rPr>
          <w:rFonts w:ascii="Palatino Linotype" w:eastAsia="Palatino Linotype" w:hAnsi="Palatino Linotype" w:cs="Palatino Linotype"/>
        </w:rPr>
        <w:t xml:space="preserve">en adelante el </w:t>
      </w:r>
      <w:r w:rsidRPr="00E94A19">
        <w:rPr>
          <w:rFonts w:ascii="Palatino Linotype" w:eastAsia="Palatino Linotype" w:hAnsi="Palatino Linotype" w:cs="Palatino Linotype"/>
          <w:b/>
          <w:bCs/>
        </w:rPr>
        <w:t>SUJETO OBLIGADO</w:t>
      </w:r>
      <w:r w:rsidRPr="00E94A19">
        <w:rPr>
          <w:rFonts w:ascii="Palatino Linotype" w:eastAsia="Palatino Linotype" w:hAnsi="Palatino Linotype" w:cs="Palatino Linotype"/>
        </w:rPr>
        <w:t xml:space="preserve">, se emite la presente resolución con base en los siguientes:  </w:t>
      </w:r>
    </w:p>
    <w:p w:rsidR="00E94A19" w:rsidRPr="00E94A19" w:rsidRDefault="00E94A19">
      <w:pPr>
        <w:spacing w:line="360" w:lineRule="auto"/>
        <w:ind w:right="-787"/>
        <w:jc w:val="both"/>
        <w:rPr>
          <w:rFonts w:ascii="Palatino Linotype" w:eastAsia="Palatino Linotype" w:hAnsi="Palatino Linotype" w:cs="Palatino Linotype"/>
        </w:rPr>
      </w:pPr>
    </w:p>
    <w:p w:rsidR="002D280C" w:rsidRPr="00E94A19" w:rsidRDefault="002178B2">
      <w:pPr>
        <w:pStyle w:val="Ttulo1"/>
        <w:spacing w:before="0" w:line="360" w:lineRule="auto"/>
        <w:ind w:right="-787"/>
        <w:jc w:val="center"/>
        <w:rPr>
          <w:rFonts w:ascii="Palatino Linotype" w:eastAsia="Palatino Linotype" w:hAnsi="Palatino Linotype" w:cs="Palatino Linotype"/>
          <w:b/>
          <w:bCs/>
          <w:color w:val="000000"/>
          <w:sz w:val="24"/>
          <w:szCs w:val="24"/>
        </w:rPr>
      </w:pPr>
      <w:bookmarkStart w:id="1" w:name="_heading=h.gjdgxs" w:colFirst="0" w:colLast="0"/>
      <w:bookmarkEnd w:id="1"/>
      <w:r w:rsidRPr="00E94A19">
        <w:rPr>
          <w:rFonts w:ascii="Palatino Linotype" w:eastAsia="Palatino Linotype" w:hAnsi="Palatino Linotype" w:cs="Palatino Linotype"/>
          <w:b/>
          <w:bCs/>
          <w:color w:val="000000"/>
          <w:sz w:val="24"/>
          <w:szCs w:val="24"/>
        </w:rPr>
        <w:t>A N T E C E D E N T E S</w:t>
      </w:r>
    </w:p>
    <w:p w:rsidR="002D280C" w:rsidRPr="00E94A19" w:rsidRDefault="002D280C">
      <w:pPr>
        <w:pBdr>
          <w:top w:val="nil"/>
          <w:left w:val="nil"/>
          <w:bottom w:val="nil"/>
          <w:right w:val="nil"/>
          <w:between w:val="nil"/>
        </w:pBdr>
        <w:spacing w:line="360" w:lineRule="auto"/>
        <w:ind w:left="720" w:right="-787"/>
        <w:jc w:val="both"/>
        <w:rPr>
          <w:rFonts w:ascii="Palatino Linotype" w:eastAsia="Palatino Linotype" w:hAnsi="Palatino Linotype" w:cs="Palatino Linotype"/>
          <w:b/>
          <w:bCs/>
          <w:color w:val="000000"/>
          <w:u w:val="single"/>
        </w:rPr>
      </w:pPr>
    </w:p>
    <w:p w:rsidR="002D280C" w:rsidRPr="00E94A19" w:rsidRDefault="002178B2">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El </w:t>
      </w:r>
      <w:r w:rsidRPr="00E94A19">
        <w:rPr>
          <w:rFonts w:ascii="Palatino Linotype" w:eastAsia="Palatino Linotype" w:hAnsi="Palatino Linotype" w:cs="Palatino Linotype"/>
          <w:b/>
          <w:bCs/>
          <w:color w:val="000000"/>
        </w:rPr>
        <w:t>veintiséis de mayo de dos mil veinticinco</w:t>
      </w:r>
      <w:r w:rsidRPr="00E94A19">
        <w:rPr>
          <w:rFonts w:ascii="Palatino Linotype" w:eastAsia="Palatino Linotype" w:hAnsi="Palatino Linotype" w:cs="Palatino Linotype"/>
          <w:color w:val="000000"/>
        </w:rPr>
        <w:t>,</w:t>
      </w:r>
      <w:r w:rsidRPr="00E94A19">
        <w:rPr>
          <w:rFonts w:ascii="Palatino Linotype" w:eastAsia="Palatino Linotype" w:hAnsi="Palatino Linotype" w:cs="Palatino Linotype"/>
          <w:b/>
          <w:bCs/>
          <w:color w:val="000000"/>
        </w:rPr>
        <w:t xml:space="preserve"> </w:t>
      </w:r>
      <w:r w:rsidRPr="00E94A19">
        <w:rPr>
          <w:rFonts w:ascii="Palatino Linotype" w:eastAsia="Palatino Linotype" w:hAnsi="Palatino Linotype" w:cs="Palatino Linotype"/>
          <w:color w:val="000000"/>
        </w:rPr>
        <w:t xml:space="preserve">se presentó ante el Sujeto Obligado vía Sistema de Acceso a la Información Mexiquense, en adelante SAIMEX, la siguiente </w:t>
      </w:r>
      <w:r w:rsidRPr="00E94A19">
        <w:rPr>
          <w:rFonts w:ascii="Palatino Linotype" w:eastAsia="Palatino Linotype" w:hAnsi="Palatino Linotype" w:cs="Palatino Linotype"/>
          <w:b/>
          <w:bCs/>
          <w:color w:val="000000"/>
        </w:rPr>
        <w:t>solicitud de información pública</w:t>
      </w:r>
      <w:r w:rsidRPr="00E94A19">
        <w:rPr>
          <w:rFonts w:ascii="Palatino Linotype" w:eastAsia="Palatino Linotype" w:hAnsi="Palatino Linotype" w:cs="Palatino Linotype"/>
          <w:color w:val="000000"/>
        </w:rPr>
        <w:t>:</w:t>
      </w:r>
    </w:p>
    <w:p w:rsidR="002D280C" w:rsidRPr="00E94A19" w:rsidRDefault="002D280C">
      <w:pPr>
        <w:pBdr>
          <w:top w:val="nil"/>
          <w:left w:val="nil"/>
          <w:bottom w:val="nil"/>
          <w:right w:val="nil"/>
          <w:between w:val="nil"/>
        </w:pBdr>
        <w:ind w:right="-788"/>
        <w:jc w:val="both"/>
        <w:rPr>
          <w:rFonts w:ascii="Palatino Linotype" w:eastAsia="Palatino Linotype" w:hAnsi="Palatino Linotype" w:cs="Palatino Linotype"/>
          <w:color w:val="000000"/>
        </w:rPr>
      </w:pPr>
    </w:p>
    <w:p w:rsidR="002D280C" w:rsidRPr="00E94A19" w:rsidRDefault="002178B2">
      <w:pPr>
        <w:pBdr>
          <w:top w:val="nil"/>
          <w:left w:val="nil"/>
          <w:bottom w:val="nil"/>
          <w:right w:val="nil"/>
          <w:between w:val="nil"/>
        </w:pBdr>
        <w:ind w:left="567" w:right="-788"/>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 xml:space="preserve"> “solicito el contrato o convenio que se realizo para la adquisición de camión recolector de basura así como la factura de pago por cualquier concepto de adquisición que le fue asignado al área de servicios públicos asi también solicito el costo de camión de bomberos, la factura de pago y contrato convenio que se realizo para dicha adquisición” (Sic)</w:t>
      </w:r>
    </w:p>
    <w:p w:rsidR="002D280C" w:rsidRPr="00E94A19" w:rsidRDefault="002D280C">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E94A19" w:rsidRPr="00E94A19" w:rsidRDefault="00E94A19">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2D280C" w:rsidRPr="00E94A19" w:rsidRDefault="002178B2" w:rsidP="00E94A19">
      <w:pPr>
        <w:numPr>
          <w:ilvl w:val="0"/>
          <w:numId w:val="1"/>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Se eligió como modalidad de entrega de la información: A través del </w:t>
      </w:r>
      <w:r w:rsidRPr="00E94A19">
        <w:rPr>
          <w:rFonts w:ascii="Palatino Linotype" w:eastAsia="Palatino Linotype" w:hAnsi="Palatino Linotype" w:cs="Palatino Linotype"/>
          <w:b/>
          <w:bCs/>
          <w:color w:val="000000"/>
        </w:rPr>
        <w:t xml:space="preserve">SAIMEX. </w:t>
      </w:r>
    </w:p>
    <w:p w:rsidR="002D280C" w:rsidRPr="00E94A19" w:rsidRDefault="002D280C">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El</w:t>
      </w:r>
      <w:r w:rsidRPr="00E94A19">
        <w:rPr>
          <w:rFonts w:ascii="Palatino Linotype" w:eastAsia="Palatino Linotype" w:hAnsi="Palatino Linotype" w:cs="Palatino Linotype"/>
          <w:b/>
          <w:bCs/>
          <w:color w:val="000000"/>
        </w:rPr>
        <w:t xml:space="preserve"> dieciséis de junio de dos mil veinticinco</w:t>
      </w:r>
      <w:r w:rsidRPr="00E94A19">
        <w:rPr>
          <w:rFonts w:ascii="Palatino Linotype" w:eastAsia="Palatino Linotype" w:hAnsi="Palatino Linotype" w:cs="Palatino Linotype"/>
          <w:color w:val="000000"/>
        </w:rPr>
        <w:t>, el Sujeto Obligado</w:t>
      </w:r>
      <w:r w:rsidRPr="00E94A19">
        <w:rPr>
          <w:rFonts w:ascii="Palatino Linotype" w:eastAsia="Palatino Linotype" w:hAnsi="Palatino Linotype" w:cs="Palatino Linotype"/>
          <w:b/>
          <w:bCs/>
          <w:color w:val="000000"/>
        </w:rPr>
        <w:t>,</w:t>
      </w:r>
      <w:r w:rsidRPr="00E94A19">
        <w:rPr>
          <w:rFonts w:ascii="Palatino Linotype" w:eastAsia="Palatino Linotype" w:hAnsi="Palatino Linotype" w:cs="Palatino Linotype"/>
          <w:color w:val="000000"/>
        </w:rPr>
        <w:t xml:space="preserve"> notificó </w:t>
      </w:r>
      <w:r w:rsidRPr="00E94A19">
        <w:rPr>
          <w:rFonts w:ascii="Palatino Linotype" w:eastAsia="Palatino Linotype" w:hAnsi="Palatino Linotype" w:cs="Palatino Linotype"/>
          <w:b/>
          <w:bCs/>
          <w:color w:val="000000"/>
        </w:rPr>
        <w:t>prórroga</w:t>
      </w:r>
      <w:r w:rsidRPr="00E94A19">
        <w:rPr>
          <w:rFonts w:ascii="Palatino Linotype" w:eastAsia="Palatino Linotype" w:hAnsi="Palatino Linotype" w:cs="Palatino Linotype"/>
          <w:color w:val="000000"/>
        </w:rPr>
        <w:t xml:space="preserve"> refiriendo que el plazo de 15 días hábiles para atender su solicitud de información ha sido </w:t>
      </w:r>
      <w:r w:rsidRPr="00E94A19">
        <w:rPr>
          <w:rFonts w:ascii="Palatino Linotype" w:eastAsia="Palatino Linotype" w:hAnsi="Palatino Linotype" w:cs="Palatino Linotype"/>
          <w:color w:val="000000"/>
        </w:rPr>
        <w:lastRenderedPageBreak/>
        <w:t>prorrogado por 7 días, adjuntando acta de la Novena Sesión Extraordinaria del Comité de Transparencia, en la que se aprueba la prórroga a solicitud diversa a la que dio origen al presente medio de impugnación.</w:t>
      </w:r>
    </w:p>
    <w:p w:rsidR="002D280C" w:rsidRPr="00E94A19" w:rsidRDefault="002D280C">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El</w:t>
      </w:r>
      <w:r w:rsidRPr="00E94A19">
        <w:rPr>
          <w:rFonts w:ascii="Palatino Linotype" w:eastAsia="Palatino Linotype" w:hAnsi="Palatino Linotype" w:cs="Palatino Linotype"/>
          <w:b/>
          <w:bCs/>
          <w:color w:val="000000"/>
        </w:rPr>
        <w:t xml:space="preserve"> veinticinco de junio de dos mil veinticinco</w:t>
      </w:r>
      <w:r w:rsidRPr="00E94A19">
        <w:rPr>
          <w:rFonts w:ascii="Palatino Linotype" w:eastAsia="Palatino Linotype" w:hAnsi="Palatino Linotype" w:cs="Palatino Linotype"/>
          <w:color w:val="000000"/>
        </w:rPr>
        <w:t>, el Sujeto Obligado</w:t>
      </w:r>
      <w:r w:rsidRPr="00E94A19">
        <w:rPr>
          <w:rFonts w:ascii="Palatino Linotype" w:eastAsia="Palatino Linotype" w:hAnsi="Palatino Linotype" w:cs="Palatino Linotype"/>
          <w:b/>
          <w:bCs/>
          <w:color w:val="000000"/>
        </w:rPr>
        <w:t>,</w:t>
      </w:r>
      <w:r w:rsidRPr="00E94A19">
        <w:rPr>
          <w:rFonts w:ascii="Palatino Linotype" w:eastAsia="Palatino Linotype" w:hAnsi="Palatino Linotype" w:cs="Palatino Linotype"/>
          <w:color w:val="000000"/>
        </w:rPr>
        <w:t xml:space="preserve"> dio </w:t>
      </w:r>
      <w:r w:rsidRPr="00E94A19">
        <w:rPr>
          <w:rFonts w:ascii="Palatino Linotype" w:eastAsia="Palatino Linotype" w:hAnsi="Palatino Linotype" w:cs="Palatino Linotype"/>
          <w:b/>
          <w:bCs/>
          <w:color w:val="000000"/>
        </w:rPr>
        <w:t>respuesta</w:t>
      </w:r>
      <w:r w:rsidRPr="00E94A19">
        <w:rPr>
          <w:rFonts w:ascii="Palatino Linotype" w:eastAsia="Palatino Linotype" w:hAnsi="Palatino Linotype" w:cs="Palatino Linotype"/>
          <w:color w:val="000000"/>
        </w:rPr>
        <w:t xml:space="preserve"> a través de los siguientes archivos electrónicos</w:t>
      </w:r>
      <w:r w:rsidRPr="00E94A19">
        <w:rPr>
          <w:rFonts w:ascii="Palatino Linotype" w:eastAsia="Palatino Linotype" w:hAnsi="Palatino Linotype" w:cs="Palatino Linotype"/>
          <w:b/>
          <w:bCs/>
          <w:i/>
          <w:iCs/>
          <w:color w:val="000000"/>
        </w:rPr>
        <w:t>:</w:t>
      </w: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r w:rsidRPr="00E94A19">
        <w:rPr>
          <w:rFonts w:ascii="Palatino Linotype" w:eastAsia="Palatino Linotype" w:hAnsi="Palatino Linotype" w:cs="Palatino Linotype"/>
          <w:b/>
          <w:bCs/>
          <w:i/>
          <w:iCs/>
          <w:color w:val="000000"/>
        </w:rPr>
        <w:t>00139JOCOTITIP2025 I .pdf</w:t>
      </w: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OFICIO: ADM/360/2025 de fecha 23 de junio de 2025, firmado por la Directora de Administración a través del cual refiere:</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 xml:space="preserve">“Solicito la Prueba de Daño al Comité de Transparencia del Municipio de Jocotitlán, en el cual sustento que la entrega de esta información es clasificada como </w:t>
      </w:r>
      <w:r w:rsidRPr="00E94A19">
        <w:rPr>
          <w:rFonts w:ascii="Palatino Linotype" w:eastAsia="Palatino Linotype" w:hAnsi="Palatino Linotype" w:cs="Palatino Linotype"/>
          <w:b/>
          <w:bCs/>
          <w:i/>
          <w:iCs/>
          <w:color w:val="000000"/>
        </w:rPr>
        <w:t>INFORMACIÓN RESERVADA</w:t>
      </w:r>
      <w:r w:rsidRPr="00E94A19">
        <w:rPr>
          <w:rFonts w:ascii="Palatino Linotype" w:eastAsia="Palatino Linotype" w:hAnsi="Palatino Linotype" w:cs="Palatino Linotype"/>
          <w:i/>
          <w:iCs/>
          <w:color w:val="000000"/>
        </w:rPr>
        <w:t xml:space="preserve"> atendiendo a lo previsto en los artículos 113 fracción VIll de la Ley General de Transparencia y Acceso a la Información Pública; 140 fracción VIl de la Ley de Transparencia y Acceso a la Información Pública del Estado de México y Municipios, los cuales se vinculan con los numerales Vigésimo cuarto, y Trigésimo segundo de los Lineamientos Generales en Materia de Clasificación y Desclasificación de la Información.” (Sic)</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i/>
          <w:iCs/>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 OFICIO: ADM/361/2025 de fecha 20 de junio de 2025, firmado por la Directora de Administración a través del cual señala la existencia de la información solicitada y en consecuencia presenta la prueba de daño a efecto de que el Comité Transparencia del tenga a bien confirmar su </w:t>
      </w:r>
      <w:r w:rsidRPr="00E94A19">
        <w:rPr>
          <w:rFonts w:ascii="Palatino Linotype" w:eastAsia="Palatino Linotype" w:hAnsi="Palatino Linotype" w:cs="Palatino Linotype"/>
          <w:b/>
          <w:bCs/>
          <w:color w:val="000000"/>
        </w:rPr>
        <w:t>clasificación</w:t>
      </w:r>
      <w:r w:rsidRPr="00E94A19">
        <w:rPr>
          <w:rFonts w:ascii="Palatino Linotype" w:eastAsia="Palatino Linotype" w:hAnsi="Palatino Linotype" w:cs="Palatino Linotype"/>
          <w:color w:val="000000"/>
        </w:rPr>
        <w:t xml:space="preserve">, respecto del </w:t>
      </w:r>
      <w:r w:rsidRPr="00E94A19">
        <w:rPr>
          <w:rFonts w:ascii="Palatino Linotype" w:eastAsia="Palatino Linotype" w:hAnsi="Palatino Linotype" w:cs="Palatino Linotype"/>
          <w:b/>
          <w:bCs/>
          <w:color w:val="000000"/>
        </w:rPr>
        <w:t>Contrato de bienes y servicios con número ADM/PFORTAMUNDF/AD/013/2025, celebrado entre el Ayuntamiento de Jocotitlán y la empresa "Comercializadora Tolumex, S.A. de C.V." y demás documentales que integran el expediente del contrato.</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Cuadro de clasificación del contrato de bienes y servicios con número ADM/P-FORTAMUNDF/AD/013/2025, celebrado entre el Ayuntamiento de Jocotitlán y la empresa "Comercializadora Tolumex, S.A. de C.V." y demás documentales que integran el expediente del contrato.</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color w:val="000000"/>
        </w:rPr>
        <w:lastRenderedPageBreak/>
        <w:t xml:space="preserve">- OFICIO: ADM/362/2025 de fecha 20 de junio de 2025, firmado por la Directora de Administración, a través del cual señala la existencia de la información solicitada y en consecuencia presenta la prueba de daño a efecto de que el Comité Transparencia del tenga a bien confirmar su </w:t>
      </w:r>
      <w:r w:rsidRPr="00E94A19">
        <w:rPr>
          <w:rFonts w:ascii="Palatino Linotype" w:eastAsia="Palatino Linotype" w:hAnsi="Palatino Linotype" w:cs="Palatino Linotype"/>
          <w:b/>
          <w:bCs/>
          <w:color w:val="000000"/>
        </w:rPr>
        <w:t>clasificación</w:t>
      </w:r>
      <w:r w:rsidRPr="00E94A19">
        <w:rPr>
          <w:rFonts w:ascii="Palatino Linotype" w:eastAsia="Palatino Linotype" w:hAnsi="Palatino Linotype" w:cs="Palatino Linotype"/>
          <w:color w:val="000000"/>
        </w:rPr>
        <w:t xml:space="preserve">, respecto del </w:t>
      </w:r>
      <w:r w:rsidRPr="00E94A19">
        <w:rPr>
          <w:rFonts w:ascii="Palatino Linotype" w:eastAsia="Palatino Linotype" w:hAnsi="Palatino Linotype" w:cs="Palatino Linotype"/>
          <w:b/>
          <w:bCs/>
          <w:color w:val="000000"/>
        </w:rPr>
        <w:t>Contrato de bienes y servicios con número Contrato de bienes y servicios con número ADM/P-FORTAMUNDF/LPN/01/015/2025, "Comercializadora celebrado entre el Ayuntamiento de Jocotitlán y la empresa contrato.</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Cuadro de clasificación del Contrato de bienes y servicios con número ADM/PFORTAMUNDF/LPN/01/015/2025, celebrado entre el Ayuntamiento de Jocotitlán y la empresa "Comercializadora Tolumex, S.A. de C.V." y demás documentales que integran el expediente del contrato.</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 Acta de la Undécima Sesión Extraordinaria del Comité de Transparencia a través de la cual se emite el </w:t>
      </w:r>
      <w:r w:rsidRPr="00E94A19">
        <w:rPr>
          <w:rFonts w:ascii="Palatino Linotype" w:eastAsia="Palatino Linotype" w:hAnsi="Palatino Linotype" w:cs="Palatino Linotype"/>
          <w:b/>
          <w:bCs/>
          <w:color w:val="000000"/>
        </w:rPr>
        <w:t>ACUERDO: 01/SE/11/CT/2025</w:t>
      </w:r>
      <w:r w:rsidRPr="00E94A19">
        <w:rPr>
          <w:rFonts w:ascii="Palatino Linotype" w:eastAsia="Palatino Linotype" w:hAnsi="Palatino Linotype" w:cs="Palatino Linotype"/>
          <w:color w:val="000000"/>
        </w:rPr>
        <w:t xml:space="preserve"> a través del cual se aprueba la clasificación de información como reservada del </w:t>
      </w:r>
      <w:r w:rsidRPr="00E94A19">
        <w:rPr>
          <w:rFonts w:ascii="Palatino Linotype" w:eastAsia="Palatino Linotype" w:hAnsi="Palatino Linotype" w:cs="Palatino Linotype"/>
          <w:b/>
          <w:bCs/>
          <w:color w:val="000000"/>
        </w:rPr>
        <w:t>Contrato de bienes y servicios con número ADM/P-FORTAMUNDF/LPN/01/015/2025</w:t>
      </w:r>
      <w:r w:rsidRPr="00E94A19">
        <w:rPr>
          <w:rFonts w:ascii="Palatino Linotype" w:eastAsia="Palatino Linotype" w:hAnsi="Palatino Linotype" w:cs="Palatino Linotype"/>
          <w:color w:val="000000"/>
        </w:rPr>
        <w:t>, celebrado entre el Ayuntamiento de Jocotitlán y la empresa "Comercializadora Tolumex, S.A. de C.V." y demás documentales que integran el expediente, dicha información permanecerá con este carácter a partir de la emisión del presente acuerdo hasta por un periodo de 5 años, en tanto no se modifique o se emita la resolución correspondiente.</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r w:rsidRPr="00E94A19">
        <w:rPr>
          <w:rFonts w:ascii="Palatino Linotype" w:eastAsia="Palatino Linotype" w:hAnsi="Palatino Linotype" w:cs="Palatino Linotype"/>
          <w:b/>
          <w:bCs/>
          <w:i/>
          <w:iCs/>
          <w:color w:val="000000"/>
        </w:rPr>
        <w:t>00139JOCOTITIP2025 II.pdf</w:t>
      </w:r>
    </w:p>
    <w:p w:rsidR="002D280C" w:rsidRPr="00E94A19" w:rsidRDefault="002D280C">
      <w:pPr>
        <w:pBdr>
          <w:top w:val="nil"/>
          <w:left w:val="nil"/>
          <w:bottom w:val="nil"/>
          <w:right w:val="nil"/>
          <w:between w:val="nil"/>
        </w:pBdr>
        <w:tabs>
          <w:tab w:val="left" w:pos="567"/>
        </w:tabs>
        <w:ind w:left="567" w:right="62"/>
        <w:jc w:val="both"/>
        <w:rPr>
          <w:rFonts w:ascii="Palatino Linotype" w:eastAsia="Palatino Linotype" w:hAnsi="Palatino Linotype" w:cs="Palatino Linotype"/>
          <w:b/>
          <w:bCs/>
          <w:i/>
          <w:iCs/>
          <w:color w:val="000000"/>
        </w:rPr>
      </w:pPr>
    </w:p>
    <w:p w:rsidR="002D280C" w:rsidRPr="00E94A19" w:rsidRDefault="002178B2">
      <w:pPr>
        <w:pBdr>
          <w:top w:val="nil"/>
          <w:left w:val="nil"/>
          <w:bottom w:val="nil"/>
          <w:right w:val="nil"/>
          <w:between w:val="nil"/>
        </w:pBdr>
        <w:tabs>
          <w:tab w:val="left" w:pos="567"/>
        </w:tabs>
        <w:ind w:left="567" w:right="62"/>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 Acta de la Duodécima Sesión Extraordinaria del Comité de Transparencia a través de la cual se emite el </w:t>
      </w:r>
      <w:r w:rsidRPr="00E94A19">
        <w:rPr>
          <w:rFonts w:ascii="Palatino Linotype" w:eastAsia="Palatino Linotype" w:hAnsi="Palatino Linotype" w:cs="Palatino Linotype"/>
          <w:b/>
          <w:bCs/>
          <w:color w:val="000000"/>
        </w:rPr>
        <w:t>ACUERDO: 01/SE/12/CT/2025</w:t>
      </w:r>
      <w:r w:rsidRPr="00E94A19">
        <w:rPr>
          <w:rFonts w:ascii="Palatino Linotype" w:eastAsia="Palatino Linotype" w:hAnsi="Palatino Linotype" w:cs="Palatino Linotype"/>
          <w:color w:val="000000"/>
        </w:rPr>
        <w:t xml:space="preserve"> a través del cual se aprueba la clasificación de información como reservada del </w:t>
      </w:r>
      <w:r w:rsidRPr="00E94A19">
        <w:rPr>
          <w:rFonts w:ascii="Palatino Linotype" w:eastAsia="Palatino Linotype" w:hAnsi="Palatino Linotype" w:cs="Palatino Linotype"/>
          <w:b/>
          <w:bCs/>
          <w:color w:val="000000"/>
        </w:rPr>
        <w:t>Contrato de bienes y servicios con número ADM/P-FORTAMUNDF/AD/013/2025</w:t>
      </w:r>
      <w:r w:rsidRPr="00E94A19">
        <w:rPr>
          <w:rFonts w:ascii="Palatino Linotype" w:eastAsia="Palatino Linotype" w:hAnsi="Palatino Linotype" w:cs="Palatino Linotype"/>
          <w:color w:val="000000"/>
        </w:rPr>
        <w:t>, celebrado entre el Ayuntamiento de Jocotitlán y la empresa "Comercializadorа Tolumex, S.A. de C.V." y demás documentales que integran el expediente del contrato, dicha información permanecerá con este carácter a partir de la emisión del presente acuerdo hasta por un periodo de 5 años, en tanto no se modifique o se emita la resolución correspondiente.</w:t>
      </w:r>
    </w:p>
    <w:p w:rsidR="002D280C" w:rsidRPr="00E94A19" w:rsidRDefault="002D280C">
      <w:pPr>
        <w:pBdr>
          <w:top w:val="nil"/>
          <w:left w:val="nil"/>
          <w:bottom w:val="nil"/>
          <w:right w:val="nil"/>
          <w:between w:val="nil"/>
        </w:pBdr>
        <w:tabs>
          <w:tab w:val="left" w:pos="567"/>
        </w:tabs>
        <w:ind w:right="62"/>
        <w:jc w:val="both"/>
        <w:rPr>
          <w:rFonts w:ascii="Palatino Linotype" w:eastAsia="Palatino Linotype" w:hAnsi="Palatino Linotype" w:cs="Palatino Linotype"/>
          <w:b/>
          <w:bCs/>
        </w:rPr>
      </w:pPr>
    </w:p>
    <w:p w:rsidR="002D280C" w:rsidRPr="00E94A19" w:rsidRDefault="002178B2">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lastRenderedPageBreak/>
        <w:t>El</w:t>
      </w:r>
      <w:r w:rsidRPr="00E94A19">
        <w:rPr>
          <w:rFonts w:ascii="Palatino Linotype" w:eastAsia="Palatino Linotype" w:hAnsi="Palatino Linotype" w:cs="Palatino Linotype"/>
          <w:b/>
          <w:bCs/>
          <w:color w:val="000000"/>
        </w:rPr>
        <w:t xml:space="preserve"> once de julio de dos mil veinticinco</w:t>
      </w:r>
      <w:r w:rsidRPr="00E94A19">
        <w:rPr>
          <w:rFonts w:ascii="Palatino Linotype" w:eastAsia="Palatino Linotype" w:hAnsi="Palatino Linotype" w:cs="Palatino Linotype"/>
          <w:color w:val="000000"/>
        </w:rPr>
        <w:t xml:space="preserve">, el particular interpuso el </w:t>
      </w:r>
      <w:r w:rsidRPr="00E94A19">
        <w:rPr>
          <w:rFonts w:ascii="Palatino Linotype" w:eastAsia="Palatino Linotype" w:hAnsi="Palatino Linotype" w:cs="Palatino Linotype"/>
          <w:b/>
          <w:bCs/>
          <w:color w:val="000000"/>
        </w:rPr>
        <w:t>recurso de revisión</w:t>
      </w:r>
      <w:r w:rsidRPr="00E94A19">
        <w:rPr>
          <w:rFonts w:ascii="Palatino Linotype" w:eastAsia="Palatino Linotype" w:hAnsi="Palatino Linotype" w:cs="Palatino Linotype"/>
          <w:color w:val="000000"/>
        </w:rPr>
        <w:t xml:space="preserve"> al que se le asignó el folio </w:t>
      </w:r>
      <w:r w:rsidRPr="00E94A19">
        <w:rPr>
          <w:rFonts w:ascii="Palatino Linotype" w:eastAsia="Palatino Linotype" w:hAnsi="Palatino Linotype" w:cs="Palatino Linotype"/>
          <w:b/>
          <w:bCs/>
          <w:color w:val="000000"/>
        </w:rPr>
        <w:t xml:space="preserve">08458/INFOEM/IP/RR/2025 </w:t>
      </w:r>
      <w:r w:rsidRPr="00E94A19">
        <w:rPr>
          <w:rFonts w:ascii="Palatino Linotype" w:eastAsia="Palatino Linotype" w:hAnsi="Palatino Linotype" w:cs="Palatino Linotype"/>
          <w:color w:val="000000"/>
        </w:rPr>
        <w:t>en contra de la respuesta emitida por el sujeto obligado, realizando las siguientes manifestaciones como acto impugnado y razones o motivos de inconformidad:</w:t>
      </w:r>
    </w:p>
    <w:p w:rsidR="002D280C" w:rsidRPr="00E94A19" w:rsidRDefault="002D280C">
      <w:pPr>
        <w:pBdr>
          <w:top w:val="nil"/>
          <w:left w:val="nil"/>
          <w:bottom w:val="nil"/>
          <w:right w:val="nil"/>
          <w:between w:val="nil"/>
        </w:pBdr>
        <w:tabs>
          <w:tab w:val="left" w:pos="0"/>
        </w:tabs>
        <w:ind w:left="357" w:right="-788"/>
        <w:jc w:val="both"/>
        <w:rPr>
          <w:rFonts w:ascii="Palatino Linotype" w:eastAsia="Palatino Linotype" w:hAnsi="Palatino Linotype" w:cs="Palatino Linotype"/>
          <w:color w:val="000000"/>
        </w:rPr>
      </w:pPr>
    </w:p>
    <w:p w:rsidR="002D280C" w:rsidRPr="00E94A19" w:rsidRDefault="00E94A19" w:rsidP="00E94A19">
      <w:pPr>
        <w:pStyle w:val="Prrafodelista"/>
        <w:numPr>
          <w:ilvl w:val="0"/>
          <w:numId w:val="13"/>
        </w:numPr>
        <w:pBdr>
          <w:top w:val="nil"/>
          <w:left w:val="nil"/>
          <w:bottom w:val="nil"/>
          <w:right w:val="nil"/>
          <w:between w:val="nil"/>
        </w:pBdr>
        <w:ind w:right="-787"/>
        <w:jc w:val="both"/>
        <w:rPr>
          <w:rFonts w:ascii="Palatino Linotype" w:eastAsia="Palatino Linotype" w:hAnsi="Palatino Linotype" w:cs="Palatino Linotype"/>
          <w:b/>
          <w:bCs/>
          <w:color w:val="000000"/>
        </w:rPr>
      </w:pPr>
      <w:bookmarkStart w:id="2" w:name="_heading=h.30j0zll" w:colFirst="0" w:colLast="0"/>
      <w:bookmarkEnd w:id="2"/>
      <w:r w:rsidRPr="00E94A19">
        <w:rPr>
          <w:rFonts w:ascii="Palatino Linotype" w:eastAsia="Palatino Linotype" w:hAnsi="Palatino Linotype" w:cs="Palatino Linotype"/>
          <w:b/>
          <w:bCs/>
          <w:color w:val="000000"/>
        </w:rPr>
        <w:t xml:space="preserve">ACTO IMPUGNADO: </w:t>
      </w:r>
    </w:p>
    <w:p w:rsidR="002D280C" w:rsidRPr="00E94A19" w:rsidRDefault="002178B2" w:rsidP="00E94A19">
      <w:pPr>
        <w:pBdr>
          <w:top w:val="nil"/>
          <w:left w:val="nil"/>
          <w:bottom w:val="nil"/>
          <w:right w:val="nil"/>
          <w:between w:val="nil"/>
        </w:pBdr>
        <w:ind w:right="-787" w:firstLine="360"/>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“solicito que se entregue la información” (Sic)</w:t>
      </w:r>
    </w:p>
    <w:p w:rsidR="002D280C" w:rsidRPr="00E94A19" w:rsidRDefault="002D280C" w:rsidP="00E94A19">
      <w:pPr>
        <w:pBdr>
          <w:top w:val="nil"/>
          <w:left w:val="nil"/>
          <w:bottom w:val="nil"/>
          <w:right w:val="nil"/>
          <w:between w:val="nil"/>
        </w:pBdr>
        <w:ind w:right="-787"/>
        <w:jc w:val="both"/>
        <w:rPr>
          <w:rFonts w:ascii="Palatino Linotype" w:eastAsia="Palatino Linotype" w:hAnsi="Palatino Linotype" w:cs="Palatino Linotype"/>
          <w:i/>
          <w:iCs/>
          <w:color w:val="000000"/>
        </w:rPr>
      </w:pPr>
    </w:p>
    <w:p w:rsidR="002D280C" w:rsidRPr="00E94A19" w:rsidRDefault="00E94A19" w:rsidP="00E94A19">
      <w:pPr>
        <w:pStyle w:val="Prrafodelista"/>
        <w:numPr>
          <w:ilvl w:val="0"/>
          <w:numId w:val="13"/>
        </w:numPr>
        <w:pBdr>
          <w:top w:val="nil"/>
          <w:left w:val="nil"/>
          <w:bottom w:val="nil"/>
          <w:right w:val="nil"/>
          <w:between w:val="nil"/>
        </w:pBdr>
        <w:ind w:right="-787"/>
        <w:jc w:val="both"/>
        <w:rPr>
          <w:rFonts w:ascii="Palatino Linotype" w:eastAsia="Palatino Linotype" w:hAnsi="Palatino Linotype" w:cs="Palatino Linotype"/>
          <w:b/>
          <w:bCs/>
          <w:color w:val="000000"/>
        </w:rPr>
      </w:pPr>
      <w:bookmarkStart w:id="3" w:name="_heading=h.1fob9te" w:colFirst="0" w:colLast="0"/>
      <w:bookmarkEnd w:id="3"/>
      <w:r w:rsidRPr="00E94A19">
        <w:rPr>
          <w:rFonts w:ascii="Palatino Linotype" w:eastAsia="Palatino Linotype" w:hAnsi="Palatino Linotype" w:cs="Palatino Linotype"/>
          <w:b/>
          <w:bCs/>
          <w:color w:val="000000"/>
        </w:rPr>
        <w:t>RAZONES O MOTIVOS DE INCONFORMIDAD</w:t>
      </w:r>
      <w:r w:rsidR="002178B2" w:rsidRPr="00E94A19">
        <w:rPr>
          <w:rFonts w:ascii="Palatino Linotype" w:eastAsia="Palatino Linotype" w:hAnsi="Palatino Linotype" w:cs="Palatino Linotype"/>
          <w:b/>
          <w:bCs/>
          <w:color w:val="000000"/>
        </w:rPr>
        <w:t xml:space="preserve">: </w:t>
      </w:r>
    </w:p>
    <w:p w:rsidR="002D280C" w:rsidRPr="00E94A19" w:rsidRDefault="002178B2" w:rsidP="00E94A19">
      <w:pPr>
        <w:pBdr>
          <w:top w:val="nil"/>
          <w:left w:val="nil"/>
          <w:bottom w:val="nil"/>
          <w:right w:val="nil"/>
          <w:between w:val="nil"/>
        </w:pBdr>
        <w:ind w:right="-787" w:firstLine="360"/>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“no entregaron la información” (Sic)</w:t>
      </w:r>
    </w:p>
    <w:p w:rsidR="002D280C" w:rsidRPr="00E94A19" w:rsidRDefault="002D280C">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i/>
          <w:iCs/>
          <w:color w:val="000000"/>
          <w:u w:val="single"/>
        </w:rPr>
      </w:pPr>
    </w:p>
    <w:p w:rsidR="002D280C" w:rsidRPr="00E94A19" w:rsidRDefault="00E94A19">
      <w:pPr>
        <w:numPr>
          <w:ilvl w:val="0"/>
          <w:numId w:val="3"/>
        </w:numPr>
        <w:pBdr>
          <w:top w:val="nil"/>
          <w:left w:val="nil"/>
          <w:bottom w:val="nil"/>
          <w:right w:val="nil"/>
          <w:between w:val="nil"/>
        </w:pBdr>
        <w:tabs>
          <w:tab w:val="left" w:pos="0"/>
        </w:tabs>
        <w:spacing w:line="360" w:lineRule="auto"/>
        <w:ind w:left="0" w:right="-787" w:firstLine="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La Comisionada p</w:t>
      </w:r>
      <w:r w:rsidR="002178B2" w:rsidRPr="00E94A19">
        <w:rPr>
          <w:rFonts w:ascii="Palatino Linotype" w:eastAsia="Palatino Linotype" w:hAnsi="Palatino Linotype" w:cs="Palatino Linotype"/>
          <w:color w:val="000000"/>
        </w:rPr>
        <w:t xml:space="preserve">onente con fundamento en lo dispuesto por el artículo 185, fracción II, de la ley de la materia, a través del </w:t>
      </w:r>
      <w:r w:rsidR="002178B2" w:rsidRPr="00E94A19">
        <w:rPr>
          <w:rFonts w:ascii="Palatino Linotype" w:eastAsia="Palatino Linotype" w:hAnsi="Palatino Linotype" w:cs="Palatino Linotype"/>
          <w:b/>
          <w:bCs/>
          <w:color w:val="000000"/>
        </w:rPr>
        <w:t xml:space="preserve">acuerdo de admisión </w:t>
      </w:r>
      <w:r w:rsidR="002178B2" w:rsidRPr="00E94A19">
        <w:rPr>
          <w:rFonts w:ascii="Palatino Linotype" w:eastAsia="Palatino Linotype" w:hAnsi="Palatino Linotype" w:cs="Palatino Linotype"/>
          <w:color w:val="000000"/>
        </w:rPr>
        <w:t xml:space="preserve">de fecha </w:t>
      </w:r>
      <w:r w:rsidR="002178B2" w:rsidRPr="00E94A19">
        <w:rPr>
          <w:rFonts w:ascii="Palatino Linotype" w:eastAsia="Palatino Linotype" w:hAnsi="Palatino Linotype" w:cs="Palatino Linotype"/>
          <w:b/>
          <w:bCs/>
          <w:color w:val="000000"/>
        </w:rPr>
        <w:t xml:space="preserve">catorce de julio de dos mil veinticinco, </w:t>
      </w:r>
      <w:r w:rsidR="002178B2" w:rsidRPr="00E94A19">
        <w:rPr>
          <w:rFonts w:ascii="Palatino Linotype" w:eastAsia="Palatino Linotype" w:hAnsi="Palatino Linotype" w:cs="Palatino Linotype"/>
          <w:color w:val="000000"/>
        </w:rPr>
        <w:t xml:space="preserve">puso a disposición de las partes el expediente electrónico vía SAIMEX a efecto de que en un plazo máximo de siete días </w:t>
      </w:r>
      <w:r w:rsidR="002178B2" w:rsidRPr="00E94A19">
        <w:rPr>
          <w:rFonts w:ascii="Palatino Linotype" w:eastAsia="Palatino Linotype" w:hAnsi="Palatino Linotype" w:cs="Palatino Linotype"/>
        </w:rPr>
        <w:t>manifestara</w:t>
      </w:r>
      <w:r w:rsidR="002178B2" w:rsidRPr="00E94A19">
        <w:rPr>
          <w:rFonts w:ascii="Palatino Linotype" w:eastAsia="Palatino Linotype" w:hAnsi="Palatino Linotype" w:cs="Palatino Linotype"/>
          <w:color w:val="000000"/>
        </w:rPr>
        <w:t xml:space="preserve"> lo que a su derecho conviniera, </w:t>
      </w:r>
      <w:r w:rsidR="002178B2" w:rsidRPr="00E94A19">
        <w:rPr>
          <w:rFonts w:ascii="Palatino Linotype" w:eastAsia="Palatino Linotype" w:hAnsi="Palatino Linotype" w:cs="Palatino Linotype"/>
        </w:rPr>
        <w:t>ofreciera</w:t>
      </w:r>
      <w:r w:rsidR="002178B2" w:rsidRPr="00E94A19">
        <w:rPr>
          <w:rFonts w:ascii="Palatino Linotype" w:eastAsia="Palatino Linotype" w:hAnsi="Palatino Linotype" w:cs="Palatino Linotype"/>
          <w:color w:val="000000"/>
        </w:rPr>
        <w:t xml:space="preserve"> pruebas y alegatos según corresponda al caso concreto, de esta forma para que el </w:t>
      </w:r>
      <w:r w:rsidR="002178B2" w:rsidRPr="00E94A19">
        <w:rPr>
          <w:rFonts w:ascii="Palatino Linotype" w:eastAsia="Palatino Linotype" w:hAnsi="Palatino Linotype" w:cs="Palatino Linotype"/>
          <w:b/>
          <w:bCs/>
          <w:color w:val="000000"/>
        </w:rPr>
        <w:t xml:space="preserve">SUJETO OBLIGADO </w:t>
      </w:r>
      <w:r w:rsidR="002178B2" w:rsidRPr="00E94A19">
        <w:rPr>
          <w:rFonts w:ascii="Palatino Linotype" w:eastAsia="Palatino Linotype" w:hAnsi="Palatino Linotype" w:cs="Palatino Linotype"/>
        </w:rPr>
        <w:t>presentara</w:t>
      </w:r>
      <w:r w:rsidR="002178B2" w:rsidRPr="00E94A19">
        <w:rPr>
          <w:rFonts w:ascii="Palatino Linotype" w:eastAsia="Palatino Linotype" w:hAnsi="Palatino Linotype" w:cs="Palatino Linotype"/>
          <w:color w:val="000000"/>
        </w:rPr>
        <w:t xml:space="preserve"> el Informe Justificado procedente.</w:t>
      </w:r>
    </w:p>
    <w:p w:rsidR="002D280C" w:rsidRPr="00E94A19" w:rsidRDefault="002D280C">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El Recurrente</w:t>
      </w:r>
      <w:r w:rsidRPr="00E94A19">
        <w:rPr>
          <w:rFonts w:ascii="Palatino Linotype" w:eastAsia="Palatino Linotype" w:hAnsi="Palatino Linotype" w:cs="Palatino Linotype"/>
          <w:b/>
          <w:bCs/>
          <w:color w:val="000000"/>
        </w:rPr>
        <w:t xml:space="preserve"> </w:t>
      </w:r>
      <w:r w:rsidRPr="00E94A19">
        <w:rPr>
          <w:rFonts w:ascii="Palatino Linotype" w:eastAsia="Palatino Linotype" w:hAnsi="Palatino Linotype" w:cs="Palatino Linotype"/>
          <w:color w:val="000000"/>
        </w:rPr>
        <w:t>dejó de realizar manifestaciones que a su derecho conviniera y asistiera. Por su parte, el Sujeto Obligado no presentó informe justificado tal como se muestra en la imagen siguiente:</w:t>
      </w:r>
    </w:p>
    <w:p w:rsidR="002D280C" w:rsidRPr="00E94A19" w:rsidRDefault="002D280C">
      <w:pPr>
        <w:pBdr>
          <w:top w:val="nil"/>
          <w:left w:val="nil"/>
          <w:bottom w:val="nil"/>
          <w:right w:val="nil"/>
          <w:between w:val="nil"/>
        </w:pBdr>
        <w:ind w:left="426" w:right="-79"/>
        <w:jc w:val="both"/>
        <w:rPr>
          <w:rFonts w:ascii="Palatino Linotype" w:eastAsia="Palatino Linotype" w:hAnsi="Palatino Linotype" w:cs="Palatino Linotype"/>
          <w:b/>
          <w:bCs/>
          <w:color w:val="000000"/>
        </w:rPr>
      </w:pPr>
    </w:p>
    <w:p w:rsidR="002D280C" w:rsidRPr="00E94A19" w:rsidRDefault="002178B2">
      <w:pPr>
        <w:pBdr>
          <w:top w:val="nil"/>
          <w:left w:val="nil"/>
          <w:bottom w:val="nil"/>
          <w:right w:val="nil"/>
          <w:between w:val="nil"/>
        </w:pBdr>
        <w:ind w:right="-79" w:firstLine="10"/>
        <w:jc w:val="center"/>
        <w:rPr>
          <w:rFonts w:ascii="Palatino Linotype" w:eastAsia="Palatino Linotype" w:hAnsi="Palatino Linotype" w:cs="Palatino Linotype"/>
          <w:color w:val="000000"/>
        </w:rPr>
      </w:pPr>
      <w:r w:rsidRPr="00E94A19">
        <w:rPr>
          <w:rFonts w:ascii="Palatino Linotype" w:eastAsia="Palatino Linotype" w:hAnsi="Palatino Linotype" w:cs="Palatino Linotype"/>
          <w:noProof/>
          <w:color w:val="000000"/>
          <w:lang w:val="es-MX"/>
        </w:rPr>
        <w:drawing>
          <wp:inline distT="0" distB="0" distL="0" distR="0">
            <wp:extent cx="4808089" cy="127879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08089" cy="1278798"/>
                    </a:xfrm>
                    <a:prstGeom prst="rect">
                      <a:avLst/>
                    </a:prstGeom>
                    <a:ln/>
                  </pic:spPr>
                </pic:pic>
              </a:graphicData>
            </a:graphic>
          </wp:inline>
        </w:drawing>
      </w: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bookmarkStart w:id="4" w:name="_heading=h.3znysh7" w:colFirst="0" w:colLast="0"/>
      <w:bookmarkEnd w:id="4"/>
      <w:r w:rsidRPr="00E94A19">
        <w:rPr>
          <w:rFonts w:ascii="Palatino Linotype" w:eastAsia="Palatino Linotype" w:hAnsi="Palatino Linotype" w:cs="Palatino Linotype"/>
          <w:color w:val="000000"/>
        </w:rPr>
        <w:lastRenderedPageBreak/>
        <w:t>En fecha</w:t>
      </w:r>
      <w:r w:rsidRPr="00E94A19">
        <w:rPr>
          <w:rFonts w:ascii="Palatino Linotype" w:eastAsia="Palatino Linotype" w:hAnsi="Palatino Linotype" w:cs="Palatino Linotype"/>
          <w:b/>
          <w:bCs/>
          <w:color w:val="000000"/>
        </w:rPr>
        <w:t xml:space="preserve"> ocho de septiembre de dos mil veinticinco</w:t>
      </w:r>
      <w:r w:rsidRPr="00E94A19">
        <w:rPr>
          <w:rFonts w:ascii="Palatino Linotype" w:eastAsia="Palatino Linotype" w:hAnsi="Palatino Linotype" w:cs="Palatino Linotype"/>
          <w:color w:val="000000"/>
        </w:rPr>
        <w:t xml:space="preserve">, se acordó ampliar el </w:t>
      </w:r>
      <w:r w:rsidRPr="00E94A19">
        <w:rPr>
          <w:rFonts w:ascii="Palatino Linotype" w:eastAsia="Palatino Linotype" w:hAnsi="Palatino Linotype" w:cs="Palatino Linotype"/>
        </w:rPr>
        <w:t>plazo</w:t>
      </w:r>
      <w:r w:rsidRPr="00E94A19">
        <w:rPr>
          <w:rFonts w:ascii="Palatino Linotype" w:eastAsia="Palatino Linotype" w:hAnsi="Palatino Linotype" w:cs="Palatino Linotype"/>
          <w:color w:val="000000"/>
        </w:rPr>
        <w:t xml:space="preserve"> para resolver el presente Recurso de Revisión.</w:t>
      </w:r>
    </w:p>
    <w:p w:rsidR="002D280C" w:rsidRPr="00E94A19" w:rsidRDefault="002D280C">
      <w:pPr>
        <w:pBdr>
          <w:top w:val="nil"/>
          <w:left w:val="nil"/>
          <w:bottom w:val="nil"/>
          <w:right w:val="nil"/>
          <w:between w:val="nil"/>
        </w:pBdr>
        <w:spacing w:line="360" w:lineRule="auto"/>
        <w:ind w:right="-787"/>
        <w:jc w:val="both"/>
        <w:rPr>
          <w:rFonts w:ascii="Palatino Linotype" w:eastAsia="Palatino Linotype" w:hAnsi="Palatino Linotype" w:cs="Palatino Linotype"/>
          <w:b/>
          <w:bCs/>
          <w:color w:val="000000"/>
        </w:rPr>
      </w:pP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color w:val="000000"/>
        </w:rPr>
        <w:t xml:space="preserve">Seguidamente, en fecha </w:t>
      </w:r>
      <w:r w:rsidRPr="00E94A19">
        <w:rPr>
          <w:rFonts w:ascii="Palatino Linotype" w:eastAsia="Palatino Linotype" w:hAnsi="Palatino Linotype" w:cs="Palatino Linotype"/>
          <w:b/>
          <w:bCs/>
          <w:color w:val="000000"/>
        </w:rPr>
        <w:t>veinte de enero de dos mil veintiséis</w:t>
      </w:r>
      <w:r w:rsidRPr="00E94A19">
        <w:rPr>
          <w:rFonts w:ascii="Palatino Linotype" w:eastAsia="Palatino Linotype" w:hAnsi="Palatino Linotype" w:cs="Palatino Linotype"/>
          <w:color w:val="000000"/>
        </w:rPr>
        <w:t xml:space="preserve">, la Comisionada Ponente dictó el </w:t>
      </w:r>
      <w:r w:rsidRPr="00E94A19">
        <w:rPr>
          <w:rFonts w:ascii="Palatino Linotype" w:eastAsia="Palatino Linotype" w:hAnsi="Palatino Linotype" w:cs="Palatino Linotype"/>
          <w:b/>
          <w:bCs/>
          <w:color w:val="000000"/>
        </w:rPr>
        <w:t>cierre del periodo de instrucción</w:t>
      </w:r>
      <w:r w:rsidRPr="00E94A19">
        <w:rPr>
          <w:rFonts w:ascii="Palatino Linotype" w:eastAsia="Palatino Linotype" w:hAnsi="Palatino Linotype" w:cs="Palatino Linotype"/>
          <w:color w:val="000000"/>
        </w:rPr>
        <w:t xml:space="preserve"> y, ordenó la resolución que conforme a Derecho proceda:</w:t>
      </w:r>
    </w:p>
    <w:p w:rsidR="002D280C" w:rsidRPr="00E94A19" w:rsidRDefault="002D280C">
      <w:pPr>
        <w:pBdr>
          <w:top w:val="nil"/>
          <w:left w:val="nil"/>
          <w:bottom w:val="nil"/>
          <w:right w:val="nil"/>
          <w:between w:val="nil"/>
        </w:pBdr>
        <w:ind w:left="720" w:right="-787"/>
        <w:rPr>
          <w:rFonts w:ascii="Palatino Linotype" w:eastAsia="Palatino Linotype" w:hAnsi="Palatino Linotype" w:cs="Palatino Linotype"/>
          <w:b/>
          <w:bCs/>
          <w:color w:val="000000"/>
        </w:rPr>
      </w:pPr>
    </w:p>
    <w:p w:rsidR="002D280C" w:rsidRPr="00E94A19" w:rsidRDefault="002178B2">
      <w:pPr>
        <w:keepNext/>
        <w:keepLines/>
        <w:spacing w:line="360" w:lineRule="auto"/>
        <w:jc w:val="center"/>
        <w:rPr>
          <w:rFonts w:ascii="Palatino Linotype" w:eastAsia="Palatino Linotype" w:hAnsi="Palatino Linotype" w:cs="Palatino Linotype"/>
          <w:b/>
          <w:bCs/>
        </w:rPr>
      </w:pPr>
      <w:r w:rsidRPr="00E94A19">
        <w:rPr>
          <w:rFonts w:ascii="Palatino Linotype" w:eastAsia="Palatino Linotype" w:hAnsi="Palatino Linotype" w:cs="Palatino Linotype"/>
          <w:b/>
          <w:bCs/>
        </w:rPr>
        <w:t xml:space="preserve">C O N S I D E R A N D O </w:t>
      </w:r>
    </w:p>
    <w:p w:rsidR="002D280C" w:rsidRPr="00E94A19" w:rsidRDefault="002D280C">
      <w:pPr>
        <w:spacing w:line="360" w:lineRule="auto"/>
        <w:rPr>
          <w:rFonts w:ascii="Palatino Linotype" w:eastAsia="Palatino Linotype" w:hAnsi="Palatino Linotype" w:cs="Palatino Linotype"/>
        </w:rPr>
      </w:pPr>
    </w:p>
    <w:p w:rsidR="002D280C" w:rsidRPr="00E94A19" w:rsidRDefault="002178B2">
      <w:pPr>
        <w:keepNext/>
        <w:keepLines/>
        <w:spacing w:line="360" w:lineRule="auto"/>
        <w:rPr>
          <w:rFonts w:ascii="Palatino Linotype" w:eastAsia="Palatino Linotype" w:hAnsi="Palatino Linotype" w:cs="Palatino Linotype"/>
          <w:b/>
          <w:bCs/>
        </w:rPr>
      </w:pPr>
      <w:r w:rsidRPr="00E94A19">
        <w:rPr>
          <w:rFonts w:ascii="Palatino Linotype" w:eastAsia="Palatino Linotype" w:hAnsi="Palatino Linotype" w:cs="Palatino Linotype"/>
          <w:b/>
          <w:bCs/>
        </w:rPr>
        <w:t>PRIMERO. De la competencia</w:t>
      </w: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cuadragésimo cuarto, cuadragésimo quinto y cuadragésimo sexto,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rsidR="002D280C" w:rsidRPr="00E94A19" w:rsidRDefault="002D280C">
      <w:pPr>
        <w:tabs>
          <w:tab w:val="left" w:pos="426"/>
        </w:tabs>
        <w:spacing w:line="360" w:lineRule="auto"/>
        <w:jc w:val="both"/>
        <w:rPr>
          <w:rFonts w:ascii="Palatino Linotype" w:eastAsia="Palatino Linotype" w:hAnsi="Palatino Linotype" w:cs="Palatino Linotype"/>
          <w:color w:val="000000"/>
        </w:rPr>
      </w:pPr>
    </w:p>
    <w:p w:rsidR="002D280C" w:rsidRPr="00E94A19" w:rsidRDefault="002178B2">
      <w:pPr>
        <w:keepNext/>
        <w:keepLines/>
        <w:spacing w:line="360" w:lineRule="auto"/>
        <w:rPr>
          <w:rFonts w:ascii="Palatino Linotype" w:eastAsia="Palatino Linotype" w:hAnsi="Palatino Linotype" w:cs="Palatino Linotype"/>
          <w:b/>
          <w:bCs/>
        </w:rPr>
      </w:pPr>
      <w:r w:rsidRPr="00E94A19">
        <w:rPr>
          <w:rFonts w:ascii="Palatino Linotype" w:eastAsia="Palatino Linotype" w:hAnsi="Palatino Linotype" w:cs="Palatino Linotype"/>
          <w:b/>
          <w:bCs/>
        </w:rPr>
        <w:t>SEGUNDO. De la oportunidad y procedencia.</w:t>
      </w: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El medio de impugnación fue presentado a través del </w:t>
      </w:r>
      <w:r w:rsidRPr="00E94A19">
        <w:rPr>
          <w:rFonts w:ascii="Palatino Linotype" w:eastAsia="Palatino Linotype" w:hAnsi="Palatino Linotype" w:cs="Palatino Linotype"/>
          <w:b/>
          <w:bCs/>
        </w:rPr>
        <w:t>SAIMEX,</w:t>
      </w:r>
      <w:r w:rsidRPr="00E94A19">
        <w:rPr>
          <w:rFonts w:ascii="Palatino Linotype" w:eastAsia="Palatino Linotype" w:hAnsi="Palatino Linotype" w:cs="Palatino Linotype"/>
        </w:rPr>
        <w:t xml:space="preserve"> en el formato previamente aprobado para tal efecto y dentro del plazo legal de quince días hábiles otorgados; para el caso en particular es de señalar que el </w:t>
      </w:r>
      <w:r w:rsidRPr="00E94A19">
        <w:rPr>
          <w:rFonts w:ascii="Palatino Linotype" w:eastAsia="Palatino Linotype" w:hAnsi="Palatino Linotype" w:cs="Palatino Linotype"/>
          <w:b/>
          <w:bCs/>
        </w:rPr>
        <w:t>SUJETO OBLIGADO</w:t>
      </w:r>
      <w:r w:rsidRPr="00E94A19">
        <w:rPr>
          <w:rFonts w:ascii="Palatino Linotype" w:eastAsia="Palatino Linotype" w:hAnsi="Palatino Linotype" w:cs="Palatino Linotype"/>
        </w:rPr>
        <w:t xml:space="preserve"> entregó </w:t>
      </w:r>
      <w:r w:rsidRPr="00E94A19">
        <w:rPr>
          <w:rFonts w:ascii="Palatino Linotype" w:eastAsia="Palatino Linotype" w:hAnsi="Palatino Linotype" w:cs="Palatino Linotype"/>
        </w:rPr>
        <w:lastRenderedPageBreak/>
        <w:t xml:space="preserve">respuesta el </w:t>
      </w:r>
      <w:r w:rsidRPr="00E94A19">
        <w:rPr>
          <w:rFonts w:ascii="Palatino Linotype" w:eastAsia="Palatino Linotype" w:hAnsi="Palatino Linotype" w:cs="Palatino Linotype"/>
          <w:b/>
          <w:bCs/>
        </w:rPr>
        <w:t>veinticinco de junio de dos mil veinticinco</w:t>
      </w:r>
      <w:r w:rsidRPr="00E94A19">
        <w:rPr>
          <w:rFonts w:ascii="Palatino Linotype" w:eastAsia="Palatino Linotype" w:hAnsi="Palatino Linotype" w:cs="Palatino Linotype"/>
        </w:rPr>
        <w:t xml:space="preserve">, de tal forma que el plazo para interponer el recurso transcurrió del </w:t>
      </w:r>
      <w:r w:rsidRPr="00E94A19">
        <w:rPr>
          <w:rFonts w:ascii="Palatino Linotype" w:eastAsia="Palatino Linotype" w:hAnsi="Palatino Linotype" w:cs="Palatino Linotype"/>
          <w:b/>
          <w:bCs/>
        </w:rPr>
        <w:t xml:space="preserve">veintiséis de junio al dieciséis de julio de dos mil veinticinco, </w:t>
      </w:r>
      <w:r w:rsidRPr="00E94A19">
        <w:rPr>
          <w:rFonts w:ascii="Palatino Linotype" w:eastAsia="Palatino Linotype" w:hAnsi="Palatino Linotype" w:cs="Palatino Linotype"/>
        </w:rPr>
        <w:t xml:space="preserve">en consecuencia, si el </w:t>
      </w:r>
      <w:r w:rsidRPr="00E94A19">
        <w:rPr>
          <w:rFonts w:ascii="Palatino Linotype" w:eastAsia="Palatino Linotype" w:hAnsi="Palatino Linotype" w:cs="Palatino Linotype"/>
          <w:b/>
          <w:bCs/>
        </w:rPr>
        <w:t>PARTICULAR</w:t>
      </w:r>
      <w:r w:rsidRPr="00E94A19">
        <w:rPr>
          <w:rFonts w:ascii="Palatino Linotype" w:eastAsia="Palatino Linotype" w:hAnsi="Palatino Linotype" w:cs="Palatino Linotype"/>
        </w:rPr>
        <w:t xml:space="preserve"> presentó su inconformidad el </w:t>
      </w:r>
      <w:r w:rsidRPr="00E94A19">
        <w:rPr>
          <w:rFonts w:ascii="Palatino Linotype" w:eastAsia="Palatino Linotype" w:hAnsi="Palatino Linotype" w:cs="Palatino Linotype"/>
          <w:b/>
          <w:bCs/>
        </w:rPr>
        <w:t>once de julio de dos mil veinticinco</w:t>
      </w:r>
      <w:r w:rsidRPr="00E94A19">
        <w:rPr>
          <w:rFonts w:ascii="Palatino Linotype" w:eastAsia="Palatino Linotype" w:hAnsi="Palatino Linotype" w:cs="Palatino Linotype"/>
        </w:rPr>
        <w:t xml:space="preserve">, este  se encuentra dentro de los márgenes temporales previstos en el artículo 178 de la </w:t>
      </w:r>
      <w:r w:rsidRPr="00E94A19">
        <w:rPr>
          <w:rFonts w:ascii="Palatino Linotype" w:eastAsia="Palatino Linotype" w:hAnsi="Palatino Linotype" w:cs="Palatino Linotype"/>
          <w:b/>
          <w:bCs/>
        </w:rPr>
        <w:t xml:space="preserve">Ley de Transparencia y Acceso a la Información Pública del Estado de México y Municipios </w:t>
      </w:r>
      <w:r w:rsidRPr="00E94A19">
        <w:rPr>
          <w:rFonts w:ascii="Palatino Linotype" w:eastAsia="Palatino Linotype" w:hAnsi="Palatino Linotype" w:cs="Palatino Linotype"/>
        </w:rPr>
        <w:t xml:space="preserve">vigente. </w:t>
      </w:r>
    </w:p>
    <w:p w:rsidR="002D280C" w:rsidRPr="00E94A19" w:rsidRDefault="002178B2">
      <w:pPr>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De la prorroga indebida</w:t>
      </w: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222222"/>
        </w:rPr>
      </w:pPr>
      <w:r w:rsidRPr="00E94A19">
        <w:rPr>
          <w:rFonts w:ascii="Palatino Linotype" w:eastAsia="Palatino Linotype" w:hAnsi="Palatino Linotype" w:cs="Palatino Linotype"/>
          <w:color w:val="000000"/>
        </w:rPr>
        <w:t xml:space="preserve">Por </w:t>
      </w:r>
      <w:r w:rsidRPr="00E94A19">
        <w:rPr>
          <w:rFonts w:ascii="Palatino Linotype" w:eastAsia="Palatino Linotype" w:hAnsi="Palatino Linotype" w:cs="Palatino Linotype"/>
        </w:rPr>
        <w:t>otro</w:t>
      </w:r>
      <w:r w:rsidRPr="00E94A19">
        <w:rPr>
          <w:rFonts w:ascii="Palatino Linotype" w:eastAsia="Palatino Linotype" w:hAnsi="Palatino Linotype" w:cs="Palatino Linotype"/>
          <w:color w:val="000000"/>
        </w:rPr>
        <w:t xml:space="preserve"> lado</w:t>
      </w:r>
      <w:r w:rsidRPr="00E94A19">
        <w:rPr>
          <w:rFonts w:ascii="Palatino Linotype" w:eastAsia="Palatino Linotype" w:hAnsi="Palatino Linotype" w:cs="Palatino Linotype"/>
        </w:rPr>
        <w:t>, es menester señalar que</w:t>
      </w:r>
      <w:r w:rsidRPr="00E94A19">
        <w:rPr>
          <w:rFonts w:ascii="Palatino Linotype" w:eastAsia="Palatino Linotype" w:hAnsi="Palatino Linotype" w:cs="Palatino Linotype"/>
          <w:color w:val="222222"/>
        </w:rPr>
        <w:t xml:space="preserve"> el </w:t>
      </w:r>
      <w:r w:rsidRPr="00E94A19">
        <w:rPr>
          <w:rFonts w:ascii="Palatino Linotype" w:eastAsia="Palatino Linotype" w:hAnsi="Palatino Linotype" w:cs="Palatino Linotype"/>
          <w:b/>
          <w:bCs/>
          <w:color w:val="222222"/>
        </w:rPr>
        <w:t>SUJETO OBLIGADO</w:t>
      </w:r>
      <w:r w:rsidRPr="00E94A19">
        <w:rPr>
          <w:rFonts w:ascii="Palatino Linotype" w:eastAsia="Palatino Linotype" w:hAnsi="Palatino Linotype" w:cs="Palatino Linotype"/>
          <w:color w:val="222222"/>
        </w:rPr>
        <w:t> notificó una prórroga que resulta</w:t>
      </w:r>
      <w:r w:rsidRPr="00E94A19">
        <w:rPr>
          <w:rFonts w:ascii="Palatino Linotype" w:eastAsia="Palatino Linotype" w:hAnsi="Palatino Linotype" w:cs="Palatino Linotype"/>
          <w:b/>
          <w:bCs/>
          <w:i/>
          <w:iCs/>
          <w:color w:val="222222"/>
        </w:rPr>
        <w:t xml:space="preserve"> </w:t>
      </w:r>
      <w:r w:rsidRPr="00E94A19">
        <w:rPr>
          <w:rFonts w:ascii="Palatino Linotype" w:eastAsia="Palatino Linotype" w:hAnsi="Palatino Linotype" w:cs="Palatino Linotype"/>
          <w:color w:val="000000"/>
        </w:rPr>
        <w:t>indebida</w:t>
      </w:r>
      <w:r w:rsidRPr="00E94A19">
        <w:rPr>
          <w:rFonts w:ascii="Palatino Linotype" w:eastAsia="Palatino Linotype" w:hAnsi="Palatino Linotype" w:cs="Palatino Linotype"/>
          <w:color w:val="222222"/>
        </w:rPr>
        <w:t>, toda vez que el artículo 163 de la ley de la materia señala lo siguiente:</w:t>
      </w:r>
    </w:p>
    <w:p w:rsidR="002D280C" w:rsidRPr="00E94A19" w:rsidRDefault="002D280C">
      <w:pPr>
        <w:spacing w:line="360" w:lineRule="auto"/>
        <w:jc w:val="both"/>
        <w:rPr>
          <w:rFonts w:ascii="Palatino Linotype" w:eastAsia="Palatino Linotype" w:hAnsi="Palatino Linotype" w:cs="Palatino Linotype"/>
          <w:color w:val="222222"/>
        </w:rPr>
      </w:pPr>
    </w:p>
    <w:p w:rsidR="002D280C" w:rsidRPr="00E94A19" w:rsidRDefault="002178B2">
      <w:pPr>
        <w:pBdr>
          <w:top w:val="nil"/>
          <w:left w:val="nil"/>
          <w:bottom w:val="nil"/>
          <w:right w:val="nil"/>
          <w:between w:val="nil"/>
        </w:pBdr>
        <w:ind w:left="709" w:right="900"/>
        <w:jc w:val="both"/>
        <w:rPr>
          <w:rFonts w:ascii="Palatino Linotype" w:eastAsia="Palatino Linotype" w:hAnsi="Palatino Linotype" w:cs="Palatino Linotype"/>
          <w:i/>
          <w:iCs/>
          <w:color w:val="222222"/>
        </w:rPr>
      </w:pPr>
      <w:r w:rsidRPr="00E94A19">
        <w:rPr>
          <w:rFonts w:ascii="Palatino Linotype" w:eastAsia="Palatino Linotype" w:hAnsi="Palatino Linotype" w:cs="Palatino Linotype"/>
          <w:b/>
          <w:bCs/>
          <w:i/>
          <w:iCs/>
          <w:color w:val="222222"/>
        </w:rPr>
        <w:t>Artículo 163. </w:t>
      </w:r>
      <w:r w:rsidRPr="00E94A19">
        <w:rPr>
          <w:rFonts w:ascii="Palatino Linotype" w:eastAsia="Palatino Linotype" w:hAnsi="Palatino Linotype" w:cs="Palatino Linotype"/>
          <w:i/>
          <w:iCs/>
          <w:color w:val="222222"/>
        </w:rPr>
        <w:t>La Unidad de Transparencia deberá notificar la respuesta a la solicitud al interesado en el menor tiempo posible, que no podrá exceder de quince días hábiles, contados a partir del día siguiente a la presentación de aquélla.</w:t>
      </w:r>
    </w:p>
    <w:p w:rsidR="002D280C" w:rsidRPr="00E94A19" w:rsidRDefault="002D280C">
      <w:pPr>
        <w:pBdr>
          <w:top w:val="nil"/>
          <w:left w:val="nil"/>
          <w:bottom w:val="nil"/>
          <w:right w:val="nil"/>
          <w:between w:val="nil"/>
        </w:pBdr>
        <w:ind w:left="709" w:right="900"/>
        <w:jc w:val="both"/>
        <w:rPr>
          <w:rFonts w:ascii="Palatino Linotype" w:eastAsia="Palatino Linotype" w:hAnsi="Palatino Linotype" w:cs="Palatino Linotype"/>
          <w:color w:val="222222"/>
        </w:rPr>
      </w:pPr>
    </w:p>
    <w:p w:rsidR="002D280C" w:rsidRPr="00E94A19" w:rsidRDefault="002178B2">
      <w:pPr>
        <w:pBdr>
          <w:top w:val="nil"/>
          <w:left w:val="nil"/>
          <w:bottom w:val="nil"/>
          <w:right w:val="nil"/>
          <w:between w:val="nil"/>
        </w:pBdr>
        <w:ind w:left="709" w:right="900"/>
        <w:jc w:val="both"/>
        <w:rPr>
          <w:rFonts w:ascii="Palatino Linotype" w:eastAsia="Palatino Linotype" w:hAnsi="Palatino Linotype" w:cs="Palatino Linotype"/>
          <w:i/>
          <w:iCs/>
          <w:color w:val="222222"/>
        </w:rPr>
      </w:pPr>
      <w:r w:rsidRPr="00E94A19">
        <w:rPr>
          <w:rFonts w:ascii="Palatino Linotype" w:eastAsia="Palatino Linotype" w:hAnsi="Palatino Linotype" w:cs="Palatino Linotype"/>
          <w:i/>
          <w:iCs/>
          <w:color w:val="2222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D280C" w:rsidRPr="00E94A19" w:rsidRDefault="002D280C">
      <w:pPr>
        <w:pBdr>
          <w:top w:val="nil"/>
          <w:left w:val="nil"/>
          <w:bottom w:val="nil"/>
          <w:right w:val="nil"/>
          <w:between w:val="nil"/>
        </w:pBdr>
        <w:ind w:left="709" w:right="900"/>
        <w:jc w:val="both"/>
        <w:rPr>
          <w:rFonts w:ascii="Palatino Linotype" w:eastAsia="Palatino Linotype" w:hAnsi="Palatino Linotype" w:cs="Palatino Linotype"/>
          <w:i/>
          <w:iCs/>
          <w:color w:val="222222"/>
        </w:rPr>
      </w:pP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222222"/>
        </w:rPr>
      </w:pPr>
      <w:r w:rsidRPr="00E94A19">
        <w:rPr>
          <w:rFonts w:ascii="Palatino Linotype" w:eastAsia="Palatino Linotype" w:hAnsi="Palatino Linotype" w:cs="Palatino Linotype"/>
        </w:rPr>
        <w:t>Solo</w:t>
      </w:r>
      <w:r w:rsidRPr="00E94A19">
        <w:rPr>
          <w:rFonts w:ascii="Palatino Linotype" w:eastAsia="Palatino Linotype" w:hAnsi="Palatino Linotype" w:cs="Palatino Linotype"/>
          <w:color w:val="222222"/>
        </w:rPr>
        <w:t xml:space="preserve"> en </w:t>
      </w:r>
      <w:r w:rsidRPr="00E94A19">
        <w:rPr>
          <w:rFonts w:ascii="Palatino Linotype" w:eastAsia="Palatino Linotype" w:hAnsi="Palatino Linotype" w:cs="Palatino Linotype"/>
        </w:rPr>
        <w:t>aquellos</w:t>
      </w:r>
      <w:r w:rsidRPr="00E94A19">
        <w:rPr>
          <w:rFonts w:ascii="Palatino Linotype" w:eastAsia="Palatino Linotype" w:hAnsi="Palatino Linotype" w:cs="Palatino Linotype"/>
          <w:color w:val="222222"/>
        </w:rPr>
        <w:t xml:space="preserve"> </w:t>
      </w:r>
      <w:r w:rsidRPr="00E94A19">
        <w:rPr>
          <w:rFonts w:ascii="Palatino Linotype" w:eastAsia="Palatino Linotype" w:hAnsi="Palatino Linotype" w:cs="Palatino Linotype"/>
          <w:b/>
          <w:bCs/>
          <w:color w:val="222222"/>
        </w:rPr>
        <w:t>casos excepcionales</w:t>
      </w:r>
      <w:r w:rsidRPr="00E94A19">
        <w:rPr>
          <w:rFonts w:ascii="Palatino Linotype" w:eastAsia="Palatino Linotype" w:hAnsi="Palatino Linotype" w:cs="Palatino Linotype"/>
          <w:color w:val="222222"/>
        </w:rPr>
        <w:t xml:space="preserve"> el </w:t>
      </w:r>
      <w:r w:rsidRPr="00E94A19">
        <w:rPr>
          <w:rFonts w:ascii="Palatino Linotype" w:eastAsia="Palatino Linotype" w:hAnsi="Palatino Linotype" w:cs="Palatino Linotype"/>
          <w:b/>
          <w:bCs/>
          <w:color w:val="222222"/>
        </w:rPr>
        <w:t xml:space="preserve">SUJETO OBLIGADO </w:t>
      </w:r>
      <w:r w:rsidRPr="00E94A19">
        <w:rPr>
          <w:rFonts w:ascii="Palatino Linotype" w:eastAsia="Palatino Linotype" w:hAnsi="Palatino Linotype" w:cs="Palatino Linotype"/>
          <w:color w:val="222222"/>
        </w:rPr>
        <w:t xml:space="preserve">podrá solicitar se amplíe el término de quince días para proporcionar respuesta a cualquier solicitud de </w:t>
      </w:r>
      <w:r w:rsidRPr="00E94A19">
        <w:rPr>
          <w:rFonts w:ascii="Palatino Linotype" w:eastAsia="Palatino Linotype" w:hAnsi="Palatino Linotype" w:cs="Palatino Linotype"/>
          <w:color w:val="000000"/>
        </w:rPr>
        <w:t>información</w:t>
      </w:r>
      <w:r w:rsidRPr="00E94A19">
        <w:rPr>
          <w:rFonts w:ascii="Palatino Linotype" w:eastAsia="Palatino Linotype" w:hAnsi="Palatino Linotype" w:cs="Palatino Linotype"/>
          <w:color w:val="222222"/>
        </w:rPr>
        <w:t xml:space="preserve">, plazo que podrá ser prorrogado por otros </w:t>
      </w:r>
      <w:r w:rsidRPr="00E94A19">
        <w:rPr>
          <w:rFonts w:ascii="Palatino Linotype" w:eastAsia="Palatino Linotype" w:hAnsi="Palatino Linotype" w:cs="Palatino Linotype"/>
          <w:b/>
          <w:bCs/>
          <w:color w:val="222222"/>
        </w:rPr>
        <w:t>siete días más</w:t>
      </w:r>
      <w:r w:rsidRPr="00E94A19">
        <w:rPr>
          <w:rFonts w:ascii="Palatino Linotype" w:eastAsia="Palatino Linotype" w:hAnsi="Palatino Linotype" w:cs="Palatino Linotype"/>
          <w:color w:val="222222"/>
        </w:rPr>
        <w:t xml:space="preserve">, siempre y cuando medien razones que justifiquen la ampliación, las cuales deberán estar </w:t>
      </w:r>
      <w:r w:rsidRPr="00E94A19">
        <w:rPr>
          <w:rFonts w:ascii="Palatino Linotype" w:eastAsia="Palatino Linotype" w:hAnsi="Palatino Linotype" w:cs="Palatino Linotype"/>
          <w:b/>
          <w:bCs/>
          <w:color w:val="222222"/>
          <w:u w:val="single"/>
        </w:rPr>
        <w:t>fundadas y motivadas</w:t>
      </w:r>
      <w:r w:rsidRPr="00E94A19">
        <w:rPr>
          <w:rFonts w:ascii="Palatino Linotype" w:eastAsia="Palatino Linotype" w:hAnsi="Palatino Linotype" w:cs="Palatino Linotype"/>
          <w:color w:val="222222"/>
        </w:rPr>
        <w:t xml:space="preserve">,  mismas que </w:t>
      </w:r>
      <w:r w:rsidRPr="00E94A19">
        <w:rPr>
          <w:rFonts w:ascii="Palatino Linotype" w:eastAsia="Palatino Linotype" w:hAnsi="Palatino Linotype" w:cs="Palatino Linotype"/>
          <w:b/>
          <w:bCs/>
          <w:color w:val="222222"/>
        </w:rPr>
        <w:t xml:space="preserve">deberán ser aprobadas por los integrantes de su Comité de Transparencia mediante la </w:t>
      </w:r>
      <w:r w:rsidRPr="00E94A19">
        <w:rPr>
          <w:rFonts w:ascii="Palatino Linotype" w:eastAsia="Palatino Linotype" w:hAnsi="Palatino Linotype" w:cs="Palatino Linotype"/>
          <w:b/>
          <w:bCs/>
          <w:color w:val="222222"/>
        </w:rPr>
        <w:lastRenderedPageBreak/>
        <w:t xml:space="preserve">emisión de una resolución </w:t>
      </w:r>
      <w:r w:rsidRPr="00E94A19">
        <w:rPr>
          <w:rFonts w:ascii="Palatino Linotype" w:eastAsia="Palatino Linotype" w:hAnsi="Palatino Linotype" w:cs="Palatino Linotype"/>
          <w:color w:val="222222"/>
        </w:rPr>
        <w:t>que deberá notificarse al solicitante. Situación que, en el caso concreto, ocurrió de manera incorrecta.</w:t>
      </w:r>
    </w:p>
    <w:p w:rsidR="002D280C" w:rsidRPr="00E94A19" w:rsidRDefault="002D280C">
      <w:pPr>
        <w:pBdr>
          <w:top w:val="nil"/>
          <w:left w:val="nil"/>
          <w:bottom w:val="nil"/>
          <w:right w:val="nil"/>
          <w:between w:val="nil"/>
        </w:pBdr>
        <w:spacing w:line="360" w:lineRule="auto"/>
        <w:jc w:val="both"/>
        <w:rPr>
          <w:rFonts w:ascii="Palatino Linotype" w:eastAsia="Palatino Linotype" w:hAnsi="Palatino Linotype" w:cs="Palatino Linotype"/>
          <w:color w:val="222222"/>
        </w:rPr>
      </w:pP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color w:val="222222"/>
        </w:rPr>
      </w:pPr>
      <w:r w:rsidRPr="00E94A19">
        <w:rPr>
          <w:rFonts w:ascii="Palatino Linotype" w:eastAsia="Palatino Linotype" w:hAnsi="Palatino Linotype" w:cs="Palatino Linotype"/>
          <w:color w:val="222222"/>
        </w:rPr>
        <w:t xml:space="preserve">Lo </w:t>
      </w:r>
      <w:r w:rsidRPr="00E94A19">
        <w:rPr>
          <w:rFonts w:ascii="Palatino Linotype" w:eastAsia="Palatino Linotype" w:hAnsi="Palatino Linotype" w:cs="Palatino Linotype"/>
        </w:rPr>
        <w:t>anterior</w:t>
      </w:r>
      <w:r w:rsidRPr="00E94A19">
        <w:rPr>
          <w:rFonts w:ascii="Palatino Linotype" w:eastAsia="Palatino Linotype" w:hAnsi="Palatino Linotype" w:cs="Palatino Linotype"/>
          <w:color w:val="222222"/>
        </w:rPr>
        <w:t xml:space="preserve"> implica una alta responsabilidad, toda vez que dicha prórroga deberá recaer en un documento, debidamente </w:t>
      </w:r>
      <w:r w:rsidRPr="00E94A19">
        <w:rPr>
          <w:rFonts w:ascii="Palatino Linotype" w:eastAsia="Palatino Linotype" w:hAnsi="Palatino Linotype" w:cs="Palatino Linotype"/>
          <w:b/>
          <w:bCs/>
          <w:color w:val="222222"/>
        </w:rPr>
        <w:t>validado y firmado</w:t>
      </w:r>
      <w:r w:rsidRPr="00E94A19">
        <w:rPr>
          <w:rFonts w:ascii="Palatino Linotype" w:eastAsia="Palatino Linotype" w:hAnsi="Palatino Linotype" w:cs="Palatino Linotype"/>
          <w:color w:val="222222"/>
        </w:rPr>
        <w:t xml:space="preserve"> por los integrantes del Comité, lo cual ocurrió de manera incorrecta en la prórroga notificada por el Sujeto Obligado, toda vez que notificó un acuerdo del Comité de Transparencia en el que se aprobó una prórroga a una solicitud de información diversa a la que nos ocupa, violentando lo dispuesto en el artículo 163 de la Ley de Transparencia y Acceso a la Información Pública del Estado de México y Municipios</w:t>
      </w:r>
      <w:r w:rsidRPr="00E94A19">
        <w:rPr>
          <w:rFonts w:ascii="Palatino Linotype" w:eastAsia="Palatino Linotype" w:hAnsi="Palatino Linotype" w:cs="Palatino Linotype"/>
          <w:i/>
          <w:iCs/>
          <w:color w:val="222222"/>
        </w:rPr>
        <w:t>.</w:t>
      </w:r>
    </w:p>
    <w:p w:rsidR="002D280C" w:rsidRPr="00E94A19" w:rsidRDefault="002D280C">
      <w:pPr>
        <w:pBdr>
          <w:top w:val="nil"/>
          <w:left w:val="nil"/>
          <w:bottom w:val="nil"/>
          <w:right w:val="nil"/>
          <w:between w:val="nil"/>
        </w:pBdr>
        <w:tabs>
          <w:tab w:val="left" w:pos="0"/>
        </w:tabs>
        <w:spacing w:line="360" w:lineRule="auto"/>
        <w:ind w:right="-787"/>
        <w:jc w:val="both"/>
        <w:rPr>
          <w:rFonts w:ascii="Palatino Linotype" w:eastAsia="Palatino Linotype" w:hAnsi="Palatino Linotype" w:cs="Palatino Linotype"/>
          <w:color w:val="222222"/>
        </w:rPr>
      </w:pPr>
    </w:p>
    <w:p w:rsidR="002D280C" w:rsidRPr="00E94A19" w:rsidRDefault="002178B2">
      <w:pPr>
        <w:numPr>
          <w:ilvl w:val="0"/>
          <w:numId w:val="3"/>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color w:val="222222"/>
        </w:rPr>
        <w:t>Por l</w:t>
      </w:r>
      <w:r w:rsidRPr="00E94A19">
        <w:rPr>
          <w:rFonts w:ascii="Palatino Linotype" w:eastAsia="Palatino Linotype" w:hAnsi="Palatino Linotype" w:cs="Palatino Linotype"/>
        </w:rPr>
        <w:t>o</w:t>
      </w:r>
      <w:r w:rsidRPr="00E94A19">
        <w:rPr>
          <w:rFonts w:ascii="Palatino Linotype" w:eastAsia="Palatino Linotype" w:hAnsi="Palatino Linotype" w:cs="Palatino Linotype"/>
          <w:color w:val="222222"/>
        </w:rPr>
        <w:t xml:space="preserve"> </w:t>
      </w:r>
      <w:r w:rsidRPr="00E94A19">
        <w:rPr>
          <w:rFonts w:ascii="Palatino Linotype" w:eastAsia="Palatino Linotype" w:hAnsi="Palatino Linotype" w:cs="Palatino Linotype"/>
        </w:rPr>
        <w:t>que</w:t>
      </w:r>
      <w:r w:rsidRPr="00E94A19">
        <w:rPr>
          <w:rFonts w:ascii="Palatino Linotype" w:eastAsia="Palatino Linotype" w:hAnsi="Palatino Linotype" w:cs="Palatino Linotype"/>
          <w:color w:val="222222"/>
        </w:rPr>
        <w:t xml:space="preserve"> se exhorta al Sujeto Obligado en subsecuentes ocasiones acatar las formalidades establecidas en la norma.</w:t>
      </w:r>
    </w:p>
    <w:p w:rsidR="002D280C" w:rsidRPr="00E94A19" w:rsidRDefault="002D280C">
      <w:pPr>
        <w:spacing w:line="360" w:lineRule="auto"/>
        <w:ind w:right="49"/>
        <w:jc w:val="both"/>
        <w:rPr>
          <w:rFonts w:ascii="Palatino Linotype" w:eastAsia="Palatino Linotype" w:hAnsi="Palatino Linotype" w:cs="Palatino Linotype"/>
        </w:rPr>
      </w:pPr>
      <w:bookmarkStart w:id="5" w:name="_heading=h.2et92p0" w:colFirst="0" w:colLast="0"/>
      <w:bookmarkEnd w:id="5"/>
    </w:p>
    <w:p w:rsidR="002D280C" w:rsidRPr="00E94A19" w:rsidRDefault="002178B2">
      <w:pPr>
        <w:pStyle w:val="Ttulo2"/>
        <w:rPr>
          <w:rFonts w:ascii="Palatino Linotype" w:eastAsia="Palatino Linotype" w:hAnsi="Palatino Linotype" w:cs="Palatino Linotype"/>
          <w:b/>
          <w:bCs/>
          <w:i/>
          <w:iCs/>
          <w:color w:val="000000"/>
          <w:sz w:val="24"/>
          <w:szCs w:val="24"/>
        </w:rPr>
      </w:pPr>
      <w:r w:rsidRPr="00E94A19">
        <w:rPr>
          <w:rFonts w:ascii="Palatino Linotype" w:eastAsia="Palatino Linotype" w:hAnsi="Palatino Linotype" w:cs="Palatino Linotype"/>
          <w:b/>
          <w:bCs/>
          <w:color w:val="000000"/>
          <w:sz w:val="24"/>
          <w:szCs w:val="24"/>
        </w:rPr>
        <w:t xml:space="preserve">TERCERO. Del planteamiento de la </w:t>
      </w:r>
      <w:r w:rsidRPr="00E94A19">
        <w:rPr>
          <w:rFonts w:ascii="Palatino Linotype" w:eastAsia="Palatino Linotype" w:hAnsi="Palatino Linotype" w:cs="Palatino Linotype"/>
          <w:b/>
          <w:bCs/>
          <w:i/>
          <w:iCs/>
          <w:color w:val="000000"/>
          <w:sz w:val="24"/>
          <w:szCs w:val="24"/>
        </w:rPr>
        <w:t>Litis.</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Se solicitó tener acceso, a la información que a continuación se simplifica:</w:t>
      </w:r>
    </w:p>
    <w:p w:rsidR="002D280C" w:rsidRPr="00E94A19" w:rsidRDefault="002178B2">
      <w:pPr>
        <w:numPr>
          <w:ilvl w:val="0"/>
          <w:numId w:val="6"/>
        </w:numPr>
        <w:pBdr>
          <w:top w:val="nil"/>
          <w:left w:val="nil"/>
          <w:bottom w:val="nil"/>
          <w:right w:val="nil"/>
          <w:between w:val="nil"/>
        </w:pBdr>
        <w:ind w:right="-788"/>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Respecto del camión recolector de basura y el camión de bomberos:</w:t>
      </w:r>
    </w:p>
    <w:p w:rsidR="002D280C" w:rsidRPr="00E94A19" w:rsidRDefault="002178B2">
      <w:pPr>
        <w:numPr>
          <w:ilvl w:val="0"/>
          <w:numId w:val="7"/>
        </w:numPr>
        <w:pBdr>
          <w:top w:val="nil"/>
          <w:left w:val="nil"/>
          <w:bottom w:val="nil"/>
          <w:right w:val="nil"/>
          <w:between w:val="nil"/>
        </w:pBdr>
        <w:ind w:right="-788"/>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Contrato o convenio de adquisición.</w:t>
      </w:r>
    </w:p>
    <w:p w:rsidR="002D280C" w:rsidRPr="00E94A19" w:rsidRDefault="002178B2">
      <w:pPr>
        <w:numPr>
          <w:ilvl w:val="0"/>
          <w:numId w:val="7"/>
        </w:numPr>
        <w:pBdr>
          <w:top w:val="nil"/>
          <w:left w:val="nil"/>
          <w:bottom w:val="nil"/>
          <w:right w:val="nil"/>
          <w:between w:val="nil"/>
        </w:pBdr>
        <w:ind w:right="-788"/>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Factura de pago.</w:t>
      </w:r>
    </w:p>
    <w:p w:rsidR="002D280C" w:rsidRDefault="002D280C">
      <w:pPr>
        <w:pBdr>
          <w:top w:val="nil"/>
          <w:left w:val="nil"/>
          <w:bottom w:val="nil"/>
          <w:right w:val="nil"/>
          <w:between w:val="nil"/>
        </w:pBdr>
        <w:ind w:left="1440" w:right="-788"/>
        <w:jc w:val="both"/>
        <w:rPr>
          <w:rFonts w:ascii="Palatino Linotype" w:eastAsia="Palatino Linotype" w:hAnsi="Palatino Linotype" w:cs="Palatino Linotype"/>
          <w:color w:val="000000"/>
        </w:rPr>
      </w:pPr>
    </w:p>
    <w:p w:rsidR="00E94A19" w:rsidRPr="00E94A19" w:rsidRDefault="00E94A19">
      <w:pPr>
        <w:pBdr>
          <w:top w:val="nil"/>
          <w:left w:val="nil"/>
          <w:bottom w:val="nil"/>
          <w:right w:val="nil"/>
          <w:between w:val="nil"/>
        </w:pBdr>
        <w:ind w:left="1440" w:right="-788"/>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rPr>
        <w:t>En respuesta, el Sujeto Obligado</w:t>
      </w:r>
      <w:r w:rsidRPr="00E94A19">
        <w:rPr>
          <w:rFonts w:ascii="Palatino Linotype" w:eastAsia="Palatino Linotype" w:hAnsi="Palatino Linotype" w:cs="Palatino Linotype"/>
          <w:b/>
          <w:bCs/>
        </w:rPr>
        <w:t xml:space="preserve"> </w:t>
      </w:r>
      <w:r w:rsidRPr="00E94A19">
        <w:rPr>
          <w:rFonts w:ascii="Palatino Linotype" w:eastAsia="Palatino Linotype" w:hAnsi="Palatino Linotype" w:cs="Palatino Linotype"/>
        </w:rPr>
        <w:t>remitió el archivo ya descrito en el anterior párrafo 3, inconforme con la respuesta, se interpuso recurso de revisión argumentando sustancialmente que la negativa de la información solicitada.</w:t>
      </w:r>
    </w:p>
    <w:p w:rsidR="002D280C" w:rsidRPr="00E94A19" w:rsidRDefault="002D280C">
      <w:pPr>
        <w:ind w:left="720" w:right="-788"/>
        <w:jc w:val="both"/>
        <w:rPr>
          <w:rFonts w:ascii="Palatino Linotype" w:eastAsia="Palatino Linotype" w:hAnsi="Palatino Linotype" w:cs="Palatino Linotype"/>
          <w:i/>
          <w:iCs/>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 xml:space="preserve">En dichas condiciones, la controversia a resolver en el presente proveído, corresponde a determinar si se actualiza la causal de procedencia prevista en el artículo </w:t>
      </w:r>
      <w:r w:rsidRPr="00E94A19">
        <w:rPr>
          <w:rFonts w:ascii="Palatino Linotype" w:eastAsia="Palatino Linotype" w:hAnsi="Palatino Linotype" w:cs="Palatino Linotype"/>
          <w:b/>
          <w:bCs/>
        </w:rPr>
        <w:t>179, fracción I, de la Ley de Transparencia y Acceso a la Información Pública del Estado de México y Municipios</w:t>
      </w:r>
      <w:r w:rsidRPr="00E94A19">
        <w:rPr>
          <w:rFonts w:ascii="Palatino Linotype" w:eastAsia="Palatino Linotype" w:hAnsi="Palatino Linotype" w:cs="Palatino Linotype"/>
        </w:rPr>
        <w:t xml:space="preserve">; </w:t>
      </w:r>
      <w:r w:rsidRPr="00E94A19">
        <w:rPr>
          <w:rFonts w:ascii="Palatino Linotype" w:eastAsia="Palatino Linotype" w:hAnsi="Palatino Linotype" w:cs="Palatino Linotype"/>
          <w:color w:val="000000"/>
        </w:rPr>
        <w:t xml:space="preserve">fracción que determina la hipótesis relativa a </w:t>
      </w:r>
      <w:r w:rsidRPr="00E94A19">
        <w:rPr>
          <w:rFonts w:ascii="Palatino Linotype" w:eastAsia="Palatino Linotype" w:hAnsi="Palatino Linotype" w:cs="Palatino Linotype"/>
          <w:b/>
          <w:bCs/>
          <w:color w:val="000000"/>
        </w:rPr>
        <w:t>la negativa a la información solicitada</w:t>
      </w:r>
      <w:r w:rsidRPr="00E94A19">
        <w:rPr>
          <w:rFonts w:ascii="Palatino Linotype" w:eastAsia="Palatino Linotype" w:hAnsi="Palatino Linotype" w:cs="Palatino Linotype"/>
          <w:color w:val="000000"/>
        </w:rPr>
        <w:t xml:space="preserve">; </w:t>
      </w:r>
      <w:r w:rsidRPr="00E94A19">
        <w:rPr>
          <w:rFonts w:ascii="Palatino Linotype" w:eastAsia="Palatino Linotype" w:hAnsi="Palatino Linotype" w:cs="Palatino Linotype"/>
        </w:rPr>
        <w:t>contexto del cual se dolió el Recurrente al momento de interponer su inconformidad.</w:t>
      </w:r>
      <w:r w:rsidRPr="00E94A19">
        <w:rPr>
          <w:rFonts w:ascii="Palatino Linotype" w:eastAsia="Palatino Linotype" w:hAnsi="Palatino Linotype" w:cs="Palatino Linotype"/>
          <w:color w:val="000000"/>
        </w:rPr>
        <w:t xml:space="preserve"> De modo tal que el presente recurso de revisión se </w:t>
      </w:r>
      <w:r w:rsidRPr="00E94A19">
        <w:rPr>
          <w:rFonts w:ascii="Palatino Linotype" w:eastAsia="Palatino Linotype" w:hAnsi="Palatino Linotype" w:cs="Palatino Linotype"/>
        </w:rPr>
        <w:t>abocará</w:t>
      </w:r>
      <w:r w:rsidRPr="00E94A19">
        <w:rPr>
          <w:rFonts w:ascii="Palatino Linotype" w:eastAsia="Palatino Linotype" w:hAnsi="Palatino Linotype" w:cs="Palatino Linotype"/>
          <w:color w:val="000000"/>
        </w:rPr>
        <w:t xml:space="preserve"> en determinar si el Sujeto Obligado con su respuesta ciertamente actualiza la causal de procedencia</w:t>
      </w:r>
      <w:r w:rsidRPr="00E94A19">
        <w:rPr>
          <w:rFonts w:ascii="Palatino Linotype" w:eastAsia="Palatino Linotype" w:hAnsi="Palatino Linotype" w:cs="Palatino Linotype"/>
          <w:b/>
          <w:bCs/>
          <w:color w:val="000000"/>
        </w:rPr>
        <w:t xml:space="preserve"> </w:t>
      </w:r>
      <w:r w:rsidRPr="00E94A19">
        <w:rPr>
          <w:rFonts w:ascii="Palatino Linotype" w:eastAsia="Palatino Linotype" w:hAnsi="Palatino Linotype" w:cs="Palatino Linotype"/>
          <w:color w:val="000000"/>
        </w:rPr>
        <w:t>señalada.</w:t>
      </w:r>
    </w:p>
    <w:p w:rsidR="002D280C" w:rsidRPr="00E94A19" w:rsidRDefault="002D280C">
      <w:pPr>
        <w:spacing w:line="360" w:lineRule="auto"/>
        <w:ind w:right="-787"/>
        <w:rPr>
          <w:rFonts w:ascii="Palatino Linotype" w:eastAsia="Palatino Linotype" w:hAnsi="Palatino Linotype" w:cs="Palatino Linotype"/>
        </w:rPr>
      </w:pPr>
    </w:p>
    <w:p w:rsidR="002D280C" w:rsidRPr="00E94A19" w:rsidRDefault="002178B2">
      <w:pPr>
        <w:pStyle w:val="Ttulo2"/>
        <w:rPr>
          <w:rFonts w:ascii="Palatino Linotype" w:eastAsia="Palatino Linotype" w:hAnsi="Palatino Linotype" w:cs="Palatino Linotype"/>
          <w:b/>
          <w:bCs/>
          <w:color w:val="000000"/>
          <w:sz w:val="24"/>
          <w:szCs w:val="24"/>
        </w:rPr>
      </w:pPr>
      <w:bookmarkStart w:id="6" w:name="_heading=h.1t3h5sf" w:colFirst="0" w:colLast="0"/>
      <w:bookmarkEnd w:id="6"/>
      <w:r w:rsidRPr="00E94A19">
        <w:rPr>
          <w:rFonts w:ascii="Palatino Linotype" w:eastAsia="Palatino Linotype" w:hAnsi="Palatino Linotype" w:cs="Palatino Linotype"/>
          <w:b/>
          <w:bCs/>
          <w:color w:val="000000"/>
          <w:sz w:val="24"/>
          <w:szCs w:val="24"/>
        </w:rPr>
        <w:t>CUARTO. Del estudio y resolución del asunto.</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Determinado lo anterior; revisaremos la atención otorgada por el Sujeto Obligado a la solicitud que dio origen a este recurso, considerando imprescindible establecer lo que la regulación determina, por ello, en primer lugar, vamos a revisar lo que mandata nuestra Ley de Transparencia local, en su artículo 12, el cual establece que quienes generen, recopilen, administren, manejen, procesen, archiven o conserven información pública serán responsables de la misma, del mismo modo, el artículo 18, establece que los Sujetos Obligados deberán documentar todo acto que derive del ejercicio de sus facultades, competencias o funciones desde su origen la eventual publicidad y reutilización de la información que generen.</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Asimismo, es relevante mencionar que el artículo 19, del ordenamiento local de la materia señala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2D280C" w:rsidRPr="00E94A19" w:rsidRDefault="002D280C">
      <w:pPr>
        <w:pBdr>
          <w:top w:val="nil"/>
          <w:left w:val="nil"/>
          <w:bottom w:val="nil"/>
          <w:right w:val="nil"/>
          <w:between w:val="nil"/>
        </w:pBdr>
        <w:spacing w:line="360" w:lineRule="auto"/>
        <w:ind w:left="720" w:right="-787"/>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Los artículos antes citados, refieren que el derecho de acceso a la información pública es un derecho humano que abarca el solicitar, investigar, difundir y buscar información que se encuentre en los archivos de los sujetos obligados, ya sea porque estos las generaron o la poseen en atención a sus funciones, por lo que se le considera un bien común de dominio público, toda vez que al tratarse de acciones ejercidas por un servidor público, este lo hace en representación del Estado, por lo que le pertenece a todos y debe ser accesible a cualquier persona, ya sea que los particulares la puedan consultar por encontrarse publicada en cualquier medio de difusión o porque la requieren a través de una solicitud de acceso a la información, siempre y cuando no encuadre en una de las excepciones contempladas por la ley.</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2"/>
        </w:numPr>
        <w:pBdr>
          <w:top w:val="nil"/>
          <w:left w:val="nil"/>
          <w:bottom w:val="nil"/>
          <w:right w:val="nil"/>
          <w:between w:val="nil"/>
        </w:pBdr>
        <w:spacing w:line="360" w:lineRule="auto"/>
        <w:ind w:right="-787"/>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Del Sujeto Obligado.</w:t>
      </w: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rPr>
        <w:t>Para el estudio, planeación y despacho de los asuntos de la administración pública municipal, la Presidenta se auxiliará de las siguientes Dependencias, Unidades Administrativas, Organismos Desconcentrados, Organismos Descentralizados y Órgano Autónomo, de conformidad con el artículo 72, del Bando Municipal 2025, y 18, del Reglamento de la Administración Pública Municipal:</w:t>
      </w:r>
    </w:p>
    <w:p w:rsidR="002D280C" w:rsidRPr="00E94A19" w:rsidRDefault="002178B2">
      <w:pPr>
        <w:ind w:left="567" w:right="-220"/>
        <w:jc w:val="center"/>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Bando Municipal 2025</w:t>
      </w:r>
    </w:p>
    <w:p w:rsidR="002D280C" w:rsidRPr="00E94A19" w:rsidRDefault="002D280C">
      <w:pPr>
        <w:ind w:left="567" w:right="-220"/>
        <w:jc w:val="center"/>
        <w:rPr>
          <w:rFonts w:ascii="Palatino Linotype" w:eastAsia="Palatino Linotype" w:hAnsi="Palatino Linotype" w:cs="Palatino Linotype"/>
          <w:b/>
          <w:bCs/>
          <w:i/>
          <w:iCs/>
        </w:rPr>
      </w:pP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Artículo 72. </w:t>
      </w:r>
      <w:r w:rsidRPr="00E94A19">
        <w:rPr>
          <w:rFonts w:ascii="Palatino Linotype" w:eastAsia="Palatino Linotype" w:hAnsi="Palatino Linotype" w:cs="Palatino Linotype"/>
          <w:i/>
          <w:iCs/>
        </w:rPr>
        <w:t xml:space="preserve">Para el estudio, planeación y despacho de los asuntos de la administración pública municipal, la Presidenta se auxiliará de las siguientes Dependencias, Unidades Administrativas, Organismos Desconcentrados, Organismos Descentralizados y Órgano Autónomo: </w:t>
      </w:r>
    </w:p>
    <w:p w:rsidR="002D280C" w:rsidRPr="00E94A19" w:rsidRDefault="002D280C">
      <w:pPr>
        <w:ind w:left="567" w:right="-788"/>
        <w:jc w:val="both"/>
        <w:rPr>
          <w:rFonts w:ascii="Palatino Linotype" w:eastAsia="Palatino Linotype" w:hAnsi="Palatino Linotype" w:cs="Palatino Linotype"/>
          <w:i/>
          <w:iCs/>
        </w:rPr>
      </w:pP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Dependencias.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 Secretaría del Ayuntamiento; </w:t>
      </w:r>
    </w:p>
    <w:p w:rsidR="002D280C" w:rsidRPr="00E94A19" w:rsidRDefault="002178B2">
      <w:pPr>
        <w:ind w:left="567" w:right="-788"/>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II. Tesorería Municipal;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III. Contraloría Municipal;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lastRenderedPageBreak/>
        <w:t xml:space="preserve">IV. Dirección de Desarrollo Económico Municipal;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 Dirección de Obras Públicas;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VI. Dirección de Servicios Públicos;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VII. Dirección de Desarrollo Urbano;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VIII. Dirección de Ecología y Medio Ambiente;</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IX. Dirección de Bienestar Social;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 Dirección de Seguridad Pública y Tránsito Municipal;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 Dirección de Educación, Cultura y Salud;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XII. Dirección del Campo;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XIII. Dirección de Turismo; </w:t>
      </w:r>
    </w:p>
    <w:p w:rsidR="002D280C" w:rsidRPr="00E94A19" w:rsidRDefault="002178B2">
      <w:pPr>
        <w:ind w:left="567" w:right="-788"/>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XIV. Dirección de Administración;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XV. Dirección de Control y Bienestar Animal; y </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XVI. Dirección de Asuntos Indígenas y Atención Ciudadana.</w:t>
      </w:r>
    </w:p>
    <w:p w:rsidR="002D280C" w:rsidRPr="00E94A19" w:rsidRDefault="002178B2">
      <w:pPr>
        <w:ind w:left="567" w:right="-78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spacing w:line="360" w:lineRule="auto"/>
        <w:ind w:right="-787"/>
        <w:jc w:val="both"/>
      </w:pPr>
    </w:p>
    <w:p w:rsidR="002D280C" w:rsidRPr="00E94A19" w:rsidRDefault="002178B2">
      <w:pPr>
        <w:ind w:left="567" w:right="-220"/>
        <w:jc w:val="center"/>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REGLAMENTO DE LA ADMINISTRACIÓN PÚBLICA MUNICIPAL DE JOCOTITLÁN</w:t>
      </w:r>
    </w:p>
    <w:p w:rsidR="002D280C" w:rsidRPr="00E94A19" w:rsidRDefault="002D280C">
      <w:pPr>
        <w:ind w:left="567" w:right="-220"/>
        <w:jc w:val="center"/>
        <w:rPr>
          <w:rFonts w:ascii="Palatino Linotype" w:eastAsia="Palatino Linotype" w:hAnsi="Palatino Linotype" w:cs="Palatino Linotype"/>
          <w:b/>
          <w:bCs/>
          <w:i/>
          <w:iCs/>
        </w:rPr>
      </w:pP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Artículo 18.- Para el estudio, planeación y despacho de los asuntos de la Administración Pública Municipal, el Presidente se auxiliará de las siguientes dependencias, unidades administrativas y organismos:</w:t>
      </w:r>
    </w:p>
    <w:p w:rsidR="002D280C" w:rsidRPr="00E94A19" w:rsidRDefault="002D280C">
      <w:pPr>
        <w:ind w:left="567" w:right="-220"/>
        <w:jc w:val="both"/>
        <w:rPr>
          <w:rFonts w:ascii="Palatino Linotype" w:eastAsia="Palatino Linotype" w:hAnsi="Palatino Linotype" w:cs="Palatino Linotype"/>
          <w:i/>
          <w:iCs/>
        </w:rPr>
      </w:pP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Dependencias.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 Secretaría del Ayuntamiento;</w:t>
      </w:r>
    </w:p>
    <w:p w:rsidR="002D280C" w:rsidRPr="00E94A19" w:rsidRDefault="002178B2">
      <w:pPr>
        <w:ind w:left="567" w:right="-220"/>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II. Tesorería Municipal;</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III. Contraloría Municipal;</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IV. Dirección de Desarrollo Económico;</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V. Dirección de Obras Públicas;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VI. Dirección de Servicios Públicos;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VII. Dirección de Desarrollo Urbano;</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VIII. Dirección de Ecología;</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IX. Dirección de Desarrollo Social;</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 Dirección de Seguridad Pública Municipal;</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XI. Dirección de Educación, Cultura y Salud;</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XII. Dirección del Campo,</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XIII. Dirección de Turismo; y</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lastRenderedPageBreak/>
        <w:t>XIV. Dirección de Participación Ciudadana y Trabajo Comunitario.</w:t>
      </w:r>
    </w:p>
    <w:p w:rsidR="002D280C" w:rsidRPr="00E94A19" w:rsidRDefault="002D280C">
      <w:pPr>
        <w:ind w:left="567" w:right="-220"/>
        <w:jc w:val="both"/>
        <w:rPr>
          <w:rFonts w:ascii="Palatino Linotype" w:eastAsia="Palatino Linotype" w:hAnsi="Palatino Linotype" w:cs="Palatino Linotype"/>
          <w:i/>
          <w:iCs/>
        </w:rPr>
      </w:pPr>
    </w:p>
    <w:p w:rsidR="002D280C" w:rsidRPr="00E94A19" w:rsidRDefault="002178B2">
      <w:pPr>
        <w:ind w:left="567" w:right="-220"/>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Unidades Administrativas</w:t>
      </w:r>
    </w:p>
    <w:p w:rsidR="002D280C" w:rsidRPr="00E94A19" w:rsidRDefault="002D280C">
      <w:pPr>
        <w:ind w:left="567" w:right="-220"/>
        <w:jc w:val="both"/>
        <w:rPr>
          <w:rFonts w:ascii="Palatino Linotype" w:eastAsia="Palatino Linotype" w:hAnsi="Palatino Linotype" w:cs="Palatino Linotype"/>
          <w:i/>
          <w:iCs/>
        </w:rPr>
      </w:pP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 Coordinación Jurídica;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II. Oficialía Mediadora – Conciliadora; I</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II. Oficialía Calificadora;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IV. Coordinación Municipal de Protección Civil y Bomberos.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 Coordinador General Municipal de Mejora Regulatoria. </w:t>
      </w:r>
    </w:p>
    <w:p w:rsidR="002D280C" w:rsidRPr="00E94A19" w:rsidRDefault="002178B2">
      <w:pPr>
        <w:ind w:left="567" w:right="-220"/>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VI. Unidad de Administración;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VII. Unidad de Información, Planeación, Programación y Evaluación;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VIII. Unidad de Transparencia;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IX. Auxiliar de Presidencia;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 Secretaría Técnica;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 Comunicación Social;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XII. Coordinación Municipal de Gobernación;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XIII. Unidad Municipal de Control y Bienestar Animal;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XIV. Secretaría Técnica del Consejo Municipal de Seguridad Pública; y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XV. Unidad de Gobierno Digital. </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XVI. Unidad de Catastro.</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ind w:right="-220"/>
        <w:jc w:val="both"/>
        <w:rPr>
          <w:rFonts w:ascii="Palatino Linotype" w:eastAsia="Palatino Linotype" w:hAnsi="Palatino Linotype" w:cs="Palatino Linotype"/>
          <w:i/>
          <w:iCs/>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La </w:t>
      </w:r>
      <w:r w:rsidRPr="00E94A19">
        <w:rPr>
          <w:rFonts w:ascii="Palatino Linotype" w:eastAsia="Palatino Linotype" w:hAnsi="Palatino Linotype" w:cs="Palatino Linotype"/>
          <w:b/>
          <w:bCs/>
        </w:rPr>
        <w:t xml:space="preserve">Unidad de Administración, </w:t>
      </w:r>
      <w:r w:rsidRPr="00E94A19">
        <w:rPr>
          <w:rFonts w:ascii="Palatino Linotype" w:eastAsia="Palatino Linotype" w:hAnsi="Palatino Linotype" w:cs="Palatino Linotype"/>
        </w:rPr>
        <w:t xml:space="preserve">tiene dentro de sus atribuciones, de conformidad al </w:t>
      </w:r>
      <w:r w:rsidRPr="00E94A19">
        <w:rPr>
          <w:rFonts w:ascii="Palatino Linotype" w:eastAsia="Palatino Linotype" w:hAnsi="Palatino Linotype" w:cs="Palatino Linotype"/>
          <w:b/>
          <w:bCs/>
        </w:rPr>
        <w:t xml:space="preserve"> </w:t>
      </w:r>
      <w:r w:rsidRPr="00E94A19">
        <w:rPr>
          <w:rFonts w:ascii="Palatino Linotype" w:eastAsia="Palatino Linotype" w:hAnsi="Palatino Linotype" w:cs="Palatino Linotype"/>
        </w:rPr>
        <w:t>Reglamento de la Administración Pública Municipal vigente, las siguientes: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Artículo 38</w:t>
      </w:r>
      <w:r w:rsidRPr="00E94A19">
        <w:rPr>
          <w:rFonts w:ascii="Palatino Linotype" w:eastAsia="Palatino Linotype" w:hAnsi="Palatino Linotype" w:cs="Palatino Linotype"/>
          <w:i/>
          <w:iCs/>
        </w:rPr>
        <w:t xml:space="preserve">.- La </w:t>
      </w:r>
      <w:r w:rsidRPr="00E94A19">
        <w:rPr>
          <w:rFonts w:ascii="Palatino Linotype" w:eastAsia="Palatino Linotype" w:hAnsi="Palatino Linotype" w:cs="Palatino Linotype"/>
          <w:b/>
          <w:bCs/>
          <w:i/>
          <w:iCs/>
        </w:rPr>
        <w:t>Unidad de Administración</w:t>
      </w:r>
      <w:r w:rsidRPr="00E94A19">
        <w:rPr>
          <w:rFonts w:ascii="Palatino Linotype" w:eastAsia="Palatino Linotype" w:hAnsi="Palatino Linotype" w:cs="Palatino Linotype"/>
          <w:i/>
          <w:iCs/>
        </w:rPr>
        <w:t>, dependerá y auxiliara a la Tesorería Municipal y tiene como objetivo organizar, dirigir, suministrar y coordinar el desarrollo de los sistemas de administración del personal, de recursos documentales y materiales del Municipio, que requieran las diversas áreas que la conforman, además de organizar y controlar los proyectos de mejoramiento administrativo; para lo cual, cuenta con las siguientes atribuciones: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II. Llevar a cabo los procedimientos para la adquisición de los bienes y contratación de servicios, apegados a las disposiciones legales aplicables en coordinación con la Tesorería Municipal;</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lastRenderedPageBreak/>
        <w:t>XXI. Elaborar los contratos o convenios derivados de los procesos adquisitivos de bienes o prestación de servicios de acuerdo a la normatividad aplicable; así como, vigilar su cumplimiento, previa revisión de los mismos por área jurídica del Ayuntamiento;</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rPr>
        <w:t xml:space="preserve">En este sentido es de mencionar que la </w:t>
      </w:r>
      <w:r w:rsidRPr="00E94A19">
        <w:rPr>
          <w:rFonts w:ascii="Palatino Linotype" w:eastAsia="Palatino Linotype" w:hAnsi="Palatino Linotype" w:cs="Palatino Linotype"/>
          <w:b/>
          <w:bCs/>
        </w:rPr>
        <w:t>Dirección de Administración</w:t>
      </w:r>
      <w:r w:rsidRPr="00E94A19">
        <w:rPr>
          <w:rFonts w:ascii="Palatino Linotype" w:eastAsia="Palatino Linotype" w:hAnsi="Palatino Linotype" w:cs="Palatino Linotype"/>
        </w:rPr>
        <w:t xml:space="preserve"> es la unidad administrativa encargada llevar a cabo los procedimientos para la adquisición de los bienes y contratación de servicios; así como elaborar los contratos o convenios derivados de los procesos adquisitivos de bienes o prestación de servicios.</w:t>
      </w:r>
    </w:p>
    <w:p w:rsidR="002D280C" w:rsidRPr="00E94A19" w:rsidRDefault="002D280C">
      <w:pPr>
        <w:spacing w:line="360" w:lineRule="auto"/>
        <w:ind w:right="-787"/>
        <w:jc w:val="both"/>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rPr>
        <w:t xml:space="preserve">La </w:t>
      </w:r>
      <w:r w:rsidRPr="00E94A19">
        <w:rPr>
          <w:rFonts w:ascii="Palatino Linotype" w:eastAsia="Palatino Linotype" w:hAnsi="Palatino Linotype" w:cs="Palatino Linotype"/>
          <w:b/>
          <w:bCs/>
        </w:rPr>
        <w:t>Tesorería Municipal</w:t>
      </w:r>
      <w:r w:rsidRPr="00E94A19">
        <w:rPr>
          <w:rFonts w:ascii="Palatino Linotype" w:eastAsia="Palatino Linotype" w:hAnsi="Palatino Linotype" w:cs="Palatino Linotype"/>
        </w:rPr>
        <w:t xml:space="preserve"> tiene dentro de sus atribuciones, de conformidad al </w:t>
      </w:r>
      <w:r w:rsidRPr="00E94A19">
        <w:rPr>
          <w:rFonts w:ascii="Palatino Linotype" w:eastAsia="Palatino Linotype" w:hAnsi="Palatino Linotype" w:cs="Palatino Linotype"/>
          <w:b/>
          <w:bCs/>
        </w:rPr>
        <w:t xml:space="preserve"> </w:t>
      </w:r>
      <w:r w:rsidRPr="00E94A19">
        <w:rPr>
          <w:rFonts w:ascii="Palatino Linotype" w:eastAsia="Palatino Linotype" w:hAnsi="Palatino Linotype" w:cs="Palatino Linotype"/>
        </w:rPr>
        <w:t>Reglamento de la Administración Pública Municipal vigente, las siguientes: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Artículo 20.-</w:t>
      </w:r>
      <w:r w:rsidRPr="00E94A19">
        <w:rPr>
          <w:rFonts w:ascii="Palatino Linotype" w:eastAsia="Palatino Linotype" w:hAnsi="Palatino Linotype" w:cs="Palatino Linotype"/>
          <w:i/>
          <w:iCs/>
        </w:rPr>
        <w:t xml:space="preserve"> A la </w:t>
      </w:r>
      <w:r w:rsidRPr="00E94A19">
        <w:rPr>
          <w:rFonts w:ascii="Palatino Linotype" w:eastAsia="Palatino Linotype" w:hAnsi="Palatino Linotype" w:cs="Palatino Linotype"/>
          <w:b/>
          <w:bCs/>
          <w:i/>
          <w:iCs/>
        </w:rPr>
        <w:t>Tesorería Municipal</w:t>
      </w:r>
      <w:r w:rsidRPr="00E94A19">
        <w:rPr>
          <w:rFonts w:ascii="Palatino Linotype" w:eastAsia="Palatino Linotype" w:hAnsi="Palatino Linotype" w:cs="Palatino Linotype"/>
          <w:i/>
          <w:iCs/>
        </w:rPr>
        <w:t xml:space="preserve"> corresponde además de las atribuciones que expresamente le confiere la Ley Orgánica Municipal del Estado de México y el Código Financiero del Estado de México y Municipios y demás ordenamientos aplicables, el despacho de los siguientes asuntos: </w:t>
      </w:r>
    </w:p>
    <w:p w:rsidR="002D280C" w:rsidRPr="00E94A19" w:rsidRDefault="002D280C">
      <w:pPr>
        <w:ind w:left="567" w:right="-220"/>
        <w:jc w:val="both"/>
        <w:rPr>
          <w:rFonts w:ascii="Palatino Linotype" w:eastAsia="Palatino Linotype" w:hAnsi="Palatino Linotype" w:cs="Palatino Linotype"/>
          <w:i/>
          <w:iCs/>
        </w:rPr>
      </w:pP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 Administrar la Hacienda Pública Municipal, de conformidad con las disposiciones legales aplicables;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IV. Llevar los registros contables, financieros y administrativos de los ingresos, egresos, e inventarios;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XXV. Determinar el flujo de efectivo y efectuar la programación de los pagos que se deben de hacer con cargo al presupuesto;</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XXIX. En coordinación con la Unidad de Administración, llevar a cabo los procedimientos para la adquisición de los bienes y contratación de servicios, apegados a las disposiciones legales;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spacing w:line="360" w:lineRule="auto"/>
        <w:ind w:right="-787"/>
        <w:jc w:val="both"/>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 xml:space="preserve">La </w:t>
      </w:r>
      <w:r w:rsidRPr="00E94A19">
        <w:rPr>
          <w:rFonts w:ascii="Palatino Linotype" w:eastAsia="Palatino Linotype" w:hAnsi="Palatino Linotype" w:cs="Palatino Linotype"/>
          <w:b/>
          <w:bCs/>
        </w:rPr>
        <w:t>Tesorería Municipal</w:t>
      </w:r>
      <w:r w:rsidRPr="00E94A19">
        <w:rPr>
          <w:rFonts w:ascii="Palatino Linotype" w:eastAsia="Palatino Linotype" w:hAnsi="Palatino Linotype" w:cs="Palatino Linotype"/>
        </w:rPr>
        <w:t xml:space="preserve"> es la unidad administrativa encargada de Administrar la Hacienda Pública Municipal; Llevar los registros contables, financieros y administrativos de los ingresos y egresos; y En coordinación con la Unidad de Administración, llevar a cabo los procedimientos para la adquisición de los bienes y contratación de servicios.</w:t>
      </w:r>
    </w:p>
    <w:p w:rsidR="002D280C" w:rsidRPr="00E94A19" w:rsidRDefault="002D280C">
      <w:pPr>
        <w:spacing w:line="360" w:lineRule="auto"/>
        <w:ind w:right="-787"/>
        <w:jc w:val="both"/>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rPr>
        <w:t xml:space="preserve">De lo expuesto es de precisar que la respuesta fue emitida por la </w:t>
      </w:r>
      <w:r w:rsidRPr="00E94A19">
        <w:rPr>
          <w:rFonts w:ascii="Palatino Linotype" w:eastAsia="Palatino Linotype" w:hAnsi="Palatino Linotype" w:cs="Palatino Linotype"/>
          <w:b/>
          <w:bCs/>
        </w:rPr>
        <w:t>Dirección de Administración,</w:t>
      </w:r>
      <w:r w:rsidRPr="00E94A19">
        <w:rPr>
          <w:rFonts w:ascii="Palatino Linotype" w:eastAsia="Palatino Linotype" w:hAnsi="Palatino Linotype" w:cs="Palatino Linotype"/>
        </w:rPr>
        <w:t xml:space="preserve"> no obstante del análisis de la normatividad referida, de manera enunciativa más no limitativa la </w:t>
      </w:r>
      <w:r w:rsidRPr="00E94A19">
        <w:rPr>
          <w:rFonts w:ascii="Palatino Linotype" w:eastAsia="Palatino Linotype" w:hAnsi="Palatino Linotype" w:cs="Palatino Linotype"/>
          <w:b/>
          <w:bCs/>
        </w:rPr>
        <w:t>Tesorería Municipal</w:t>
      </w:r>
      <w:r w:rsidRPr="00E94A19">
        <w:rPr>
          <w:rFonts w:ascii="Palatino Linotype" w:eastAsia="Palatino Linotype" w:hAnsi="Palatino Linotype" w:cs="Palatino Linotype"/>
        </w:rPr>
        <w:t xml:space="preserve">, es otra área en las que pudiera obrar la información, por lo que podemos advertir que </w:t>
      </w:r>
      <w:r w:rsidRPr="00E94A19">
        <w:rPr>
          <w:rFonts w:ascii="Palatino Linotype" w:eastAsia="Palatino Linotype" w:hAnsi="Palatino Linotype" w:cs="Palatino Linotype"/>
          <w:b/>
          <w:bCs/>
        </w:rPr>
        <w:t xml:space="preserve">EL SUJETO OBLIGADO no </w:t>
      </w:r>
      <w:r w:rsidRPr="00E94A19">
        <w:rPr>
          <w:rFonts w:ascii="Palatino Linotype" w:eastAsia="Palatino Linotype" w:hAnsi="Palatino Linotype" w:cs="Palatino Linotype"/>
        </w:rPr>
        <w:t>siguió el procedimiento inmerso en la normatividad aplicable, ya que no turnó el requerimiento de información a las unidades administrativas competentes, vigilando lo establecido por el artículo 162 de la Ley de Transparencia y Acceso a la Información Pública del Estado de México y Municipios, al turnar la solicitud de información al área en la que pudiera obrar la información de conformidad con la fracción XXXIX del artículo tercero de la legislación local vigente en materia de transparencia:</w:t>
      </w:r>
    </w:p>
    <w:p w:rsidR="002D280C" w:rsidRPr="00E94A19" w:rsidRDefault="002178B2">
      <w:pPr>
        <w:ind w:left="567" w:right="62"/>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XXXIX.</w:t>
      </w:r>
      <w:r w:rsidRPr="00E94A19">
        <w:rPr>
          <w:rFonts w:ascii="Palatino Linotype" w:eastAsia="Palatino Linotype" w:hAnsi="Palatino Linotype" w:cs="Palatino Linotype"/>
          <w:i/>
          <w:iCs/>
        </w:rPr>
        <w:t xml:space="preserve"> </w:t>
      </w:r>
      <w:r w:rsidRPr="00E94A19">
        <w:rPr>
          <w:rFonts w:ascii="Palatino Linotype" w:eastAsia="Palatino Linotype" w:hAnsi="Palatino Linotype" w:cs="Palatino Linotype"/>
          <w:b/>
          <w:bCs/>
          <w:i/>
          <w:iCs/>
        </w:rPr>
        <w:t>Servidor público habilitado</w:t>
      </w:r>
      <w:r w:rsidRPr="00E94A19">
        <w:rPr>
          <w:rFonts w:ascii="Palatino Linotype" w:eastAsia="Palatino Linotype" w:hAnsi="Palatino Linotype" w:cs="Palatino Linotype"/>
          <w:i/>
          <w:iCs/>
        </w:rPr>
        <w:t>: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D280C" w:rsidRPr="00E94A19" w:rsidRDefault="002D280C">
      <w:pPr>
        <w:spacing w:line="360" w:lineRule="auto"/>
        <w:ind w:left="708" w:right="62"/>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rPr>
        <w:t xml:space="preserve">Así las cosas, se advierte que la Unidad de Transparencia  </w:t>
      </w:r>
      <w:r w:rsidRPr="00E94A19">
        <w:rPr>
          <w:rFonts w:ascii="Palatino Linotype" w:eastAsia="Palatino Linotype" w:hAnsi="Palatino Linotype" w:cs="Palatino Linotype"/>
          <w:b/>
          <w:bCs/>
        </w:rPr>
        <w:t>no cumplió</w:t>
      </w:r>
      <w:r w:rsidRPr="00E94A19">
        <w:rPr>
          <w:rFonts w:ascii="Palatino Linotype" w:eastAsia="Palatino Linotype" w:hAnsi="Palatino Linotype" w:cs="Palatino Linotype"/>
        </w:rPr>
        <w:t xml:space="preserve"> con lo establecido en el artículo 162 de la Ley de Transparencia y Acceso a la Información Pública del Estado de México y Municipios, el cual menciona lo siguiente:</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b/>
          <w:bCs/>
          <w:i/>
          <w:iCs/>
        </w:rPr>
        <w:t>Artículo 162.</w:t>
      </w:r>
      <w:r w:rsidRPr="00E94A19">
        <w:rPr>
          <w:rFonts w:ascii="Palatino Linotype" w:eastAsia="Palatino Linotype" w:hAnsi="Palatino Linotype" w:cs="Palatino Linotype"/>
          <w:i/>
          <w:iCs/>
        </w:rPr>
        <w:t xml:space="preserve"> Las unidades de transparencia deberán garantizar que las solicitudes se turnen a </w:t>
      </w:r>
      <w:r w:rsidRPr="00E94A19">
        <w:rPr>
          <w:rFonts w:ascii="Palatino Linotype" w:eastAsia="Palatino Linotype" w:hAnsi="Palatino Linotype" w:cs="Palatino Linotype"/>
          <w:b/>
          <w:bCs/>
          <w:i/>
          <w:iCs/>
        </w:rPr>
        <w:t>todas las Áreas competentes</w:t>
      </w:r>
      <w:r w:rsidRPr="00E94A19">
        <w:rPr>
          <w:rFonts w:ascii="Palatino Linotype" w:eastAsia="Palatino Linotype" w:hAnsi="Palatino Linotype" w:cs="Palatino Linotype"/>
          <w:i/>
          <w:iCs/>
        </w:rPr>
        <w:t xml:space="preserve"> que cuenten con la información o deban tenerla de </w:t>
      </w:r>
      <w:r w:rsidRPr="00E94A19">
        <w:rPr>
          <w:rFonts w:ascii="Palatino Linotype" w:eastAsia="Palatino Linotype" w:hAnsi="Palatino Linotype" w:cs="Palatino Linotype"/>
          <w:i/>
          <w:iCs/>
        </w:rPr>
        <w:lastRenderedPageBreak/>
        <w:t>acuerdo a sus facultades, competencias y funciones, con el objeto de que realicen una búsqueda exhaustiva y razonable de la información solicitada.”</w:t>
      </w:r>
    </w:p>
    <w:p w:rsidR="002D280C" w:rsidRPr="00E94A19" w:rsidRDefault="002D280C">
      <w:pPr>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rPr>
        <w:t xml:space="preserve">El buscar </w:t>
      </w:r>
      <w:r w:rsidRPr="00E94A19">
        <w:rPr>
          <w:rFonts w:ascii="Palatino Linotype" w:eastAsia="Palatino Linotype" w:hAnsi="Palatino Linotype" w:cs="Palatino Linotype"/>
          <w:color w:val="000000"/>
        </w:rPr>
        <w:t>exhaustivamente</w:t>
      </w:r>
      <w:r w:rsidRPr="00E94A19">
        <w:rPr>
          <w:rFonts w:ascii="Palatino Linotype" w:eastAsia="Palatino Linotype" w:hAnsi="Palatino Linotype" w:cs="Palatino Linotype"/>
        </w:rPr>
        <w:t xml:space="preserve"> en sus archivos, es identificar la unidad(s) administrativa(s) que resguardan el documento al que una persona pretende acceder, es practicar una adecuada gestión documental que nos permite localizar el documento, como bien señala el artículo 159, de la Ley de Transparencia;  por lo que, se puede apreciar que probablemente se cuente con la información solicitada.</w:t>
      </w:r>
    </w:p>
    <w:p w:rsidR="002D280C" w:rsidRPr="00E94A19" w:rsidRDefault="002D280C">
      <w:pPr>
        <w:spacing w:line="360" w:lineRule="auto"/>
        <w:ind w:right="-787"/>
        <w:jc w:val="both"/>
        <w:rPr>
          <w:rFonts w:ascii="Palatino Linotype" w:eastAsia="Palatino Linotype" w:hAnsi="Palatino Linotype" w:cs="Palatino Linotype"/>
          <w:b/>
          <w:bCs/>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rPr>
        <w:t xml:space="preserve">Por lo anterior, de la respuesta emitida a la solicitud de información, no se tiene la certeza de que efectivamente se haya llevado a cabo la búsqueda de lo requerido de manera razonable, en el soporte documental, electrónico, digital o cualquier otro que se albergan en los archivos de cada área que conforman al </w:t>
      </w:r>
      <w:r w:rsidRPr="00E94A19">
        <w:rPr>
          <w:rFonts w:ascii="Palatino Linotype" w:eastAsia="Palatino Linotype" w:hAnsi="Palatino Linotype" w:cs="Palatino Linotype"/>
          <w:b/>
          <w:bCs/>
        </w:rPr>
        <w:t>SUJETO OBLIGADO</w:t>
      </w:r>
      <w:r w:rsidRPr="00E94A19">
        <w:rPr>
          <w:rFonts w:ascii="Palatino Linotype" w:eastAsia="Palatino Linotype" w:hAnsi="Palatino Linotype" w:cs="Palatino Linotype"/>
        </w:rPr>
        <w:t xml:space="preserve"> y que derivado de sus funciones, atribuciones y competencias haya generado algún tipo de documento en el que se haya registrado lo solicitado. En ese sentido si no existe evidencia documental que acredite que en efecto, se haya realizado una búsqueda exhaustiva y razonable de lo solicitado, para poder confirmar que la respuesta es correcta.</w:t>
      </w:r>
    </w:p>
    <w:p w:rsidR="002D280C" w:rsidRPr="00E94A19" w:rsidRDefault="002D280C">
      <w:pPr>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color w:val="000000"/>
        </w:rPr>
      </w:pPr>
      <w:r w:rsidRPr="00E94A19">
        <w:rPr>
          <w:rFonts w:ascii="Palatino Linotype" w:eastAsia="Palatino Linotype" w:hAnsi="Palatino Linotype" w:cs="Palatino Linotype"/>
        </w:rPr>
        <w:t>Es</w:t>
      </w:r>
      <w:r w:rsidRPr="00E94A19">
        <w:rPr>
          <w:rFonts w:ascii="Palatino Linotype" w:eastAsia="Palatino Linotype" w:hAnsi="Palatino Linotype" w:cs="Palatino Linotype"/>
          <w:color w:val="000000"/>
        </w:rPr>
        <w:t xml:space="preserve">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w:t>
      </w:r>
      <w:r w:rsidRPr="00E94A19">
        <w:rPr>
          <w:rFonts w:ascii="Palatino Linotype" w:eastAsia="Palatino Linotype" w:hAnsi="Palatino Linotype" w:cs="Palatino Linotype"/>
          <w:color w:val="000000"/>
        </w:rPr>
        <w:lastRenderedPageBreak/>
        <w:t xml:space="preserve">sea escrito, impreso, sonoro, visual, electrónico, informático u holográfico, de conformidad con el artículo 3, fracción XI, de la Ley de la materia, el cual dispone lo siguiente: </w:t>
      </w:r>
    </w:p>
    <w:p w:rsidR="002D280C" w:rsidRPr="00E94A19" w:rsidRDefault="002178B2">
      <w:pPr>
        <w:ind w:left="567" w:right="-220"/>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w:t>
      </w:r>
      <w:r w:rsidRPr="00E94A19">
        <w:rPr>
          <w:rFonts w:ascii="Palatino Linotype" w:eastAsia="Palatino Linotype" w:hAnsi="Palatino Linotype" w:cs="Palatino Linotype"/>
          <w:b/>
          <w:bCs/>
          <w:i/>
          <w:iCs/>
          <w:color w:val="000000"/>
        </w:rPr>
        <w:t xml:space="preserve">Artículo 3. </w:t>
      </w:r>
      <w:r w:rsidRPr="00E94A19">
        <w:rPr>
          <w:rFonts w:ascii="Palatino Linotype" w:eastAsia="Palatino Linotype" w:hAnsi="Palatino Linotype" w:cs="Palatino Linotype"/>
          <w:i/>
          <w:iCs/>
          <w:color w:val="000000"/>
        </w:rPr>
        <w:t>Para los efectos de la presente Ley se entenderá por:</w:t>
      </w:r>
    </w:p>
    <w:p w:rsidR="002D280C" w:rsidRPr="00E94A19" w:rsidRDefault="002178B2">
      <w:pPr>
        <w:ind w:left="567" w:right="-220"/>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w:t>
      </w:r>
    </w:p>
    <w:p w:rsidR="002D280C" w:rsidRPr="00E94A19" w:rsidRDefault="002178B2">
      <w:pPr>
        <w:ind w:left="567" w:right="-220"/>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b/>
          <w:bCs/>
          <w:i/>
          <w:iCs/>
          <w:color w:val="000000"/>
        </w:rPr>
        <w:t>XI. Documento:</w:t>
      </w:r>
      <w:r w:rsidRPr="00E94A19">
        <w:rPr>
          <w:rFonts w:ascii="Palatino Linotype" w:eastAsia="Palatino Linotype" w:hAnsi="Palatino Linotype" w:cs="Palatino Linotype"/>
          <w:i/>
          <w:iCs/>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D280C" w:rsidRPr="00E94A19" w:rsidRDefault="002178B2">
      <w:pPr>
        <w:spacing w:line="360" w:lineRule="auto"/>
        <w:ind w:left="567" w:right="-220"/>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i/>
          <w:iCs/>
          <w:color w:val="000000"/>
        </w:rPr>
        <w:t>(…)”</w:t>
      </w:r>
    </w:p>
    <w:p w:rsidR="002D280C" w:rsidRPr="00E94A19" w:rsidRDefault="002D280C">
      <w:pPr>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color w:val="000000"/>
        </w:rPr>
      </w:pPr>
      <w:r w:rsidRPr="00E94A19">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2D280C" w:rsidRPr="00E94A19" w:rsidRDefault="002178B2">
      <w:pPr>
        <w:ind w:left="567" w:right="-220"/>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rPr>
        <w:t>“</w:t>
      </w:r>
      <w:r w:rsidRPr="00E94A19">
        <w:rPr>
          <w:rFonts w:ascii="Palatino Linotype" w:eastAsia="Palatino Linotype" w:hAnsi="Palatino Linotype" w:cs="Palatino Linotype"/>
          <w:b/>
          <w:bCs/>
          <w:i/>
          <w:iCs/>
        </w:rPr>
        <w:t>CRITERIO 0002-11</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INFORMACIÓN PÚBLICA, CONCEPTO DE, EN MATERIA DE TRANSPARENCIA. INTERPRETACIÓN SISTEMÁTICA DE LOS ARTÍCULOS 2°, FRACCIÓN V, XV, Y XVI, 3°, 4°, 11 Y 41.</w:t>
      </w:r>
      <w:r w:rsidRPr="00E94A19">
        <w:rPr>
          <w:rFonts w:ascii="Palatino Linotype" w:eastAsia="Palatino Linotype" w:hAnsi="Palatino Linotype" w:cs="Palatino Linotype"/>
          <w:i/>
          <w:iC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En consecuencia el acceso a la información se refiere a que se cumplan cualquiera de los siguientes tres supuestos:</w:t>
      </w:r>
    </w:p>
    <w:p w:rsidR="002D280C" w:rsidRPr="00E94A19" w:rsidRDefault="002178B2">
      <w:pPr>
        <w:ind w:left="567" w:right="-220"/>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1) </w:t>
      </w:r>
      <w:r w:rsidRPr="00E94A19">
        <w:rPr>
          <w:rFonts w:ascii="Palatino Linotype" w:eastAsia="Palatino Linotype" w:hAnsi="Palatino Linotype" w:cs="Palatino Linotype"/>
          <w:b/>
          <w:bCs/>
          <w:i/>
          <w:iCs/>
          <w:u w:val="single"/>
        </w:rPr>
        <w:t>Que se trate de información registrada en cualquier soporte documental, que en ejercicio de las atribuciones conferidas, sea generada por los Sujetos Obligados;</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2) Que se trate de información registrada en cualquier soporte documental, que en ejercicio de las atribuciones conferidas, sea administrada por los Sujetos Obligados, y</w:t>
      </w:r>
    </w:p>
    <w:p w:rsidR="002D280C" w:rsidRPr="00E94A19" w:rsidRDefault="002178B2">
      <w:pPr>
        <w:ind w:left="567"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lastRenderedPageBreak/>
        <w:t>3) Que se trate de información registrada en cualquier soporte documental, que en ejercicio de las atribuciones conferidas, se encuentre en posesión de los Sujetos Obligados.”</w:t>
      </w:r>
    </w:p>
    <w:p w:rsidR="002D280C" w:rsidRPr="00E94A19" w:rsidRDefault="002178B2">
      <w:pPr>
        <w:tabs>
          <w:tab w:val="left" w:pos="851"/>
        </w:tabs>
        <w:spacing w:line="360" w:lineRule="auto"/>
        <w:ind w:left="567" w:right="-220"/>
        <w:rPr>
          <w:rFonts w:ascii="Palatino Linotype" w:eastAsia="Palatino Linotype" w:hAnsi="Palatino Linotype" w:cs="Palatino Linotype"/>
        </w:rPr>
      </w:pPr>
      <w:r w:rsidRPr="00E94A19">
        <w:rPr>
          <w:rFonts w:ascii="Palatino Linotype" w:eastAsia="Palatino Linotype" w:hAnsi="Palatino Linotype" w:cs="Palatino Linotype"/>
        </w:rPr>
        <w:t>(Énfasis Añadido)</w:t>
      </w:r>
    </w:p>
    <w:p w:rsidR="002D280C" w:rsidRPr="00E94A19" w:rsidRDefault="002D280C">
      <w:pPr>
        <w:pBdr>
          <w:top w:val="nil"/>
          <w:left w:val="nil"/>
          <w:bottom w:val="nil"/>
          <w:right w:val="nil"/>
          <w:between w:val="nil"/>
        </w:pBdr>
        <w:ind w:right="-787"/>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color w:val="000000"/>
        </w:rPr>
      </w:pPr>
      <w:r w:rsidRPr="00E94A19">
        <w:rPr>
          <w:rFonts w:ascii="Palatino Linotype" w:eastAsia="Palatino Linotype" w:hAnsi="Palatino Linotype" w:cs="Palatino Linotype"/>
          <w:color w:val="000000"/>
        </w:rPr>
        <w:t>Por su parte los artículos 160 y 166, de la Ley local en la materia, que se reproduce de la siguiente forma:</w:t>
      </w:r>
    </w:p>
    <w:p w:rsidR="002D280C" w:rsidRPr="00E94A19" w:rsidRDefault="002178B2">
      <w:pPr>
        <w:ind w:left="566"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b/>
          <w:bCs/>
          <w:i/>
          <w:iCs/>
        </w:rPr>
        <w:t>Artículo 160.</w:t>
      </w:r>
      <w:r w:rsidRPr="00E94A19">
        <w:rPr>
          <w:rFonts w:ascii="Palatino Linotype" w:eastAsia="Palatino Linotype" w:hAnsi="Palatino Linotype" w:cs="Palatino Linotype"/>
          <w:i/>
          <w:iCs/>
        </w:rPr>
        <w:t xml:space="preserve"> </w:t>
      </w:r>
      <w:r w:rsidRPr="00E94A19">
        <w:rPr>
          <w:rFonts w:ascii="Palatino Linotype" w:eastAsia="Palatino Linotype" w:hAnsi="Palatino Linotype" w:cs="Palatino Linotype"/>
          <w:i/>
          <w:iCs/>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E94A19">
        <w:rPr>
          <w:rFonts w:ascii="Palatino Linotype" w:eastAsia="Palatino Linotype" w:hAnsi="Palatino Linotype" w:cs="Palatino Linotype"/>
          <w:i/>
          <w:iCs/>
        </w:rPr>
        <w:t>.</w:t>
      </w:r>
    </w:p>
    <w:p w:rsidR="002D280C" w:rsidRPr="00E94A19" w:rsidRDefault="002D280C">
      <w:pPr>
        <w:ind w:left="566" w:right="-220"/>
        <w:jc w:val="both"/>
        <w:rPr>
          <w:rFonts w:ascii="Palatino Linotype" w:eastAsia="Palatino Linotype" w:hAnsi="Palatino Linotype" w:cs="Palatino Linotype"/>
          <w:i/>
          <w:iCs/>
        </w:rPr>
      </w:pPr>
    </w:p>
    <w:p w:rsidR="002D280C" w:rsidRPr="00E94A19" w:rsidRDefault="002178B2">
      <w:pPr>
        <w:ind w:left="566" w:right="-22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En caso que la información solicitada consista en bases de datos se deberá privilegiar la entrega de la misma en formatos abiertos.</w:t>
      </w:r>
    </w:p>
    <w:p w:rsidR="002D280C" w:rsidRPr="00E94A19" w:rsidRDefault="002D280C">
      <w:pPr>
        <w:ind w:left="566" w:right="-220"/>
        <w:jc w:val="both"/>
        <w:rPr>
          <w:rFonts w:ascii="Palatino Linotype" w:eastAsia="Palatino Linotype" w:hAnsi="Palatino Linotype" w:cs="Palatino Linotype"/>
          <w:i/>
          <w:iCs/>
        </w:rPr>
      </w:pPr>
    </w:p>
    <w:p w:rsidR="002D280C" w:rsidRPr="00E94A19" w:rsidRDefault="002178B2">
      <w:pPr>
        <w:ind w:left="566" w:right="-220"/>
        <w:jc w:val="both"/>
        <w:rPr>
          <w:rFonts w:ascii="Palatino Linotype" w:eastAsia="Palatino Linotype" w:hAnsi="Palatino Linotype" w:cs="Palatino Linotype"/>
          <w:i/>
          <w:iCs/>
          <w:u w:val="single"/>
        </w:rPr>
      </w:pPr>
      <w:r w:rsidRPr="00E94A19">
        <w:rPr>
          <w:rFonts w:ascii="Palatino Linotype" w:eastAsia="Palatino Linotype" w:hAnsi="Palatino Linotype" w:cs="Palatino Linotype"/>
          <w:b/>
          <w:bCs/>
          <w:i/>
          <w:iCs/>
        </w:rPr>
        <w:t>Artículo 166.</w:t>
      </w:r>
      <w:r w:rsidRPr="00E94A19">
        <w:rPr>
          <w:rFonts w:ascii="Palatino Linotype" w:eastAsia="Palatino Linotype" w:hAnsi="Palatino Linotype" w:cs="Palatino Linotype"/>
          <w:i/>
          <w:iCs/>
        </w:rPr>
        <w:t xml:space="preserve"> </w:t>
      </w:r>
      <w:r w:rsidRPr="00E94A19">
        <w:rPr>
          <w:rFonts w:ascii="Palatino Linotype" w:eastAsia="Palatino Linotype" w:hAnsi="Palatino Linotype" w:cs="Palatino Linotype"/>
          <w:i/>
          <w:iCs/>
          <w:u w:val="single"/>
        </w:rPr>
        <w:t>La obligación de acceso a la información pública se tendrá por cumplida cuando el solicitante tenga a su disposición la información requerida, o cuando realice la consulta de la misma en el lugar en el que ésta se localice.</w:t>
      </w:r>
    </w:p>
    <w:p w:rsidR="002D280C" w:rsidRPr="00E94A19" w:rsidRDefault="002178B2">
      <w:pPr>
        <w:spacing w:line="360" w:lineRule="auto"/>
        <w:ind w:left="566" w:right="-220"/>
        <w:jc w:val="both"/>
        <w:rPr>
          <w:rFonts w:ascii="Palatino Linotype" w:eastAsia="Palatino Linotype" w:hAnsi="Palatino Linotype" w:cs="Palatino Linotype"/>
        </w:rPr>
      </w:pPr>
      <w:r w:rsidRPr="00E94A19">
        <w:rPr>
          <w:rFonts w:ascii="Palatino Linotype" w:eastAsia="Palatino Linotype" w:hAnsi="Palatino Linotype" w:cs="Palatino Linotype"/>
        </w:rPr>
        <w:t>(Énfasis añadido)</w:t>
      </w:r>
    </w:p>
    <w:p w:rsidR="002D280C" w:rsidRPr="00E94A19" w:rsidRDefault="002D280C">
      <w:pPr>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color w:val="000000"/>
        </w:rPr>
      </w:pPr>
      <w:r w:rsidRPr="00E94A19">
        <w:rPr>
          <w:rFonts w:ascii="Palatino Linotype" w:eastAsia="Palatino Linotype" w:hAnsi="Palatino Linotype" w:cs="Palatino Linotype"/>
          <w:color w:val="000000"/>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siempre y cuando así resultare procedente.</w:t>
      </w:r>
    </w:p>
    <w:p w:rsidR="002D280C" w:rsidRPr="00E94A19" w:rsidRDefault="002D280C">
      <w:pPr>
        <w:spacing w:line="360" w:lineRule="auto"/>
        <w:ind w:right="-787"/>
        <w:jc w:val="both"/>
        <w:rPr>
          <w:rFonts w:ascii="Palatino Linotype" w:eastAsia="Palatino Linotype" w:hAnsi="Palatino Linotype" w:cs="Palatino Linotype"/>
          <w:color w:val="000000"/>
        </w:rPr>
      </w:pPr>
    </w:p>
    <w:p w:rsidR="002D280C" w:rsidRPr="00E94A19" w:rsidRDefault="002178B2" w:rsidP="00E94A19">
      <w:pPr>
        <w:numPr>
          <w:ilvl w:val="0"/>
          <w:numId w:val="4"/>
        </w:numPr>
        <w:pBdr>
          <w:top w:val="nil"/>
          <w:left w:val="nil"/>
          <w:bottom w:val="nil"/>
          <w:right w:val="nil"/>
          <w:between w:val="nil"/>
        </w:pBdr>
        <w:tabs>
          <w:tab w:val="left" w:pos="0"/>
          <w:tab w:val="left" w:pos="567"/>
        </w:tabs>
        <w:spacing w:line="360" w:lineRule="auto"/>
        <w:ind w:left="-567" w:right="-788" w:firstLine="567"/>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b/>
          <w:bCs/>
          <w:color w:val="000000"/>
        </w:rPr>
        <w:t xml:space="preserve">De la naturaleza de la información solicitada. </w:t>
      </w: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color w:val="000000"/>
        </w:rPr>
        <w:t>Primeramente</w:t>
      </w:r>
      <w:r w:rsidRPr="00E94A19">
        <w:rPr>
          <w:rFonts w:ascii="Palatino Linotype" w:eastAsia="Palatino Linotype" w:hAnsi="Palatino Linotype" w:cs="Palatino Linotype"/>
        </w:rPr>
        <w:t xml:space="preserve">, se precisa que se obvia el análisis de la competencia por parte del </w:t>
      </w:r>
      <w:r w:rsidRPr="00E94A19">
        <w:rPr>
          <w:rFonts w:ascii="Palatino Linotype" w:eastAsia="Palatino Linotype" w:hAnsi="Palatino Linotype" w:cs="Palatino Linotype"/>
          <w:b/>
          <w:bCs/>
        </w:rPr>
        <w:t>SUJETO OBLIGADO</w:t>
      </w:r>
      <w:r w:rsidRPr="00E94A19">
        <w:rPr>
          <w:rFonts w:ascii="Palatino Linotype" w:eastAsia="Palatino Linotype" w:hAnsi="Palatino Linotype" w:cs="Palatino Linotype"/>
        </w:rPr>
        <w:t xml:space="preserve">, para generar, administrar o poseer la información solicitada, dado que éste ha asumido la misma, en razón de que en su respuesta admitió contar con dicha </w:t>
      </w:r>
      <w:r w:rsidRPr="00E94A19">
        <w:rPr>
          <w:rFonts w:ascii="Palatino Linotype" w:eastAsia="Palatino Linotype" w:hAnsi="Palatino Linotype" w:cs="Palatino Linotype"/>
        </w:rPr>
        <w:lastRenderedPageBreak/>
        <w:t xml:space="preserve">información, tan es así que remitió los acuerdos emitidos por el Comité de Transparencia en los que se confirma la clasificación de información como reservada, respecto de dos Contratos de Prestación de Servicios celebrados entre el Ayuntamiento de Jocotitlán y la empresa "Comercializadora Tolumex, S.A. de C.V.", de números </w:t>
      </w:r>
      <w:r w:rsidRPr="00E94A19">
        <w:rPr>
          <w:rFonts w:ascii="Palatino Linotype" w:eastAsia="Palatino Linotype" w:hAnsi="Palatino Linotype" w:cs="Palatino Linotype"/>
          <w:b/>
          <w:bCs/>
        </w:rPr>
        <w:t xml:space="preserve">ADM/P-FORTAMUNDF/LPN/01/015/2025 </w:t>
      </w:r>
      <w:r w:rsidRPr="00E94A19">
        <w:rPr>
          <w:rFonts w:ascii="Palatino Linotype" w:eastAsia="Palatino Linotype" w:hAnsi="Palatino Linotype" w:cs="Palatino Linotype"/>
        </w:rPr>
        <w:t>y</w:t>
      </w:r>
      <w:r w:rsidRPr="00E94A19">
        <w:rPr>
          <w:rFonts w:ascii="Palatino Linotype" w:eastAsia="Palatino Linotype" w:hAnsi="Palatino Linotype" w:cs="Palatino Linotype"/>
          <w:b/>
          <w:bCs/>
        </w:rPr>
        <w:t xml:space="preserve"> ADM/P-FORTAMUNDF/AD/013/2025</w:t>
      </w:r>
      <w:r w:rsidRPr="00E94A19">
        <w:rPr>
          <w:rFonts w:ascii="Palatino Linotype" w:eastAsia="Palatino Linotype" w:hAnsi="Palatino Linotype" w:cs="Palatino Linotype"/>
        </w:rPr>
        <w:t>.</w:t>
      </w:r>
    </w:p>
    <w:p w:rsidR="002D280C" w:rsidRPr="00E94A19" w:rsidRDefault="002D280C">
      <w:pPr>
        <w:tabs>
          <w:tab w:val="left" w:pos="0"/>
          <w:tab w:val="left" w:pos="567"/>
        </w:tabs>
        <w:spacing w:line="360" w:lineRule="auto"/>
        <w:ind w:left="-566"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pPr>
      <w:bookmarkStart w:id="7" w:name="_heading=h.2s8eyo1" w:colFirst="0" w:colLast="0"/>
      <w:bookmarkEnd w:id="7"/>
      <w:r w:rsidRPr="00E94A19">
        <w:rPr>
          <w:rFonts w:ascii="Palatino Linotype" w:eastAsia="Palatino Linotype" w:hAnsi="Palatino Linotype" w:cs="Palatino Linotype"/>
        </w:rPr>
        <w:t xml:space="preserve">En </w:t>
      </w:r>
      <w:r w:rsidRPr="00E94A19">
        <w:rPr>
          <w:rFonts w:ascii="Palatino Linotype" w:eastAsia="Palatino Linotype" w:hAnsi="Palatino Linotype" w:cs="Palatino Linotype"/>
          <w:color w:val="000000"/>
        </w:rPr>
        <w:t>efecto</w:t>
      </w:r>
      <w:r w:rsidRPr="00E94A19">
        <w:rPr>
          <w:rFonts w:ascii="Palatino Linotype" w:eastAsia="Palatino Linotype" w:hAnsi="Palatino Linotype" w:cs="Palatino Linotype"/>
        </w:rPr>
        <w:t xml:space="preserve">, el hecho de que </w:t>
      </w:r>
      <w:r w:rsidRPr="00E94A19">
        <w:rPr>
          <w:rFonts w:ascii="Palatino Linotype" w:eastAsia="Palatino Linotype" w:hAnsi="Palatino Linotype" w:cs="Palatino Linotype"/>
          <w:b/>
          <w:bCs/>
        </w:rPr>
        <w:t>EL SUJETO OBLIGADO</w:t>
      </w:r>
      <w:r w:rsidRPr="00E94A19">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2D280C" w:rsidRPr="00E94A19" w:rsidRDefault="002178B2">
      <w:pPr>
        <w:tabs>
          <w:tab w:val="left" w:pos="8505"/>
        </w:tabs>
        <w:ind w:left="709"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b/>
          <w:bCs/>
          <w:i/>
          <w:iCs/>
        </w:rPr>
        <w:t>Artículo 12.</w:t>
      </w:r>
      <w:r w:rsidRPr="00E94A19">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2D280C" w:rsidRPr="00E94A19" w:rsidRDefault="002D280C">
      <w:pPr>
        <w:tabs>
          <w:tab w:val="left" w:pos="8505"/>
        </w:tabs>
        <w:ind w:left="709" w:right="-858"/>
        <w:jc w:val="both"/>
        <w:rPr>
          <w:rFonts w:ascii="Palatino Linotype" w:eastAsia="Palatino Linotype" w:hAnsi="Palatino Linotype" w:cs="Palatino Linotype"/>
          <w:i/>
          <w:iCs/>
        </w:rPr>
      </w:pPr>
    </w:p>
    <w:p w:rsidR="002D280C" w:rsidRPr="00E94A19" w:rsidRDefault="002178B2">
      <w:pPr>
        <w:tabs>
          <w:tab w:val="left" w:pos="8505"/>
        </w:tabs>
        <w:ind w:left="709"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2D280C" w:rsidRPr="00E94A19" w:rsidRDefault="002D280C">
      <w:pPr>
        <w:pBdr>
          <w:top w:val="nil"/>
          <w:left w:val="nil"/>
          <w:bottom w:val="nil"/>
          <w:right w:val="nil"/>
          <w:between w:val="nil"/>
        </w:pBdr>
        <w:ind w:left="-566" w:right="-787"/>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rPr>
        <w:t>Así, el estudio de la naturaleza jurídica de la información pública solicitada, tiene por objeto determinar si ésta la genera, posee o administra </w:t>
      </w:r>
      <w:r w:rsidRPr="00E94A19">
        <w:rPr>
          <w:rFonts w:ascii="Palatino Linotype" w:eastAsia="Palatino Linotype" w:hAnsi="Palatino Linotype" w:cs="Palatino Linotype"/>
          <w:b/>
          <w:bCs/>
        </w:rPr>
        <w:t>EL SUJETO OBLIGADO</w:t>
      </w:r>
      <w:r w:rsidRPr="00E94A19">
        <w:rPr>
          <w:rFonts w:ascii="Palatino Linotype" w:eastAsia="Palatino Linotype" w:hAnsi="Palatino Linotype" w:cs="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2D280C" w:rsidRPr="00E94A19" w:rsidRDefault="002D280C">
      <w:pPr>
        <w:spacing w:line="360" w:lineRule="auto"/>
        <w:ind w:right="-787"/>
        <w:jc w:val="both"/>
        <w:rPr>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lastRenderedPageBreak/>
        <w:t xml:space="preserve">Ahora bien, de la </w:t>
      </w:r>
      <w:r w:rsidRPr="00E94A19">
        <w:rPr>
          <w:rFonts w:ascii="Palatino Linotype" w:eastAsia="Palatino Linotype" w:hAnsi="Palatino Linotype" w:cs="Palatino Linotype"/>
        </w:rPr>
        <w:t>respuesta</w:t>
      </w:r>
      <w:r w:rsidRPr="00E94A19">
        <w:rPr>
          <w:rFonts w:ascii="Palatino Linotype" w:eastAsia="Palatino Linotype" w:hAnsi="Palatino Linotype" w:cs="Palatino Linotype"/>
          <w:color w:val="000000"/>
        </w:rPr>
        <w:t xml:space="preserve"> proporcionada, se interpuso recurso de revisión argumentando sustancialmente la negativa de la información solicitada, posteriormente las partes fueron omisas en rendir manifestaciones, por lo que se estudiará la naturaleza jurídica dela información requerida.</w:t>
      </w:r>
    </w:p>
    <w:p w:rsidR="002D280C" w:rsidRPr="00E94A19" w:rsidRDefault="002D280C">
      <w:pPr>
        <w:ind w:right="-787"/>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i/>
          <w:iCs/>
          <w:u w:val="single"/>
        </w:rPr>
      </w:pPr>
      <w:r w:rsidRPr="00E94A19">
        <w:rPr>
          <w:rFonts w:ascii="Palatino Linotype" w:eastAsia="Palatino Linotype" w:hAnsi="Palatino Linotype" w:cs="Palatino Linotype"/>
        </w:rPr>
        <w:t xml:space="preserve">Es de </w:t>
      </w:r>
      <w:r w:rsidRPr="00E94A19">
        <w:rPr>
          <w:rFonts w:ascii="Palatino Linotype" w:eastAsia="Palatino Linotype" w:hAnsi="Palatino Linotype" w:cs="Palatino Linotype"/>
          <w:color w:val="000000"/>
        </w:rPr>
        <w:t>recordar</w:t>
      </w:r>
      <w:r w:rsidRPr="00E94A19">
        <w:rPr>
          <w:rFonts w:ascii="Palatino Linotype" w:eastAsia="Palatino Linotype" w:hAnsi="Palatino Linotype" w:cs="Palatino Linotype"/>
        </w:rPr>
        <w:t xml:space="preserve"> que el particular requirió </w:t>
      </w:r>
      <w:r w:rsidRPr="00E94A19">
        <w:rPr>
          <w:rFonts w:ascii="Palatino Linotype" w:eastAsia="Palatino Linotype" w:hAnsi="Palatino Linotype" w:cs="Palatino Linotype"/>
          <w:i/>
          <w:iCs/>
          <w:u w:val="single"/>
        </w:rPr>
        <w:t>Respecto del camión recolector de basura y el camión de bomberos: Contrato o convenio de adquisición y Factura de pago</w:t>
      </w:r>
      <w:r w:rsidRPr="00E94A19">
        <w:rPr>
          <w:rFonts w:ascii="Palatino Linotype" w:eastAsia="Palatino Linotype" w:hAnsi="Palatino Linotype" w:cs="Palatino Linotype"/>
        </w:rPr>
        <w:t>, por lo que se considera viable traer a contexto el estudio siguiente.</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Conforme al artículo 65 de la Ley de Contratación Pública del Estado de México y Municipios, </w:t>
      </w:r>
      <w:r w:rsidRPr="00E94A19">
        <w:rPr>
          <w:rFonts w:ascii="Palatino Linotype" w:eastAsia="Palatino Linotype" w:hAnsi="Palatino Linotype" w:cs="Palatino Linotype"/>
          <w:b/>
          <w:bCs/>
          <w:color w:val="000000"/>
        </w:rPr>
        <w:t>la adjudicación de un procedimiento de adquisición y arrendamiento de bienes y contratación de servicios se realizará mediante la suscripción de un contrato</w:t>
      </w:r>
      <w:r w:rsidRPr="00E94A19">
        <w:rPr>
          <w:rFonts w:ascii="Palatino Linotype" w:eastAsia="Palatino Linotype" w:hAnsi="Palatino Linotype" w:cs="Palatino Linotype"/>
          <w:color w:val="000000"/>
        </w:rPr>
        <w:t>, entre el Sujeto Obligado y la persona a la cual haya ganado el procedimiento respectivo, dentro de los diez días hábiles siguientes a la notificación del fallo.</w:t>
      </w:r>
    </w:p>
    <w:p w:rsidR="002D280C" w:rsidRPr="00E94A19" w:rsidRDefault="002D280C">
      <w:pPr>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color w:val="000000"/>
        </w:rPr>
        <w:t>Ahora</w:t>
      </w:r>
      <w:r w:rsidRPr="00E94A19">
        <w:rPr>
          <w:rFonts w:ascii="Palatino Linotype" w:eastAsia="Palatino Linotype" w:hAnsi="Palatino Linotype" w:cs="Palatino Linotype"/>
        </w:rPr>
        <w:t xml:space="preserve"> bien, por </w:t>
      </w:r>
      <w:r w:rsidRPr="00E94A19">
        <w:rPr>
          <w:rFonts w:ascii="Palatino Linotype" w:eastAsia="Palatino Linotype" w:hAnsi="Palatino Linotype" w:cs="Palatino Linotype"/>
          <w:color w:val="000000"/>
        </w:rPr>
        <w:t>cuanto</w:t>
      </w:r>
      <w:r w:rsidRPr="00E94A19">
        <w:rPr>
          <w:rFonts w:ascii="Palatino Linotype" w:eastAsia="Palatino Linotype" w:hAnsi="Palatino Linotype" w:cs="Palatino Linotype"/>
        </w:rPr>
        <w:t xml:space="preserve"> hace a los contratos que emanan de los procedimientos que regula la Ley de Contratación Pública del Estado de México y Municipios, el Reglamento de esta, establece que los instrumentos jurídicos vinculantes deberán reunir los siguientes elementos: </w:t>
      </w:r>
    </w:p>
    <w:p w:rsidR="002D280C" w:rsidRPr="00E94A19" w:rsidRDefault="002178B2">
      <w:pPr>
        <w:ind w:left="566" w:right="-716"/>
        <w:jc w:val="center"/>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“TÍTULO NOVENO</w:t>
      </w:r>
    </w:p>
    <w:p w:rsidR="002D280C" w:rsidRPr="00E94A19" w:rsidRDefault="002178B2">
      <w:pPr>
        <w:ind w:left="566" w:right="-716"/>
        <w:jc w:val="center"/>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DE LOS CONTRATOS</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Artículo 120.- Los contratos relacionados con las materias reguladas por la Ley referirán, como mínimo, lo siguiente:</w:t>
      </w:r>
      <w:r w:rsidRPr="00E94A19">
        <w:rPr>
          <w:rFonts w:ascii="Palatino Linotype" w:eastAsia="Palatino Linotype" w:hAnsi="Palatino Linotype" w:cs="Palatino Linotype"/>
          <w:i/>
          <w:iCs/>
        </w:rPr>
        <w:t xml:space="preserve">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 Objeto;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II. Fecha de suministro de los bienes o período de prestación del servicio;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III. Datos del procedimiento que dio origen al contrato;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IV. Importe total;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lastRenderedPageBreak/>
        <w:t xml:space="preserve">V. Porcentajes, número y fechas de las exhibiciones y amortización de los anticipos que se otorguen;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VI. Formalidades para el otorgamiento y cobro de garantías;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VII. Penas convencionales por causas imputables al proveedor o prestador del servicio, las que se determinarán en función del incumplimiento de las condiciones convenidas, y que en ningún caso podrán ser superiores, en su conjunto, al monto de la garantía de cumplimiento. Las dependencias, organismos auxiliares, tribunales administrativos y municipios deberán fijar los términos, forma y porcentajes para aplicar las penas convencionales;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VIII. Términos en que el proveedor o prestador del servicio, en su caso, reintegrará las cantidades que, en cualquier forma, hubiere recibido en exceso por la contratación;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IX. Causales por las que la Secretaría, organismos auxiliares, tribunales administrativos o municipios podrán dar por rescindido el contrato y sus efectos;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 Las consecuencias de la cancelación o terminación anticipada por causas imputables al proveedor o prestador del servicio;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 Señalamiento del domicilio de las partes, ubicado en el territorio del Estado, o bien, domicilio para oír y recibir notificaciones; y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XII. Renuncia expresa al fuero que les pudiera corresponder en función de su domicilio o vecindad presente o futuro.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Artículo 121.- </w:t>
      </w:r>
      <w:r w:rsidRPr="00E94A19">
        <w:rPr>
          <w:rFonts w:ascii="Palatino Linotype" w:eastAsia="Palatino Linotype" w:hAnsi="Palatino Linotype" w:cs="Palatino Linotype"/>
          <w:i/>
          <w:iCs/>
        </w:rPr>
        <w:t xml:space="preserve">Cuando el contrato sea adjudicado a varios participantes, deberá ser firmado por todos, especificando las obligaciones que a cada uno correspondan.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Artículo 122.- </w:t>
      </w:r>
      <w:r w:rsidRPr="00E94A19">
        <w:rPr>
          <w:rFonts w:ascii="Palatino Linotype" w:eastAsia="Palatino Linotype" w:hAnsi="Palatino Linotype" w:cs="Palatino Linotype"/>
          <w:i/>
          <w:iCs/>
        </w:rPr>
        <w:t xml:space="preserve">Cuando dentro del término establecido para ello, el contrato no sea firmado por la persona que resulte adjudicada, la convocante podrá adjudicarlo al oferente que haya presentado la propuesta económica solvente más cercana a la ganadora, y así sucesivamente; en todo caso, la diferencia de precio no deberá ser superior al diez por ciento, incluyendo el Impuesto al Valor Agregado, respecto de la propuesta ganadora.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Artículo 123.- </w:t>
      </w:r>
      <w:r w:rsidRPr="00E94A19">
        <w:rPr>
          <w:rFonts w:ascii="Palatino Linotype" w:eastAsia="Palatino Linotype" w:hAnsi="Palatino Linotype" w:cs="Palatino Linotype"/>
          <w:i/>
          <w:iCs/>
        </w:rPr>
        <w:t xml:space="preserve">El proveedor o prestador del servicio que desee transmitir sus derechos de cobro, deberá solicitar por escrito el consentimiento de la contratante, misma que resolverá lo procedente en un término de quince días naturales contados a partir de la presentación de dicha solicitud.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No se generará el pago de gastos o recargos por parte de la contratante, si durante el plazo para emitir la resolución de la transmisión de los derechos de cobro, se origina un retraso en el pago pactado.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Artículo 124.- </w:t>
      </w:r>
      <w:r w:rsidRPr="00E94A19">
        <w:rPr>
          <w:rFonts w:ascii="Palatino Linotype" w:eastAsia="Palatino Linotype" w:hAnsi="Palatino Linotype" w:cs="Palatino Linotype"/>
          <w:i/>
          <w:iCs/>
        </w:rPr>
        <w:t xml:space="preserve">En los contratos se establecerán los casos concretos en los que procederá la subcontratación, la cual invariablemente deberá ser autorizada de manera previa por la contratante; en el entendido de que en ningún caso los licitantes que hayan resultado adjudicados podrán subcontratar a personas físicas o jurídicas colectivas que hayan participado por sí mismos o a través de otros, en el mismo procedimiento licitatorio del que se derive dicho contrato.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lastRenderedPageBreak/>
        <w:t xml:space="preserve">Artículo 125.- </w:t>
      </w:r>
      <w:r w:rsidRPr="00E94A19">
        <w:rPr>
          <w:rFonts w:ascii="Palatino Linotype" w:eastAsia="Palatino Linotype" w:hAnsi="Palatino Linotype" w:cs="Palatino Linotype"/>
          <w:i/>
          <w:iCs/>
        </w:rPr>
        <w:t xml:space="preserve">La contratante en caso de ser necesario y se aseguren las mejores condiciones disponibles en cuanto precio, calidad, financiamiento, oportunidad y demás circunstancias pertinentes, podrá acordar conforme a las previsiones y disposiciones presupuestarias respectivas, incrementos en la cantidad de bienes adquiridos mediante modificaciones a sus contratos vigentes, dentro de los doce meses posteriores a su suscripción, siempre que el monto total de la modificación no rebase, en su conjunto, el treinta por ciento del importe original y el precio de los bienes sea igual al pactado inicialmente. El incremento se aplicará al importe total del contrato, independientemente de la cantidad de partidas que decidan ampliarse.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Igual porcentaje se aplicará a las modificaciones o prórrogas que se hagan respecto a la vigencia de los contratos de prestación de servicios.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Artículo 126.- </w:t>
      </w:r>
      <w:r w:rsidRPr="00E94A19">
        <w:rPr>
          <w:rFonts w:ascii="Palatino Linotype" w:eastAsia="Palatino Linotype" w:hAnsi="Palatino Linotype" w:cs="Palatino Linotype"/>
          <w:i/>
          <w:iCs/>
        </w:rPr>
        <w:t xml:space="preserve">Los contratos de inmuebles del dominio privado se regularán por las disposiciones de la Ley, este Reglamento, las normas, políticas, bases o lineamientos que expida la Secretaría y, supletoriamente, las del Código Civil del Estado de México, en lo conducente.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Artículo 127.- </w:t>
      </w:r>
      <w:r w:rsidRPr="00E94A19">
        <w:rPr>
          <w:rFonts w:ascii="Palatino Linotype" w:eastAsia="Palatino Linotype" w:hAnsi="Palatino Linotype" w:cs="Palatino Linotype"/>
          <w:i/>
          <w:iCs/>
        </w:rPr>
        <w:t xml:space="preserve">Las unidades administrativas usuarias deberán informar por escrito a la contratante, dentro de los cinco días hábiles siguientes contados a partir de la fecha indicada para el suministro de los bienes o prestación del servicio, sobre el cumplimiento o incumplimiento a las condiciones, características y especificaciones técnicas pactadas en los contratos respectivos.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Al escrito por medio del cual se informe el cumplimiento o incumplimiento del proveedor o prestador del servicio, se adjuntarán copia de las facturas que acrediten el suministro de los bienes o prestación de los servicios relativos. </w:t>
      </w:r>
    </w:p>
    <w:p w:rsidR="002D280C" w:rsidRPr="00E94A19" w:rsidRDefault="002178B2">
      <w:pPr>
        <w:ind w:left="566"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Lo anterior, podrá ser informado a través del sistema COMPRAMEX.”</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color w:val="000000"/>
        </w:rPr>
        <w:t xml:space="preserve">Luego </w:t>
      </w:r>
      <w:r w:rsidRPr="00E94A19">
        <w:rPr>
          <w:rFonts w:ascii="Palatino Linotype" w:eastAsia="Palatino Linotype" w:hAnsi="Palatino Linotype" w:cs="Palatino Linotype"/>
        </w:rPr>
        <w:t>entonces</w:t>
      </w:r>
      <w:r w:rsidRPr="00E94A19">
        <w:rPr>
          <w:rFonts w:ascii="Palatino Linotype" w:eastAsia="Palatino Linotype" w:hAnsi="Palatino Linotype" w:cs="Palatino Linotype"/>
          <w:color w:val="000000"/>
        </w:rPr>
        <w:t xml:space="preserve"> </w:t>
      </w:r>
      <w:r w:rsidRPr="00E94A19">
        <w:rPr>
          <w:rFonts w:ascii="Palatino Linotype" w:eastAsia="Palatino Linotype" w:hAnsi="Palatino Linotype" w:cs="Palatino Linotype"/>
          <w:b/>
          <w:bCs/>
          <w:color w:val="000000"/>
        </w:rPr>
        <w:t>la contratación de servicios se formalizará mediante la suscripción de un contrato</w:t>
      </w:r>
      <w:r w:rsidRPr="00E94A19">
        <w:rPr>
          <w:rFonts w:ascii="Palatino Linotype" w:eastAsia="Palatino Linotype" w:hAnsi="Palatino Linotype" w:cs="Palatino Linotype"/>
          <w:color w:val="000000"/>
        </w:rPr>
        <w:t>.</w:t>
      </w:r>
    </w:p>
    <w:p w:rsidR="002D280C" w:rsidRPr="00E94A19" w:rsidRDefault="002D280C">
      <w:pPr>
        <w:spacing w:line="360" w:lineRule="auto"/>
        <w:ind w:right="-93"/>
        <w:jc w:val="both"/>
        <w:rPr>
          <w:rFonts w:ascii="Palatino Linotype" w:eastAsia="Palatino Linotype" w:hAnsi="Palatino Linotype" w:cs="Palatino Linotype"/>
          <w:highlight w:val="yellow"/>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color w:val="000000"/>
        </w:rPr>
        <w:t>Ahora</w:t>
      </w:r>
      <w:r w:rsidRPr="00E94A19">
        <w:rPr>
          <w:rFonts w:ascii="Palatino Linotype" w:eastAsia="Palatino Linotype" w:hAnsi="Palatino Linotype" w:cs="Palatino Linotype"/>
        </w:rPr>
        <w:t xml:space="preserve"> bien, </w:t>
      </w:r>
      <w:r w:rsidRPr="00E94A19">
        <w:rPr>
          <w:rFonts w:ascii="Palatino Linotype" w:eastAsia="Palatino Linotype" w:hAnsi="Palatino Linotype" w:cs="Palatino Linotype"/>
          <w:b/>
          <w:bCs/>
        </w:rPr>
        <w:t>respecto de los documentos que acrediten la erogación de un gasto</w:t>
      </w:r>
      <w:r w:rsidRPr="00E94A19">
        <w:rPr>
          <w:rFonts w:ascii="Palatino Linotype" w:eastAsia="Palatino Linotype" w:hAnsi="Palatino Linotype" w:cs="Palatino Linotype"/>
        </w:rPr>
        <w:t xml:space="preserve">, resulta necesario traer a </w:t>
      </w:r>
      <w:r w:rsidRPr="00E94A19">
        <w:rPr>
          <w:rFonts w:ascii="Palatino Linotype" w:eastAsia="Palatino Linotype" w:hAnsi="Palatino Linotype" w:cs="Palatino Linotype"/>
          <w:color w:val="000000"/>
        </w:rPr>
        <w:t>contexto</w:t>
      </w:r>
      <w:r w:rsidRPr="00E94A19">
        <w:rPr>
          <w:rFonts w:ascii="Palatino Linotype" w:eastAsia="Palatino Linotype" w:hAnsi="Palatino Linotype" w:cs="Palatino Linotype"/>
        </w:rPr>
        <w:t xml:space="preserve">, la Resolución Miscelánea Fiscal, establece que la </w:t>
      </w:r>
      <w:r w:rsidRPr="00E94A19">
        <w:rPr>
          <w:rFonts w:ascii="Palatino Linotype" w:eastAsia="Palatino Linotype" w:hAnsi="Palatino Linotype" w:cs="Palatino Linotype"/>
          <w:b/>
          <w:bCs/>
        </w:rPr>
        <w:t>factura</w:t>
      </w:r>
      <w:r w:rsidRPr="00E94A19">
        <w:rPr>
          <w:rFonts w:ascii="Palatino Linotype" w:eastAsia="Palatino Linotype" w:hAnsi="Palatino Linotype" w:cs="Palatino Linotype"/>
        </w:rPr>
        <w:t xml:space="preserve"> es lo mismo, que un Comprobante Fiscal Digital por Internet, por lo que, se puede considerar como el documento que comprueba la realización de una transacción</w:t>
      </w:r>
      <w:r w:rsidRPr="00E94A19">
        <w:rPr>
          <w:rFonts w:ascii="Palatino Linotype" w:eastAsia="Palatino Linotype" w:hAnsi="Palatino Linotype" w:cs="Palatino Linotype"/>
          <w:b/>
          <w:bCs/>
        </w:rPr>
        <w:t xml:space="preserve"> </w:t>
      </w:r>
      <w:r w:rsidRPr="00E94A19">
        <w:rPr>
          <w:rFonts w:ascii="Palatino Linotype" w:eastAsia="Palatino Linotype" w:hAnsi="Palatino Linotype" w:cs="Palatino Linotype"/>
        </w:rPr>
        <w:t>comercial, entre un comprador y un vendedor, mediante el cual, el primero queda obligado a realizar un pago, mientras que el segundo, a entregar o brindar un producto o servicio.</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Ahora bien, resulta importante señalar que este término se encuentra definido en el Glosario de Términos Hacendarios que emite el Instituto Hacendario del Estado de México, el cual expresa lo siguiente:</w:t>
      </w:r>
    </w:p>
    <w:p w:rsidR="002D280C" w:rsidRPr="00E94A19" w:rsidRDefault="002178B2">
      <w:pPr>
        <w:ind w:left="851" w:right="851"/>
        <w:jc w:val="both"/>
        <w:rPr>
          <w:rFonts w:ascii="Palatino Linotype" w:eastAsia="Palatino Linotype" w:hAnsi="Palatino Linotype" w:cs="Palatino Linotype"/>
          <w:b/>
          <w:bCs/>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b/>
          <w:bCs/>
          <w:i/>
          <w:iCs/>
        </w:rPr>
        <w:t>FACTURA</w:t>
      </w:r>
    </w:p>
    <w:p w:rsidR="002D280C" w:rsidRPr="00E94A19" w:rsidRDefault="002178B2">
      <w:pPr>
        <w:ind w:left="851" w:right="851"/>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Es el documento fiscal que emite la persona física o moral para </w:t>
      </w:r>
      <w:r w:rsidRPr="00E94A19">
        <w:rPr>
          <w:rFonts w:ascii="Palatino Linotype" w:eastAsia="Palatino Linotype" w:hAnsi="Palatino Linotype" w:cs="Palatino Linotype"/>
          <w:b/>
          <w:bCs/>
          <w:i/>
          <w:iCs/>
          <w:u w:val="single"/>
        </w:rPr>
        <w:t>comprobar la venta o adquisición de un bien y/o servicio</w:t>
      </w:r>
      <w:r w:rsidRPr="00E94A19">
        <w:rPr>
          <w:rFonts w:ascii="Palatino Linotype" w:eastAsia="Palatino Linotype" w:hAnsi="Palatino Linotype" w:cs="Palatino Linotype"/>
          <w:i/>
          <w:iCs/>
        </w:rPr>
        <w:t>.” (Sic)</w:t>
      </w:r>
    </w:p>
    <w:p w:rsidR="002D280C" w:rsidRDefault="002D280C">
      <w:pPr>
        <w:ind w:left="851" w:right="851"/>
        <w:jc w:val="both"/>
        <w:rPr>
          <w:rFonts w:ascii="Palatino Linotype" w:eastAsia="Palatino Linotype" w:hAnsi="Palatino Linotype" w:cs="Palatino Linotype"/>
          <w:i/>
          <w:iCs/>
        </w:rPr>
      </w:pPr>
    </w:p>
    <w:p w:rsidR="00E94A19" w:rsidRPr="00E94A19" w:rsidRDefault="00E94A19">
      <w:pPr>
        <w:ind w:left="851" w:right="851"/>
        <w:jc w:val="both"/>
        <w:rPr>
          <w:rFonts w:ascii="Palatino Linotype" w:eastAsia="Palatino Linotype" w:hAnsi="Palatino Linotype" w:cs="Palatino Linotype"/>
          <w:i/>
          <w:iCs/>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Es de señalarse que </w:t>
      </w:r>
      <w:r w:rsidRPr="00E94A19">
        <w:rPr>
          <w:rFonts w:ascii="Palatino Linotype" w:eastAsia="Palatino Linotype" w:hAnsi="Palatino Linotype" w:cs="Palatino Linotype"/>
          <w:b/>
          <w:bCs/>
        </w:rPr>
        <w:t>las facturas o comprobantes que amparan las erogaciones que se realizan con erario público tienen naturaleza pública</w:t>
      </w:r>
      <w:r w:rsidRPr="00E94A19">
        <w:rPr>
          <w:rFonts w:ascii="Palatino Linotype" w:eastAsia="Palatino Linotype" w:hAnsi="Palatino Linotype" w:cs="Palatino Linotype"/>
        </w:rPr>
        <w:t xml:space="preserve"> pues, constituyen los medios idóneos de evidencia del gasto realizado con recursos públicos, de ahí que convenga precisar que la Constitución Política del Estado Libre y Soberano de México en su artículo 129 señala que l</w:t>
      </w:r>
      <w:r w:rsidRPr="00E94A19">
        <w:rPr>
          <w:rFonts w:ascii="Palatino Linotype" w:eastAsia="Palatino Linotype" w:hAnsi="Palatino Linotype" w:cs="Palatino Linotype"/>
          <w:color w:val="000000"/>
        </w:rPr>
        <w:t xml:space="preserve">os recursos económicos del Estado, de los Municipios, así como de los Organismos Autónomos, se administrarán con eficiencia, eficacia y honradez, para cumplir con los objetivos y programas a los que estén destinados. </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En ese </w:t>
      </w:r>
      <w:r w:rsidRPr="00E94A19">
        <w:rPr>
          <w:rFonts w:ascii="Palatino Linotype" w:eastAsia="Palatino Linotype" w:hAnsi="Palatino Linotype" w:cs="Palatino Linotype"/>
          <w:color w:val="000000"/>
        </w:rPr>
        <w:t>contexto</w:t>
      </w:r>
      <w:r w:rsidRPr="00E94A19">
        <w:rPr>
          <w:rFonts w:ascii="Palatino Linotype" w:eastAsia="Palatino Linotype" w:hAnsi="Palatino Linotype" w:cs="Palatino Linotype"/>
        </w:rPr>
        <w:t xml:space="preserve">, es de referir que de conformidad con  los artículos 342, 343, 344 y 345 del Código </w:t>
      </w:r>
      <w:r w:rsidRPr="00E94A19">
        <w:rPr>
          <w:rFonts w:ascii="Palatino Linotype" w:eastAsia="Palatino Linotype" w:hAnsi="Palatino Linotype" w:cs="Palatino Linotype"/>
          <w:color w:val="000000"/>
        </w:rPr>
        <w:t>Financiero</w:t>
      </w:r>
      <w:r w:rsidRPr="00E94A19">
        <w:rPr>
          <w:rFonts w:ascii="Palatino Linotype" w:eastAsia="Palatino Linotype" w:hAnsi="Palatino Linotype" w:cs="Palatino Linotype"/>
        </w:rPr>
        <w:t xml:space="preserve"> del Estado de México y Municipios, disponen el sistema y las políticas que deben seguirse para llevar el </w:t>
      </w:r>
      <w:r w:rsidRPr="00E94A19">
        <w:rPr>
          <w:rFonts w:ascii="Palatino Linotype" w:eastAsia="Palatino Linotype" w:hAnsi="Palatino Linotype" w:cs="Palatino Linotype"/>
          <w:b/>
          <w:bCs/>
        </w:rPr>
        <w:t>registro contable y presupuestal de las operaciones financieras</w:t>
      </w:r>
      <w:r w:rsidRPr="00E94A19">
        <w:rPr>
          <w:rFonts w:ascii="Palatino Linotype" w:eastAsia="Palatino Linotype" w:hAnsi="Palatino Linotype" w:cs="Palatino Linotype"/>
        </w:rPr>
        <w:t>, en los siguientes términos:</w:t>
      </w: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Artículo 342.-</w:t>
      </w:r>
      <w:r w:rsidRPr="00E94A19">
        <w:rPr>
          <w:rFonts w:ascii="Palatino Linotype" w:eastAsia="Palatino Linotype" w:hAnsi="Palatino Linotype" w:cs="Palatino Linotype"/>
          <w:i/>
          <w:iCs/>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2D280C" w:rsidRPr="00E94A19" w:rsidRDefault="002D280C">
      <w:pPr>
        <w:ind w:left="567" w:right="-858"/>
        <w:jc w:val="both"/>
        <w:rPr>
          <w:rFonts w:ascii="Palatino Linotype" w:eastAsia="Palatino Linotype" w:hAnsi="Palatino Linotype" w:cs="Palatino Linotype"/>
          <w:i/>
          <w:iCs/>
        </w:rPr>
      </w:pP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En el caso de los municipios</w:t>
      </w:r>
      <w:r w:rsidRPr="00E94A19">
        <w:rPr>
          <w:rFonts w:ascii="Palatino Linotype" w:eastAsia="Palatino Linotype" w:hAnsi="Palatino Linotype" w:cs="Palatino Linotype"/>
          <w:i/>
          <w:iCs/>
        </w:rPr>
        <w:t>,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rsidR="002D280C" w:rsidRPr="00E94A19" w:rsidRDefault="002D280C">
      <w:pPr>
        <w:ind w:left="567" w:right="-858"/>
        <w:jc w:val="both"/>
        <w:rPr>
          <w:rFonts w:ascii="Palatino Linotype" w:eastAsia="Palatino Linotype" w:hAnsi="Palatino Linotype" w:cs="Palatino Linotype"/>
          <w:i/>
          <w:iCs/>
        </w:rPr>
      </w:pP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lastRenderedPageBreak/>
        <w:t>Artículo 343.-</w:t>
      </w:r>
      <w:r w:rsidRPr="00E94A19">
        <w:rPr>
          <w:rFonts w:ascii="Palatino Linotype" w:eastAsia="Palatino Linotype" w:hAnsi="Palatino Linotype" w:cs="Palatino Linotype"/>
          <w:i/>
          <w:iCs/>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El sistema de contabilidad sobre base acumulativa total, se sustentará en las normas emitidas por el Consejo Nacional de Armonización Contable.</w:t>
      </w:r>
    </w:p>
    <w:p w:rsidR="002D280C" w:rsidRPr="00E94A19" w:rsidRDefault="002D280C">
      <w:pPr>
        <w:ind w:left="567" w:right="-858"/>
        <w:jc w:val="both"/>
        <w:rPr>
          <w:rFonts w:ascii="Palatino Linotype" w:eastAsia="Palatino Linotype" w:hAnsi="Palatino Linotype" w:cs="Palatino Linotype"/>
          <w:b/>
          <w:bCs/>
          <w:i/>
          <w:iCs/>
        </w:rPr>
      </w:pPr>
    </w:p>
    <w:p w:rsidR="002D280C" w:rsidRPr="00E94A19" w:rsidRDefault="002178B2">
      <w:pPr>
        <w:ind w:left="567" w:right="-858"/>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Artículo 344.- Los Entes Públicos, a través de cualquiera de sus unidades administrativas, de acuerdo con su naturaleza jurídica y según corresponda, registrarán contablemente el efecto patrimonial y presupuestal de las operaciones financieras que realicen</w:t>
      </w:r>
      <w:r w:rsidRPr="00E94A19">
        <w:rPr>
          <w:rFonts w:ascii="Palatino Linotype" w:eastAsia="Palatino Linotype" w:hAnsi="Palatino Linotype" w:cs="Palatino Linotype"/>
          <w:i/>
          <w:iCs/>
        </w:rPr>
        <w:t>, en el momento en que ocurran, con base en el sistema y políticas de registro establecidas, en el caso de los Municipios, se hará por la Tesorería.</w:t>
      </w:r>
    </w:p>
    <w:p w:rsidR="002D280C" w:rsidRPr="00E94A19" w:rsidRDefault="002D280C">
      <w:pPr>
        <w:ind w:left="567" w:right="-858"/>
        <w:jc w:val="both"/>
        <w:rPr>
          <w:rFonts w:ascii="Palatino Linotype" w:eastAsia="Palatino Linotype" w:hAnsi="Palatino Linotype" w:cs="Palatino Linotype"/>
          <w:b/>
          <w:bCs/>
          <w:i/>
          <w:iCs/>
        </w:rPr>
      </w:pPr>
    </w:p>
    <w:p w:rsidR="002D280C" w:rsidRPr="00E94A19" w:rsidRDefault="002178B2">
      <w:pPr>
        <w:ind w:left="567" w:right="-858"/>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Todo registro contable y presupuestal deberá estar soportado con los documentos de registro, justificativos y comprobatorios originales, </w:t>
      </w:r>
      <w:r w:rsidRPr="00E94A19">
        <w:rPr>
          <w:rFonts w:ascii="Palatino Linotype" w:eastAsia="Palatino Linotype" w:hAnsi="Palatino Linotype" w:cs="Palatino Linotype"/>
          <w:i/>
          <w:iCs/>
        </w:rPr>
        <w:t xml:space="preserve">en copias certificadas o en medios electrónicos, según corresponda, los que deberán permanecer en custodia y conservación de los Entes Públicos ejecutores del gasto, a través de las unidades administrativas correspondientes de conformidad con las disposiciones aplicables y a disposición de los Órganos de Fiscalización locales y federales, de acuerdo a su naturaleza, así como de los órganos internos de control; por un término de 6 años, contados a partir del ejercicio presupuestal siguiente al que corresponda. En el caso de los Municipios, dicha obligación corresponderá a la Tesorería. </w:t>
      </w: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ind w:left="567" w:right="-858"/>
        <w:jc w:val="both"/>
        <w:rPr>
          <w:rFonts w:ascii="Palatino Linotype" w:eastAsia="Palatino Linotype" w:hAnsi="Palatino Linotype" w:cs="Palatino Linotype"/>
          <w:b/>
          <w:bCs/>
          <w:i/>
          <w:iCs/>
        </w:rPr>
      </w:pP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Artículo 345.-</w:t>
      </w:r>
      <w:r w:rsidRPr="00E94A19">
        <w:rPr>
          <w:rFonts w:ascii="Palatino Linotype" w:eastAsia="Palatino Linotype" w:hAnsi="Palatino Linotype" w:cs="Palatino Linotype"/>
          <w:i/>
          <w:iCs/>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registro contable.</w:t>
      </w:r>
    </w:p>
    <w:p w:rsidR="002D280C" w:rsidRPr="00E94A19" w:rsidRDefault="002D280C">
      <w:pPr>
        <w:ind w:left="567" w:right="-858"/>
        <w:jc w:val="both"/>
        <w:rPr>
          <w:rFonts w:ascii="Palatino Linotype" w:eastAsia="Palatino Linotype" w:hAnsi="Palatino Linotype" w:cs="Palatino Linotype"/>
          <w:i/>
          <w:iCs/>
        </w:rPr>
      </w:pP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Los poderes Legislativo y Judicial, los Organismos Autónomos y las Entidades Públicas, de acuerdo con su naturaleza jurídica y según corresponda, deberán conservar la documentación contable del año en curso y la de ejercicios anteriores</w:t>
      </w:r>
      <w:r w:rsidRPr="00E94A19">
        <w:rPr>
          <w:rFonts w:ascii="Palatino Linotype" w:eastAsia="Palatino Linotype" w:hAnsi="Palatino Linotype" w:cs="Palatino Linotype"/>
          <w:i/>
          <w:iCs/>
        </w:rPr>
        <w:t>, cuyas cuentas públicas hayan sido revisadas y fiscalizadas, en sus propios Archivos Contables. Tratándose de los comprobantes fiscales digitales, estos deberán estar agregados en forma electrónica a cada póliza de registro contable.</w:t>
      </w:r>
    </w:p>
    <w:p w:rsidR="002D280C" w:rsidRPr="00E94A19" w:rsidRDefault="002D280C">
      <w:pPr>
        <w:ind w:left="567" w:right="-858"/>
        <w:jc w:val="both"/>
        <w:rPr>
          <w:rFonts w:ascii="Palatino Linotype" w:eastAsia="Palatino Linotype" w:hAnsi="Palatino Linotype" w:cs="Palatino Linotype"/>
          <w:i/>
          <w:iCs/>
        </w:rPr>
      </w:pPr>
    </w:p>
    <w:p w:rsidR="002D280C" w:rsidRPr="00E94A19" w:rsidRDefault="002178B2">
      <w:pPr>
        <w:ind w:left="567" w:right="-858"/>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lastRenderedPageBreak/>
        <w:t>El plazo señalado en este artículo empezará a contar a partir de la publicación en el Periódico Oficial, del decreto correspondiente</w:t>
      </w:r>
      <w:r w:rsidRPr="00E94A19">
        <w:rPr>
          <w:rFonts w:ascii="Palatino Linotype" w:eastAsia="Palatino Linotype" w:hAnsi="Palatino Linotype" w:cs="Palatino Linotype"/>
          <w:b/>
          <w:bCs/>
          <w:i/>
          <w:iCs/>
        </w:rPr>
        <w:t xml:space="preserve"> </w:t>
      </w:r>
    </w:p>
    <w:p w:rsidR="002D280C" w:rsidRPr="00E94A19" w:rsidRDefault="002D280C">
      <w:pPr>
        <w:spacing w:line="360" w:lineRule="auto"/>
        <w:ind w:right="-93"/>
        <w:jc w:val="both"/>
        <w:rPr>
          <w:rFonts w:ascii="Palatino Linotype" w:eastAsia="Palatino Linotype" w:hAnsi="Palatino Linotype" w:cs="Palatino Linotype"/>
          <w:i/>
          <w:iCs/>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De una </w:t>
      </w:r>
      <w:r w:rsidRPr="00E94A19">
        <w:rPr>
          <w:rFonts w:ascii="Palatino Linotype" w:eastAsia="Palatino Linotype" w:hAnsi="Palatino Linotype" w:cs="Palatino Linotype"/>
          <w:color w:val="000000"/>
        </w:rPr>
        <w:t>interpretación</w:t>
      </w:r>
      <w:r w:rsidRPr="00E94A19">
        <w:rPr>
          <w:rFonts w:ascii="Palatino Linotype" w:eastAsia="Palatino Linotype" w:hAnsi="Palatino Linotype" w:cs="Palatino Linotype"/>
        </w:rPr>
        <w:t xml:space="preserve">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2D280C" w:rsidRPr="00E94A19" w:rsidRDefault="002D280C">
      <w:pPr>
        <w:spacing w:line="360" w:lineRule="auto"/>
        <w:ind w:right="-93"/>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Al respecto, si bien es cierto que el Código Financiero del Estado de México y Municipios establece la </w:t>
      </w:r>
      <w:r w:rsidRPr="00E94A19">
        <w:rPr>
          <w:rFonts w:ascii="Palatino Linotype" w:eastAsia="Palatino Linotype" w:hAnsi="Palatino Linotype" w:cs="Palatino Linotype"/>
          <w:color w:val="000000"/>
        </w:rPr>
        <w:t>obligación</w:t>
      </w:r>
      <w:r w:rsidRPr="00E94A19">
        <w:rPr>
          <w:rFonts w:ascii="Palatino Linotype" w:eastAsia="Palatino Linotype" w:hAnsi="Palatino Linotype" w:cs="Palatino Linotype"/>
        </w:rPr>
        <w:t xml:space="preserve"> a los Municipios para llevar los registros contables y presupuestales; también lo es que, dicho ordenamiento jurídico no establece que debemos entender por registro contable y presupuestal; sin embargo, el “</w:t>
      </w:r>
      <w:r w:rsidRPr="00E94A19">
        <w:rPr>
          <w:rFonts w:ascii="Palatino Linotype" w:eastAsia="Palatino Linotype" w:hAnsi="Palatino Linotype" w:cs="Palatino Linotype"/>
          <w:i/>
          <w:iCs/>
        </w:rPr>
        <w:t>Glosario de Términos para el Proceso de Planeación, Programación, Presupuestación y Evaluación en la Administración Pública”</w:t>
      </w:r>
      <w:r w:rsidRPr="00E94A19">
        <w:rPr>
          <w:rFonts w:ascii="Palatino Linotype" w:eastAsia="Palatino Linotype" w:hAnsi="Palatino Linotype" w:cs="Palatino Linotype"/>
        </w:rPr>
        <w:t>,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w:t>
      </w:r>
    </w:p>
    <w:p w:rsidR="002D280C" w:rsidRPr="00E94A19" w:rsidRDefault="002178B2">
      <w:pPr>
        <w:ind w:left="1134" w:right="900"/>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REGISTRO CONTABLE. </w:t>
      </w:r>
      <w:r w:rsidRPr="00E94A19">
        <w:rPr>
          <w:rFonts w:ascii="Palatino Linotype" w:eastAsia="Palatino Linotype" w:hAnsi="Palatino Linotype" w:cs="Palatino Linotype"/>
          <w:i/>
          <w:iCs/>
        </w:rPr>
        <w:t>Asiento que se realiza en los libros de contabilidad de las actividades relacionadas con el ingreso y egresos de un ente económico.</w:t>
      </w:r>
    </w:p>
    <w:p w:rsidR="002D280C" w:rsidRPr="00E94A19" w:rsidRDefault="002D280C">
      <w:pPr>
        <w:ind w:left="1134" w:right="900"/>
        <w:jc w:val="both"/>
        <w:rPr>
          <w:rFonts w:ascii="Palatino Linotype" w:eastAsia="Palatino Linotype" w:hAnsi="Palatino Linotype" w:cs="Palatino Linotype"/>
          <w:i/>
          <w:iCs/>
        </w:rPr>
      </w:pPr>
    </w:p>
    <w:p w:rsidR="002D280C" w:rsidRPr="00E94A19" w:rsidRDefault="002178B2">
      <w:pPr>
        <w:ind w:left="1134" w:right="900"/>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REGISTRO PRESUPUESTARIO. </w:t>
      </w:r>
      <w:r w:rsidRPr="00E94A19">
        <w:rPr>
          <w:rFonts w:ascii="Palatino Linotype" w:eastAsia="Palatino Linotype" w:hAnsi="Palatino Linotype" w:cs="Palatino Linotype"/>
          <w:i/>
          <w:iCs/>
        </w:rPr>
        <w:t>Asiento contable de las erogaciones realizadas por las dependencias y entidades con relación a la asignación, modificación y ejercicio de los recursos presupuestarios que se les hayan autorizado.</w:t>
      </w:r>
    </w:p>
    <w:p w:rsidR="002D280C" w:rsidRPr="00E94A19" w:rsidRDefault="002D280C">
      <w:pPr>
        <w:spacing w:line="360" w:lineRule="auto"/>
        <w:jc w:val="both"/>
        <w:rPr>
          <w:rFonts w:ascii="Palatino Linotype" w:eastAsia="Palatino Linotype" w:hAnsi="Palatino Linotype" w:cs="Palatino Linotype"/>
          <w:highlight w:val="yellow"/>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 xml:space="preserve">En este sentido, </w:t>
      </w:r>
      <w:r w:rsidRPr="00E94A19">
        <w:rPr>
          <w:rFonts w:ascii="Palatino Linotype" w:eastAsia="Palatino Linotype" w:hAnsi="Palatino Linotype" w:cs="Palatino Linotype"/>
          <w:color w:val="000000"/>
        </w:rPr>
        <w:t>cabe</w:t>
      </w:r>
      <w:r w:rsidRPr="00E94A19">
        <w:rPr>
          <w:rFonts w:ascii="Palatino Linotype" w:eastAsia="Palatino Linotype" w:hAnsi="Palatino Linotype" w:cs="Palatino Linotype"/>
        </w:rPr>
        <w:t xml:space="preserve"> referir que la Ley de Fiscalización Superior del Estado de México prevé en su artículo 4 que los Poderes Públicos del Estado son considerados entes fiscalizables, tal como se observa a continuación:</w:t>
      </w:r>
    </w:p>
    <w:p w:rsidR="002D280C" w:rsidRPr="00E94A19" w:rsidRDefault="002178B2">
      <w:pPr>
        <w:ind w:left="1134" w:right="900"/>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Artículo 4.</w:t>
      </w:r>
      <w:r w:rsidRPr="00E94A19">
        <w:rPr>
          <w:rFonts w:ascii="Palatino Linotype" w:eastAsia="Palatino Linotype" w:hAnsi="Palatino Linotype" w:cs="Palatino Linotype"/>
          <w:i/>
          <w:iCs/>
        </w:rPr>
        <w:t xml:space="preserve"> Son sujetos de fiscalización:</w:t>
      </w:r>
    </w:p>
    <w:p w:rsidR="002D280C" w:rsidRPr="00E94A19" w:rsidRDefault="002178B2">
      <w:pPr>
        <w:ind w:left="1134" w:right="90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I. Los Poderes Públicos del Estado;</w:t>
      </w:r>
    </w:p>
    <w:p w:rsidR="002D280C" w:rsidRPr="00E94A19" w:rsidRDefault="002178B2">
      <w:pPr>
        <w:ind w:left="1134" w:right="900"/>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II. Los municipios del Estado de México;</w:t>
      </w:r>
    </w:p>
    <w:p w:rsidR="002D280C" w:rsidRPr="00E94A19" w:rsidRDefault="002178B2">
      <w:pPr>
        <w:ind w:left="1134" w:right="90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Asimismo, el ordenamiento legal referido señala en su artículo 8, fracción XI lo siguiente: </w:t>
      </w:r>
    </w:p>
    <w:p w:rsidR="002D280C" w:rsidRPr="00E94A19" w:rsidRDefault="002D280C">
      <w:pPr>
        <w:ind w:left="1134" w:right="900"/>
        <w:jc w:val="both"/>
        <w:rPr>
          <w:rFonts w:ascii="Palatino Linotype" w:eastAsia="Palatino Linotype" w:hAnsi="Palatino Linotype" w:cs="Palatino Linotype"/>
        </w:rPr>
      </w:pPr>
    </w:p>
    <w:p w:rsidR="002D280C" w:rsidRPr="00E94A19" w:rsidRDefault="002178B2">
      <w:pPr>
        <w:ind w:left="1134" w:right="90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Artículo 8. El Órgano Superior tendrá las siguientes atribuciones:</w:t>
      </w:r>
    </w:p>
    <w:p w:rsidR="002D280C" w:rsidRPr="00E94A19" w:rsidRDefault="002178B2">
      <w:pPr>
        <w:ind w:left="1134" w:right="90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178B2">
      <w:pPr>
        <w:ind w:left="1134" w:right="900"/>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XI. </w:t>
      </w:r>
      <w:r w:rsidRPr="00E94A19">
        <w:rPr>
          <w:rFonts w:ascii="Palatino Linotype" w:eastAsia="Palatino Linotype" w:hAnsi="Palatino Linotype" w:cs="Palatino Linotype"/>
          <w:b/>
          <w:bCs/>
          <w:i/>
          <w:iCs/>
        </w:rPr>
        <w:t>Establecer los lineamientos, criterios, procedimientos, métodos y sistemas para las acciones de control y evaluación, necesarios para la fiscalización de las cuentas públicas y los informes trimestrales</w:t>
      </w:r>
      <w:r w:rsidRPr="00E94A19">
        <w:rPr>
          <w:rFonts w:ascii="Palatino Linotype" w:eastAsia="Palatino Linotype" w:hAnsi="Palatino Linotype" w:cs="Palatino Linotype"/>
          <w:i/>
          <w:iCs/>
        </w:rPr>
        <w:t xml:space="preserve">…” </w:t>
      </w:r>
    </w:p>
    <w:p w:rsidR="002D280C" w:rsidRPr="00E94A19" w:rsidRDefault="002D280C">
      <w:pPr>
        <w:tabs>
          <w:tab w:val="left" w:pos="284"/>
        </w:tabs>
        <w:spacing w:line="360" w:lineRule="auto"/>
        <w:jc w:val="both"/>
        <w:rPr>
          <w:rFonts w:ascii="Palatino Linotype" w:eastAsia="Palatino Linotype" w:hAnsi="Palatino Linotype" w:cs="Palatino Linotype"/>
          <w:highlight w:val="yellow"/>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De la normatividad previamente plasmada,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2D280C" w:rsidRPr="00E94A19" w:rsidRDefault="002D280C">
      <w:pPr>
        <w:ind w:right="-788"/>
        <w:jc w:val="both"/>
        <w:rPr>
          <w:rFonts w:ascii="Palatino Linotype" w:eastAsia="Palatino Linotype" w:hAnsi="Palatino Linotype" w:cs="Palatino Linotype"/>
          <w:i/>
          <w:iCs/>
        </w:rPr>
      </w:pPr>
    </w:p>
    <w:p w:rsidR="002D280C" w:rsidRPr="00E94A19" w:rsidRDefault="002D280C">
      <w:pPr>
        <w:pBdr>
          <w:top w:val="nil"/>
          <w:left w:val="nil"/>
          <w:bottom w:val="nil"/>
          <w:right w:val="nil"/>
          <w:between w:val="nil"/>
        </w:pBdr>
        <w:rPr>
          <w:rFonts w:ascii="Palatino Linotype" w:eastAsia="Palatino Linotype" w:hAnsi="Palatino Linotype" w:cs="Palatino Linotype"/>
          <w:highlight w:val="green"/>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En razón de lo expuesto, los sujetos obligados deberán hacer pública toda aquella información relativa a los montos y las personas a quienes entreguen, por cualquier motivo, recursos públicos y en consecuencia, los servidores públicos deberán transparentar sus acciones así como garantizar y respetar el derecho de acceso a la información pública.</w:t>
      </w:r>
    </w:p>
    <w:p w:rsidR="002D280C" w:rsidRPr="00E94A19" w:rsidRDefault="002D280C">
      <w:pPr>
        <w:spacing w:line="360" w:lineRule="auto"/>
        <w:ind w:right="-787"/>
        <w:jc w:val="both"/>
        <w:rPr>
          <w:rFonts w:ascii="Palatino Linotype" w:eastAsia="Palatino Linotype" w:hAnsi="Palatino Linotype" w:cs="Palatino Linotype"/>
          <w:u w:val="singl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Ahora bien, es de recordar que el Sujeto Obligado erróneamente pretendió clasificar la información como reservada, basando su fundamentación y motivación de manera principal </w:t>
      </w:r>
      <w:r w:rsidRPr="00E94A19">
        <w:rPr>
          <w:rFonts w:ascii="Palatino Linotype" w:eastAsia="Palatino Linotype" w:hAnsi="Palatino Linotype" w:cs="Palatino Linotype"/>
        </w:rPr>
        <w:lastRenderedPageBreak/>
        <w:t>que los procedimientos no se encuentran concluidos, argumento que no puede tenerse por válido, y a nada práctico conduciría el análisis de la prueba de daño presentada por el Sujeto Obligado, toda vez que para llegar a la firma de un contrato de prestación de bienes y servicios, se debieron agotar todas la etapas de un procedimiento de adquisición, y adjudicar el contrato al licitante ganador.</w:t>
      </w:r>
    </w:p>
    <w:p w:rsidR="002D280C" w:rsidRPr="00E94A19" w:rsidRDefault="002D280C">
      <w:pPr>
        <w:spacing w:line="360" w:lineRule="auto"/>
        <w:ind w:right="-787"/>
        <w:jc w:val="both"/>
        <w:rPr>
          <w:rFonts w:ascii="Palatino Linotype" w:eastAsia="Palatino Linotype" w:hAnsi="Palatino Linotype" w:cs="Palatino Linotype"/>
          <w:highlight w:val="cyan"/>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En este mismo sentido se tiene como obligación de transparencia común la de poner a disposición la información relativa a las concesiones, </w:t>
      </w:r>
      <w:r w:rsidRPr="00E94A19">
        <w:rPr>
          <w:rFonts w:ascii="Palatino Linotype" w:eastAsia="Palatino Linotype" w:hAnsi="Palatino Linotype" w:cs="Palatino Linotype"/>
          <w:b/>
          <w:bCs/>
        </w:rPr>
        <w:t>contratos</w:t>
      </w:r>
      <w:r w:rsidRPr="00E94A19">
        <w:rPr>
          <w:rFonts w:ascii="Palatino Linotype" w:eastAsia="Palatino Linotype" w:hAnsi="Palatino Linotype" w:cs="Palatino Linotype"/>
        </w:rPr>
        <w:t>,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 tal como lo señala el artículo 92, de la Ley de Transparencia y Acceso a la Información Pública del Estado de México y Municipios:</w:t>
      </w:r>
    </w:p>
    <w:p w:rsidR="002D280C" w:rsidRPr="00E94A19" w:rsidRDefault="002178B2">
      <w:pPr>
        <w:ind w:left="1134" w:right="-574"/>
        <w:jc w:val="center"/>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De las Obligaciones de Transparencia Comunes</w:t>
      </w:r>
    </w:p>
    <w:p w:rsidR="002D280C" w:rsidRPr="00E94A19" w:rsidRDefault="002D280C">
      <w:pPr>
        <w:ind w:left="1134" w:right="-574"/>
        <w:jc w:val="both"/>
        <w:rPr>
          <w:rFonts w:ascii="Palatino Linotype" w:eastAsia="Palatino Linotype" w:hAnsi="Palatino Linotype" w:cs="Palatino Linotype"/>
          <w:i/>
          <w:iCs/>
        </w:rPr>
      </w:pP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Artículo 92</w:t>
      </w:r>
      <w:r w:rsidRPr="00E94A19">
        <w:rPr>
          <w:rFonts w:ascii="Palatino Linotype" w:eastAsia="Palatino Linotype" w:hAnsi="Palatino Linotype" w:cs="Palatino Linotype"/>
          <w:i/>
          <w:iC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XXIX</w:t>
      </w:r>
      <w:r w:rsidRPr="00E94A19">
        <w:rPr>
          <w:rFonts w:ascii="Palatino Linotype" w:eastAsia="Palatino Linotype" w:hAnsi="Palatino Linotype" w:cs="Palatino Linotype"/>
          <w:i/>
          <w:iCs/>
        </w:rPr>
        <w:t xml:space="preserve">. </w:t>
      </w:r>
      <w:r w:rsidRPr="00E94A19">
        <w:rPr>
          <w:rFonts w:ascii="Palatino Linotype" w:eastAsia="Palatino Linotype" w:hAnsi="Palatino Linotype" w:cs="Palatino Linotype"/>
          <w:b/>
          <w:bCs/>
          <w:i/>
          <w:iCs/>
        </w:rPr>
        <w:t xml:space="preserve">La información sobre los procesos y resultados sobre procedimientos de adjudicación directa, invitación restringida y licitación de cualquier naturaleza, </w:t>
      </w:r>
      <w:r w:rsidRPr="00E94A19">
        <w:rPr>
          <w:rFonts w:ascii="Palatino Linotype" w:eastAsia="Palatino Linotype" w:hAnsi="Palatino Linotype" w:cs="Palatino Linotype"/>
          <w:b/>
          <w:bCs/>
          <w:i/>
          <w:iCs/>
          <w:u w:val="single"/>
        </w:rPr>
        <w:t>incluyendo la versión pública</w:t>
      </w:r>
      <w:r w:rsidRPr="00E94A19">
        <w:rPr>
          <w:rFonts w:ascii="Palatino Linotype" w:eastAsia="Palatino Linotype" w:hAnsi="Palatino Linotype" w:cs="Palatino Linotype"/>
          <w:b/>
          <w:bCs/>
          <w:i/>
          <w:iCs/>
        </w:rPr>
        <w:t xml:space="preserve"> del expediente respectivo y </w:t>
      </w:r>
      <w:r w:rsidRPr="00E94A19">
        <w:rPr>
          <w:rFonts w:ascii="Palatino Linotype" w:eastAsia="Palatino Linotype" w:hAnsi="Palatino Linotype" w:cs="Palatino Linotype"/>
          <w:b/>
          <w:bCs/>
          <w:i/>
          <w:iCs/>
          <w:u w:val="single"/>
        </w:rPr>
        <w:t>de los contratos celebrados</w:t>
      </w:r>
      <w:r w:rsidRPr="00E94A19">
        <w:rPr>
          <w:rFonts w:ascii="Palatino Linotype" w:eastAsia="Palatino Linotype" w:hAnsi="Palatino Linotype" w:cs="Palatino Linotype"/>
          <w:i/>
          <w:iCs/>
        </w:rPr>
        <w:t xml:space="preserve">, que deberán contener, por los menos, lo siguiente: </w:t>
      </w:r>
    </w:p>
    <w:p w:rsidR="002D280C" w:rsidRPr="00E94A19" w:rsidRDefault="002D280C">
      <w:pPr>
        <w:ind w:left="1134" w:right="-574"/>
        <w:jc w:val="both"/>
        <w:rPr>
          <w:rFonts w:ascii="Palatino Linotype" w:eastAsia="Palatino Linotype" w:hAnsi="Palatino Linotype" w:cs="Palatino Linotype"/>
          <w:i/>
          <w:iCs/>
        </w:rPr>
      </w:pPr>
    </w:p>
    <w:p w:rsidR="002D280C" w:rsidRPr="00E94A19" w:rsidRDefault="002178B2">
      <w:pPr>
        <w:ind w:left="1134" w:right="-574"/>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a) De licitaciones públicas o procedimientos de invitación restringida: </w:t>
      </w:r>
    </w:p>
    <w:p w:rsidR="002D280C" w:rsidRPr="00E94A19" w:rsidRDefault="002D280C">
      <w:pPr>
        <w:ind w:left="1134" w:right="-574"/>
        <w:jc w:val="both"/>
        <w:rPr>
          <w:rFonts w:ascii="Palatino Linotype" w:eastAsia="Palatino Linotype" w:hAnsi="Palatino Linotype" w:cs="Palatino Linotype"/>
          <w:i/>
          <w:iCs/>
        </w:rPr>
      </w:pP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 La convocatoria o invitación emitida, así como los fundamentos legales aplicados para llevarla a cabo;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lastRenderedPageBreak/>
        <w:t xml:space="preserve">2) Los nombres de los participantes o invitados;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3) El nombre del ganador y las razones que lo justifican;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4) El área solicitante y la responsable de su ejecución;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5) Las convocatorias e invitaciones emitidas;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6) Los dictámenes y fallo de adjudicación;</w:t>
      </w:r>
    </w:p>
    <w:p w:rsidR="002D280C" w:rsidRPr="00E94A19" w:rsidRDefault="002178B2">
      <w:pPr>
        <w:ind w:left="1134" w:right="-574"/>
        <w:jc w:val="both"/>
        <w:rPr>
          <w:rFonts w:ascii="Palatino Linotype" w:eastAsia="Palatino Linotype" w:hAnsi="Palatino Linotype" w:cs="Palatino Linotype"/>
          <w:b/>
          <w:bCs/>
          <w:i/>
          <w:iCs/>
          <w:u w:val="single"/>
        </w:rPr>
      </w:pPr>
      <w:r w:rsidRPr="00E94A19">
        <w:rPr>
          <w:rFonts w:ascii="Palatino Linotype" w:eastAsia="Palatino Linotype" w:hAnsi="Palatino Linotype" w:cs="Palatino Linotype"/>
          <w:b/>
          <w:bCs/>
          <w:i/>
          <w:iCs/>
          <w:u w:val="single"/>
        </w:rPr>
        <w:t xml:space="preserve">7) El contrato y, en su caso, sus anexos;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9) La partida presupuestal, de conformidad con el clasificador por objeto del gasto, en el caso de ser aplicable;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10) Origen de los recursos especificando si son federales, estatales o municipales, así como el tipo de fondo de participación o aportación respectiva;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11) Los convenios modificatorios que, en su caso, sean firmados, precisando el objeto y la fecha de celebración;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12) Los informes de avance físico y financiero sobre las obras o servicios contratados;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13) El convenio de terminación; y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14) El finiquito. </w:t>
      </w:r>
    </w:p>
    <w:p w:rsidR="002D280C" w:rsidRPr="00E94A19" w:rsidRDefault="002D280C">
      <w:pPr>
        <w:ind w:left="1134" w:right="-574"/>
        <w:jc w:val="both"/>
        <w:rPr>
          <w:rFonts w:ascii="Palatino Linotype" w:eastAsia="Palatino Linotype" w:hAnsi="Palatino Linotype" w:cs="Palatino Linotype"/>
          <w:i/>
          <w:iCs/>
        </w:rPr>
      </w:pPr>
    </w:p>
    <w:p w:rsidR="002D280C" w:rsidRPr="00E94A19" w:rsidRDefault="002178B2">
      <w:pPr>
        <w:ind w:left="1134" w:right="-574"/>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b) De las adjudicaciones directas: </w:t>
      </w:r>
    </w:p>
    <w:p w:rsidR="002D280C" w:rsidRPr="00E94A19" w:rsidRDefault="002D280C">
      <w:pPr>
        <w:ind w:left="1134" w:right="-574"/>
        <w:jc w:val="both"/>
        <w:rPr>
          <w:rFonts w:ascii="Palatino Linotype" w:eastAsia="Palatino Linotype" w:hAnsi="Palatino Linotype" w:cs="Palatino Linotype"/>
          <w:i/>
          <w:iCs/>
        </w:rPr>
      </w:pP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 La propuesta enviada por el participante;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2) Los motivos y fundamentos legales aplicados para llevarla a cabo;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3) La autorización del ejercicio de la opción;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4) En su caso, las cotizaciones consideradas, especificando los nombres de los proveedores y sus montos;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5) El nombre de la persona física o jurídica colectiva adjudicada;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6) La unidad administrativa solicitante y la responsable de su ejecución;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7) El número, fecha, el monto del contrato</w:t>
      </w:r>
      <w:r w:rsidRPr="00E94A19">
        <w:rPr>
          <w:rFonts w:ascii="Palatino Linotype" w:eastAsia="Palatino Linotype" w:hAnsi="Palatino Linotype" w:cs="Palatino Linotype"/>
          <w:i/>
          <w:iCs/>
        </w:rPr>
        <w:t xml:space="preserve"> y el plazo de entrega o de ejecución de los servicios u obra;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8) Los mecanismos de vigilancia y supervisión, incluyendo, en su caso, los estudios de impacto urbano y ambiental, según corresponda;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9) Los informes de avance sobre las obras o servicios contratados;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10) El convenio de terminación; y </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11) El finiquito.</w:t>
      </w:r>
    </w:p>
    <w:p w:rsidR="002D280C" w:rsidRPr="00E94A19" w:rsidRDefault="002D280C">
      <w:pPr>
        <w:ind w:left="1134" w:right="-574"/>
        <w:jc w:val="both"/>
        <w:rPr>
          <w:rFonts w:ascii="Palatino Linotype" w:eastAsia="Palatino Linotype" w:hAnsi="Palatino Linotype" w:cs="Palatino Linotype"/>
          <w:i/>
          <w:iCs/>
        </w:rPr>
      </w:pP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ind w:left="1134" w:right="-574"/>
        <w:jc w:val="both"/>
        <w:rPr>
          <w:rFonts w:ascii="Palatino Linotype" w:eastAsia="Palatino Linotype" w:hAnsi="Palatino Linotype" w:cs="Palatino Linotype"/>
          <w:i/>
          <w:iCs/>
        </w:rPr>
      </w:pP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XXXII</w:t>
      </w:r>
      <w:r w:rsidRPr="00E94A19">
        <w:rPr>
          <w:rFonts w:ascii="Palatino Linotype" w:eastAsia="Palatino Linotype" w:hAnsi="Palatino Linotype" w:cs="Palatino Linotype"/>
          <w:i/>
          <w:iCs/>
        </w:rPr>
        <w:t xml:space="preserve">. Las concesiones, </w:t>
      </w:r>
      <w:r w:rsidRPr="00E94A19">
        <w:rPr>
          <w:rFonts w:ascii="Palatino Linotype" w:eastAsia="Palatino Linotype" w:hAnsi="Palatino Linotype" w:cs="Palatino Linotype"/>
          <w:b/>
          <w:bCs/>
          <w:i/>
          <w:iCs/>
        </w:rPr>
        <w:t>contratos</w:t>
      </w:r>
      <w:r w:rsidRPr="00E94A19">
        <w:rPr>
          <w:rFonts w:ascii="Palatino Linotype" w:eastAsia="Palatino Linotype" w:hAnsi="Palatino Linotype" w:cs="Palatino Linotype"/>
          <w:i/>
          <w:iCs/>
        </w:rPr>
        <w:t xml:space="preserve">, convenios, permisos, licencias o autorizaciones otorgados, especificando los titulares de aquéllos, debiendo publicarse su objeto, nombre o razón social del titular, vigencia, tipo, términos, condiciones, monto y modificaciones, </w:t>
      </w:r>
      <w:r w:rsidRPr="00E94A19">
        <w:rPr>
          <w:rFonts w:ascii="Palatino Linotype" w:eastAsia="Palatino Linotype" w:hAnsi="Palatino Linotype" w:cs="Palatino Linotype"/>
          <w:b/>
          <w:bCs/>
          <w:i/>
          <w:iCs/>
        </w:rPr>
        <w:t>así como si el procedimiento involucra el aprovechamiento de bienes, servicios y/o recursos públicos</w:t>
      </w:r>
      <w:r w:rsidRPr="00E94A19">
        <w:rPr>
          <w:rFonts w:ascii="Palatino Linotype" w:eastAsia="Palatino Linotype" w:hAnsi="Palatino Linotype" w:cs="Palatino Linotype"/>
          <w:i/>
          <w:iCs/>
        </w:rPr>
        <w:t>;</w:t>
      </w:r>
    </w:p>
    <w:p w:rsidR="002D280C" w:rsidRPr="00E94A19" w:rsidRDefault="002178B2">
      <w:pPr>
        <w:ind w:left="1134" w:right="-574"/>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pBdr>
          <w:top w:val="nil"/>
          <w:left w:val="nil"/>
          <w:bottom w:val="nil"/>
          <w:right w:val="nil"/>
          <w:between w:val="nil"/>
        </w:pBdr>
        <w:spacing w:line="360" w:lineRule="auto"/>
        <w:ind w:right="-787"/>
        <w:jc w:val="both"/>
        <w:rPr>
          <w:rFonts w:ascii="Palatino Linotype" w:eastAsia="Palatino Linotype" w:hAnsi="Palatino Linotype" w:cs="Palatino Linotype"/>
          <w:highlight w:val="cyan"/>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Es así que </w:t>
      </w:r>
      <w:r w:rsidRPr="00E94A19">
        <w:rPr>
          <w:rFonts w:ascii="Palatino Linotype" w:eastAsia="Palatino Linotype" w:hAnsi="Palatino Linotype" w:cs="Palatino Linotype"/>
        </w:rPr>
        <w:t>existe</w:t>
      </w:r>
      <w:r w:rsidRPr="00E94A19">
        <w:rPr>
          <w:rFonts w:ascii="Palatino Linotype" w:eastAsia="Palatino Linotype" w:hAnsi="Palatino Linotype" w:cs="Palatino Linotype"/>
          <w:color w:val="000000"/>
        </w:rPr>
        <w:t xml:space="preserve"> la obligación de publicitar la información que involucra recursos públicos, como lo son los contratos derivados de un procedimiento de adquisición y el documento que ampara las erogaciones realizadas con erario público, al ser información que resulta relevante y beneficiosa para la sociedad y no simplemente de interés individual, cuya divulgación resulta útil para que el público comprenda las actividades que llevan a cabo los sujetos obligados.</w:t>
      </w:r>
    </w:p>
    <w:p w:rsidR="002D280C" w:rsidRPr="00E94A19" w:rsidRDefault="002D280C">
      <w:pPr>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En consecuencia, el </w:t>
      </w:r>
      <w:r w:rsidRPr="00E94A19">
        <w:rPr>
          <w:rFonts w:ascii="Palatino Linotype" w:eastAsia="Palatino Linotype" w:hAnsi="Palatino Linotype" w:cs="Palatino Linotype"/>
          <w:b/>
          <w:bCs/>
          <w:color w:val="000000"/>
        </w:rPr>
        <w:t>SUJETO OBLIGADO</w:t>
      </w:r>
      <w:r w:rsidRPr="00E94A19">
        <w:rPr>
          <w:rFonts w:ascii="Palatino Linotype" w:eastAsia="Palatino Linotype" w:hAnsi="Palatino Linotype" w:cs="Palatino Linotype"/>
          <w:color w:val="000000"/>
        </w:rPr>
        <w:t xml:space="preserve"> deberá realizar una </w:t>
      </w:r>
      <w:r w:rsidRPr="00E94A19">
        <w:rPr>
          <w:rFonts w:ascii="Palatino Linotype" w:eastAsia="Palatino Linotype" w:hAnsi="Palatino Linotype" w:cs="Palatino Linotype"/>
          <w:b/>
          <w:bCs/>
          <w:color w:val="000000"/>
        </w:rPr>
        <w:t>nueva búsqueda exhaustiva y razonable</w:t>
      </w:r>
      <w:r w:rsidRPr="00E94A19">
        <w:rPr>
          <w:rFonts w:ascii="Palatino Linotype" w:eastAsia="Palatino Linotype" w:hAnsi="Palatino Linotype" w:cs="Palatino Linotype"/>
          <w:color w:val="000000"/>
        </w:rPr>
        <w:t xml:space="preserve"> en las unidades administrativas que de conformidad a sus funciones y atribuciones posean, administren o generen la información, con la finalidad de entregar la que resulta de interés para </w:t>
      </w:r>
      <w:r w:rsidRPr="00E94A19">
        <w:rPr>
          <w:rFonts w:ascii="Palatino Linotype" w:eastAsia="Palatino Linotype" w:hAnsi="Palatino Linotype" w:cs="Palatino Linotype"/>
          <w:b/>
          <w:bCs/>
          <w:color w:val="000000"/>
        </w:rPr>
        <w:t>EL RECURRENTE</w:t>
      </w:r>
      <w:r w:rsidRPr="00E94A19">
        <w:rPr>
          <w:rFonts w:ascii="Palatino Linotype" w:eastAsia="Palatino Linotype" w:hAnsi="Palatino Linotype" w:cs="Palatino Linotype"/>
          <w:color w:val="000000"/>
        </w:rPr>
        <w:t>.</w:t>
      </w:r>
    </w:p>
    <w:p w:rsidR="002D280C" w:rsidRPr="00E94A19" w:rsidRDefault="002D280C">
      <w:pPr>
        <w:spacing w:line="360" w:lineRule="auto"/>
        <w:ind w:right="-787"/>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Resultando aplicable el Criterio orientador 02/17 emitido por el Pleno del Instituto Nacional de Transparencia y Acceso a la Información y Protección de Datos Personales, de título y texto siguientes:</w:t>
      </w:r>
    </w:p>
    <w:p w:rsidR="002D280C" w:rsidRPr="00E94A19" w:rsidRDefault="002178B2">
      <w:pPr>
        <w:pBdr>
          <w:top w:val="nil"/>
          <w:left w:val="nil"/>
          <w:bottom w:val="nil"/>
          <w:right w:val="nil"/>
          <w:between w:val="nil"/>
        </w:pBdr>
        <w:ind w:left="567" w:right="-433"/>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 “Congruencia y exhaustividad. Sus alcances para garantizar el derecho de acceso a la información. </w:t>
      </w:r>
      <w:r w:rsidRPr="00E94A19">
        <w:rPr>
          <w:rFonts w:ascii="Palatino Linotype" w:eastAsia="Palatino Linotype" w:hAnsi="Palatino Linotype" w:cs="Palatino Linotype"/>
          <w:i/>
          <w:iCs/>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w:t>
      </w:r>
      <w:r w:rsidRPr="00E94A19">
        <w:rPr>
          <w:rFonts w:ascii="Palatino Linotype" w:eastAsia="Palatino Linotype" w:hAnsi="Palatino Linotype" w:cs="Palatino Linotype"/>
          <w:i/>
          <w:iCs/>
        </w:rPr>
        <w:lastRenderedPageBreak/>
        <w:t xml:space="preserve">a la información, </w:t>
      </w:r>
      <w:r w:rsidRPr="00E94A19">
        <w:rPr>
          <w:rFonts w:ascii="Palatino Linotype" w:eastAsia="Palatino Linotype" w:hAnsi="Palatino Linotype" w:cs="Palatino Linotype"/>
          <w:b/>
          <w:bCs/>
          <w:i/>
          <w:iCs/>
        </w:rPr>
        <w:t>la congruencia implica que exista concordancia entre el requerimiento formulado por el particular y la respuesta proporcionada por el sujeto obligado</w:t>
      </w:r>
      <w:r w:rsidRPr="00E94A19">
        <w:rPr>
          <w:rFonts w:ascii="Palatino Linotype" w:eastAsia="Palatino Linotype" w:hAnsi="Palatino Linotype" w:cs="Palatino Linotype"/>
          <w:i/>
          <w:iCs/>
        </w:rPr>
        <w:t xml:space="preserve">; mientras que </w:t>
      </w:r>
      <w:r w:rsidRPr="00E94A19">
        <w:rPr>
          <w:rFonts w:ascii="Palatino Linotype" w:eastAsia="Palatino Linotype" w:hAnsi="Palatino Linotype" w:cs="Palatino Linotype"/>
          <w:b/>
          <w:bCs/>
          <w:i/>
          <w:iCs/>
        </w:rPr>
        <w:t>la exhaustividad significa que dicha respuesta se refiera expresamente a cada uno de los puntos solicitados</w:t>
      </w:r>
      <w:r w:rsidRPr="00E94A19">
        <w:rPr>
          <w:rFonts w:ascii="Palatino Linotype" w:eastAsia="Palatino Linotype" w:hAnsi="Palatino Linotype" w:cs="Palatino Linotype"/>
          <w:i/>
          <w:iCs/>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002D280C" w:rsidRPr="00E94A19" w:rsidRDefault="002D280C">
      <w:pPr>
        <w:pBdr>
          <w:top w:val="nil"/>
          <w:left w:val="nil"/>
          <w:bottom w:val="nil"/>
          <w:right w:val="nil"/>
          <w:between w:val="nil"/>
        </w:pBdr>
        <w:ind w:right="851"/>
        <w:jc w:val="both"/>
        <w:rPr>
          <w:rFonts w:ascii="Palatino Linotype" w:eastAsia="Palatino Linotype" w:hAnsi="Palatino Linotype" w:cs="Palatino Linotype"/>
          <w:i/>
          <w:iCs/>
        </w:rPr>
      </w:pPr>
    </w:p>
    <w:p w:rsidR="002D280C" w:rsidRPr="00E94A19" w:rsidRDefault="002D280C">
      <w:pPr>
        <w:pBdr>
          <w:top w:val="nil"/>
          <w:left w:val="nil"/>
          <w:bottom w:val="nil"/>
          <w:right w:val="nil"/>
          <w:between w:val="nil"/>
        </w:pBdr>
        <w:ind w:right="851"/>
        <w:jc w:val="both"/>
        <w:rPr>
          <w:rFonts w:ascii="Palatino Linotype" w:eastAsia="Palatino Linotype" w:hAnsi="Palatino Linotype" w:cs="Palatino Linotype"/>
          <w:i/>
          <w:iCs/>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color w:val="000000"/>
        </w:rPr>
        <w:t xml:space="preserve">Por lo anterior, este Organismo Garante, con la finalidad de garantizar el derecho humano de acceso a la información de la parte </w:t>
      </w:r>
      <w:r w:rsidRPr="00E94A19">
        <w:rPr>
          <w:rFonts w:ascii="Palatino Linotype" w:eastAsia="Palatino Linotype" w:hAnsi="Palatino Linotype" w:cs="Palatino Linotype"/>
          <w:b/>
          <w:bCs/>
          <w:color w:val="000000"/>
        </w:rPr>
        <w:t>Recurrente,</w:t>
      </w:r>
      <w:r w:rsidRPr="00E94A19">
        <w:rPr>
          <w:rFonts w:ascii="Palatino Linotype" w:eastAsia="Palatino Linotype" w:hAnsi="Palatino Linotype" w:cs="Palatino Linotype"/>
          <w:color w:val="000000"/>
        </w:rPr>
        <w:t xml:space="preserve"> y a fin de reparar el agravio causado ante la omisión en que incurriera el </w:t>
      </w:r>
      <w:r w:rsidRPr="00E94A19">
        <w:rPr>
          <w:rFonts w:ascii="Palatino Linotype" w:eastAsia="Palatino Linotype" w:hAnsi="Palatino Linotype" w:cs="Palatino Linotype"/>
          <w:b/>
          <w:bCs/>
          <w:color w:val="000000"/>
        </w:rPr>
        <w:t>Sujeto Obligado</w:t>
      </w:r>
      <w:r w:rsidRPr="00E94A19">
        <w:rPr>
          <w:rFonts w:ascii="Palatino Linotype" w:eastAsia="Palatino Linotype" w:hAnsi="Palatino Linotype" w:cs="Palatino Linotype"/>
          <w:color w:val="000000"/>
        </w:rPr>
        <w:t>, ya que como se señaló, su respuesta careció del principio de exhaustividad, al no pronunciarse por las consideraciones ya expuestas, por lo que se estima procedente</w:t>
      </w:r>
      <w:r w:rsidRPr="00E94A19">
        <w:rPr>
          <w:rFonts w:ascii="Palatino Linotype" w:eastAsia="Palatino Linotype" w:hAnsi="Palatino Linotype" w:cs="Palatino Linotype"/>
          <w:b/>
          <w:bCs/>
          <w:color w:val="000000"/>
        </w:rPr>
        <w:t xml:space="preserve"> REVOCAR</w:t>
      </w:r>
      <w:r w:rsidRPr="00E94A19">
        <w:rPr>
          <w:rFonts w:ascii="Palatino Linotype" w:eastAsia="Palatino Linotype" w:hAnsi="Palatino Linotype" w:cs="Palatino Linotype"/>
          <w:color w:val="000000"/>
        </w:rPr>
        <w:t xml:space="preserve"> la respuesta emitida y </w:t>
      </w:r>
      <w:r w:rsidRPr="00E94A19">
        <w:rPr>
          <w:rFonts w:ascii="Palatino Linotype" w:eastAsia="Palatino Linotype" w:hAnsi="Palatino Linotype" w:cs="Palatino Linotype"/>
          <w:b/>
          <w:bCs/>
          <w:color w:val="000000"/>
        </w:rPr>
        <w:t>ORDENAR</w:t>
      </w:r>
      <w:r w:rsidRPr="00E94A19">
        <w:rPr>
          <w:rFonts w:ascii="Palatino Linotype" w:eastAsia="Palatino Linotype" w:hAnsi="Palatino Linotype" w:cs="Palatino Linotype"/>
          <w:color w:val="000000"/>
        </w:rPr>
        <w:t xml:space="preserve"> que, previa búsqueda exhaustiva y razonable, de ser procedente en versión pública</w:t>
      </w:r>
      <w:r w:rsidRPr="00E94A19">
        <w:rPr>
          <w:rFonts w:ascii="Palatino Linotype" w:eastAsia="Palatino Linotype" w:hAnsi="Palatino Linotype" w:cs="Palatino Linotype"/>
          <w:b/>
          <w:bCs/>
          <w:color w:val="000000"/>
        </w:rPr>
        <w:t xml:space="preserve">, </w:t>
      </w:r>
      <w:r w:rsidRPr="00E94A19">
        <w:rPr>
          <w:rFonts w:ascii="Palatino Linotype" w:eastAsia="Palatino Linotype" w:hAnsi="Palatino Linotype" w:cs="Palatino Linotype"/>
          <w:color w:val="000000"/>
        </w:rPr>
        <w:t xml:space="preserve">se haga entrega </w:t>
      </w:r>
      <w:r w:rsidRPr="00E94A19">
        <w:rPr>
          <w:rFonts w:ascii="Palatino Linotype" w:eastAsia="Palatino Linotype" w:hAnsi="Palatino Linotype" w:cs="Palatino Linotype"/>
        </w:rPr>
        <w:t>de los</w:t>
      </w:r>
      <w:r w:rsidRPr="00E94A19">
        <w:rPr>
          <w:rFonts w:ascii="Palatino Linotype" w:eastAsia="Palatino Linotype" w:hAnsi="Palatino Linotype" w:cs="Palatino Linotype"/>
          <w:b/>
          <w:bCs/>
        </w:rPr>
        <w:t xml:space="preserve"> contratos referidos en respuesta y las facturas o comprobantes de pago de las adquisiciones objeto de los contratos referidos en respuesta.</w:t>
      </w:r>
    </w:p>
    <w:p w:rsidR="002D280C" w:rsidRPr="00E94A19" w:rsidRDefault="002D280C">
      <w:pPr>
        <w:pBdr>
          <w:top w:val="nil"/>
          <w:left w:val="nil"/>
          <w:bottom w:val="nil"/>
          <w:right w:val="nil"/>
          <w:between w:val="nil"/>
        </w:pBdr>
        <w:tabs>
          <w:tab w:val="left" w:pos="426"/>
        </w:tabs>
        <w:spacing w:line="360" w:lineRule="auto"/>
        <w:ind w:right="-787"/>
        <w:jc w:val="both"/>
        <w:rPr>
          <w:rFonts w:ascii="Palatino Linotype" w:eastAsia="Palatino Linotype" w:hAnsi="Palatino Linotype" w:cs="Palatino Linotype"/>
          <w:color w:val="000000"/>
          <w:highlight w:val="yellow"/>
        </w:rPr>
      </w:pPr>
    </w:p>
    <w:p w:rsidR="002D280C" w:rsidRPr="00E94A19" w:rsidRDefault="002178B2">
      <w:pPr>
        <w:numPr>
          <w:ilvl w:val="0"/>
          <w:numId w:val="3"/>
        </w:numPr>
        <w:spacing w:line="360" w:lineRule="auto"/>
        <w:ind w:left="0" w:right="-787" w:firstLine="0"/>
        <w:jc w:val="both"/>
        <w:rPr>
          <w:color w:val="000000"/>
        </w:rPr>
      </w:pPr>
      <w:r w:rsidRPr="00E94A19">
        <w:rPr>
          <w:rFonts w:ascii="Palatino Linotype" w:eastAsia="Palatino Linotype" w:hAnsi="Palatino Linotype" w:cs="Palatino Linotype"/>
          <w:color w:val="000000"/>
        </w:rPr>
        <w:t xml:space="preserve">Por otro lado, no pasa desapercibido para este Órgano Garante, que la información que se ordena entregar puede contener información susceptible de clasificarse; para lo cual, el </w:t>
      </w:r>
      <w:r w:rsidRPr="00E94A19">
        <w:rPr>
          <w:rFonts w:ascii="Palatino Linotype" w:eastAsia="Palatino Linotype" w:hAnsi="Palatino Linotype" w:cs="Palatino Linotype"/>
          <w:b/>
          <w:bCs/>
          <w:color w:val="000000"/>
        </w:rPr>
        <w:t>SUJETO OBLIGADO</w:t>
      </w:r>
      <w:r w:rsidRPr="00E94A19">
        <w:rPr>
          <w:rFonts w:ascii="Palatino Linotype" w:eastAsia="Palatino Linotype" w:hAnsi="Palatino Linotype" w:cs="Palatino Linotype"/>
          <w:color w:val="000000"/>
        </w:rPr>
        <w:t xml:space="preserve"> deberá atender al siguiente Considerando.</w:t>
      </w:r>
    </w:p>
    <w:p w:rsidR="002D280C" w:rsidRPr="00E94A19" w:rsidRDefault="002D280C">
      <w:pPr>
        <w:pBdr>
          <w:top w:val="nil"/>
          <w:left w:val="nil"/>
          <w:bottom w:val="nil"/>
          <w:right w:val="nil"/>
          <w:between w:val="nil"/>
        </w:pBdr>
        <w:spacing w:line="360" w:lineRule="auto"/>
        <w:ind w:right="-787"/>
        <w:jc w:val="both"/>
        <w:rPr>
          <w:rFonts w:ascii="Palatino Linotype" w:eastAsia="Palatino Linotype" w:hAnsi="Palatino Linotype" w:cs="Palatino Linotype"/>
          <w:color w:val="000000"/>
        </w:rPr>
      </w:pPr>
    </w:p>
    <w:p w:rsidR="002D280C" w:rsidRPr="00E94A19" w:rsidRDefault="002178B2">
      <w:pPr>
        <w:keepNext/>
        <w:keepLines/>
        <w:spacing w:after="160" w:line="360" w:lineRule="auto"/>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QUINTO. De la versión pública.</w:t>
      </w:r>
    </w:p>
    <w:p w:rsidR="002D280C" w:rsidRPr="00E94A19" w:rsidRDefault="002178B2">
      <w:pPr>
        <w:keepNext/>
        <w:keepLines/>
        <w:numPr>
          <w:ilvl w:val="0"/>
          <w:numId w:val="8"/>
        </w:numPr>
        <w:tabs>
          <w:tab w:val="left" w:pos="284"/>
        </w:tabs>
        <w:spacing w:after="160" w:line="360" w:lineRule="auto"/>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 xml:space="preserve">Nociones generales. </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Debe destacarse </w:t>
      </w:r>
      <w:r w:rsidRPr="00E94A19">
        <w:rPr>
          <w:rFonts w:ascii="Palatino Linotype" w:eastAsia="Palatino Linotype" w:hAnsi="Palatino Linotype" w:cs="Palatino Linotype"/>
        </w:rPr>
        <w:t>que</w:t>
      </w:r>
      <w:r w:rsidRPr="00E94A19">
        <w:rPr>
          <w:rFonts w:ascii="Palatino Linotype" w:eastAsia="Palatino Linotype" w:hAnsi="Palatino Linotype" w:cs="Palatino Linotype"/>
          <w:color w:val="000000"/>
        </w:rPr>
        <w:t>, debido a la naturaleza de la información solicitada</w:t>
      </w:r>
      <w:r w:rsidRPr="00E94A19">
        <w:rPr>
          <w:rFonts w:ascii="Palatino Linotype" w:eastAsia="Palatino Linotype" w:hAnsi="Palatino Linotype" w:cs="Palatino Linotype"/>
          <w:b/>
          <w:bCs/>
          <w:color w:val="000000"/>
        </w:rPr>
        <w:t xml:space="preserve">, </w:t>
      </w:r>
      <w:r w:rsidRPr="00E94A19">
        <w:rPr>
          <w:rFonts w:ascii="Palatino Linotype" w:eastAsia="Palatino Linotype" w:hAnsi="Palatino Linotype" w:cs="Palatino Linotype"/>
          <w:color w:val="000000"/>
        </w:rPr>
        <w:t xml:space="preserve">eventualmente pudieran obrar datos personales susceptibles de protegerse, el </w:t>
      </w:r>
      <w:r w:rsidRPr="00E94A19">
        <w:rPr>
          <w:rFonts w:ascii="Palatino Linotype" w:eastAsia="Palatino Linotype" w:hAnsi="Palatino Linotype" w:cs="Palatino Linotype"/>
          <w:b/>
          <w:bCs/>
          <w:color w:val="000000"/>
        </w:rPr>
        <w:t xml:space="preserve">SUJETO </w:t>
      </w:r>
      <w:r w:rsidRPr="00E94A19">
        <w:rPr>
          <w:rFonts w:ascii="Palatino Linotype" w:eastAsia="Palatino Linotype" w:hAnsi="Palatino Linotype" w:cs="Palatino Linotype"/>
          <w:b/>
          <w:bCs/>
          <w:color w:val="000000"/>
        </w:rPr>
        <w:lastRenderedPageBreak/>
        <w:t xml:space="preserve">OBLIGADO </w:t>
      </w:r>
      <w:r w:rsidRPr="00E94A19">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2D280C" w:rsidRPr="00E94A19" w:rsidRDefault="002D280C">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No pasa desapercibido para este Órgano Garante que los Sujetos Obligados</w:t>
      </w:r>
      <w:r w:rsidRPr="00E94A19">
        <w:rPr>
          <w:rFonts w:ascii="Palatino Linotype" w:eastAsia="Palatino Linotype" w:hAnsi="Palatino Linotype" w:cs="Palatino Linotype"/>
          <w:b/>
          <w:bCs/>
          <w:color w:val="000000"/>
        </w:rPr>
        <w:t xml:space="preserve"> </w:t>
      </w:r>
      <w:r w:rsidRPr="00E94A19">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2D280C" w:rsidRPr="00E94A19" w:rsidRDefault="002D280C">
      <w:pPr>
        <w:tabs>
          <w:tab w:val="left" w:pos="284"/>
        </w:tabs>
        <w:spacing w:after="160" w:line="360" w:lineRule="auto"/>
        <w:ind w:right="49"/>
        <w:jc w:val="both"/>
        <w:rPr>
          <w:rFonts w:ascii="Palatino Linotype" w:eastAsia="Palatino Linotype" w:hAnsi="Palatino Linotype" w:cs="Palatino Linotype"/>
          <w:color w:val="000000"/>
        </w:rPr>
      </w:pPr>
    </w:p>
    <w:tbl>
      <w:tblPr>
        <w:tblStyle w:val="a"/>
        <w:tblW w:w="100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689"/>
        <w:gridCol w:w="7371"/>
      </w:tblGrid>
      <w:tr w:rsidR="002D280C" w:rsidRPr="00E94A19" w:rsidTr="00E94A19">
        <w:tc>
          <w:tcPr>
            <w:tcW w:w="2689" w:type="dxa"/>
          </w:tcPr>
          <w:p w:rsidR="002D280C" w:rsidRPr="00E94A19" w:rsidRDefault="002178B2">
            <w:pPr>
              <w:tabs>
                <w:tab w:val="left" w:pos="284"/>
              </w:tabs>
              <w:spacing w:line="360" w:lineRule="auto"/>
              <w:rPr>
                <w:rFonts w:ascii="Palatino Linotype" w:eastAsia="Palatino Linotype" w:hAnsi="Palatino Linotype" w:cs="Palatino Linotype"/>
                <w:b/>
                <w:bCs/>
              </w:rPr>
            </w:pPr>
            <w:r w:rsidRPr="00E94A19">
              <w:rPr>
                <w:rFonts w:ascii="Palatino Linotype" w:eastAsia="Palatino Linotype" w:hAnsi="Palatino Linotype" w:cs="Palatino Linotype"/>
                <w:b/>
                <w:bCs/>
              </w:rPr>
              <w:t>a) Requisitos previos.</w:t>
            </w:r>
          </w:p>
        </w:tc>
        <w:tc>
          <w:tcPr>
            <w:tcW w:w="7371" w:type="dxa"/>
          </w:tcPr>
          <w:p w:rsidR="002D280C" w:rsidRPr="00E94A19" w:rsidRDefault="002178B2">
            <w:pPr>
              <w:tabs>
                <w:tab w:val="left" w:pos="284"/>
              </w:tabs>
              <w:spacing w:line="360" w:lineRule="auto"/>
              <w:ind w:right="49"/>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 xml:space="preserve">Los artículos 100 y 122 de la Ley Estatal y de la Ley General, vigente a la fecha de la solicitud de información, respectivamente, señalan que si los Sujetos Obligados determinan que la información actualiza alguno de los supuestos de clasificación, es deber de los titulares de las áreas proponer su clasificación y no del Comité de Transparencia. </w:t>
            </w:r>
          </w:p>
          <w:p w:rsidR="002D280C" w:rsidRPr="00E94A19" w:rsidRDefault="002178B2">
            <w:pPr>
              <w:tabs>
                <w:tab w:val="left" w:pos="284"/>
              </w:tabs>
              <w:spacing w:line="360" w:lineRule="auto"/>
              <w:ind w:right="49"/>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Al hacerlo tienen que precisar de qué información se trata, señalando el supuesto de clasificación (confidencialidad o reserva).</w:t>
            </w:r>
          </w:p>
          <w:p w:rsidR="002D280C" w:rsidRPr="00E94A19" w:rsidRDefault="002178B2">
            <w:pPr>
              <w:tabs>
                <w:tab w:val="left" w:pos="284"/>
              </w:tabs>
              <w:spacing w:line="360" w:lineRule="auto"/>
              <w:ind w:right="49"/>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Además, se debe señalar el procedimiento, de los tres que establecen los artículos 132 y 106 de la Ley Estatal y General, respectivamente.</w:t>
            </w:r>
          </w:p>
          <w:p w:rsidR="002D280C" w:rsidRPr="00E94A19" w:rsidRDefault="002178B2">
            <w:pPr>
              <w:tabs>
                <w:tab w:val="left" w:pos="284"/>
              </w:tabs>
              <w:spacing w:line="360" w:lineRule="auto"/>
              <w:jc w:val="both"/>
              <w:rPr>
                <w:rFonts w:ascii="Palatino Linotype" w:eastAsia="Palatino Linotype" w:hAnsi="Palatino Linotype" w:cs="Palatino Linotype"/>
                <w:b/>
                <w:bCs/>
              </w:rPr>
            </w:pPr>
            <w:r w:rsidRPr="00E94A19">
              <w:rPr>
                <w:rFonts w:ascii="Palatino Linotype" w:eastAsia="Palatino Linotype" w:hAnsi="Palatino Linotype" w:cs="Palatino Linotype"/>
                <w:b/>
                <w:bCs/>
                <w:color w:val="000000"/>
              </w:rPr>
              <w:t xml:space="preserve">El último de estos requisitos previos consiste en que no se pueden emitir acuerdos de carácter general ni particular, esto es, </w:t>
            </w:r>
            <w:r w:rsidRPr="00E94A19">
              <w:rPr>
                <w:rFonts w:ascii="Palatino Linotype" w:eastAsia="Palatino Linotype" w:hAnsi="Palatino Linotype" w:cs="Palatino Linotype"/>
                <w:b/>
                <w:bCs/>
                <w:color w:val="000000"/>
                <w:u w:val="single"/>
              </w:rPr>
              <w:t xml:space="preserve">no se puede hacer un acuerdo para clasificar de manera general todos </w:t>
            </w:r>
            <w:r w:rsidRPr="00E94A19">
              <w:rPr>
                <w:rFonts w:ascii="Palatino Linotype" w:eastAsia="Palatino Linotype" w:hAnsi="Palatino Linotype" w:cs="Palatino Linotype"/>
                <w:b/>
                <w:bCs/>
                <w:color w:val="000000"/>
                <w:u w:val="single"/>
              </w:rPr>
              <w:lastRenderedPageBreak/>
              <w:t>los documentos de un expediente o área, sin</w:t>
            </w:r>
            <w:r w:rsidRPr="00E94A19">
              <w:rPr>
                <w:rFonts w:ascii="Palatino Linotype" w:eastAsia="Palatino Linotype" w:hAnsi="Palatino Linotype" w:cs="Palatino Linotype"/>
                <w:b/>
                <w:bCs/>
                <w:color w:val="000000"/>
              </w:rPr>
              <w:t xml:space="preserve"> individualizar su análisis y tampoco se puede hacer un acuerdo por cada dato que se vaya a clasificar dentro de un documento con diez datos, por ejemplo, susceptibles de ser clasificados.</w:t>
            </w:r>
          </w:p>
        </w:tc>
      </w:tr>
      <w:tr w:rsidR="002D280C" w:rsidRPr="00E94A19" w:rsidTr="00E94A19">
        <w:tc>
          <w:tcPr>
            <w:tcW w:w="2689" w:type="dxa"/>
          </w:tcPr>
          <w:p w:rsidR="002D280C" w:rsidRPr="00E94A19" w:rsidRDefault="002178B2">
            <w:pPr>
              <w:tabs>
                <w:tab w:val="left" w:pos="284"/>
              </w:tabs>
              <w:spacing w:line="360" w:lineRule="auto"/>
              <w:rPr>
                <w:rFonts w:ascii="Palatino Linotype" w:eastAsia="Palatino Linotype" w:hAnsi="Palatino Linotype" w:cs="Palatino Linotype"/>
                <w:b/>
                <w:bCs/>
              </w:rPr>
            </w:pPr>
            <w:r w:rsidRPr="00E94A19">
              <w:rPr>
                <w:rFonts w:ascii="Palatino Linotype" w:eastAsia="Palatino Linotype" w:hAnsi="Palatino Linotype" w:cs="Palatino Linotype"/>
                <w:b/>
                <w:bCs/>
              </w:rPr>
              <w:lastRenderedPageBreak/>
              <w:t>b) Supuestos de clasificación.</w:t>
            </w:r>
          </w:p>
        </w:tc>
        <w:tc>
          <w:tcPr>
            <w:tcW w:w="7371" w:type="dxa"/>
          </w:tcPr>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Los artículos 116 y 143 de la Ley Estatal y de la Ley General, vigente a la fecha de la solicitud de información, respectivamente, señalan los supuestos para que la información pueda ser clasificada como confidencial. Mientras que los artículos 105 y 130 de la Ley Estatal y de la Ley General, vigente a la fecha de la solicitud de información,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2D280C" w:rsidRPr="00E94A19" w:rsidRDefault="002178B2">
            <w:pPr>
              <w:tabs>
                <w:tab w:val="left" w:pos="284"/>
              </w:tabs>
              <w:spacing w:line="360" w:lineRule="auto"/>
              <w:jc w:val="both"/>
              <w:rPr>
                <w:rFonts w:ascii="Palatino Linotype" w:eastAsia="Palatino Linotype" w:hAnsi="Palatino Linotype" w:cs="Palatino Linotype"/>
              </w:rPr>
            </w:pPr>
            <w:r w:rsidRPr="00E94A19">
              <w:rPr>
                <w:rFonts w:ascii="Palatino Linotype" w:eastAsia="Palatino Linotype" w:hAnsi="Palatino Linotype" w:cs="Palatino Linotype"/>
                <w:color w:val="000000"/>
              </w:rPr>
              <w:t xml:space="preserve">El </w:t>
            </w:r>
            <w:r w:rsidRPr="00E94A19">
              <w:rPr>
                <w:rFonts w:ascii="Palatino Linotype" w:eastAsia="Palatino Linotype" w:hAnsi="Palatino Linotype" w:cs="Palatino Linotype"/>
                <w:b/>
                <w:bCs/>
                <w:color w:val="000000"/>
              </w:rPr>
              <w:t>Sujeto Obligado</w:t>
            </w:r>
            <w:r w:rsidRPr="00E94A19">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2D280C" w:rsidRPr="00E94A19" w:rsidTr="00E94A19">
        <w:tc>
          <w:tcPr>
            <w:tcW w:w="2689" w:type="dxa"/>
          </w:tcPr>
          <w:p w:rsidR="002D280C" w:rsidRPr="00E94A19" w:rsidRDefault="002178B2">
            <w:pPr>
              <w:tabs>
                <w:tab w:val="left" w:pos="284"/>
              </w:tabs>
              <w:spacing w:line="360" w:lineRule="auto"/>
              <w:rPr>
                <w:rFonts w:ascii="Palatino Linotype" w:eastAsia="Palatino Linotype" w:hAnsi="Palatino Linotype" w:cs="Palatino Linotype"/>
                <w:b/>
                <w:bCs/>
              </w:rPr>
            </w:pPr>
            <w:r w:rsidRPr="00E94A19">
              <w:rPr>
                <w:rFonts w:ascii="Palatino Linotype" w:eastAsia="Palatino Linotype" w:hAnsi="Palatino Linotype" w:cs="Palatino Linotype"/>
                <w:b/>
                <w:bCs/>
              </w:rPr>
              <w:lastRenderedPageBreak/>
              <w:t>c) Formalidades para emitir el acuerdo de clasificación.</w:t>
            </w:r>
          </w:p>
        </w:tc>
        <w:tc>
          <w:tcPr>
            <w:tcW w:w="7371" w:type="dxa"/>
          </w:tcPr>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Es necesario que </w:t>
            </w:r>
            <w:r w:rsidRPr="00E94A19">
              <w:rPr>
                <w:rFonts w:ascii="Palatino Linotype" w:eastAsia="Palatino Linotype" w:hAnsi="Palatino Linotype" w:cs="Palatino Linotype"/>
                <w:b/>
                <w:bCs/>
                <w:color w:val="000000"/>
                <w:u w:val="single"/>
              </w:rPr>
              <w:t>el acto reúna con los requisitos elementales</w:t>
            </w:r>
            <w:r w:rsidRPr="00E94A19">
              <w:rPr>
                <w:rFonts w:ascii="Palatino Linotype" w:eastAsia="Palatino Linotype" w:hAnsi="Palatino Linotype" w:cs="Palatino Linotype"/>
                <w:color w:val="000000"/>
              </w:rPr>
              <w:t>, entre ellos, que la autoridad que va a emitir el acto de autoridad sea la legalmente facultada para ello.</w:t>
            </w:r>
          </w:p>
          <w:p w:rsidR="002D280C" w:rsidRPr="00E94A19" w:rsidRDefault="002178B2">
            <w:pPr>
              <w:tabs>
                <w:tab w:val="left" w:pos="284"/>
              </w:tabs>
              <w:spacing w:line="360" w:lineRule="auto"/>
              <w:jc w:val="both"/>
              <w:rPr>
                <w:rFonts w:ascii="Palatino Linotype" w:eastAsia="Palatino Linotype" w:hAnsi="Palatino Linotype" w:cs="Palatino Linotype"/>
              </w:rPr>
            </w:pPr>
            <w:r w:rsidRPr="00E94A19">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2D280C" w:rsidRPr="00E94A19" w:rsidTr="00E94A19">
        <w:tc>
          <w:tcPr>
            <w:tcW w:w="2689" w:type="dxa"/>
          </w:tcPr>
          <w:p w:rsidR="002D280C" w:rsidRPr="00E94A19" w:rsidRDefault="002D280C">
            <w:pPr>
              <w:tabs>
                <w:tab w:val="left" w:pos="284"/>
              </w:tabs>
              <w:spacing w:line="360" w:lineRule="auto"/>
              <w:rPr>
                <w:rFonts w:ascii="Palatino Linotype" w:eastAsia="Palatino Linotype" w:hAnsi="Palatino Linotype" w:cs="Palatino Linotype"/>
                <w:b/>
                <w:bCs/>
              </w:rPr>
            </w:pPr>
          </w:p>
          <w:p w:rsidR="002D280C" w:rsidRPr="00E94A19" w:rsidRDefault="002178B2">
            <w:pPr>
              <w:tabs>
                <w:tab w:val="left" w:pos="284"/>
              </w:tabs>
              <w:spacing w:line="360" w:lineRule="auto"/>
              <w:jc w:val="both"/>
              <w:rPr>
                <w:rFonts w:ascii="Palatino Linotype" w:eastAsia="Palatino Linotype" w:hAnsi="Palatino Linotype" w:cs="Palatino Linotype"/>
                <w:b/>
                <w:bCs/>
              </w:rPr>
            </w:pPr>
            <w:r w:rsidRPr="00E94A19">
              <w:rPr>
                <w:rFonts w:ascii="Palatino Linotype" w:eastAsia="Palatino Linotype" w:hAnsi="Palatino Linotype" w:cs="Palatino Linotype"/>
                <w:b/>
                <w:bCs/>
                <w:color w:val="000000"/>
              </w:rPr>
              <w:t xml:space="preserve">d) Requisitos de fondo del acuerdo de clasificación. </w:t>
            </w:r>
          </w:p>
        </w:tc>
        <w:tc>
          <w:tcPr>
            <w:tcW w:w="7371" w:type="dxa"/>
          </w:tcPr>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E94A19">
              <w:rPr>
                <w:rFonts w:ascii="Palatino Linotype" w:eastAsia="Palatino Linotype" w:hAnsi="Palatino Linotype" w:cs="Palatino Linotype"/>
                <w:b/>
                <w:bCs/>
                <w:color w:val="000000"/>
              </w:rPr>
              <w:t>Sujetos Obligados</w:t>
            </w:r>
            <w:r w:rsidRPr="00E94A19">
              <w:rPr>
                <w:rFonts w:ascii="Palatino Linotype" w:eastAsia="Palatino Linotype" w:hAnsi="Palatino Linotype" w:cs="Palatino Linotype"/>
                <w:color w:val="000000"/>
              </w:rPr>
              <w:t xml:space="preserve">, por lo que deberán fundar y motivar debidamente la clasificación. </w:t>
            </w:r>
          </w:p>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De lo anterior, se desprende que para una correcta </w:t>
            </w:r>
            <w:r w:rsidRPr="00E94A19">
              <w:rPr>
                <w:rFonts w:ascii="Palatino Linotype" w:eastAsia="Palatino Linotype" w:hAnsi="Palatino Linotype" w:cs="Palatino Linotype"/>
                <w:b/>
                <w:bCs/>
                <w:color w:val="000000"/>
              </w:rPr>
              <w:t>clasificación total o parcial</w:t>
            </w:r>
            <w:r w:rsidRPr="00E94A19">
              <w:rPr>
                <w:rFonts w:ascii="Palatino Linotype" w:eastAsia="Palatino Linotype" w:hAnsi="Palatino Linotype" w:cs="Palatino Linotype"/>
                <w:color w:val="000000"/>
              </w:rPr>
              <w:t xml:space="preserve">, esto es determinar los datos que se suprimen en las versiones públicas, es necesario fundar y motivar, de manera </w:t>
            </w:r>
            <w:r w:rsidRPr="00E94A19">
              <w:rPr>
                <w:rFonts w:ascii="Palatino Linotype" w:eastAsia="Palatino Linotype" w:hAnsi="Palatino Linotype" w:cs="Palatino Linotype"/>
                <w:color w:val="000000"/>
              </w:rPr>
              <w:lastRenderedPageBreak/>
              <w:t>correcta, la clasificación; considerando que todo acto que la autoridad pronuncie en el ejercicio de sus atribuciones, debe expresar los fundamentos legales que le dieron origen y las razones por las que se deben aplicar al caso concreto.</w:t>
            </w:r>
          </w:p>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Ahora bien, </w:t>
            </w:r>
            <w:r w:rsidRPr="00E94A19">
              <w:rPr>
                <w:rFonts w:ascii="Palatino Linotype" w:eastAsia="Palatino Linotype" w:hAnsi="Palatino Linotype" w:cs="Palatino Linotype"/>
                <w:b/>
                <w:bCs/>
                <w:color w:val="000000"/>
                <w:u w:val="single"/>
              </w:rPr>
              <w:t>para cada caso además de fundar y motivar</w:t>
            </w:r>
            <w:r w:rsidRPr="00E94A19">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2D280C" w:rsidRPr="00E94A19" w:rsidTr="00E94A19">
        <w:tc>
          <w:tcPr>
            <w:tcW w:w="2689" w:type="dxa"/>
          </w:tcPr>
          <w:p w:rsidR="002D280C" w:rsidRPr="00E94A19" w:rsidRDefault="002178B2">
            <w:pPr>
              <w:tabs>
                <w:tab w:val="left" w:pos="284"/>
              </w:tabs>
              <w:spacing w:line="360" w:lineRule="auto"/>
              <w:ind w:right="49"/>
              <w:jc w:val="both"/>
              <w:rPr>
                <w:rFonts w:ascii="Palatino Linotype" w:eastAsia="Palatino Linotype" w:hAnsi="Palatino Linotype" w:cs="Palatino Linotype"/>
                <w:b/>
                <w:bCs/>
              </w:rPr>
            </w:pPr>
            <w:r w:rsidRPr="00E94A19">
              <w:rPr>
                <w:rFonts w:ascii="Palatino Linotype" w:eastAsia="Palatino Linotype" w:hAnsi="Palatino Linotype" w:cs="Palatino Linotype"/>
                <w:b/>
                <w:bCs/>
              </w:rPr>
              <w:lastRenderedPageBreak/>
              <w:t xml:space="preserve">e) Condiciones especiales de la </w:t>
            </w:r>
            <w:r w:rsidRPr="00E94A19">
              <w:rPr>
                <w:rFonts w:ascii="Palatino Linotype" w:eastAsia="Palatino Linotype" w:hAnsi="Palatino Linotype" w:cs="Palatino Linotype"/>
                <w:b/>
                <w:bCs/>
              </w:rPr>
              <w:lastRenderedPageBreak/>
              <w:t xml:space="preserve">clasificación de la información como confidencial. </w:t>
            </w:r>
          </w:p>
        </w:tc>
        <w:tc>
          <w:tcPr>
            <w:tcW w:w="7371" w:type="dxa"/>
          </w:tcPr>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lastRenderedPageBreak/>
              <w:t xml:space="preserve">Los artículos 148 y 120 de la Ley Estatal y de la Ley General, vigente a la fecha de la solicitud de información, respectivamente, </w:t>
            </w:r>
            <w:r w:rsidRPr="00E94A19">
              <w:rPr>
                <w:rFonts w:ascii="Palatino Linotype" w:eastAsia="Palatino Linotype" w:hAnsi="Palatino Linotype" w:cs="Palatino Linotype"/>
                <w:color w:val="000000"/>
              </w:rPr>
              <w:lastRenderedPageBreak/>
              <w:t xml:space="preserve">establecen que aun tratándose de datos personales, se podrán proporcionar, incluso sin solicitar el consentimiento de su titular. </w:t>
            </w:r>
          </w:p>
          <w:p w:rsidR="002D280C" w:rsidRPr="00E94A19" w:rsidRDefault="002178B2">
            <w:pPr>
              <w:tabs>
                <w:tab w:val="left" w:pos="284"/>
              </w:tabs>
              <w:spacing w:line="360" w:lineRule="auto"/>
              <w:ind w:right="49"/>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2D280C" w:rsidRPr="00E94A19" w:rsidRDefault="002178B2">
            <w:pPr>
              <w:tabs>
                <w:tab w:val="left" w:pos="284"/>
              </w:tabs>
              <w:spacing w:line="360" w:lineRule="auto"/>
              <w:rPr>
                <w:rFonts w:ascii="Palatino Linotype" w:eastAsia="Palatino Linotype" w:hAnsi="Palatino Linotype" w:cs="Palatino Linotype"/>
              </w:rPr>
            </w:pPr>
            <w:r w:rsidRPr="00E94A19">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2D280C" w:rsidRPr="00E94A19" w:rsidRDefault="002D280C">
      <w:pPr>
        <w:tabs>
          <w:tab w:val="left" w:pos="284"/>
        </w:tabs>
        <w:spacing w:line="360" w:lineRule="auto"/>
        <w:rPr>
          <w:rFonts w:ascii="Palatino Linotype" w:eastAsia="Palatino Linotype" w:hAnsi="Palatino Linotype" w:cs="Palatino Linotype"/>
          <w:color w:val="000000"/>
        </w:rPr>
      </w:pPr>
    </w:p>
    <w:p w:rsidR="002D280C" w:rsidRPr="00E94A19" w:rsidRDefault="002D280C">
      <w:pPr>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Dada la </w:t>
      </w:r>
      <w:r w:rsidRPr="00E94A19">
        <w:rPr>
          <w:rFonts w:ascii="Palatino Linotype" w:eastAsia="Palatino Linotype" w:hAnsi="Palatino Linotype" w:cs="Palatino Linotype"/>
          <w:color w:val="000000"/>
        </w:rPr>
        <w:t>complejidad</w:t>
      </w:r>
      <w:r w:rsidRPr="00E94A19">
        <w:rPr>
          <w:rFonts w:ascii="Palatino Linotype" w:eastAsia="Palatino Linotype" w:hAnsi="Palatino Linotype" w:cs="Palatino Linotype"/>
        </w:rPr>
        <w:t xml:space="preserve">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aún tratándose de información personal.</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 xml:space="preserve">Ahora bien, </w:t>
      </w:r>
      <w:r w:rsidRPr="00E94A19">
        <w:rPr>
          <w:rFonts w:ascii="Palatino Linotype" w:eastAsia="Palatino Linotype" w:hAnsi="Palatino Linotype" w:cs="Palatino Linotype"/>
          <w:color w:val="000000"/>
        </w:rPr>
        <w:t>cuando</w:t>
      </w:r>
      <w:r w:rsidRPr="00E94A19">
        <w:rPr>
          <w:rFonts w:ascii="Palatino Linotype" w:eastAsia="Palatino Linotype" w:hAnsi="Palatino Linotype" w:cs="Palatino Linotype"/>
        </w:rPr>
        <w:t xml:space="preserve">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Bajo este esquema, se aprecia que la información ordenada, puede contener información susceptible a clasificar como confidencial y otra que resulta publica; a fin de aportar mayores elementos para la correcta elaboración de las versiones públicas; de forma enunciativa más no limitativa; se analizan el Registro Federal de Contribuyentes (RFC) y la Clave Única de Registro de Población (CURP), el nombre de representante legal de una persona jurídico colectiva; entre otros, ya que son datos que obran en los documentos solicitados.</w:t>
      </w:r>
    </w:p>
    <w:p w:rsidR="002D280C" w:rsidRPr="00E94A19" w:rsidRDefault="002D280C">
      <w:pPr>
        <w:jc w:val="both"/>
        <w:rPr>
          <w:rFonts w:ascii="Palatino Linotype" w:eastAsia="Palatino Linotype" w:hAnsi="Palatino Linotype" w:cs="Palatino Linotype"/>
          <w:b/>
          <w:bCs/>
        </w:rPr>
      </w:pPr>
    </w:p>
    <w:p w:rsidR="002D280C" w:rsidRPr="00E94A19" w:rsidRDefault="002178B2" w:rsidP="00E94A19">
      <w:pPr>
        <w:numPr>
          <w:ilvl w:val="0"/>
          <w:numId w:val="5"/>
        </w:numPr>
        <w:spacing w:line="360" w:lineRule="auto"/>
        <w:ind w:left="0" w:firstLine="0"/>
        <w:jc w:val="both"/>
        <w:rPr>
          <w:rFonts w:ascii="Palatino Linotype" w:eastAsia="Palatino Linotype" w:hAnsi="Palatino Linotype" w:cs="Palatino Linotype"/>
        </w:rPr>
      </w:pPr>
      <w:r w:rsidRPr="00E94A19">
        <w:rPr>
          <w:rFonts w:ascii="Palatino Linotype" w:eastAsia="Palatino Linotype" w:hAnsi="Palatino Linotype" w:cs="Palatino Linotype"/>
          <w:b/>
          <w:bCs/>
        </w:rPr>
        <w:t>Registro Federal de Contribuyentes (RFC)</w:t>
      </w:r>
    </w:p>
    <w:p w:rsidR="002D280C" w:rsidRPr="00E94A19" w:rsidRDefault="002178B2">
      <w:pPr>
        <w:spacing w:line="360" w:lineRule="auto"/>
        <w:jc w:val="both"/>
        <w:rPr>
          <w:rFonts w:ascii="Palatino Linotype" w:eastAsia="Palatino Linotype" w:hAnsi="Palatino Linotype" w:cs="Palatino Linotype"/>
          <w:b/>
          <w:bCs/>
        </w:rPr>
      </w:pPr>
      <w:r w:rsidRPr="00E94A19">
        <w:rPr>
          <w:rFonts w:ascii="Palatino Linotype" w:eastAsia="Palatino Linotype" w:hAnsi="Palatino Linotype" w:cs="Palatino Linotype"/>
          <w:b/>
          <w:bCs/>
        </w:rPr>
        <w:t>Persona física.</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De acuerdo con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002D280C" w:rsidRPr="00E94A19" w:rsidRDefault="002D280C">
      <w:pPr>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002D280C" w:rsidRPr="00E94A19" w:rsidRDefault="002D280C">
      <w:pPr>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Conforme a lo expuesto,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Lo anterior, resulta congruente con el Criterio orientador 19/17 emitido por el Instituto Nacional de Transparencia, Acceso a la Información y Protección de Datos Personales, en el cual se señala lo siguiente:</w:t>
      </w:r>
    </w:p>
    <w:p w:rsidR="002D280C" w:rsidRPr="00E94A19" w:rsidRDefault="002178B2">
      <w:pPr>
        <w:ind w:left="1134"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Registro Federal de Contribuyentes (RFC) de personas físicas.</w:t>
      </w:r>
      <w:r w:rsidRPr="00E94A19">
        <w:rPr>
          <w:rFonts w:ascii="Palatino Linotype" w:eastAsia="Palatino Linotype" w:hAnsi="Palatino Linotype" w:cs="Palatino Linotype"/>
          <w:i/>
          <w:iCs/>
        </w:rPr>
        <w:t xml:space="preserve"> El RFC es una clave de carácter fiscal, única e irrepetible, que permite identificar al titular, su edad y fecha de nacimiento, por lo que es un dato personal de carácter confidencial.</w:t>
      </w:r>
    </w:p>
    <w:p w:rsidR="002D280C" w:rsidRPr="00E94A19" w:rsidRDefault="002D280C">
      <w:pPr>
        <w:spacing w:line="360" w:lineRule="auto"/>
        <w:ind w:left="56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De tal suerte, el Registro Federal de Contribuyentes de persona físicas no guarda relación con la transparencia de los recursos públicos, por lo que constituye un dato personal confidencial al actualizar el supuesto normativo del artículo 143, fracción I, de la Ley de Transparencia y Acceso a la Información Pública del Estado de México y Municipios.</w:t>
      </w:r>
    </w:p>
    <w:p w:rsidR="002D280C" w:rsidRPr="00E94A19" w:rsidRDefault="002D280C">
      <w:pPr>
        <w:jc w:val="both"/>
        <w:rPr>
          <w:rFonts w:ascii="Palatino Linotype" w:eastAsia="Palatino Linotype" w:hAnsi="Palatino Linotype" w:cs="Palatino Linotype"/>
        </w:rPr>
      </w:pPr>
    </w:p>
    <w:p w:rsidR="002D280C" w:rsidRPr="00E94A19" w:rsidRDefault="002178B2" w:rsidP="00E94A19">
      <w:pPr>
        <w:numPr>
          <w:ilvl w:val="0"/>
          <w:numId w:val="5"/>
        </w:numPr>
        <w:pBdr>
          <w:top w:val="nil"/>
          <w:left w:val="nil"/>
          <w:bottom w:val="nil"/>
          <w:right w:val="nil"/>
          <w:between w:val="nil"/>
        </w:pBdr>
        <w:spacing w:line="360" w:lineRule="auto"/>
        <w:ind w:left="0" w:right="-93"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Persona Jurídico-colectiva.</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Al respecto, el Registro Federal de Contribuyentes, inicia con un preinscripción por Internet y se concluye en cualquier Administración Desconcentrada de Servicios al Contribuyente, en donde aquellas personas que realicen el trámite tendrán que entregar ciertos documentos, que para las personas jurídico colectivas, serán, entre otros, la copia certificada del documento constitutivo debidamente protocolizado, comprobante de domicilio, identificación personal, número de folio asignado que se le proporcionó al realizar el envío de su preinscripción y copia certificada del poder notarial con el que se acredite la personalidad del representante legal, o carta poder firmada ante dos testigos y ratificadas las firmas ante las autoridades fiscales o ante notario o fedatario público.  Derivado del trámite se obtiene, entre otros, la </w:t>
      </w:r>
      <w:r w:rsidRPr="00E94A19">
        <w:rPr>
          <w:rFonts w:ascii="Palatino Linotype" w:eastAsia="Palatino Linotype" w:hAnsi="Palatino Linotype" w:cs="Palatino Linotype"/>
          <w:b/>
          <w:bCs/>
        </w:rPr>
        <w:t>cédula de identificación fiscal o constancia de registro.</w:t>
      </w:r>
    </w:p>
    <w:p w:rsidR="002D280C" w:rsidRPr="00E94A19" w:rsidRDefault="002D280C">
      <w:pPr>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Por ende, la información correspondiente al Registro Federal de Contribuyentes de una persona moral da cuenta del cumplimiento o no en sus obligaciones fiscales; por tanto, no se actualiza su clasificación como confidencial.</w:t>
      </w:r>
    </w:p>
    <w:p w:rsidR="002D280C" w:rsidRPr="00E94A19" w:rsidRDefault="002D280C">
      <w:pPr>
        <w:jc w:val="both"/>
        <w:rPr>
          <w:rFonts w:ascii="Palatino Linotype" w:eastAsia="Palatino Linotype" w:hAnsi="Palatino Linotype" w:cs="Palatino Linotype"/>
          <w:b/>
          <w:bCs/>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Además, resulta aplicable el Criterio orientador 08/19 emitido por el Instituto Nacional de Transparencia, Acceso a la Información y Protección de Datos Personales, que señala lo siguiente:</w:t>
      </w:r>
    </w:p>
    <w:p w:rsidR="002D280C" w:rsidRPr="00E94A19" w:rsidRDefault="002178B2">
      <w:pPr>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lastRenderedPageBreak/>
        <w:t xml:space="preserve">Razón social y RFC de personas morales. </w:t>
      </w:r>
      <w:r w:rsidRPr="00E94A19">
        <w:rPr>
          <w:rFonts w:ascii="Palatino Linotype" w:eastAsia="Palatino Linotype" w:hAnsi="Palatino Linotype" w:cs="Palatino Linotype"/>
          <w:i/>
          <w:iCs/>
        </w:rPr>
        <w:t>La denominación o razón social de personas morales es pública, por encontrarse inscritas en el Registro Público de Comercio; asimismo, su Registro Federal de Contribuyentes (RFC), en principio, también es público, ya que no se refiere a hechos o actos de carácter económico, contable, jurídico o administrativo que sean útiles o representen una ventaja a sus competidores.</w:t>
      </w:r>
    </w:p>
    <w:p w:rsidR="002D280C" w:rsidRPr="00E94A19" w:rsidRDefault="002D280C">
      <w:pPr>
        <w:spacing w:line="360" w:lineRule="auto"/>
        <w:ind w:right="-93"/>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Dicho criterio, precisa que el Registro Federal de Contribuyentes de personas morales, es público, al no referir a hechos o actos de carácter económico, contable, jurídico o administrativo que sean útiles o representen una ventaja a sus competidores.</w:t>
      </w:r>
    </w:p>
    <w:p w:rsidR="002D280C" w:rsidRPr="00E94A19" w:rsidRDefault="002D280C">
      <w:pPr>
        <w:spacing w:line="360" w:lineRule="auto"/>
        <w:ind w:right="-93"/>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De tales circunstancias, el </w:t>
      </w:r>
      <w:r w:rsidRPr="00E94A19">
        <w:rPr>
          <w:rFonts w:ascii="Palatino Linotype" w:eastAsia="Palatino Linotype" w:hAnsi="Palatino Linotype" w:cs="Palatino Linotype"/>
          <w:b/>
          <w:bCs/>
        </w:rPr>
        <w:t>Registro Federal de Contribuyentes de personas morales, no actualizan la causal de clasificación</w:t>
      </w:r>
      <w:r w:rsidRPr="00E94A19">
        <w:rPr>
          <w:rFonts w:ascii="Palatino Linotype" w:eastAsia="Palatino Linotype" w:hAnsi="Palatino Linotype" w:cs="Palatino Linotype"/>
        </w:rPr>
        <w:t>, prevista en el artículo 143, fracción I de la Ley de Transparencia y Acceso a la Información Pública del Estado de México y Municipios, al ser de naturaleza pública.</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color w:val="000000"/>
        </w:rPr>
        <w:t xml:space="preserve">Además, las personas físicas que realicen las actividades contratadas por las instituciones, renuncian </w:t>
      </w:r>
      <w:r w:rsidRPr="00E94A19">
        <w:rPr>
          <w:rFonts w:ascii="Palatino Linotype" w:eastAsia="Palatino Linotype" w:hAnsi="Palatino Linotype" w:cs="Palatino Linotype"/>
        </w:rPr>
        <w:t>implícitamente</w:t>
      </w:r>
      <w:r w:rsidRPr="00E94A19">
        <w:rPr>
          <w:rFonts w:ascii="Palatino Linotype" w:eastAsia="Palatino Linotype" w:hAnsi="Palatino Linotype" w:cs="Palatino Linotype"/>
          <w:color w:val="000000"/>
        </w:rPr>
        <w:t xml:space="preserv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p>
    <w:p w:rsidR="002D280C" w:rsidRPr="00E94A19" w:rsidRDefault="002D280C">
      <w:pPr>
        <w:spacing w:line="360" w:lineRule="auto"/>
        <w:ind w:right="276"/>
        <w:jc w:val="both"/>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color w:val="000000"/>
        </w:rPr>
        <w:t>Robustece lo anterior el criterio orientador 04/21 emitido por el Instituto Nacional de Transparencia, Acceso a la Información y Protección de Datos Personales, INAI, el cual refiere:</w:t>
      </w:r>
    </w:p>
    <w:p w:rsidR="002D280C" w:rsidRPr="00E94A19" w:rsidRDefault="002D280C">
      <w:pPr>
        <w:spacing w:line="360" w:lineRule="auto"/>
        <w:ind w:right="-787"/>
        <w:jc w:val="both"/>
      </w:pPr>
    </w:p>
    <w:p w:rsidR="002D280C" w:rsidRPr="00E94A19" w:rsidRDefault="002178B2">
      <w:pPr>
        <w:ind w:left="567" w:right="-716"/>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b/>
          <w:bCs/>
          <w:i/>
          <w:iCs/>
          <w:color w:val="000000"/>
        </w:rPr>
        <w:lastRenderedPageBreak/>
        <w:t xml:space="preserve">“Registro Federal de Contribuyentes (RFC) de personas físicas proveedoras o contratistas. </w:t>
      </w:r>
      <w:r w:rsidRPr="00E94A19">
        <w:rPr>
          <w:rFonts w:ascii="Palatino Linotype" w:eastAsia="Palatino Linotype" w:hAnsi="Palatino Linotype" w:cs="Palatino Linotype"/>
          <w:i/>
          <w:iCs/>
          <w:color w:val="000000"/>
        </w:rPr>
        <w:t xml:space="preserve">El RFC de contratistas o proveedores de los sujetos obligados debe ser público, ya que al tratarse de personas con contrataciones públicas, su difusión favorece la </w:t>
      </w:r>
      <w:r w:rsidRPr="00E94A19">
        <w:rPr>
          <w:rFonts w:ascii="Palatino Linotype" w:eastAsia="Palatino Linotype" w:hAnsi="Palatino Linotype" w:cs="Palatino Linotype"/>
          <w:i/>
          <w:iCs/>
        </w:rPr>
        <w:t>transparencia</w:t>
      </w:r>
      <w:r w:rsidRPr="00E94A19">
        <w:rPr>
          <w:rFonts w:ascii="Palatino Linotype" w:eastAsia="Palatino Linotype" w:hAnsi="Palatino Linotype" w:cs="Palatino Linotype"/>
          <w:i/>
          <w:iCs/>
          <w:color w:val="000000"/>
        </w:rPr>
        <w:t xml:space="preserve"> con la que deben administrarse los recursos públicos, en términos del artículo 134 de la Constitución Política de los Estados Unidos Mexicanos.”</w:t>
      </w:r>
    </w:p>
    <w:p w:rsidR="002D280C" w:rsidRPr="00E94A19" w:rsidRDefault="002D280C">
      <w:pPr>
        <w:jc w:val="both"/>
        <w:rPr>
          <w:rFonts w:ascii="Palatino Linotype" w:eastAsia="Palatino Linotype" w:hAnsi="Palatino Linotype" w:cs="Palatino Linotype"/>
        </w:rPr>
      </w:pPr>
    </w:p>
    <w:p w:rsidR="002D280C" w:rsidRPr="00E94A19" w:rsidRDefault="002D280C">
      <w:pPr>
        <w:jc w:val="both"/>
        <w:rPr>
          <w:rFonts w:ascii="Palatino Linotype" w:eastAsia="Palatino Linotype" w:hAnsi="Palatino Linotype" w:cs="Palatino Linotype"/>
        </w:rPr>
      </w:pPr>
    </w:p>
    <w:p w:rsidR="002D280C" w:rsidRPr="00E94A19" w:rsidRDefault="002178B2" w:rsidP="00E94A19">
      <w:pPr>
        <w:numPr>
          <w:ilvl w:val="0"/>
          <w:numId w:val="9"/>
        </w:numPr>
        <w:spacing w:line="360" w:lineRule="auto"/>
        <w:ind w:left="0" w:firstLine="0"/>
        <w:jc w:val="both"/>
        <w:rPr>
          <w:rFonts w:ascii="Palatino Linotype" w:eastAsia="Palatino Linotype" w:hAnsi="Palatino Linotype" w:cs="Palatino Linotype"/>
          <w:b/>
          <w:bCs/>
        </w:rPr>
      </w:pPr>
      <w:r w:rsidRPr="00E94A19">
        <w:rPr>
          <w:rFonts w:ascii="Palatino Linotype" w:eastAsia="Palatino Linotype" w:hAnsi="Palatino Linotype" w:cs="Palatino Linotype"/>
          <w:b/>
          <w:bCs/>
        </w:rPr>
        <w:t>Clave Única de Registro de Población (CURP).</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De igual manera la </w:t>
      </w:r>
      <w:r w:rsidRPr="00E94A19">
        <w:rPr>
          <w:rFonts w:ascii="Palatino Linotype" w:eastAsia="Palatino Linotype" w:hAnsi="Palatino Linotype" w:cs="Palatino Linotype"/>
          <w:b/>
          <w:bCs/>
        </w:rPr>
        <w:t>Clave Única de Registro de Población (CURP),</w:t>
      </w:r>
      <w:r w:rsidRPr="00E94A19">
        <w:rPr>
          <w:rFonts w:ascii="Palatino Linotype" w:eastAsia="Palatino Linotype" w:hAnsi="Palatino Linotype" w:cs="Palatino Linotype"/>
        </w:rPr>
        <w:t xml:space="preserve">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2D280C" w:rsidRPr="00E94A19" w:rsidRDefault="002D280C">
      <w:pPr>
        <w:tabs>
          <w:tab w:val="left" w:pos="284"/>
        </w:tabs>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Argumento que es compartido por el Instituto Nacional de Transparencia, Acceso a la Información y Protección de Datos Personales, INAI, conforme al criterio orientador 18/17, el cual refiere: </w:t>
      </w:r>
    </w:p>
    <w:p w:rsidR="002D280C" w:rsidRPr="00E94A19" w:rsidRDefault="002178B2">
      <w:pPr>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 xml:space="preserve">“Clave Única de Registro de Población (CURP). </w:t>
      </w:r>
      <w:r w:rsidRPr="00E94A19">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D280C" w:rsidRPr="00E94A19" w:rsidRDefault="002D280C">
      <w:pPr>
        <w:pBdr>
          <w:top w:val="nil"/>
          <w:left w:val="nil"/>
          <w:bottom w:val="nil"/>
          <w:right w:val="nil"/>
          <w:between w:val="nil"/>
        </w:pBdr>
        <w:spacing w:line="360" w:lineRule="auto"/>
        <w:ind w:right="-787"/>
        <w:jc w:val="both"/>
        <w:rPr>
          <w:rFonts w:ascii="Palatino Linotype" w:eastAsia="Palatino Linotype" w:hAnsi="Palatino Linotype" w:cs="Palatino Linotype"/>
        </w:rPr>
      </w:pPr>
    </w:p>
    <w:p w:rsidR="002D280C" w:rsidRPr="00E94A19" w:rsidRDefault="002178B2" w:rsidP="00E94A19">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Cuentas bancarias o clabes interbancarias</w:t>
      </w: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rPr>
        <w:lastRenderedPageBreak/>
        <w:t xml:space="preserve">Resulta importante señalar que </w:t>
      </w:r>
      <w:r w:rsidRPr="00E94A19">
        <w:rPr>
          <w:rFonts w:ascii="Palatino Linotype" w:eastAsia="Palatino Linotype" w:hAnsi="Palatino Linotype" w:cs="Palatino Linotype"/>
          <w:color w:val="000000"/>
        </w:rPr>
        <w:t>tratándose de las cuentas bancarias o clabes interbancarias de los Sujetos Obligados ya que su publicidad cede a la rendición de cuentas al transparentar la forma en que son administrados los recursos públicos.</w:t>
      </w:r>
    </w:p>
    <w:p w:rsidR="002D280C" w:rsidRPr="00E94A19" w:rsidRDefault="002D280C">
      <w:pPr>
        <w:spacing w:line="360" w:lineRule="auto"/>
        <w:ind w:right="276"/>
        <w:jc w:val="both"/>
      </w:pPr>
    </w:p>
    <w:p w:rsidR="002D280C" w:rsidRPr="00E94A19" w:rsidRDefault="002178B2">
      <w:pPr>
        <w:numPr>
          <w:ilvl w:val="0"/>
          <w:numId w:val="3"/>
        </w:numPr>
        <w:spacing w:line="360" w:lineRule="auto"/>
        <w:ind w:left="0" w:right="-787" w:firstLine="0"/>
        <w:jc w:val="both"/>
      </w:pPr>
      <w:r w:rsidRPr="00E94A19">
        <w:rPr>
          <w:rFonts w:ascii="Palatino Linotype" w:eastAsia="Palatino Linotype" w:hAnsi="Palatino Linotype" w:cs="Palatino Linotype"/>
          <w:color w:val="000000"/>
        </w:rPr>
        <w:t xml:space="preserve">Lo </w:t>
      </w:r>
      <w:r w:rsidRPr="00E94A19">
        <w:rPr>
          <w:rFonts w:ascii="Palatino Linotype" w:eastAsia="Palatino Linotype" w:hAnsi="Palatino Linotype" w:cs="Palatino Linotype"/>
        </w:rPr>
        <w:t>argumentado</w:t>
      </w:r>
      <w:r w:rsidRPr="00E94A19">
        <w:rPr>
          <w:rFonts w:ascii="Palatino Linotype" w:eastAsia="Palatino Linotype" w:hAnsi="Palatino Linotype" w:cs="Palatino Linotype"/>
          <w:color w:val="000000"/>
        </w:rPr>
        <w:t xml:space="preserve"> encuentra sustento en los criterios orientadores 10/17 y 11/17 emitidos por el Instituto Nacional de Transparencia, Acceso a la Información y Protección de Datos Personales, INAI, que llevan por rubro y texto los siguientes:</w:t>
      </w:r>
    </w:p>
    <w:p w:rsidR="002D280C" w:rsidRPr="00E94A19" w:rsidRDefault="002178B2">
      <w:pPr>
        <w:pBdr>
          <w:top w:val="nil"/>
          <w:left w:val="nil"/>
          <w:bottom w:val="nil"/>
          <w:right w:val="nil"/>
          <w:between w:val="nil"/>
        </w:pBdr>
        <w:spacing w:before="240" w:after="240"/>
        <w:ind w:left="567" w:right="-291"/>
        <w:jc w:val="both"/>
        <w:rPr>
          <w:rFonts w:ascii="Times New Roman" w:eastAsia="Times New Roman" w:hAnsi="Times New Roman" w:cs="Times New Roman"/>
          <w:color w:val="000000"/>
        </w:rPr>
      </w:pPr>
      <w:r w:rsidRPr="00E94A19">
        <w:rPr>
          <w:rFonts w:ascii="Palatino Linotype" w:eastAsia="Palatino Linotype" w:hAnsi="Palatino Linotype" w:cs="Palatino Linotype"/>
          <w:b/>
          <w:bCs/>
          <w:i/>
          <w:iCs/>
          <w:color w:val="000000"/>
        </w:rPr>
        <w:t>“Cuentas bancarias y/o CLABE interbancaria de personas físicas y morales privadas.</w:t>
      </w:r>
      <w:r w:rsidRPr="00E94A19">
        <w:rPr>
          <w:rFonts w:ascii="Palatino Linotype" w:eastAsia="Palatino Linotype" w:hAnsi="Palatino Linotype" w:cs="Palatino Linotype"/>
          <w:i/>
          <w:iCs/>
          <w:color w:val="000000"/>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2D280C" w:rsidRPr="00E94A19" w:rsidRDefault="002178B2">
      <w:pPr>
        <w:pBdr>
          <w:top w:val="nil"/>
          <w:left w:val="nil"/>
          <w:bottom w:val="nil"/>
          <w:right w:val="nil"/>
          <w:between w:val="nil"/>
        </w:pBdr>
        <w:spacing w:before="240" w:after="240"/>
        <w:ind w:left="567" w:right="-291"/>
        <w:jc w:val="both"/>
        <w:rPr>
          <w:rFonts w:ascii="Palatino Linotype" w:eastAsia="Palatino Linotype" w:hAnsi="Palatino Linotype" w:cs="Palatino Linotype"/>
          <w:i/>
          <w:iCs/>
          <w:color w:val="000000"/>
        </w:rPr>
      </w:pPr>
      <w:r w:rsidRPr="00E94A19">
        <w:rPr>
          <w:rFonts w:ascii="Palatino Linotype" w:eastAsia="Palatino Linotype" w:hAnsi="Palatino Linotype" w:cs="Palatino Linotype"/>
          <w:b/>
          <w:bCs/>
          <w:i/>
          <w:iCs/>
          <w:color w:val="000000"/>
        </w:rPr>
        <w:t>Cuentas bancarias y/o CLABE interbancaria de sujetos obligados que reciben y/o transfieren recursos públicos, son información pública</w:t>
      </w:r>
      <w:r w:rsidRPr="00E94A19">
        <w:rPr>
          <w:rFonts w:ascii="Palatino Linotype" w:eastAsia="Palatino Linotype" w:hAnsi="Palatino Linotype" w:cs="Palatino Linotype"/>
          <w:i/>
          <w:iCs/>
          <w:color w:val="000000"/>
        </w:rPr>
        <w:t>.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2D280C" w:rsidRPr="00E94A19" w:rsidRDefault="002D280C">
      <w:pPr>
        <w:pBdr>
          <w:top w:val="nil"/>
          <w:left w:val="nil"/>
          <w:bottom w:val="nil"/>
          <w:right w:val="nil"/>
          <w:between w:val="nil"/>
        </w:pBdr>
        <w:spacing w:before="240" w:after="240"/>
        <w:ind w:right="1127"/>
        <w:jc w:val="both"/>
        <w:rPr>
          <w:rFonts w:ascii="Palatino Linotype" w:eastAsia="Palatino Linotype" w:hAnsi="Palatino Linotype" w:cs="Palatino Linotype"/>
          <w:i/>
          <w:iCs/>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Si bien las cuentas bancarias y/o CLABE de personas que reciben y/o transfieren recursos públicos corresponden a datos personales, no actualizan la causal de clasificación establecida en el artículo 143, fracción I, de la Ley de Transparencia y Acceso a la Información Pública del Estado de México y Municipios.</w:t>
      </w:r>
    </w:p>
    <w:p w:rsidR="002D280C" w:rsidRDefault="002D280C">
      <w:pPr>
        <w:spacing w:line="360" w:lineRule="auto"/>
        <w:ind w:right="-93"/>
        <w:jc w:val="both"/>
        <w:rPr>
          <w:rFonts w:ascii="Palatino Linotype" w:eastAsia="Palatino Linotype" w:hAnsi="Palatino Linotype" w:cs="Palatino Linotype"/>
        </w:rPr>
      </w:pPr>
    </w:p>
    <w:p w:rsidR="00E94A19" w:rsidRPr="00E94A19" w:rsidRDefault="00E94A19">
      <w:pPr>
        <w:spacing w:line="360" w:lineRule="auto"/>
        <w:ind w:right="-93"/>
        <w:jc w:val="both"/>
        <w:rPr>
          <w:rFonts w:ascii="Palatino Linotype" w:eastAsia="Palatino Linotype" w:hAnsi="Palatino Linotype" w:cs="Palatino Linotype"/>
        </w:rPr>
      </w:pPr>
    </w:p>
    <w:p w:rsidR="002D280C" w:rsidRPr="00E94A19" w:rsidRDefault="002178B2" w:rsidP="00E94A19">
      <w:pPr>
        <w:numPr>
          <w:ilvl w:val="0"/>
          <w:numId w:val="10"/>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lastRenderedPageBreak/>
        <w:t>Nombre, firma y rúbrica de representante legal.</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Al respecto, resulta necesario señalar que las personas jurídico colectivas son representadas mediante personas físicas, debidamente acreditadas para realizar determinados actos a nombre de la jurídico-colectiva, por lo que, el nombre de dichos individuos no puede ser objeto de clasificación, en virtud de que la representación persigue la finalidad de dar certeza jurídica a los actos que realiza, en el presente caso, solicitar y recibir diversas Licencias de Funcionamiento.</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En ese sentido, el artículo 10 de la Ley General de Sociedades Mercantiles, establece que la representación de toda sociedad mercantil corresponderá a su administrador o administradores, quiénes podrán realizar todas las operaciones inherentes al objeto de la sociedad; por lo que, para que surtan efectos los poderes que otorgue dicha empresa bastará su protocolización ante notario público.</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En esa tesitura, la representación de las personas morales se realizará por medio de representantes o apoderados, y en el caso específico de las sociedades mercantiles, dicha representación se otorgará mediante instrumento público.</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Ello, toda vez que la representación legal debe ser conocida para surtir efectos ante terceros; es decir, la publicidad de la misma tiene por objeto dar certeza a quienes se relacionan con la persona jurídico-colectiva representada, que las actuaciones de su representante están previamente autorizadas y que surtirán efectos legales a que constriñe cada acto.</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 xml:space="preserve">En ese orden de ideas, se estima que si bien, el nombre es uno de los atributos de la personalidad y la manifestación principal del derecho subjetivo a la identidad, en virtud de que hace una persona física identificada o identificable; lo cierto es que el </w:t>
      </w:r>
      <w:r w:rsidRPr="00E94A19">
        <w:rPr>
          <w:rFonts w:ascii="Palatino Linotype" w:eastAsia="Palatino Linotype" w:hAnsi="Palatino Linotype" w:cs="Palatino Linotype"/>
          <w:b/>
          <w:bCs/>
        </w:rPr>
        <w:t>nombre, la firma y la rúbrica del apoderado legal de una empresa</w:t>
      </w:r>
      <w:r w:rsidRPr="00E94A19">
        <w:rPr>
          <w:rFonts w:ascii="Palatino Linotype" w:eastAsia="Palatino Linotype" w:hAnsi="Palatino Linotype" w:cs="Palatino Linotype"/>
        </w:rPr>
        <w:t xml:space="preserve">, </w:t>
      </w:r>
      <w:r w:rsidRPr="00E94A19">
        <w:rPr>
          <w:rFonts w:ascii="Palatino Linotype" w:eastAsia="Palatino Linotype" w:hAnsi="Palatino Linotype" w:cs="Palatino Linotype"/>
          <w:b/>
          <w:bCs/>
        </w:rPr>
        <w:t xml:space="preserve">es público, </w:t>
      </w:r>
      <w:r w:rsidRPr="00E94A19">
        <w:rPr>
          <w:rFonts w:ascii="Palatino Linotype" w:eastAsia="Palatino Linotype" w:hAnsi="Palatino Linotype" w:cs="Palatino Linotype"/>
        </w:rPr>
        <w:t xml:space="preserve">toda vez que por conducto de este, una persona jurídico-colectiva realiza cualquier acto jurídico; es decir, la publicidad de dicho dato da certeza a quienes se relacionan con la persona representada, partiendo del supuesto de que las actuaciones de su representante están previamente autorizadas y que surtirán los efectos legales a que se constriñe en cada acto. </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Lo anterior, se robustece con el criterio orientador 01/19, emitido por el Instituto Nacional de Transparencia, Acceso a la Información Pública y Protección de Datos Personales, que establece lo siguiente:</w:t>
      </w:r>
    </w:p>
    <w:p w:rsidR="002D280C" w:rsidRPr="00E94A19" w:rsidRDefault="002178B2">
      <w:pPr>
        <w:tabs>
          <w:tab w:val="left" w:pos="8080"/>
        </w:tabs>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b/>
          <w:bCs/>
          <w:i/>
          <w:iCs/>
        </w:rPr>
        <w:t>Datos de identificación del representante o apoderado legal.</w:t>
      </w:r>
      <w:r w:rsidRPr="00E94A19">
        <w:rPr>
          <w:rFonts w:ascii="Palatino Linotype" w:eastAsia="Palatino Linotype" w:hAnsi="Palatino Linotype" w:cs="Palatino Linotype"/>
          <w:i/>
          <w:iCs/>
        </w:rPr>
        <w:t xml:space="preserve"> </w:t>
      </w:r>
      <w:r w:rsidRPr="00E94A19">
        <w:rPr>
          <w:rFonts w:ascii="Palatino Linotype" w:eastAsia="Palatino Linotype" w:hAnsi="Palatino Linotype" w:cs="Palatino Linotype"/>
          <w:b/>
          <w:bCs/>
          <w:i/>
          <w:iCs/>
        </w:rPr>
        <w:t xml:space="preserve">Naturaleza jurídica. </w:t>
      </w:r>
      <w:r w:rsidRPr="00E94A19">
        <w:rPr>
          <w:rFonts w:ascii="Palatino Linotype" w:eastAsia="Palatino Linotype" w:hAnsi="Palatino Linotype" w:cs="Palatino Linotype"/>
          <w:i/>
          <w:iCs/>
        </w:rPr>
        <w:t>El nombre, la firma y la rúbrica de una persona física, que actúe como representante o apoderado legal de un tercero que haya celebrado un acto jurídico, con algún sujeto obligado, es información pública, en razón de que tales datos fueron proporcionados con el objeto de expresar el consentimiento obligacional del tercero y otorgar validez a dicho instrumento jurídico.</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Ante tales situaciones, </w:t>
      </w:r>
      <w:r w:rsidRPr="00E94A19">
        <w:rPr>
          <w:rFonts w:ascii="Palatino Linotype" w:eastAsia="Palatino Linotype" w:hAnsi="Palatino Linotype" w:cs="Palatino Linotype"/>
          <w:b/>
          <w:bCs/>
        </w:rPr>
        <w:t>el nombre, firma y rúbrica del representante legal</w:t>
      </w:r>
      <w:r w:rsidRPr="00E94A19">
        <w:rPr>
          <w:rFonts w:ascii="Palatino Linotype" w:eastAsia="Palatino Linotype" w:hAnsi="Palatino Linotype" w:cs="Palatino Linotype"/>
        </w:rPr>
        <w:t xml:space="preserve">, de una persona jurídica colectiva que solicitó una Licencia de Funcionamiento, </w:t>
      </w:r>
      <w:r w:rsidRPr="00E94A19">
        <w:rPr>
          <w:rFonts w:ascii="Palatino Linotype" w:eastAsia="Palatino Linotype" w:hAnsi="Palatino Linotype" w:cs="Palatino Linotype"/>
          <w:b/>
          <w:bCs/>
        </w:rPr>
        <w:t>no es susceptible de ser clasificado como confidencial</w:t>
      </w:r>
      <w:r w:rsidRPr="00E94A19">
        <w:rPr>
          <w:rFonts w:ascii="Palatino Linotype" w:eastAsia="Palatino Linotype" w:hAnsi="Palatino Linotype" w:cs="Palatino Linotype"/>
        </w:rPr>
        <w:t>, en términos del artículo 143, fracción I de la Ley Federal de Transparencia y Acceso a la Información Pública; inclusive ayuda a rendir cuentas, de que dicha autorización fue entregada a la persona adecuada.</w:t>
      </w:r>
    </w:p>
    <w:p w:rsidR="002D280C" w:rsidRDefault="002D280C">
      <w:pPr>
        <w:spacing w:line="360" w:lineRule="auto"/>
        <w:ind w:right="-787"/>
        <w:jc w:val="both"/>
        <w:rPr>
          <w:rFonts w:ascii="Palatino Linotype" w:eastAsia="Palatino Linotype" w:hAnsi="Palatino Linotype" w:cs="Palatino Linotype"/>
        </w:rPr>
      </w:pPr>
    </w:p>
    <w:p w:rsidR="00E94A19" w:rsidRDefault="00E94A19">
      <w:pPr>
        <w:spacing w:line="360" w:lineRule="auto"/>
        <w:ind w:right="-787"/>
        <w:jc w:val="both"/>
        <w:rPr>
          <w:rFonts w:ascii="Palatino Linotype" w:eastAsia="Palatino Linotype" w:hAnsi="Palatino Linotype" w:cs="Palatino Linotype"/>
        </w:rPr>
      </w:pPr>
    </w:p>
    <w:p w:rsidR="00E94A19" w:rsidRPr="00E94A19" w:rsidRDefault="00E94A19">
      <w:pPr>
        <w:spacing w:line="360" w:lineRule="auto"/>
        <w:ind w:right="-787"/>
        <w:jc w:val="both"/>
        <w:rPr>
          <w:rFonts w:ascii="Palatino Linotype" w:eastAsia="Palatino Linotype" w:hAnsi="Palatino Linotype" w:cs="Palatino Linotype"/>
        </w:rPr>
      </w:pPr>
    </w:p>
    <w:p w:rsidR="002D280C" w:rsidRPr="00E94A19" w:rsidRDefault="002178B2" w:rsidP="00E94A19">
      <w:pPr>
        <w:numPr>
          <w:ilvl w:val="0"/>
          <w:numId w:val="11"/>
        </w:numPr>
        <w:pBdr>
          <w:top w:val="nil"/>
          <w:left w:val="nil"/>
          <w:bottom w:val="nil"/>
          <w:right w:val="nil"/>
          <w:between w:val="nil"/>
        </w:pBdr>
        <w:shd w:val="clear" w:color="auto" w:fill="FFFFFF"/>
        <w:spacing w:line="360" w:lineRule="auto"/>
        <w:ind w:left="0"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lastRenderedPageBreak/>
        <w:t>Domicilio Fiscal o legal (proveedor persona física o moral)</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De acuerdo a lo señalado en los artículos 2.17 y 2.21 del Código Civil del Estado de México, el domicilio de una persona física, es el lugar donde reside, en donde tiene el principal asiento de negocios, o en su caso, el dónde se halle; mientras, que el de personas jurídicas colectivas, es aquel donde se halle establecida su administración o ejerza sus actividades.</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Además, respecto al domicilio fiscal, resulta necesario traer el artículo 22 del Código Financiero del Estado de México y Municipios, que establece:</w:t>
      </w:r>
    </w:p>
    <w:p w:rsidR="002D280C" w:rsidRPr="00E94A19" w:rsidRDefault="002178B2">
      <w:pPr>
        <w:tabs>
          <w:tab w:val="left" w:pos="8080"/>
        </w:tabs>
        <w:ind w:left="567" w:right="-716"/>
        <w:jc w:val="both"/>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 xml:space="preserve">Artículo 22.- Se considera domicilio fiscal de las personas físicas y </w:t>
      </w:r>
      <w:r w:rsidRPr="00E94A19">
        <w:rPr>
          <w:rFonts w:ascii="Palatino Linotype" w:eastAsia="Palatino Linotype" w:hAnsi="Palatino Linotype" w:cs="Palatino Linotype"/>
          <w:i/>
          <w:iCs/>
        </w:rPr>
        <w:t>jurídicas</w:t>
      </w:r>
      <w:r w:rsidRPr="00E94A19">
        <w:rPr>
          <w:rFonts w:ascii="Palatino Linotype" w:eastAsia="Palatino Linotype" w:hAnsi="Palatino Linotype" w:cs="Palatino Linotype"/>
          <w:b/>
          <w:bCs/>
          <w:i/>
          <w:iCs/>
        </w:rPr>
        <w:t xml:space="preserve"> colectivas: </w:t>
      </w:r>
    </w:p>
    <w:p w:rsidR="002D280C" w:rsidRPr="00E94A19" w:rsidRDefault="002D280C">
      <w:pPr>
        <w:shd w:val="clear" w:color="auto" w:fill="FFFFFF"/>
        <w:ind w:left="1134" w:right="902"/>
        <w:jc w:val="both"/>
        <w:rPr>
          <w:rFonts w:ascii="Palatino Linotype" w:eastAsia="Palatino Linotype" w:hAnsi="Palatino Linotype" w:cs="Palatino Linotype"/>
          <w:i/>
          <w:iCs/>
        </w:rPr>
      </w:pPr>
    </w:p>
    <w:p w:rsidR="002D280C" w:rsidRPr="00E94A19" w:rsidRDefault="002178B2">
      <w:pPr>
        <w:tabs>
          <w:tab w:val="left" w:pos="8080"/>
        </w:tabs>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 El lugar o establecimiento donde se realicen actividades que generen obligaciones fiscales. </w:t>
      </w:r>
    </w:p>
    <w:p w:rsidR="002D280C" w:rsidRPr="00E94A19" w:rsidRDefault="002D280C">
      <w:pPr>
        <w:tabs>
          <w:tab w:val="left" w:pos="8080"/>
        </w:tabs>
        <w:ind w:left="567" w:right="-716"/>
        <w:jc w:val="both"/>
        <w:rPr>
          <w:rFonts w:ascii="Palatino Linotype" w:eastAsia="Palatino Linotype" w:hAnsi="Palatino Linotype" w:cs="Palatino Linotype"/>
          <w:i/>
          <w:iCs/>
        </w:rPr>
      </w:pPr>
    </w:p>
    <w:p w:rsidR="002D280C" w:rsidRPr="00E94A19" w:rsidRDefault="002178B2">
      <w:pPr>
        <w:tabs>
          <w:tab w:val="left" w:pos="8080"/>
        </w:tabs>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II. El lugar o establecimiento en que se realice el hecho generador de la obligación fiscal, cuando las actividades no se realicen en forma habitual. </w:t>
      </w:r>
    </w:p>
    <w:p w:rsidR="002D280C" w:rsidRPr="00E94A19" w:rsidRDefault="002D280C">
      <w:pPr>
        <w:tabs>
          <w:tab w:val="left" w:pos="8080"/>
        </w:tabs>
        <w:ind w:left="567" w:right="-716"/>
        <w:jc w:val="both"/>
        <w:rPr>
          <w:rFonts w:ascii="Palatino Linotype" w:eastAsia="Palatino Linotype" w:hAnsi="Palatino Linotype" w:cs="Palatino Linotype"/>
          <w:i/>
          <w:iCs/>
        </w:rPr>
      </w:pPr>
    </w:p>
    <w:p w:rsidR="002D280C" w:rsidRPr="00E94A19" w:rsidRDefault="002178B2">
      <w:pPr>
        <w:tabs>
          <w:tab w:val="left" w:pos="8080"/>
        </w:tabs>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III. El inmueble en el que residan en el territorio del Estado de México, cuando realicen sus actividades en la vía pública, en puestos fijos y semifijos; </w:t>
      </w:r>
    </w:p>
    <w:p w:rsidR="002D280C" w:rsidRPr="00E94A19" w:rsidRDefault="002D280C">
      <w:pPr>
        <w:tabs>
          <w:tab w:val="left" w:pos="8080"/>
        </w:tabs>
        <w:ind w:left="567" w:right="-716"/>
        <w:jc w:val="both"/>
        <w:rPr>
          <w:rFonts w:ascii="Palatino Linotype" w:eastAsia="Palatino Linotype" w:hAnsi="Palatino Linotype" w:cs="Palatino Linotype"/>
          <w:i/>
          <w:iCs/>
        </w:rPr>
      </w:pPr>
    </w:p>
    <w:p w:rsidR="002D280C" w:rsidRPr="00E94A19" w:rsidRDefault="002178B2">
      <w:pPr>
        <w:tabs>
          <w:tab w:val="left" w:pos="8080"/>
        </w:tabs>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 xml:space="preserve">IV. La residencia que identifique la autoridad fiscal, cuando exista certeza de que es el único lugar posible de localización del contribuyente. </w:t>
      </w:r>
    </w:p>
    <w:p w:rsidR="002D280C" w:rsidRPr="00E94A19" w:rsidRDefault="002D280C">
      <w:pPr>
        <w:tabs>
          <w:tab w:val="left" w:pos="8080"/>
        </w:tabs>
        <w:ind w:left="567" w:right="-716"/>
        <w:jc w:val="both"/>
        <w:rPr>
          <w:rFonts w:ascii="Palatino Linotype" w:eastAsia="Palatino Linotype" w:hAnsi="Palatino Linotype" w:cs="Palatino Linotype"/>
          <w:i/>
          <w:iCs/>
        </w:rPr>
      </w:pPr>
    </w:p>
    <w:p w:rsidR="002D280C" w:rsidRPr="00E94A19" w:rsidRDefault="002178B2">
      <w:pPr>
        <w:tabs>
          <w:tab w:val="left" w:pos="8080"/>
        </w:tabs>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V. Aquel que señalen a las entidades financieras o sociedades cooperativas de ahorro y préstamo, cuando sean usuarios de los servicios que presten estas, siempre que los contribuyentes no hayan manifestado alguno de los domicilios citados en las fracciones anteriores o no hayan sido localizados en los mismos.</w:t>
      </w:r>
    </w:p>
    <w:p w:rsidR="002D280C" w:rsidRPr="00E94A19" w:rsidRDefault="002178B2">
      <w:pPr>
        <w:tabs>
          <w:tab w:val="left" w:pos="8080"/>
        </w:tabs>
        <w:ind w:left="567" w:right="-716"/>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p>
    <w:p w:rsidR="002D280C" w:rsidRPr="00E94A19" w:rsidRDefault="002D280C">
      <w:pPr>
        <w:jc w:val="both"/>
        <w:rPr>
          <w:rFonts w:ascii="Palatino Linotype" w:eastAsia="Palatino Linotype" w:hAnsi="Palatino Linotype" w:cs="Palatino Linotype"/>
        </w:rPr>
      </w:pPr>
    </w:p>
    <w:p w:rsidR="002D280C" w:rsidRPr="00E94A19" w:rsidRDefault="002178B2" w:rsidP="00E94A19">
      <w:pPr>
        <w:numPr>
          <w:ilvl w:val="0"/>
          <w:numId w:val="11"/>
        </w:numPr>
        <w:pBdr>
          <w:top w:val="nil"/>
          <w:left w:val="nil"/>
          <w:bottom w:val="nil"/>
          <w:right w:val="nil"/>
          <w:between w:val="nil"/>
        </w:pBdr>
        <w:spacing w:line="360" w:lineRule="auto"/>
        <w:ind w:left="0" w:right="-787" w:firstLine="0"/>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Número telefónico</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b/>
          <w:bCs/>
        </w:rPr>
        <w:t>Un</w:t>
      </w:r>
      <w:r w:rsidRPr="00E94A19">
        <w:rPr>
          <w:rFonts w:ascii="Palatino Linotype" w:eastAsia="Palatino Linotype" w:hAnsi="Palatino Linotype" w:cs="Palatino Linotype"/>
        </w:rPr>
        <w:t> </w:t>
      </w:r>
      <w:r w:rsidRPr="00E94A19">
        <w:rPr>
          <w:rFonts w:ascii="Palatino Linotype" w:eastAsia="Palatino Linotype" w:hAnsi="Palatino Linotype" w:cs="Palatino Linotype"/>
          <w:b/>
          <w:bCs/>
        </w:rPr>
        <w:t>número de teléfono</w:t>
      </w:r>
      <w:r w:rsidRPr="00E94A19">
        <w:rPr>
          <w:rFonts w:ascii="Palatino Linotype" w:eastAsia="Palatino Linotype" w:hAnsi="Palatino Linotype" w:cs="Palatino Linotype"/>
        </w:rPr>
        <w:t> es una secuencia de </w:t>
      </w:r>
      <w:r w:rsidRPr="00E94A19">
        <w:rPr>
          <w:rFonts w:ascii="Palatino Linotype" w:eastAsia="Palatino Linotype" w:hAnsi="Palatino Linotype" w:cs="Palatino Linotype"/>
          <w:color w:val="000000"/>
        </w:rPr>
        <w:t>dígitos</w:t>
      </w:r>
      <w:r w:rsidRPr="00E94A19">
        <w:rPr>
          <w:rFonts w:ascii="Palatino Linotype" w:eastAsia="Palatino Linotype" w:hAnsi="Palatino Linotype" w:cs="Palatino Linotype"/>
        </w:rPr>
        <w:t> utilizada para identificar una </w:t>
      </w:r>
      <w:r w:rsidRPr="00E94A19">
        <w:rPr>
          <w:rFonts w:ascii="Palatino Linotype" w:eastAsia="Palatino Linotype" w:hAnsi="Palatino Linotype" w:cs="Palatino Linotype"/>
          <w:color w:val="000000"/>
        </w:rPr>
        <w:t>línea telefónica</w:t>
      </w:r>
      <w:r w:rsidRPr="00E94A19">
        <w:rPr>
          <w:rFonts w:ascii="Palatino Linotype" w:eastAsia="Palatino Linotype" w:hAnsi="Palatino Linotype" w:cs="Palatino Linotype"/>
        </w:rPr>
        <w:t> dentro de una </w:t>
      </w:r>
      <w:r w:rsidRPr="00E94A19">
        <w:rPr>
          <w:rFonts w:ascii="Palatino Linotype" w:eastAsia="Palatino Linotype" w:hAnsi="Palatino Linotype" w:cs="Palatino Linotype"/>
          <w:color w:val="000000"/>
        </w:rPr>
        <w:t>Red Telefónica Conmutada</w:t>
      </w:r>
      <w:r w:rsidRPr="00E94A19">
        <w:rPr>
          <w:rFonts w:ascii="Palatino Linotype" w:eastAsia="Palatino Linotype" w:hAnsi="Palatino Linotype" w:cs="Palatino Linotype"/>
        </w:rPr>
        <w:t xml:space="preserve">, el número contiene la información </w:t>
      </w:r>
      <w:r w:rsidRPr="00E94A19">
        <w:rPr>
          <w:rFonts w:ascii="Palatino Linotype" w:eastAsia="Palatino Linotype" w:hAnsi="Palatino Linotype" w:cs="Palatino Linotype"/>
        </w:rPr>
        <w:lastRenderedPageBreak/>
        <w:t>necesaria para identificar el punto final de la llamada. Los números de teléfono están a menudo asignados a líneas que tienen conectados dispositivos distintos de un </w:t>
      </w:r>
      <w:r w:rsidRPr="00E94A19">
        <w:rPr>
          <w:rFonts w:ascii="Palatino Linotype" w:eastAsia="Palatino Linotype" w:hAnsi="Palatino Linotype" w:cs="Palatino Linotype"/>
          <w:color w:val="000000"/>
        </w:rPr>
        <w:t>teléfono</w:t>
      </w:r>
      <w:r w:rsidRPr="00E94A19">
        <w:rPr>
          <w:rFonts w:ascii="Palatino Linotype" w:eastAsia="Palatino Linotype" w:hAnsi="Palatino Linotype" w:cs="Palatino Linotype"/>
        </w:rPr>
        <w:t>, tales como </w:t>
      </w:r>
      <w:r w:rsidRPr="00E94A19">
        <w:rPr>
          <w:rFonts w:ascii="Palatino Linotype" w:eastAsia="Palatino Linotype" w:hAnsi="Palatino Linotype" w:cs="Palatino Linotype"/>
          <w:color w:val="000000"/>
        </w:rPr>
        <w:t>faxes</w:t>
      </w:r>
      <w:r w:rsidRPr="00E94A19">
        <w:rPr>
          <w:rFonts w:ascii="Palatino Linotype" w:eastAsia="Palatino Linotype" w:hAnsi="Palatino Linotype" w:cs="Palatino Linotype"/>
        </w:rPr>
        <w:t> y </w:t>
      </w:r>
      <w:r w:rsidRPr="00E94A19">
        <w:rPr>
          <w:rFonts w:ascii="Palatino Linotype" w:eastAsia="Palatino Linotype" w:hAnsi="Palatino Linotype" w:cs="Palatino Linotype"/>
          <w:color w:val="000000"/>
        </w:rPr>
        <w:t>módems</w:t>
      </w:r>
      <w:r w:rsidRPr="00E94A19">
        <w:rPr>
          <w:rFonts w:ascii="Palatino Linotype" w:eastAsia="Palatino Linotype" w:hAnsi="Palatino Linotype" w:cs="Palatino Linotype"/>
        </w:rPr>
        <w:t>. Cada uno de esos </w:t>
      </w:r>
      <w:r w:rsidRPr="00E94A19">
        <w:rPr>
          <w:rFonts w:ascii="Palatino Linotype" w:eastAsia="Palatino Linotype" w:hAnsi="Palatino Linotype" w:cs="Palatino Linotype"/>
          <w:color w:val="000000"/>
        </w:rPr>
        <w:t>puntos de terminación de red</w:t>
      </w:r>
      <w:r w:rsidRPr="00E94A19">
        <w:rPr>
          <w:rFonts w:ascii="Palatino Linotype" w:eastAsia="Palatino Linotype" w:hAnsi="Palatino Linotype" w:cs="Palatino Linotype"/>
        </w:rPr>
        <w:t> deben de tener un número único en la red para poder realizar una </w:t>
      </w:r>
      <w:r w:rsidRPr="00E94A19">
        <w:rPr>
          <w:rFonts w:ascii="Palatino Linotype" w:eastAsia="Palatino Linotype" w:hAnsi="Palatino Linotype" w:cs="Palatino Linotype"/>
          <w:color w:val="000000"/>
        </w:rPr>
        <w:t>llamada telefónica</w:t>
      </w:r>
      <w:r w:rsidRPr="00E94A19">
        <w:rPr>
          <w:rFonts w:ascii="Palatino Linotype" w:eastAsia="Palatino Linotype" w:hAnsi="Palatino Linotype" w:cs="Palatino Linotype"/>
        </w:rPr>
        <w:t>.</w:t>
      </w:r>
    </w:p>
    <w:p w:rsidR="002D280C" w:rsidRPr="00E94A19" w:rsidRDefault="002D280C">
      <w:pPr>
        <w:spacing w:line="360" w:lineRule="auto"/>
        <w:ind w:right="-93"/>
        <w:jc w:val="both"/>
        <w:rPr>
          <w:rFonts w:ascii="Palatino Linotype" w:eastAsia="Palatino Linotype" w:hAnsi="Palatino Linotype" w:cs="Palatino Linotype"/>
        </w:rPr>
      </w:pPr>
    </w:p>
    <w:p w:rsidR="002D280C" w:rsidRPr="00E94A19" w:rsidRDefault="002178B2" w:rsidP="00E94A19">
      <w:pPr>
        <w:numPr>
          <w:ilvl w:val="0"/>
          <w:numId w:val="1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b/>
          <w:bCs/>
          <w:color w:val="000000"/>
        </w:rPr>
        <w:t>Correo electrónico</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El </w:t>
      </w:r>
      <w:r w:rsidRPr="00E94A19">
        <w:rPr>
          <w:rFonts w:ascii="Palatino Linotype" w:eastAsia="Palatino Linotype" w:hAnsi="Palatino Linotype" w:cs="Palatino Linotype"/>
          <w:b/>
          <w:bCs/>
        </w:rPr>
        <w:t>correo electrónico</w:t>
      </w:r>
      <w:r w:rsidRPr="00E94A19">
        <w:rPr>
          <w:rFonts w:ascii="Palatino Linotype" w:eastAsia="Palatino Linotype" w:hAnsi="Palatino Linotype" w:cs="Palatino Linotype"/>
        </w:rPr>
        <w:t xml:space="preserve"> es un sistema de transmisión de mensajes a través de internet. Dicho dato se puede asimilar al teléfono o domicilio particular, cuya nomenclatura, se considera como un dato personal, toda vez que es un medio para comunicarse con la persona titular del mismo, la hace localizable e incluso identificable, al poder estar conformado por parte de su nombre o bien, fecha de nacimiento.</w:t>
      </w:r>
    </w:p>
    <w:p w:rsidR="002D280C" w:rsidRPr="00E94A19" w:rsidRDefault="002D280C">
      <w:pPr>
        <w:spacing w:line="360" w:lineRule="auto"/>
        <w:jc w:val="both"/>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Al respecto debe mencionarse que conforme a lo establecido en los criterios números 16, 18 y 19 de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correspondiente a la fracción XXXII. “Padrón de proveedores y contratistas” de la Ley General de Transparencia, artículo 70, </w:t>
      </w:r>
      <w:r w:rsidRPr="00E94A19">
        <w:rPr>
          <w:rFonts w:ascii="Palatino Linotype" w:eastAsia="Palatino Linotype" w:hAnsi="Palatino Linotype" w:cs="Palatino Linotype"/>
          <w:b/>
          <w:bCs/>
        </w:rPr>
        <w:t>el domicilio fiscal, y datos de contacto como teléfono y correo electrónico de los proveedores y contratistas, es un dato que debe ser público, motivo por el cual no es procedente que se realice su clasificación como confidencial.</w:t>
      </w:r>
    </w:p>
    <w:p w:rsidR="002D280C" w:rsidRPr="00E94A19" w:rsidRDefault="002D280C">
      <w:pPr>
        <w:spacing w:line="360" w:lineRule="auto"/>
        <w:ind w:right="-787"/>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lastRenderedPageBreak/>
        <w:t>Asimismo, existe diversa información en los documentos fiscales que constituyen un elemento adicional que permite a cualquier persona verificar la legitimidad del documento, por sí solos no contienen datos personales susceptibles de clasificación, ya que no hacen identificable al titular, pues dichos datos sólo son de utilidad de manera directa a la Secretaría de Hacienda y Crédito Público y si bien, en un momento derivan información personal de los contribuyentes, esta se encuentra encriptada como se verá a continuación.</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rsidP="00E94A19">
      <w:pPr>
        <w:pStyle w:val="Prrafodelista"/>
        <w:numPr>
          <w:ilvl w:val="0"/>
          <w:numId w:val="13"/>
        </w:numPr>
        <w:spacing w:line="360" w:lineRule="auto"/>
        <w:ind w:left="0" w:firstLine="0"/>
        <w:jc w:val="both"/>
        <w:rPr>
          <w:rFonts w:ascii="Palatino Linotype" w:eastAsia="Palatino Linotype" w:hAnsi="Palatino Linotype" w:cs="Palatino Linotype"/>
          <w:b/>
          <w:bCs/>
        </w:rPr>
      </w:pPr>
      <w:r w:rsidRPr="00E94A19">
        <w:rPr>
          <w:rFonts w:ascii="Palatino Linotype" w:eastAsia="Palatino Linotype" w:hAnsi="Palatino Linotype" w:cs="Palatino Linotype"/>
          <w:b/>
          <w:bCs/>
        </w:rPr>
        <w:t xml:space="preserve">Código Bidimensional o QR. </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En principio, resulta necesario señalar que los comprobantes fiscales digitales por Internet, deben de incluir un código bidimensional conforme al formato QR Code (Quick Response Code), el cual contiene el Registro Federal de Contribuyentes del receptor, del emisor, o de ambos; lo anterior, conforme al Anexo 20 de la Segunda Resolución de modificación a la Resolución Miscelánea Fiscal para el 2017, localizada en la página electrónica </w:t>
      </w:r>
      <w:hyperlink r:id="rId9">
        <w:r w:rsidRPr="00E94A19">
          <w:rPr>
            <w:rFonts w:ascii="Palatino Linotype" w:eastAsia="Palatino Linotype" w:hAnsi="Palatino Linotype" w:cs="Palatino Linotype"/>
            <w:color w:val="0000FF"/>
            <w:u w:val="single"/>
          </w:rPr>
          <w:t>http://dof.gob.mx/nota_detalle.php?codigo=5492254&amp;fecha=28/07/2017</w:t>
        </w:r>
      </w:hyperlink>
      <w:r w:rsidRPr="00E94A19">
        <w:rPr>
          <w:rFonts w:ascii="Palatino Linotype" w:eastAsia="Palatino Linotype" w:hAnsi="Palatino Linotype" w:cs="Palatino Linotype"/>
        </w:rPr>
        <w:t xml:space="preserve">. Incluso con la captura de dicho código, a través de la aplicación móvil del Servicio de Administración Tributaria, permite el acceso al Registro Federal de Contribuyentes, como del Sujeto Obligado, como del proveedor, persona física o moral. </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En ese orden de ideas, toda vez que el </w:t>
      </w:r>
      <w:r w:rsidRPr="00E94A19">
        <w:rPr>
          <w:rFonts w:ascii="Palatino Linotype" w:eastAsia="Palatino Linotype" w:hAnsi="Palatino Linotype" w:cs="Palatino Linotype"/>
          <w:b/>
          <w:bCs/>
        </w:rPr>
        <w:t>código bidimensional</w:t>
      </w:r>
      <w:r w:rsidRPr="00E94A19">
        <w:rPr>
          <w:rFonts w:ascii="Palatino Linotype" w:eastAsia="Palatino Linotype" w:hAnsi="Palatino Linotype" w:cs="Palatino Linotype"/>
        </w:rPr>
        <w:t xml:space="preserve"> sólo permite el acceso al Registro Federal de Contribuyentes del proveedor y del Sujeto Obligado, los cuales guardan la naturaleza pública, se considera que </w:t>
      </w:r>
      <w:r w:rsidRPr="00E94A19">
        <w:rPr>
          <w:rFonts w:ascii="Palatino Linotype" w:eastAsia="Palatino Linotype" w:hAnsi="Palatino Linotype" w:cs="Palatino Linotype"/>
          <w:b/>
          <w:bCs/>
        </w:rPr>
        <w:t>no se actualiza la causal de clasificación</w:t>
      </w:r>
      <w:r w:rsidRPr="00E94A19">
        <w:rPr>
          <w:rFonts w:ascii="Palatino Linotype" w:eastAsia="Palatino Linotype" w:hAnsi="Palatino Linotype" w:cs="Palatino Linotype"/>
        </w:rPr>
        <w:t xml:space="preserve"> prevista en el artículo 143, fracción I de la Ley de la materia, toda vez que únicamente da cuenta de datos que como se analizó en párrafos anteriores, no son susceptibles a testar.</w:t>
      </w:r>
    </w:p>
    <w:p w:rsidR="002D280C" w:rsidRPr="00E94A19" w:rsidRDefault="002D280C">
      <w:pPr>
        <w:spacing w:line="360" w:lineRule="auto"/>
        <w:jc w:val="both"/>
        <w:rPr>
          <w:rFonts w:ascii="Palatino Linotype" w:eastAsia="Palatino Linotype" w:hAnsi="Palatino Linotype" w:cs="Palatino Linotype"/>
        </w:rPr>
      </w:pPr>
    </w:p>
    <w:p w:rsidR="002D280C" w:rsidRPr="00E94A19" w:rsidRDefault="002178B2" w:rsidP="00E94A19">
      <w:pPr>
        <w:pStyle w:val="Prrafodelista"/>
        <w:numPr>
          <w:ilvl w:val="0"/>
          <w:numId w:val="13"/>
        </w:numPr>
        <w:ind w:left="0" w:right="-91" w:firstLine="0"/>
        <w:jc w:val="both"/>
        <w:rPr>
          <w:rFonts w:ascii="Palatino Linotype" w:eastAsia="Palatino Linotype" w:hAnsi="Palatino Linotype" w:cs="Palatino Linotype"/>
          <w:b/>
          <w:bCs/>
        </w:rPr>
      </w:pPr>
      <w:r w:rsidRPr="00E94A19">
        <w:rPr>
          <w:rFonts w:ascii="Palatino Linotype" w:eastAsia="Palatino Linotype" w:hAnsi="Palatino Linotype" w:cs="Palatino Linotype"/>
          <w:b/>
          <w:bCs/>
        </w:rPr>
        <w:lastRenderedPageBreak/>
        <w:t>Cadenas originales y sellos.</w:t>
      </w: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Las</w:t>
      </w:r>
      <w:r w:rsidRPr="00E94A19">
        <w:rPr>
          <w:rFonts w:ascii="Palatino Linotype" w:eastAsia="Palatino Linotype" w:hAnsi="Palatino Linotype" w:cs="Palatino Linotype"/>
          <w:b/>
          <w:bCs/>
        </w:rPr>
        <w:t xml:space="preserve"> cadenas originales y sellos</w:t>
      </w:r>
      <w:r w:rsidRPr="00E94A19">
        <w:rPr>
          <w:rFonts w:ascii="Palatino Linotype" w:eastAsia="Palatino Linotype" w:hAnsi="Palatino Linotype" w:cs="Palatino Linotype"/>
        </w:rPr>
        <w:t xml:space="preserve"> que se agregan a las facturas, tienen una secuencia de generación, determinados con base en el ANEXO 20 de la Segunda Resolución de 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002D280C" w:rsidRPr="00E94A19" w:rsidRDefault="002178B2">
      <w:pPr>
        <w:ind w:left="1134" w:right="992"/>
        <w:jc w:val="center"/>
        <w:rPr>
          <w:rFonts w:ascii="Palatino Linotype" w:eastAsia="Palatino Linotype" w:hAnsi="Palatino Linotype" w:cs="Palatino Linotype"/>
          <w:b/>
          <w:bCs/>
          <w:i/>
          <w:iCs/>
        </w:rPr>
      </w:pPr>
      <w:r w:rsidRPr="00E94A19">
        <w:rPr>
          <w:rFonts w:ascii="Palatino Linotype" w:eastAsia="Palatino Linotype" w:hAnsi="Palatino Linotype" w:cs="Palatino Linotype"/>
          <w:b/>
          <w:bCs/>
          <w:i/>
          <w:iCs/>
        </w:rPr>
        <w:t>“Elementos utilizados en la generación de Sellos Digitales:</w:t>
      </w:r>
    </w:p>
    <w:p w:rsidR="002D280C" w:rsidRPr="00E94A19" w:rsidRDefault="002D280C">
      <w:pPr>
        <w:ind w:left="1134" w:right="992"/>
        <w:rPr>
          <w:rFonts w:ascii="Palatino Linotype" w:eastAsia="Palatino Linotype" w:hAnsi="Palatino Linotype" w:cs="Palatino Linotype"/>
          <w:b/>
          <w:bCs/>
          <w:i/>
          <w:iCs/>
        </w:rPr>
      </w:pPr>
    </w:p>
    <w:p w:rsidR="002D280C" w:rsidRPr="00E94A19" w:rsidRDefault="002178B2">
      <w:pPr>
        <w:ind w:left="1134" w:right="992"/>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i/>
          <w:iCs/>
        </w:rPr>
        <w:tab/>
        <w:t>Cadena Original, el elemento a sellar, en este caso de un comprobante fiscal digital a través de Internet.</w:t>
      </w:r>
    </w:p>
    <w:p w:rsidR="002D280C" w:rsidRPr="00E94A19" w:rsidRDefault="002178B2">
      <w:pPr>
        <w:ind w:left="1134" w:right="992"/>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i/>
          <w:iCs/>
        </w:rPr>
        <w:tab/>
        <w:t>Certificado de Sello Digital y su correspondiente clave privada.</w:t>
      </w:r>
    </w:p>
    <w:p w:rsidR="002D280C" w:rsidRPr="00E94A19" w:rsidRDefault="002178B2">
      <w:pPr>
        <w:ind w:left="1134" w:right="992"/>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i/>
          <w:iCs/>
        </w:rPr>
        <w:tab/>
        <w:t>Algoritmos de criptografía de clave pública para firma electrónica avanzada.</w:t>
      </w:r>
    </w:p>
    <w:p w:rsidR="002D280C" w:rsidRPr="00E94A19" w:rsidRDefault="002178B2">
      <w:pPr>
        <w:ind w:left="1134" w:right="992"/>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w:t>
      </w:r>
      <w:r w:rsidRPr="00E94A19">
        <w:rPr>
          <w:rFonts w:ascii="Palatino Linotype" w:eastAsia="Palatino Linotype" w:hAnsi="Palatino Linotype" w:cs="Palatino Linotype"/>
          <w:i/>
          <w:iCs/>
        </w:rPr>
        <w:tab/>
        <w:t>Especificaciones de conversión de la firma electrónica avanzada a Base 64.</w:t>
      </w:r>
    </w:p>
    <w:p w:rsidR="002D280C" w:rsidRPr="00E94A19" w:rsidRDefault="002178B2">
      <w:pPr>
        <w:ind w:left="1134" w:right="992"/>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Para la generación de sellos digitales se utiliza criptografía de clave pública aplicada a una cadena original.</w:t>
      </w:r>
    </w:p>
    <w:p w:rsidR="002D280C" w:rsidRPr="00E94A19" w:rsidRDefault="002D280C">
      <w:pPr>
        <w:ind w:left="1134" w:right="992"/>
        <w:jc w:val="both"/>
        <w:rPr>
          <w:rFonts w:ascii="Palatino Linotype" w:eastAsia="Palatino Linotype" w:hAnsi="Palatino Linotype" w:cs="Palatino Linotype"/>
          <w:i/>
          <w:iCs/>
        </w:rPr>
      </w:pPr>
    </w:p>
    <w:p w:rsidR="002D280C" w:rsidRPr="00E94A19" w:rsidRDefault="002178B2">
      <w:pPr>
        <w:ind w:left="1134" w:right="992"/>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Criptografía de la Clave Pública</w:t>
      </w:r>
    </w:p>
    <w:p w:rsidR="002D280C" w:rsidRPr="00E94A19" w:rsidRDefault="002178B2">
      <w:pPr>
        <w:ind w:left="1134" w:right="992"/>
        <w:jc w:val="both"/>
        <w:rPr>
          <w:rFonts w:ascii="Palatino Linotype" w:eastAsia="Palatino Linotype" w:hAnsi="Palatino Linotype" w:cs="Palatino Linotype"/>
          <w:i/>
          <w:iCs/>
        </w:rPr>
      </w:pPr>
      <w:r w:rsidRPr="00E94A19">
        <w:rPr>
          <w:rFonts w:ascii="Palatino Linotype" w:eastAsia="Palatino Linotype" w:hAnsi="Palatino Linotype" w:cs="Palatino Linotype"/>
          <w:i/>
          <w:iCs/>
        </w:rPr>
        <w:t>La criptografía de Clave Pública se basa en la generación de una pareja de números muy grandes relacionados íntimamente entre sí, de tal manera que una operación de encripción sobre un mensaje tomando como clave de encripción a uno de los dos números, produce un mensaje alterado en su significado que solo puede ser devuelto a su estado original mediante la operación de desencripción correspondiente tomando como clave de desencripción al otro número de la pareja.”</w:t>
      </w:r>
    </w:p>
    <w:p w:rsidR="002D280C" w:rsidRPr="00E94A19" w:rsidRDefault="002D280C">
      <w:pPr>
        <w:ind w:left="1134" w:right="992"/>
        <w:jc w:val="both"/>
        <w:rPr>
          <w:rFonts w:ascii="Palatino Linotype" w:eastAsia="Palatino Linotype" w:hAnsi="Palatino Linotype" w:cs="Palatino Linotype"/>
          <w:i/>
          <w:iCs/>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Es decir, por sí solos las </w:t>
      </w:r>
      <w:r w:rsidRPr="00E94A19">
        <w:rPr>
          <w:rFonts w:ascii="Palatino Linotype" w:eastAsia="Palatino Linotype" w:hAnsi="Palatino Linotype" w:cs="Palatino Linotype"/>
          <w:b/>
          <w:bCs/>
        </w:rPr>
        <w:t>cadenas originales y los sellos originales</w:t>
      </w:r>
      <w:r w:rsidRPr="00E94A19">
        <w:rPr>
          <w:rFonts w:ascii="Palatino Linotype" w:eastAsia="Palatino Linotype" w:hAnsi="Palatino Linotype" w:cs="Palatino Linotype"/>
        </w:rPr>
        <w:t xml:space="preserve"> no contienen datos personales confidenciales, por lo que se considera que </w:t>
      </w:r>
      <w:r w:rsidRPr="00E94A19">
        <w:rPr>
          <w:rFonts w:ascii="Palatino Linotype" w:eastAsia="Palatino Linotype" w:hAnsi="Palatino Linotype" w:cs="Palatino Linotype"/>
          <w:b/>
          <w:bCs/>
        </w:rPr>
        <w:t>no actualizan el supuesto de confidencialidad</w:t>
      </w:r>
      <w:r w:rsidRPr="00E94A19">
        <w:rPr>
          <w:rFonts w:ascii="Palatino Linotype" w:eastAsia="Palatino Linotype" w:hAnsi="Palatino Linotype" w:cs="Palatino Linotype"/>
        </w:rPr>
        <w:t xml:space="preserve"> previsto en el artículo 143, fracción I, de la Ley de Transparencia y Acceso a la Información Pública del Estado de México y Municipios y, por el contrario, son información </w:t>
      </w:r>
      <w:r w:rsidRPr="00E94A19">
        <w:rPr>
          <w:rFonts w:ascii="Palatino Linotype" w:eastAsia="Palatino Linotype" w:hAnsi="Palatino Linotype" w:cs="Palatino Linotype"/>
        </w:rPr>
        <w:lastRenderedPageBreak/>
        <w:t>que permite corroborar la legitimidad de la factura, de ser el caso, por lo que guardan el carácter de público.</w:t>
      </w:r>
    </w:p>
    <w:p w:rsidR="002D280C" w:rsidRPr="00E94A19" w:rsidRDefault="002D280C">
      <w:pPr>
        <w:spacing w:line="360" w:lineRule="auto"/>
        <w:ind w:right="1"/>
        <w:jc w:val="both"/>
        <w:rPr>
          <w:rFonts w:ascii="Palatino Linotype" w:eastAsia="Palatino Linotype" w:hAnsi="Palatino Linotype" w:cs="Palatino Linotype"/>
          <w:b/>
          <w:bCs/>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En ese sentido, el </w:t>
      </w:r>
      <w:r w:rsidRPr="00E94A19">
        <w:rPr>
          <w:rFonts w:ascii="Palatino Linotype" w:eastAsia="Palatino Linotype" w:hAnsi="Palatino Linotype" w:cs="Palatino Linotype"/>
          <w:b/>
          <w:bCs/>
        </w:rPr>
        <w:t>SUJETO OBLIGADO</w:t>
      </w:r>
      <w:r w:rsidRPr="00E94A19">
        <w:rPr>
          <w:rFonts w:ascii="Palatino Linotype" w:eastAsia="Palatino Linotype" w:hAnsi="Palatino Linotype" w:cs="Palatino Linotype"/>
        </w:rPr>
        <w:t xml:space="preserve"> deberá de emitir el Acuerdo del Comité de Transparencia, mediante el cual de manera fundada y motivada establezca las razones por las cuales se clasifican como confidenciales los datos expuestos con anterioridad.</w:t>
      </w:r>
    </w:p>
    <w:p w:rsidR="002D280C" w:rsidRPr="00E94A19" w:rsidRDefault="002D280C">
      <w:pPr>
        <w:tabs>
          <w:tab w:val="left" w:pos="284"/>
        </w:tabs>
        <w:spacing w:line="360" w:lineRule="auto"/>
        <w:jc w:val="both"/>
        <w:rPr>
          <w:rFonts w:ascii="Palatino Linotype" w:eastAsia="Palatino Linotype" w:hAnsi="Palatino Linotype" w:cs="Palatino Linotype"/>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color w:val="000000"/>
        </w:rPr>
      </w:pPr>
      <w:r w:rsidRPr="00E94A19">
        <w:rPr>
          <w:rFonts w:ascii="Palatino Linotype" w:eastAsia="Palatino Linotype" w:hAnsi="Palatino Linotype" w:cs="Palatino Linotype"/>
        </w:rPr>
        <w:t xml:space="preserve">Derivado de lo establecido en párrafos anteriores, si el </w:t>
      </w:r>
      <w:r w:rsidRPr="00E94A19">
        <w:rPr>
          <w:rFonts w:ascii="Palatino Linotype" w:eastAsia="Palatino Linotype" w:hAnsi="Palatino Linotype" w:cs="Palatino Linotype"/>
          <w:b/>
          <w:bCs/>
        </w:rPr>
        <w:t>SUJETO OBLIGADO</w:t>
      </w:r>
      <w:r w:rsidRPr="00E94A19">
        <w:rPr>
          <w:rFonts w:ascii="Palatino Linotype" w:eastAsia="Palatino Linotype" w:hAnsi="Palatino Linotype" w:cs="Palatino Linotype"/>
        </w:rPr>
        <w:t xml:space="preserve"> incumple con estas formalidades y entrega la información sin proteger los datos personales o testando datos considerados como públicos incumple con lo que estipulan las disposiciones legales establecidas, asimismo que si entrega un documento testado sin el debido acuerdo de clasificación.</w:t>
      </w:r>
    </w:p>
    <w:p w:rsidR="002D280C" w:rsidRPr="00E94A19" w:rsidRDefault="002D280C">
      <w:pPr>
        <w:spacing w:line="360" w:lineRule="auto"/>
        <w:jc w:val="both"/>
        <w:rPr>
          <w:color w:val="000000"/>
        </w:rPr>
      </w:pPr>
    </w:p>
    <w:p w:rsidR="002D280C" w:rsidRPr="00E94A19" w:rsidRDefault="002178B2">
      <w:pPr>
        <w:numPr>
          <w:ilvl w:val="0"/>
          <w:numId w:val="3"/>
        </w:numPr>
        <w:spacing w:line="360" w:lineRule="auto"/>
        <w:ind w:left="0" w:right="-787" w:firstLine="0"/>
        <w:jc w:val="both"/>
        <w:rPr>
          <w:rFonts w:ascii="Palatino Linotype" w:eastAsia="Palatino Linotype" w:hAnsi="Palatino Linotype" w:cs="Palatino Linotype"/>
        </w:rPr>
      </w:pPr>
      <w:r w:rsidRPr="00E94A19">
        <w:rPr>
          <w:rFonts w:ascii="Palatino Linotype" w:eastAsia="Palatino Linotype" w:hAnsi="Palatino Linotype" w:cs="Palatino Linotype"/>
        </w:rPr>
        <w:t xml:space="preserve">Con fundamento en lo prescrito en los artículos </w:t>
      </w:r>
      <w:r w:rsidRPr="00E94A19">
        <w:rPr>
          <w:rFonts w:ascii="Palatino Linotype" w:eastAsia="Palatino Linotype" w:hAnsi="Palatino Linotype" w:cs="Palatino Linotype"/>
          <w:color w:val="000000"/>
        </w:rPr>
        <w:t>5, párrafos cuadragésimo cuarto, cuadragésimo quinto y cuadragésimo sexto, fracciones IV y V, de la Constitución Política del Estado Libre y Soberano de México</w:t>
      </w:r>
      <w:r w:rsidRPr="00E94A19">
        <w:rPr>
          <w:rFonts w:ascii="Palatino Linotype" w:eastAsia="Palatino Linotype" w:hAnsi="Palatino Linotype" w:cs="Palatino Linotype"/>
        </w:rPr>
        <w:t>; 2, fracción II; 29, 36 fracciones I y II; 176, 178, 179, 181 y 185 de la Ley de Transparencia y Acceso a la Información Pública del Estado de México y Municipios, este Pleno:</w:t>
      </w:r>
    </w:p>
    <w:p w:rsidR="002D280C" w:rsidRPr="00E94A19" w:rsidRDefault="002D280C" w:rsidP="00E217DE">
      <w:pPr>
        <w:spacing w:line="360" w:lineRule="auto"/>
        <w:ind w:right="276"/>
        <w:rPr>
          <w:rFonts w:ascii="Palatino Linotype" w:eastAsia="Palatino Linotype" w:hAnsi="Palatino Linotype" w:cs="Palatino Linotype"/>
          <w:b/>
          <w:bCs/>
        </w:rPr>
      </w:pPr>
    </w:p>
    <w:p w:rsidR="002D280C" w:rsidRPr="00E94A19" w:rsidRDefault="002178B2">
      <w:pPr>
        <w:spacing w:line="360" w:lineRule="auto"/>
        <w:ind w:right="276"/>
        <w:jc w:val="center"/>
        <w:rPr>
          <w:rFonts w:ascii="Palatino Linotype" w:eastAsia="Palatino Linotype" w:hAnsi="Palatino Linotype" w:cs="Palatino Linotype"/>
          <w:b/>
          <w:bCs/>
        </w:rPr>
      </w:pPr>
      <w:r w:rsidRPr="00E94A19">
        <w:rPr>
          <w:rFonts w:ascii="Palatino Linotype" w:eastAsia="Palatino Linotype" w:hAnsi="Palatino Linotype" w:cs="Palatino Linotype"/>
          <w:b/>
          <w:bCs/>
        </w:rPr>
        <w:t>R E S U E L V E</w:t>
      </w:r>
    </w:p>
    <w:p w:rsidR="002D280C" w:rsidRPr="00E94A19" w:rsidRDefault="002D280C">
      <w:pPr>
        <w:spacing w:line="360" w:lineRule="auto"/>
        <w:ind w:right="-787"/>
        <w:jc w:val="center"/>
        <w:rPr>
          <w:rFonts w:ascii="Palatino Linotype" w:eastAsia="Palatino Linotype" w:hAnsi="Palatino Linotype" w:cs="Palatino Linotype"/>
          <w:b/>
          <w:bCs/>
        </w:rPr>
      </w:pPr>
    </w:p>
    <w:p w:rsidR="002D280C" w:rsidRPr="00E94A19" w:rsidRDefault="002178B2">
      <w:pPr>
        <w:spacing w:line="360" w:lineRule="auto"/>
        <w:ind w:right="-716"/>
        <w:jc w:val="both"/>
        <w:rPr>
          <w:rFonts w:ascii="Palatino Linotype" w:eastAsia="Palatino Linotype" w:hAnsi="Palatino Linotype" w:cs="Palatino Linotype"/>
        </w:rPr>
      </w:pPr>
      <w:r w:rsidRPr="00E94A19">
        <w:rPr>
          <w:rFonts w:ascii="Palatino Linotype" w:eastAsia="Palatino Linotype" w:hAnsi="Palatino Linotype" w:cs="Palatino Linotype"/>
          <w:b/>
          <w:bCs/>
        </w:rPr>
        <w:t xml:space="preserve">PRIMERO. </w:t>
      </w:r>
      <w:r w:rsidRPr="00E94A19">
        <w:rPr>
          <w:rFonts w:ascii="Palatino Linotype" w:eastAsia="Palatino Linotype" w:hAnsi="Palatino Linotype" w:cs="Palatino Linotype"/>
        </w:rPr>
        <w:t xml:space="preserve">Resultan </w:t>
      </w:r>
      <w:r w:rsidRPr="00E94A19">
        <w:rPr>
          <w:rFonts w:ascii="Palatino Linotype" w:eastAsia="Palatino Linotype" w:hAnsi="Palatino Linotype" w:cs="Palatino Linotype"/>
          <w:b/>
          <w:bCs/>
        </w:rPr>
        <w:t>FUNDADAS</w:t>
      </w:r>
      <w:r w:rsidRPr="00E94A19">
        <w:rPr>
          <w:rFonts w:ascii="Palatino Linotype" w:eastAsia="Palatino Linotype" w:hAnsi="Palatino Linotype" w:cs="Palatino Linotype"/>
        </w:rPr>
        <w:t xml:space="preserve"> las</w:t>
      </w:r>
      <w:r w:rsidRPr="00E94A19">
        <w:rPr>
          <w:rFonts w:ascii="Palatino Linotype" w:eastAsia="Palatino Linotype" w:hAnsi="Palatino Linotype" w:cs="Palatino Linotype"/>
          <w:b/>
          <w:bCs/>
        </w:rPr>
        <w:t xml:space="preserve"> </w:t>
      </w:r>
      <w:r w:rsidRPr="00E94A19">
        <w:rPr>
          <w:rFonts w:ascii="Palatino Linotype" w:eastAsia="Palatino Linotype" w:hAnsi="Palatino Linotype" w:cs="Palatino Linotype"/>
        </w:rPr>
        <w:t>razones o motivos de inconformidad hechos valer en el Recurso de Revisión</w:t>
      </w:r>
      <w:r w:rsidRPr="00E94A19">
        <w:rPr>
          <w:rFonts w:ascii="Palatino Linotype" w:eastAsia="Palatino Linotype" w:hAnsi="Palatino Linotype" w:cs="Palatino Linotype"/>
          <w:b/>
          <w:bCs/>
        </w:rPr>
        <w:t> </w:t>
      </w:r>
      <w:r w:rsidRPr="00E94A19">
        <w:rPr>
          <w:rFonts w:ascii="Palatino Linotype" w:eastAsia="Palatino Linotype" w:hAnsi="Palatino Linotype" w:cs="Palatino Linotype"/>
          <w:b/>
          <w:bCs/>
          <w:color w:val="000000"/>
        </w:rPr>
        <w:t xml:space="preserve">08458/INFOEM/IP/RR/2025 </w:t>
      </w:r>
      <w:r w:rsidRPr="00E94A19">
        <w:rPr>
          <w:rFonts w:ascii="Palatino Linotype" w:eastAsia="Palatino Linotype" w:hAnsi="Palatino Linotype" w:cs="Palatino Linotype"/>
        </w:rPr>
        <w:t xml:space="preserve">en términos del </w:t>
      </w:r>
      <w:r w:rsidRPr="00E94A19">
        <w:rPr>
          <w:rFonts w:ascii="Palatino Linotype" w:eastAsia="Palatino Linotype" w:hAnsi="Palatino Linotype" w:cs="Palatino Linotype"/>
          <w:b/>
          <w:bCs/>
        </w:rPr>
        <w:t xml:space="preserve">Considerando CUARTO </w:t>
      </w:r>
      <w:r w:rsidRPr="00E94A19">
        <w:rPr>
          <w:rFonts w:ascii="Palatino Linotype" w:eastAsia="Palatino Linotype" w:hAnsi="Palatino Linotype" w:cs="Palatino Linotype"/>
        </w:rPr>
        <w:t>de la presente resolución.</w:t>
      </w:r>
    </w:p>
    <w:p w:rsidR="002D280C" w:rsidRPr="00E94A19" w:rsidRDefault="002178B2">
      <w:pPr>
        <w:spacing w:line="360" w:lineRule="auto"/>
        <w:ind w:right="-716"/>
        <w:jc w:val="both"/>
        <w:rPr>
          <w:rFonts w:ascii="Palatino Linotype" w:eastAsia="Palatino Linotype" w:hAnsi="Palatino Linotype" w:cs="Palatino Linotype"/>
        </w:rPr>
      </w:pPr>
      <w:bookmarkStart w:id="8" w:name="_heading=h.17dp8vu" w:colFirst="0" w:colLast="0"/>
      <w:bookmarkEnd w:id="8"/>
      <w:r w:rsidRPr="00E94A19">
        <w:rPr>
          <w:rFonts w:ascii="Palatino Linotype" w:eastAsia="Palatino Linotype" w:hAnsi="Palatino Linotype" w:cs="Palatino Linotype"/>
          <w:b/>
          <w:bCs/>
        </w:rPr>
        <w:lastRenderedPageBreak/>
        <w:t>SEGUNDO.</w:t>
      </w:r>
      <w:r w:rsidRPr="00E94A19">
        <w:rPr>
          <w:rFonts w:ascii="Palatino Linotype" w:eastAsia="Palatino Linotype" w:hAnsi="Palatino Linotype" w:cs="Palatino Linotype"/>
          <w:color w:val="2F5496"/>
        </w:rPr>
        <w:t xml:space="preserve"> </w:t>
      </w:r>
      <w:r w:rsidRPr="00E94A19">
        <w:rPr>
          <w:rFonts w:ascii="Palatino Linotype" w:eastAsia="Palatino Linotype" w:hAnsi="Palatino Linotype" w:cs="Palatino Linotype"/>
          <w:color w:val="000000"/>
        </w:rPr>
        <w:t xml:space="preserve">Se </w:t>
      </w:r>
      <w:r w:rsidRPr="00E94A19">
        <w:rPr>
          <w:rFonts w:ascii="Palatino Linotype" w:eastAsia="Palatino Linotype" w:hAnsi="Palatino Linotype" w:cs="Palatino Linotype"/>
          <w:b/>
          <w:bCs/>
          <w:color w:val="000000"/>
        </w:rPr>
        <w:t xml:space="preserve">REVOCA </w:t>
      </w:r>
      <w:r w:rsidRPr="00E94A19">
        <w:rPr>
          <w:rFonts w:ascii="Palatino Linotype" w:eastAsia="Palatino Linotype" w:hAnsi="Palatino Linotype" w:cs="Palatino Linotype"/>
          <w:color w:val="000000"/>
        </w:rPr>
        <w:t xml:space="preserve">la respuesta emitida por el </w:t>
      </w:r>
      <w:r w:rsidRPr="00E94A19">
        <w:rPr>
          <w:rFonts w:ascii="Palatino Linotype" w:eastAsia="Palatino Linotype" w:hAnsi="Palatino Linotype" w:cs="Palatino Linotype"/>
          <w:b/>
          <w:bCs/>
        </w:rPr>
        <w:t>Ayuntamiento de Jocotitlán</w:t>
      </w:r>
      <w:r w:rsidRPr="00E94A19">
        <w:rPr>
          <w:rFonts w:ascii="Palatino Linotype" w:eastAsia="Palatino Linotype" w:hAnsi="Palatino Linotype" w:cs="Palatino Linotype"/>
          <w:color w:val="000000"/>
        </w:rPr>
        <w:t xml:space="preserve"> y se </w:t>
      </w:r>
      <w:r w:rsidRPr="00E94A19">
        <w:rPr>
          <w:rFonts w:ascii="Palatino Linotype" w:eastAsia="Palatino Linotype" w:hAnsi="Palatino Linotype" w:cs="Palatino Linotype"/>
          <w:b/>
          <w:bCs/>
          <w:color w:val="000000"/>
        </w:rPr>
        <w:t>ORDENA</w:t>
      </w:r>
      <w:r w:rsidRPr="00E94A19">
        <w:rPr>
          <w:rFonts w:ascii="Palatino Linotype" w:eastAsia="Palatino Linotype" w:hAnsi="Palatino Linotype" w:cs="Palatino Linotype"/>
          <w:color w:val="000000"/>
        </w:rPr>
        <w:t xml:space="preserve"> entregar, vía Sistema de Acceso a la Información Mexiquense </w:t>
      </w:r>
      <w:r w:rsidRPr="00E94A19">
        <w:rPr>
          <w:rFonts w:ascii="Palatino Linotype" w:eastAsia="Palatino Linotype" w:hAnsi="Palatino Linotype" w:cs="Palatino Linotype"/>
          <w:b/>
          <w:bCs/>
          <w:color w:val="000000"/>
        </w:rPr>
        <w:t>(SAIMEX),</w:t>
      </w:r>
      <w:r w:rsidRPr="00E94A19">
        <w:rPr>
          <w:rFonts w:ascii="Palatino Linotype" w:eastAsia="Palatino Linotype" w:hAnsi="Palatino Linotype" w:cs="Palatino Linotype"/>
        </w:rPr>
        <w:t xml:space="preserve"> previa búsqueda exhaustiva y razonable, se ser procedente en versión pública, la siguiente información:</w:t>
      </w:r>
    </w:p>
    <w:p w:rsidR="002D280C" w:rsidRPr="00E94A19" w:rsidRDefault="002178B2">
      <w:pPr>
        <w:numPr>
          <w:ilvl w:val="0"/>
          <w:numId w:val="12"/>
        </w:numPr>
        <w:pBdr>
          <w:top w:val="nil"/>
          <w:left w:val="nil"/>
          <w:bottom w:val="nil"/>
          <w:right w:val="nil"/>
          <w:between w:val="nil"/>
        </w:pBdr>
        <w:spacing w:line="360" w:lineRule="auto"/>
        <w:ind w:left="1418" w:right="-714"/>
        <w:jc w:val="both"/>
        <w:rPr>
          <w:rFonts w:ascii="Palatino Linotype" w:eastAsia="Palatino Linotype" w:hAnsi="Palatino Linotype" w:cs="Palatino Linotype"/>
          <w:b/>
          <w:bCs/>
          <w:color w:val="000000"/>
        </w:rPr>
      </w:pPr>
      <w:bookmarkStart w:id="9" w:name="_heading=h.kq008zowbz3u" w:colFirst="0" w:colLast="0"/>
      <w:bookmarkEnd w:id="9"/>
      <w:r w:rsidRPr="00E94A19">
        <w:rPr>
          <w:rFonts w:ascii="Palatino Linotype" w:eastAsia="Palatino Linotype" w:hAnsi="Palatino Linotype" w:cs="Palatino Linotype"/>
          <w:b/>
          <w:bCs/>
          <w:color w:val="000000"/>
        </w:rPr>
        <w:t>Los contratos de bienes y servicios referidos en respuesta.</w:t>
      </w:r>
    </w:p>
    <w:p w:rsidR="002D280C" w:rsidRPr="00E94A19" w:rsidRDefault="002178B2">
      <w:pPr>
        <w:numPr>
          <w:ilvl w:val="0"/>
          <w:numId w:val="12"/>
        </w:numPr>
        <w:pBdr>
          <w:top w:val="nil"/>
          <w:left w:val="nil"/>
          <w:bottom w:val="nil"/>
          <w:right w:val="nil"/>
          <w:between w:val="nil"/>
        </w:pBdr>
        <w:spacing w:line="360" w:lineRule="auto"/>
        <w:ind w:left="1418" w:right="-714"/>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b/>
          <w:bCs/>
          <w:color w:val="000000"/>
        </w:rPr>
        <w:t>Las facturas o comprobantes de pago de las adquisiciones objeto de los contratos de bienes y servicios referidos en respuesta.</w:t>
      </w:r>
    </w:p>
    <w:p w:rsidR="002D280C" w:rsidRPr="00E94A19" w:rsidRDefault="002D280C">
      <w:pPr>
        <w:pBdr>
          <w:top w:val="nil"/>
          <w:left w:val="nil"/>
          <w:bottom w:val="nil"/>
          <w:right w:val="nil"/>
          <w:between w:val="nil"/>
        </w:pBdr>
        <w:spacing w:line="360" w:lineRule="auto"/>
        <w:ind w:left="1418" w:right="-714"/>
        <w:jc w:val="both"/>
        <w:rPr>
          <w:rFonts w:ascii="Palatino Linotype" w:eastAsia="Palatino Linotype" w:hAnsi="Palatino Linotype" w:cs="Palatino Linotype"/>
          <w:b/>
          <w:bCs/>
          <w:color w:val="000000"/>
        </w:rPr>
      </w:pPr>
    </w:p>
    <w:p w:rsidR="002D280C" w:rsidRPr="00E94A19" w:rsidRDefault="002178B2" w:rsidP="00E217DE">
      <w:pPr>
        <w:pBdr>
          <w:top w:val="nil"/>
          <w:left w:val="nil"/>
          <w:bottom w:val="nil"/>
          <w:right w:val="nil"/>
          <w:between w:val="nil"/>
        </w:pBdr>
        <w:tabs>
          <w:tab w:val="left" w:pos="8080"/>
        </w:tabs>
        <w:spacing w:line="360" w:lineRule="auto"/>
        <w:ind w:right="-574"/>
        <w:jc w:val="both"/>
        <w:rPr>
          <w:rFonts w:ascii="Palatino Linotype" w:eastAsia="Palatino Linotype" w:hAnsi="Palatino Linotype" w:cs="Palatino Linotype"/>
          <w:b/>
          <w:bCs/>
          <w:color w:val="000000"/>
        </w:rPr>
      </w:pPr>
      <w:r w:rsidRPr="00E94A19">
        <w:rPr>
          <w:rFonts w:ascii="Palatino Linotype" w:eastAsia="Palatino Linotype" w:hAnsi="Palatino Linotype" w:cs="Palatino Linotype"/>
          <w:color w:val="000000"/>
        </w:rPr>
        <w:t xml:space="preserve">Para efectos de lo anterior; en su caso,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E94A19">
        <w:rPr>
          <w:rFonts w:ascii="Palatino Linotype" w:eastAsia="Palatino Linotype" w:hAnsi="Palatino Linotype" w:cs="Palatino Linotype"/>
          <w:b/>
          <w:bCs/>
          <w:color w:val="000000"/>
        </w:rPr>
        <w:t>RECURRENTE.</w:t>
      </w:r>
    </w:p>
    <w:p w:rsidR="002D280C" w:rsidRPr="00E94A19" w:rsidRDefault="002D280C">
      <w:pPr>
        <w:spacing w:line="360" w:lineRule="auto"/>
        <w:ind w:right="-714"/>
        <w:jc w:val="both"/>
        <w:rPr>
          <w:rFonts w:ascii="Palatino Linotype" w:eastAsia="Palatino Linotype" w:hAnsi="Palatino Linotype" w:cs="Palatino Linotype"/>
          <w:b/>
          <w:bCs/>
        </w:rPr>
      </w:pPr>
    </w:p>
    <w:p w:rsidR="002D280C" w:rsidRPr="00E94A19" w:rsidRDefault="002178B2">
      <w:pPr>
        <w:tabs>
          <w:tab w:val="left" w:pos="8080"/>
        </w:tabs>
        <w:spacing w:line="360" w:lineRule="auto"/>
        <w:ind w:right="-716"/>
        <w:jc w:val="both"/>
        <w:rPr>
          <w:rFonts w:ascii="Palatino Linotype" w:eastAsia="Palatino Linotype" w:hAnsi="Palatino Linotype" w:cs="Palatino Linotype"/>
          <w:color w:val="222222"/>
        </w:rPr>
      </w:pPr>
      <w:r w:rsidRPr="00E94A19">
        <w:rPr>
          <w:rFonts w:ascii="Palatino Linotype" w:eastAsia="Palatino Linotype" w:hAnsi="Palatino Linotype" w:cs="Palatino Linotype"/>
          <w:b/>
          <w:bCs/>
        </w:rPr>
        <w:t xml:space="preserve">TERCERO. Notifíquese </w:t>
      </w:r>
      <w:r w:rsidRPr="00E94A19">
        <w:rPr>
          <w:rFonts w:ascii="Palatino Linotype" w:eastAsia="Palatino Linotype" w:hAnsi="Palatino Linotype" w:cs="Palatino Linotype"/>
        </w:rPr>
        <w:t xml:space="preserve">vía </w:t>
      </w:r>
      <w:r w:rsidRPr="00E94A19">
        <w:rPr>
          <w:rFonts w:ascii="Palatino Linotype" w:eastAsia="Palatino Linotype" w:hAnsi="Palatino Linotype" w:cs="Palatino Linotype"/>
          <w:b/>
          <w:bCs/>
        </w:rPr>
        <w:t xml:space="preserve">SAIMEX </w:t>
      </w:r>
      <w:r w:rsidRPr="00E94A19">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E94A19">
        <w:rPr>
          <w:rFonts w:ascii="Palatino Linotype" w:eastAsia="Palatino Linotype" w:hAnsi="Palatino Linotype" w:cs="Palatino Linotype"/>
          <w:b/>
          <w:bCs/>
        </w:rPr>
        <w:t>plazo de diez días hábiles</w:t>
      </w:r>
      <w:r w:rsidRPr="00E94A19">
        <w:rPr>
          <w:rFonts w:ascii="Palatino Linotype" w:eastAsia="Palatino Linotype" w:hAnsi="Palatino Linotype" w:cs="Palatino Linotyp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2D280C" w:rsidRPr="00E94A19" w:rsidRDefault="002178B2">
      <w:pPr>
        <w:spacing w:line="360" w:lineRule="auto"/>
        <w:ind w:right="-858"/>
        <w:jc w:val="both"/>
        <w:rPr>
          <w:rFonts w:ascii="Palatino Linotype" w:eastAsia="Palatino Linotype" w:hAnsi="Palatino Linotype" w:cs="Palatino Linotype"/>
          <w:b/>
          <w:bCs/>
        </w:rPr>
      </w:pPr>
      <w:bookmarkStart w:id="10" w:name="_heading=h.ibtxnyhjcc73" w:colFirst="0" w:colLast="0"/>
      <w:bookmarkEnd w:id="10"/>
      <w:r w:rsidRPr="00E94A19">
        <w:rPr>
          <w:rFonts w:ascii="Palatino Linotype" w:eastAsia="Palatino Linotype" w:hAnsi="Palatino Linotype" w:cs="Palatino Linotype"/>
          <w:b/>
          <w:bCs/>
        </w:rPr>
        <w:lastRenderedPageBreak/>
        <w:t xml:space="preserve">CUARTO. </w:t>
      </w:r>
      <w:r w:rsidRPr="00E94A1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94A19">
        <w:rPr>
          <w:rFonts w:ascii="Palatino Linotype" w:eastAsia="Palatino Linotype" w:hAnsi="Palatino Linotype" w:cs="Palatino Linotype"/>
          <w:b/>
          <w:bCs/>
        </w:rPr>
        <w:t>SUJETO OBLIGADO</w:t>
      </w:r>
      <w:r w:rsidRPr="00E94A19">
        <w:rPr>
          <w:rFonts w:ascii="Palatino Linotype" w:eastAsia="Palatino Linotype" w:hAnsi="Palatino Linotype" w:cs="Palatino Linotype"/>
        </w:rPr>
        <w:t xml:space="preserve"> de manera fundada y motivada, podrá solicitar una ampliación de plazo para el cumplimiento de la presente resolución.</w:t>
      </w:r>
    </w:p>
    <w:p w:rsidR="002D280C" w:rsidRPr="00E94A19" w:rsidRDefault="002D280C">
      <w:pPr>
        <w:spacing w:line="360" w:lineRule="auto"/>
        <w:ind w:right="-858"/>
        <w:jc w:val="both"/>
        <w:rPr>
          <w:rFonts w:ascii="Palatino Linotype" w:eastAsia="Palatino Linotype" w:hAnsi="Palatino Linotype" w:cs="Palatino Linotype"/>
          <w:b/>
          <w:bCs/>
        </w:rPr>
      </w:pPr>
    </w:p>
    <w:p w:rsidR="002D280C" w:rsidRPr="00E94A19" w:rsidRDefault="002178B2">
      <w:pPr>
        <w:spacing w:line="360" w:lineRule="auto"/>
        <w:ind w:right="-858"/>
        <w:jc w:val="both"/>
        <w:rPr>
          <w:rFonts w:ascii="Palatino Linotype" w:eastAsia="Palatino Linotype" w:hAnsi="Palatino Linotype" w:cs="Palatino Linotype"/>
        </w:rPr>
      </w:pPr>
      <w:r w:rsidRPr="00E94A19">
        <w:rPr>
          <w:rFonts w:ascii="Palatino Linotype" w:eastAsia="Palatino Linotype" w:hAnsi="Palatino Linotype" w:cs="Palatino Linotype"/>
          <w:b/>
          <w:bCs/>
        </w:rPr>
        <w:t>QUINTO. NOTIFÍQUESE</w:t>
      </w:r>
      <w:r w:rsidRPr="00E94A19">
        <w:rPr>
          <w:rFonts w:ascii="Palatino Linotype" w:eastAsia="Palatino Linotype" w:hAnsi="Palatino Linotype" w:cs="Palatino Linotype"/>
        </w:rPr>
        <w:t xml:space="preserve"> la presente resolución a la parte </w:t>
      </w:r>
      <w:r w:rsidRPr="00E94A19">
        <w:rPr>
          <w:rFonts w:ascii="Palatino Linotype" w:eastAsia="Palatino Linotype" w:hAnsi="Palatino Linotype" w:cs="Palatino Linotype"/>
          <w:b/>
          <w:bCs/>
        </w:rPr>
        <w:t>Recurrente</w:t>
      </w:r>
      <w:r w:rsidRPr="00E94A19">
        <w:rPr>
          <w:rFonts w:ascii="Palatino Linotype" w:eastAsia="Palatino Linotype" w:hAnsi="Palatino Linotype" w:cs="Palatino Linotype"/>
        </w:rPr>
        <w:t xml:space="preserve"> a través del Sistema de Acceso a la Información Mexiquense </w:t>
      </w:r>
      <w:r w:rsidRPr="00E94A19">
        <w:rPr>
          <w:rFonts w:ascii="Palatino Linotype" w:eastAsia="Palatino Linotype" w:hAnsi="Palatino Linotype" w:cs="Palatino Linotype"/>
          <w:b/>
          <w:bCs/>
        </w:rPr>
        <w:t>(SAIMEX)</w:t>
      </w:r>
      <w:r w:rsidRPr="00E94A19">
        <w:rPr>
          <w:rFonts w:ascii="Palatino Linotype" w:eastAsia="Palatino Linotype" w:hAnsi="Palatino Linotype" w:cs="Palatino Linotype"/>
        </w:rPr>
        <w:t xml:space="preserve"> y hágase de su conocimiento que, en caso de considerar que la misma le causa algún perjuicio, podrá promover el Juicio de Amparo en los términos de las leyes aplicables, de acuerdo con lo estipulado por el artículo 196 de la Ley de Transparencia y Acceso a la Información Pública del Estado de México y Municipios.</w:t>
      </w:r>
    </w:p>
    <w:p w:rsidR="002D280C" w:rsidRPr="00E94A19" w:rsidRDefault="002D280C">
      <w:pPr>
        <w:spacing w:line="360" w:lineRule="auto"/>
        <w:ind w:right="-716"/>
        <w:jc w:val="both"/>
        <w:rPr>
          <w:rFonts w:ascii="Palatino Linotype" w:eastAsia="Palatino Linotype" w:hAnsi="Palatino Linotype" w:cs="Palatino Linotype"/>
          <w:color w:val="000000"/>
        </w:rPr>
      </w:pPr>
    </w:p>
    <w:p w:rsidR="00E217DE" w:rsidRPr="00E94A19" w:rsidRDefault="00E217DE" w:rsidP="00E217DE">
      <w:pPr>
        <w:spacing w:before="240" w:after="240" w:line="360" w:lineRule="auto"/>
        <w:ind w:firstLine="1"/>
        <w:jc w:val="both"/>
        <w:rPr>
          <w:rFonts w:ascii="Palatino Linotype" w:hAnsi="Palatino Linotype"/>
        </w:rPr>
      </w:pPr>
      <w:bookmarkStart w:id="11" w:name="_Hlk99014733"/>
      <w:r w:rsidRPr="00E94A19">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(05) DE FEBRERO DE DOS MIL VEINTISÉIS, ANTE EL SECRETARIO TÉCNICO DEL PLENO </w:t>
      </w:r>
      <w:r w:rsidRPr="00E94A19">
        <w:rPr>
          <w:rFonts w:ascii="Palatino Linotype" w:hAnsi="Palatino Linotype" w:cs="Palatino Linotype"/>
          <w:color w:val="000000" w:themeColor="text1"/>
        </w:rPr>
        <w:t>ALEXIS TAPIA RAMÍREZ.</w:t>
      </w:r>
    </w:p>
    <w:bookmarkEnd w:id="11"/>
    <w:p w:rsidR="002D280C" w:rsidRPr="00E94A19" w:rsidRDefault="002D280C">
      <w:pPr>
        <w:spacing w:before="240" w:after="240" w:line="360" w:lineRule="auto"/>
        <w:ind w:right="-787"/>
        <w:jc w:val="both"/>
        <w:rPr>
          <w:rFonts w:ascii="Palatino Linotype" w:eastAsia="Palatino Linotype" w:hAnsi="Palatino Linotype" w:cs="Palatino Linotype"/>
        </w:rPr>
      </w:pPr>
    </w:p>
    <w:p w:rsidR="002D280C" w:rsidRPr="00E94A19" w:rsidRDefault="002D280C">
      <w:pPr>
        <w:rPr>
          <w:rFonts w:ascii="Palatino Linotype" w:eastAsia="Palatino Linotype" w:hAnsi="Palatino Linotype" w:cs="Palatino Linotype"/>
        </w:rPr>
      </w:pPr>
    </w:p>
    <w:p w:rsidR="002D280C" w:rsidRPr="00E94A19" w:rsidRDefault="002D280C">
      <w:pPr>
        <w:spacing w:line="360" w:lineRule="auto"/>
        <w:ind w:right="-787"/>
        <w:rPr>
          <w:rFonts w:ascii="Palatino Linotype" w:eastAsia="Palatino Linotype" w:hAnsi="Palatino Linotype" w:cs="Palatino Linotype"/>
        </w:rPr>
      </w:pPr>
    </w:p>
    <w:p w:rsidR="002D280C" w:rsidRPr="00E94A19" w:rsidRDefault="002D280C">
      <w:pPr>
        <w:spacing w:line="360" w:lineRule="auto"/>
        <w:ind w:right="-787"/>
        <w:rPr>
          <w:rFonts w:ascii="Palatino Linotype" w:eastAsia="Palatino Linotype" w:hAnsi="Palatino Linotype" w:cs="Palatino Linotype"/>
        </w:rPr>
      </w:pPr>
    </w:p>
    <w:p w:rsidR="002D280C" w:rsidRPr="00E94A19" w:rsidRDefault="002D280C">
      <w:pPr>
        <w:spacing w:line="360" w:lineRule="auto"/>
        <w:ind w:right="-787"/>
        <w:rPr>
          <w:rFonts w:ascii="Palatino Linotype" w:eastAsia="Palatino Linotype" w:hAnsi="Palatino Linotype" w:cs="Palatino Linotype"/>
        </w:rPr>
      </w:pPr>
    </w:p>
    <w:p w:rsidR="002D280C" w:rsidRPr="00E94A19" w:rsidRDefault="002178B2">
      <w:pPr>
        <w:tabs>
          <w:tab w:val="left" w:pos="3374"/>
        </w:tabs>
        <w:spacing w:line="360" w:lineRule="auto"/>
        <w:ind w:right="-787"/>
        <w:rPr>
          <w:rFonts w:ascii="Palatino Linotype" w:eastAsia="Palatino Linotype" w:hAnsi="Palatino Linotype" w:cs="Palatino Linotype"/>
        </w:rPr>
      </w:pPr>
      <w:bookmarkStart w:id="12" w:name="_heading=h.lnxbz9" w:colFirst="0" w:colLast="0"/>
      <w:bookmarkEnd w:id="12"/>
      <w:r w:rsidRPr="00E94A19">
        <w:rPr>
          <w:rFonts w:ascii="Palatino Linotype" w:eastAsia="Palatino Linotype" w:hAnsi="Palatino Linotype" w:cs="Palatino Linotype"/>
        </w:rPr>
        <w:tab/>
      </w:r>
      <w:r w:rsidRPr="00E94A19">
        <w:rPr>
          <w:rFonts w:ascii="Palatino Linotype" w:eastAsia="Palatino Linotype" w:hAnsi="Palatino Linotype" w:cs="Palatino Linotype"/>
        </w:rPr>
        <w:tab/>
      </w:r>
    </w:p>
    <w:p w:rsidR="002149D4" w:rsidRPr="00E94A19" w:rsidRDefault="002149D4">
      <w:pPr>
        <w:tabs>
          <w:tab w:val="left" w:pos="3374"/>
        </w:tabs>
        <w:spacing w:line="360" w:lineRule="auto"/>
        <w:ind w:right="-787"/>
        <w:rPr>
          <w:rFonts w:ascii="Palatino Linotype" w:eastAsia="Palatino Linotype" w:hAnsi="Palatino Linotype" w:cs="Palatino Linotype"/>
        </w:rPr>
      </w:pPr>
    </w:p>
    <w:p w:rsidR="002149D4" w:rsidRPr="00E94A19" w:rsidRDefault="002149D4">
      <w:pPr>
        <w:tabs>
          <w:tab w:val="left" w:pos="3374"/>
        </w:tabs>
        <w:spacing w:line="360" w:lineRule="auto"/>
        <w:ind w:right="-787"/>
        <w:rPr>
          <w:rFonts w:ascii="Palatino Linotype" w:eastAsia="Palatino Linotype" w:hAnsi="Palatino Linotype" w:cs="Palatino Linotype"/>
        </w:rPr>
      </w:pPr>
    </w:p>
    <w:p w:rsidR="002149D4" w:rsidRPr="00E94A19" w:rsidRDefault="002149D4">
      <w:pPr>
        <w:tabs>
          <w:tab w:val="left" w:pos="3374"/>
        </w:tabs>
        <w:spacing w:line="360" w:lineRule="auto"/>
        <w:ind w:right="-787"/>
        <w:rPr>
          <w:rFonts w:ascii="Palatino Linotype" w:eastAsia="Palatino Linotype" w:hAnsi="Palatino Linotype" w:cs="Palatino Linotype"/>
        </w:rPr>
      </w:pPr>
    </w:p>
    <w:p w:rsidR="00E94A19" w:rsidRPr="00E94A19" w:rsidRDefault="00E94A19">
      <w:pPr>
        <w:tabs>
          <w:tab w:val="left" w:pos="3374"/>
        </w:tabs>
        <w:spacing w:line="360" w:lineRule="auto"/>
        <w:ind w:right="-787"/>
        <w:rPr>
          <w:rFonts w:ascii="Palatino Linotype" w:eastAsia="Palatino Linotype" w:hAnsi="Palatino Linotype" w:cs="Palatino Linotype"/>
        </w:rPr>
      </w:pPr>
    </w:p>
    <w:sectPr w:rsidR="00E94A19" w:rsidRPr="00E94A19">
      <w:headerReference w:type="even" r:id="rId10"/>
      <w:headerReference w:type="default" r:id="rId11"/>
      <w:footerReference w:type="default" r:id="rId12"/>
      <w:headerReference w:type="first" r:id="rId13"/>
      <w:footerReference w:type="first" r:id="rId14"/>
      <w:pgSz w:w="12240" w:h="15840"/>
      <w:pgMar w:top="2268" w:right="1474"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89E" w:rsidRDefault="00D1289E">
      <w:r>
        <w:separator/>
      </w:r>
    </w:p>
  </w:endnote>
  <w:endnote w:type="continuationSeparator" w:id="0">
    <w:p w:rsidR="00D1289E" w:rsidRDefault="00D12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537C08E3-7D41-46D9-BF97-71F9FF001ED5}"/>
    <w:embedBold r:id="rId2" w:fontKey="{88383F37-3C9F-4809-B381-A63B1CE1969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3" w:fontKey="{97FC59C1-3CF0-482F-82F3-9BDED8DCE861}"/>
    <w:embedBold r:id="rId4" w:fontKey="{3F651DBD-2AB7-461B-93C5-52CEA289C417}"/>
    <w:embedItalic r:id="rId5" w:fontKey="{1F3447B5-72E9-4A1E-87DE-6B4BD3A2CA46}"/>
    <w:embedBoldItalic r:id="rId6" w:fontKey="{85D6E86E-5FE6-4333-9037-78E36A7ABD06}"/>
  </w:font>
  <w:font w:name="Calibri">
    <w:panose1 w:val="020F0502020204030204"/>
    <w:charset w:val="00"/>
    <w:family w:val="swiss"/>
    <w:pitch w:val="variable"/>
    <w:sig w:usb0="E4002EFF" w:usb1="C200247B" w:usb2="00000009" w:usb3="00000000" w:csb0="000001FF" w:csb1="00000000"/>
    <w:embedRegular r:id="rId7" w:fontKey="{55B354AF-0F6E-4D51-BEC8-7ED45BBC6507}"/>
    <w:embedBold r:id="rId8" w:fontKey="{29020D49-3706-48D7-80CE-9D850D3F0691}"/>
    <w:embedItalic r:id="rId9" w:fontKey="{6045FE3F-65C9-48DC-A793-86662AF3189A}"/>
  </w:font>
  <w:font w:name="Calibri Light">
    <w:panose1 w:val="020F0302020204030204"/>
    <w:charset w:val="00"/>
    <w:family w:val="swiss"/>
    <w:pitch w:val="variable"/>
    <w:sig w:usb0="E4002EFF" w:usb1="C200247B" w:usb2="00000009" w:usb3="00000000" w:csb0="000001FF" w:csb1="00000000"/>
    <w:embedRegular r:id="rId10" w:fontKey="{7F89EF70-322C-41B2-8A77-1DEFCB02DF0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18EC5F2D-40F1-4F92-928D-B9857CB015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80C" w:rsidRPr="00E94A19" w:rsidRDefault="002178B2">
    <w:pPr>
      <w:pBdr>
        <w:top w:val="nil"/>
        <w:left w:val="nil"/>
        <w:bottom w:val="nil"/>
        <w:right w:val="nil"/>
        <w:between w:val="nil"/>
      </w:pBdr>
      <w:tabs>
        <w:tab w:val="center" w:pos="4419"/>
        <w:tab w:val="right" w:pos="8838"/>
      </w:tabs>
      <w:jc w:val="right"/>
      <w:rPr>
        <w:rFonts w:ascii="Palatino Linotype" w:eastAsia="Palatino Linotype" w:hAnsi="Palatino Linotype" w:cs="Palatino Linotype"/>
        <w:b/>
        <w:color w:val="000000"/>
        <w:sz w:val="20"/>
        <w:szCs w:val="20"/>
      </w:rPr>
    </w:pPr>
    <w:r w:rsidRPr="00E94A19">
      <w:rPr>
        <w:rFonts w:ascii="Palatino Linotype" w:eastAsia="Palatino Linotype" w:hAnsi="Palatino Linotype" w:cs="Palatino Linotype"/>
        <w:b/>
        <w:color w:val="000000"/>
        <w:sz w:val="22"/>
        <w:szCs w:val="20"/>
      </w:rPr>
      <w:t xml:space="preserve">Página </w:t>
    </w:r>
    <w:r w:rsidRPr="00E94A19">
      <w:rPr>
        <w:rFonts w:ascii="Palatino Linotype" w:eastAsia="Palatino Linotype" w:hAnsi="Palatino Linotype" w:cs="Palatino Linotype"/>
        <w:b/>
        <w:color w:val="000000"/>
        <w:sz w:val="22"/>
        <w:szCs w:val="20"/>
      </w:rPr>
      <w:fldChar w:fldCharType="begin"/>
    </w:r>
    <w:r w:rsidRPr="00E94A19">
      <w:rPr>
        <w:rFonts w:ascii="Palatino Linotype" w:eastAsia="Palatino Linotype" w:hAnsi="Palatino Linotype" w:cs="Palatino Linotype"/>
        <w:b/>
        <w:color w:val="000000"/>
        <w:sz w:val="22"/>
        <w:szCs w:val="20"/>
      </w:rPr>
      <w:instrText>PAGE</w:instrText>
    </w:r>
    <w:r w:rsidRPr="00E94A19">
      <w:rPr>
        <w:rFonts w:ascii="Palatino Linotype" w:eastAsia="Palatino Linotype" w:hAnsi="Palatino Linotype" w:cs="Palatino Linotype"/>
        <w:b/>
        <w:color w:val="000000"/>
        <w:sz w:val="22"/>
        <w:szCs w:val="20"/>
      </w:rPr>
      <w:fldChar w:fldCharType="separate"/>
    </w:r>
    <w:r w:rsidR="00E94A19">
      <w:rPr>
        <w:rFonts w:ascii="Palatino Linotype" w:eastAsia="Palatino Linotype" w:hAnsi="Palatino Linotype" w:cs="Palatino Linotype"/>
        <w:b/>
        <w:noProof/>
        <w:color w:val="000000"/>
        <w:sz w:val="22"/>
        <w:szCs w:val="20"/>
      </w:rPr>
      <w:t>21</w:t>
    </w:r>
    <w:r w:rsidRPr="00E94A19">
      <w:rPr>
        <w:rFonts w:ascii="Palatino Linotype" w:eastAsia="Palatino Linotype" w:hAnsi="Palatino Linotype" w:cs="Palatino Linotype"/>
        <w:b/>
        <w:color w:val="000000"/>
        <w:sz w:val="22"/>
        <w:szCs w:val="20"/>
      </w:rPr>
      <w:fldChar w:fldCharType="end"/>
    </w:r>
    <w:r w:rsidRPr="00E94A19">
      <w:rPr>
        <w:rFonts w:ascii="Palatino Linotype" w:eastAsia="Palatino Linotype" w:hAnsi="Palatino Linotype" w:cs="Palatino Linotype"/>
        <w:b/>
        <w:color w:val="000000"/>
        <w:sz w:val="22"/>
        <w:szCs w:val="20"/>
      </w:rPr>
      <w:t xml:space="preserve"> de </w:t>
    </w:r>
    <w:r w:rsidRPr="00E94A19">
      <w:rPr>
        <w:rFonts w:ascii="Palatino Linotype" w:eastAsia="Palatino Linotype" w:hAnsi="Palatino Linotype" w:cs="Palatino Linotype"/>
        <w:b/>
        <w:color w:val="000000"/>
        <w:sz w:val="22"/>
        <w:szCs w:val="20"/>
      </w:rPr>
      <w:fldChar w:fldCharType="begin"/>
    </w:r>
    <w:r w:rsidRPr="00E94A19">
      <w:rPr>
        <w:rFonts w:ascii="Palatino Linotype" w:eastAsia="Palatino Linotype" w:hAnsi="Palatino Linotype" w:cs="Palatino Linotype"/>
        <w:b/>
        <w:color w:val="000000"/>
        <w:sz w:val="22"/>
        <w:szCs w:val="20"/>
      </w:rPr>
      <w:instrText>NUMPAGES</w:instrText>
    </w:r>
    <w:r w:rsidRPr="00E94A19">
      <w:rPr>
        <w:rFonts w:ascii="Palatino Linotype" w:eastAsia="Palatino Linotype" w:hAnsi="Palatino Linotype" w:cs="Palatino Linotype"/>
        <w:b/>
        <w:color w:val="000000"/>
        <w:sz w:val="22"/>
        <w:szCs w:val="20"/>
      </w:rPr>
      <w:fldChar w:fldCharType="separate"/>
    </w:r>
    <w:r w:rsidR="00E94A19">
      <w:rPr>
        <w:rFonts w:ascii="Palatino Linotype" w:eastAsia="Palatino Linotype" w:hAnsi="Palatino Linotype" w:cs="Palatino Linotype"/>
        <w:b/>
        <w:noProof/>
        <w:color w:val="000000"/>
        <w:sz w:val="22"/>
        <w:szCs w:val="20"/>
      </w:rPr>
      <w:t>49</w:t>
    </w:r>
    <w:r w:rsidRPr="00E94A19">
      <w:rPr>
        <w:rFonts w:ascii="Palatino Linotype" w:eastAsia="Palatino Linotype" w:hAnsi="Palatino Linotype" w:cs="Palatino Linotype"/>
        <w:b/>
        <w:color w:val="000000"/>
        <w:sz w:val="22"/>
        <w:szCs w:val="20"/>
      </w:rPr>
      <w:fldChar w:fldCharType="end"/>
    </w:r>
  </w:p>
  <w:p w:rsidR="002D280C" w:rsidRDefault="002D280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80C" w:rsidRPr="00E94A19" w:rsidRDefault="002178B2">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2"/>
        <w:szCs w:val="20"/>
      </w:rPr>
    </w:pPr>
    <w:r w:rsidRPr="00E94A19">
      <w:rPr>
        <w:rFonts w:ascii="Palatino Linotype" w:eastAsia="Palatino Linotype" w:hAnsi="Palatino Linotype" w:cs="Palatino Linotype"/>
        <w:color w:val="000000"/>
        <w:sz w:val="22"/>
        <w:szCs w:val="20"/>
      </w:rPr>
      <w:t xml:space="preserve">Página </w:t>
    </w:r>
    <w:r w:rsidRPr="00E94A19">
      <w:rPr>
        <w:rFonts w:ascii="Palatino Linotype" w:eastAsia="Palatino Linotype" w:hAnsi="Palatino Linotype" w:cs="Palatino Linotype"/>
        <w:color w:val="000000"/>
        <w:sz w:val="22"/>
        <w:szCs w:val="20"/>
      </w:rPr>
      <w:fldChar w:fldCharType="begin"/>
    </w:r>
    <w:r w:rsidRPr="00E94A19">
      <w:rPr>
        <w:rFonts w:ascii="Palatino Linotype" w:eastAsia="Palatino Linotype" w:hAnsi="Palatino Linotype" w:cs="Palatino Linotype"/>
        <w:color w:val="000000"/>
        <w:sz w:val="22"/>
        <w:szCs w:val="20"/>
      </w:rPr>
      <w:instrText>PAGE</w:instrText>
    </w:r>
    <w:r w:rsidRPr="00E94A19">
      <w:rPr>
        <w:rFonts w:ascii="Palatino Linotype" w:eastAsia="Palatino Linotype" w:hAnsi="Palatino Linotype" w:cs="Palatino Linotype"/>
        <w:color w:val="000000"/>
        <w:sz w:val="22"/>
        <w:szCs w:val="20"/>
      </w:rPr>
      <w:fldChar w:fldCharType="separate"/>
    </w:r>
    <w:r w:rsidR="00E94A19">
      <w:rPr>
        <w:rFonts w:ascii="Palatino Linotype" w:eastAsia="Palatino Linotype" w:hAnsi="Palatino Linotype" w:cs="Palatino Linotype"/>
        <w:noProof/>
        <w:color w:val="000000"/>
        <w:sz w:val="22"/>
        <w:szCs w:val="20"/>
      </w:rPr>
      <w:t>1</w:t>
    </w:r>
    <w:r w:rsidRPr="00E94A19">
      <w:rPr>
        <w:rFonts w:ascii="Palatino Linotype" w:eastAsia="Palatino Linotype" w:hAnsi="Palatino Linotype" w:cs="Palatino Linotype"/>
        <w:color w:val="000000"/>
        <w:sz w:val="22"/>
        <w:szCs w:val="20"/>
      </w:rPr>
      <w:fldChar w:fldCharType="end"/>
    </w:r>
    <w:r w:rsidRPr="00E94A19">
      <w:rPr>
        <w:rFonts w:ascii="Palatino Linotype" w:eastAsia="Palatino Linotype" w:hAnsi="Palatino Linotype" w:cs="Palatino Linotype"/>
        <w:color w:val="000000"/>
        <w:sz w:val="22"/>
        <w:szCs w:val="20"/>
      </w:rPr>
      <w:t xml:space="preserve"> de </w:t>
    </w:r>
    <w:r w:rsidRPr="00E94A19">
      <w:rPr>
        <w:rFonts w:ascii="Palatino Linotype" w:eastAsia="Palatino Linotype" w:hAnsi="Palatino Linotype" w:cs="Palatino Linotype"/>
        <w:color w:val="000000"/>
        <w:sz w:val="22"/>
        <w:szCs w:val="20"/>
      </w:rPr>
      <w:fldChar w:fldCharType="begin"/>
    </w:r>
    <w:r w:rsidRPr="00E94A19">
      <w:rPr>
        <w:rFonts w:ascii="Palatino Linotype" w:eastAsia="Palatino Linotype" w:hAnsi="Palatino Linotype" w:cs="Palatino Linotype"/>
        <w:color w:val="000000"/>
        <w:sz w:val="22"/>
        <w:szCs w:val="20"/>
      </w:rPr>
      <w:instrText>NUMPAGES</w:instrText>
    </w:r>
    <w:r w:rsidRPr="00E94A19">
      <w:rPr>
        <w:rFonts w:ascii="Palatino Linotype" w:eastAsia="Palatino Linotype" w:hAnsi="Palatino Linotype" w:cs="Palatino Linotype"/>
        <w:color w:val="000000"/>
        <w:sz w:val="22"/>
        <w:szCs w:val="20"/>
      </w:rPr>
      <w:fldChar w:fldCharType="separate"/>
    </w:r>
    <w:r w:rsidR="00E94A19">
      <w:rPr>
        <w:rFonts w:ascii="Palatino Linotype" w:eastAsia="Palatino Linotype" w:hAnsi="Palatino Linotype" w:cs="Palatino Linotype"/>
        <w:noProof/>
        <w:color w:val="000000"/>
        <w:sz w:val="22"/>
        <w:szCs w:val="20"/>
      </w:rPr>
      <w:t>49</w:t>
    </w:r>
    <w:r w:rsidRPr="00E94A19">
      <w:rPr>
        <w:rFonts w:ascii="Palatino Linotype" w:eastAsia="Palatino Linotype" w:hAnsi="Palatino Linotype" w:cs="Palatino Linotype"/>
        <w:color w:val="000000"/>
        <w:sz w:val="22"/>
        <w:szCs w:val="20"/>
      </w:rPr>
      <w:fldChar w:fldCharType="end"/>
    </w:r>
  </w:p>
  <w:p w:rsidR="002D280C" w:rsidRDefault="002D280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89E" w:rsidRDefault="00D1289E">
      <w:r>
        <w:separator/>
      </w:r>
    </w:p>
  </w:footnote>
  <w:footnote w:type="continuationSeparator" w:id="0">
    <w:p w:rsidR="00D1289E" w:rsidRDefault="00D128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280C" w:rsidRDefault="00D1289E">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0"/>
      <w:tblW w:w="7087" w:type="dxa"/>
      <w:tblInd w:w="3544" w:type="dxa"/>
      <w:tblLayout w:type="fixed"/>
      <w:tblLook w:val="0400" w:firstRow="0" w:lastRow="0" w:firstColumn="0" w:lastColumn="0" w:noHBand="0" w:noVBand="1"/>
    </w:tblPr>
    <w:tblGrid>
      <w:gridCol w:w="2835"/>
      <w:gridCol w:w="4252"/>
    </w:tblGrid>
    <w:tr w:rsidR="002D280C" w:rsidTr="00E94A19">
      <w:trPr>
        <w:trHeight w:val="227"/>
      </w:trPr>
      <w:tc>
        <w:tcPr>
          <w:tcW w:w="2835" w:type="dxa"/>
        </w:tcPr>
        <w:p w:rsidR="002D280C" w:rsidRPr="00E94A19" w:rsidRDefault="002178B2">
          <w:pPr>
            <w:jc w:val="right"/>
            <w:rPr>
              <w:rFonts w:ascii="Palatino Linotype" w:eastAsia="Palatino Linotype" w:hAnsi="Palatino Linotype" w:cs="Palatino Linotype"/>
              <w:b/>
              <w:bCs/>
              <w:szCs w:val="22"/>
            </w:rPr>
          </w:pPr>
          <w:r w:rsidRPr="00E94A19">
            <w:rPr>
              <w:rFonts w:ascii="Palatino Linotype" w:eastAsia="Palatino Linotype" w:hAnsi="Palatino Linotype" w:cs="Palatino Linotype"/>
              <w:b/>
              <w:bCs/>
              <w:szCs w:val="22"/>
            </w:rPr>
            <w:t>Recurso de Revisión:</w:t>
          </w:r>
        </w:p>
      </w:tc>
      <w:tc>
        <w:tcPr>
          <w:tcW w:w="4252" w:type="dxa"/>
        </w:tcPr>
        <w:p w:rsidR="002D280C" w:rsidRPr="00E94A19" w:rsidRDefault="002178B2">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E94A19">
            <w:rPr>
              <w:rFonts w:ascii="Palatino Linotype" w:eastAsia="Palatino Linotype" w:hAnsi="Palatino Linotype" w:cs="Palatino Linotype"/>
              <w:color w:val="000000"/>
              <w:szCs w:val="22"/>
            </w:rPr>
            <w:t>08458/INFOEM/IP/RR/2025</w:t>
          </w:r>
        </w:p>
      </w:tc>
    </w:tr>
    <w:tr w:rsidR="002D280C" w:rsidTr="00E94A19">
      <w:trPr>
        <w:trHeight w:val="342"/>
      </w:trPr>
      <w:tc>
        <w:tcPr>
          <w:tcW w:w="2835" w:type="dxa"/>
        </w:tcPr>
        <w:p w:rsidR="002D280C" w:rsidRPr="00E94A19" w:rsidRDefault="002178B2">
          <w:pPr>
            <w:jc w:val="right"/>
            <w:rPr>
              <w:rFonts w:ascii="Palatino Linotype" w:eastAsia="Palatino Linotype" w:hAnsi="Palatino Linotype" w:cs="Palatino Linotype"/>
              <w:b/>
              <w:bCs/>
              <w:szCs w:val="22"/>
            </w:rPr>
          </w:pPr>
          <w:r w:rsidRPr="00E94A19">
            <w:rPr>
              <w:rFonts w:ascii="Palatino Linotype" w:eastAsia="Palatino Linotype" w:hAnsi="Palatino Linotype" w:cs="Palatino Linotype"/>
              <w:b/>
              <w:bCs/>
              <w:szCs w:val="22"/>
            </w:rPr>
            <w:t>Sujeto Obligado:</w:t>
          </w:r>
        </w:p>
      </w:tc>
      <w:tc>
        <w:tcPr>
          <w:tcW w:w="4252" w:type="dxa"/>
        </w:tcPr>
        <w:p w:rsidR="002D280C" w:rsidRPr="00E94A19" w:rsidRDefault="002178B2">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E94A19">
            <w:rPr>
              <w:rFonts w:ascii="Palatino Linotype" w:eastAsia="Palatino Linotype" w:hAnsi="Palatino Linotype" w:cs="Palatino Linotype"/>
              <w:color w:val="000000"/>
              <w:szCs w:val="22"/>
            </w:rPr>
            <w:t>Ayuntamiento de Jocotitlán</w:t>
          </w:r>
        </w:p>
      </w:tc>
    </w:tr>
    <w:tr w:rsidR="002D280C" w:rsidTr="00E94A19">
      <w:trPr>
        <w:trHeight w:val="342"/>
      </w:trPr>
      <w:tc>
        <w:tcPr>
          <w:tcW w:w="2835" w:type="dxa"/>
        </w:tcPr>
        <w:p w:rsidR="002D280C" w:rsidRPr="00E94A19" w:rsidRDefault="002178B2">
          <w:pPr>
            <w:jc w:val="right"/>
            <w:rPr>
              <w:rFonts w:ascii="Palatino Linotype" w:eastAsia="Palatino Linotype" w:hAnsi="Palatino Linotype" w:cs="Palatino Linotype"/>
              <w:b/>
              <w:bCs/>
              <w:szCs w:val="22"/>
            </w:rPr>
          </w:pPr>
          <w:r w:rsidRPr="00E94A19">
            <w:rPr>
              <w:rFonts w:ascii="Palatino Linotype" w:eastAsia="Palatino Linotype" w:hAnsi="Palatino Linotype" w:cs="Palatino Linotype"/>
              <w:b/>
              <w:bCs/>
              <w:szCs w:val="22"/>
            </w:rPr>
            <w:t>Comisionada Ponente:</w:t>
          </w:r>
        </w:p>
      </w:tc>
      <w:tc>
        <w:tcPr>
          <w:tcW w:w="4252" w:type="dxa"/>
        </w:tcPr>
        <w:p w:rsidR="002D280C" w:rsidRPr="00E94A19" w:rsidRDefault="002178B2">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E94A19">
            <w:rPr>
              <w:rFonts w:ascii="Palatino Linotype" w:eastAsia="Palatino Linotype" w:hAnsi="Palatino Linotype" w:cs="Palatino Linotype"/>
              <w:color w:val="000000"/>
              <w:szCs w:val="22"/>
            </w:rPr>
            <w:t>María del Rosario Mejía Ayala</w:t>
          </w:r>
        </w:p>
      </w:tc>
    </w:tr>
  </w:tbl>
  <w:p w:rsidR="002D280C" w:rsidRDefault="00D1289E">
    <w:pPr>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2.75pt;margin-top:-125.7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6378" w:type="dxa"/>
      <w:tblInd w:w="3686" w:type="dxa"/>
      <w:tblLayout w:type="fixed"/>
      <w:tblLook w:val="0400" w:firstRow="0" w:lastRow="0" w:firstColumn="0" w:lastColumn="0" w:noHBand="0" w:noVBand="1"/>
    </w:tblPr>
    <w:tblGrid>
      <w:gridCol w:w="2835"/>
      <w:gridCol w:w="3543"/>
    </w:tblGrid>
    <w:tr w:rsidR="002D280C" w:rsidTr="00E94A19">
      <w:trPr>
        <w:trHeight w:val="227"/>
      </w:trPr>
      <w:tc>
        <w:tcPr>
          <w:tcW w:w="2835" w:type="dxa"/>
        </w:tcPr>
        <w:p w:rsidR="002D280C" w:rsidRPr="00E94A19" w:rsidRDefault="002178B2">
          <w:pPr>
            <w:jc w:val="right"/>
            <w:rPr>
              <w:rFonts w:ascii="Palatino Linotype" w:eastAsia="Palatino Linotype" w:hAnsi="Palatino Linotype" w:cs="Palatino Linotype"/>
              <w:b/>
              <w:bCs/>
              <w:szCs w:val="22"/>
            </w:rPr>
          </w:pPr>
          <w:r w:rsidRPr="00E94A19">
            <w:rPr>
              <w:rFonts w:ascii="Palatino Linotype" w:eastAsia="Palatino Linotype" w:hAnsi="Palatino Linotype" w:cs="Palatino Linotype"/>
              <w:b/>
              <w:bCs/>
              <w:szCs w:val="22"/>
            </w:rPr>
            <w:t>Recurso de Revisión:</w:t>
          </w:r>
        </w:p>
      </w:tc>
      <w:tc>
        <w:tcPr>
          <w:tcW w:w="3543" w:type="dxa"/>
        </w:tcPr>
        <w:p w:rsidR="002D280C" w:rsidRPr="00E94A19" w:rsidRDefault="002178B2">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highlight w:val="green"/>
            </w:rPr>
          </w:pPr>
          <w:r w:rsidRPr="00E94A19">
            <w:rPr>
              <w:rFonts w:ascii="Palatino Linotype" w:eastAsia="Palatino Linotype" w:hAnsi="Palatino Linotype" w:cs="Palatino Linotype"/>
              <w:color w:val="000000"/>
              <w:szCs w:val="22"/>
            </w:rPr>
            <w:t>08458/INFOEM/IP/RR/2025</w:t>
          </w:r>
        </w:p>
      </w:tc>
    </w:tr>
    <w:tr w:rsidR="002D280C" w:rsidTr="00E94A19">
      <w:trPr>
        <w:trHeight w:val="242"/>
      </w:trPr>
      <w:tc>
        <w:tcPr>
          <w:tcW w:w="2835" w:type="dxa"/>
        </w:tcPr>
        <w:p w:rsidR="002D280C" w:rsidRPr="00E94A19" w:rsidRDefault="002178B2">
          <w:pPr>
            <w:jc w:val="right"/>
            <w:rPr>
              <w:rFonts w:ascii="Palatino Linotype" w:eastAsia="Palatino Linotype" w:hAnsi="Palatino Linotype" w:cs="Palatino Linotype"/>
              <w:b/>
              <w:bCs/>
              <w:szCs w:val="22"/>
            </w:rPr>
          </w:pPr>
          <w:r w:rsidRPr="00E94A19">
            <w:rPr>
              <w:rFonts w:ascii="Palatino Linotype" w:eastAsia="Palatino Linotype" w:hAnsi="Palatino Linotype" w:cs="Palatino Linotype"/>
              <w:b/>
              <w:bCs/>
              <w:szCs w:val="22"/>
            </w:rPr>
            <w:t>Recurrente:</w:t>
          </w:r>
        </w:p>
      </w:tc>
      <w:tc>
        <w:tcPr>
          <w:tcW w:w="3543" w:type="dxa"/>
        </w:tcPr>
        <w:p w:rsidR="002D280C" w:rsidRPr="00E94A19" w:rsidRDefault="002D280C"/>
      </w:tc>
    </w:tr>
    <w:tr w:rsidR="002D280C" w:rsidTr="00E94A19">
      <w:trPr>
        <w:trHeight w:val="342"/>
      </w:trPr>
      <w:tc>
        <w:tcPr>
          <w:tcW w:w="2835" w:type="dxa"/>
        </w:tcPr>
        <w:p w:rsidR="002D280C" w:rsidRPr="00E94A19" w:rsidRDefault="002178B2">
          <w:pPr>
            <w:jc w:val="right"/>
            <w:rPr>
              <w:rFonts w:ascii="Palatino Linotype" w:eastAsia="Palatino Linotype" w:hAnsi="Palatino Linotype" w:cs="Palatino Linotype"/>
              <w:b/>
              <w:bCs/>
              <w:szCs w:val="22"/>
            </w:rPr>
          </w:pPr>
          <w:r w:rsidRPr="00E94A19">
            <w:rPr>
              <w:rFonts w:ascii="Palatino Linotype" w:eastAsia="Palatino Linotype" w:hAnsi="Palatino Linotype" w:cs="Palatino Linotype"/>
              <w:b/>
              <w:bCs/>
              <w:szCs w:val="22"/>
            </w:rPr>
            <w:t>Sujeto Obligado:</w:t>
          </w:r>
        </w:p>
      </w:tc>
      <w:tc>
        <w:tcPr>
          <w:tcW w:w="3543" w:type="dxa"/>
        </w:tcPr>
        <w:p w:rsidR="002D280C" w:rsidRPr="00E94A19" w:rsidRDefault="002178B2">
          <w:pPr>
            <w:pBdr>
              <w:top w:val="nil"/>
              <w:left w:val="nil"/>
              <w:bottom w:val="nil"/>
              <w:right w:val="nil"/>
              <w:between w:val="nil"/>
            </w:pBdr>
            <w:tabs>
              <w:tab w:val="right" w:pos="8838"/>
            </w:tabs>
            <w:jc w:val="both"/>
            <w:rPr>
              <w:rFonts w:ascii="Palatino Linotype" w:eastAsia="Palatino Linotype" w:hAnsi="Palatino Linotype" w:cs="Palatino Linotype"/>
              <w:color w:val="000000"/>
              <w:szCs w:val="22"/>
              <w:highlight w:val="green"/>
            </w:rPr>
          </w:pPr>
          <w:r w:rsidRPr="00E94A19">
            <w:rPr>
              <w:rFonts w:ascii="Palatino Linotype" w:eastAsia="Palatino Linotype" w:hAnsi="Palatino Linotype" w:cs="Palatino Linotype"/>
              <w:color w:val="000000"/>
              <w:szCs w:val="22"/>
            </w:rPr>
            <w:t>Ayuntamiento de Jocotitlán</w:t>
          </w:r>
        </w:p>
      </w:tc>
    </w:tr>
    <w:tr w:rsidR="002D280C" w:rsidTr="00E94A19">
      <w:trPr>
        <w:trHeight w:val="342"/>
      </w:trPr>
      <w:tc>
        <w:tcPr>
          <w:tcW w:w="2835" w:type="dxa"/>
        </w:tcPr>
        <w:p w:rsidR="002D280C" w:rsidRPr="00E94A19" w:rsidRDefault="002178B2">
          <w:pPr>
            <w:jc w:val="right"/>
            <w:rPr>
              <w:rFonts w:ascii="Palatino Linotype" w:eastAsia="Palatino Linotype" w:hAnsi="Palatino Linotype" w:cs="Palatino Linotype"/>
              <w:b/>
              <w:bCs/>
              <w:szCs w:val="22"/>
            </w:rPr>
          </w:pPr>
          <w:r w:rsidRPr="00E94A19">
            <w:rPr>
              <w:rFonts w:ascii="Palatino Linotype" w:eastAsia="Palatino Linotype" w:hAnsi="Palatino Linotype" w:cs="Palatino Linotype"/>
              <w:b/>
              <w:bCs/>
              <w:szCs w:val="22"/>
            </w:rPr>
            <w:t>Comisionada Ponente:</w:t>
          </w:r>
        </w:p>
      </w:tc>
      <w:tc>
        <w:tcPr>
          <w:tcW w:w="3543" w:type="dxa"/>
        </w:tcPr>
        <w:p w:rsidR="002D280C" w:rsidRPr="00E94A19" w:rsidRDefault="002178B2">
          <w:pPr>
            <w:pBdr>
              <w:top w:val="nil"/>
              <w:left w:val="nil"/>
              <w:bottom w:val="nil"/>
              <w:right w:val="nil"/>
              <w:between w:val="nil"/>
            </w:pBdr>
            <w:tabs>
              <w:tab w:val="right" w:pos="8838"/>
            </w:tabs>
            <w:ind w:right="-1285"/>
            <w:rPr>
              <w:rFonts w:ascii="Palatino Linotype" w:eastAsia="Palatino Linotype" w:hAnsi="Palatino Linotype" w:cs="Palatino Linotype"/>
              <w:color w:val="000000"/>
              <w:szCs w:val="22"/>
            </w:rPr>
          </w:pPr>
          <w:r w:rsidRPr="00E94A19">
            <w:rPr>
              <w:rFonts w:ascii="Palatino Linotype" w:eastAsia="Palatino Linotype" w:hAnsi="Palatino Linotype" w:cs="Palatino Linotype"/>
              <w:color w:val="000000"/>
              <w:szCs w:val="22"/>
            </w:rPr>
            <w:t>María del Rosario Mejía Ayala</w:t>
          </w:r>
        </w:p>
      </w:tc>
    </w:tr>
  </w:tbl>
  <w:p w:rsidR="002D280C" w:rsidRDefault="00D1289E">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32.2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5B6DAA"/>
    <w:multiLevelType w:val="multilevel"/>
    <w:tmpl w:val="A8C2B52C"/>
    <w:lvl w:ilvl="0">
      <w:start w:val="1"/>
      <w:numFmt w:val="bullet"/>
      <w:lvlText w:val="●"/>
      <w:lvlJc w:val="left"/>
      <w:pPr>
        <w:ind w:left="778" w:hanging="360"/>
      </w:pPr>
      <w:rPr>
        <w:rFonts w:ascii="Noto Sans Symbols" w:eastAsia="Noto Sans Symbols" w:hAnsi="Noto Sans Symbols" w:cs="Noto Sans Symbols"/>
      </w:rPr>
    </w:lvl>
    <w:lvl w:ilvl="1">
      <w:start w:val="1"/>
      <w:numFmt w:val="bullet"/>
      <w:lvlText w:val="o"/>
      <w:lvlJc w:val="left"/>
      <w:pPr>
        <w:ind w:left="1498" w:hanging="360"/>
      </w:pPr>
      <w:rPr>
        <w:rFonts w:ascii="Courier New" w:eastAsia="Courier New" w:hAnsi="Courier New" w:cs="Courier New"/>
      </w:rPr>
    </w:lvl>
    <w:lvl w:ilvl="2">
      <w:start w:val="1"/>
      <w:numFmt w:val="bullet"/>
      <w:lvlText w:val="▪"/>
      <w:lvlJc w:val="left"/>
      <w:pPr>
        <w:ind w:left="2218" w:hanging="360"/>
      </w:pPr>
      <w:rPr>
        <w:rFonts w:ascii="Noto Sans Symbols" w:eastAsia="Noto Sans Symbols" w:hAnsi="Noto Sans Symbols" w:cs="Noto Sans Symbols"/>
      </w:rPr>
    </w:lvl>
    <w:lvl w:ilvl="3">
      <w:start w:val="1"/>
      <w:numFmt w:val="bullet"/>
      <w:lvlText w:val="●"/>
      <w:lvlJc w:val="left"/>
      <w:pPr>
        <w:ind w:left="2938" w:hanging="360"/>
      </w:pPr>
      <w:rPr>
        <w:rFonts w:ascii="Noto Sans Symbols" w:eastAsia="Noto Sans Symbols" w:hAnsi="Noto Sans Symbols" w:cs="Noto Sans Symbols"/>
      </w:rPr>
    </w:lvl>
    <w:lvl w:ilvl="4">
      <w:start w:val="1"/>
      <w:numFmt w:val="bullet"/>
      <w:lvlText w:val="o"/>
      <w:lvlJc w:val="left"/>
      <w:pPr>
        <w:ind w:left="3658" w:hanging="360"/>
      </w:pPr>
      <w:rPr>
        <w:rFonts w:ascii="Courier New" w:eastAsia="Courier New" w:hAnsi="Courier New" w:cs="Courier New"/>
      </w:rPr>
    </w:lvl>
    <w:lvl w:ilvl="5">
      <w:start w:val="1"/>
      <w:numFmt w:val="bullet"/>
      <w:lvlText w:val="▪"/>
      <w:lvlJc w:val="left"/>
      <w:pPr>
        <w:ind w:left="4378" w:hanging="360"/>
      </w:pPr>
      <w:rPr>
        <w:rFonts w:ascii="Noto Sans Symbols" w:eastAsia="Noto Sans Symbols" w:hAnsi="Noto Sans Symbols" w:cs="Noto Sans Symbols"/>
      </w:rPr>
    </w:lvl>
    <w:lvl w:ilvl="6">
      <w:start w:val="1"/>
      <w:numFmt w:val="bullet"/>
      <w:lvlText w:val="●"/>
      <w:lvlJc w:val="left"/>
      <w:pPr>
        <w:ind w:left="5098" w:hanging="360"/>
      </w:pPr>
      <w:rPr>
        <w:rFonts w:ascii="Noto Sans Symbols" w:eastAsia="Noto Sans Symbols" w:hAnsi="Noto Sans Symbols" w:cs="Noto Sans Symbols"/>
      </w:rPr>
    </w:lvl>
    <w:lvl w:ilvl="7">
      <w:start w:val="1"/>
      <w:numFmt w:val="bullet"/>
      <w:lvlText w:val="o"/>
      <w:lvlJc w:val="left"/>
      <w:pPr>
        <w:ind w:left="5818" w:hanging="360"/>
      </w:pPr>
      <w:rPr>
        <w:rFonts w:ascii="Courier New" w:eastAsia="Courier New" w:hAnsi="Courier New" w:cs="Courier New"/>
      </w:rPr>
    </w:lvl>
    <w:lvl w:ilvl="8">
      <w:start w:val="1"/>
      <w:numFmt w:val="bullet"/>
      <w:lvlText w:val="▪"/>
      <w:lvlJc w:val="left"/>
      <w:pPr>
        <w:ind w:left="6538" w:hanging="360"/>
      </w:pPr>
      <w:rPr>
        <w:rFonts w:ascii="Noto Sans Symbols" w:eastAsia="Noto Sans Symbols" w:hAnsi="Noto Sans Symbols" w:cs="Noto Sans Symbols"/>
      </w:rPr>
    </w:lvl>
  </w:abstractNum>
  <w:abstractNum w:abstractNumId="1" w15:restartNumberingAfterBreak="0">
    <w:nsid w:val="32B7606E"/>
    <w:multiLevelType w:val="multilevel"/>
    <w:tmpl w:val="281C3D7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40A2B9B"/>
    <w:multiLevelType w:val="hybridMultilevel"/>
    <w:tmpl w:val="0DA0F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470FFF"/>
    <w:multiLevelType w:val="multilevel"/>
    <w:tmpl w:val="C38EC3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5A75C1"/>
    <w:multiLevelType w:val="multilevel"/>
    <w:tmpl w:val="667AD40A"/>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5" w15:restartNumberingAfterBreak="0">
    <w:nsid w:val="416908F2"/>
    <w:multiLevelType w:val="multilevel"/>
    <w:tmpl w:val="95EE5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1907B9"/>
    <w:multiLevelType w:val="multilevel"/>
    <w:tmpl w:val="CF523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2463862"/>
    <w:multiLevelType w:val="multilevel"/>
    <w:tmpl w:val="7EE455B6"/>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4ED49A8"/>
    <w:multiLevelType w:val="multilevel"/>
    <w:tmpl w:val="EDF42BC6"/>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9" w15:restartNumberingAfterBreak="0">
    <w:nsid w:val="597B007E"/>
    <w:multiLevelType w:val="multilevel"/>
    <w:tmpl w:val="39303040"/>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10" w15:restartNumberingAfterBreak="0">
    <w:nsid w:val="61387AEA"/>
    <w:multiLevelType w:val="multilevel"/>
    <w:tmpl w:val="83B05D9A"/>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15:restartNumberingAfterBreak="0">
    <w:nsid w:val="6F8D5542"/>
    <w:multiLevelType w:val="multilevel"/>
    <w:tmpl w:val="F37EAD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761075F"/>
    <w:multiLevelType w:val="multilevel"/>
    <w:tmpl w:val="E37CC7CC"/>
    <w:lvl w:ilvl="0">
      <w:start w:val="1"/>
      <w:numFmt w:val="decimal"/>
      <w:lvlText w:val="%1."/>
      <w:lvlJc w:val="left"/>
      <w:pPr>
        <w:ind w:left="2629" w:hanging="360"/>
      </w:pPr>
      <w:rPr>
        <w:rFonts w:ascii="Palatino Linotype" w:eastAsia="Palatino Linotype" w:hAnsi="Palatino Linotype" w:cs="Palatino Linotype"/>
        <w:b/>
        <w:bCs/>
        <w:i w:val="0"/>
        <w:iCs w:val="0"/>
        <w:color w:val="000000"/>
        <w:sz w:val="24"/>
        <w:szCs w:val="24"/>
      </w:rPr>
    </w:lvl>
    <w:lvl w:ilvl="1">
      <w:start w:val="1"/>
      <w:numFmt w:val="bullet"/>
      <w:lvlText w:val="●"/>
      <w:lvlJc w:val="left"/>
      <w:pPr>
        <w:ind w:left="1440" w:hanging="360"/>
      </w:pPr>
      <w:rPr>
        <w:rFonts w:ascii="Noto Sans Symbols" w:eastAsia="Noto Sans Symbols" w:hAnsi="Noto Sans Symbols" w:cs="Noto Sans Symbols"/>
        <w:b/>
        <w:bCs/>
      </w:rPr>
    </w:lvl>
    <w:lvl w:ilvl="2">
      <w:start w:val="1"/>
      <w:numFmt w:val="bullet"/>
      <w:lvlText w:val="−"/>
      <w:lvlJc w:val="left"/>
      <w:pPr>
        <w:ind w:left="2160" w:hanging="18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0"/>
  </w:num>
  <w:num w:numId="3">
    <w:abstractNumId w:val="12"/>
  </w:num>
  <w:num w:numId="4">
    <w:abstractNumId w:val="3"/>
  </w:num>
  <w:num w:numId="5">
    <w:abstractNumId w:val="7"/>
  </w:num>
  <w:num w:numId="6">
    <w:abstractNumId w:val="8"/>
  </w:num>
  <w:num w:numId="7">
    <w:abstractNumId w:val="10"/>
  </w:num>
  <w:num w:numId="8">
    <w:abstractNumId w:val="1"/>
  </w:num>
  <w:num w:numId="9">
    <w:abstractNumId w:val="11"/>
  </w:num>
  <w:num w:numId="10">
    <w:abstractNumId w:val="5"/>
  </w:num>
  <w:num w:numId="11">
    <w:abstractNumId w:val="6"/>
  </w:num>
  <w:num w:numId="12">
    <w:abstractNumId w:val="9"/>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80C"/>
    <w:rsid w:val="00002B8A"/>
    <w:rsid w:val="002149D4"/>
    <w:rsid w:val="002178B2"/>
    <w:rsid w:val="00231EA6"/>
    <w:rsid w:val="002D280C"/>
    <w:rsid w:val="00C40A84"/>
    <w:rsid w:val="00D1289E"/>
    <w:rsid w:val="00E217DE"/>
    <w:rsid w:val="00E94A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CEA8C77-D8A5-4AFC-BB4E-63CC6A4E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F5496"/>
      <w:sz w:val="32"/>
      <w:szCs w:val="32"/>
    </w:rPr>
  </w:style>
  <w:style w:type="paragraph" w:styleId="Ttulo2">
    <w:name w:val="heading 2"/>
    <w:basedOn w:val="Normal"/>
    <w:next w:val="Normal"/>
    <w:pPr>
      <w:keepNext/>
      <w:keepLines/>
      <w:spacing w:before="40"/>
      <w:outlineLvl w:val="1"/>
    </w:pPr>
    <w:rPr>
      <w:color w:val="2F5496"/>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character" w:customStyle="1" w:styleId="Ttulo1Car">
    <w:name w:val="Título 1 Car"/>
    <w:basedOn w:val="Fuentedeprrafopredeter"/>
    <w:uiPriority w:val="9"/>
    <w:rsid w:val="00942616"/>
    <w:rPr>
      <w:rFonts w:asciiTheme="majorHAnsi" w:eastAsiaTheme="majorEastAsia" w:hAnsiTheme="majorHAnsi" w:cstheme="majorBidi"/>
      <w:color w:val="2F5496" w:themeColor="accent1" w:themeShade="BF"/>
      <w:sz w:val="32"/>
      <w:szCs w:val="32"/>
      <w:lang w:val="es-ES_tradnl" w:eastAsia="es-ES"/>
    </w:rPr>
  </w:style>
  <w:style w:type="character" w:customStyle="1" w:styleId="Ttulo2Car">
    <w:name w:val="Título 2 Car"/>
    <w:basedOn w:val="Fuentedeprrafopredeter"/>
    <w:uiPriority w:val="9"/>
    <w:rsid w:val="00942616"/>
    <w:rPr>
      <w:rFonts w:asciiTheme="majorHAnsi" w:eastAsiaTheme="majorEastAsia" w:hAnsiTheme="majorHAnsi" w:cstheme="majorBidi"/>
      <w:color w:val="2F5496" w:themeColor="accent1" w:themeShade="BF"/>
      <w:sz w:val="26"/>
      <w:szCs w:val="26"/>
      <w:lang w:val="es-ES_tradnl" w:eastAsia="es-ES"/>
    </w:rPr>
  </w:style>
  <w:style w:type="paragraph" w:styleId="Encabezado">
    <w:name w:val="header"/>
    <w:basedOn w:val="Normal"/>
    <w:link w:val="EncabezadoCar"/>
    <w:uiPriority w:val="99"/>
    <w:unhideWhenUsed/>
    <w:rsid w:val="00942616"/>
    <w:pPr>
      <w:tabs>
        <w:tab w:val="center" w:pos="4419"/>
        <w:tab w:val="right" w:pos="8838"/>
      </w:tabs>
    </w:pPr>
  </w:style>
  <w:style w:type="character" w:customStyle="1" w:styleId="EncabezadoCar">
    <w:name w:val="Encabezado Car"/>
    <w:basedOn w:val="Fuentedeprrafopredeter"/>
    <w:link w:val="Encabezado"/>
    <w:uiPriority w:val="99"/>
    <w:rsid w:val="00942616"/>
    <w:rPr>
      <w:rFonts w:eastAsiaTheme="minorEastAsia"/>
      <w:sz w:val="24"/>
      <w:szCs w:val="24"/>
      <w:lang w:val="es-ES_tradnl" w:eastAsia="es-ES"/>
    </w:rPr>
  </w:style>
  <w:style w:type="paragraph" w:styleId="Piedepgina">
    <w:name w:val="footer"/>
    <w:basedOn w:val="Normal"/>
    <w:link w:val="PiedepginaCar"/>
    <w:uiPriority w:val="99"/>
    <w:unhideWhenUsed/>
    <w:rsid w:val="00942616"/>
    <w:pPr>
      <w:tabs>
        <w:tab w:val="center" w:pos="4419"/>
        <w:tab w:val="right" w:pos="8838"/>
      </w:tabs>
    </w:pPr>
  </w:style>
  <w:style w:type="character" w:customStyle="1" w:styleId="PiedepginaCar">
    <w:name w:val="Pie de página Car"/>
    <w:basedOn w:val="Fuentedeprrafopredeter"/>
    <w:link w:val="Piedepgina"/>
    <w:uiPriority w:val="99"/>
    <w:rsid w:val="00942616"/>
    <w:rPr>
      <w:rFonts w:eastAsiaTheme="minorEastAsia"/>
      <w:sz w:val="24"/>
      <w:szCs w:val="24"/>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942616"/>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42616"/>
    <w:rPr>
      <w:rFonts w:eastAsiaTheme="minorHAnsi"/>
      <w:sz w:val="20"/>
      <w:szCs w:val="20"/>
      <w:lang w:val="es-MX" w:eastAsia="en-US"/>
    </w:rPr>
  </w:style>
  <w:style w:type="character" w:customStyle="1" w:styleId="TextonotapieCar1">
    <w:name w:val="Texto nota pie Car1"/>
    <w:basedOn w:val="Fuentedeprrafopredeter"/>
    <w:uiPriority w:val="99"/>
    <w:semiHidden/>
    <w:rsid w:val="00942616"/>
    <w:rPr>
      <w:rFonts w:eastAsiaTheme="minorEastAsia"/>
      <w:sz w:val="20"/>
      <w:szCs w:val="20"/>
      <w:lang w:val="es-ES_tradnl"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942616"/>
    <w:rPr>
      <w:vertAlign w:val="superscript"/>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4261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42616"/>
    <w:rPr>
      <w:rFonts w:eastAsiaTheme="minorEastAsia"/>
      <w:sz w:val="24"/>
      <w:szCs w:val="24"/>
      <w:lang w:val="es-ES_tradnl" w:eastAsia="es-ES"/>
    </w:rPr>
  </w:style>
  <w:style w:type="table" w:styleId="Tablanormal1">
    <w:name w:val="Plain Table 1"/>
    <w:basedOn w:val="Tablanormal"/>
    <w:uiPriority w:val="41"/>
    <w:rsid w:val="009426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aliases w:val="Hipervínculo1,Hipervínculo11,Hipervínculo12,Hipervínculo13,Hipervínculo14,Hipervínculo15"/>
    <w:basedOn w:val="Fuentedeprrafopredeter"/>
    <w:uiPriority w:val="99"/>
    <w:unhideWhenUsed/>
    <w:qFormat/>
    <w:rsid w:val="004D1B9C"/>
    <w:rPr>
      <w:color w:val="0563C1" w:themeColor="hyperlink"/>
      <w:u w:val="single"/>
    </w:rPr>
  </w:style>
  <w:style w:type="table" w:styleId="Tablaconcuadrcula">
    <w:name w:val="Table Grid"/>
    <w:basedOn w:val="Tablanormal"/>
    <w:uiPriority w:val="39"/>
    <w:rsid w:val="00284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aliases w:val="Francesa Car,INAI Car"/>
    <w:link w:val="Sinespaciado"/>
    <w:uiPriority w:val="1"/>
    <w:locked/>
    <w:rsid w:val="00893F39"/>
    <w:rPr>
      <w:rFonts w:ascii="Times New Roman" w:eastAsia="Times New Roman" w:hAnsi="Times New Roman" w:cs="Times New Roman"/>
    </w:rPr>
  </w:style>
  <w:style w:type="paragraph" w:styleId="Sinespaciado">
    <w:name w:val="No Spacing"/>
    <w:aliases w:val="Francesa,INAI"/>
    <w:link w:val="SinespaciadoCar"/>
    <w:uiPriority w:val="1"/>
    <w:qFormat/>
    <w:rsid w:val="00893F39"/>
    <w:rPr>
      <w:rFonts w:ascii="Times New Roman" w:eastAsia="Times New Roman" w:hAnsi="Times New Roman" w:cs="Times New Roman"/>
    </w:rPr>
  </w:style>
  <w:style w:type="table" w:customStyle="1" w:styleId="13">
    <w:name w:val="13"/>
    <w:basedOn w:val="TableNormal10"/>
    <w:tblPr>
      <w:tblStyleRowBandSize w:val="1"/>
      <w:tblStyleColBandSize w:val="1"/>
      <w:tblCellMar>
        <w:left w:w="70" w:type="dxa"/>
        <w:right w:w="70" w:type="dxa"/>
      </w:tblCellMar>
    </w:tblPr>
  </w:style>
  <w:style w:type="table" w:customStyle="1" w:styleId="12">
    <w:name w:val="12"/>
    <w:basedOn w:val="TableNormal10"/>
    <w:tblPr>
      <w:tblStyleRowBandSize w:val="1"/>
      <w:tblStyleColBandSize w:val="1"/>
      <w:tblCellMar>
        <w:left w:w="70" w:type="dxa"/>
        <w:right w:w="70" w:type="dxa"/>
      </w:tblCellMar>
    </w:tblPr>
  </w:style>
  <w:style w:type="table" w:customStyle="1" w:styleId="11">
    <w:name w:val="11"/>
    <w:basedOn w:val="TableNormal10"/>
    <w:tblPr>
      <w:tblStyleRowBandSize w:val="1"/>
      <w:tblStyleColBandSize w:val="1"/>
      <w:tblCellMar>
        <w:left w:w="115" w:type="dxa"/>
        <w:right w:w="115" w:type="dxa"/>
      </w:tblCellMar>
    </w:tblPr>
  </w:style>
  <w:style w:type="table" w:customStyle="1" w:styleId="10">
    <w:name w:val="10"/>
    <w:basedOn w:val="TableNormal10"/>
    <w:tblPr>
      <w:tblStyleRowBandSize w:val="1"/>
      <w:tblStyleColBandSize w:val="1"/>
      <w:tblCellMar>
        <w:left w:w="70" w:type="dxa"/>
        <w:right w:w="70" w:type="dxa"/>
      </w:tblCellMar>
    </w:tblPr>
  </w:style>
  <w:style w:type="table" w:customStyle="1" w:styleId="9">
    <w:name w:val="9"/>
    <w:basedOn w:val="TableNormal10"/>
    <w:tblPr>
      <w:tblStyleRowBandSize w:val="1"/>
      <w:tblStyleColBandSize w:val="1"/>
      <w:tblCellMar>
        <w:left w:w="70" w:type="dxa"/>
        <w:right w:w="70" w:type="dxa"/>
      </w:tblCellMar>
    </w:tblPr>
  </w:style>
  <w:style w:type="paragraph" w:styleId="Listaconvietas2">
    <w:name w:val="List Bullet 2"/>
    <w:basedOn w:val="Normal"/>
    <w:uiPriority w:val="99"/>
    <w:unhideWhenUsed/>
    <w:qFormat/>
    <w:rsid w:val="00F91287"/>
    <w:pPr>
      <w:numPr>
        <w:numId w:val="5"/>
      </w:numPr>
      <w:contextualSpacing/>
    </w:pPr>
    <w:rPr>
      <w:rFonts w:ascii="Times New Roman" w:eastAsia="Times New Roman" w:hAnsi="Times New Roman" w:cs="Times New Roman"/>
      <w:sz w:val="20"/>
      <w:szCs w:val="20"/>
    </w:rPr>
  </w:style>
  <w:style w:type="table" w:customStyle="1" w:styleId="8">
    <w:name w:val="8"/>
    <w:basedOn w:val="TableNormal2"/>
    <w:tblPr>
      <w:tblStyleRowBandSize w:val="1"/>
      <w:tblStyleColBandSize w:val="1"/>
      <w:tblCellMar>
        <w:left w:w="115" w:type="dxa"/>
        <w:right w:w="115" w:type="dxa"/>
      </w:tblCellMar>
    </w:tblPr>
  </w:style>
  <w:style w:type="table" w:customStyle="1" w:styleId="7">
    <w:name w:val="7"/>
    <w:basedOn w:val="TableNormal2"/>
    <w:tblPr>
      <w:tblStyleRowBandSize w:val="1"/>
      <w:tblStyleColBandSize w:val="1"/>
      <w:tblCellMar>
        <w:left w:w="115" w:type="dxa"/>
        <w:right w:w="115" w:type="dxa"/>
      </w:tblCellMar>
    </w:tblPr>
  </w:style>
  <w:style w:type="table" w:customStyle="1" w:styleId="6">
    <w:name w:val="6"/>
    <w:basedOn w:val="TableNormal2"/>
    <w:tblPr>
      <w:tblStyleRowBandSize w:val="1"/>
      <w:tblStyleColBandSize w:val="1"/>
      <w:tblCellMar>
        <w:left w:w="70" w:type="dxa"/>
        <w:right w:w="70" w:type="dxa"/>
      </w:tblCellMar>
    </w:tblPr>
  </w:style>
  <w:style w:type="table" w:customStyle="1" w:styleId="5">
    <w:name w:val="5"/>
    <w:basedOn w:val="TableNormal2"/>
    <w:tblPr>
      <w:tblStyleRowBandSize w:val="1"/>
      <w:tblStyleColBandSize w:val="1"/>
      <w:tblCellMar>
        <w:left w:w="70" w:type="dxa"/>
        <w:right w:w="70" w:type="dxa"/>
      </w:tblCellMar>
    </w:tblPr>
  </w:style>
  <w:style w:type="paragraph" w:styleId="NormalWeb">
    <w:name w:val="Normal (Web)"/>
    <w:basedOn w:val="Normal"/>
    <w:uiPriority w:val="99"/>
    <w:rsid w:val="003400CB"/>
    <w:pPr>
      <w:spacing w:before="100" w:beforeAutospacing="1" w:after="100" w:afterAutospacing="1"/>
    </w:pPr>
    <w:rPr>
      <w:rFonts w:ascii="Times New Roman" w:eastAsia="Times New Roman" w:hAnsi="Times New Roman" w:cs="Times New Roman"/>
      <w:lang w:val="es-ES"/>
    </w:rPr>
  </w:style>
  <w:style w:type="paragraph" w:customStyle="1" w:styleId="Citas">
    <w:name w:val="Citas"/>
    <w:basedOn w:val="Normal"/>
    <w:qFormat/>
    <w:rsid w:val="00177B12"/>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infoemcitas">
    <w:name w:val="infoem citas"/>
    <w:basedOn w:val="Normal"/>
    <w:qFormat/>
    <w:rsid w:val="00177B12"/>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70" w:type="dxa"/>
        <w:right w:w="70" w:type="dxa"/>
      </w:tblCellMar>
    </w:tblPr>
  </w:style>
  <w:style w:type="table" w:customStyle="1" w:styleId="1">
    <w:name w:val="1"/>
    <w:basedOn w:val="TableNormal1"/>
    <w:tblPr>
      <w:tblStyleRowBandSize w:val="1"/>
      <w:tblStyleColBandSize w:val="1"/>
      <w:tblCellMar>
        <w:left w:w="70" w:type="dxa"/>
        <w:right w:w="70" w:type="dxa"/>
      </w:tblCellMar>
    </w:tblPr>
  </w:style>
  <w:style w:type="paragraph" w:customStyle="1" w:styleId="Default">
    <w:name w:val="Default"/>
    <w:rsid w:val="002C6ECB"/>
    <w:pPr>
      <w:autoSpaceDE w:val="0"/>
      <w:autoSpaceDN w:val="0"/>
      <w:adjustRightInd w:val="0"/>
    </w:pPr>
    <w:rPr>
      <w:rFonts w:ascii="Arial" w:eastAsiaTheme="minorHAnsi" w:hAnsi="Arial" w:cs="Arial"/>
      <w:color w:val="000000"/>
      <w:lang w:val="es-MX"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70" w:type="dxa"/>
        <w:bottom w:w="0" w:type="dxa"/>
        <w:right w:w="70" w:type="dxa"/>
      </w:tblCellMar>
    </w:tblPr>
  </w:style>
  <w:style w:type="table" w:customStyle="1" w:styleId="a1">
    <w:basedOn w:val="TableNormal0"/>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of.gob.mx/nota_detalle.php?codigo=5492254&amp;fecha=28/07/2017"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CO5fkhht8rrtZlkoeIDzduTqGQ==">CgMxLjAyCGguZ2pkZ3hzMgloLjMwajB6bGwyCWguMWZvYjl0ZTIJaC4zem55c2g3MgloLjJldDkycDAyCWguMXQzaDVzZjIJaC4yczhleW8xMgloLjE3ZHA4dnUyDmgua3EwMDh6b3diejN1Mg5oLmlidHhueWhqY2M3MzIIaC5sbnhiejk4AHIhMW5YSFJEZkJTSWJoVjZmS2ctU0l2akltcW9oLWxsYjg4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49</Pages>
  <Words>12741</Words>
  <Characters>70078</Characters>
  <Application>Microsoft Office Word</Application>
  <DocSecurity>0</DocSecurity>
  <Lines>583</Lines>
  <Paragraphs>165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82654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Belen Sanchez Estrada</dc:creator>
  <cp:lastModifiedBy>Cuenta Microsoft</cp:lastModifiedBy>
  <cp:revision>6</cp:revision>
  <cp:lastPrinted>2026-02-09T17:33:00Z</cp:lastPrinted>
  <dcterms:created xsi:type="dcterms:W3CDTF">2026-01-20T16:02:00Z</dcterms:created>
  <dcterms:modified xsi:type="dcterms:W3CDTF">2026-02-10T19:41:00Z</dcterms:modified>
</cp:coreProperties>
</file>