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510" w:rsidRPr="005D1E4A" w:rsidRDefault="00F55CE3">
      <w:pPr>
        <w:tabs>
          <w:tab w:val="left" w:pos="3465"/>
        </w:tabs>
        <w:spacing w:line="360" w:lineRule="auto"/>
        <w:jc w:val="both"/>
        <w:rPr>
          <w:rFonts w:ascii="Palatino Linotype" w:eastAsia="Palatino Linotype" w:hAnsi="Palatino Linotype" w:cs="Palatino Linotype"/>
        </w:rPr>
      </w:pPr>
      <w:bookmarkStart w:id="0" w:name="_GoBack"/>
      <w:bookmarkEnd w:id="0"/>
      <w:r w:rsidRPr="005D1E4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8E2E58" w:rsidRPr="005D1E4A">
        <w:rPr>
          <w:rFonts w:ascii="Palatino Linotype" w:eastAsia="Palatino Linotype" w:hAnsi="Palatino Linotype" w:cs="Palatino Linotype"/>
        </w:rPr>
        <w:t xml:space="preserve"> de México; de fecha veintiocho</w:t>
      </w:r>
      <w:r w:rsidR="005D1E4A" w:rsidRPr="005D1E4A">
        <w:rPr>
          <w:rFonts w:ascii="Palatino Linotype" w:eastAsia="Palatino Linotype" w:hAnsi="Palatino Linotype" w:cs="Palatino Linotype"/>
        </w:rPr>
        <w:t xml:space="preserve"> (28)</w:t>
      </w:r>
      <w:r w:rsidRPr="005D1E4A">
        <w:rPr>
          <w:rFonts w:ascii="Palatino Linotype" w:eastAsia="Palatino Linotype" w:hAnsi="Palatino Linotype" w:cs="Palatino Linotype"/>
        </w:rPr>
        <w:t xml:space="preserve"> de abril de dos mil veintiséis.</w:t>
      </w:r>
    </w:p>
    <w:p w:rsidR="008D5510" w:rsidRPr="005D1E4A" w:rsidRDefault="008D5510">
      <w:pPr>
        <w:tabs>
          <w:tab w:val="left" w:pos="3465"/>
        </w:tabs>
        <w:spacing w:line="360" w:lineRule="auto"/>
        <w:jc w:val="both"/>
        <w:rPr>
          <w:rFonts w:ascii="Palatino Linotype" w:eastAsia="Palatino Linotype" w:hAnsi="Palatino Linotype" w:cs="Palatino Linotype"/>
        </w:rPr>
      </w:pPr>
    </w:p>
    <w:p w:rsidR="008D5510" w:rsidRPr="005D1E4A" w:rsidRDefault="00F55CE3">
      <w:pPr>
        <w:spacing w:line="360" w:lineRule="auto"/>
        <w:jc w:val="both"/>
        <w:rPr>
          <w:rFonts w:ascii="Palatino Linotype" w:eastAsia="Palatino Linotype" w:hAnsi="Palatino Linotype" w:cs="Palatino Linotype"/>
        </w:rPr>
      </w:pPr>
      <w:r w:rsidRPr="005D1E4A">
        <w:rPr>
          <w:rFonts w:ascii="Palatino Linotype" w:eastAsia="Palatino Linotype" w:hAnsi="Palatino Linotype" w:cs="Palatino Linotype"/>
          <w:b/>
          <w:bCs/>
        </w:rPr>
        <w:t>VISTO</w:t>
      </w:r>
      <w:r w:rsidRPr="005D1E4A">
        <w:rPr>
          <w:rFonts w:ascii="Palatino Linotype" w:eastAsia="Palatino Linotype" w:hAnsi="Palatino Linotype" w:cs="Palatino Linotype"/>
        </w:rPr>
        <w:t xml:space="preserve"> el expediente electrónico formado con</w:t>
      </w:r>
      <w:r w:rsidR="008E2E58" w:rsidRPr="005D1E4A">
        <w:rPr>
          <w:rFonts w:ascii="Palatino Linotype" w:eastAsia="Palatino Linotype" w:hAnsi="Palatino Linotype" w:cs="Palatino Linotype"/>
        </w:rPr>
        <w:t xml:space="preserve"> motivo del recurso de revisión </w:t>
      </w:r>
      <w:r w:rsidR="008E2E58" w:rsidRPr="005D1E4A">
        <w:rPr>
          <w:rFonts w:ascii="Palatino Linotype" w:eastAsia="Palatino Linotype" w:hAnsi="Palatino Linotype" w:cs="Palatino Linotype"/>
          <w:b/>
          <w:bCs/>
        </w:rPr>
        <w:t>100</w:t>
      </w:r>
      <w:r w:rsidRPr="005D1E4A">
        <w:rPr>
          <w:rFonts w:ascii="Palatino Linotype" w:eastAsia="Palatino Linotype" w:hAnsi="Palatino Linotype" w:cs="Palatino Linotype"/>
          <w:b/>
          <w:bCs/>
        </w:rPr>
        <w:t xml:space="preserve">3/INFOEM/IP/RR/2026, </w:t>
      </w:r>
      <w:r w:rsidRPr="005D1E4A">
        <w:rPr>
          <w:rFonts w:ascii="Palatino Linotype" w:eastAsia="Palatino Linotype" w:hAnsi="Palatino Linotype" w:cs="Palatino Linotype"/>
        </w:rPr>
        <w:t>promovido por</w:t>
      </w:r>
      <w:r w:rsidRPr="005D1E4A">
        <w:rPr>
          <w:rFonts w:ascii="Palatino Linotype" w:eastAsia="Palatino Linotype" w:hAnsi="Palatino Linotype" w:cs="Palatino Linotype"/>
          <w:b/>
          <w:bCs/>
        </w:rPr>
        <w:t xml:space="preserve"> </w:t>
      </w:r>
      <w:r w:rsidR="00237CC7">
        <w:rPr>
          <w:rFonts w:ascii="Palatino Linotype" w:eastAsia="Palatino Linotype" w:hAnsi="Palatino Linotype" w:cs="Palatino Linotype"/>
          <w:b/>
          <w:bCs/>
        </w:rPr>
        <w:t>XXXX</w:t>
      </w:r>
      <w:r w:rsidRPr="005D1E4A">
        <w:rPr>
          <w:rFonts w:ascii="Palatino Linotype" w:eastAsia="Palatino Linotype" w:hAnsi="Palatino Linotype" w:cs="Palatino Linotype"/>
        </w:rPr>
        <w:t xml:space="preserve">, a quien en lo sucesivo se le identificará como </w:t>
      </w:r>
      <w:r w:rsidRPr="005D1E4A">
        <w:rPr>
          <w:rFonts w:ascii="Palatino Linotype" w:eastAsia="Palatino Linotype" w:hAnsi="Palatino Linotype" w:cs="Palatino Linotype"/>
          <w:b/>
          <w:bCs/>
        </w:rPr>
        <w:t>EL  RECURRENTE</w:t>
      </w:r>
      <w:r w:rsidRPr="005D1E4A">
        <w:rPr>
          <w:rFonts w:ascii="Palatino Linotype" w:eastAsia="Palatino Linotype" w:hAnsi="Palatino Linotype" w:cs="Palatino Linotype"/>
        </w:rPr>
        <w:t xml:space="preserve">, en contra de la respuesta </w:t>
      </w:r>
      <w:r w:rsidRPr="005D1E4A">
        <w:rPr>
          <w:rFonts w:ascii="Palatino Linotype" w:eastAsia="Palatino Linotype" w:hAnsi="Palatino Linotype" w:cs="Palatino Linotype"/>
          <w:b/>
          <w:bCs/>
        </w:rPr>
        <w:t xml:space="preserve">del Ayuntamiento de Tepotzotlán, </w:t>
      </w:r>
      <w:r w:rsidRPr="005D1E4A">
        <w:rPr>
          <w:rFonts w:ascii="Palatino Linotype" w:eastAsia="Palatino Linotype" w:hAnsi="Palatino Linotype" w:cs="Palatino Linotype"/>
        </w:rPr>
        <w:t>en lo sucesivo el</w:t>
      </w:r>
      <w:r w:rsidRPr="005D1E4A">
        <w:rPr>
          <w:rFonts w:ascii="Palatino Linotype" w:eastAsia="Palatino Linotype" w:hAnsi="Palatino Linotype" w:cs="Palatino Linotype"/>
          <w:b/>
          <w:bCs/>
        </w:rPr>
        <w:t xml:space="preserve"> SUJETO OBLIGADO</w:t>
      </w:r>
      <w:r w:rsidRPr="005D1E4A">
        <w:rPr>
          <w:rFonts w:ascii="Palatino Linotype" w:eastAsia="Palatino Linotype" w:hAnsi="Palatino Linotype" w:cs="Palatino Linotype"/>
        </w:rPr>
        <w:t>, se procede a dictar la presente resolución, con base en los siguientes:</w:t>
      </w:r>
    </w:p>
    <w:p w:rsidR="008D5510" w:rsidRPr="005D1E4A" w:rsidRDefault="008D5510">
      <w:pPr>
        <w:spacing w:line="360" w:lineRule="auto"/>
        <w:jc w:val="both"/>
        <w:rPr>
          <w:rFonts w:ascii="Palatino Linotype" w:eastAsia="Palatino Linotype" w:hAnsi="Palatino Linotype" w:cs="Palatino Linotype"/>
          <w:b/>
          <w:bCs/>
        </w:rPr>
      </w:pPr>
    </w:p>
    <w:p w:rsidR="008D5510" w:rsidRPr="005D1E4A" w:rsidRDefault="00F55CE3">
      <w:pPr>
        <w:pStyle w:val="Ttulo1"/>
        <w:spacing w:before="0" w:line="360" w:lineRule="auto"/>
        <w:jc w:val="center"/>
        <w:rPr>
          <w:rFonts w:ascii="Palatino Linotype" w:eastAsia="Palatino Linotype" w:hAnsi="Palatino Linotype" w:cs="Palatino Linotype"/>
          <w:b/>
          <w:bCs/>
          <w:color w:val="000000"/>
          <w:sz w:val="24"/>
          <w:szCs w:val="24"/>
        </w:rPr>
      </w:pPr>
      <w:r w:rsidRPr="005D1E4A">
        <w:rPr>
          <w:rFonts w:ascii="Palatino Linotype" w:eastAsia="Palatino Linotype" w:hAnsi="Palatino Linotype" w:cs="Palatino Linotype"/>
          <w:b/>
          <w:bCs/>
          <w:color w:val="000000"/>
          <w:sz w:val="24"/>
          <w:szCs w:val="24"/>
        </w:rPr>
        <w:t>A</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N</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T</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E</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C</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E</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D</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E</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N</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T</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E</w:t>
      </w:r>
      <w:r w:rsidR="005D1E4A" w:rsidRPr="005D1E4A">
        <w:rPr>
          <w:rFonts w:ascii="Palatino Linotype" w:eastAsia="Palatino Linotype" w:hAnsi="Palatino Linotype" w:cs="Palatino Linotype"/>
          <w:b/>
          <w:bCs/>
          <w:color w:val="000000"/>
          <w:sz w:val="24"/>
          <w:szCs w:val="24"/>
        </w:rPr>
        <w:t xml:space="preserve"> </w:t>
      </w:r>
      <w:r w:rsidRPr="005D1E4A">
        <w:rPr>
          <w:rFonts w:ascii="Palatino Linotype" w:eastAsia="Palatino Linotype" w:hAnsi="Palatino Linotype" w:cs="Palatino Linotype"/>
          <w:b/>
          <w:bCs/>
          <w:color w:val="000000"/>
          <w:sz w:val="24"/>
          <w:szCs w:val="24"/>
        </w:rPr>
        <w:t>S</w:t>
      </w:r>
    </w:p>
    <w:p w:rsidR="005D1E4A" w:rsidRPr="005D1E4A" w:rsidRDefault="005D1E4A" w:rsidP="005D1E4A"/>
    <w:p w:rsidR="008D5510" w:rsidRPr="005D1E4A" w:rsidRDefault="00F55CE3">
      <w:pPr>
        <w:numPr>
          <w:ilvl w:val="0"/>
          <w:numId w:val="3"/>
        </w:numPr>
        <w:tabs>
          <w:tab w:val="left" w:pos="0"/>
        </w:tabs>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El día</w:t>
      </w:r>
      <w:r w:rsidRPr="005D1E4A">
        <w:rPr>
          <w:rFonts w:ascii="Palatino Linotype" w:eastAsia="Palatino Linotype" w:hAnsi="Palatino Linotype" w:cs="Palatino Linotype"/>
          <w:b/>
          <w:bCs/>
        </w:rPr>
        <w:t xml:space="preserve"> diecinueve de diciembre de dos mil veinticinco, </w:t>
      </w:r>
      <w:r w:rsidRPr="005D1E4A">
        <w:rPr>
          <w:rFonts w:ascii="Palatino Linotype" w:eastAsia="Palatino Linotype" w:hAnsi="Palatino Linotype" w:cs="Palatino Linotype"/>
        </w:rPr>
        <w:t xml:space="preserve">se presentó ante el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vía Sistema de Acceso a la Información, la solicitud de información pública registrada con el número</w:t>
      </w:r>
      <w:r w:rsidRPr="005D1E4A">
        <w:rPr>
          <w:rFonts w:ascii="Palatino Linotype" w:eastAsia="Palatino Linotype" w:hAnsi="Palatino Linotype" w:cs="Palatino Linotype"/>
          <w:b/>
          <w:bCs/>
          <w:color w:val="000000"/>
        </w:rPr>
        <w:t xml:space="preserve"> 01710/TEPOTZOT/IP/2025; </w:t>
      </w:r>
      <w:r w:rsidRPr="005D1E4A">
        <w:rPr>
          <w:rFonts w:ascii="Palatino Linotype" w:eastAsia="Palatino Linotype" w:hAnsi="Palatino Linotype" w:cs="Palatino Linotype"/>
          <w:color w:val="000000"/>
        </w:rPr>
        <w:t>la solicitud consistió en obtener la siguiente información</w:t>
      </w:r>
      <w:r w:rsidRPr="005D1E4A">
        <w:rPr>
          <w:rFonts w:ascii="Palatino Linotype" w:eastAsia="Palatino Linotype" w:hAnsi="Palatino Linotype" w:cs="Palatino Linotype"/>
        </w:rPr>
        <w:t xml:space="preserve">. </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ind w:left="1134" w:right="900"/>
        <w:jc w:val="both"/>
        <w:rPr>
          <w:rFonts w:ascii="Palatino Linotype" w:eastAsia="Palatino Linotype" w:hAnsi="Palatino Linotype" w:cs="Palatino Linotype"/>
        </w:rPr>
      </w:pPr>
      <w:bookmarkStart w:id="1" w:name="_heading=h.gjdgxs" w:colFirst="0" w:colLast="0"/>
      <w:bookmarkEnd w:id="1"/>
      <w:r w:rsidRPr="005D1E4A">
        <w:rPr>
          <w:rFonts w:ascii="Palatino Linotype" w:eastAsia="Palatino Linotype" w:hAnsi="Palatino Linotype" w:cs="Palatino Linotype"/>
          <w:i/>
          <w:iCs/>
        </w:rPr>
        <w:t>“Solicito el listado de empresas, asociaciones civiles o personas físicas que hayan recibido recursos, apoyos, estímulos, subsidios o contratos vinculados a programas de desarrollo económico en 2024 y 2025, especificando montos y concepto.”(Sic).</w:t>
      </w:r>
    </w:p>
    <w:p w:rsidR="008D5510" w:rsidRPr="005D1E4A" w:rsidRDefault="008D5510">
      <w:pPr>
        <w:spacing w:line="360" w:lineRule="auto"/>
        <w:ind w:left="851" w:right="34"/>
        <w:jc w:val="both"/>
        <w:rPr>
          <w:rFonts w:ascii="Palatino Linotype" w:eastAsia="Palatino Linotype" w:hAnsi="Palatino Linotype" w:cs="Palatino Linotype"/>
        </w:rPr>
      </w:pPr>
    </w:p>
    <w:p w:rsidR="008D5510" w:rsidRPr="005D1E4A" w:rsidRDefault="00F55CE3">
      <w:pPr>
        <w:numPr>
          <w:ilvl w:val="0"/>
          <w:numId w:val="19"/>
        </w:numPr>
        <w:spacing w:line="360" w:lineRule="auto"/>
        <w:ind w:left="0" w:right="474" w:firstLine="0"/>
        <w:jc w:val="both"/>
        <w:rPr>
          <w:rFonts w:ascii="Palatino Linotype" w:eastAsia="Palatino Linotype" w:hAnsi="Palatino Linotype" w:cs="Palatino Linotype"/>
        </w:rPr>
      </w:pPr>
      <w:r w:rsidRPr="005D1E4A">
        <w:rPr>
          <w:rFonts w:ascii="Palatino Linotype" w:eastAsia="Palatino Linotype" w:hAnsi="Palatino Linotype" w:cs="Palatino Linotype"/>
          <w:b/>
          <w:bCs/>
        </w:rPr>
        <w:t>Modalidad de entrega de la información</w:t>
      </w:r>
      <w:r w:rsidRPr="005D1E4A">
        <w:rPr>
          <w:rFonts w:ascii="Palatino Linotype" w:eastAsia="Palatino Linotype" w:hAnsi="Palatino Linotype" w:cs="Palatino Linotype"/>
        </w:rPr>
        <w:t>: el</w:t>
      </w:r>
      <w:r w:rsidRPr="005D1E4A">
        <w:rPr>
          <w:rFonts w:ascii="Palatino Linotype" w:eastAsia="Palatino Linotype" w:hAnsi="Palatino Linotype" w:cs="Palatino Linotype"/>
          <w:b/>
          <w:bCs/>
        </w:rPr>
        <w:t xml:space="preserve"> </w:t>
      </w:r>
      <w:r w:rsidRPr="005D1E4A">
        <w:rPr>
          <w:rFonts w:ascii="Palatino Linotype" w:eastAsia="Palatino Linotype" w:hAnsi="Palatino Linotype" w:cs="Palatino Linotype"/>
        </w:rPr>
        <w:t xml:space="preserve">Sistema de Acceso a la Información </w:t>
      </w:r>
      <w:r w:rsidRPr="005D1E4A">
        <w:rPr>
          <w:rFonts w:ascii="Palatino Linotype" w:eastAsia="Palatino Linotype" w:hAnsi="Palatino Linotype" w:cs="Palatino Linotype"/>
          <w:b/>
          <w:bCs/>
        </w:rPr>
        <w:t>(SAIMEX).</w:t>
      </w:r>
      <w:r w:rsidRPr="005D1E4A">
        <w:rPr>
          <w:rFonts w:ascii="Palatino Linotype" w:eastAsia="Palatino Linotype" w:hAnsi="Palatino Linotype" w:cs="Palatino Linotype"/>
        </w:rPr>
        <w:t xml:space="preserve"> </w:t>
      </w:r>
    </w:p>
    <w:p w:rsidR="008D5510" w:rsidRPr="005D1E4A" w:rsidRDefault="008D5510">
      <w:pPr>
        <w:rPr>
          <w:rFonts w:ascii="Palatino Linotype" w:eastAsia="Palatino Linotype" w:hAnsi="Palatino Linotype" w:cs="Palatino Linotype"/>
          <w:color w:val="000000"/>
        </w:rPr>
      </w:pPr>
    </w:p>
    <w:p w:rsidR="008D5510" w:rsidRPr="005D1E4A" w:rsidRDefault="00F55CE3">
      <w:pPr>
        <w:numPr>
          <w:ilvl w:val="0"/>
          <w:numId w:val="3"/>
        </w:numPr>
        <w:tabs>
          <w:tab w:val="left" w:pos="0"/>
        </w:tabs>
        <w:spacing w:line="360" w:lineRule="auto"/>
        <w:ind w:left="0" w:right="49" w:firstLine="0"/>
        <w:jc w:val="both"/>
        <w:rPr>
          <w:rFonts w:ascii="Palatino Linotype" w:eastAsia="Palatino Linotype" w:hAnsi="Palatino Linotype" w:cs="Palatino Linotype"/>
          <w:b/>
          <w:bCs/>
          <w:i/>
          <w:iCs/>
          <w:color w:val="000000"/>
        </w:rPr>
      </w:pPr>
      <w:r w:rsidRPr="005D1E4A">
        <w:rPr>
          <w:rFonts w:ascii="Palatino Linotype" w:eastAsia="Palatino Linotype" w:hAnsi="Palatino Linotype" w:cs="Palatino Linotype"/>
          <w:color w:val="000000"/>
        </w:rPr>
        <w:lastRenderedPageBreak/>
        <w:t>El</w:t>
      </w:r>
      <w:r w:rsidRPr="005D1E4A">
        <w:rPr>
          <w:rFonts w:ascii="Palatino Linotype" w:eastAsia="Palatino Linotype" w:hAnsi="Palatino Linotype" w:cs="Palatino Linotype"/>
          <w:b/>
          <w:bCs/>
          <w:color w:val="000000"/>
        </w:rPr>
        <w:t xml:space="preserve"> diecinueve de enero de dos mil veintiséis</w:t>
      </w:r>
      <w:r w:rsidRPr="005D1E4A">
        <w:rPr>
          <w:rFonts w:ascii="Palatino Linotype" w:eastAsia="Palatino Linotype" w:hAnsi="Palatino Linotype" w:cs="Palatino Linotype"/>
          <w:color w:val="000000"/>
        </w:rPr>
        <w:t xml:space="preserve">, en respuesta el </w:t>
      </w:r>
      <w:r w:rsidRPr="005D1E4A">
        <w:rPr>
          <w:rFonts w:ascii="Palatino Linotype" w:eastAsia="Palatino Linotype" w:hAnsi="Palatino Linotype" w:cs="Palatino Linotype"/>
          <w:b/>
          <w:bCs/>
          <w:color w:val="000000"/>
        </w:rPr>
        <w:t xml:space="preserve">SUJETO OBLIGADO </w:t>
      </w:r>
      <w:r w:rsidRPr="005D1E4A">
        <w:rPr>
          <w:rFonts w:ascii="Palatino Linotype" w:eastAsia="Palatino Linotype" w:hAnsi="Palatino Linotype" w:cs="Palatino Linotype"/>
          <w:color w:val="000000"/>
        </w:rPr>
        <w:t xml:space="preserve">entrego un archivo electrónico en formato pdf, cuyo contenido a grosso modo es el siguiente: </w:t>
      </w:r>
      <w:r w:rsidRPr="005D1E4A">
        <w:rPr>
          <w:rFonts w:ascii="Palatino Linotype" w:eastAsia="Palatino Linotype" w:hAnsi="Palatino Linotype" w:cs="Palatino Linotype"/>
          <w:b/>
          <w:bCs/>
          <w:i/>
          <w:iCs/>
          <w:color w:val="000000"/>
        </w:rPr>
        <w:t xml:space="preserve"> </w:t>
      </w:r>
    </w:p>
    <w:p w:rsidR="008D5510" w:rsidRPr="005D1E4A" w:rsidRDefault="008D5510">
      <w:pPr>
        <w:tabs>
          <w:tab w:val="left" w:pos="0"/>
        </w:tabs>
        <w:spacing w:line="360" w:lineRule="auto"/>
        <w:ind w:right="49"/>
        <w:jc w:val="both"/>
        <w:rPr>
          <w:rFonts w:ascii="Palatino Linotype" w:eastAsia="Palatino Linotype" w:hAnsi="Palatino Linotype" w:cs="Palatino Linotype"/>
          <w:b/>
          <w:bCs/>
          <w:i/>
          <w:iCs/>
          <w:color w:val="000000"/>
        </w:rPr>
      </w:pPr>
    </w:p>
    <w:p w:rsidR="008D5510" w:rsidRPr="005D1E4A" w:rsidRDefault="00F55CE3">
      <w:pPr>
        <w:ind w:left="1134" w:right="900"/>
        <w:jc w:val="both"/>
        <w:rPr>
          <w:rFonts w:ascii="Palatino Linotype" w:eastAsia="Palatino Linotype" w:hAnsi="Palatino Linotype" w:cs="Palatino Linotype"/>
          <w:i/>
          <w:iCs/>
        </w:rPr>
      </w:pPr>
      <w:bookmarkStart w:id="2" w:name="_heading=h.30j0zll" w:colFirst="0" w:colLast="0"/>
      <w:bookmarkEnd w:id="2"/>
      <w:r w:rsidRPr="005D1E4A">
        <w:rPr>
          <w:rFonts w:ascii="Palatino Linotype" w:eastAsia="Palatino Linotype" w:hAnsi="Palatino Linotype" w:cs="Palatino Linotype"/>
          <w:b/>
          <w:bCs/>
          <w:i/>
          <w:iCs/>
          <w:color w:val="000000"/>
        </w:rPr>
        <w:t xml:space="preserve">DDYFE-024-2026.pdf: </w:t>
      </w:r>
      <w:r w:rsidRPr="005D1E4A">
        <w:rPr>
          <w:rFonts w:ascii="Palatino Linotype" w:eastAsia="Palatino Linotype" w:hAnsi="Palatino Linotype" w:cs="Palatino Linotype"/>
          <w:i/>
          <w:iCs/>
          <w:color w:val="000000"/>
        </w:rPr>
        <w:t xml:space="preserve">Donde mediante oficio la Directora de Desarrollo y Fomento económico refiere que la información solicitada es considerada información confidencial. </w:t>
      </w:r>
    </w:p>
    <w:p w:rsidR="008D5510" w:rsidRPr="005D1E4A" w:rsidRDefault="008D5510">
      <w:pPr>
        <w:ind w:right="900"/>
        <w:jc w:val="both"/>
        <w:rPr>
          <w:rFonts w:ascii="Palatino Linotype" w:eastAsia="Palatino Linotype" w:hAnsi="Palatino Linotype" w:cs="Palatino Linotype"/>
          <w:i/>
          <w:iCs/>
        </w:rPr>
      </w:pPr>
    </w:p>
    <w:p w:rsidR="008D5510" w:rsidRPr="005D1E4A" w:rsidRDefault="00F55CE3">
      <w:pPr>
        <w:numPr>
          <w:ilvl w:val="0"/>
          <w:numId w:val="3"/>
        </w:numPr>
        <w:tabs>
          <w:tab w:val="left" w:pos="0"/>
        </w:tabs>
        <w:spacing w:line="360" w:lineRule="auto"/>
        <w:ind w:left="0" w:right="49" w:firstLine="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color w:val="000000"/>
        </w:rPr>
        <w:t xml:space="preserve">El </w:t>
      </w:r>
      <w:r w:rsidRPr="005D1E4A">
        <w:rPr>
          <w:rFonts w:ascii="Palatino Linotype" w:eastAsia="Palatino Linotype" w:hAnsi="Palatino Linotype" w:cs="Palatino Linotype"/>
          <w:b/>
          <w:bCs/>
          <w:color w:val="000000"/>
        </w:rPr>
        <w:t xml:space="preserve">veinticuatro de enero de dos mil veintiséis, </w:t>
      </w:r>
      <w:r w:rsidRPr="005D1E4A">
        <w:rPr>
          <w:rFonts w:ascii="Palatino Linotype" w:eastAsia="Palatino Linotype" w:hAnsi="Palatino Linotype" w:cs="Palatino Linotype"/>
          <w:color w:val="000000"/>
        </w:rPr>
        <w:t>el</w:t>
      </w:r>
      <w:r w:rsidRPr="005D1E4A">
        <w:rPr>
          <w:rFonts w:ascii="Palatino Linotype" w:eastAsia="Palatino Linotype" w:hAnsi="Palatino Linotype" w:cs="Palatino Linotype"/>
          <w:b/>
          <w:bCs/>
          <w:color w:val="000000"/>
        </w:rPr>
        <w:t xml:space="preserve"> </w:t>
      </w:r>
      <w:r w:rsidRPr="005D1E4A">
        <w:rPr>
          <w:rFonts w:ascii="Palatino Linotype" w:eastAsia="Palatino Linotype" w:hAnsi="Palatino Linotype" w:cs="Palatino Linotype"/>
          <w:color w:val="000000"/>
        </w:rPr>
        <w:t xml:space="preserve">entonces </w:t>
      </w:r>
      <w:r w:rsidRPr="005D1E4A">
        <w:rPr>
          <w:rFonts w:ascii="Palatino Linotype" w:eastAsia="Palatino Linotype" w:hAnsi="Palatino Linotype" w:cs="Palatino Linotype"/>
          <w:b/>
          <w:bCs/>
          <w:color w:val="000000"/>
        </w:rPr>
        <w:t xml:space="preserve">SOLICITANTE </w:t>
      </w:r>
      <w:r w:rsidRPr="005D1E4A">
        <w:rPr>
          <w:rFonts w:ascii="Palatino Linotype" w:eastAsia="Palatino Linotype" w:hAnsi="Palatino Linotype" w:cs="Palatino Linotype"/>
          <w:color w:val="000000"/>
        </w:rPr>
        <w:t xml:space="preserve">interpuso el recurso de revisión en contra de la respuesta del </w:t>
      </w:r>
      <w:r w:rsidRPr="005D1E4A">
        <w:rPr>
          <w:rFonts w:ascii="Palatino Linotype" w:eastAsia="Palatino Linotype" w:hAnsi="Palatino Linotype" w:cs="Palatino Linotype"/>
          <w:b/>
          <w:bCs/>
          <w:color w:val="000000"/>
        </w:rPr>
        <w:t>SUJETO OBLIGADO</w:t>
      </w:r>
      <w:r w:rsidRPr="005D1E4A">
        <w:rPr>
          <w:rFonts w:ascii="Palatino Linotype" w:eastAsia="Palatino Linotype" w:hAnsi="Palatino Linotype" w:cs="Palatino Linotype"/>
          <w:color w:val="000000"/>
        </w:rPr>
        <w:t>, manifestando las siguientes razones o motivos de inconformidad:</w:t>
      </w:r>
    </w:p>
    <w:p w:rsidR="008D5510" w:rsidRPr="005D1E4A" w:rsidRDefault="00F55CE3">
      <w:pPr>
        <w:tabs>
          <w:tab w:val="left" w:pos="0"/>
          <w:tab w:val="left" w:pos="5775"/>
        </w:tabs>
        <w:spacing w:line="360" w:lineRule="auto"/>
        <w:ind w:right="49"/>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b/>
      </w:r>
    </w:p>
    <w:p w:rsidR="008D5510" w:rsidRPr="005D1E4A" w:rsidRDefault="00F55CE3">
      <w:pPr>
        <w:numPr>
          <w:ilvl w:val="0"/>
          <w:numId w:val="19"/>
        </w:numPr>
        <w:ind w:right="900"/>
        <w:jc w:val="both"/>
        <w:rPr>
          <w:rFonts w:ascii="Palatino Linotype" w:eastAsia="Palatino Linotype" w:hAnsi="Palatino Linotype" w:cs="Palatino Linotype"/>
          <w:i/>
          <w:iCs/>
          <w:color w:val="000000"/>
        </w:rPr>
      </w:pPr>
      <w:bookmarkStart w:id="3" w:name="_heading=h.1fob9te" w:colFirst="0" w:colLast="0"/>
      <w:bookmarkEnd w:id="3"/>
      <w:r w:rsidRPr="005D1E4A">
        <w:rPr>
          <w:rFonts w:ascii="Palatino Linotype" w:eastAsia="Palatino Linotype" w:hAnsi="Palatino Linotype" w:cs="Palatino Linotype"/>
          <w:b/>
          <w:bCs/>
          <w:i/>
          <w:iCs/>
        </w:rPr>
        <w:t>Acto impugnado</w:t>
      </w:r>
      <w:r w:rsidRPr="005D1E4A">
        <w:rPr>
          <w:rFonts w:ascii="Palatino Linotype" w:eastAsia="Palatino Linotype" w:hAnsi="Palatino Linotype" w:cs="Palatino Linotype"/>
          <w:b/>
          <w:bCs/>
          <w:i/>
          <w:iCs/>
          <w:color w:val="000000"/>
        </w:rPr>
        <w:t xml:space="preserve">: </w:t>
      </w:r>
      <w:r w:rsidRPr="005D1E4A">
        <w:rPr>
          <w:rFonts w:ascii="Palatino Linotype" w:eastAsia="Palatino Linotype" w:hAnsi="Palatino Linotype" w:cs="Palatino Linotype"/>
          <w:i/>
          <w:iCs/>
          <w:color w:val="000000"/>
        </w:rPr>
        <w:t>“Solicito el listado de empresas, asociaciones civiles o personas físicas que hayan recibido recursos, apoyos, estímulos, subsidios o contratos vinculados a programas de desarrollo económico en 2024 y 2025, especificando montos y concepto. La negativa de acceso a la información contenida en el oficio DDYFE-024/2026, mediante la cual la Dirección de Desarrollo y Fomento Económico clasifica de forma general e indebida la información solicitada como confidencial, argumentando la existencia de datos personales y fiscales, sin realizar versión pública ni prueba de daño.”</w:t>
      </w:r>
    </w:p>
    <w:p w:rsidR="008D5510" w:rsidRPr="005D1E4A" w:rsidRDefault="00F55CE3">
      <w:pPr>
        <w:tabs>
          <w:tab w:val="left" w:pos="7020"/>
        </w:tabs>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b/>
      </w:r>
    </w:p>
    <w:p w:rsidR="008D5510" w:rsidRPr="005D1E4A" w:rsidRDefault="008D5510">
      <w:pPr>
        <w:tabs>
          <w:tab w:val="left" w:pos="7020"/>
        </w:tabs>
        <w:ind w:left="1134" w:right="900"/>
        <w:jc w:val="both"/>
        <w:rPr>
          <w:rFonts w:ascii="Palatino Linotype" w:eastAsia="Palatino Linotype" w:hAnsi="Palatino Linotype" w:cs="Palatino Linotype"/>
          <w:i/>
          <w:iCs/>
          <w:color w:val="000000"/>
        </w:rPr>
      </w:pPr>
    </w:p>
    <w:p w:rsidR="008D5510" w:rsidRPr="005D1E4A" w:rsidRDefault="00F55CE3">
      <w:pPr>
        <w:numPr>
          <w:ilvl w:val="0"/>
          <w:numId w:val="19"/>
        </w:numPr>
        <w:ind w:right="900"/>
        <w:jc w:val="both"/>
        <w:rPr>
          <w:rFonts w:ascii="Palatino Linotype" w:eastAsia="Palatino Linotype" w:hAnsi="Palatino Linotype" w:cs="Palatino Linotype"/>
          <w:i/>
          <w:iCs/>
          <w:color w:val="000000"/>
        </w:rPr>
      </w:pPr>
      <w:bookmarkStart w:id="4" w:name="_heading=h.3znysh7" w:colFirst="0" w:colLast="0"/>
      <w:bookmarkEnd w:id="4"/>
      <w:r w:rsidRPr="005D1E4A">
        <w:rPr>
          <w:rFonts w:ascii="Palatino Linotype" w:eastAsia="Palatino Linotype" w:hAnsi="Palatino Linotype" w:cs="Palatino Linotype"/>
          <w:b/>
          <w:bCs/>
          <w:i/>
          <w:iCs/>
          <w:color w:val="000000"/>
        </w:rPr>
        <w:t xml:space="preserve">Razones o Motivos de inconformidad: </w:t>
      </w:r>
      <w:r w:rsidRPr="005D1E4A">
        <w:rPr>
          <w:rFonts w:ascii="Palatino Linotype" w:eastAsia="Palatino Linotype" w:hAnsi="Palatino Linotype" w:cs="Palatino Linotype"/>
          <w:i/>
          <w:iCs/>
          <w:color w:val="000000"/>
        </w:rPr>
        <w:t xml:space="preserve">“AGRAVIOS PRIMERO. INFORMACIÓN SOLICITADA ES PÚBLICA POR DISPOSICIÓN EXPRESA DE LEY La información solicitada no solo es pública, sino que constituye obligación de transparencia, conforme a los artículos 92 y 94 de la Ley de Transparencia del Estado de México y Municipios, relativos a: Uso y destino de recursos públicos Beneficiarios de programas Montos entregados Concepto del gasto El sujeto obligado no puede reservar ni clasificar como confidencial el ejercicio de recursos públicos, aun cuando existan datos personales accesorios. SEGUNDO. CONFUNDEN </w:t>
      </w:r>
      <w:r w:rsidRPr="005D1E4A">
        <w:rPr>
          <w:rFonts w:ascii="Palatino Linotype" w:eastAsia="Palatino Linotype" w:hAnsi="Palatino Linotype" w:cs="Palatino Linotype"/>
          <w:i/>
          <w:iCs/>
          <w:color w:val="000000"/>
        </w:rPr>
        <w:lastRenderedPageBreak/>
        <w:t xml:space="preserve">DATOS PERSONALES CON INFORMACIÓN FINANCIADA CON RECURSOS PÚBLICOS La respuesta impugnada incurre en un error jurídico grave, ya que: El nombre o razón social de beneficiarios de recursos públicos no es dato confidencial. Los montos entregados y conceptos nunca son datos personales. En su caso, los datos sensibles (RFC, domicilio, CLABE) deben ser testados mediante versión pública, no utilizados como excusa para negar toda la información. Esto contraviene el principio de máxima publicidad. TERCERO. OMISIÓN DE ELABORAR VERSIÓN PÚBLICA El sujeto obligado incumplió su obligación legal de elaborar versión pública, prevista en los artículos 149, 150 y 152 de la Ley de Transparencia del Estado de México y Municipios. La ley no autoriza negar información cuando esta puede entregarse testando datos confidenciales, como ocurre claramente en el presente caso. CUARTO. AUSENCIA DE FUNDAMENTACIÓN Y MOTIVACIÓN La respuesta: No identifica documentos específicos No señala qué datos concretos son confidenciales No realiza análisis individualizado No aplica prueba de daño La clasificación es genérica, automática e ilegal, por lo que debe revocarse. QUINTO. INFORMACIÓN DE ALTO INTERÉS PÚBLICO La información solicitada se relaciona con el uso de recursos públicos municipales destinados al desarrollo económico, lo que implica un interés público reforzado, por lo que el estándar de transparencia es máximo. </w:t>
      </w:r>
      <w:r w:rsidRPr="005D1E4A">
        <w:rPr>
          <w:rFonts w:ascii="Palatino Linotype" w:eastAsia="Palatino Linotype" w:hAnsi="Palatino Linotype" w:cs="Palatino Linotype"/>
          <w:b/>
          <w:bCs/>
          <w:i/>
          <w:iCs/>
          <w:color w:val="000000"/>
        </w:rPr>
        <w:t>Negar esta información impide la fiscalización ciudadana y vulnera el artículo 6° constitucional.</w:t>
      </w:r>
      <w:r w:rsidRPr="005D1E4A">
        <w:rPr>
          <w:rFonts w:ascii="Palatino Linotype" w:eastAsia="Palatino Linotype" w:hAnsi="Palatino Linotype" w:cs="Palatino Linotype"/>
          <w:i/>
          <w:iCs/>
          <w:color w:val="000000"/>
        </w:rPr>
        <w:t xml:space="preserve"> Son aplicables los artículos 6° de la Constitución Política de los Estados Unidos Mexicanos; 4, 11, 15, 92, 94, 149, 150, 152, 160 y 176 de la Ley de Transparencia y Acceso a la Información Pública del Estado de México y Municipios. </w:t>
      </w:r>
      <w:r w:rsidRPr="005D1E4A">
        <w:rPr>
          <w:rFonts w:ascii="Palatino Linotype" w:eastAsia="Palatino Linotype" w:hAnsi="Palatino Linotype" w:cs="Palatino Linotype"/>
          <w:b/>
          <w:bCs/>
          <w:i/>
          <w:iCs/>
          <w:color w:val="000000"/>
        </w:rPr>
        <w:t>La autoridad no puede negar la información solo porque contenga datos personales o fiscales.</w:t>
      </w:r>
      <w:r w:rsidRPr="005D1E4A">
        <w:rPr>
          <w:rFonts w:ascii="Palatino Linotype" w:eastAsia="Palatino Linotype" w:hAnsi="Palatino Linotype" w:cs="Palatino Linotype"/>
          <w:i/>
          <w:iCs/>
          <w:color w:val="000000"/>
        </w:rPr>
        <w:t xml:space="preserve"> La obligación legal es: Entregar la información en versión pública, testando únicamente los datos confidenciales. Esto no es opcional, es mandato expreso de la ley. La autoridad responsable confundió indebidamente la existencia de datos personales con una causal de negativa, cuando la ley expresamente establece que, en dichos casos, debe elaborarse y entregarse una versión pública, testando únicamente los datos estrictamente confidenciales, lo cual no realizó, vulnerando el principio de máxima publicidad y el derecho de acceso a la información. Solicito al INFOEM: Se declare fundado el presente recurso de revisión. </w:t>
      </w:r>
      <w:r w:rsidRPr="005D1E4A">
        <w:rPr>
          <w:rFonts w:ascii="Palatino Linotype" w:eastAsia="Palatino Linotype" w:hAnsi="Palatino Linotype" w:cs="Palatino Linotype"/>
          <w:i/>
          <w:iCs/>
          <w:color w:val="000000"/>
        </w:rPr>
        <w:lastRenderedPageBreak/>
        <w:t>Se revoque la negativa de información contenida en el oficio DDYFE-024/2026. Se ordene la entrega de la información solicitada en versión pública, testando únicamente datos estrictamente confidenciales. Se aperciba al sujeto obligado, por la indebida clasificación de información pública. Se dé vista al Órgano Interno de Control, por la posible responsabilidad administrativa derivada de la obstrucción del derecho de acceso a la información.”</w:t>
      </w:r>
    </w:p>
    <w:p w:rsidR="008D5510" w:rsidRPr="005D1E4A" w:rsidRDefault="008D5510">
      <w:pPr>
        <w:ind w:left="1134" w:right="900"/>
        <w:jc w:val="both"/>
        <w:rPr>
          <w:rFonts w:ascii="Palatino Linotype" w:eastAsia="Palatino Linotype" w:hAnsi="Palatino Linotype" w:cs="Palatino Linotype"/>
          <w:i/>
          <w:iCs/>
          <w:color w:val="000000"/>
        </w:rPr>
      </w:pP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i/>
          <w:iCs/>
        </w:rPr>
      </w:pPr>
      <w:r w:rsidRPr="005D1E4A">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 fecha </w:t>
      </w:r>
      <w:r w:rsidRPr="005D1E4A">
        <w:rPr>
          <w:rFonts w:ascii="Palatino Linotype" w:eastAsia="Palatino Linotype" w:hAnsi="Palatino Linotype" w:cs="Palatino Linotype"/>
          <w:b/>
          <w:bCs/>
        </w:rPr>
        <w:t>veintiséis de enero de dos mil veintiséis</w:t>
      </w:r>
      <w:r w:rsidRPr="005D1E4A">
        <w:rPr>
          <w:rFonts w:ascii="Palatino Linotype" w:eastAsia="Palatino Linotype" w:hAnsi="Palatino Linotype" w:cs="Palatino Linotype"/>
        </w:rPr>
        <w:t xml:space="preserve">, puso a disposición de las partes el expediente electrónico vía </w:t>
      </w:r>
      <w:r w:rsidRPr="005D1E4A">
        <w:rPr>
          <w:rFonts w:ascii="Palatino Linotype" w:eastAsia="Palatino Linotype" w:hAnsi="Palatino Linotype" w:cs="Palatino Linotype"/>
          <w:b/>
          <w:bCs/>
        </w:rPr>
        <w:t xml:space="preserve">SAIMEX </w:t>
      </w:r>
      <w:r w:rsidRPr="005D1E4A">
        <w:rPr>
          <w:rFonts w:ascii="Palatino Linotype" w:eastAsia="Palatino Linotype" w:hAnsi="Palatino Linotype" w:cs="Palatino Linotype"/>
        </w:rPr>
        <w:t xml:space="preserve">a efecto de que en un plazo máximo de siete días manifestaran lo que a su derecho conviniera, ofrecieran pruebas y alegatos según corresponda a los casos concretos, y el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presentará el Informe Justificado procedente.</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color w:val="000000"/>
        </w:rPr>
        <w:t xml:space="preserve">El </w:t>
      </w:r>
      <w:r w:rsidRPr="005D1E4A">
        <w:rPr>
          <w:rFonts w:ascii="Palatino Linotype" w:eastAsia="Palatino Linotype" w:hAnsi="Palatino Linotype" w:cs="Palatino Linotype"/>
          <w:b/>
          <w:bCs/>
          <w:color w:val="000000"/>
        </w:rPr>
        <w:t>SUJETO OBLIGADO</w:t>
      </w:r>
      <w:r w:rsidRPr="005D1E4A">
        <w:rPr>
          <w:rFonts w:ascii="Palatino Linotype" w:eastAsia="Palatino Linotype" w:hAnsi="Palatino Linotype" w:cs="Palatino Linotype"/>
          <w:color w:val="000000"/>
        </w:rPr>
        <w:t xml:space="preserve"> omitió rendir el informe justificado correspondiente, por su parte, el </w:t>
      </w:r>
      <w:r w:rsidRPr="005D1E4A">
        <w:rPr>
          <w:rFonts w:ascii="Palatino Linotype" w:eastAsia="Palatino Linotype" w:hAnsi="Palatino Linotype" w:cs="Palatino Linotype"/>
          <w:b/>
          <w:bCs/>
          <w:color w:val="000000"/>
        </w:rPr>
        <w:t>RECURRENTE</w:t>
      </w:r>
      <w:r w:rsidRPr="005D1E4A">
        <w:rPr>
          <w:rFonts w:ascii="Palatino Linotype" w:eastAsia="Palatino Linotype" w:hAnsi="Palatino Linotype" w:cs="Palatino Linotype"/>
          <w:color w:val="000000"/>
        </w:rPr>
        <w:t xml:space="preserve"> no realizó manifestaciones que a su derecho convinieran y asistieran.</w:t>
      </w:r>
    </w:p>
    <w:p w:rsidR="008D5510" w:rsidRPr="005D1E4A" w:rsidRDefault="008D55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Default="00F55CE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5" w:name="_heading=h.2et92p0" w:colFirst="0" w:colLast="0"/>
      <w:bookmarkEnd w:id="5"/>
      <w:r w:rsidRPr="005D1E4A">
        <w:rPr>
          <w:rFonts w:ascii="Palatino Linotype" w:eastAsia="Palatino Linotype" w:hAnsi="Palatino Linotype" w:cs="Palatino Linotype"/>
          <w:color w:val="000000"/>
        </w:rPr>
        <w:t>La Comisionada Ponente decretó el cierre de instrucción mediante el acuerdo del veintiuno de abril de dos mil veintiséis; por lo que en virtud de que el expediente electrónico ha sido debidamente substanciado y no existe diligencia pendiente de desahogo, se procede a emitir la presente resolución que conforme a Derecho corresponda y;</w:t>
      </w:r>
      <w:r w:rsidR="005D1E4A">
        <w:rPr>
          <w:rFonts w:ascii="Palatino Linotype" w:eastAsia="Palatino Linotype" w:hAnsi="Palatino Linotype" w:cs="Palatino Linotype"/>
          <w:color w:val="000000"/>
        </w:rPr>
        <w:t xml:space="preserve"> --------------------------</w:t>
      </w:r>
    </w:p>
    <w:p w:rsidR="005D1E4A" w:rsidRPr="005D1E4A" w:rsidRDefault="005D1E4A" w:rsidP="005D1E4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8D5510">
      <w:pPr>
        <w:spacing w:line="360" w:lineRule="auto"/>
        <w:jc w:val="both"/>
        <w:rPr>
          <w:rFonts w:ascii="Palatino Linotype" w:eastAsia="Palatino Linotype" w:hAnsi="Palatino Linotype" w:cs="Palatino Linotype"/>
          <w:b/>
          <w:bCs/>
          <w:color w:val="000000"/>
        </w:rPr>
      </w:pPr>
    </w:p>
    <w:p w:rsidR="008D5510" w:rsidRPr="005D1E4A" w:rsidRDefault="008D5510">
      <w:pPr>
        <w:spacing w:line="360" w:lineRule="auto"/>
        <w:jc w:val="center"/>
        <w:rPr>
          <w:rFonts w:ascii="Palatino Linotype" w:eastAsia="Palatino Linotype" w:hAnsi="Palatino Linotype" w:cs="Palatino Linotype"/>
          <w:b/>
          <w:bCs/>
          <w:color w:val="000000"/>
        </w:rPr>
      </w:pPr>
    </w:p>
    <w:p w:rsidR="008D5510" w:rsidRPr="005D1E4A" w:rsidRDefault="00F55CE3">
      <w:pPr>
        <w:spacing w:line="360" w:lineRule="auto"/>
        <w:jc w:val="center"/>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lastRenderedPageBreak/>
        <w:t xml:space="preserve">C O N S I D E R A N D O </w:t>
      </w:r>
    </w:p>
    <w:p w:rsidR="008D5510" w:rsidRPr="005D1E4A" w:rsidRDefault="008D5510">
      <w:pPr>
        <w:spacing w:line="360" w:lineRule="auto"/>
        <w:jc w:val="center"/>
        <w:rPr>
          <w:rFonts w:ascii="Palatino Linotype" w:eastAsia="Palatino Linotype" w:hAnsi="Palatino Linotype" w:cs="Palatino Linotype"/>
          <w:b/>
          <w:bCs/>
          <w:color w:val="000000"/>
        </w:rPr>
      </w:pPr>
    </w:p>
    <w:p w:rsidR="008D5510" w:rsidRPr="005D1E4A" w:rsidRDefault="00F55CE3">
      <w:pPr>
        <w:keepNext/>
        <w:keepLines/>
        <w:spacing w:line="360" w:lineRule="auto"/>
        <w:rPr>
          <w:rFonts w:ascii="Palatino Linotype" w:eastAsia="Palatino Linotype" w:hAnsi="Palatino Linotype" w:cs="Palatino Linotype"/>
          <w:b/>
          <w:bCs/>
        </w:rPr>
      </w:pPr>
      <w:bookmarkStart w:id="6" w:name="_heading=h.tyjcwt" w:colFirst="0" w:colLast="0"/>
      <w:bookmarkEnd w:id="6"/>
      <w:r w:rsidRPr="005D1E4A">
        <w:rPr>
          <w:rFonts w:ascii="Palatino Linotype" w:eastAsia="Palatino Linotype" w:hAnsi="Palatino Linotype" w:cs="Palatino Linotype"/>
          <w:b/>
          <w:bCs/>
        </w:rPr>
        <w:t>PRIMERO. De la competencia</w:t>
      </w: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D5510" w:rsidRPr="005D1E4A" w:rsidRDefault="008D5510">
      <w:pPr>
        <w:spacing w:line="360" w:lineRule="auto"/>
        <w:jc w:val="both"/>
        <w:rPr>
          <w:rFonts w:ascii="Palatino Linotype" w:eastAsia="Palatino Linotype" w:hAnsi="Palatino Linotype" w:cs="Palatino Linotype"/>
          <w:b/>
          <w:bCs/>
        </w:rPr>
      </w:pPr>
    </w:p>
    <w:p w:rsidR="008D5510" w:rsidRPr="005D1E4A" w:rsidRDefault="00F55CE3">
      <w:pPr>
        <w:keepNext/>
        <w:keepLines/>
        <w:spacing w:line="360" w:lineRule="auto"/>
        <w:rPr>
          <w:rFonts w:ascii="Palatino Linotype" w:eastAsia="Palatino Linotype" w:hAnsi="Palatino Linotype" w:cs="Palatino Linotype"/>
          <w:b/>
          <w:bCs/>
        </w:rPr>
      </w:pPr>
      <w:bookmarkStart w:id="7" w:name="_heading=h.3dy6vkm" w:colFirst="0" w:colLast="0"/>
      <w:bookmarkEnd w:id="7"/>
      <w:r w:rsidRPr="005D1E4A">
        <w:rPr>
          <w:rFonts w:ascii="Palatino Linotype" w:eastAsia="Palatino Linotype" w:hAnsi="Palatino Linotype" w:cs="Palatino Linotype"/>
          <w:b/>
          <w:bCs/>
        </w:rPr>
        <w:t>SEGUNDO. De la oportunidad y procedencia.</w:t>
      </w: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El medio de impugnación fue presentado a través del </w:t>
      </w:r>
      <w:r w:rsidRPr="005D1E4A">
        <w:rPr>
          <w:rFonts w:ascii="Palatino Linotype" w:eastAsia="Palatino Linotype" w:hAnsi="Palatino Linotype" w:cs="Palatino Linotype"/>
          <w:b/>
          <w:bCs/>
        </w:rPr>
        <w:t>SAIMEX,</w:t>
      </w:r>
      <w:r w:rsidRPr="005D1E4A">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entregó su respuesta el </w:t>
      </w:r>
      <w:r w:rsidRPr="005D1E4A">
        <w:rPr>
          <w:rFonts w:ascii="Palatino Linotype" w:eastAsia="Palatino Linotype" w:hAnsi="Palatino Linotype" w:cs="Palatino Linotype"/>
          <w:b/>
          <w:bCs/>
        </w:rPr>
        <w:t>diecinueve de enero de dos mil veintiséis</w:t>
      </w:r>
      <w:r w:rsidRPr="005D1E4A">
        <w:rPr>
          <w:rFonts w:ascii="Palatino Linotype" w:eastAsia="Palatino Linotype" w:hAnsi="Palatino Linotype" w:cs="Palatino Linotype"/>
        </w:rPr>
        <w:t xml:space="preserve">, de tal forma que el plazo para interponer el recurso de revisión transcurrió del día </w:t>
      </w:r>
      <w:r w:rsidRPr="005D1E4A">
        <w:rPr>
          <w:rFonts w:ascii="Palatino Linotype" w:eastAsia="Palatino Linotype" w:hAnsi="Palatino Linotype" w:cs="Palatino Linotype"/>
          <w:b/>
          <w:bCs/>
        </w:rPr>
        <w:t>veinte de enero al diez de febrero de dos mil veintiséis</w:t>
      </w:r>
      <w:r w:rsidRPr="005D1E4A">
        <w:rPr>
          <w:rFonts w:ascii="Palatino Linotype" w:eastAsia="Palatino Linotype" w:hAnsi="Palatino Linotype" w:cs="Palatino Linotype"/>
        </w:rPr>
        <w:t xml:space="preserve">; en consecuencia, el ahora </w:t>
      </w:r>
      <w:r w:rsidRPr="005D1E4A">
        <w:rPr>
          <w:rFonts w:ascii="Palatino Linotype" w:eastAsia="Palatino Linotype" w:hAnsi="Palatino Linotype" w:cs="Palatino Linotype"/>
          <w:b/>
          <w:bCs/>
        </w:rPr>
        <w:t>RECURRENTE</w:t>
      </w:r>
      <w:r w:rsidRPr="005D1E4A">
        <w:rPr>
          <w:rFonts w:ascii="Palatino Linotype" w:eastAsia="Palatino Linotype" w:hAnsi="Palatino Linotype" w:cs="Palatino Linotype"/>
        </w:rPr>
        <w:t xml:space="preserve"> presentó su inconformidad el día </w:t>
      </w:r>
      <w:r w:rsidRPr="005D1E4A">
        <w:rPr>
          <w:rFonts w:ascii="Palatino Linotype" w:eastAsia="Palatino Linotype" w:hAnsi="Palatino Linotype" w:cs="Palatino Linotype"/>
          <w:b/>
          <w:bCs/>
        </w:rPr>
        <w:t>veinticuatro de enero de dos mil veintiséis</w:t>
      </w:r>
      <w:r w:rsidRPr="005D1E4A">
        <w:rPr>
          <w:rFonts w:ascii="Palatino Linotype" w:eastAsia="Palatino Linotype" w:hAnsi="Palatino Linotype" w:cs="Palatino Linotype"/>
        </w:rPr>
        <w:t>; por lo que se estima que la inconformidad se presentó dentro del lapso legalmente establecido para tal efecto.</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D5510" w:rsidRPr="005D1E4A" w:rsidRDefault="008D5510">
      <w:pPr>
        <w:pBdr>
          <w:top w:val="nil"/>
          <w:left w:val="nil"/>
          <w:bottom w:val="nil"/>
          <w:right w:val="nil"/>
          <w:between w:val="nil"/>
        </w:pBdr>
        <w:spacing w:line="360" w:lineRule="auto"/>
        <w:rPr>
          <w:rFonts w:ascii="Palatino Linotype" w:eastAsia="Palatino Linotype" w:hAnsi="Palatino Linotype" w:cs="Palatino Linotype"/>
          <w:color w:val="000000"/>
        </w:rPr>
      </w:pPr>
    </w:p>
    <w:p w:rsidR="008D5510" w:rsidRPr="005D1E4A" w:rsidRDefault="00F55CE3">
      <w:pPr>
        <w:pStyle w:val="Ttulo1"/>
        <w:spacing w:before="0" w:line="360" w:lineRule="auto"/>
        <w:rPr>
          <w:rFonts w:ascii="Palatino Linotype" w:eastAsia="Palatino Linotype" w:hAnsi="Palatino Linotype" w:cs="Palatino Linotype"/>
          <w:b/>
          <w:bCs/>
          <w:color w:val="000000"/>
          <w:sz w:val="24"/>
          <w:szCs w:val="24"/>
        </w:rPr>
      </w:pPr>
      <w:bookmarkStart w:id="8" w:name="_heading=h.1t3h5sf" w:colFirst="0" w:colLast="0"/>
      <w:bookmarkEnd w:id="8"/>
      <w:r w:rsidRPr="005D1E4A">
        <w:rPr>
          <w:rFonts w:ascii="Palatino Linotype" w:eastAsia="Palatino Linotype" w:hAnsi="Palatino Linotype" w:cs="Palatino Linotype"/>
          <w:b/>
          <w:bCs/>
          <w:color w:val="000000"/>
          <w:sz w:val="24"/>
          <w:szCs w:val="24"/>
        </w:rPr>
        <w:t xml:space="preserve">TERCERO. Del planteamiento de la </w:t>
      </w:r>
      <w:r w:rsidRPr="005D1E4A">
        <w:rPr>
          <w:rFonts w:ascii="Palatino Linotype" w:eastAsia="Palatino Linotype" w:hAnsi="Palatino Linotype" w:cs="Palatino Linotype"/>
          <w:b/>
          <w:bCs/>
          <w:i/>
          <w:iCs/>
          <w:color w:val="000000"/>
          <w:sz w:val="24"/>
          <w:szCs w:val="24"/>
        </w:rPr>
        <w:t>Litis</w:t>
      </w:r>
      <w:r w:rsidRPr="005D1E4A">
        <w:rPr>
          <w:rFonts w:ascii="Palatino Linotype" w:eastAsia="Palatino Linotype" w:hAnsi="Palatino Linotype" w:cs="Palatino Linotype"/>
          <w:b/>
          <w:bCs/>
          <w:color w:val="000000"/>
          <w:sz w:val="24"/>
          <w:szCs w:val="24"/>
        </w:rPr>
        <w:t>.</w:t>
      </w: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Se solicitó tener acceso, a la información que a continuación se desagrega:</w:t>
      </w:r>
    </w:p>
    <w:p w:rsidR="008D5510" w:rsidRPr="005D1E4A" w:rsidRDefault="008D5510">
      <w:pPr>
        <w:pBdr>
          <w:top w:val="nil"/>
          <w:left w:val="nil"/>
          <w:bottom w:val="nil"/>
          <w:right w:val="nil"/>
          <w:between w:val="nil"/>
        </w:pBdr>
        <w:ind w:left="1571" w:right="900"/>
        <w:jc w:val="both"/>
        <w:rPr>
          <w:rFonts w:ascii="Palatino Linotype" w:eastAsia="Palatino Linotype" w:hAnsi="Palatino Linotype" w:cs="Palatino Linotype"/>
          <w:b/>
          <w:bCs/>
          <w:color w:val="000000"/>
        </w:rPr>
      </w:pPr>
    </w:p>
    <w:p w:rsidR="008D5510" w:rsidRPr="005D1E4A" w:rsidRDefault="00F55CE3">
      <w:pPr>
        <w:pBdr>
          <w:top w:val="nil"/>
          <w:left w:val="nil"/>
          <w:bottom w:val="nil"/>
          <w:right w:val="nil"/>
          <w:between w:val="nil"/>
        </w:pBdr>
        <w:ind w:left="1988"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Listado de empresas, asociaciones civiles o personas físicas que hayan recibido:</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 recursos,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apoyos,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estímulos,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subsidios o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contratos </w:t>
      </w:r>
    </w:p>
    <w:p w:rsidR="008D5510" w:rsidRPr="005D1E4A" w:rsidRDefault="00F55CE3">
      <w:pPr>
        <w:pBdr>
          <w:top w:val="nil"/>
          <w:left w:val="nil"/>
          <w:bottom w:val="nil"/>
          <w:right w:val="nil"/>
          <w:between w:val="nil"/>
        </w:pBdr>
        <w:ind w:left="1988"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Vinculados a programas de desarrollo económico en 2024 y 2025, especificando montos y concepto.</w:t>
      </w:r>
    </w:p>
    <w:p w:rsidR="008D5510" w:rsidRPr="005D1E4A" w:rsidRDefault="008D5510">
      <w:pPr>
        <w:pBdr>
          <w:top w:val="nil"/>
          <w:left w:val="nil"/>
          <w:bottom w:val="nil"/>
          <w:right w:val="nil"/>
          <w:between w:val="nil"/>
        </w:pBdr>
        <w:ind w:left="2348" w:right="900"/>
        <w:jc w:val="both"/>
        <w:rPr>
          <w:rFonts w:ascii="Palatino Linotype" w:eastAsia="Palatino Linotype" w:hAnsi="Palatino Linotype" w:cs="Palatino Linotype"/>
          <w:i/>
          <w:iCs/>
          <w:color w:val="000000"/>
        </w:rPr>
      </w:pPr>
    </w:p>
    <w:p w:rsidR="008D5510" w:rsidRPr="005D1E4A" w:rsidRDefault="008D5510">
      <w:pPr>
        <w:pBdr>
          <w:top w:val="nil"/>
          <w:left w:val="nil"/>
          <w:bottom w:val="nil"/>
          <w:right w:val="nil"/>
          <w:between w:val="nil"/>
        </w:pBdr>
        <w:ind w:left="851" w:right="900"/>
        <w:jc w:val="both"/>
        <w:rPr>
          <w:rFonts w:ascii="Palatino Linotype" w:eastAsia="Palatino Linotype" w:hAnsi="Palatino Linotype" w:cs="Palatino Linotype"/>
          <w:b/>
          <w:bCs/>
          <w:i/>
          <w:iCs/>
          <w:color w:val="000000"/>
        </w:rPr>
      </w:pP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En dichas condiciones, la </w:t>
      </w:r>
      <w:r w:rsidRPr="005D1E4A">
        <w:rPr>
          <w:rFonts w:ascii="Palatino Linotype" w:eastAsia="Palatino Linotype" w:hAnsi="Palatino Linotype" w:cs="Palatino Linotype"/>
          <w:i/>
          <w:iCs/>
        </w:rPr>
        <w:t>Litis</w:t>
      </w:r>
      <w:r w:rsidRPr="005D1E4A">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5D1E4A">
        <w:rPr>
          <w:rFonts w:ascii="Palatino Linotype" w:eastAsia="Palatino Linotype" w:hAnsi="Palatino Linotype" w:cs="Palatino Linotype"/>
          <w:b/>
          <w:bCs/>
        </w:rPr>
        <w:t xml:space="preserve">fracción  I </w:t>
      </w:r>
      <w:r w:rsidRPr="005D1E4A">
        <w:rPr>
          <w:rFonts w:ascii="Palatino Linotype" w:eastAsia="Palatino Linotype" w:hAnsi="Palatino Linotype" w:cs="Palatino Linotype"/>
        </w:rPr>
        <w:t>de la</w:t>
      </w:r>
      <w:r w:rsidRPr="005D1E4A">
        <w:rPr>
          <w:rFonts w:ascii="Palatino Linotype" w:eastAsia="Palatino Linotype" w:hAnsi="Palatino Linotype" w:cs="Palatino Linotype"/>
          <w:color w:val="000000"/>
        </w:rPr>
        <w:t xml:space="preserve"> Ley</w:t>
      </w:r>
      <w:r w:rsidRPr="005D1E4A">
        <w:rPr>
          <w:rFonts w:ascii="Palatino Linotype" w:eastAsia="Palatino Linotype" w:hAnsi="Palatino Linotype" w:cs="Palatino Linotype"/>
          <w:b/>
          <w:bCs/>
        </w:rPr>
        <w:t xml:space="preserve"> de Transparencia y Acceso a la Información Pública del Estado de </w:t>
      </w:r>
      <w:r w:rsidRPr="005D1E4A">
        <w:rPr>
          <w:rFonts w:ascii="Palatino Linotype" w:eastAsia="Palatino Linotype" w:hAnsi="Palatino Linotype" w:cs="Palatino Linotype"/>
        </w:rPr>
        <w:t>México</w:t>
      </w:r>
      <w:r w:rsidRPr="005D1E4A">
        <w:rPr>
          <w:rFonts w:ascii="Palatino Linotype" w:eastAsia="Palatino Linotype" w:hAnsi="Palatino Linotype" w:cs="Palatino Linotype"/>
          <w:b/>
          <w:bCs/>
        </w:rPr>
        <w:t xml:space="preserve"> y Municipios</w:t>
      </w:r>
      <w:r w:rsidRPr="005D1E4A">
        <w:rPr>
          <w:rFonts w:ascii="Palatino Linotype" w:eastAsia="Palatino Linotype" w:hAnsi="Palatino Linotype" w:cs="Palatino Linotype"/>
        </w:rPr>
        <w:t xml:space="preserve">; </w:t>
      </w:r>
      <w:r w:rsidRPr="005D1E4A">
        <w:rPr>
          <w:rFonts w:ascii="Palatino Linotype" w:eastAsia="Palatino Linotype" w:hAnsi="Palatino Linotype" w:cs="Palatino Linotype"/>
          <w:color w:val="000000"/>
        </w:rPr>
        <w:t xml:space="preserve">fracciones  que </w:t>
      </w:r>
      <w:r w:rsidRPr="005D1E4A">
        <w:rPr>
          <w:rFonts w:ascii="Palatino Linotype" w:eastAsia="Palatino Linotype" w:hAnsi="Palatino Linotype" w:cs="Palatino Linotype"/>
        </w:rPr>
        <w:t>determinan</w:t>
      </w:r>
      <w:r w:rsidRPr="005D1E4A">
        <w:rPr>
          <w:rFonts w:ascii="Palatino Linotype" w:eastAsia="Palatino Linotype" w:hAnsi="Palatino Linotype" w:cs="Palatino Linotype"/>
          <w:color w:val="000000"/>
        </w:rPr>
        <w:t xml:space="preserve"> la hipótesis jurídica relativas a la </w:t>
      </w:r>
      <w:r w:rsidRPr="005D1E4A">
        <w:rPr>
          <w:rFonts w:ascii="Palatino Linotype" w:eastAsia="Palatino Linotype" w:hAnsi="Palatino Linotype" w:cs="Palatino Linotype"/>
          <w:color w:val="000000"/>
        </w:rPr>
        <w:tab/>
        <w:t>negativa a la entrega incompleta de la información;</w:t>
      </w:r>
      <w:r w:rsidRPr="005D1E4A">
        <w:rPr>
          <w:rFonts w:ascii="Palatino Linotype" w:eastAsia="Palatino Linotype" w:hAnsi="Palatino Linotype" w:cs="Palatino Linotype"/>
        </w:rPr>
        <w:t xml:space="preserve"> de lo cual se dolió </w:t>
      </w:r>
      <w:r w:rsidRPr="005D1E4A">
        <w:rPr>
          <w:rFonts w:ascii="Palatino Linotype" w:eastAsia="Palatino Linotype" w:hAnsi="Palatino Linotype" w:cs="Palatino Linotype"/>
          <w:b/>
          <w:bCs/>
        </w:rPr>
        <w:t xml:space="preserve">EL RECURRENTE </w:t>
      </w:r>
      <w:r w:rsidRPr="005D1E4A">
        <w:rPr>
          <w:rFonts w:ascii="Palatino Linotype" w:eastAsia="Palatino Linotype" w:hAnsi="Palatino Linotype" w:cs="Palatino Linotype"/>
        </w:rPr>
        <w:t>al momento de interponer su inconformidad.</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3"/>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color w:val="000000"/>
        </w:rPr>
        <w:t xml:space="preserve">De modo tal que el recurso de revisión se abocará en determinar si el </w:t>
      </w:r>
      <w:r w:rsidRPr="005D1E4A">
        <w:rPr>
          <w:rFonts w:ascii="Palatino Linotype" w:eastAsia="Palatino Linotype" w:hAnsi="Palatino Linotype" w:cs="Palatino Linotype"/>
          <w:b/>
          <w:bCs/>
        </w:rPr>
        <w:t>SUJETO</w:t>
      </w:r>
      <w:r w:rsidRPr="005D1E4A">
        <w:rPr>
          <w:rFonts w:ascii="Palatino Linotype" w:eastAsia="Palatino Linotype" w:hAnsi="Palatino Linotype" w:cs="Palatino Linotype"/>
          <w:b/>
          <w:bCs/>
          <w:color w:val="000000"/>
        </w:rPr>
        <w:t xml:space="preserve"> OBLIGADO</w:t>
      </w:r>
      <w:r w:rsidRPr="005D1E4A">
        <w:rPr>
          <w:rFonts w:ascii="Palatino Linotype" w:eastAsia="Palatino Linotype" w:hAnsi="Palatino Linotype" w:cs="Palatino Linotype"/>
          <w:color w:val="000000"/>
        </w:rPr>
        <w:t xml:space="preserve"> con sus respuestas ciertamente actualiza las causales de procedencia</w:t>
      </w:r>
      <w:r w:rsidRPr="005D1E4A">
        <w:rPr>
          <w:rFonts w:ascii="Palatino Linotype" w:eastAsia="Palatino Linotype" w:hAnsi="Palatino Linotype" w:cs="Palatino Linotype"/>
          <w:b/>
          <w:bCs/>
          <w:color w:val="000000"/>
        </w:rPr>
        <w:t xml:space="preserve"> </w:t>
      </w:r>
      <w:r w:rsidRPr="005D1E4A">
        <w:rPr>
          <w:rFonts w:ascii="Palatino Linotype" w:eastAsia="Palatino Linotype" w:hAnsi="Palatino Linotype" w:cs="Palatino Linotype"/>
          <w:color w:val="000000"/>
        </w:rPr>
        <w:t xml:space="preserve">antes </w:t>
      </w:r>
      <w:r w:rsidRPr="005D1E4A">
        <w:rPr>
          <w:rFonts w:ascii="Palatino Linotype" w:eastAsia="Palatino Linotype" w:hAnsi="Palatino Linotype" w:cs="Palatino Linotype"/>
          <w:color w:val="000000"/>
        </w:rPr>
        <w:lastRenderedPageBreak/>
        <w:t>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5D1E4A" w:rsidRDefault="005D1E4A">
      <w:pPr>
        <w:keepNext/>
        <w:keepLines/>
        <w:spacing w:line="360" w:lineRule="auto"/>
        <w:rPr>
          <w:rFonts w:ascii="Palatino Linotype" w:eastAsia="Palatino Linotype" w:hAnsi="Palatino Linotype" w:cs="Palatino Linotype"/>
          <w:b/>
          <w:bCs/>
          <w:color w:val="000000"/>
        </w:rPr>
      </w:pPr>
    </w:p>
    <w:p w:rsidR="008D5510" w:rsidRPr="005D1E4A" w:rsidRDefault="00F55CE3">
      <w:pPr>
        <w:keepNext/>
        <w:keepLines/>
        <w:spacing w:line="360" w:lineRule="auto"/>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t>CUARTO. Del estudio y resolución del asunto</w:t>
      </w:r>
    </w:p>
    <w:p w:rsidR="008D5510" w:rsidRPr="005D1E4A" w:rsidRDefault="00F55CE3">
      <w:pPr>
        <w:keepNext/>
        <w:keepLines/>
        <w:numPr>
          <w:ilvl w:val="0"/>
          <w:numId w:val="5"/>
        </w:numPr>
        <w:spacing w:after="240" w:line="360" w:lineRule="auto"/>
        <w:ind w:left="786"/>
        <w:rPr>
          <w:rFonts w:ascii="Palatino Linotype" w:eastAsia="Palatino Linotype" w:hAnsi="Palatino Linotype" w:cs="Palatino Linotype"/>
          <w:b/>
          <w:bCs/>
        </w:rPr>
      </w:pPr>
      <w:r w:rsidRPr="005D1E4A">
        <w:rPr>
          <w:rFonts w:ascii="Palatino Linotype" w:eastAsia="Palatino Linotype" w:hAnsi="Palatino Linotype" w:cs="Palatino Linotype"/>
          <w:b/>
          <w:bCs/>
        </w:rPr>
        <w:t>Del derecho de acceso a la información.</w:t>
      </w:r>
    </w:p>
    <w:p w:rsidR="008D5510" w:rsidRPr="005D1E4A" w:rsidRDefault="00F55CE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D5510" w:rsidRPr="005D1E4A" w:rsidRDefault="008D5510">
      <w:pPr>
        <w:spacing w:line="360" w:lineRule="auto"/>
        <w:ind w:right="48"/>
        <w:jc w:val="both"/>
        <w:rPr>
          <w:rFonts w:ascii="Palatino Linotype" w:eastAsia="Palatino Linotype" w:hAnsi="Palatino Linotype" w:cs="Palatino Linotype"/>
        </w:rPr>
      </w:pPr>
    </w:p>
    <w:p w:rsidR="008D5510" w:rsidRPr="005D1E4A" w:rsidRDefault="00F55CE3">
      <w:pPr>
        <w:numPr>
          <w:ilvl w:val="0"/>
          <w:numId w:val="4"/>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Definiendo el Derecho de Acceso a la Información Pública como: </w:t>
      </w:r>
      <w:r w:rsidRPr="005D1E4A">
        <w:rPr>
          <w:rFonts w:ascii="Palatino Linotype" w:eastAsia="Palatino Linotype" w:hAnsi="Palatino Linotype" w:cs="Palatino Linotype"/>
          <w:i/>
          <w:iCs/>
          <w:color w:val="000000"/>
        </w:rPr>
        <w:t>La igualdad de oportunidades para recibir, buscar e impartir información</w:t>
      </w:r>
      <w:r w:rsidRPr="005D1E4A">
        <w:rPr>
          <w:rFonts w:ascii="Palatino Linotype" w:eastAsia="Palatino Linotype" w:hAnsi="Palatino Linotype" w:cs="Palatino Linotype"/>
          <w:i/>
          <w:iCs/>
          <w:vertAlign w:val="superscript"/>
        </w:rPr>
        <w:footnoteReference w:id="1"/>
      </w:r>
      <w:r w:rsidRPr="005D1E4A">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1E4A">
        <w:rPr>
          <w:rFonts w:ascii="Palatino Linotype" w:eastAsia="Palatino Linotype" w:hAnsi="Palatino Linotype" w:cs="Palatino Linotype"/>
          <w:i/>
          <w:iCs/>
          <w:vertAlign w:val="superscript"/>
        </w:rPr>
        <w:footnoteReference w:id="2"/>
      </w:r>
      <w:r w:rsidRPr="005D1E4A">
        <w:rPr>
          <w:rFonts w:ascii="Palatino Linotype" w:eastAsia="Palatino Linotype" w:hAnsi="Palatino Linotype" w:cs="Palatino Linotype"/>
          <w:color w:val="000000"/>
        </w:rPr>
        <w:t>que se constituye como una herramienta fundamental para ejercer</w:t>
      </w:r>
      <w:r w:rsidRPr="005D1E4A">
        <w:rPr>
          <w:rFonts w:ascii="Palatino Linotype" w:eastAsia="Palatino Linotype" w:hAnsi="Palatino Linotype" w:cs="Palatino Linotype"/>
          <w:i/>
          <w:iCs/>
          <w:color w:val="000000"/>
        </w:rPr>
        <w:t xml:space="preserve"> el control democrático de las gestiones estatales, de forma tal que puedan cuestionar, indagar y considerar si se </w:t>
      </w:r>
      <w:r w:rsidRPr="005D1E4A">
        <w:rPr>
          <w:rFonts w:ascii="Palatino Linotype" w:eastAsia="Palatino Linotype" w:hAnsi="Palatino Linotype" w:cs="Palatino Linotype"/>
          <w:i/>
          <w:iCs/>
          <w:color w:val="000000"/>
        </w:rPr>
        <w:lastRenderedPageBreak/>
        <w:t>está dando un adecuado cumplimiento a las funciones públicas,</w:t>
      </w:r>
      <w:r w:rsidRPr="005D1E4A">
        <w:rPr>
          <w:rFonts w:ascii="Palatino Linotype" w:eastAsia="Palatino Linotype" w:hAnsi="Palatino Linotype" w:cs="Palatino Linotype"/>
          <w:i/>
          <w:iCs/>
          <w:vertAlign w:val="superscript"/>
        </w:rPr>
        <w:footnoteReference w:id="3"/>
      </w:r>
      <w:r w:rsidRPr="005D1E4A">
        <w:rPr>
          <w:rFonts w:ascii="Palatino Linotype" w:eastAsia="Palatino Linotype" w:hAnsi="Palatino Linotype" w:cs="Palatino Linotype"/>
          <w:color w:val="000000"/>
        </w:rPr>
        <w:t>fomentando</w:t>
      </w:r>
      <w:r w:rsidRPr="005D1E4A">
        <w:rPr>
          <w:rFonts w:ascii="Palatino Linotype" w:eastAsia="Palatino Linotype" w:hAnsi="Palatino Linotype" w:cs="Palatino Linotype"/>
          <w:i/>
          <w:iCs/>
          <w:color w:val="000000"/>
        </w:rPr>
        <w:t xml:space="preserve"> la transparencia de las actividades estatales y </w:t>
      </w:r>
      <w:r w:rsidRPr="005D1E4A">
        <w:rPr>
          <w:rFonts w:ascii="Palatino Linotype" w:eastAsia="Palatino Linotype" w:hAnsi="Palatino Linotype" w:cs="Palatino Linotype"/>
          <w:color w:val="000000"/>
        </w:rPr>
        <w:t>promoviendo</w:t>
      </w:r>
      <w:r w:rsidRPr="005D1E4A">
        <w:rPr>
          <w:rFonts w:ascii="Palatino Linotype" w:eastAsia="Palatino Linotype" w:hAnsi="Palatino Linotype" w:cs="Palatino Linotype"/>
          <w:i/>
          <w:iCs/>
          <w:color w:val="000000"/>
        </w:rPr>
        <w:t xml:space="preserve"> la responsabilidad de los funcionarios sobre su gestión pública,</w:t>
      </w:r>
      <w:r w:rsidRPr="005D1E4A">
        <w:rPr>
          <w:rFonts w:ascii="Palatino Linotype" w:eastAsia="Palatino Linotype" w:hAnsi="Palatino Linotype" w:cs="Palatino Linotype"/>
          <w:i/>
          <w:iCs/>
          <w:vertAlign w:val="superscript"/>
        </w:rPr>
        <w:footnoteReference w:id="4"/>
      </w:r>
      <w:r w:rsidRPr="005D1E4A">
        <w:rPr>
          <w:rFonts w:ascii="Palatino Linotype" w:eastAsia="Palatino Linotype" w:hAnsi="Palatino Linotype" w:cs="Palatino Linotype"/>
          <w:color w:val="000000"/>
        </w:rPr>
        <w:t>que permite</w:t>
      </w:r>
      <w:r w:rsidRPr="005D1E4A">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8D5510" w:rsidRPr="005D1E4A" w:rsidRDefault="008D5510">
      <w:pPr>
        <w:spacing w:line="360" w:lineRule="auto"/>
        <w:ind w:right="49"/>
        <w:jc w:val="both"/>
        <w:rPr>
          <w:rFonts w:ascii="Palatino Linotype" w:eastAsia="Palatino Linotype" w:hAnsi="Palatino Linotype" w:cs="Palatino Linotype"/>
        </w:rPr>
      </w:pPr>
    </w:p>
    <w:p w:rsidR="008D5510" w:rsidRPr="005D1E4A" w:rsidRDefault="00F55CE3">
      <w:pPr>
        <w:numPr>
          <w:ilvl w:val="0"/>
          <w:numId w:val="4"/>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8D5510" w:rsidRPr="005D1E4A" w:rsidRDefault="00F55CE3">
      <w:pP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r w:rsidRPr="005D1E4A">
        <w:rPr>
          <w:rFonts w:ascii="Palatino Linotype" w:eastAsia="Palatino Linotype" w:hAnsi="Palatino Linotype" w:cs="Palatino Linotype"/>
          <w:b/>
          <w:bCs/>
          <w:i/>
          <w:iCs/>
        </w:rPr>
        <w:t>Artículo 1.-</w:t>
      </w:r>
      <w:r w:rsidRPr="005D1E4A">
        <w:rPr>
          <w:rFonts w:ascii="Palatino Linotype" w:eastAsia="Palatino Linotype" w:hAnsi="Palatino Linotype" w:cs="Palatino Linotype"/>
          <w:i/>
          <w:iCs/>
        </w:rPr>
        <w:t xml:space="preserve"> </w:t>
      </w:r>
    </w:p>
    <w:p w:rsidR="008D5510" w:rsidRPr="005D1E4A" w:rsidRDefault="00F55CE3">
      <w:pP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p>
    <w:p w:rsidR="008D5510" w:rsidRPr="005D1E4A" w:rsidRDefault="00F55CE3">
      <w:pPr>
        <w:spacing w:line="276" w:lineRule="auto"/>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Todas las</w:t>
      </w:r>
      <w:r w:rsidRPr="005D1E4A">
        <w:rPr>
          <w:rFonts w:ascii="Palatino Linotype" w:eastAsia="Palatino Linotype" w:hAnsi="Palatino Linotype" w:cs="Palatino Linotype"/>
        </w:rPr>
        <w:t xml:space="preserve"> </w:t>
      </w:r>
      <w:r w:rsidRPr="005D1E4A">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D5510" w:rsidRPr="005D1E4A" w:rsidRDefault="00F55CE3">
      <w:pPr>
        <w:ind w:left="1134" w:right="900"/>
        <w:jc w:val="both"/>
        <w:rPr>
          <w:rFonts w:ascii="Palatino Linotype" w:eastAsia="Palatino Linotype" w:hAnsi="Palatino Linotype" w:cs="Palatino Linotype"/>
        </w:rPr>
      </w:pPr>
      <w:r w:rsidRPr="005D1E4A">
        <w:rPr>
          <w:rFonts w:ascii="Palatino Linotype" w:eastAsia="Palatino Linotype" w:hAnsi="Palatino Linotype" w:cs="Palatino Linotype"/>
          <w:i/>
          <w:iCs/>
        </w:rPr>
        <w:t>(…)</w:t>
      </w:r>
      <w:r w:rsidRPr="005D1E4A">
        <w:rPr>
          <w:rFonts w:ascii="Palatino Linotype" w:eastAsia="Palatino Linotype" w:hAnsi="Palatino Linotype" w:cs="Palatino Linotype"/>
        </w:rPr>
        <w:t>”.</w:t>
      </w:r>
    </w:p>
    <w:p w:rsidR="008D5510" w:rsidRPr="005D1E4A" w:rsidRDefault="008D5510">
      <w:pPr>
        <w:ind w:left="1134" w:right="900"/>
        <w:jc w:val="both"/>
        <w:rPr>
          <w:rFonts w:ascii="Palatino Linotype" w:eastAsia="Palatino Linotype" w:hAnsi="Palatino Linotype" w:cs="Palatino Linotype"/>
          <w:b/>
          <w:bCs/>
        </w:rPr>
      </w:pPr>
    </w:p>
    <w:p w:rsidR="008D5510" w:rsidRPr="005D1E4A" w:rsidRDefault="00F55CE3">
      <w:pPr>
        <w:numPr>
          <w:ilvl w:val="0"/>
          <w:numId w:val="4"/>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D5510" w:rsidRPr="005D1E4A" w:rsidRDefault="008D5510">
      <w:pPr>
        <w:spacing w:line="360" w:lineRule="auto"/>
        <w:ind w:right="49"/>
        <w:jc w:val="both"/>
        <w:rPr>
          <w:rFonts w:ascii="Palatino Linotype" w:eastAsia="Palatino Linotype" w:hAnsi="Palatino Linotype" w:cs="Palatino Linotype"/>
        </w:rPr>
      </w:pPr>
    </w:p>
    <w:p w:rsidR="008D5510" w:rsidRPr="005D1E4A" w:rsidRDefault="00F55CE3">
      <w:pPr>
        <w:numPr>
          <w:ilvl w:val="0"/>
          <w:numId w:val="4"/>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Pr="005D1E4A" w:rsidRDefault="00F55CE3">
      <w:pPr>
        <w:tabs>
          <w:tab w:val="left" w:pos="7938"/>
        </w:tabs>
        <w:spacing w:after="240" w:line="276" w:lineRule="auto"/>
        <w:ind w:left="1134" w:right="900"/>
        <w:jc w:val="both"/>
        <w:rPr>
          <w:rFonts w:ascii="Palatino Linotype" w:eastAsia="Palatino Linotype" w:hAnsi="Palatino Linotype" w:cs="Palatino Linotype"/>
          <w:b/>
          <w:bCs/>
          <w:i/>
          <w:iCs/>
        </w:rPr>
      </w:pPr>
      <w:r w:rsidRPr="005D1E4A">
        <w:rPr>
          <w:rFonts w:ascii="Palatino Linotype" w:eastAsia="Palatino Linotype" w:hAnsi="Palatino Linotype" w:cs="Palatino Linotype"/>
          <w:b/>
          <w:bCs/>
          <w:i/>
          <w:iCs/>
        </w:rPr>
        <w:t>Constitución Política de los Estados Unidos Mexicanos</w:t>
      </w:r>
    </w:p>
    <w:p w:rsidR="008D5510" w:rsidRPr="005D1E4A" w:rsidRDefault="00F55CE3">
      <w:pPr>
        <w:tabs>
          <w:tab w:val="left" w:pos="7938"/>
        </w:tabs>
        <w:spacing w:before="240" w:after="240" w:line="276" w:lineRule="auto"/>
        <w:ind w:left="1134" w:right="900"/>
        <w:jc w:val="both"/>
        <w:rPr>
          <w:rFonts w:ascii="Palatino Linotype" w:eastAsia="Palatino Linotype" w:hAnsi="Palatino Linotype" w:cs="Palatino Linotype"/>
          <w:b/>
          <w:bCs/>
          <w:i/>
          <w:iCs/>
        </w:rPr>
      </w:pPr>
      <w:r w:rsidRPr="005D1E4A">
        <w:rPr>
          <w:rFonts w:ascii="Palatino Linotype" w:eastAsia="Palatino Linotype" w:hAnsi="Palatino Linotype" w:cs="Palatino Linotype"/>
          <w:b/>
          <w:bCs/>
          <w:i/>
          <w:iCs/>
        </w:rPr>
        <w:t>“Artículo 6.</w:t>
      </w:r>
    </w:p>
    <w:p w:rsidR="008D5510" w:rsidRPr="005D1E4A" w:rsidRDefault="00F55CE3">
      <w:pPr>
        <w:tabs>
          <w:tab w:val="left" w:pos="7938"/>
        </w:tabs>
        <w:spacing w:before="240" w:after="240" w:line="276" w:lineRule="auto"/>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p>
    <w:p w:rsidR="008D5510" w:rsidRPr="005D1E4A" w:rsidRDefault="00F55CE3">
      <w:pPr>
        <w:tabs>
          <w:tab w:val="left" w:pos="7938"/>
        </w:tabs>
        <w:spacing w:before="240" w:after="240" w:line="276" w:lineRule="auto"/>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Para efectos de lo dispuesto en el presente artículo se observará lo siguiente:</w:t>
      </w:r>
    </w:p>
    <w:p w:rsidR="008D5510" w:rsidRPr="005D1E4A" w:rsidRDefault="00F55CE3">
      <w:pPr>
        <w:tabs>
          <w:tab w:val="left" w:pos="7938"/>
        </w:tabs>
        <w:spacing w:before="240" w:after="240" w:line="276" w:lineRule="auto"/>
        <w:ind w:left="1134" w:right="900"/>
        <w:jc w:val="both"/>
        <w:rPr>
          <w:rFonts w:ascii="Palatino Linotype" w:eastAsia="Palatino Linotype" w:hAnsi="Palatino Linotype" w:cs="Palatino Linotype"/>
          <w:b/>
          <w:bCs/>
          <w:i/>
          <w:iCs/>
        </w:rPr>
      </w:pPr>
      <w:r w:rsidRPr="005D1E4A">
        <w:rPr>
          <w:rFonts w:ascii="Palatino Linotype" w:eastAsia="Palatino Linotype" w:hAnsi="Palatino Linotype" w:cs="Palatino Linotype"/>
          <w:b/>
          <w:bCs/>
          <w:i/>
          <w:iCs/>
        </w:rPr>
        <w:t>A</w:t>
      </w:r>
      <w:r w:rsidRPr="005D1E4A">
        <w:rPr>
          <w:rFonts w:ascii="Palatino Linotype" w:eastAsia="Palatino Linotype" w:hAnsi="Palatino Linotype" w:cs="Palatino Linotype"/>
          <w:i/>
          <w:iCs/>
        </w:rPr>
        <w:t xml:space="preserve">. </w:t>
      </w:r>
      <w:r w:rsidRPr="005D1E4A">
        <w:rPr>
          <w:rFonts w:ascii="Palatino Linotype" w:eastAsia="Palatino Linotype" w:hAnsi="Palatino Linotype" w:cs="Palatino Linotype"/>
          <w:b/>
          <w:bCs/>
          <w:i/>
          <w:iCs/>
        </w:rPr>
        <w:t>Para el ejercicio del derecho de acceso a la información</w:t>
      </w:r>
      <w:r w:rsidRPr="005D1E4A">
        <w:rPr>
          <w:rFonts w:ascii="Palatino Linotype" w:eastAsia="Palatino Linotype" w:hAnsi="Palatino Linotype" w:cs="Palatino Linotype"/>
          <w:i/>
          <w:iCs/>
        </w:rPr>
        <w:t xml:space="preserve">, la Federación y </w:t>
      </w:r>
      <w:r w:rsidRPr="005D1E4A">
        <w:rPr>
          <w:rFonts w:ascii="Palatino Linotype" w:eastAsia="Palatino Linotype" w:hAnsi="Palatino Linotype" w:cs="Palatino Linotype"/>
          <w:b/>
          <w:bCs/>
          <w:i/>
          <w:iCs/>
        </w:rPr>
        <w:t>las entidades federativas, en el ámbito de sus respectivas competencias, se regirán por los siguientes principios y bases:</w:t>
      </w:r>
    </w:p>
    <w:p w:rsidR="008D5510" w:rsidRPr="005D1E4A" w:rsidRDefault="00F55CE3">
      <w:pPr>
        <w:tabs>
          <w:tab w:val="left" w:pos="7938"/>
        </w:tabs>
        <w:spacing w:before="240" w:after="240" w:line="276" w:lineRule="auto"/>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b/>
          <w:bCs/>
          <w:i/>
          <w:iCs/>
        </w:rPr>
        <w:t>I. Toda la información en posesión de cualquier</w:t>
      </w:r>
      <w:r w:rsidRPr="005D1E4A">
        <w:rPr>
          <w:rFonts w:ascii="Palatino Linotype" w:eastAsia="Palatino Linotype" w:hAnsi="Palatino Linotype" w:cs="Palatino Linotype"/>
          <w:i/>
          <w:iCs/>
        </w:rPr>
        <w:t xml:space="preserve"> </w:t>
      </w:r>
      <w:r w:rsidRPr="005D1E4A">
        <w:rPr>
          <w:rFonts w:ascii="Palatino Linotype" w:eastAsia="Palatino Linotype" w:hAnsi="Palatino Linotype" w:cs="Palatino Linotype"/>
          <w:b/>
          <w:bCs/>
          <w:i/>
          <w:iCs/>
        </w:rPr>
        <w:t>autoridad</w:t>
      </w:r>
      <w:r w:rsidRPr="005D1E4A">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D1E4A">
        <w:rPr>
          <w:rFonts w:ascii="Palatino Linotype" w:eastAsia="Palatino Linotype" w:hAnsi="Palatino Linotype" w:cs="Palatino Linotype"/>
          <w:b/>
          <w:bCs/>
          <w:i/>
          <w:iCs/>
        </w:rPr>
        <w:t>municipal</w:t>
      </w:r>
      <w:r w:rsidRPr="005D1E4A">
        <w:rPr>
          <w:rFonts w:ascii="Palatino Linotype" w:eastAsia="Palatino Linotype" w:hAnsi="Palatino Linotype" w:cs="Palatino Linotype"/>
          <w:i/>
          <w:iCs/>
        </w:rPr>
        <w:t xml:space="preserve">, </w:t>
      </w:r>
      <w:r w:rsidRPr="005D1E4A">
        <w:rPr>
          <w:rFonts w:ascii="Palatino Linotype" w:eastAsia="Palatino Linotype" w:hAnsi="Palatino Linotype" w:cs="Palatino Linotype"/>
          <w:b/>
          <w:bCs/>
          <w:i/>
          <w:iCs/>
        </w:rPr>
        <w:t>es pública</w:t>
      </w:r>
      <w:r w:rsidRPr="005D1E4A">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5D1E4A">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5D1E4A">
        <w:rPr>
          <w:rFonts w:ascii="Palatino Linotype" w:eastAsia="Palatino Linotype" w:hAnsi="Palatino Linotype" w:cs="Palatino Linotype"/>
          <w:i/>
          <w:iCs/>
        </w:rPr>
        <w:t>, la ley determinará los supuestos específicos bajo los cuales procederá la declaración de inexistencia de la información.”</w:t>
      </w:r>
    </w:p>
    <w:p w:rsidR="008D5510" w:rsidRPr="005D1E4A" w:rsidRDefault="008D5510">
      <w:pPr>
        <w:tabs>
          <w:tab w:val="left" w:pos="567"/>
          <w:tab w:val="left" w:pos="7938"/>
        </w:tabs>
        <w:spacing w:before="240"/>
        <w:ind w:left="1134" w:right="900"/>
        <w:jc w:val="both"/>
        <w:rPr>
          <w:rFonts w:ascii="Palatino Linotype" w:eastAsia="Palatino Linotype" w:hAnsi="Palatino Linotype" w:cs="Palatino Linotype"/>
          <w:b/>
          <w:bCs/>
          <w:i/>
          <w:iCs/>
        </w:rPr>
      </w:pPr>
    </w:p>
    <w:p w:rsidR="008D5510" w:rsidRPr="005D1E4A" w:rsidRDefault="00F55CE3">
      <w:pPr>
        <w:tabs>
          <w:tab w:val="left" w:pos="7938"/>
        </w:tabs>
        <w:spacing w:after="240"/>
        <w:ind w:left="1134" w:right="900"/>
        <w:jc w:val="both"/>
        <w:rPr>
          <w:rFonts w:ascii="Palatino Linotype" w:eastAsia="Palatino Linotype" w:hAnsi="Palatino Linotype" w:cs="Palatino Linotype"/>
          <w:b/>
          <w:bCs/>
          <w:i/>
          <w:iCs/>
        </w:rPr>
      </w:pPr>
      <w:r w:rsidRPr="005D1E4A">
        <w:rPr>
          <w:rFonts w:ascii="Palatino Linotype" w:eastAsia="Palatino Linotype" w:hAnsi="Palatino Linotype" w:cs="Palatino Linotype"/>
          <w:b/>
          <w:bCs/>
          <w:i/>
          <w:iCs/>
        </w:rPr>
        <w:lastRenderedPageBreak/>
        <w:t>Constitución Política del Estado Libre y Soberano de México</w:t>
      </w:r>
    </w:p>
    <w:p w:rsidR="008D5510" w:rsidRPr="005D1E4A" w:rsidRDefault="00F55CE3">
      <w:pPr>
        <w:tabs>
          <w:tab w:val="left" w:pos="7938"/>
        </w:tabs>
        <w:spacing w:before="240" w:after="240"/>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b/>
          <w:bCs/>
          <w:i/>
          <w:iCs/>
        </w:rPr>
        <w:t>“Artículo 5</w:t>
      </w:r>
      <w:r w:rsidRPr="005D1E4A">
        <w:rPr>
          <w:rFonts w:ascii="Palatino Linotype" w:eastAsia="Palatino Linotype" w:hAnsi="Palatino Linotype" w:cs="Palatino Linotype"/>
          <w:i/>
          <w:iCs/>
        </w:rPr>
        <w:t xml:space="preserve">.- </w:t>
      </w:r>
    </w:p>
    <w:p w:rsidR="008D5510" w:rsidRPr="005D1E4A" w:rsidRDefault="00F55CE3">
      <w:pPr>
        <w:tabs>
          <w:tab w:val="left" w:pos="7938"/>
        </w:tabs>
        <w:spacing w:before="240" w:after="240"/>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p>
    <w:p w:rsidR="008D5510" w:rsidRPr="005D1E4A" w:rsidRDefault="00F55CE3">
      <w:pPr>
        <w:tabs>
          <w:tab w:val="left" w:pos="7938"/>
        </w:tabs>
        <w:spacing w:before="240" w:after="240"/>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5D1E4A">
        <w:rPr>
          <w:rFonts w:ascii="Palatino Linotype" w:eastAsia="Palatino Linotype" w:hAnsi="Palatino Linotype" w:cs="Palatino Linotype"/>
          <w:i/>
          <w:iCs/>
        </w:rPr>
        <w:t>.</w:t>
      </w:r>
    </w:p>
    <w:p w:rsidR="008D5510" w:rsidRPr="005D1E4A" w:rsidRDefault="00F55CE3">
      <w:pPr>
        <w:tabs>
          <w:tab w:val="left" w:pos="7938"/>
        </w:tabs>
        <w:spacing w:before="240" w:after="240"/>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D5510" w:rsidRPr="005D1E4A" w:rsidRDefault="008D5510">
      <w:pPr>
        <w:tabs>
          <w:tab w:val="left" w:pos="7938"/>
        </w:tabs>
        <w:spacing w:before="240" w:after="240"/>
        <w:ind w:left="1134" w:right="900"/>
        <w:jc w:val="both"/>
        <w:rPr>
          <w:rFonts w:ascii="Palatino Linotype" w:eastAsia="Palatino Linotype" w:hAnsi="Palatino Linotype" w:cs="Palatino Linotype"/>
          <w:i/>
          <w:iCs/>
        </w:rPr>
      </w:pPr>
    </w:p>
    <w:p w:rsidR="008D5510" w:rsidRPr="005D1E4A" w:rsidRDefault="00F55CE3">
      <w:pPr>
        <w:tabs>
          <w:tab w:val="left" w:pos="7938"/>
        </w:tabs>
        <w:spacing w:before="240" w:after="240"/>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b/>
          <w:bCs/>
          <w:i/>
          <w:iCs/>
        </w:rPr>
        <w:t>Este derecho se regirá por los principios y bases siguientes</w:t>
      </w:r>
      <w:r w:rsidRPr="005D1E4A">
        <w:rPr>
          <w:rFonts w:ascii="Palatino Linotype" w:eastAsia="Palatino Linotype" w:hAnsi="Palatino Linotype" w:cs="Palatino Linotype"/>
          <w:i/>
          <w:iCs/>
        </w:rPr>
        <w:t>:</w:t>
      </w:r>
    </w:p>
    <w:p w:rsidR="008D5510" w:rsidRPr="005D1E4A" w:rsidRDefault="00F55CE3">
      <w:pPr>
        <w:tabs>
          <w:tab w:val="left" w:pos="7938"/>
        </w:tabs>
        <w:spacing w:before="240" w:after="240" w:line="276" w:lineRule="auto"/>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b/>
          <w:bCs/>
          <w:i/>
          <w:iCs/>
        </w:rPr>
        <w:t>I. Toda la información en posesión de cualquier autoridad, entidad, órgano y organismos de los</w:t>
      </w:r>
      <w:r w:rsidRPr="005D1E4A">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5D1E4A">
        <w:rPr>
          <w:rFonts w:ascii="Palatino Linotype" w:eastAsia="Palatino Linotype" w:hAnsi="Palatino Linotype" w:cs="Palatino Linotype"/>
          <w:b/>
          <w:bCs/>
          <w:i/>
          <w:iCs/>
        </w:rPr>
        <w:t>municipales</w:t>
      </w:r>
      <w:r w:rsidRPr="005D1E4A">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D1E4A">
        <w:rPr>
          <w:rFonts w:ascii="Palatino Linotype" w:eastAsia="Palatino Linotype" w:hAnsi="Palatino Linotype" w:cs="Palatino Linotype"/>
          <w:b/>
          <w:bCs/>
          <w:i/>
          <w:iCs/>
        </w:rPr>
        <w:t>es pública</w:t>
      </w:r>
      <w:r w:rsidRPr="005D1E4A">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5D1E4A">
        <w:rPr>
          <w:rFonts w:ascii="Palatino Linotype" w:eastAsia="Palatino Linotype" w:hAnsi="Palatino Linotype" w:cs="Palatino Linotype"/>
          <w:b/>
          <w:bCs/>
          <w:i/>
          <w:iCs/>
        </w:rPr>
        <w:t>En la interpretación de este derecho deberá prevalecer el principio de máxima publicidad</w:t>
      </w:r>
      <w:r w:rsidRPr="005D1E4A">
        <w:rPr>
          <w:rFonts w:ascii="Palatino Linotype" w:eastAsia="Palatino Linotype" w:hAnsi="Palatino Linotype" w:cs="Palatino Linotype"/>
          <w:i/>
          <w:iCs/>
        </w:rPr>
        <w:t xml:space="preserve">. </w:t>
      </w:r>
      <w:r w:rsidRPr="005D1E4A">
        <w:rPr>
          <w:rFonts w:ascii="Palatino Linotype" w:eastAsia="Palatino Linotype" w:hAnsi="Palatino Linotype" w:cs="Palatino Linotype"/>
          <w:b/>
          <w:bCs/>
          <w:i/>
          <w:iCs/>
        </w:rPr>
        <w:t>Los sujetos obligados deberán documentar todo acto que derive del ejercicio de sus facultades, competencias o funciones</w:t>
      </w:r>
      <w:r w:rsidRPr="005D1E4A">
        <w:rPr>
          <w:rFonts w:ascii="Palatino Linotype" w:eastAsia="Palatino Linotype" w:hAnsi="Palatino Linotype" w:cs="Palatino Linotype"/>
          <w:i/>
          <w:iCs/>
        </w:rPr>
        <w:t>, la ley determinará los supuestos específicos bajo los cuales procederá la declaración de inexistencia de la información.”</w:t>
      </w:r>
    </w:p>
    <w:p w:rsidR="008D5510" w:rsidRPr="005D1E4A" w:rsidRDefault="008D5510">
      <w:pPr>
        <w:tabs>
          <w:tab w:val="left" w:pos="567"/>
        </w:tabs>
        <w:spacing w:before="240" w:after="240"/>
        <w:ind w:right="567"/>
        <w:jc w:val="both"/>
        <w:rPr>
          <w:rFonts w:ascii="Palatino Linotype" w:eastAsia="Palatino Linotype" w:hAnsi="Palatino Linotype" w:cs="Palatino Linotype"/>
          <w:b/>
          <w:bCs/>
          <w:i/>
          <w:iCs/>
        </w:rPr>
      </w:pPr>
    </w:p>
    <w:p w:rsidR="008D5510" w:rsidRPr="005D1E4A" w:rsidRDefault="00F55CE3">
      <w:pPr>
        <w:numPr>
          <w:ilvl w:val="0"/>
          <w:numId w:val="4"/>
        </w:numPr>
        <w:spacing w:before="240"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5D1E4A">
        <w:rPr>
          <w:rFonts w:ascii="Palatino Linotype" w:eastAsia="Palatino Linotype" w:hAnsi="Palatino Linotype" w:cs="Palatino Linotype"/>
          <w:i/>
          <w:iCs/>
        </w:rPr>
        <w:t>por los principios de simplicidad, rapidez gratuidad del procedimiento, auxilio y orientación a los particulares</w:t>
      </w:r>
      <w:r w:rsidRPr="005D1E4A">
        <w:rPr>
          <w:rFonts w:ascii="Palatino Linotype" w:eastAsia="Palatino Linotype" w:hAnsi="Palatino Linotype" w:cs="Palatino Linotype"/>
        </w:rPr>
        <w:t>, contemplando el derecho de las personas con discapacidad y hablantes de lengua indígena.</w:t>
      </w:r>
    </w:p>
    <w:p w:rsidR="008D5510" w:rsidRPr="005D1E4A" w:rsidRDefault="008D5510">
      <w:pPr>
        <w:spacing w:line="360" w:lineRule="auto"/>
        <w:ind w:right="49"/>
        <w:jc w:val="both"/>
        <w:rPr>
          <w:rFonts w:ascii="Palatino Linotype" w:eastAsia="Palatino Linotype" w:hAnsi="Palatino Linotype" w:cs="Palatino Linotype"/>
        </w:rPr>
      </w:pPr>
    </w:p>
    <w:p w:rsidR="008D5510" w:rsidRPr="005D1E4A" w:rsidRDefault="00F55CE3">
      <w:pPr>
        <w:numPr>
          <w:ilvl w:val="0"/>
          <w:numId w:val="4"/>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El Derecho de Acceso a la Información se garantiza y respeta oportunamente, y según lo que dispone la Ley, las </w:t>
      </w:r>
      <w:r w:rsidRPr="005D1E4A">
        <w:rPr>
          <w:rFonts w:ascii="Palatino Linotype" w:eastAsia="Palatino Linotype" w:hAnsi="Palatino Linotype" w:cs="Palatino Linotype"/>
          <w:i/>
          <w:iCs/>
        </w:rPr>
        <w:t>solicitudes de acceso a la información</w:t>
      </w:r>
      <w:r w:rsidRPr="005D1E4A">
        <w:rPr>
          <w:rFonts w:ascii="Palatino Linotype" w:eastAsia="Palatino Linotype" w:hAnsi="Palatino Linotype" w:cs="Palatino Linotype"/>
        </w:rPr>
        <w:t>.</w:t>
      </w:r>
    </w:p>
    <w:p w:rsidR="008D5510" w:rsidRPr="005D1E4A" w:rsidRDefault="008D5510">
      <w:pPr>
        <w:spacing w:line="360" w:lineRule="auto"/>
        <w:ind w:right="49"/>
        <w:jc w:val="both"/>
        <w:rPr>
          <w:rFonts w:ascii="Palatino Linotype" w:eastAsia="Palatino Linotype" w:hAnsi="Palatino Linotype" w:cs="Palatino Linotype"/>
        </w:rPr>
      </w:pPr>
    </w:p>
    <w:p w:rsidR="008D5510" w:rsidRPr="005D1E4A" w:rsidRDefault="00F55CE3">
      <w:pPr>
        <w:numPr>
          <w:ilvl w:val="0"/>
          <w:numId w:val="4"/>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Así entonces, se procede analizar, en primer lugar, si el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D5510" w:rsidRPr="005D1E4A" w:rsidRDefault="008D5510">
      <w:pPr>
        <w:spacing w:line="360" w:lineRule="auto"/>
        <w:ind w:right="49"/>
        <w:jc w:val="both"/>
        <w:rPr>
          <w:rFonts w:ascii="Palatino Linotype" w:eastAsia="Palatino Linotype" w:hAnsi="Palatino Linotype" w:cs="Palatino Linotype"/>
        </w:rPr>
      </w:pPr>
    </w:p>
    <w:p w:rsidR="008D5510" w:rsidRPr="005D1E4A" w:rsidRDefault="00F55CE3">
      <w:pPr>
        <w:keepNext/>
        <w:keepLines/>
        <w:numPr>
          <w:ilvl w:val="0"/>
          <w:numId w:val="5"/>
        </w:numPr>
        <w:pBdr>
          <w:top w:val="nil"/>
          <w:left w:val="nil"/>
          <w:bottom w:val="nil"/>
          <w:right w:val="nil"/>
          <w:between w:val="nil"/>
        </w:pBdr>
        <w:spacing w:after="240"/>
        <w:ind w:left="0" w:firstLine="0"/>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t xml:space="preserve"> De la información solicitada y la respuesta del SUJETO OBLIGADO</w:t>
      </w:r>
    </w:p>
    <w:p w:rsidR="008D5510" w:rsidRPr="005D1E4A" w:rsidRDefault="00F55CE3">
      <w:pPr>
        <w:numPr>
          <w:ilvl w:val="0"/>
          <w:numId w:val="6"/>
        </w:numPr>
        <w:spacing w:line="360" w:lineRule="auto"/>
        <w:ind w:left="0" w:right="49" w:firstLine="0"/>
        <w:jc w:val="both"/>
        <w:rPr>
          <w:rFonts w:ascii="Palatino Linotype" w:eastAsia="Palatino Linotype" w:hAnsi="Palatino Linotype" w:cs="Palatino Linotype"/>
          <w:b/>
          <w:bCs/>
          <w:i/>
          <w:iCs/>
        </w:rPr>
      </w:pPr>
      <w:r w:rsidRPr="005D1E4A">
        <w:rPr>
          <w:rFonts w:ascii="Palatino Linotype" w:eastAsia="Palatino Linotype" w:hAnsi="Palatino Linotype" w:cs="Palatino Linotype"/>
        </w:rPr>
        <w:t xml:space="preserve">Cabe recordar dentro de la solicitud que dio origen al presente Recurso que el </w:t>
      </w:r>
      <w:r w:rsidRPr="005D1E4A">
        <w:rPr>
          <w:rFonts w:ascii="Palatino Linotype" w:eastAsia="Palatino Linotype" w:hAnsi="Palatino Linotype" w:cs="Palatino Linotype"/>
          <w:b/>
          <w:bCs/>
        </w:rPr>
        <w:t xml:space="preserve">RECURRENTE </w:t>
      </w:r>
      <w:r w:rsidRPr="005D1E4A">
        <w:rPr>
          <w:rFonts w:ascii="Palatino Linotype" w:eastAsia="Palatino Linotype" w:hAnsi="Palatino Linotype" w:cs="Palatino Linotype"/>
        </w:rPr>
        <w:t>solicitó la siguiente información :</w:t>
      </w:r>
    </w:p>
    <w:p w:rsidR="008D5510" w:rsidRPr="005D1E4A" w:rsidRDefault="00F55CE3">
      <w:pPr>
        <w:pBdr>
          <w:top w:val="nil"/>
          <w:left w:val="nil"/>
          <w:bottom w:val="nil"/>
          <w:right w:val="nil"/>
          <w:between w:val="nil"/>
        </w:pBdr>
        <w:ind w:left="1988"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Listado de empresas, asociaciones civiles o personas físicas que hayan recibido:</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 recursos,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apoyos,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estímulos,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subsidios o </w:t>
      </w:r>
    </w:p>
    <w:p w:rsidR="008D5510" w:rsidRPr="005D1E4A" w:rsidRDefault="00F55CE3">
      <w:pPr>
        <w:numPr>
          <w:ilvl w:val="0"/>
          <w:numId w:val="20"/>
        </w:numPr>
        <w:pBdr>
          <w:top w:val="nil"/>
          <w:left w:val="nil"/>
          <w:bottom w:val="nil"/>
          <w:right w:val="nil"/>
          <w:between w:val="nil"/>
        </w:pBdr>
        <w:ind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contratos </w:t>
      </w:r>
    </w:p>
    <w:p w:rsidR="008D5510" w:rsidRPr="005D1E4A" w:rsidRDefault="00F55CE3">
      <w:pPr>
        <w:pBdr>
          <w:top w:val="nil"/>
          <w:left w:val="nil"/>
          <w:bottom w:val="nil"/>
          <w:right w:val="nil"/>
          <w:between w:val="nil"/>
        </w:pBdr>
        <w:ind w:left="1988"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Vinculados a programas de desarrollo económico en 2024 y 2025, especificando montos y concepto.</w:t>
      </w:r>
    </w:p>
    <w:p w:rsidR="008D5510" w:rsidRPr="005D1E4A" w:rsidRDefault="00F55CE3">
      <w:pPr>
        <w:numPr>
          <w:ilvl w:val="0"/>
          <w:numId w:val="14"/>
        </w:numPr>
        <w:spacing w:line="360" w:lineRule="auto"/>
        <w:ind w:left="0" w:firstLine="0"/>
        <w:jc w:val="both"/>
        <w:rPr>
          <w:rFonts w:ascii="Palatino Linotype" w:eastAsia="Palatino Linotype" w:hAnsi="Palatino Linotype" w:cs="Palatino Linotype"/>
          <w:i/>
          <w:iCs/>
        </w:rPr>
      </w:pPr>
      <w:r w:rsidRPr="005D1E4A">
        <w:rPr>
          <w:rFonts w:ascii="Palatino Linotype" w:eastAsia="Palatino Linotype" w:hAnsi="Palatino Linotype" w:cs="Palatino Linotype"/>
        </w:rPr>
        <w:lastRenderedPageBreak/>
        <w:t xml:space="preserve">En respuesta, el </w:t>
      </w:r>
      <w:r w:rsidRPr="005D1E4A">
        <w:rPr>
          <w:rFonts w:ascii="Palatino Linotype" w:eastAsia="Palatino Linotype" w:hAnsi="Palatino Linotype" w:cs="Palatino Linotype"/>
          <w:b/>
          <w:bCs/>
        </w:rPr>
        <w:t xml:space="preserve">SUJETO OBLIGADO </w:t>
      </w:r>
      <w:r w:rsidRPr="005D1E4A">
        <w:rPr>
          <w:rFonts w:ascii="Palatino Linotype" w:eastAsia="Palatino Linotype" w:hAnsi="Palatino Linotype" w:cs="Palatino Linotype"/>
        </w:rPr>
        <w:t>por medio del Servidor Público Habilitado</w:t>
      </w:r>
      <w:r w:rsidRPr="005D1E4A">
        <w:rPr>
          <w:rFonts w:ascii="Palatino Linotype" w:eastAsia="Palatino Linotype" w:hAnsi="Palatino Linotype" w:cs="Palatino Linotype"/>
          <w:b/>
          <w:bCs/>
        </w:rPr>
        <w:t xml:space="preserve"> </w:t>
      </w:r>
      <w:r w:rsidRPr="005D1E4A">
        <w:rPr>
          <w:rFonts w:ascii="Palatino Linotype" w:eastAsia="Palatino Linotype" w:hAnsi="Palatino Linotype" w:cs="Palatino Linotype"/>
        </w:rPr>
        <w:t>entrego lo señalado en el numeral dos del presente.</w:t>
      </w:r>
    </w:p>
    <w:p w:rsidR="008D5510" w:rsidRPr="005D1E4A" w:rsidRDefault="008D5510">
      <w:pPr>
        <w:ind w:right="900"/>
        <w:jc w:val="both"/>
        <w:rPr>
          <w:rFonts w:ascii="Palatino Linotype" w:eastAsia="Palatino Linotype" w:hAnsi="Palatino Linotype" w:cs="Palatino Linotype"/>
          <w:i/>
          <w:iCs/>
        </w:rPr>
      </w:pPr>
    </w:p>
    <w:p w:rsidR="008D5510" w:rsidRPr="005D1E4A" w:rsidRDefault="00F55CE3">
      <w:pPr>
        <w:numPr>
          <w:ilvl w:val="0"/>
          <w:numId w:val="14"/>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En atención a lo expuesto, es necesario señalar que </w:t>
      </w:r>
      <w:r w:rsidRPr="005D1E4A">
        <w:rPr>
          <w:rFonts w:ascii="Palatino Linotype" w:eastAsia="Palatino Linotype" w:hAnsi="Palatino Linotype" w:cs="Palatino Linotype"/>
          <w:color w:val="222222"/>
        </w:rPr>
        <w:t xml:space="preserve">se obvia el análisis de la competencia por parte del </w:t>
      </w:r>
      <w:r w:rsidRPr="005D1E4A">
        <w:rPr>
          <w:rFonts w:ascii="Palatino Linotype" w:eastAsia="Palatino Linotype" w:hAnsi="Palatino Linotype" w:cs="Palatino Linotype"/>
          <w:b/>
          <w:bCs/>
          <w:color w:val="222222"/>
        </w:rPr>
        <w:t>SUJETO OBLIGADO</w:t>
      </w:r>
      <w:r w:rsidRPr="005D1E4A">
        <w:rPr>
          <w:rFonts w:ascii="Palatino Linotype" w:eastAsia="Palatino Linotype" w:hAnsi="Palatino Linotype" w:cs="Palatino Linotype"/>
          <w:color w:val="222222"/>
        </w:rPr>
        <w:t>, para generar, administrar o poseer la información solicitada, tan es así que enunció la imposibilidad de la entrega de la información solicitada derivado de la confidencialidad de la misma  y que obra en sus archivos.</w:t>
      </w:r>
    </w:p>
    <w:p w:rsidR="008D5510" w:rsidRPr="005D1E4A" w:rsidRDefault="008D5510">
      <w:pPr>
        <w:pBdr>
          <w:top w:val="nil"/>
          <w:left w:val="nil"/>
          <w:bottom w:val="nil"/>
          <w:right w:val="nil"/>
          <w:between w:val="nil"/>
        </w:pBdr>
        <w:ind w:right="27"/>
        <w:jc w:val="both"/>
        <w:rPr>
          <w:rFonts w:ascii="Palatino Linotype" w:eastAsia="Palatino Linotype" w:hAnsi="Palatino Linotype" w:cs="Palatino Linotype"/>
          <w:color w:val="000000"/>
        </w:rPr>
      </w:pPr>
    </w:p>
    <w:p w:rsidR="008D5510" w:rsidRPr="005D1E4A" w:rsidRDefault="00F55CE3">
      <w:pPr>
        <w:numPr>
          <w:ilvl w:val="0"/>
          <w:numId w:val="14"/>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En </w:t>
      </w:r>
      <w:r w:rsidRPr="005D1E4A">
        <w:rPr>
          <w:rFonts w:ascii="Palatino Linotype" w:eastAsia="Palatino Linotype" w:hAnsi="Palatino Linotype" w:cs="Palatino Linotype"/>
        </w:rPr>
        <w:t xml:space="preserve">este sentido, </w:t>
      </w:r>
      <w:r w:rsidRPr="005D1E4A">
        <w:rPr>
          <w:rFonts w:ascii="Palatino Linotype" w:eastAsia="Palatino Linotype" w:hAnsi="Palatino Linotype" w:cs="Palatino Linotype"/>
          <w:color w:val="222222"/>
        </w:rPr>
        <w:t>el hecho de que el</w:t>
      </w:r>
      <w:r w:rsidRPr="005D1E4A">
        <w:rPr>
          <w:rFonts w:ascii="Palatino Linotype" w:eastAsia="Palatino Linotype" w:hAnsi="Palatino Linotype" w:cs="Palatino Linotype"/>
          <w:b/>
          <w:bCs/>
          <w:color w:val="222222"/>
        </w:rPr>
        <w:t xml:space="preserve"> SUJETO OBLIGADO</w:t>
      </w:r>
      <w:r w:rsidRPr="005D1E4A">
        <w:rPr>
          <w:rFonts w:ascii="Palatino Linotype" w:eastAsia="Palatino Linotype" w:hAnsi="Palatino Linotype" w:cs="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D5510" w:rsidRPr="005D1E4A" w:rsidRDefault="008D5510">
      <w:pPr>
        <w:spacing w:line="360" w:lineRule="auto"/>
        <w:ind w:right="27"/>
        <w:jc w:val="both"/>
        <w:rPr>
          <w:rFonts w:ascii="Palatino Linotype" w:eastAsia="Palatino Linotype" w:hAnsi="Palatino Linotype" w:cs="Palatino Linotype"/>
          <w:color w:val="222222"/>
        </w:rPr>
      </w:pPr>
    </w:p>
    <w:p w:rsidR="008D5510" w:rsidRPr="005D1E4A" w:rsidRDefault="00F55CE3">
      <w:pPr>
        <w:shd w:val="clear" w:color="auto" w:fill="FFFFFF"/>
        <w:ind w:left="1134" w:right="900"/>
        <w:jc w:val="both"/>
        <w:rPr>
          <w:rFonts w:ascii="Palatino Linotype" w:eastAsia="Palatino Linotype" w:hAnsi="Palatino Linotype" w:cs="Palatino Linotype"/>
          <w:i/>
          <w:iCs/>
          <w:color w:val="222222"/>
        </w:rPr>
      </w:pPr>
      <w:r w:rsidRPr="005D1E4A">
        <w:rPr>
          <w:rFonts w:ascii="Palatino Linotype" w:eastAsia="Palatino Linotype" w:hAnsi="Palatino Linotype" w:cs="Palatino Linotype"/>
          <w:i/>
          <w:iCs/>
          <w:color w:val="222222"/>
        </w:rPr>
        <w:t>“</w:t>
      </w:r>
      <w:r w:rsidRPr="005D1E4A">
        <w:rPr>
          <w:rFonts w:ascii="Palatino Linotype" w:eastAsia="Palatino Linotype" w:hAnsi="Palatino Linotype" w:cs="Palatino Linotype"/>
          <w:b/>
          <w:bCs/>
          <w:i/>
          <w:iCs/>
          <w:color w:val="222222"/>
        </w:rPr>
        <w:t>Artículo 12.</w:t>
      </w:r>
      <w:r w:rsidRPr="005D1E4A">
        <w:rPr>
          <w:rFonts w:ascii="Palatino Linotype" w:eastAsia="Palatino Linotype" w:hAnsi="Palatino Linotype" w:cs="Palatino Linotype"/>
          <w:i/>
          <w:iCs/>
          <w:color w:val="222222"/>
        </w:rPr>
        <w:t> Quienes generen, recopilen, administren, manejen, procesen, archiven o conserven información pública serán responsables de la misma en los términos de las disposiciones jurídicas aplicables.</w:t>
      </w:r>
    </w:p>
    <w:p w:rsidR="008D5510" w:rsidRPr="005D1E4A" w:rsidRDefault="008D5510">
      <w:pPr>
        <w:shd w:val="clear" w:color="auto" w:fill="FFFFFF"/>
        <w:ind w:left="1134" w:right="900"/>
        <w:jc w:val="both"/>
        <w:rPr>
          <w:rFonts w:ascii="Palatino Linotype" w:eastAsia="Palatino Linotype" w:hAnsi="Palatino Linotype" w:cs="Palatino Linotype"/>
          <w:color w:val="222222"/>
        </w:rPr>
      </w:pPr>
    </w:p>
    <w:p w:rsidR="008D5510" w:rsidRPr="005D1E4A" w:rsidRDefault="00F55CE3">
      <w:pPr>
        <w:shd w:val="clear" w:color="auto" w:fill="FFFFFF"/>
        <w:ind w:left="1134" w:right="900"/>
        <w:jc w:val="both"/>
        <w:rPr>
          <w:rFonts w:ascii="Palatino Linotype" w:eastAsia="Palatino Linotype" w:hAnsi="Palatino Linotype" w:cs="Palatino Linotype"/>
          <w:i/>
          <w:iCs/>
          <w:color w:val="222222"/>
        </w:rPr>
      </w:pPr>
      <w:r w:rsidRPr="005D1E4A">
        <w:rPr>
          <w:rFonts w:ascii="Palatino Linotype" w:eastAsia="Palatino Linotype" w:hAnsi="Palatino Linotype" w:cs="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D5510" w:rsidRPr="005D1E4A" w:rsidRDefault="008D5510">
      <w:pPr>
        <w:spacing w:line="360" w:lineRule="auto"/>
        <w:ind w:left="1134" w:right="27"/>
        <w:rPr>
          <w:rFonts w:ascii="Palatino Linotype" w:eastAsia="Palatino Linotype" w:hAnsi="Palatino Linotype" w:cs="Palatino Linotype"/>
          <w:color w:val="000000"/>
        </w:rPr>
      </w:pPr>
    </w:p>
    <w:p w:rsidR="008D5510" w:rsidRPr="005D1E4A" w:rsidRDefault="008D5510">
      <w:pPr>
        <w:pBdr>
          <w:top w:val="nil"/>
          <w:left w:val="nil"/>
          <w:bottom w:val="nil"/>
          <w:right w:val="nil"/>
          <w:between w:val="nil"/>
        </w:pBdr>
        <w:ind w:right="27"/>
        <w:jc w:val="both"/>
        <w:rPr>
          <w:rFonts w:ascii="Palatino Linotype" w:eastAsia="Palatino Linotype" w:hAnsi="Palatino Linotype" w:cs="Palatino Linotype"/>
          <w:color w:val="000000"/>
        </w:rPr>
      </w:pPr>
    </w:p>
    <w:p w:rsidR="008D5510" w:rsidRPr="005D1E4A" w:rsidRDefault="00F55CE3">
      <w:pPr>
        <w:numPr>
          <w:ilvl w:val="0"/>
          <w:numId w:val="14"/>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color w:val="000000"/>
        </w:rPr>
      </w:pPr>
      <w:r w:rsidRPr="005D1E4A">
        <w:rPr>
          <w:rFonts w:ascii="Palatino Linotype" w:eastAsia="Palatino Linotype" w:hAnsi="Palatino Linotype" w:cs="Palatino Linotype"/>
          <w:color w:val="000000"/>
        </w:rPr>
        <w:t xml:space="preserve">En atención a lo expuesto, se advierte que la respuesta fue emitida por el Servidor Público Habilitado competente, así es dable sostener que, al haber existido un </w:t>
      </w:r>
      <w:r w:rsidRPr="005D1E4A">
        <w:rPr>
          <w:rFonts w:ascii="Palatino Linotype" w:eastAsia="Palatino Linotype" w:hAnsi="Palatino Linotype" w:cs="Palatino Linotype"/>
          <w:color w:val="000000"/>
        </w:rPr>
        <w:lastRenderedPageBreak/>
        <w:t xml:space="preserve">pronunciamiento por parte del </w:t>
      </w:r>
      <w:r w:rsidRPr="005D1E4A">
        <w:rPr>
          <w:rFonts w:ascii="Palatino Linotype" w:eastAsia="Palatino Linotype" w:hAnsi="Palatino Linotype" w:cs="Palatino Linotype"/>
          <w:b/>
          <w:bCs/>
          <w:color w:val="000000"/>
        </w:rPr>
        <w:t>SUJETO OBLIGADO</w:t>
      </w:r>
      <w:r w:rsidRPr="005D1E4A">
        <w:rPr>
          <w:rFonts w:ascii="Palatino Linotype" w:eastAsia="Palatino Linotype" w:hAnsi="Palatino Linotype" w:cs="Palatino Linotype"/>
          <w:color w:val="000000"/>
        </w:rPr>
        <w:t>, este Instituto no está facultado para manifestarse sobre la veracidad de este, pues no existe precepto legal alguno en la Ley de la materia que lo faculte para que, vía recurso de revisión, pueda pronunciarse al respecto.</w:t>
      </w:r>
    </w:p>
    <w:p w:rsidR="008D5510" w:rsidRPr="005D1E4A" w:rsidRDefault="008D5510">
      <w:pPr>
        <w:spacing w:line="360" w:lineRule="auto"/>
        <w:ind w:right="27"/>
        <w:jc w:val="both"/>
        <w:rPr>
          <w:rFonts w:ascii="Palatino Linotype" w:eastAsia="Palatino Linotype" w:hAnsi="Palatino Linotype" w:cs="Palatino Linotype"/>
          <w:b/>
          <w:bCs/>
          <w:color w:val="000000"/>
        </w:rPr>
      </w:pPr>
    </w:p>
    <w:p w:rsidR="008D5510" w:rsidRPr="005D1E4A" w:rsidRDefault="00F55CE3">
      <w:pPr>
        <w:numPr>
          <w:ilvl w:val="0"/>
          <w:numId w:val="14"/>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Ahora bien de la solicitud de información se advierten dos generalidades a saber: el padrón de beneficiarios de programas  de desarrollo económico y contratos vinculados a programas de desarrollo económico, por lo que para atender a la primera hipótesis</w:t>
      </w:r>
      <w:r w:rsidRPr="005D1E4A">
        <w:rPr>
          <w:rFonts w:ascii="Palatino Linotype" w:eastAsia="Palatino Linotype" w:hAnsi="Palatino Linotype" w:cs="Palatino Linotype"/>
          <w:color w:val="000000"/>
        </w:rPr>
        <w:t xml:space="preserve"> se debe de establecer que la información solicitada tiene relación con un padrón de beneficiarios, situación por la cual se hace el siguiente análisis. </w:t>
      </w:r>
    </w:p>
    <w:p w:rsidR="008D5510" w:rsidRPr="005D1E4A" w:rsidRDefault="008D5510">
      <w:pPr>
        <w:spacing w:line="360" w:lineRule="auto"/>
        <w:jc w:val="both"/>
        <w:rPr>
          <w:rFonts w:ascii="Palatino Linotype" w:eastAsia="Palatino Linotype" w:hAnsi="Palatino Linotype" w:cs="Palatino Linotype"/>
          <w:color w:val="000000"/>
        </w:rPr>
      </w:pPr>
    </w:p>
    <w:p w:rsidR="008D5510" w:rsidRPr="005D1E4A" w:rsidRDefault="00F55CE3">
      <w:pPr>
        <w:numPr>
          <w:ilvl w:val="0"/>
          <w:numId w:val="14"/>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En esa línea, se debe de referir que la información solicitada por la </w:t>
      </w:r>
      <w:r w:rsidRPr="005D1E4A">
        <w:rPr>
          <w:rFonts w:ascii="Palatino Linotype" w:eastAsia="Palatino Linotype" w:hAnsi="Palatino Linotype" w:cs="Palatino Linotype"/>
          <w:b/>
          <w:bCs/>
          <w:color w:val="000000"/>
        </w:rPr>
        <w:t xml:space="preserve">RECURRENTE </w:t>
      </w:r>
      <w:r w:rsidRPr="005D1E4A">
        <w:rPr>
          <w:rFonts w:ascii="Palatino Linotype" w:eastAsia="Palatino Linotype" w:hAnsi="Palatino Linotype" w:cs="Palatino Linotype"/>
          <w:color w:val="000000"/>
        </w:rPr>
        <w:t xml:space="preserve">forma parte de las obligaciones de transparencia, toda vez que la población está siendo beneficiada por el Instituto de Investigación y Fomento de las Artesanías del Estado de México, dicho argumento está regulado por el artículo 92 de la Ley de Transparencia y Acceso a la Información Pública del Estado de México y Municipios, mismo que refiere lo siguiente. </w:t>
      </w:r>
    </w:p>
    <w:p w:rsidR="008D5510" w:rsidRPr="005D1E4A" w:rsidRDefault="00F55CE3">
      <w:pPr>
        <w:pBdr>
          <w:top w:val="nil"/>
          <w:left w:val="nil"/>
          <w:bottom w:val="nil"/>
          <w:right w:val="nil"/>
          <w:between w:val="nil"/>
        </w:pBdr>
        <w:ind w:left="1134" w:right="900"/>
        <w:jc w:val="both"/>
        <w:rPr>
          <w:i/>
          <w:iCs/>
        </w:rPr>
      </w:pPr>
      <w:r w:rsidRPr="005D1E4A">
        <w:rPr>
          <w:rFonts w:ascii="Palatino Linotype" w:eastAsia="Palatino Linotype" w:hAnsi="Palatino Linotype" w:cs="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5D1E4A">
        <w:rPr>
          <w:i/>
          <w:iCs/>
        </w:rPr>
        <w:t xml:space="preserve"> </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p) Padrón de beneficiarios mismo que deberá contener los siguientes datos: </w:t>
      </w:r>
      <w:r w:rsidRPr="005D1E4A">
        <w:rPr>
          <w:rFonts w:ascii="Palatino Linotype" w:eastAsia="Palatino Linotype" w:hAnsi="Palatino Linotype" w:cs="Palatino Linotype"/>
          <w:b/>
          <w:bCs/>
          <w:i/>
          <w:iCs/>
        </w:rPr>
        <w:t>nombre de la persona física o denominación social de las personas jurídicas colectivas beneficiadas, el monto, recurso, beneficio o apoyo otorgado para cada una de ellas, unidad territorial, en su caso, edad y sexo.</w:t>
      </w:r>
    </w:p>
    <w:p w:rsidR="008D5510" w:rsidRPr="005D1E4A" w:rsidRDefault="008D5510">
      <w:pPr>
        <w:ind w:left="720"/>
        <w:rPr>
          <w:rFonts w:ascii="Palatino Linotype" w:eastAsia="Palatino Linotype" w:hAnsi="Palatino Linotype" w:cs="Palatino Linotype"/>
        </w:rPr>
      </w:pPr>
    </w:p>
    <w:p w:rsidR="008D5510" w:rsidRPr="005D1E4A" w:rsidRDefault="00F55CE3">
      <w:pPr>
        <w:numPr>
          <w:ilvl w:val="0"/>
          <w:numId w:val="14"/>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lastRenderedPageBreak/>
        <w:t xml:space="preserve">Por otro lado, se debe de precisar que de ser el caso que la información con la colme el derecho de acceso a la información del </w:t>
      </w:r>
      <w:r w:rsidRPr="005D1E4A">
        <w:rPr>
          <w:rFonts w:ascii="Palatino Linotype" w:eastAsia="Palatino Linotype" w:hAnsi="Palatino Linotype" w:cs="Palatino Linotype"/>
          <w:b/>
          <w:bCs/>
        </w:rPr>
        <w:t xml:space="preserve">RECURRENTE </w:t>
      </w:r>
      <w:r w:rsidRPr="005D1E4A">
        <w:rPr>
          <w:rFonts w:ascii="Palatino Linotype" w:eastAsia="Palatino Linotype" w:hAnsi="Palatino Linotype" w:cs="Palatino Linotype"/>
        </w:rPr>
        <w:t xml:space="preserve">sea por medio de padrones que ya se encuentran publicados en páginas oficiales, se debe de tener en cuenta lo siguiente. </w:t>
      </w:r>
    </w:p>
    <w:p w:rsidR="008D5510" w:rsidRPr="005D1E4A" w:rsidRDefault="00F55CE3">
      <w:pP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Artículo 143. Para los efectos de esta Ley se considera información confidencial, la clasificada como tal, de manera permanente, por su naturaleza, cuando: </w:t>
      </w:r>
    </w:p>
    <w:p w:rsidR="008D5510" w:rsidRPr="005D1E4A" w:rsidRDefault="00F55CE3">
      <w:pPr>
        <w:numPr>
          <w:ilvl w:val="0"/>
          <w:numId w:val="1"/>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Se refiera a la información privada y los datos personales concernientes a una persona física o jurídico colectiva identificada o identificable; </w:t>
      </w:r>
    </w:p>
    <w:p w:rsidR="008D5510" w:rsidRPr="005D1E4A" w:rsidRDefault="00F55CE3">
      <w:pP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8D5510" w:rsidRPr="005D1E4A" w:rsidRDefault="00F55CE3">
      <w:pP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8D5510" w:rsidRPr="005D1E4A" w:rsidRDefault="00F55CE3">
      <w:pPr>
        <w:ind w:left="1134" w:right="900"/>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La información confidencial no estará sujeta a temporalidad alguna y sólo podrán tener acceso a ella los titulares de la misma, sus representantes y los servidores públicos facultados para ello. </w:t>
      </w:r>
    </w:p>
    <w:p w:rsidR="008D5510" w:rsidRPr="005D1E4A" w:rsidRDefault="00F55CE3">
      <w:pPr>
        <w:ind w:left="1134" w:right="900"/>
        <w:jc w:val="both"/>
        <w:rPr>
          <w:rFonts w:ascii="Palatino Linotype" w:eastAsia="Palatino Linotype" w:hAnsi="Palatino Linotype" w:cs="Palatino Linotype"/>
          <w:b/>
          <w:bCs/>
          <w:i/>
          <w:iCs/>
        </w:rPr>
      </w:pPr>
      <w:r w:rsidRPr="005D1E4A">
        <w:rPr>
          <w:rFonts w:ascii="Palatino Linotype" w:eastAsia="Palatino Linotype" w:hAnsi="Palatino Linotype" w:cs="Palatino Linotype"/>
          <w:b/>
          <w:bCs/>
          <w:i/>
          <w:iCs/>
        </w:rPr>
        <w:t>No se considerará confidencial la información que se encuentre en los registros públicos o en fuentes de acceso público, ni tampoco la que sea considerada por la presente ley como información pública.</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2"/>
        </w:numPr>
        <w:spacing w:line="360" w:lineRule="auto"/>
        <w:ind w:left="0" w:right="49"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Aunado a lo anterior se precisa que de acuerdo al artículo 94 inciso d de la Ley de Transparencia y Acceso a la Información Pública del Estado de México y Municipios, establece que el nombre, denominación o razón social y clave del registro federal de los contribuyentes a los que se les hubiera cancelado o condenando algún crédito fiscal local o  municipal, deberán ponerse a disposición del público, toda vez que es una obligación de Transparencia Específica para los Sujeto Obligados del Poder Ejecutivo Locales y Municipales; lo que advierte que estos datos deberán ser publicados a través el portal de Información Pública de Oficio Mexiquense.</w:t>
      </w:r>
    </w:p>
    <w:p w:rsidR="008D5510" w:rsidRPr="005D1E4A" w:rsidRDefault="008D55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F55CE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lastRenderedPageBreak/>
        <w:t xml:space="preserve">Así mismo en atención a la segunda hipótesis referente a contratos celebrados vinculados a programas de desarrollo económico, </w:t>
      </w:r>
      <w:r w:rsidRPr="005D1E4A">
        <w:rPr>
          <w:rFonts w:ascii="Palatino Linotype" w:eastAsia="Palatino Linotype" w:hAnsi="Palatino Linotype" w:cs="Palatino Linotype"/>
          <w:color w:val="000000"/>
        </w:rPr>
        <w:t>debe decirse que lo relativo a la información solicitada, se encuentra considerada como una de las obligaciones de transparencia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8D5510" w:rsidRPr="005D1E4A" w:rsidRDefault="008D5510">
      <w:pPr>
        <w:jc w:val="both"/>
        <w:rPr>
          <w:rFonts w:ascii="Palatino Linotype" w:eastAsia="Palatino Linotype" w:hAnsi="Palatino Linotype" w:cs="Palatino Linotype"/>
        </w:rPr>
      </w:pPr>
    </w:p>
    <w:p w:rsidR="008D5510" w:rsidRPr="005D1E4A" w:rsidRDefault="00F55CE3">
      <w:pPr>
        <w:tabs>
          <w:tab w:val="left" w:pos="8080"/>
        </w:tabs>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“Artículo 92. </w:t>
      </w:r>
      <w:r w:rsidRPr="005D1E4A">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D5510" w:rsidRPr="005D1E4A" w:rsidRDefault="00F55CE3">
      <w:pPr>
        <w:tabs>
          <w:tab w:val="left" w:pos="8080"/>
        </w:tabs>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i/>
          <w:iCs/>
        </w:rPr>
        <w:t>(…)</w:t>
      </w:r>
    </w:p>
    <w:p w:rsidR="008D5510" w:rsidRPr="005D1E4A" w:rsidRDefault="008D5510">
      <w:pPr>
        <w:spacing w:line="360" w:lineRule="auto"/>
        <w:ind w:left="851" w:right="822"/>
        <w:jc w:val="both"/>
        <w:rPr>
          <w:rFonts w:ascii="Palatino Linotype" w:eastAsia="Palatino Linotype" w:hAnsi="Palatino Linotype" w:cs="Palatino Linotype"/>
          <w:b/>
          <w:bCs/>
          <w:i/>
          <w:iCs/>
        </w:rPr>
      </w:pP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XXIX. </w:t>
      </w:r>
      <w:r w:rsidRPr="005D1E4A">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incluyendo la versión pública del expediente respectivo</w:t>
      </w:r>
      <w:r w:rsidRPr="005D1E4A">
        <w:rPr>
          <w:rFonts w:ascii="Palatino Linotype" w:eastAsia="Palatino Linotype" w:hAnsi="Palatino Linotype" w:cs="Palatino Linotype"/>
          <w:b/>
          <w:bCs/>
          <w:i/>
          <w:iCs/>
        </w:rPr>
        <w:t xml:space="preserve"> y de los contratos celebrados</w:t>
      </w:r>
      <w:r w:rsidRPr="005D1E4A">
        <w:rPr>
          <w:rFonts w:ascii="Palatino Linotype" w:eastAsia="Palatino Linotype" w:hAnsi="Palatino Linotype" w:cs="Palatino Linotype"/>
          <w:i/>
          <w:iCs/>
        </w:rPr>
        <w:t>, que deberán contener, por los menos, lo siguiente:</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a) </w:t>
      </w:r>
      <w:r w:rsidRPr="005D1E4A">
        <w:rPr>
          <w:rFonts w:ascii="Palatino Linotype" w:eastAsia="Palatino Linotype" w:hAnsi="Palatino Linotype" w:cs="Palatino Linotype"/>
          <w:i/>
          <w:iCs/>
        </w:rPr>
        <w:t>De licitaciones públicas o procedimientos de invitación restringida:</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w:t>
      </w:r>
      <w:r w:rsidRPr="005D1E4A">
        <w:rPr>
          <w:rFonts w:ascii="Palatino Linotype" w:eastAsia="Palatino Linotype" w:hAnsi="Palatino Linotype" w:cs="Palatino Linotype"/>
          <w:i/>
          <w:iCs/>
        </w:rPr>
        <w:t> La convocatoria o invitación emitida, así como los fundamentos legales aplicados para llevarla a cabo;</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2) </w:t>
      </w:r>
      <w:r w:rsidRPr="005D1E4A">
        <w:rPr>
          <w:rFonts w:ascii="Palatino Linotype" w:eastAsia="Palatino Linotype" w:hAnsi="Palatino Linotype" w:cs="Palatino Linotype"/>
          <w:i/>
          <w:iCs/>
        </w:rPr>
        <w:t>Los nombres de los participantes o invitados;</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3)</w:t>
      </w:r>
      <w:r w:rsidRPr="005D1E4A">
        <w:rPr>
          <w:rFonts w:ascii="Palatino Linotype" w:eastAsia="Palatino Linotype" w:hAnsi="Palatino Linotype" w:cs="Palatino Linotype"/>
          <w:i/>
          <w:iCs/>
        </w:rPr>
        <w:t> El nombre del ganador y las razones que lo justifican;</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4) </w:t>
      </w:r>
      <w:r w:rsidRPr="005D1E4A">
        <w:rPr>
          <w:rFonts w:ascii="Palatino Linotype" w:eastAsia="Palatino Linotype" w:hAnsi="Palatino Linotype" w:cs="Palatino Linotype"/>
          <w:i/>
          <w:iCs/>
        </w:rPr>
        <w:t>El área solicitante y la responsable de su ejecución;</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5) </w:t>
      </w:r>
      <w:r w:rsidRPr="005D1E4A">
        <w:rPr>
          <w:rFonts w:ascii="Palatino Linotype" w:eastAsia="Palatino Linotype" w:hAnsi="Palatino Linotype" w:cs="Palatino Linotype"/>
          <w:i/>
          <w:iCs/>
        </w:rPr>
        <w:t>Las convocatorias e invitaciones emitidas;</w:t>
      </w:r>
    </w:p>
    <w:p w:rsidR="008D5510" w:rsidRPr="005D1E4A" w:rsidRDefault="00F55CE3">
      <w:pPr>
        <w:ind w:left="1134" w:right="851"/>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6) Los dictámenes y fallo de adjudicación;</w:t>
      </w:r>
    </w:p>
    <w:p w:rsidR="008D5510" w:rsidRPr="005D1E4A" w:rsidRDefault="00F55CE3">
      <w:pPr>
        <w:ind w:left="1134" w:right="851"/>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7</w:t>
      </w:r>
      <w:r w:rsidRPr="005D1E4A">
        <w:rPr>
          <w:rFonts w:ascii="Palatino Linotype" w:eastAsia="Palatino Linotype" w:hAnsi="Palatino Linotype" w:cs="Palatino Linotype"/>
          <w:b/>
          <w:bCs/>
          <w:i/>
          <w:iCs/>
        </w:rPr>
        <w:t>) </w:t>
      </w:r>
      <w:r w:rsidRPr="005D1E4A">
        <w:rPr>
          <w:rFonts w:ascii="Palatino Linotype" w:eastAsia="Palatino Linotype" w:hAnsi="Palatino Linotype" w:cs="Palatino Linotype"/>
          <w:i/>
          <w:iCs/>
        </w:rPr>
        <w:t>El contrato y, en su caso, sus anexos;</w:t>
      </w:r>
    </w:p>
    <w:p w:rsidR="008D5510" w:rsidRPr="005D1E4A" w:rsidRDefault="00F55CE3">
      <w:pPr>
        <w:ind w:left="1134" w:right="851"/>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lastRenderedPageBreak/>
        <w:t>8) Los mecanismos de vigilancia y supervisión, incluyendo en su caso, los estudios de impacto urbano y ambiental, según corresponda;</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9) </w:t>
      </w:r>
      <w:r w:rsidRPr="005D1E4A">
        <w:rPr>
          <w:rFonts w:ascii="Palatino Linotype" w:eastAsia="Palatino Linotype" w:hAnsi="Palatino Linotype" w:cs="Palatino Linotype"/>
          <w:i/>
          <w:iCs/>
        </w:rPr>
        <w:t>La partida presupuestal, de conformidad con el clasificador por objeto del gasto, en el caso de ser aplicable;</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11) </w:t>
      </w:r>
      <w:r w:rsidRPr="005D1E4A">
        <w:rPr>
          <w:rFonts w:ascii="Palatino Linotype" w:eastAsia="Palatino Linotype" w:hAnsi="Palatino Linotype" w:cs="Palatino Linotype"/>
          <w:i/>
          <w:iCs/>
        </w:rPr>
        <w:t>Los convenios modificatorios que, en su caso, sean firmados, precisando el objeto y la fecha de celebración;</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12) </w:t>
      </w:r>
      <w:r w:rsidRPr="005D1E4A">
        <w:rPr>
          <w:rFonts w:ascii="Palatino Linotype" w:eastAsia="Palatino Linotype" w:hAnsi="Palatino Linotype" w:cs="Palatino Linotype"/>
          <w:i/>
          <w:iCs/>
        </w:rPr>
        <w:t>Los informes de avance físico y financiero sobre las obras o servicios contratados;</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13) </w:t>
      </w:r>
      <w:r w:rsidRPr="005D1E4A">
        <w:rPr>
          <w:rFonts w:ascii="Palatino Linotype" w:eastAsia="Palatino Linotype" w:hAnsi="Palatino Linotype" w:cs="Palatino Linotype"/>
          <w:i/>
          <w:iCs/>
        </w:rPr>
        <w:t>El convenio de terminación; y</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14) </w:t>
      </w:r>
      <w:r w:rsidRPr="005D1E4A">
        <w:rPr>
          <w:rFonts w:ascii="Palatino Linotype" w:eastAsia="Palatino Linotype" w:hAnsi="Palatino Linotype" w:cs="Palatino Linotype"/>
          <w:i/>
          <w:iCs/>
        </w:rPr>
        <w:t>El finiquito.</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b) </w:t>
      </w:r>
      <w:r w:rsidRPr="005D1E4A">
        <w:rPr>
          <w:rFonts w:ascii="Palatino Linotype" w:eastAsia="Palatino Linotype" w:hAnsi="Palatino Linotype" w:cs="Palatino Linotype"/>
          <w:i/>
          <w:iCs/>
        </w:rPr>
        <w:t>De las adjudicaciones directas:</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 </w:t>
      </w:r>
      <w:r w:rsidRPr="005D1E4A">
        <w:rPr>
          <w:rFonts w:ascii="Palatino Linotype" w:eastAsia="Palatino Linotype" w:hAnsi="Palatino Linotype" w:cs="Palatino Linotype"/>
          <w:i/>
          <w:iCs/>
        </w:rPr>
        <w:t>La propuesta enviada por el participante;</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2) </w:t>
      </w:r>
      <w:r w:rsidRPr="005D1E4A">
        <w:rPr>
          <w:rFonts w:ascii="Palatino Linotype" w:eastAsia="Palatino Linotype" w:hAnsi="Palatino Linotype" w:cs="Palatino Linotype"/>
          <w:i/>
          <w:iCs/>
        </w:rPr>
        <w:t>Los motivos y fundamentos legales aplicados para llevarla a cabo;</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3) </w:t>
      </w:r>
      <w:r w:rsidRPr="005D1E4A">
        <w:rPr>
          <w:rFonts w:ascii="Palatino Linotype" w:eastAsia="Palatino Linotype" w:hAnsi="Palatino Linotype" w:cs="Palatino Linotype"/>
          <w:i/>
          <w:iCs/>
        </w:rPr>
        <w:t>La autorización del ejercicio de la opción;</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i/>
          <w:iCs/>
        </w:rPr>
        <w:t>4) En su caso, las cotizaciones consideradas, especificando los nombres de los proveedores y sus montos;</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5) </w:t>
      </w:r>
      <w:r w:rsidRPr="005D1E4A">
        <w:rPr>
          <w:rFonts w:ascii="Palatino Linotype" w:eastAsia="Palatino Linotype" w:hAnsi="Palatino Linotype" w:cs="Palatino Linotype"/>
          <w:i/>
          <w:iCs/>
        </w:rPr>
        <w:t>El nombre de la persona física o jurídica colectiva adjudicada;</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6) </w:t>
      </w:r>
      <w:r w:rsidRPr="005D1E4A">
        <w:rPr>
          <w:rFonts w:ascii="Palatino Linotype" w:eastAsia="Palatino Linotype" w:hAnsi="Palatino Linotype" w:cs="Palatino Linotype"/>
          <w:i/>
          <w:iCs/>
        </w:rPr>
        <w:t>La unidad administrativa solicitante y la responsable de su ejecución;</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7)</w:t>
      </w:r>
      <w:r w:rsidRPr="005D1E4A">
        <w:rPr>
          <w:rFonts w:ascii="Palatino Linotype" w:eastAsia="Palatino Linotype" w:hAnsi="Palatino Linotype" w:cs="Palatino Linotype"/>
          <w:i/>
          <w:iCs/>
        </w:rPr>
        <w:t> El número, fecha, el monto del contrato y el plazo de entrega o de ejecución de los servicios u obra;</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8) </w:t>
      </w:r>
      <w:r w:rsidRPr="005D1E4A">
        <w:rPr>
          <w:rFonts w:ascii="Palatino Linotype" w:eastAsia="Palatino Linotype" w:hAnsi="Palatino Linotype" w:cs="Palatino Linotype"/>
          <w:i/>
          <w:iCs/>
        </w:rPr>
        <w:t>Los mecanismos de vigilancia y supervisión, incluyendo, en su caso, los estudios de impacto urbano y ambiental, según corresponda;</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i/>
          <w:iCs/>
        </w:rPr>
        <w:t>9) Los informes de avance sobre las obras o servicios contratados;</w:t>
      </w:r>
    </w:p>
    <w:p w:rsidR="008D5510" w:rsidRPr="005D1E4A" w:rsidRDefault="00F55CE3">
      <w:pPr>
        <w:ind w:left="1134" w:right="851"/>
        <w:jc w:val="both"/>
        <w:rPr>
          <w:rFonts w:ascii="Palatino Linotype" w:eastAsia="Palatino Linotype" w:hAnsi="Palatino Linotype" w:cs="Palatino Linotype"/>
        </w:rPr>
      </w:pPr>
      <w:r w:rsidRPr="005D1E4A">
        <w:rPr>
          <w:rFonts w:ascii="Palatino Linotype" w:eastAsia="Palatino Linotype" w:hAnsi="Palatino Linotype" w:cs="Palatino Linotype"/>
          <w:b/>
          <w:bCs/>
          <w:i/>
          <w:iCs/>
        </w:rPr>
        <w:t>10) </w:t>
      </w:r>
      <w:r w:rsidRPr="005D1E4A">
        <w:rPr>
          <w:rFonts w:ascii="Palatino Linotype" w:eastAsia="Palatino Linotype" w:hAnsi="Palatino Linotype" w:cs="Palatino Linotype"/>
          <w:i/>
          <w:iCs/>
        </w:rPr>
        <w:t>El convenio de terminación; y</w:t>
      </w:r>
    </w:p>
    <w:p w:rsidR="008D5510" w:rsidRPr="005D1E4A" w:rsidRDefault="00F55CE3">
      <w:pPr>
        <w:ind w:left="1134" w:right="851"/>
        <w:jc w:val="both"/>
        <w:rPr>
          <w:rFonts w:ascii="Palatino Linotype" w:eastAsia="Palatino Linotype" w:hAnsi="Palatino Linotype" w:cs="Palatino Linotype"/>
          <w:b/>
          <w:bCs/>
          <w:i/>
          <w:iCs/>
        </w:rPr>
      </w:pPr>
      <w:r w:rsidRPr="005D1E4A">
        <w:rPr>
          <w:rFonts w:ascii="Palatino Linotype" w:eastAsia="Palatino Linotype" w:hAnsi="Palatino Linotype" w:cs="Palatino Linotype"/>
          <w:b/>
          <w:bCs/>
          <w:i/>
          <w:iCs/>
        </w:rPr>
        <w:t>11) </w:t>
      </w:r>
      <w:r w:rsidRPr="005D1E4A">
        <w:rPr>
          <w:rFonts w:ascii="Palatino Linotype" w:eastAsia="Palatino Linotype" w:hAnsi="Palatino Linotype" w:cs="Palatino Linotype"/>
          <w:i/>
          <w:iCs/>
        </w:rPr>
        <w:t>El finiquito.</w:t>
      </w:r>
      <w:r w:rsidRPr="005D1E4A">
        <w:rPr>
          <w:rFonts w:ascii="Palatino Linotype" w:eastAsia="Palatino Linotype" w:hAnsi="Palatino Linotype" w:cs="Palatino Linotype"/>
          <w:b/>
          <w:bCs/>
          <w:i/>
          <w:iCs/>
        </w:rPr>
        <w:t>”</w:t>
      </w:r>
    </w:p>
    <w:p w:rsidR="008D5510" w:rsidRPr="005D1E4A" w:rsidRDefault="008D5510">
      <w:pPr>
        <w:ind w:left="851" w:right="850"/>
        <w:jc w:val="both"/>
        <w:rPr>
          <w:rFonts w:ascii="Palatino Linotype" w:eastAsia="Palatino Linotype" w:hAnsi="Palatino Linotype" w:cs="Palatino Linotype"/>
        </w:rPr>
      </w:pPr>
    </w:p>
    <w:p w:rsidR="008D5510" w:rsidRPr="005D1E4A" w:rsidRDefault="00F55CE3" w:rsidP="005D1E4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En consecuencia, se determina que existe fuente obligacional para celebrar contratos relacionados con la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rsidR="008D5510" w:rsidRPr="005D1E4A" w:rsidRDefault="00F55CE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lastRenderedPageBreak/>
        <w:t>Ahora bien, con respecto a la clasificación de la información referida por el Sujeto Obligado, resulta necesario señalar que el tal no se limita exclusivamente a referir que la información requerida lo sea, sino que constituye un proceso mediante el cual los sujetos obligados determinan que la información que obra en su poder actualiza alguno de los supuestos de reserva o confidencialidad, conforme a lo previsto en los artículos 122, 128 y 130 de la Ley de Transparencia y Acceso a la Información Pública del Estado de México y Municipios. En ese sentido, las excepciones al derecho de acceso a la información deben aplicarse de manera restrictiva, por lo que corresponde a la autoridad acreditar debidamente su procedencia, fundando y motivando las razones por las cuales la información solicitada se ubica dentro de alguna hipótesis legal de clasificación.</w:t>
      </w:r>
    </w:p>
    <w:p w:rsidR="008D5510" w:rsidRPr="005D1E4A" w:rsidRDefault="008D5510">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8D5510" w:rsidRPr="005D1E4A" w:rsidRDefault="00F55CE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Asimismo, cuando el sujeto obligado determine negar el acceso a la información por considerarla reservada o confidencial, dicha determinación debe ser confirmada, modificada o revocada por el Comité de Transparencia, el cual debe exponer de manera clara las razones, motivos o circunstancias particulares que justifican la clasificación en el caso concreto. Lo anterior cobra relevancia, pues conforme al Criterio 29/10 del entonces IFAI, la clasificación y la inexistencia de la información son figuras incompatibles, ya que la primera presupone necesariamente la existencia de documentos específicos, mientras que la inexistencia implica que éstos no obran en los archivos de la autoridad.</w:t>
      </w:r>
    </w:p>
    <w:p w:rsidR="008D5510" w:rsidRPr="005D1E4A" w:rsidRDefault="008D5510">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8D5510" w:rsidRPr="005D1E4A" w:rsidRDefault="00F55CE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De igual manera, la normativa establece que la clasificación no puede realizarse de forma general, sino mediante un análisis caso por caso, debiendo señalar con precisión el fundamento legal aplicable y exponer los razonamientos lógico-jurídicos que permitan justificar que la información encuadra en alguno de los supuestos previstos en la ley. En este </w:t>
      </w:r>
      <w:r w:rsidRPr="005D1E4A">
        <w:rPr>
          <w:rFonts w:ascii="Palatino Linotype" w:eastAsia="Palatino Linotype" w:hAnsi="Palatino Linotype" w:cs="Palatino Linotype"/>
          <w:color w:val="000000"/>
        </w:rPr>
        <w:lastRenderedPageBreak/>
        <w:t>sentido, la fundamentación implica la cita de los preceptos legales aplicables, mientras que la motivación consiste en la explicación de las circunstancias y razones particulares que llevaron a la autoridad a adoptar la determinación correspondiente.</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Pr="005D1E4A" w:rsidRDefault="00F55CE3">
      <w:pPr>
        <w:pBdr>
          <w:top w:val="nil"/>
          <w:left w:val="nil"/>
          <w:bottom w:val="nil"/>
          <w:right w:val="nil"/>
          <w:between w:val="nil"/>
        </w:pBdr>
        <w:tabs>
          <w:tab w:val="left" w:pos="142"/>
          <w:tab w:val="left" w:pos="284"/>
          <w:tab w:val="left" w:pos="426"/>
        </w:tabs>
        <w:spacing w:line="360" w:lineRule="auto"/>
        <w:ind w:left="567"/>
        <w:jc w:val="both"/>
        <w:rPr>
          <w:rFonts w:ascii="Palatino Linotype" w:eastAsia="Palatino Linotype" w:hAnsi="Palatino Linotype" w:cs="Palatino Linotype"/>
          <w:b/>
          <w:bCs/>
          <w:color w:val="000000"/>
        </w:rPr>
      </w:pPr>
      <w:bookmarkStart w:id="9" w:name="_heading=h.e0bpaa6bubpd" w:colFirst="0" w:colLast="0"/>
      <w:bookmarkEnd w:id="9"/>
      <w:r w:rsidRPr="005D1E4A">
        <w:rPr>
          <w:rFonts w:ascii="Palatino Linotype" w:eastAsia="Palatino Linotype" w:hAnsi="Palatino Linotype" w:cs="Palatino Linotype"/>
          <w:b/>
          <w:bCs/>
          <w:color w:val="000000"/>
        </w:rPr>
        <w:t>La intervención del Comité de Transparencia.</w:t>
      </w:r>
    </w:p>
    <w:p w:rsidR="008D5510" w:rsidRPr="005D1E4A" w:rsidRDefault="00F55CE3">
      <w:pPr>
        <w:numPr>
          <w:ilvl w:val="0"/>
          <w:numId w:val="7"/>
        </w:num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t>Formalidades para emitir el Acuerdo de Clasificación.</w:t>
      </w: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5D1E4A">
        <w:rPr>
          <w:rFonts w:ascii="Palatino Linotype" w:eastAsia="Palatino Linotype" w:hAnsi="Palatino Linotype" w:cs="Palatino Linotype"/>
          <w:b/>
          <w:bCs/>
          <w:u w:val="single"/>
        </w:rPr>
        <w:t>confirmar, modificar o revocar</w:t>
      </w:r>
      <w:r w:rsidRPr="005D1E4A">
        <w:rPr>
          <w:rFonts w:ascii="Palatino Linotype" w:eastAsia="Palatino Linotype" w:hAnsi="Palatino Linotype" w:cs="Palatino Linotype"/>
        </w:rPr>
        <w:t xml:space="preserve"> la clasificación de la información que ha hecho el titular del área que administra la información. Por lo tanto, el Comité </w:t>
      </w:r>
      <w:r w:rsidRPr="005D1E4A">
        <w:rPr>
          <w:rFonts w:ascii="Palatino Linotype" w:eastAsia="Palatino Linotype" w:hAnsi="Palatino Linotype" w:cs="Palatino Linotype"/>
          <w:b/>
          <w:bCs/>
        </w:rPr>
        <w:t>no aprueba</w:t>
      </w:r>
      <w:r w:rsidRPr="005D1E4A">
        <w:rPr>
          <w:rFonts w:ascii="Palatino Linotype" w:eastAsia="Palatino Linotype" w:hAnsi="Palatino Linotype" w:cs="Palatino Linotype"/>
        </w:rPr>
        <w:t xml:space="preserve"> la clasificación, sino que revisa lo que ha hecho el titular del área y confirma, modifica o revoca la decisión a través de un acuerdo.</w:t>
      </w:r>
    </w:p>
    <w:p w:rsidR="008D5510" w:rsidRPr="005D1E4A" w:rsidRDefault="008D55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5D1E4A">
        <w:rPr>
          <w:rFonts w:ascii="Palatino Linotype" w:eastAsia="Palatino Linotype" w:hAnsi="Palatino Linotype" w:cs="Palatino Linotype"/>
        </w:rPr>
        <w:lastRenderedPageBreak/>
        <w:t>entre sus integrantes. Cualquier otra composición del Comité puede generar vicios de legalidad de origen en el acto que restringe un derecho humano.</w:t>
      </w:r>
    </w:p>
    <w:p w:rsidR="008D5510" w:rsidRPr="005D1E4A" w:rsidRDefault="008D5510">
      <w:pPr>
        <w:rPr>
          <w:rFonts w:ascii="Palatino Linotype" w:eastAsia="Palatino Linotype" w:hAnsi="Palatino Linotype" w:cs="Palatino Linotype"/>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8D5510" w:rsidRPr="005D1E4A" w:rsidRDefault="008D5510">
      <w:pPr>
        <w:pBdr>
          <w:top w:val="nil"/>
          <w:left w:val="nil"/>
          <w:bottom w:val="nil"/>
          <w:right w:val="nil"/>
          <w:between w:val="nil"/>
        </w:pBdr>
        <w:spacing w:before="240" w:line="360" w:lineRule="auto"/>
        <w:ind w:right="48"/>
        <w:jc w:val="both"/>
        <w:rPr>
          <w:rFonts w:ascii="Palatino Linotype" w:eastAsia="Palatino Linotype" w:hAnsi="Palatino Linotype" w:cs="Palatino Linotype"/>
          <w:b/>
          <w:bCs/>
          <w:color w:val="000000"/>
        </w:rPr>
      </w:pPr>
    </w:p>
    <w:p w:rsidR="008D5510" w:rsidRPr="005D1E4A" w:rsidRDefault="00F55CE3">
      <w:pPr>
        <w:pBdr>
          <w:top w:val="nil"/>
          <w:left w:val="nil"/>
          <w:bottom w:val="nil"/>
          <w:right w:val="nil"/>
          <w:between w:val="nil"/>
        </w:pBdr>
        <w:tabs>
          <w:tab w:val="left" w:pos="142"/>
          <w:tab w:val="left" w:pos="284"/>
          <w:tab w:val="left" w:pos="426"/>
        </w:tabs>
        <w:spacing w:line="360" w:lineRule="auto"/>
        <w:ind w:left="567"/>
        <w:jc w:val="both"/>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t>b) Requisitos de fondo del Acuerdo de Clasificación.</w:t>
      </w: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w:t>
      </w:r>
    </w:p>
    <w:p w:rsidR="008D5510" w:rsidRPr="005D1E4A" w:rsidRDefault="008D55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8D5510" w:rsidRPr="005D1E4A" w:rsidRDefault="008D5510">
      <w:pPr>
        <w:rPr>
          <w:rFonts w:ascii="Palatino Linotype" w:eastAsia="Palatino Linotype" w:hAnsi="Palatino Linotype" w:cs="Palatino Linotype"/>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 xml:space="preserve">De lo anterior, se desprende que, para una correcta clasificación total o parcial, esto es determinar los datos que se suprimen en las versiones públicas, es necesario fundar y </w:t>
      </w:r>
      <w:r w:rsidRPr="005D1E4A">
        <w:rPr>
          <w:rFonts w:ascii="Palatino Linotype" w:eastAsia="Palatino Linotype" w:hAnsi="Palatino Linotype" w:cs="Palatino Linotype"/>
        </w:rPr>
        <w:lastRenderedPageBreak/>
        <w:t>motivar, de manera correcta, la clasificación; considerando que todo acto que la autoridad pronuncie en el ejercicio de sus atribuciones, debe expresar los fundamentos legales que le dieron</w:t>
      </w:r>
      <w:r w:rsidRPr="005D1E4A">
        <w:rPr>
          <w:rFonts w:ascii="Palatino Linotype" w:eastAsia="Palatino Linotype" w:hAnsi="Palatino Linotype" w:cs="Palatino Linotype"/>
          <w:b/>
          <w:bCs/>
        </w:rPr>
        <w:t xml:space="preserve"> </w:t>
      </w:r>
      <w:r w:rsidRPr="005D1E4A">
        <w:rPr>
          <w:rFonts w:ascii="Palatino Linotype" w:eastAsia="Palatino Linotype" w:hAnsi="Palatino Linotype" w:cs="Palatino Linotype"/>
        </w:rPr>
        <w:t>origen y las razones por las que se deben aplicar al caso concreto.</w:t>
      </w:r>
    </w:p>
    <w:p w:rsidR="008D5510" w:rsidRPr="005D1E4A" w:rsidRDefault="008D5510">
      <w:pPr>
        <w:rPr>
          <w:rFonts w:ascii="Palatino Linotype" w:eastAsia="Palatino Linotype" w:hAnsi="Palatino Linotype" w:cs="Palatino Linotype"/>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Por su parte, el intérprete judicial del país ha establecido una jurisprudencia respecto a qué debe entenderse por fundamentación y motivación, en los siguientes términos:</w:t>
      </w:r>
    </w:p>
    <w:p w:rsidR="008D5510" w:rsidRPr="005D1E4A" w:rsidRDefault="00F55CE3">
      <w:pPr>
        <w:pBdr>
          <w:top w:val="nil"/>
          <w:left w:val="nil"/>
          <w:bottom w:val="nil"/>
          <w:right w:val="nil"/>
          <w:between w:val="nil"/>
        </w:pBdr>
        <w:spacing w:before="240" w:after="240"/>
        <w:ind w:left="1134" w:right="1418"/>
        <w:jc w:val="both"/>
        <w:rPr>
          <w:rFonts w:ascii="Palatino Linotype" w:eastAsia="Palatino Linotype" w:hAnsi="Palatino Linotype" w:cs="Palatino Linotype"/>
          <w:b/>
          <w:bCs/>
          <w:color w:val="000000"/>
          <w:u w:val="single"/>
        </w:rPr>
      </w:pPr>
      <w:r w:rsidRPr="005D1E4A">
        <w:rPr>
          <w:rFonts w:ascii="Palatino Linotype" w:eastAsia="Palatino Linotype" w:hAnsi="Palatino Linotype" w:cs="Palatino Linotype"/>
          <w:b/>
          <w:bCs/>
          <w:i/>
          <w:iCs/>
          <w:color w:val="000000"/>
        </w:rPr>
        <w:t>FUNDAMENTACIÓN Y MOTIVACIÓN.</w:t>
      </w:r>
      <w:r w:rsidRPr="005D1E4A">
        <w:rPr>
          <w:rFonts w:ascii="Palatino Linotype" w:eastAsia="Palatino Linotype" w:hAnsi="Palatino Linotype" w:cs="Palatino Linotype"/>
          <w:i/>
          <w:iCs/>
          <w:color w:val="000000"/>
        </w:rPr>
        <w:t xml:space="preserve"> “La </w:t>
      </w:r>
      <w:r w:rsidRPr="005D1E4A">
        <w:rPr>
          <w:rFonts w:ascii="Palatino Linotype" w:eastAsia="Palatino Linotype" w:hAnsi="Palatino Linotype" w:cs="Palatino Linotype"/>
          <w:i/>
          <w:iCs/>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D1E4A">
        <w:rPr>
          <w:rFonts w:ascii="Palatino Linotype" w:eastAsia="Palatino Linotype" w:hAnsi="Palatino Linotype" w:cs="Palatino Linotype"/>
          <w:i/>
          <w:iCs/>
          <w:color w:val="000000"/>
        </w:rPr>
        <w:t>.”</w:t>
      </w:r>
    </w:p>
    <w:p w:rsidR="008D5510" w:rsidRPr="005D1E4A" w:rsidRDefault="008D5510">
      <w:pPr>
        <w:ind w:left="1134" w:right="1418"/>
        <w:jc w:val="both"/>
        <w:rPr>
          <w:rFonts w:ascii="Palatino Linotype" w:eastAsia="Palatino Linotype" w:hAnsi="Palatino Linotype" w:cs="Palatino Linotype"/>
          <w:i/>
          <w:iCs/>
          <w:color w:val="000000"/>
        </w:rPr>
      </w:pPr>
    </w:p>
    <w:p w:rsidR="008D5510" w:rsidRPr="005D1E4A" w:rsidRDefault="00F55CE3">
      <w:pPr>
        <w:ind w:left="1134" w:right="1418"/>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SEGUNDO TRIBUNAL COLEGIADO DEL SEXTO CIRCUITO.</w:t>
      </w:r>
    </w:p>
    <w:p w:rsidR="008D5510" w:rsidRPr="005D1E4A" w:rsidRDefault="00F55CE3">
      <w:pPr>
        <w:ind w:left="1134" w:right="1418"/>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Amparo directo 194/88. Bufete Industrial Construcciones, S.A. de C.V. 28 de junio de 1988. Unanimidad de votos. Ponente: Gustavo Calvillo Rangel. Secretario: Jorge Alberto González Álvarez.</w:t>
      </w:r>
    </w:p>
    <w:p w:rsidR="008D5510" w:rsidRPr="005D1E4A" w:rsidRDefault="00F55CE3">
      <w:pPr>
        <w:ind w:left="1134" w:right="1418"/>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Revisión fiscal 103/88. Instituto Mexicano del Seguro Social. 18 de octubre de 1988. Unanimidad de votos. Ponente: Arnoldo Nájera Virgen. Secretario: Alejandro Esponda Rincón.</w:t>
      </w:r>
    </w:p>
    <w:p w:rsidR="008D5510" w:rsidRPr="005D1E4A" w:rsidRDefault="00F55CE3">
      <w:pPr>
        <w:ind w:left="1134" w:right="1418"/>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Amparo en revisión 333/88. Adilia Romero. 26 de octubre de 1988. Unanimidad de votos. Ponente: Arnoldo Nájera Virgen. Secretario: Enrique Crispín Campos Ramírez.</w:t>
      </w:r>
    </w:p>
    <w:p w:rsidR="008D5510" w:rsidRPr="005D1E4A" w:rsidRDefault="00F55CE3">
      <w:pPr>
        <w:ind w:left="1134" w:right="1418"/>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Amparo en revisión 597/95. Emilio Maurer Bretón. 15 de noviembre de 1995. Unanimidad de votos. Ponente: Clementina Ramírez Moguel Goyzueta. Secretario: Gonzalo Carrera Molina.</w:t>
      </w:r>
    </w:p>
    <w:p w:rsidR="008D5510" w:rsidRPr="005D1E4A" w:rsidRDefault="00F55CE3">
      <w:pPr>
        <w:ind w:left="1134" w:right="1418"/>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Amparo directo 7/96. Pedro Vicente López Miro. 21 de febrero de 1996. Unanimidad de votos. Ponente: María Eugenia Estela Martínez Cardiel. Secretario: Enrique Baigts Muñoz.</w:t>
      </w:r>
    </w:p>
    <w:p w:rsidR="008D5510" w:rsidRPr="005D1E4A" w:rsidRDefault="008D55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D5510" w:rsidRPr="005D1E4A" w:rsidRDefault="008D55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8D5510" w:rsidRPr="005D1E4A" w:rsidRDefault="008D5510">
      <w:pPr>
        <w:rPr>
          <w:rFonts w:ascii="Palatino Linotype" w:eastAsia="Palatino Linotype" w:hAnsi="Palatino Linotype" w:cs="Palatino Linotype"/>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De este modo, la persona que se sienta afectada pueda impugnar la decisión, permitiéndole una real y auténtica defensa.</w:t>
      </w:r>
      <w:r w:rsidRPr="005D1E4A">
        <w:rPr>
          <w:rFonts w:ascii="Palatino Linotype" w:eastAsia="Palatino Linotype" w:hAnsi="Palatino Linotype" w:cs="Palatino Linotype"/>
          <w:color w:val="000000"/>
        </w:rPr>
        <w:t xml:space="preserve"> </w:t>
      </w:r>
      <w:r w:rsidRPr="005D1E4A">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5D1E4A" w:rsidRPr="005D1E4A" w:rsidRDefault="005D1E4A" w:rsidP="005D1E4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rPr>
      </w:pPr>
      <w:r w:rsidRPr="005D1E4A">
        <w:rPr>
          <w:rFonts w:ascii="Palatino Linotype" w:eastAsia="Palatino Linotype" w:hAnsi="Palatino Linotype" w:cs="Palatino Linotype"/>
        </w:rPr>
        <w:t xml:space="preserve">Por lo que si bien es cierto, en el ejercicio del derecho de acceso a la información, como todos los demás derechos, no es absoluto, encuentra su límite o restricción en la clasificación de la información, pero también lo es que, para toda restricción es necesario contar con la debida fundamentación y motivación, toda vez que, de lo contrario, entregar un documento en versión pública sin su debido acuerdo del comité de transparencia es una restricción ilegitima y se traduce en la entrega de un documento </w:t>
      </w:r>
      <w:r w:rsidRPr="005D1E4A">
        <w:rPr>
          <w:rFonts w:ascii="Palatino Linotype" w:eastAsia="Palatino Linotype" w:hAnsi="Palatino Linotype" w:cs="Palatino Linotype"/>
          <w:b/>
          <w:bCs/>
        </w:rPr>
        <w:t>tachoneado, rayoneado e ilegible causando un agravio directo al derecho del particular.</w:t>
      </w:r>
    </w:p>
    <w:p w:rsidR="008D5510" w:rsidRPr="005D1E4A" w:rsidRDefault="008D551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 Tal y como ocurrió en el presente asunto en particular, toda vez que en respuesta se señaló la clasificación de la información solicitada; por lo que es dable ordenar las versiones </w:t>
      </w:r>
      <w:r w:rsidRPr="005D1E4A">
        <w:rPr>
          <w:rFonts w:ascii="Palatino Linotype" w:eastAsia="Palatino Linotype" w:hAnsi="Palatino Linotype" w:cs="Palatino Linotype"/>
          <w:color w:val="000000"/>
        </w:rPr>
        <w:lastRenderedPageBreak/>
        <w:t>públicas de las documentales que colmen el derecho del particular, acompañadas del Acuerdo del Comité de Transparencia que sustente tales versiones.</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Así mismo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solicitantes.”(Sic)</w:t>
      </w:r>
    </w:p>
    <w:p w:rsidR="008D5510" w:rsidRPr="005D1E4A" w:rsidRDefault="008D5510">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8D5510" w:rsidRPr="005D1E4A" w:rsidRDefault="00F55CE3">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“Artículo 12. Quienes generen, recopilen, administren, manejen, procesen, archiven o conserven información pública serán responsables de la misma en los términos de las disposiciones jurídicas aplicables. </w:t>
      </w:r>
    </w:p>
    <w:p w:rsidR="008D5510" w:rsidRPr="005D1E4A" w:rsidRDefault="00F55CE3">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D5510" w:rsidRPr="005D1E4A" w:rsidRDefault="008D5510">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p>
    <w:p w:rsidR="008D5510" w:rsidRPr="005D1E4A" w:rsidRDefault="008D5510">
      <w:pPr>
        <w:pBdr>
          <w:top w:val="nil"/>
          <w:left w:val="nil"/>
          <w:bottom w:val="nil"/>
          <w:right w:val="nil"/>
          <w:between w:val="nil"/>
        </w:pBdr>
        <w:ind w:right="-787"/>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los cuales señalan lo siguiente:</w:t>
      </w:r>
    </w:p>
    <w:p w:rsidR="008D5510" w:rsidRPr="005D1E4A" w:rsidRDefault="00F55CE3">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03/17</w:t>
      </w:r>
    </w:p>
    <w:p w:rsidR="008D5510" w:rsidRPr="005D1E4A" w:rsidRDefault="00F55CE3">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“NO EXISTE OBLIGACIÓN DE ELABORAR DOCUMENTOS AD HOC PARA ATENDER LAS SOLICITUDES DE ACCESO A LA INFORMACIÓN.</w:t>
      </w:r>
    </w:p>
    <w:p w:rsidR="008D5510" w:rsidRPr="005D1E4A" w:rsidRDefault="00F55CE3">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Los artículos 129 de la Ley General de Transparencia y Acceso a la Información Pública y 130, párrafo cuarto, vigente a la fecha de la solicitud, de la Ley Federal </w:t>
      </w:r>
      <w:r w:rsidRPr="005D1E4A">
        <w:rPr>
          <w:rFonts w:ascii="Palatino Linotype" w:eastAsia="Palatino Linotype" w:hAnsi="Palatino Linotype" w:cs="Palatino Linotype"/>
          <w:i/>
          <w:iCs/>
          <w:color w:val="000000"/>
        </w:rPr>
        <w:lastRenderedPageBreak/>
        <w:t>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8D5510" w:rsidRPr="005D1E4A" w:rsidRDefault="008D5510">
      <w:pPr>
        <w:pBdr>
          <w:top w:val="nil"/>
          <w:left w:val="nil"/>
          <w:bottom w:val="nil"/>
          <w:right w:val="nil"/>
          <w:between w:val="nil"/>
        </w:pBdr>
        <w:spacing w:line="276" w:lineRule="auto"/>
        <w:ind w:left="1134" w:right="900"/>
        <w:jc w:val="both"/>
        <w:rPr>
          <w:rFonts w:ascii="Palatino Linotype" w:eastAsia="Palatino Linotype" w:hAnsi="Palatino Linotype" w:cs="Palatino Linotype"/>
          <w:i/>
          <w:iCs/>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D5510" w:rsidRPr="005D1E4A" w:rsidRDefault="008D5510">
      <w:pPr>
        <w:pBdr>
          <w:top w:val="nil"/>
          <w:left w:val="nil"/>
          <w:bottom w:val="nil"/>
          <w:right w:val="nil"/>
          <w:between w:val="nil"/>
        </w:pBdr>
        <w:ind w:right="-787"/>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D5510" w:rsidRPr="005D1E4A" w:rsidRDefault="008D5510">
      <w:pPr>
        <w:pBdr>
          <w:top w:val="nil"/>
          <w:left w:val="nil"/>
          <w:bottom w:val="nil"/>
          <w:right w:val="nil"/>
          <w:between w:val="nil"/>
        </w:pBdr>
        <w:ind w:right="-787"/>
        <w:jc w:val="both"/>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w:t>
      </w:r>
      <w:r w:rsidRPr="005D1E4A">
        <w:rPr>
          <w:rFonts w:ascii="Palatino Linotype" w:eastAsia="Palatino Linotype" w:hAnsi="Palatino Linotype" w:cs="Palatino Linotype"/>
          <w:color w:val="000000"/>
        </w:rPr>
        <w:lastRenderedPageBreak/>
        <w:t xml:space="preserve">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“Artículo 3. Para los efectos de la presente Ley se entenderá por:</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D5510" w:rsidRPr="005D1E4A" w:rsidRDefault="008D5510">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“CRITERIO 0002-11</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lastRenderedPageBreak/>
        <w:t>En consecuencia el acceso a la información se refiere a que se cumplan cualquiera de los siguientes tres supuestos:</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1)</w:t>
      </w:r>
      <w:r w:rsidRPr="005D1E4A">
        <w:rPr>
          <w:rFonts w:ascii="Palatino Linotype" w:eastAsia="Palatino Linotype" w:hAnsi="Palatino Linotype" w:cs="Palatino Linotype"/>
          <w:i/>
          <w:iCs/>
          <w:color w:val="000000"/>
        </w:rPr>
        <w:tab/>
        <w:t>Que se trate de información registrada en cualquier soporte documental, que en ejercicio de las atribuciones conferidas, sea generada por los Sujetos Obligados;</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2)</w:t>
      </w:r>
      <w:r w:rsidRPr="005D1E4A">
        <w:rPr>
          <w:rFonts w:ascii="Palatino Linotype" w:eastAsia="Palatino Linotype" w:hAnsi="Palatino Linotype" w:cs="Palatino Linotype"/>
          <w:i/>
          <w:iCs/>
          <w:color w:val="000000"/>
        </w:rPr>
        <w:tab/>
        <w:t>Que se trate de información registrada en cualquier soporte documental, que en ejercicio de las atribuciones conferidas, sea administrada por los Sujetos Obligados, y</w:t>
      </w:r>
    </w:p>
    <w:p w:rsidR="008D5510" w:rsidRPr="005D1E4A" w:rsidRDefault="00F55CE3">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3) Que se trate de información registrada en cualquier soporte documental, que en ejercicio de las atribuciones conferidas, se encuentre en posesión de los Sujetos Obligados.” (Sic)</w:t>
      </w:r>
    </w:p>
    <w:p w:rsidR="008D5510" w:rsidRPr="005D1E4A" w:rsidRDefault="008D5510">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ind w:right="-283"/>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color w:val="000000"/>
        </w:rPr>
        <w:t>Una vez precisado lo anterior, resulta necesario señalar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rsidR="008D5510" w:rsidRPr="005D1E4A" w:rsidRDefault="00F55CE3">
      <w:pPr>
        <w:spacing w:line="276" w:lineRule="auto"/>
        <w:ind w:left="1134" w:right="851"/>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Artículo 18. Los sujetos obligados deberán documentar todo acto que derive del ejercicio de sus facultades, competencias o funciones, considerando desde su origen la eventual publicidad y reutilización de la información que generen</w:t>
      </w:r>
    </w:p>
    <w:p w:rsidR="008D5510" w:rsidRPr="005D1E4A" w:rsidRDefault="00F55CE3">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lastRenderedPageBreak/>
        <w:t xml:space="preserve">Lo anterior toma relevancia, pues según Jarquín, Soledad (2019), en el “Diccionario de Transparencia y Acceso a la Información Pública” (p. 126 y 127), todos los </w:t>
      </w:r>
      <w:r w:rsidRPr="005D1E4A">
        <w:rPr>
          <w:rFonts w:ascii="Palatino Linotype" w:eastAsia="Palatino Linotype" w:hAnsi="Palatino Linotype" w:cs="Palatino Linotype"/>
          <w:b/>
          <w:bCs/>
          <w:color w:val="000000"/>
        </w:rPr>
        <w:t>SUJETOS OBLIGADOS</w:t>
      </w:r>
      <w:r w:rsidRPr="005D1E4A">
        <w:rPr>
          <w:rFonts w:ascii="Palatino Linotype" w:eastAsia="Palatino Linotype" w:hAnsi="Palatino Linotype" w:cs="Palatino Linotype"/>
          <w:color w:val="000000"/>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8D5510" w:rsidRPr="005D1E4A" w:rsidRDefault="008D5510">
      <w:pPr>
        <w:spacing w:line="360" w:lineRule="auto"/>
        <w:ind w:right="-93"/>
        <w:rPr>
          <w:rFonts w:ascii="Palatino Linotype" w:eastAsia="Palatino Linotype" w:hAnsi="Palatino Linotype" w:cs="Palatino Linotype"/>
        </w:rPr>
      </w:pPr>
    </w:p>
    <w:p w:rsidR="008D5510" w:rsidRPr="005D1E4A" w:rsidRDefault="00F55CE3">
      <w:pPr>
        <w:widowControl w:val="0"/>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rsidR="008D5510" w:rsidRPr="005D1E4A" w:rsidRDefault="008D5510">
      <w:pPr>
        <w:pBdr>
          <w:top w:val="nil"/>
          <w:left w:val="nil"/>
          <w:bottom w:val="nil"/>
          <w:right w:val="nil"/>
          <w:between w:val="nil"/>
        </w:pBdr>
        <w:ind w:left="720" w:right="-283"/>
        <w:rPr>
          <w:rFonts w:ascii="Palatino Linotype" w:eastAsia="Palatino Linotype" w:hAnsi="Palatino Linotype" w:cs="Palatino Linotype"/>
          <w:color w:val="000000"/>
        </w:rPr>
      </w:pPr>
    </w:p>
    <w:p w:rsidR="008D5510" w:rsidRPr="005D1E4A" w:rsidRDefault="00F55CE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Expuesto lo anterior, analizadas las constancias que forman el expediente electrónico, </w:t>
      </w:r>
      <w:r w:rsidRPr="005D1E4A">
        <w:rPr>
          <w:rFonts w:ascii="Palatino Linotype" w:eastAsia="Palatino Linotype" w:hAnsi="Palatino Linotype" w:cs="Palatino Linotype"/>
        </w:rPr>
        <w:t xml:space="preserve">resultan  fundadas las razones o motivos de inconformidad hechos valer por el </w:t>
      </w:r>
      <w:r w:rsidRPr="005D1E4A">
        <w:rPr>
          <w:rFonts w:ascii="Palatino Linotype" w:eastAsia="Palatino Linotype" w:hAnsi="Palatino Linotype" w:cs="Palatino Linotype"/>
          <w:b/>
          <w:bCs/>
        </w:rPr>
        <w:t>RECURRENTE</w:t>
      </w:r>
      <w:r w:rsidRPr="005D1E4A">
        <w:rPr>
          <w:rFonts w:ascii="Palatino Linotype" w:eastAsia="Palatino Linotype" w:hAnsi="Palatino Linotype" w:cs="Palatino Linotype"/>
        </w:rPr>
        <w:t xml:space="preserve"> dentro del recurso de revisión </w:t>
      </w:r>
      <w:r w:rsidRPr="005D1E4A">
        <w:rPr>
          <w:rFonts w:ascii="Palatino Linotype" w:eastAsia="Palatino Linotype" w:hAnsi="Palatino Linotype" w:cs="Palatino Linotype"/>
          <w:b/>
          <w:bCs/>
        </w:rPr>
        <w:t xml:space="preserve">01003/INFOEM/IP/RR/2026 </w:t>
      </w:r>
      <w:r w:rsidRPr="005D1E4A">
        <w:rPr>
          <w:rFonts w:ascii="Palatino Linotype" w:eastAsia="Palatino Linotype" w:hAnsi="Palatino Linotype" w:cs="Palatino Linotype"/>
        </w:rPr>
        <w:t xml:space="preserve">y resulta procedente ordenar al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la </w:t>
      </w:r>
      <w:r w:rsidRPr="005D1E4A">
        <w:rPr>
          <w:rFonts w:ascii="Palatino Linotype" w:eastAsia="Palatino Linotype" w:hAnsi="Palatino Linotype" w:cs="Palatino Linotype"/>
          <w:i/>
          <w:iCs/>
        </w:rPr>
        <w:t xml:space="preserve">entrega en versión pública </w:t>
      </w:r>
      <w:r w:rsidRPr="005D1E4A">
        <w:rPr>
          <w:rFonts w:ascii="Palatino Linotype" w:eastAsia="Palatino Linotype" w:hAnsi="Palatino Linotype" w:cs="Palatino Linotype"/>
          <w:i/>
          <w:iCs/>
          <w:color w:val="000000"/>
        </w:rPr>
        <w:t>de</w:t>
      </w:r>
      <w:r w:rsidRPr="005D1E4A">
        <w:rPr>
          <w:rFonts w:ascii="Palatino Linotype" w:eastAsia="Palatino Linotype" w:hAnsi="Palatino Linotype" w:cs="Palatino Linotype"/>
          <w:i/>
          <w:iCs/>
        </w:rPr>
        <w:t xml:space="preserve"> los documentos donde consten:</w:t>
      </w:r>
      <w:r w:rsidRPr="005D1E4A">
        <w:t xml:space="preserve"> </w:t>
      </w:r>
      <w:r w:rsidRPr="005D1E4A">
        <w:rPr>
          <w:rFonts w:ascii="Palatino Linotype" w:eastAsia="Palatino Linotype" w:hAnsi="Palatino Linotype" w:cs="Palatino Linotype"/>
          <w:i/>
          <w:iCs/>
        </w:rPr>
        <w:t xml:space="preserve">empresas, asociaciones civiles o personas físicas que hayan recibido recursos, apoyos, estímulos, subsidios o contratos vinculados a programas de desarrollo económico en 2024 y 2025, especificando montos y concepto. </w:t>
      </w:r>
    </w:p>
    <w:p w:rsidR="008D5510" w:rsidRPr="005D1E4A" w:rsidRDefault="008D5510">
      <w:pPr>
        <w:spacing w:line="720" w:lineRule="auto"/>
        <w:jc w:val="both"/>
        <w:rPr>
          <w:rFonts w:ascii="Palatino Linotype" w:eastAsia="Palatino Linotype" w:hAnsi="Palatino Linotype" w:cs="Palatino Linotype"/>
        </w:rPr>
      </w:pPr>
    </w:p>
    <w:p w:rsidR="008D5510" w:rsidRPr="005D1E4A" w:rsidRDefault="00F55CE3">
      <w:pPr>
        <w:keepNext/>
        <w:keepLines/>
        <w:spacing w:after="160"/>
        <w:ind w:left="708" w:hanging="708"/>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lastRenderedPageBreak/>
        <w:t>QUINTO. De la versión pública.</w:t>
      </w:r>
    </w:p>
    <w:p w:rsidR="008D5510" w:rsidRPr="005D1E4A" w:rsidRDefault="00F55CE3">
      <w:pPr>
        <w:keepNext/>
        <w:keepLines/>
        <w:numPr>
          <w:ilvl w:val="0"/>
          <w:numId w:val="11"/>
        </w:numPr>
        <w:tabs>
          <w:tab w:val="left" w:pos="284"/>
        </w:tabs>
        <w:spacing w:after="160"/>
        <w:ind w:left="0" w:firstLine="0"/>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t xml:space="preserve">Nociones generales. </w:t>
      </w:r>
    </w:p>
    <w:p w:rsidR="008D5510" w:rsidRPr="005D1E4A" w:rsidRDefault="00F55CE3">
      <w:pPr>
        <w:numPr>
          <w:ilvl w:val="0"/>
          <w:numId w:val="15"/>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Debe destacarse, que debido a la información solicitada por el </w:t>
      </w:r>
      <w:r w:rsidRPr="005D1E4A">
        <w:rPr>
          <w:rFonts w:ascii="Palatino Linotype" w:eastAsia="Palatino Linotype" w:hAnsi="Palatino Linotype" w:cs="Palatino Linotype"/>
          <w:b/>
          <w:bCs/>
          <w:color w:val="000000"/>
        </w:rPr>
        <w:t xml:space="preserve">RECURRENTE, pueden obrar </w:t>
      </w:r>
      <w:r w:rsidRPr="005D1E4A">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5D1E4A">
        <w:rPr>
          <w:rFonts w:ascii="Palatino Linotype" w:eastAsia="Palatino Linotype" w:hAnsi="Palatino Linotype" w:cs="Palatino Linotype"/>
          <w:b/>
          <w:bCs/>
          <w:color w:val="000000"/>
        </w:rPr>
        <w:t xml:space="preserve">SUJETO OBLIGADO </w:t>
      </w:r>
      <w:r w:rsidRPr="005D1E4A">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D5510" w:rsidRPr="005D1E4A" w:rsidRDefault="008D5510">
      <w:pPr>
        <w:tabs>
          <w:tab w:val="left" w:pos="0"/>
          <w:tab w:val="left" w:pos="284"/>
        </w:tabs>
        <w:spacing w:line="360" w:lineRule="auto"/>
        <w:ind w:right="49"/>
        <w:jc w:val="both"/>
        <w:rPr>
          <w:rFonts w:ascii="Palatino Linotype" w:eastAsia="Palatino Linotype" w:hAnsi="Palatino Linotype" w:cs="Palatino Linotype"/>
          <w:highlight w:val="yellow"/>
        </w:rPr>
      </w:pPr>
    </w:p>
    <w:p w:rsidR="008D5510" w:rsidRPr="005D1E4A" w:rsidRDefault="00F55CE3">
      <w:pPr>
        <w:numPr>
          <w:ilvl w:val="0"/>
          <w:numId w:val="15"/>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No pasa desapercibido para este Órgano Garante que los sujetos obligados</w:t>
      </w:r>
      <w:r w:rsidRPr="005D1E4A">
        <w:rPr>
          <w:rFonts w:ascii="Palatino Linotype" w:eastAsia="Palatino Linotype" w:hAnsi="Palatino Linotype" w:cs="Palatino Linotype"/>
          <w:b/>
          <w:bCs/>
          <w:color w:val="000000"/>
        </w:rPr>
        <w:t xml:space="preserve"> </w:t>
      </w:r>
      <w:r w:rsidRPr="005D1E4A">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
        <w:tblW w:w="978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810"/>
      </w:tblGrid>
      <w:tr w:rsidR="008D5510" w:rsidRPr="005D1E4A" w:rsidTr="005D1E4A">
        <w:tc>
          <w:tcPr>
            <w:tcW w:w="2972" w:type="dxa"/>
          </w:tcPr>
          <w:p w:rsidR="008D5510" w:rsidRPr="005D1E4A" w:rsidRDefault="00F55CE3" w:rsidP="005D1E4A">
            <w:pPr>
              <w:spacing w:line="360" w:lineRule="auto"/>
              <w:rPr>
                <w:rFonts w:ascii="Palatino Linotype" w:eastAsia="Palatino Linotype" w:hAnsi="Palatino Linotype" w:cs="Palatino Linotype"/>
                <w:b/>
                <w:bCs/>
              </w:rPr>
            </w:pPr>
            <w:r w:rsidRPr="005D1E4A">
              <w:rPr>
                <w:rFonts w:ascii="Palatino Linotype" w:eastAsia="Palatino Linotype" w:hAnsi="Palatino Linotype" w:cs="Palatino Linotype"/>
                <w:b/>
                <w:bCs/>
              </w:rPr>
              <w:t>a) Requisitos previos.</w:t>
            </w:r>
          </w:p>
        </w:tc>
        <w:tc>
          <w:tcPr>
            <w:tcW w:w="6810" w:type="dxa"/>
          </w:tcPr>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Además, se debe señalar el procedimiento, de los tres que establecen el artículo 132 de la Ley Estatal.</w:t>
            </w:r>
          </w:p>
          <w:p w:rsidR="008D5510" w:rsidRPr="005D1E4A" w:rsidRDefault="00F55CE3">
            <w:pPr>
              <w:tabs>
                <w:tab w:val="left" w:pos="284"/>
              </w:tabs>
              <w:spacing w:line="276" w:lineRule="auto"/>
              <w:jc w:val="both"/>
              <w:rPr>
                <w:rFonts w:ascii="Palatino Linotype" w:eastAsia="Palatino Linotype" w:hAnsi="Palatino Linotype" w:cs="Palatino Linotype"/>
                <w:i/>
                <w:iCs/>
              </w:rPr>
            </w:pPr>
            <w:r w:rsidRPr="005D1E4A">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5D1E4A">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5D1E4A">
              <w:rPr>
                <w:rFonts w:ascii="Palatino Linotype" w:eastAsia="Palatino Linotype" w:hAnsi="Palatino Linotype" w:cs="Palatino Linotype"/>
                <w:i/>
                <w:iCs/>
                <w:color w:val="000000"/>
              </w:rPr>
              <w:t xml:space="preserve"> individualizar su análisis y tampoco se puede hacer un acuerdo por cada dato que se vaya a </w:t>
            </w:r>
            <w:r w:rsidRPr="005D1E4A">
              <w:rPr>
                <w:rFonts w:ascii="Palatino Linotype" w:eastAsia="Palatino Linotype" w:hAnsi="Palatino Linotype" w:cs="Palatino Linotype"/>
                <w:i/>
                <w:iCs/>
                <w:color w:val="000000"/>
              </w:rPr>
              <w:lastRenderedPageBreak/>
              <w:t>clasificar dentro de un documento con diez datos, por ejemplo, susceptibles de ser clasificados.</w:t>
            </w:r>
          </w:p>
        </w:tc>
      </w:tr>
      <w:tr w:rsidR="008D5510" w:rsidRPr="005D1E4A" w:rsidTr="005D1E4A">
        <w:tc>
          <w:tcPr>
            <w:tcW w:w="2972" w:type="dxa"/>
            <w:shd w:val="clear" w:color="auto" w:fill="D9D9D9"/>
          </w:tcPr>
          <w:p w:rsidR="008D5510" w:rsidRPr="005D1E4A" w:rsidRDefault="00F55CE3">
            <w:pPr>
              <w:tabs>
                <w:tab w:val="left" w:pos="284"/>
              </w:tabs>
              <w:spacing w:line="360" w:lineRule="auto"/>
              <w:rPr>
                <w:rFonts w:ascii="Palatino Linotype" w:eastAsia="Palatino Linotype" w:hAnsi="Palatino Linotype" w:cs="Palatino Linotype"/>
                <w:b/>
                <w:bCs/>
              </w:rPr>
            </w:pPr>
            <w:r w:rsidRPr="005D1E4A">
              <w:rPr>
                <w:rFonts w:ascii="Palatino Linotype" w:eastAsia="Palatino Linotype" w:hAnsi="Palatino Linotype" w:cs="Palatino Linotype"/>
                <w:b/>
                <w:bCs/>
              </w:rPr>
              <w:lastRenderedPageBreak/>
              <w:t>b) Supuestos de clasificación.</w:t>
            </w:r>
          </w:p>
        </w:tc>
        <w:tc>
          <w:tcPr>
            <w:tcW w:w="6810" w:type="dxa"/>
            <w:shd w:val="clear" w:color="auto" w:fill="D9D9D9"/>
          </w:tcPr>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D5510" w:rsidRPr="005D1E4A" w:rsidRDefault="00F55CE3">
            <w:pPr>
              <w:tabs>
                <w:tab w:val="left" w:pos="284"/>
              </w:tabs>
              <w:spacing w:line="276" w:lineRule="auto"/>
              <w:jc w:val="both"/>
              <w:rPr>
                <w:rFonts w:ascii="Palatino Linotype" w:eastAsia="Palatino Linotype" w:hAnsi="Palatino Linotype" w:cs="Palatino Linotype"/>
                <w:i/>
                <w:iCs/>
              </w:rPr>
            </w:pPr>
            <w:r w:rsidRPr="005D1E4A">
              <w:rPr>
                <w:rFonts w:ascii="Palatino Linotype" w:eastAsia="Palatino Linotype" w:hAnsi="Palatino Linotype" w:cs="Palatino Linotype"/>
                <w:i/>
                <w:iCs/>
                <w:color w:val="000000"/>
              </w:rPr>
              <w:t xml:space="preserve">El </w:t>
            </w:r>
            <w:r w:rsidRPr="005D1E4A">
              <w:rPr>
                <w:rFonts w:ascii="Palatino Linotype" w:eastAsia="Palatino Linotype" w:hAnsi="Palatino Linotype" w:cs="Palatino Linotype"/>
                <w:b/>
                <w:bCs/>
                <w:i/>
                <w:iCs/>
                <w:color w:val="000000"/>
              </w:rPr>
              <w:t>Sujeto Obligado</w:t>
            </w:r>
            <w:r w:rsidRPr="005D1E4A">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D5510" w:rsidRPr="005D1E4A" w:rsidTr="005D1E4A">
        <w:tc>
          <w:tcPr>
            <w:tcW w:w="2972" w:type="dxa"/>
          </w:tcPr>
          <w:p w:rsidR="008D5510" w:rsidRPr="005D1E4A" w:rsidRDefault="00F55CE3">
            <w:pPr>
              <w:tabs>
                <w:tab w:val="left" w:pos="284"/>
              </w:tabs>
              <w:spacing w:line="360" w:lineRule="auto"/>
              <w:rPr>
                <w:rFonts w:ascii="Palatino Linotype" w:eastAsia="Palatino Linotype" w:hAnsi="Palatino Linotype" w:cs="Palatino Linotype"/>
                <w:b/>
                <w:bCs/>
              </w:rPr>
            </w:pPr>
            <w:r w:rsidRPr="005D1E4A">
              <w:rPr>
                <w:rFonts w:ascii="Palatino Linotype" w:eastAsia="Palatino Linotype" w:hAnsi="Palatino Linotype" w:cs="Palatino Linotype"/>
                <w:b/>
                <w:bCs/>
              </w:rPr>
              <w:t>c) Formalidades para emitir el acuerdo de clasificación.</w:t>
            </w:r>
          </w:p>
        </w:tc>
        <w:tc>
          <w:tcPr>
            <w:tcW w:w="6810" w:type="dxa"/>
          </w:tcPr>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Es necesario que </w:t>
            </w:r>
            <w:r w:rsidRPr="005D1E4A">
              <w:rPr>
                <w:rFonts w:ascii="Palatino Linotype" w:eastAsia="Palatino Linotype" w:hAnsi="Palatino Linotype" w:cs="Palatino Linotype"/>
                <w:b/>
                <w:bCs/>
                <w:i/>
                <w:iCs/>
                <w:color w:val="000000"/>
                <w:u w:val="single"/>
              </w:rPr>
              <w:t>el acto reúna con los requisitos elementales</w:t>
            </w:r>
            <w:r w:rsidRPr="005D1E4A">
              <w:rPr>
                <w:rFonts w:ascii="Palatino Linotype" w:eastAsia="Palatino Linotype" w:hAnsi="Palatino Linotype" w:cs="Palatino Linotype"/>
                <w:i/>
                <w:iCs/>
                <w:color w:val="000000"/>
              </w:rPr>
              <w:t>, entre ellos, que la autoridad que va a emitir el acto de autoridad sea la legalmente facultada para ello.</w:t>
            </w:r>
          </w:p>
          <w:p w:rsidR="008D5510" w:rsidRPr="005D1E4A" w:rsidRDefault="00F55CE3">
            <w:pPr>
              <w:tabs>
                <w:tab w:val="left" w:pos="284"/>
              </w:tabs>
              <w:spacing w:line="276" w:lineRule="auto"/>
              <w:jc w:val="both"/>
              <w:rPr>
                <w:rFonts w:ascii="Palatino Linotype" w:eastAsia="Palatino Linotype" w:hAnsi="Palatino Linotype" w:cs="Palatino Linotype"/>
                <w:i/>
                <w:iCs/>
              </w:rPr>
            </w:pPr>
            <w:r w:rsidRPr="005D1E4A">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5D1E4A">
              <w:rPr>
                <w:rFonts w:ascii="Palatino Linotype" w:eastAsia="Palatino Linotype" w:hAnsi="Palatino Linotype" w:cs="Palatino Linotype"/>
                <w:i/>
                <w:iCs/>
              </w:rPr>
              <w:t>El área</w:t>
            </w:r>
            <w:r w:rsidRPr="005D1E4A">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D5510" w:rsidRPr="005D1E4A" w:rsidTr="005D1E4A">
        <w:tc>
          <w:tcPr>
            <w:tcW w:w="2972" w:type="dxa"/>
            <w:shd w:val="clear" w:color="auto" w:fill="D9D9D9"/>
          </w:tcPr>
          <w:p w:rsidR="008D5510" w:rsidRPr="005D1E4A" w:rsidRDefault="008D5510">
            <w:pPr>
              <w:tabs>
                <w:tab w:val="left" w:pos="284"/>
              </w:tabs>
              <w:spacing w:line="360" w:lineRule="auto"/>
              <w:rPr>
                <w:rFonts w:ascii="Palatino Linotype" w:eastAsia="Palatino Linotype" w:hAnsi="Palatino Linotype" w:cs="Palatino Linotype"/>
                <w:b/>
                <w:bCs/>
              </w:rPr>
            </w:pPr>
          </w:p>
          <w:p w:rsidR="008D5510" w:rsidRPr="005D1E4A" w:rsidRDefault="00F55CE3">
            <w:pPr>
              <w:tabs>
                <w:tab w:val="left" w:pos="284"/>
              </w:tabs>
              <w:spacing w:line="360" w:lineRule="auto"/>
              <w:jc w:val="both"/>
              <w:rPr>
                <w:rFonts w:ascii="Palatino Linotype" w:eastAsia="Palatino Linotype" w:hAnsi="Palatino Linotype" w:cs="Palatino Linotype"/>
                <w:b/>
                <w:bCs/>
              </w:rPr>
            </w:pPr>
            <w:r w:rsidRPr="005D1E4A">
              <w:rPr>
                <w:rFonts w:ascii="Palatino Linotype" w:eastAsia="Palatino Linotype" w:hAnsi="Palatino Linotype" w:cs="Palatino Linotype"/>
                <w:b/>
                <w:bCs/>
                <w:color w:val="000000"/>
              </w:rPr>
              <w:t xml:space="preserve">d) Requisitos de fondo del acuerdo de clasificación. </w:t>
            </w:r>
          </w:p>
        </w:tc>
        <w:tc>
          <w:tcPr>
            <w:tcW w:w="6810" w:type="dxa"/>
            <w:shd w:val="clear" w:color="auto" w:fill="D9D9D9"/>
          </w:tcPr>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D1E4A">
              <w:rPr>
                <w:rFonts w:ascii="Palatino Linotype" w:eastAsia="Palatino Linotype" w:hAnsi="Palatino Linotype" w:cs="Palatino Linotype"/>
                <w:b/>
                <w:bCs/>
                <w:i/>
                <w:iCs/>
                <w:color w:val="000000"/>
              </w:rPr>
              <w:t>Sujetos Obligados</w:t>
            </w:r>
            <w:r w:rsidRPr="005D1E4A">
              <w:rPr>
                <w:rFonts w:ascii="Palatino Linotype" w:eastAsia="Palatino Linotype" w:hAnsi="Palatino Linotype" w:cs="Palatino Linotype"/>
                <w:i/>
                <w:iCs/>
                <w:color w:val="000000"/>
              </w:rPr>
              <w:t xml:space="preserve">, por lo que deberán fundar y motivar debidamente la clasificación. </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De lo anterior, se desprende que para una correcta </w:t>
            </w:r>
            <w:r w:rsidRPr="005D1E4A">
              <w:rPr>
                <w:rFonts w:ascii="Palatino Linotype" w:eastAsia="Palatino Linotype" w:hAnsi="Palatino Linotype" w:cs="Palatino Linotype"/>
                <w:b/>
                <w:bCs/>
                <w:i/>
                <w:iCs/>
                <w:color w:val="000000"/>
              </w:rPr>
              <w:t>clasificación total o parcial</w:t>
            </w:r>
            <w:r w:rsidRPr="005D1E4A">
              <w:rPr>
                <w:rFonts w:ascii="Palatino Linotype" w:eastAsia="Palatino Linotype" w:hAnsi="Palatino Linotype" w:cs="Palatino Linotype"/>
                <w:i/>
                <w:iCs/>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Ahora bien, </w:t>
            </w:r>
            <w:r w:rsidRPr="005D1E4A">
              <w:rPr>
                <w:rFonts w:ascii="Palatino Linotype" w:eastAsia="Palatino Linotype" w:hAnsi="Palatino Linotype" w:cs="Palatino Linotype"/>
                <w:b/>
                <w:bCs/>
                <w:i/>
                <w:iCs/>
                <w:color w:val="000000"/>
                <w:u w:val="single"/>
              </w:rPr>
              <w:t>para cada caso además de fundar y motivar</w:t>
            </w:r>
            <w:r w:rsidRPr="005D1E4A">
              <w:rPr>
                <w:rFonts w:ascii="Palatino Linotype" w:eastAsia="Palatino Linotype" w:hAnsi="Palatino Linotype" w:cs="Palatino Linotype"/>
                <w:i/>
                <w:iCs/>
                <w:color w:val="000000"/>
              </w:rPr>
              <w:t xml:space="preserve">, se debe identificar con claridad </w:t>
            </w:r>
            <w:r w:rsidRPr="005D1E4A">
              <w:rPr>
                <w:rFonts w:ascii="Palatino Linotype" w:eastAsia="Palatino Linotype" w:hAnsi="Palatino Linotype" w:cs="Palatino Linotype"/>
                <w:i/>
                <w:iCs/>
              </w:rPr>
              <w:t>qué</w:t>
            </w:r>
            <w:r w:rsidRPr="005D1E4A">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D5510" w:rsidRPr="005D1E4A" w:rsidTr="005D1E4A">
        <w:tc>
          <w:tcPr>
            <w:tcW w:w="2972" w:type="dxa"/>
          </w:tcPr>
          <w:p w:rsidR="008D5510" w:rsidRPr="005D1E4A" w:rsidRDefault="005D1E4A" w:rsidP="005D1E4A">
            <w:pPr>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lastRenderedPageBreak/>
              <w:t xml:space="preserve">e) </w:t>
            </w:r>
            <w:r w:rsidR="00F55CE3" w:rsidRPr="005D1E4A">
              <w:rPr>
                <w:rFonts w:ascii="Palatino Linotype" w:eastAsia="Palatino Linotype" w:hAnsi="Palatino Linotype" w:cs="Palatino Linotype"/>
                <w:b/>
                <w:bCs/>
              </w:rPr>
              <w:t xml:space="preserve">Condiciones especiales de la clasificación de la información como confidencial. </w:t>
            </w:r>
          </w:p>
        </w:tc>
        <w:tc>
          <w:tcPr>
            <w:tcW w:w="6810" w:type="dxa"/>
          </w:tcPr>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Los artículos 148 de la Ley Estatal establece que aun tratándose de datos personales, se podrán proporcionar, incluso sin solicitar el consentimiento de su titular. </w:t>
            </w:r>
          </w:p>
          <w:p w:rsidR="008D5510" w:rsidRPr="005D1E4A" w:rsidRDefault="00F55CE3">
            <w:pPr>
              <w:tabs>
                <w:tab w:val="left" w:pos="284"/>
              </w:tabs>
              <w:spacing w:line="276" w:lineRule="auto"/>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D5510" w:rsidRPr="005D1E4A" w:rsidRDefault="00F55CE3">
            <w:pPr>
              <w:tabs>
                <w:tab w:val="left" w:pos="284"/>
              </w:tabs>
              <w:spacing w:line="276" w:lineRule="auto"/>
              <w:rPr>
                <w:rFonts w:ascii="Palatino Linotype" w:eastAsia="Palatino Linotype" w:hAnsi="Palatino Linotype" w:cs="Palatino Linotype"/>
                <w:i/>
                <w:iCs/>
              </w:rPr>
            </w:pPr>
            <w:r w:rsidRPr="005D1E4A">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D5510" w:rsidRPr="005D1E4A" w:rsidRDefault="008D5510">
      <w:pPr>
        <w:tabs>
          <w:tab w:val="left" w:pos="284"/>
        </w:tabs>
        <w:spacing w:line="360" w:lineRule="auto"/>
        <w:jc w:val="both"/>
        <w:rPr>
          <w:rFonts w:ascii="Palatino Linotype" w:eastAsia="Palatino Linotype" w:hAnsi="Palatino Linotype" w:cs="Palatino Linotype"/>
          <w:color w:val="000000"/>
        </w:rPr>
      </w:pPr>
    </w:p>
    <w:p w:rsidR="008D5510" w:rsidRPr="005D1E4A" w:rsidRDefault="00F55CE3">
      <w:pPr>
        <w:numPr>
          <w:ilvl w:val="0"/>
          <w:numId w:val="1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8D5510" w:rsidRPr="005D1E4A" w:rsidRDefault="008D5510">
      <w:pPr>
        <w:pBdr>
          <w:top w:val="nil"/>
          <w:left w:val="nil"/>
          <w:bottom w:val="nil"/>
          <w:right w:val="nil"/>
          <w:between w:val="nil"/>
        </w:pBdr>
        <w:spacing w:line="360" w:lineRule="auto"/>
        <w:ind w:left="285"/>
        <w:jc w:val="both"/>
        <w:rPr>
          <w:rFonts w:ascii="Palatino Linotype" w:eastAsia="Palatino Linotype" w:hAnsi="Palatino Linotype" w:cs="Palatino Linotype"/>
          <w:color w:val="000000"/>
        </w:rPr>
      </w:pPr>
    </w:p>
    <w:p w:rsidR="008D5510" w:rsidRPr="005D1E4A" w:rsidRDefault="00F55CE3">
      <w:pPr>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Ahora bien, cuando las personas tienen una relación comercial, laboral, de servicios, trámites o del tipo que sea, necesariamente por un tema de interés público, debe cederse un </w:t>
      </w:r>
      <w:r w:rsidRPr="005D1E4A">
        <w:rPr>
          <w:rFonts w:ascii="Palatino Linotype" w:eastAsia="Palatino Linotype" w:hAnsi="Palatino Linotype" w:cs="Palatino Linotype"/>
          <w:color w:val="000000"/>
        </w:rPr>
        <w:lastRenderedPageBreak/>
        <w:t>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8D5510" w:rsidRPr="005D1E4A" w:rsidRDefault="008D5510">
      <w:pPr>
        <w:pBdr>
          <w:top w:val="nil"/>
          <w:left w:val="nil"/>
          <w:bottom w:val="nil"/>
          <w:right w:val="nil"/>
          <w:between w:val="nil"/>
        </w:pBdr>
        <w:spacing w:line="360" w:lineRule="auto"/>
        <w:ind w:left="285"/>
        <w:jc w:val="both"/>
        <w:rPr>
          <w:rFonts w:ascii="Palatino Linotype" w:eastAsia="Palatino Linotype" w:hAnsi="Palatino Linotype" w:cs="Palatino Linotype"/>
          <w:color w:val="000000"/>
        </w:rPr>
      </w:pPr>
    </w:p>
    <w:p w:rsidR="008D5510" w:rsidRPr="005D1E4A" w:rsidRDefault="00F55CE3">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Bajo este esquema, se aprecia que la información ordenada, puede contener información susceptible a clasificar como confidencial y otra que resulta publica; a fin de aportar mayores elementos para la correcta elaboración de las versiones públicas; de forma enunciativa más no limitativa; se analizan el Registro Federal de Contribuyentes (RFC) y la Clave Única de Registro de Población (CURP), el nombre de representante legal de una persona jurídico colectiva; entre otros, ya que son datos que obran en los documentos solicitados y que enunciativamente se desglosan; para ello, es indispensable mencionar que la </w:t>
      </w:r>
      <w:r w:rsidRPr="005D1E4A">
        <w:rPr>
          <w:rFonts w:ascii="Palatino Linotype" w:eastAsia="Palatino Linotype" w:hAnsi="Palatino Linotype" w:cs="Palatino Linotype"/>
          <w:b/>
          <w:bCs/>
          <w:color w:val="000000"/>
        </w:rPr>
        <w:t xml:space="preserve">representación </w:t>
      </w:r>
      <w:r w:rsidRPr="005D1E4A">
        <w:rPr>
          <w:rFonts w:ascii="Palatino Linotype" w:eastAsia="Palatino Linotype" w:hAnsi="Palatino Linotype" w:cs="Palatino Linotype"/>
          <w:color w:val="000000"/>
        </w:rPr>
        <w:t xml:space="preserve">de manera genérica es una figura jurídica por medio de la cual se permite alterar la esfera jurídica de una persona por medio de la actuación de otra capaz. Sánchez Medal define la representación como </w:t>
      </w:r>
      <w:r w:rsidRPr="005D1E4A">
        <w:rPr>
          <w:rFonts w:ascii="Palatino Linotype" w:eastAsia="Palatino Linotype" w:hAnsi="Palatino Linotype" w:cs="Palatino Linotype"/>
          <w:i/>
          <w:iCs/>
          <w:color w:val="000000"/>
        </w:rPr>
        <w:t xml:space="preserve">“acción de representar, o sea el acto por virtud del cual una persona dotada de poder, llamada representante, obra a nombre y por cuenta de otra llamada representada”. </w:t>
      </w:r>
    </w:p>
    <w:p w:rsidR="008D5510" w:rsidRPr="005D1E4A" w:rsidRDefault="008D551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8D5510" w:rsidRPr="005D1E4A" w:rsidRDefault="00F55CE3">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Ahora bien, existen diversas clases de representación como lo son la legal, la voluntaria y la estatutaria. </w:t>
      </w:r>
    </w:p>
    <w:p w:rsidR="008D5510" w:rsidRPr="005D1E4A" w:rsidRDefault="00F55CE3">
      <w:pPr>
        <w:numPr>
          <w:ilvl w:val="0"/>
          <w:numId w:val="10"/>
        </w:num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b/>
          <w:bCs/>
          <w:i/>
          <w:iCs/>
          <w:color w:val="000000"/>
        </w:rPr>
        <w:t xml:space="preserve">Representación Legal. </w:t>
      </w:r>
      <w:r w:rsidRPr="005D1E4A">
        <w:rPr>
          <w:rFonts w:ascii="Palatino Linotype" w:eastAsia="Palatino Linotype" w:hAnsi="Palatino Linotype" w:cs="Palatino Linotype"/>
          <w:i/>
          <w:iCs/>
          <w:color w:val="000000"/>
        </w:rPr>
        <w:t xml:space="preserve">La que se establece en la ley positiva para que determinadas personas, fundamentalmente aquellas a quienes se les ha negado la capacidad de </w:t>
      </w:r>
      <w:r w:rsidRPr="005D1E4A">
        <w:rPr>
          <w:rFonts w:ascii="Palatino Linotype" w:eastAsia="Palatino Linotype" w:hAnsi="Palatino Linotype" w:cs="Palatino Linotype"/>
          <w:i/>
          <w:iCs/>
          <w:color w:val="000000"/>
        </w:rPr>
        <w:lastRenderedPageBreak/>
        <w:t xml:space="preserve">ejercicio, puedan hacer valer sus derechos o puedan cumplir con sus obligaciones mediante la actuación de otra capaz. </w:t>
      </w:r>
    </w:p>
    <w:p w:rsidR="008D5510" w:rsidRPr="005D1E4A" w:rsidRDefault="00F55CE3">
      <w:pPr>
        <w:numPr>
          <w:ilvl w:val="0"/>
          <w:numId w:val="10"/>
        </w:num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b/>
          <w:bCs/>
          <w:i/>
          <w:iCs/>
          <w:color w:val="000000"/>
        </w:rPr>
        <w:t xml:space="preserve">Representación Voluntaria. </w:t>
      </w:r>
      <w:r w:rsidRPr="005D1E4A">
        <w:rPr>
          <w:rFonts w:ascii="Palatino Linotype" w:eastAsia="Palatino Linotype" w:hAnsi="Palatino Linotype" w:cs="Palatino Linotype"/>
          <w:i/>
          <w:iCs/>
          <w:color w:val="000000"/>
        </w:rPr>
        <w:t xml:space="preserve">La que permite que una persona altere la esfera jurídica de otra quien ha recibido la autorización correspondiente en forma expresa y determinada.  </w:t>
      </w:r>
    </w:p>
    <w:p w:rsidR="008D5510" w:rsidRPr="005D1E4A" w:rsidRDefault="00F55CE3">
      <w:pPr>
        <w:numPr>
          <w:ilvl w:val="0"/>
          <w:numId w:val="10"/>
        </w:num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b/>
          <w:bCs/>
          <w:i/>
          <w:iCs/>
          <w:color w:val="000000"/>
        </w:rPr>
        <w:t xml:space="preserve">Representación Estatutaria. </w:t>
      </w:r>
      <w:r w:rsidRPr="005D1E4A">
        <w:rPr>
          <w:rFonts w:ascii="Palatino Linotype" w:eastAsia="Palatino Linotype" w:hAnsi="Palatino Linotype" w:cs="Palatino Linotype"/>
          <w:i/>
          <w:iCs/>
          <w:color w:val="000000"/>
        </w:rPr>
        <w:t>La que permite a los entes jurídicos o personas morales exteriorizarse en una sociedad y que por virtud de la cual una persona física u otra persona moral quien a su vez se encuentra</w:t>
      </w:r>
      <w:r w:rsidRPr="005D1E4A">
        <w:rPr>
          <w:rFonts w:ascii="Palatino Linotype" w:eastAsia="Palatino Linotype" w:hAnsi="Palatino Linotype" w:cs="Palatino Linotype"/>
          <w:color w:val="000000"/>
        </w:rPr>
        <w:t xml:space="preserve"> </w:t>
      </w:r>
      <w:r w:rsidRPr="005D1E4A">
        <w:rPr>
          <w:rFonts w:ascii="Palatino Linotype" w:eastAsia="Palatino Linotype" w:hAnsi="Palatino Linotype" w:cs="Palatino Linotype"/>
          <w:i/>
          <w:iCs/>
          <w:color w:val="000000"/>
        </w:rPr>
        <w:t xml:space="preserve">representada en último término por una persona física, altera con su actuación la esfera jurídica o jurídica económica de aquella para hacer posible valer sus derechos o cumplir con sus obligaciones. […] En la representación estatutaria, la ley no señala quién o quiénes pueden o deben ser los representantes legales de las personas 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5D1E4A">
        <w:rPr>
          <w:rFonts w:ascii="Palatino Linotype" w:eastAsia="Palatino Linotype" w:hAnsi="Palatino Linotype" w:cs="Palatino Linotype"/>
          <w:b/>
          <w:bCs/>
          <w:i/>
          <w:iCs/>
          <w:color w:val="000000"/>
        </w:rPr>
        <w:t>consiste en un acto de simple designación de la persona para el desempeño de determinado cargo.</w:t>
      </w:r>
    </w:p>
    <w:p w:rsidR="008D5510" w:rsidRPr="005D1E4A" w:rsidRDefault="00F55CE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(Lara, 2017)</w:t>
      </w:r>
    </w:p>
    <w:p w:rsidR="008D5510" w:rsidRPr="005D1E4A" w:rsidRDefault="008D5510">
      <w:pPr>
        <w:pBdr>
          <w:top w:val="nil"/>
          <w:left w:val="nil"/>
          <w:bottom w:val="nil"/>
          <w:right w:val="nil"/>
          <w:between w:val="nil"/>
        </w:pBdr>
        <w:spacing w:line="360" w:lineRule="auto"/>
        <w:ind w:left="993" w:right="567"/>
        <w:jc w:val="both"/>
        <w:rPr>
          <w:rFonts w:ascii="Palatino Linotype" w:eastAsia="Palatino Linotype" w:hAnsi="Palatino Linotype" w:cs="Palatino Linotype"/>
          <w:color w:val="000000"/>
        </w:rPr>
      </w:pPr>
    </w:p>
    <w:p w:rsidR="008D5510" w:rsidRPr="005D1E4A" w:rsidRDefault="00F55CE3">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De lo anterior tenemos que la </w:t>
      </w:r>
      <w:r w:rsidRPr="005D1E4A">
        <w:rPr>
          <w:rFonts w:ascii="Palatino Linotype" w:eastAsia="Palatino Linotype" w:hAnsi="Palatino Linotype" w:cs="Palatino Linotype"/>
          <w:b/>
          <w:bCs/>
          <w:color w:val="000000"/>
        </w:rPr>
        <w:t xml:space="preserve">representación </w:t>
      </w:r>
      <w:r w:rsidRPr="005D1E4A">
        <w:rPr>
          <w:rFonts w:ascii="Palatino Linotype" w:eastAsia="Palatino Linotype" w:hAnsi="Palatino Linotype" w:cs="Palatino Linotype"/>
          <w:color w:val="000000"/>
        </w:rPr>
        <w:t xml:space="preserve">se traduce al acto de manifestarse a nombre de otra persona, quién en el caso concreto, el representante es elegido por terceros a través de una designación. </w:t>
      </w:r>
    </w:p>
    <w:p w:rsidR="008D5510" w:rsidRPr="005D1E4A" w:rsidRDefault="008D5510">
      <w:pPr>
        <w:spacing w:line="360" w:lineRule="auto"/>
        <w:ind w:right="49"/>
        <w:jc w:val="both"/>
        <w:rPr>
          <w:rFonts w:ascii="Palatino Linotype" w:eastAsia="Palatino Linotype" w:hAnsi="Palatino Linotype" w:cs="Palatino Linotype"/>
          <w:color w:val="000000"/>
        </w:rPr>
      </w:pPr>
    </w:p>
    <w:p w:rsidR="008D5510" w:rsidRPr="005D1E4A" w:rsidRDefault="00F55CE3">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lastRenderedPageBreak/>
        <w:t xml:space="preserve">Por su parte, atendiendo a lo que establece la Ley General de Sociedades Mercantiles, se obtiene que en su artículo 10 menciona que </w:t>
      </w:r>
      <w:r w:rsidRPr="005D1E4A">
        <w:rPr>
          <w:rFonts w:ascii="Palatino Linotype" w:eastAsia="Palatino Linotype" w:hAnsi="Palatino Linotype" w:cs="Palatino Linotype"/>
          <w:b/>
          <w:bCs/>
          <w:color w:val="000000"/>
        </w:rPr>
        <w:t>la representación de toda sociedad mercantil corresponderá a su administrador o administradores</w:t>
      </w:r>
      <w:r w:rsidRPr="005D1E4A">
        <w:rPr>
          <w:rFonts w:ascii="Palatino Linotype" w:eastAsia="Palatino Linotype" w:hAnsi="Palatino Linotype" w:cs="Palatino Linotype"/>
          <w:color w:val="000000"/>
        </w:rPr>
        <w:t>, quienes podrán realizar todas las operaciones inherentes al objeto de la sociedad.</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Pr="005D1E4A" w:rsidRDefault="00F55CE3">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 </w:t>
      </w:r>
    </w:p>
    <w:p w:rsidR="008D5510" w:rsidRPr="005D1E4A" w:rsidRDefault="008D551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8D5510" w:rsidRPr="005D1E4A" w:rsidRDefault="00F55CE3">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En razón de lo anterior, cabe mencionar que el Instituto Nacional de Acceso a la Información y Protección de Datos Personales, ha precisado en diversas ocasiones que la </w:t>
      </w:r>
      <w:r w:rsidRPr="005D1E4A">
        <w:rPr>
          <w:rFonts w:ascii="Palatino Linotype" w:eastAsia="Palatino Linotype" w:hAnsi="Palatino Linotype" w:cs="Palatino Linotype"/>
          <w:b/>
          <w:bCs/>
          <w:color w:val="000000"/>
        </w:rPr>
        <w:t>firma y el nombre del representante legal de una persona moral</w:t>
      </w:r>
      <w:r w:rsidRPr="005D1E4A">
        <w:rPr>
          <w:rFonts w:ascii="Palatino Linotype" w:eastAsia="Palatino Linotype" w:hAnsi="Palatino Linotype" w:cs="Palatino Linotype"/>
          <w:color w:val="000000"/>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rsidR="008D5510" w:rsidRPr="005D1E4A" w:rsidRDefault="008D551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8D5510" w:rsidRPr="005D1E4A" w:rsidRDefault="00F55CE3">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Derivado de ello, es imprescindible traer a colación lo que establece el Criterio del Instituto Nacional de Transparencia, Acceso a la Información y Protección de Datos, el cual menciona lo siguiente: </w:t>
      </w:r>
    </w:p>
    <w:p w:rsidR="008D5510" w:rsidRPr="005D1E4A" w:rsidRDefault="008D5510">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rsidR="008D5510" w:rsidRPr="005D1E4A" w:rsidRDefault="00F55CE3">
      <w:p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b/>
          <w:bCs/>
          <w:i/>
          <w:iCs/>
          <w:color w:val="000000"/>
        </w:rPr>
        <w:t>Datos de identificación del representante o apoderado legal. Naturaleza jurídica.</w:t>
      </w:r>
      <w:r w:rsidRPr="005D1E4A">
        <w:rPr>
          <w:rFonts w:ascii="Palatino Linotype" w:eastAsia="Palatino Linotype" w:hAnsi="Palatino Linotype" w:cs="Palatino Linotype"/>
          <w:i/>
          <w:iCs/>
          <w:color w:val="000000"/>
        </w:rPr>
        <w:t xml:space="preserve"> El nombre, la firma y la rúbrica de una persona física, que actúe como </w:t>
      </w:r>
      <w:r w:rsidRPr="005D1E4A">
        <w:rPr>
          <w:rFonts w:ascii="Palatino Linotype" w:eastAsia="Palatino Linotype" w:hAnsi="Palatino Linotype" w:cs="Palatino Linotype"/>
          <w:i/>
          <w:iCs/>
          <w:color w:val="000000"/>
        </w:rPr>
        <w:lastRenderedPageBreak/>
        <w:t xml:space="preserve">representante o apoderado legal de un tercero que haya celebrado un acto jurídico, con algún sujeto obligado, </w:t>
      </w:r>
      <w:r w:rsidRPr="005D1E4A">
        <w:rPr>
          <w:rFonts w:ascii="Palatino Linotype" w:eastAsia="Palatino Linotype" w:hAnsi="Palatino Linotype" w:cs="Palatino Linotype"/>
          <w:b/>
          <w:bCs/>
          <w:i/>
          <w:iCs/>
          <w:color w:val="000000"/>
        </w:rPr>
        <w:t>es información pública</w:t>
      </w:r>
      <w:r w:rsidRPr="005D1E4A">
        <w:rPr>
          <w:rFonts w:ascii="Palatino Linotype" w:eastAsia="Palatino Linotype" w:hAnsi="Palatino Linotype" w:cs="Palatino Linotype"/>
          <w:i/>
          <w:iCs/>
          <w:color w:val="000000"/>
        </w:rPr>
        <w:t>, en razón de que tales datos fueron proporcionados con el objeto de expresar el consentimiento obligacional del tercero y otorgar validez a dicho instrumento jurídico.</w:t>
      </w:r>
    </w:p>
    <w:p w:rsidR="008D5510" w:rsidRPr="005D1E4A" w:rsidRDefault="008D5510">
      <w:p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p>
    <w:p w:rsidR="008D5510" w:rsidRPr="005D1E4A" w:rsidRDefault="00F55CE3">
      <w:p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i/>
          <w:iCs/>
          <w:color w:val="000000"/>
        </w:rPr>
        <w:t xml:space="preserve">Resoluciones: RRA 3104/16. Secretaría de la Defensa Nacional. 01 de noviembre del 2016. Por unanimidad. Comisionado Ponente Oscar Mauricio Guerra Ford. RRA 2923/16. Administración Portuaria Integral de Lázaro Cárdenas, S.A. de C.V. 13 de diciembre de 2016. Por unanimidad. Comisionada Ponente María Patricia Kurczyn Villalobos. RRA 2855/17. Comisión Nacional de Hidrocarburos. 14 de junio de 2017. Por unanimidad con los votos particulares de los Comisionados Areli Cano Guadiana y Oscar Mauricio Guerra Ford. Comisionada Ponente Ximena Puente de la Mora. </w:t>
      </w:r>
    </w:p>
    <w:p w:rsidR="008D5510" w:rsidRPr="005D1E4A" w:rsidRDefault="008D5510">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8D5510" w:rsidRPr="005D1E4A" w:rsidRDefault="00F55CE3">
      <w:pPr>
        <w:spacing w:line="360" w:lineRule="auto"/>
        <w:jc w:val="both"/>
        <w:rPr>
          <w:rFonts w:ascii="Palatino Linotype" w:eastAsia="Palatino Linotype" w:hAnsi="Palatino Linotype" w:cs="Palatino Linotype"/>
          <w:b/>
          <w:bCs/>
          <w:color w:val="0D0D0D"/>
        </w:rPr>
      </w:pPr>
      <w:r w:rsidRPr="005D1E4A">
        <w:rPr>
          <w:rFonts w:ascii="Palatino Linotype" w:eastAsia="Palatino Linotype" w:hAnsi="Palatino Linotype" w:cs="Palatino Linotype"/>
          <w:b/>
          <w:bCs/>
          <w:color w:val="0D0D0D"/>
        </w:rPr>
        <w:t xml:space="preserve">Denominación o razón Social </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b/>
          <w:bCs/>
          <w:color w:val="0D0D0D"/>
        </w:rPr>
        <w:t xml:space="preserve"> </w:t>
      </w:r>
      <w:r w:rsidRPr="005D1E4A">
        <w:rPr>
          <w:rFonts w:ascii="Palatino Linotype" w:eastAsia="Palatino Linotype" w:hAnsi="Palatino Linotype" w:cs="Palatino Linotype"/>
          <w:color w:val="0D0D0D"/>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 </w:t>
      </w:r>
    </w:p>
    <w:p w:rsidR="008D5510" w:rsidRPr="005D1E4A" w:rsidRDefault="00F55CE3">
      <w:pPr>
        <w:ind w:left="1134" w:right="567"/>
        <w:jc w:val="both"/>
        <w:rPr>
          <w:rFonts w:ascii="Palatino Linotype" w:eastAsia="Palatino Linotype" w:hAnsi="Palatino Linotype" w:cs="Palatino Linotype"/>
          <w:i/>
          <w:iCs/>
          <w:color w:val="0D0D0D"/>
        </w:rPr>
      </w:pPr>
      <w:r w:rsidRPr="005D1E4A">
        <w:rPr>
          <w:rFonts w:ascii="Palatino Linotype" w:eastAsia="Palatino Linotype" w:hAnsi="Palatino Linotype" w:cs="Palatino Linotype"/>
          <w:b/>
          <w:bCs/>
          <w:i/>
          <w:iCs/>
          <w:color w:val="0D0D0D"/>
        </w:rPr>
        <w:t xml:space="preserve">“Razón social y RFC de personas morales. </w:t>
      </w:r>
      <w:r w:rsidRPr="005D1E4A">
        <w:rPr>
          <w:rFonts w:ascii="Palatino Linotype" w:eastAsia="Palatino Linotype" w:hAnsi="Palatino Linotype" w:cs="Palatino Linotype"/>
          <w:i/>
          <w:iCs/>
          <w:color w:val="0D0D0D"/>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w:t>
      </w:r>
      <w:r w:rsidRPr="005D1E4A">
        <w:rPr>
          <w:rFonts w:ascii="Palatino Linotype" w:eastAsia="Palatino Linotype" w:hAnsi="Palatino Linotype" w:cs="Palatino Linotype"/>
          <w:i/>
          <w:iCs/>
          <w:color w:val="0D0D0D"/>
        </w:rPr>
        <w:lastRenderedPageBreak/>
        <w:t>contable, jurídico o administrativo que sean útiles o representen una ventaja a sus competidores.”</w:t>
      </w:r>
    </w:p>
    <w:p w:rsidR="008D5510" w:rsidRPr="005D1E4A" w:rsidRDefault="00F55CE3">
      <w:pPr>
        <w:spacing w:line="360" w:lineRule="auto"/>
        <w:jc w:val="both"/>
        <w:rPr>
          <w:rFonts w:ascii="Palatino Linotype" w:eastAsia="Palatino Linotype" w:hAnsi="Palatino Linotype" w:cs="Palatino Linotype"/>
          <w:b/>
          <w:bCs/>
          <w:color w:val="0D0D0D"/>
        </w:rPr>
      </w:pPr>
      <w:r w:rsidRPr="005D1E4A">
        <w:rPr>
          <w:rFonts w:ascii="Palatino Linotype" w:eastAsia="Palatino Linotype" w:hAnsi="Palatino Linotype" w:cs="Palatino Linotype"/>
          <w:b/>
          <w:bCs/>
          <w:color w:val="0D0D0D"/>
        </w:rPr>
        <w:t xml:space="preserve"> </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Por lo tanto, no procede la clasificación de la denominación o razón social y RFC de personas morales, en términos del artículo 143, fracción I de la Ley de Transparencia y Acceso a la Información Pública del Estado de México y Municipios.</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 </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Al respecto, el Registro Federal de Contribuyentes, inicia con una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 </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Por ende, la información correspondiente al Registro Federal de Contribuyentes de una persona moral da cuenta del cumplimiento o no en sus obligaciones fiscales; por tanto, no se actualiza su clasificación como confidencial; 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w:t>
      </w:r>
      <w:r w:rsidRPr="005D1E4A">
        <w:rPr>
          <w:rFonts w:ascii="Palatino Linotype" w:eastAsia="Palatino Linotype" w:hAnsi="Palatino Linotype" w:cs="Palatino Linotype"/>
          <w:color w:val="0D0D0D"/>
        </w:rPr>
        <w:lastRenderedPageBreak/>
        <w:t>morales, es público, al no referir a hechos o actos de carácter económico, contable, jurídico o administrativo que sean útiles o representen una ventaja a sus competidores; por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D0D0D"/>
        </w:rPr>
      </w:pPr>
    </w:p>
    <w:p w:rsidR="008D5510" w:rsidRPr="005D1E4A" w:rsidRDefault="00F55CE3">
      <w:pPr>
        <w:spacing w:line="360" w:lineRule="auto"/>
        <w:jc w:val="both"/>
        <w:rPr>
          <w:rFonts w:ascii="Palatino Linotype" w:eastAsia="Palatino Linotype" w:hAnsi="Palatino Linotype" w:cs="Palatino Linotype"/>
          <w:b/>
          <w:bCs/>
          <w:color w:val="0D0D0D"/>
        </w:rPr>
      </w:pPr>
      <w:r w:rsidRPr="005D1E4A">
        <w:rPr>
          <w:rFonts w:ascii="Palatino Linotype" w:eastAsia="Palatino Linotype" w:hAnsi="Palatino Linotype" w:cs="Palatino Linotype"/>
          <w:b/>
          <w:bCs/>
          <w:color w:val="0D0D0D"/>
        </w:rPr>
        <w:t xml:space="preserve">Domicilio Fiscal o legal para recibir y oír notificaciones </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 de esta manera, lo establece los diversos 29 y 33 del Código Civil Federal, al precisar que el domicilio de personas físicas</w:t>
      </w:r>
      <w:r w:rsidRPr="005D1E4A">
        <w:rPr>
          <w:rFonts w:ascii="Palatino Linotype" w:eastAsia="Palatino Linotype" w:hAnsi="Palatino Linotype" w:cs="Palatino Linotype"/>
          <w:b/>
          <w:bCs/>
          <w:color w:val="0D0D0D"/>
        </w:rPr>
        <w:t xml:space="preserve">, es el lugar donde residen habitualmente, el lugar del centro principal de sus negocios, donde residan o el lugar donde se encuentren; </w:t>
      </w:r>
      <w:r w:rsidRPr="005D1E4A">
        <w:rPr>
          <w:rFonts w:ascii="Palatino Linotype" w:eastAsia="Palatino Linotype" w:hAnsi="Palatino Linotype" w:cs="Palatino Linotype"/>
          <w:color w:val="0D0D0D"/>
        </w:rPr>
        <w:t>mientras que, de las personas morales, aquel donde se halle su administración.</w:t>
      </w:r>
    </w:p>
    <w:p w:rsidR="008D5510" w:rsidRPr="005D1E4A" w:rsidRDefault="00F55CE3">
      <w:pPr>
        <w:spacing w:line="360" w:lineRule="auto"/>
        <w:jc w:val="both"/>
        <w:rPr>
          <w:rFonts w:ascii="Palatino Linotype" w:eastAsia="Palatino Linotype" w:hAnsi="Palatino Linotype" w:cs="Palatino Linotype"/>
          <w:b/>
          <w:bCs/>
          <w:color w:val="0D0D0D"/>
        </w:rPr>
      </w:pPr>
      <w:r w:rsidRPr="005D1E4A">
        <w:rPr>
          <w:rFonts w:ascii="Palatino Linotype" w:eastAsia="Palatino Linotype" w:hAnsi="Palatino Linotype" w:cs="Palatino Linotype"/>
          <w:b/>
          <w:bCs/>
          <w:color w:val="0D0D0D"/>
        </w:rPr>
        <w:t xml:space="preserve"> </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Respecto al domicilio fiscal, resulta necesario traer el artículo 10 del Código Fiscal de la Federación, que establece que, tratándose de personas físicas, corresponderá dicho dato:</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 </w:t>
      </w:r>
    </w:p>
    <w:p w:rsidR="008D5510" w:rsidRPr="005D1E4A" w:rsidRDefault="00F55CE3">
      <w:pPr>
        <w:numPr>
          <w:ilvl w:val="0"/>
          <w:numId w:val="12"/>
        </w:numPr>
        <w:spacing w:line="360" w:lineRule="auto"/>
        <w:ind w:left="1134" w:right="900"/>
        <w:jc w:val="both"/>
        <w:rPr>
          <w:rFonts w:ascii="Palatino Linotype" w:eastAsia="Palatino Linotype" w:hAnsi="Palatino Linotype" w:cs="Palatino Linotype"/>
          <w:i/>
          <w:iCs/>
          <w:color w:val="0D0D0D"/>
        </w:rPr>
      </w:pPr>
      <w:r w:rsidRPr="005D1E4A">
        <w:rPr>
          <w:rFonts w:ascii="Palatino Linotype" w:eastAsia="Palatino Linotype" w:hAnsi="Palatino Linotype" w:cs="Palatino Linotype"/>
          <w:i/>
          <w:iCs/>
          <w:color w:val="0D0D0D"/>
        </w:rPr>
        <w:t>El lugar donde realizan actividades empresariales, el local, en que se encuentre el principal asiente de sus negocios, y</w:t>
      </w:r>
    </w:p>
    <w:p w:rsidR="008D5510" w:rsidRPr="005D1E4A" w:rsidRDefault="00F55CE3" w:rsidP="005D1E4A">
      <w:pPr>
        <w:numPr>
          <w:ilvl w:val="0"/>
          <w:numId w:val="12"/>
        </w:numPr>
        <w:spacing w:line="360" w:lineRule="auto"/>
        <w:ind w:left="1134" w:right="900"/>
        <w:jc w:val="both"/>
        <w:rPr>
          <w:rFonts w:ascii="Palatino Linotype" w:eastAsia="Palatino Linotype" w:hAnsi="Palatino Linotype" w:cs="Palatino Linotype"/>
          <w:i/>
          <w:iCs/>
          <w:color w:val="0D0D0D"/>
        </w:rPr>
      </w:pPr>
      <w:r w:rsidRPr="005D1E4A">
        <w:rPr>
          <w:rFonts w:ascii="Palatino Linotype" w:eastAsia="Palatino Linotype" w:hAnsi="Palatino Linotype" w:cs="Palatino Linotype"/>
          <w:i/>
          <w:iCs/>
          <w:color w:val="0D0D0D"/>
        </w:rPr>
        <w:t>La casa habitación, cuando no cuenta con un local o lugar donde realice las acciones previamente señaladas.</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lastRenderedPageBreak/>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 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jurídicas o de beneficio de cualquier orbe con las instituciones públicas, tienen una expectativa de privacidad menor, respecto del resto de las personas,  situación que debe ser transparentada.</w:t>
      </w:r>
    </w:p>
    <w:p w:rsidR="008D5510" w:rsidRPr="005D1E4A" w:rsidRDefault="00F55CE3">
      <w:pP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 xml:space="preserve"> </w:t>
      </w:r>
    </w:p>
    <w:p w:rsidR="008D5510" w:rsidRPr="005D1E4A" w:rsidRDefault="00F55CE3" w:rsidP="005D1E4A">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D0D0D"/>
        </w:rPr>
        <w:t>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por lo que, es obligación de transparencia proporcionar el domicilio fiscal de los proveedores, por lo que, se considera que, en el caso, de que dicho dato, corresponda a un local o lugar donde realice sus actividades empresariales, se debe entregar.</w:t>
      </w: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5D1E4A">
        <w:rPr>
          <w:rFonts w:ascii="Palatino Linotype" w:eastAsia="Palatino Linotype" w:hAnsi="Palatino Linotype" w:cs="Palatino Linotype"/>
          <w:color w:val="000000"/>
        </w:rPr>
        <w:lastRenderedPageBreak/>
        <w:t xml:space="preserve">Por cuanto hace al </w:t>
      </w:r>
      <w:r w:rsidRPr="005D1E4A">
        <w:rPr>
          <w:rFonts w:ascii="Palatino Linotype" w:eastAsia="Palatino Linotype" w:hAnsi="Palatino Linotype" w:cs="Palatino Linotype"/>
          <w:b/>
          <w:bCs/>
          <w:color w:val="000000"/>
        </w:rPr>
        <w:t>Número de Cédula Profesional</w:t>
      </w:r>
      <w:r w:rsidRPr="005D1E4A">
        <w:rPr>
          <w:rFonts w:ascii="Palatino Linotype" w:eastAsia="Palatino Linotype" w:hAnsi="Palatino Linotype" w:cs="Palatino Linotype"/>
          <w:color w:val="000000"/>
        </w:rPr>
        <w:t>, es un dato que es susceptible de consulta en el Registro Nacional de Profesiones que se localiza en la página electrónica de la Secretaría de Educación Pública y/o equivalente de las entidades federativas, es decir, es un dato que obra en registros públicos</w:t>
      </w:r>
      <w:r w:rsidRPr="005D1E4A">
        <w:rPr>
          <w:rFonts w:ascii="Palatino Linotype" w:eastAsia="Palatino Linotype" w:hAnsi="Palatino Linotype" w:cs="Palatino Linotype"/>
          <w:b/>
          <w:bCs/>
          <w:color w:val="000000"/>
        </w:rPr>
        <w:t xml:space="preserve">, no susceptible de actualizar causal alguna de clasificación, </w:t>
      </w:r>
      <w:r w:rsidRPr="005D1E4A">
        <w:rPr>
          <w:rFonts w:ascii="Palatino Linotype" w:eastAsia="Palatino Linotype" w:hAnsi="Palatino Linotype" w:cs="Palatino Linotype"/>
          <w:color w:val="000000"/>
        </w:rPr>
        <w:t xml:space="preserve"> por lo que de dicha consulta es posible conocer también el nombre del profesionista relacionado a tal número de cédula;  constituye por tanto dentro del contrato de compra de los bienes adquiridos por el ayuntamiento un medio de dar certeza respecto a que los estados financieros presentados como requisito para la celebración del contrato hayan sido procesados por un profesional en la materia.</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b/>
          <w:bCs/>
          <w:color w:val="000000"/>
        </w:rPr>
      </w:pPr>
    </w:p>
    <w:p w:rsidR="008D5510" w:rsidRPr="005D1E4A" w:rsidRDefault="00F55CE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5D1E4A">
        <w:rPr>
          <w:rFonts w:ascii="Palatino Linotype" w:eastAsia="Palatino Linotype" w:hAnsi="Palatino Linotype" w:cs="Palatino Linotype"/>
          <w:color w:val="000000"/>
        </w:rPr>
        <w:t xml:space="preserve">Ahora bien, existen datos que si bien fueron testados por ser susceptibles de ser clasificados, los mismos no fueron acompañados por el Acuerdo del Comité de Transparencia que funde y motive tal clasificación a saber y de forma enunciativa </w:t>
      </w:r>
    </w:p>
    <w:p w:rsidR="008D5510" w:rsidRPr="005D1E4A" w:rsidRDefault="00F55CE3">
      <w:pPr>
        <w:numPr>
          <w:ilvl w:val="0"/>
          <w:numId w:val="13"/>
        </w:numPr>
        <w:pBdr>
          <w:top w:val="nil"/>
          <w:left w:val="nil"/>
          <w:bottom w:val="nil"/>
          <w:right w:val="nil"/>
          <w:between w:val="nil"/>
        </w:pBdr>
        <w:ind w:left="0" w:firstLine="0"/>
        <w:rPr>
          <w:rFonts w:ascii="Palatino Linotype" w:eastAsia="Palatino Linotype" w:hAnsi="Palatino Linotype" w:cs="Palatino Linotype"/>
          <w:color w:val="000000"/>
        </w:rPr>
      </w:pPr>
      <w:r w:rsidRPr="005D1E4A">
        <w:rPr>
          <w:rFonts w:ascii="Palatino Linotype" w:eastAsia="Palatino Linotype" w:hAnsi="Palatino Linotype" w:cs="Palatino Linotype"/>
          <w:b/>
          <w:bCs/>
          <w:i/>
          <w:iCs/>
          <w:color w:val="000000"/>
        </w:rPr>
        <w:t>Número y folio de credencial de elector del representante legal del proveedor</w:t>
      </w:r>
      <w:r w:rsidRPr="005D1E4A">
        <w:rPr>
          <w:rFonts w:ascii="Palatino Linotype" w:eastAsia="Palatino Linotype" w:hAnsi="Palatino Linotype" w:cs="Palatino Linotype"/>
          <w:color w:val="000000"/>
        </w:rPr>
        <w:t>.</w:t>
      </w:r>
    </w:p>
    <w:p w:rsidR="008D5510" w:rsidRPr="005D1E4A" w:rsidRDefault="008D5510">
      <w:pPr>
        <w:rPr>
          <w:rFonts w:ascii="Palatino Linotype" w:eastAsia="Palatino Linotype" w:hAnsi="Palatino Linotype" w:cs="Palatino Linotype"/>
        </w:rPr>
      </w:pPr>
    </w:p>
    <w:p w:rsidR="008D5510" w:rsidRPr="005D1E4A" w:rsidRDefault="00F55CE3">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r w:rsidRPr="005D1E4A">
        <w:rPr>
          <w:rFonts w:ascii="Palatino Linotype" w:eastAsia="Palatino Linotype" w:hAnsi="Palatino Linotype" w:cs="Palatino Linotype"/>
          <w:b/>
          <w:bCs/>
          <w:i/>
          <w:iCs/>
        </w:rPr>
        <w:t>Artículo 156</w:t>
      </w: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b/>
          <w:bCs/>
          <w:i/>
          <w:iCs/>
        </w:rPr>
        <w:t>1.</w:t>
      </w:r>
      <w:r w:rsidRPr="005D1E4A">
        <w:rPr>
          <w:rFonts w:ascii="Palatino Linotype" w:eastAsia="Palatino Linotype" w:hAnsi="Palatino Linotype" w:cs="Palatino Linotype"/>
          <w:i/>
          <w:iCs/>
        </w:rPr>
        <w:t xml:space="preserve"> </w:t>
      </w:r>
      <w:r w:rsidRPr="005D1E4A">
        <w:rPr>
          <w:rFonts w:ascii="Palatino Linotype" w:eastAsia="Palatino Linotype" w:hAnsi="Palatino Linotype" w:cs="Palatino Linotype"/>
          <w:b/>
          <w:bCs/>
          <w:i/>
          <w:iCs/>
          <w:u w:val="single"/>
        </w:rPr>
        <w:t>La credencial para votar deberá contener, cuando menos, los siguientes datos del elector</w:t>
      </w: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d) </w:t>
      </w:r>
      <w:r w:rsidRPr="005D1E4A">
        <w:rPr>
          <w:rFonts w:ascii="Palatino Linotype" w:eastAsia="Palatino Linotype" w:hAnsi="Palatino Linotype" w:cs="Palatino Linotype"/>
          <w:b/>
          <w:bCs/>
          <w:i/>
          <w:iCs/>
          <w:u w:val="single"/>
        </w:rPr>
        <w:t>Domicilio</w:t>
      </w: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lastRenderedPageBreak/>
        <w:t xml:space="preserve">g) </w:t>
      </w:r>
      <w:r w:rsidRPr="005D1E4A">
        <w:rPr>
          <w:rFonts w:ascii="Palatino Linotype" w:eastAsia="Palatino Linotype" w:hAnsi="Palatino Linotype" w:cs="Palatino Linotype"/>
          <w:b/>
          <w:bCs/>
          <w:i/>
          <w:iCs/>
        </w:rPr>
        <w:t>Firma</w:t>
      </w:r>
      <w:r w:rsidRPr="005D1E4A">
        <w:rPr>
          <w:rFonts w:ascii="Palatino Linotype" w:eastAsia="Palatino Linotype" w:hAnsi="Palatino Linotype" w:cs="Palatino Linotype"/>
          <w:i/>
          <w:iCs/>
        </w:rPr>
        <w:t xml:space="preserve">, </w:t>
      </w:r>
      <w:r w:rsidRPr="005D1E4A">
        <w:rPr>
          <w:rFonts w:ascii="Palatino Linotype" w:eastAsia="Palatino Linotype" w:hAnsi="Palatino Linotype" w:cs="Palatino Linotype"/>
          <w:b/>
          <w:bCs/>
          <w:i/>
          <w:iCs/>
          <w:u w:val="single"/>
        </w:rPr>
        <w:t>huella digital</w:t>
      </w:r>
      <w:r w:rsidRPr="005D1E4A">
        <w:rPr>
          <w:rFonts w:ascii="Palatino Linotype" w:eastAsia="Palatino Linotype" w:hAnsi="Palatino Linotype" w:cs="Palatino Linotype"/>
          <w:i/>
          <w:iCs/>
        </w:rPr>
        <w:t xml:space="preserve"> y </w:t>
      </w:r>
      <w:r w:rsidRPr="005D1E4A">
        <w:rPr>
          <w:rFonts w:ascii="Palatino Linotype" w:eastAsia="Palatino Linotype" w:hAnsi="Palatino Linotype" w:cs="Palatino Linotype"/>
          <w:b/>
          <w:bCs/>
          <w:i/>
          <w:iCs/>
          <w:u w:val="single"/>
        </w:rPr>
        <w:t>fotografía del elector</w:t>
      </w: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w:t>
      </w: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 xml:space="preserve">i) </w:t>
      </w:r>
      <w:r w:rsidRPr="005D1E4A">
        <w:rPr>
          <w:rFonts w:ascii="Palatino Linotype" w:eastAsia="Palatino Linotype" w:hAnsi="Palatino Linotype" w:cs="Palatino Linotype"/>
          <w:b/>
          <w:bCs/>
          <w:i/>
          <w:iCs/>
          <w:u w:val="single"/>
        </w:rPr>
        <w:t>Clave Única del Registro de Población</w:t>
      </w:r>
      <w:r w:rsidRPr="005D1E4A">
        <w:rPr>
          <w:rFonts w:ascii="Palatino Linotype" w:eastAsia="Palatino Linotype" w:hAnsi="Palatino Linotype" w:cs="Palatino Linotype"/>
          <w:i/>
          <w:iCs/>
        </w:rPr>
        <w:t>. ” (Sic)</w:t>
      </w:r>
    </w:p>
    <w:p w:rsidR="008D5510" w:rsidRPr="005D1E4A" w:rsidRDefault="008D5510">
      <w:pPr>
        <w:tabs>
          <w:tab w:val="left" w:pos="8222"/>
        </w:tabs>
        <w:ind w:left="851" w:right="902"/>
        <w:jc w:val="both"/>
        <w:rPr>
          <w:rFonts w:ascii="Palatino Linotype" w:eastAsia="Palatino Linotype" w:hAnsi="Palatino Linotype" w:cs="Palatino Linotype"/>
          <w:i/>
          <w:iCs/>
        </w:rPr>
      </w:pPr>
    </w:p>
    <w:p w:rsidR="008D5510" w:rsidRPr="005D1E4A" w:rsidRDefault="00F55CE3">
      <w:pPr>
        <w:tabs>
          <w:tab w:val="left" w:pos="8222"/>
        </w:tabs>
        <w:ind w:left="851" w:right="902"/>
        <w:jc w:val="both"/>
        <w:rPr>
          <w:rFonts w:ascii="Palatino Linotype" w:eastAsia="Palatino Linotype" w:hAnsi="Palatino Linotype" w:cs="Palatino Linotype"/>
          <w:i/>
          <w:iCs/>
        </w:rPr>
      </w:pPr>
      <w:r w:rsidRPr="005D1E4A">
        <w:rPr>
          <w:rFonts w:ascii="Palatino Linotype" w:eastAsia="Palatino Linotype" w:hAnsi="Palatino Linotype" w:cs="Palatino Linotype"/>
          <w:i/>
          <w:iCs/>
        </w:rPr>
        <w:t>Énfasis añadido.</w:t>
      </w:r>
    </w:p>
    <w:p w:rsidR="008D5510" w:rsidRPr="005D1E4A" w:rsidRDefault="008D5510">
      <w:pPr>
        <w:tabs>
          <w:tab w:val="left" w:pos="8222"/>
        </w:tabs>
        <w:ind w:left="851" w:right="902"/>
        <w:jc w:val="both"/>
        <w:rPr>
          <w:rFonts w:ascii="Palatino Linotype" w:eastAsia="Palatino Linotype" w:hAnsi="Palatino Linotype" w:cs="Palatino Linotype"/>
          <w:i/>
          <w:iCs/>
        </w:rPr>
      </w:pPr>
    </w:p>
    <w:p w:rsidR="008D5510" w:rsidRPr="005D1E4A" w:rsidRDefault="00F55CE3">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Así, el conocimiento de dichos datos afecta la esfera más íntima de su Titular, en razón de que su utilización indebida pueda dar origen a un riesgo grave para éste.</w:t>
      </w:r>
    </w:p>
    <w:p w:rsidR="008D5510" w:rsidRPr="005D1E4A" w:rsidRDefault="008D5510">
      <w:pPr>
        <w:spacing w:before="240" w:after="240"/>
        <w:jc w:val="both"/>
        <w:rPr>
          <w:rFonts w:ascii="Palatino Linotype" w:eastAsia="Palatino Linotype" w:hAnsi="Palatino Linotype" w:cs="Palatino Linotype"/>
        </w:rPr>
      </w:pPr>
    </w:p>
    <w:p w:rsidR="008D5510" w:rsidRPr="005D1E4A" w:rsidRDefault="00F55CE3">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8D5510" w:rsidRPr="005D1E4A" w:rsidRDefault="00F55CE3">
      <w:pPr>
        <w:spacing w:before="240" w:after="240" w:line="360" w:lineRule="auto"/>
        <w:ind w:right="49"/>
        <w:jc w:val="center"/>
        <w:rPr>
          <w:rFonts w:ascii="Palatino Linotype" w:eastAsia="Palatino Linotype" w:hAnsi="Palatino Linotype" w:cs="Palatino Linotype"/>
        </w:rPr>
      </w:pPr>
      <w:r w:rsidRPr="005D1E4A">
        <w:rPr>
          <w:rFonts w:ascii="Palatino Linotype" w:eastAsia="Palatino Linotype" w:hAnsi="Palatino Linotype" w:cs="Palatino Linotype"/>
          <w:noProof/>
          <w:lang w:val="es-MX"/>
        </w:rPr>
        <w:drawing>
          <wp:inline distT="0" distB="0" distL="0" distR="0">
            <wp:extent cx="3880778" cy="192918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2760"/>
                    <a:stretch>
                      <a:fillRect/>
                    </a:stretch>
                  </pic:blipFill>
                  <pic:spPr>
                    <a:xfrm>
                      <a:off x="0" y="0"/>
                      <a:ext cx="3880778" cy="1929187"/>
                    </a:xfrm>
                    <a:prstGeom prst="rect">
                      <a:avLst/>
                    </a:prstGeom>
                    <a:ln/>
                  </pic:spPr>
                </pic:pic>
              </a:graphicData>
            </a:graphic>
          </wp:inline>
        </w:drawing>
      </w:r>
      <w:r w:rsidRPr="005D1E4A">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965910</wp:posOffset>
                </wp:positionH>
                <wp:positionV relativeFrom="paragraph">
                  <wp:posOffset>1626743</wp:posOffset>
                </wp:positionV>
                <wp:extent cx="3410613" cy="39048"/>
                <wp:effectExtent l="0" t="0" r="0" b="0"/>
                <wp:wrapNone/>
                <wp:docPr id="1" name="Conector recto de flecha 1"/>
                <wp:cNvGraphicFramePr/>
                <a:graphic xmlns:a="http://schemas.openxmlformats.org/drawingml/2006/main">
                  <a:graphicData uri="http://schemas.microsoft.com/office/word/2010/wordprocessingShape">
                    <wps:wsp>
                      <wps:cNvCnPr/>
                      <wps:spPr>
                        <a:xfrm>
                          <a:off x="3653394" y="3773176"/>
                          <a:ext cx="3385213" cy="13648"/>
                        </a:xfrm>
                        <a:prstGeom prst="straightConnector1">
                          <a:avLst/>
                        </a:prstGeom>
                        <a:noFill/>
                        <a:ln w="1270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965910</wp:posOffset>
                </wp:positionH>
                <wp:positionV relativeFrom="paragraph">
                  <wp:posOffset>1626743</wp:posOffset>
                </wp:positionV>
                <wp:extent cx="3410613" cy="39048"/>
                <wp:effectExtent b="0" l="0" r="0" t="0"/>
                <wp:wrapNone/>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410613" cy="39048"/>
                        </a:xfrm>
                        <a:prstGeom prst="rect"/>
                        <a:ln/>
                      </pic:spPr>
                    </pic:pic>
                  </a:graphicData>
                </a:graphic>
              </wp:anchor>
            </w:drawing>
          </mc:Fallback>
        </mc:AlternateContent>
      </w:r>
    </w:p>
    <w:p w:rsidR="008D5510" w:rsidRPr="005D1E4A" w:rsidRDefault="00F55CE3">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Respecto a la edad, número identificador (OCR) y código de barras bidimensional y cifrado contenidos en las credenciales para votar, se advierte que se trata de elementos de </w:t>
      </w:r>
      <w:r w:rsidRPr="005D1E4A">
        <w:rPr>
          <w:rFonts w:ascii="Palatino Linotype" w:eastAsia="Palatino Linotype" w:hAnsi="Palatino Linotype" w:cs="Palatino Linotype"/>
          <w:color w:val="000000"/>
        </w:rPr>
        <w:lastRenderedPageBreak/>
        <w:t xml:space="preserve">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rsidR="008D5510" w:rsidRPr="005D1E4A" w:rsidRDefault="005D1E4A">
      <w:pPr>
        <w:spacing w:before="240" w:after="240" w:line="360" w:lineRule="auto"/>
        <w:jc w:val="center"/>
        <w:rPr>
          <w:rFonts w:ascii="Palatino Linotype" w:eastAsia="Palatino Linotype" w:hAnsi="Palatino Linotype" w:cs="Palatino Linotype"/>
        </w:rPr>
      </w:pPr>
      <w:r w:rsidRPr="005D1E4A">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419867</wp:posOffset>
                </wp:positionH>
                <wp:positionV relativeFrom="paragraph">
                  <wp:posOffset>768134</wp:posOffset>
                </wp:positionV>
                <wp:extent cx="802374" cy="563539"/>
                <wp:effectExtent l="0" t="0" r="0" b="0"/>
                <wp:wrapNone/>
                <wp:docPr id="6" name="Rectángulo 6"/>
                <wp:cNvGraphicFramePr/>
                <a:graphic xmlns:a="http://schemas.openxmlformats.org/drawingml/2006/main">
                  <a:graphicData uri="http://schemas.microsoft.com/office/word/2010/wordprocessingShape">
                    <wps:wsp>
                      <wps:cNvSpPr/>
                      <wps:spPr>
                        <a:xfrm>
                          <a:off x="0" y="0"/>
                          <a:ext cx="802374" cy="563539"/>
                        </a:xfrm>
                        <a:prstGeom prst="rect">
                          <a:avLst/>
                        </a:prstGeom>
                        <a:noFill/>
                        <a:ln w="19050" cap="flat" cmpd="sng">
                          <a:solidFill>
                            <a:srgbClr val="FF0000"/>
                          </a:solidFill>
                          <a:prstDash val="solid"/>
                          <a:miter lim="800000"/>
                          <a:headEnd type="none" w="sm" len="sm"/>
                          <a:tailEnd type="none" w="sm" len="sm"/>
                        </a:ln>
                      </wps:spPr>
                      <wps:txbx>
                        <w:txbxContent>
                          <w:p w:rsidR="008D5510" w:rsidRDefault="008D5510">
                            <w:pPr>
                              <w:textDirection w:val="btLr"/>
                            </w:pPr>
                          </w:p>
                        </w:txbxContent>
                      </wps:txbx>
                      <wps:bodyPr spcFirstLastPara="1" wrap="square" lIns="91425" tIns="91425" rIns="91425" bIns="91425" anchor="ctr" anchorCtr="0">
                        <a:noAutofit/>
                      </wps:bodyPr>
                    </wps:wsp>
                  </a:graphicData>
                </a:graphic>
              </wp:anchor>
            </w:drawing>
          </mc:Choice>
          <mc:Fallback>
            <w:pict>
              <v:rect id="Rectángulo 6" o:spid="_x0000_s1026" style="position:absolute;left:0;text-align:left;margin-left:33.05pt;margin-top:60.5pt;width:63.2pt;height:4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" filled="f" strokecolor="red" strokeweight="1.5pt">
                <v:stroke startarrowwidth="narrow" startarrowlength="short" endarrowwidth="narrow" endarrowlength="short"/>
                <v:textbox inset="2.53958mm,2.53958mm,2.53958mm,2.53958mm">
                  <w:txbxContent>
                    <w:p w:rsidR="008D5510" w:rsidRDefault="008D5510">
                      <w:pPr>
                        <w:textDirection w:val="btLr"/>
                      </w:pPr>
                    </w:p>
                  </w:txbxContent>
                </v:textbox>
              </v:rect>
            </w:pict>
          </mc:Fallback>
        </mc:AlternateContent>
      </w:r>
      <w:r w:rsidR="00F55CE3" w:rsidRPr="005D1E4A">
        <w:rPr>
          <w:rFonts w:ascii="Palatino Linotype" w:eastAsia="Palatino Linotype" w:hAnsi="Palatino Linotype" w:cs="Palatino Linotype"/>
          <w:noProof/>
          <w:lang w:val="es-MX"/>
        </w:rPr>
        <w:drawing>
          <wp:inline distT="0" distB="0" distL="0" distR="0">
            <wp:extent cx="5619984" cy="1859312"/>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9984" cy="1859312"/>
                    </a:xfrm>
                    <a:prstGeom prst="rect">
                      <a:avLst/>
                    </a:prstGeom>
                    <a:ln/>
                  </pic:spPr>
                </pic:pic>
              </a:graphicData>
            </a:graphic>
          </wp:inline>
        </w:drawing>
      </w:r>
    </w:p>
    <w:p w:rsidR="008D5510" w:rsidRPr="005D1E4A" w:rsidRDefault="005D1E4A">
      <w:pPr>
        <w:widowControl w:val="0"/>
        <w:spacing w:before="240" w:after="240" w:line="360" w:lineRule="auto"/>
        <w:jc w:val="center"/>
        <w:rPr>
          <w:rFonts w:ascii="Palatino Linotype" w:eastAsia="Palatino Linotype" w:hAnsi="Palatino Linotype" w:cs="Palatino Linotype"/>
        </w:rPr>
      </w:pPr>
      <w:r w:rsidRPr="005D1E4A">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784644</wp:posOffset>
                </wp:positionH>
                <wp:positionV relativeFrom="paragraph">
                  <wp:posOffset>326810</wp:posOffset>
                </wp:positionV>
                <wp:extent cx="413414" cy="1894195"/>
                <wp:effectExtent l="0" t="0" r="0" b="0"/>
                <wp:wrapNone/>
                <wp:docPr id="2" name="Rectángulo 2"/>
                <wp:cNvGraphicFramePr/>
                <a:graphic xmlns:a="http://schemas.openxmlformats.org/drawingml/2006/main">
                  <a:graphicData uri="http://schemas.microsoft.com/office/word/2010/wordprocessingShape">
                    <wps:wsp>
                      <wps:cNvSpPr/>
                      <wps:spPr>
                        <a:xfrm>
                          <a:off x="0" y="0"/>
                          <a:ext cx="413414" cy="1894195"/>
                        </a:xfrm>
                        <a:prstGeom prst="rect">
                          <a:avLst/>
                        </a:prstGeom>
                        <a:noFill/>
                        <a:ln w="19050" cap="flat" cmpd="sng">
                          <a:solidFill>
                            <a:srgbClr val="FF0000"/>
                          </a:solidFill>
                          <a:prstDash val="solid"/>
                          <a:miter lim="800000"/>
                          <a:headEnd type="none" w="sm" len="sm"/>
                          <a:tailEnd type="none" w="sm" len="sm"/>
                        </a:ln>
                      </wps:spPr>
                      <wps:txbx>
                        <w:txbxContent>
                          <w:p w:rsidR="008D5510" w:rsidRDefault="008D5510">
                            <w:pPr>
                              <w:textDirection w:val="btLr"/>
                            </w:pPr>
                          </w:p>
                        </w:txbxContent>
                      </wps:txbx>
                      <wps:bodyPr spcFirstLastPara="1" wrap="square" lIns="91425" tIns="91425" rIns="91425" bIns="91425" anchor="ctr" anchorCtr="0">
                        <a:noAutofit/>
                      </wps:bodyPr>
                    </wps:wsp>
                  </a:graphicData>
                </a:graphic>
              </wp:anchor>
            </w:drawing>
          </mc:Choice>
          <mc:Fallback>
            <w:pict>
              <v:rect id="Rectángulo 2" o:spid="_x0000_s1028" style="position:absolute;left:0;text-align:left;margin-left:61.8pt;margin-top:25.75pt;width:32.55pt;height:149.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" filled="f" strokecolor="red" strokeweight="1.5pt">
                <v:stroke startarrowwidth="narrow" startarrowlength="short" endarrowwidth="narrow" endarrowlength="short"/>
                <v:textbox inset="2.53958mm,2.53958mm,2.53958mm,2.53958mm">
                  <w:txbxContent>
                    <w:p w:rsidR="008D5510" w:rsidRDefault="008D5510">
                      <w:pPr>
                        <w:textDirection w:val="btLr"/>
                      </w:pPr>
                    </w:p>
                  </w:txbxContent>
                </v:textbox>
              </v:rect>
            </w:pict>
          </mc:Fallback>
        </mc:AlternateContent>
      </w:r>
      <w:r w:rsidRPr="005D1E4A">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1414336</wp:posOffset>
                </wp:positionH>
                <wp:positionV relativeFrom="paragraph">
                  <wp:posOffset>1223010</wp:posOffset>
                </wp:positionV>
                <wp:extent cx="2542464" cy="374650"/>
                <wp:effectExtent l="0" t="0" r="0" b="0"/>
                <wp:wrapNone/>
                <wp:docPr id="5" name="Rectángulo 5"/>
                <wp:cNvGraphicFramePr/>
                <a:graphic xmlns:a="http://schemas.openxmlformats.org/drawingml/2006/main">
                  <a:graphicData uri="http://schemas.microsoft.com/office/word/2010/wordprocessingShape">
                    <wps:wsp>
                      <wps:cNvSpPr/>
                      <wps:spPr>
                        <a:xfrm>
                          <a:off x="0" y="0"/>
                          <a:ext cx="2542464" cy="374650"/>
                        </a:xfrm>
                        <a:prstGeom prst="rect">
                          <a:avLst/>
                        </a:prstGeom>
                        <a:noFill/>
                        <a:ln w="19050" cap="flat" cmpd="sng">
                          <a:solidFill>
                            <a:srgbClr val="FF0000"/>
                          </a:solidFill>
                          <a:prstDash val="solid"/>
                          <a:miter lim="800000"/>
                          <a:headEnd type="none" w="sm" len="sm"/>
                          <a:tailEnd type="none" w="sm" len="sm"/>
                        </a:ln>
                      </wps:spPr>
                      <wps:txbx>
                        <w:txbxContent>
                          <w:p w:rsidR="008D5510" w:rsidRDefault="008D5510">
                            <w:pPr>
                              <w:textDirection w:val="btLr"/>
                            </w:pPr>
                          </w:p>
                        </w:txbxContent>
                      </wps:txbx>
                      <wps:bodyPr spcFirstLastPara="1" wrap="square" lIns="91425" tIns="91425" rIns="91425" bIns="91425" anchor="ctr" anchorCtr="0">
                        <a:noAutofit/>
                      </wps:bodyPr>
                    </wps:wsp>
                  </a:graphicData>
                </a:graphic>
              </wp:anchor>
            </w:drawing>
          </mc:Choice>
          <mc:Fallback>
            <w:pict>
              <v:rect id="Rectángulo 5" o:spid="_x0000_s1029" style="position:absolute;left:0;text-align:left;margin-left:111.35pt;margin-top:96.3pt;width:200.2pt;height:2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" filled="f" strokecolor="red" strokeweight="1.5pt">
                <v:stroke startarrowwidth="narrow" startarrowlength="short" endarrowwidth="narrow" endarrowlength="short"/>
                <v:textbox inset="2.53958mm,2.53958mm,2.53958mm,2.53958mm">
                  <w:txbxContent>
                    <w:p w:rsidR="008D5510" w:rsidRDefault="008D5510">
                      <w:pPr>
                        <w:textDirection w:val="btLr"/>
                      </w:pPr>
                    </w:p>
                  </w:txbxContent>
                </v:textbox>
              </v:rect>
            </w:pict>
          </mc:Fallback>
        </mc:AlternateContent>
      </w:r>
      <w:r w:rsidRPr="005D1E4A">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1424233</wp:posOffset>
                </wp:positionH>
                <wp:positionV relativeFrom="paragraph">
                  <wp:posOffset>178699</wp:posOffset>
                </wp:positionV>
                <wp:extent cx="2542464" cy="488476"/>
                <wp:effectExtent l="0" t="0" r="0" b="0"/>
                <wp:wrapNone/>
                <wp:docPr id="4" name="Rectángulo 4"/>
                <wp:cNvGraphicFramePr/>
                <a:graphic xmlns:a="http://schemas.openxmlformats.org/drawingml/2006/main">
                  <a:graphicData uri="http://schemas.microsoft.com/office/word/2010/wordprocessingShape">
                    <wps:wsp>
                      <wps:cNvSpPr/>
                      <wps:spPr>
                        <a:xfrm>
                          <a:off x="0" y="0"/>
                          <a:ext cx="2542464" cy="488476"/>
                        </a:xfrm>
                        <a:prstGeom prst="rect">
                          <a:avLst/>
                        </a:prstGeom>
                        <a:noFill/>
                        <a:ln w="19050" cap="flat" cmpd="sng">
                          <a:solidFill>
                            <a:srgbClr val="FF0000"/>
                          </a:solidFill>
                          <a:prstDash val="solid"/>
                          <a:miter lim="800000"/>
                          <a:headEnd type="none" w="sm" len="sm"/>
                          <a:tailEnd type="none" w="sm" len="sm"/>
                        </a:ln>
                      </wps:spPr>
                      <wps:txbx>
                        <w:txbxContent>
                          <w:p w:rsidR="008D5510" w:rsidRDefault="008D5510">
                            <w:pPr>
                              <w:textDirection w:val="btLr"/>
                            </w:pPr>
                          </w:p>
                        </w:txbxContent>
                      </wps:txbx>
                      <wps:bodyPr spcFirstLastPara="1" wrap="square" lIns="91425" tIns="91425" rIns="91425" bIns="91425" anchor="ctr" anchorCtr="0">
                        <a:noAutofit/>
                      </wps:bodyPr>
                    </wps:wsp>
                  </a:graphicData>
                </a:graphic>
              </wp:anchor>
            </w:drawing>
          </mc:Choice>
          <mc:Fallback>
            <w:pict>
              <v:rect id="Rectángulo 4" o:spid="_x0000_s1030" style="position:absolute;left:0;text-align:left;margin-left:112.15pt;margin-top:14.05pt;width:200.2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" filled="f" strokecolor="red" strokeweight="1.5pt">
                <v:stroke startarrowwidth="narrow" startarrowlength="short" endarrowwidth="narrow" endarrowlength="short"/>
                <v:textbox inset="2.53958mm,2.53958mm,2.53958mm,2.53958mm">
                  <w:txbxContent>
                    <w:p w:rsidR="008D5510" w:rsidRDefault="008D5510">
                      <w:pPr>
                        <w:textDirection w:val="btLr"/>
                      </w:pPr>
                    </w:p>
                  </w:txbxContent>
                </v:textbox>
              </v:rect>
            </w:pict>
          </mc:Fallback>
        </mc:AlternateContent>
      </w:r>
      <w:r w:rsidR="00F55CE3" w:rsidRPr="005D1E4A">
        <w:rPr>
          <w:rFonts w:ascii="Palatino Linotype" w:eastAsia="Palatino Linotype" w:hAnsi="Palatino Linotype" w:cs="Palatino Linotype"/>
          <w:noProof/>
          <w:lang w:val="es-MX"/>
        </w:rPr>
        <w:drawing>
          <wp:inline distT="0" distB="0" distL="0" distR="0">
            <wp:extent cx="5092548" cy="225803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92548" cy="2258032"/>
                    </a:xfrm>
                    <a:prstGeom prst="rect">
                      <a:avLst/>
                    </a:prstGeom>
                    <a:ln/>
                  </pic:spPr>
                </pic:pic>
              </a:graphicData>
            </a:graphic>
          </wp:inline>
        </w:drawing>
      </w:r>
    </w:p>
    <w:p w:rsidR="008D5510" w:rsidRPr="005D1E4A" w:rsidRDefault="00F55CE3">
      <w:pPr>
        <w:widowControl w:val="0"/>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8D5510" w:rsidRPr="005D1E4A" w:rsidRDefault="00F55CE3">
      <w:pPr>
        <w:spacing w:line="360" w:lineRule="auto"/>
        <w:jc w:val="both"/>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lastRenderedPageBreak/>
        <w:t>Clave única de Registro de Población –CURP-.</w:t>
      </w: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8D5510" w:rsidRPr="005D1E4A" w:rsidRDefault="008D5510">
      <w:pPr>
        <w:spacing w:line="360" w:lineRule="auto"/>
        <w:jc w:val="both"/>
        <w:rPr>
          <w:rFonts w:ascii="Palatino Linotype" w:eastAsia="Palatino Linotype" w:hAnsi="Palatino Linotype" w:cs="Palatino Linotype"/>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8D5510" w:rsidRPr="005D1E4A" w:rsidRDefault="008D5510">
      <w:pPr>
        <w:spacing w:line="360" w:lineRule="auto"/>
        <w:jc w:val="both"/>
        <w:rPr>
          <w:rFonts w:ascii="Palatino Linotype" w:eastAsia="Palatino Linotype" w:hAnsi="Palatino Linotype" w:cs="Palatino Linotype"/>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Acorde con lo anterior, el artículo 22 del Reglamento Interior de la Secretaría de </w:t>
      </w:r>
      <w:r w:rsidRPr="005D1E4A">
        <w:rPr>
          <w:rFonts w:ascii="Palatino Linotype" w:eastAsia="Palatino Linotype" w:hAnsi="Palatino Linotype" w:cs="Palatino Linotype"/>
        </w:rPr>
        <w:t>Gobernación</w:t>
      </w:r>
      <w:r w:rsidRPr="005D1E4A">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8D5510" w:rsidRPr="005D1E4A" w:rsidRDefault="008D5510">
      <w:pPr>
        <w:spacing w:line="360" w:lineRule="auto"/>
        <w:jc w:val="both"/>
        <w:rPr>
          <w:rFonts w:ascii="Palatino Linotype" w:eastAsia="Palatino Linotype" w:hAnsi="Palatino Linotype" w:cs="Palatino Linotype"/>
          <w:b/>
          <w:bCs/>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De conformidad con lo precisado por la propia Secretaría de Gobernación en la </w:t>
      </w:r>
      <w:r w:rsidRPr="005D1E4A">
        <w:rPr>
          <w:rFonts w:ascii="Palatino Linotype" w:eastAsia="Palatino Linotype" w:hAnsi="Palatino Linotype" w:cs="Palatino Linotype"/>
        </w:rPr>
        <w:t>dirección</w:t>
      </w:r>
      <w:r w:rsidRPr="005D1E4A">
        <w:rPr>
          <w:rFonts w:ascii="Palatino Linotype" w:eastAsia="Palatino Linotype" w:hAnsi="Palatino Linotype" w:cs="Palatino Linotype"/>
          <w:color w:val="000000"/>
        </w:rPr>
        <w:t xml:space="preserve"> </w:t>
      </w:r>
      <w:hyperlink r:id="rId12">
        <w:r w:rsidRPr="005D1E4A">
          <w:rPr>
            <w:rFonts w:ascii="Palatino Linotype" w:eastAsia="Palatino Linotype" w:hAnsi="Palatino Linotype" w:cs="Palatino Linotype"/>
            <w:color w:val="0563C1"/>
            <w:u w:val="single"/>
          </w:rPr>
          <w:t>https://consultas.curp.gob.mx/CurpSP/html/informacionecurpPS.html</w:t>
        </w:r>
      </w:hyperlink>
      <w:r w:rsidRPr="005D1E4A">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D1E4A">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5D1E4A">
        <w:rPr>
          <w:rFonts w:ascii="Palatino Linotype" w:eastAsia="Palatino Linotype" w:hAnsi="Palatino Linotype" w:cs="Palatino Linotype"/>
          <w:color w:val="000000"/>
        </w:rPr>
        <w:t>(acta de nacimiento, carta de naturalización o documento migratorio) de la siguiente forma:</w:t>
      </w:r>
    </w:p>
    <w:p w:rsidR="008D5510" w:rsidRPr="005D1E4A" w:rsidRDefault="00F55CE3">
      <w:pP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 • El primero y segundo apellidos, así como al nombre de pila.</w:t>
      </w:r>
    </w:p>
    <w:p w:rsidR="008D5510" w:rsidRPr="005D1E4A" w:rsidRDefault="00F55CE3">
      <w:pP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 • La fecha de nacimiento.</w:t>
      </w:r>
    </w:p>
    <w:p w:rsidR="008D5510" w:rsidRPr="005D1E4A" w:rsidRDefault="00F55CE3">
      <w:pP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lastRenderedPageBreak/>
        <w:t xml:space="preserve"> • El sexo.</w:t>
      </w:r>
    </w:p>
    <w:p w:rsidR="008D5510" w:rsidRPr="005D1E4A" w:rsidRDefault="00F55CE3">
      <w:pP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 xml:space="preserve"> • La entidad federativa de nacimiento.</w:t>
      </w:r>
    </w:p>
    <w:p w:rsidR="008D5510" w:rsidRPr="005D1E4A" w:rsidRDefault="00F55CE3">
      <w:pPr>
        <w:spacing w:line="360" w:lineRule="auto"/>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color w:val="000000"/>
        </w:rPr>
        <w:t>Los dos últimos elementos de la CURP evitan la duplicidad de la Clave y garantizan su correcta integración.</w:t>
      </w:r>
    </w:p>
    <w:p w:rsidR="008D5510" w:rsidRPr="005D1E4A" w:rsidRDefault="008D5510">
      <w:pPr>
        <w:spacing w:line="360" w:lineRule="auto"/>
        <w:jc w:val="both"/>
        <w:rPr>
          <w:rFonts w:ascii="Palatino Linotype" w:eastAsia="Palatino Linotype" w:hAnsi="Palatino Linotype" w:cs="Palatino Linotype"/>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Como</w:t>
      </w:r>
      <w:r w:rsidRPr="005D1E4A">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8D5510" w:rsidRPr="005D1E4A" w:rsidRDefault="008D5510">
      <w:pPr>
        <w:spacing w:line="360" w:lineRule="auto"/>
        <w:jc w:val="both"/>
        <w:rPr>
          <w:rFonts w:ascii="Palatino Linotype" w:eastAsia="Palatino Linotype" w:hAnsi="Palatino Linotype" w:cs="Palatino Linotype"/>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Resulta</w:t>
      </w:r>
      <w:r w:rsidRPr="005D1E4A">
        <w:rPr>
          <w:rFonts w:ascii="Palatino Linotype" w:eastAsia="Palatino Linotype" w:hAnsi="Palatino Linotype" w:cs="Palatino Linotype"/>
          <w:color w:val="000000"/>
        </w:rPr>
        <w:t xml:space="preserve"> aplicable en la especie, como argumento orientador, el Criterio 3/10, emitido por el INAI.</w:t>
      </w:r>
    </w:p>
    <w:p w:rsidR="008D5510" w:rsidRPr="005D1E4A" w:rsidRDefault="008D5510">
      <w:pPr>
        <w:spacing w:line="360" w:lineRule="auto"/>
        <w:jc w:val="both"/>
        <w:rPr>
          <w:rFonts w:ascii="Palatino Linotype" w:eastAsia="Palatino Linotype" w:hAnsi="Palatino Linotype" w:cs="Palatino Linotype"/>
          <w:color w:val="000000"/>
        </w:rPr>
      </w:pPr>
    </w:p>
    <w:p w:rsidR="008D5510" w:rsidRPr="005D1E4A" w:rsidRDefault="00F55CE3">
      <w:pPr>
        <w:ind w:left="1134" w:right="900"/>
        <w:jc w:val="both"/>
        <w:rPr>
          <w:rFonts w:ascii="Palatino Linotype" w:eastAsia="Palatino Linotype" w:hAnsi="Palatino Linotype" w:cs="Palatino Linotype"/>
          <w:i/>
          <w:iCs/>
          <w:color w:val="000000"/>
        </w:rPr>
      </w:pPr>
      <w:r w:rsidRPr="005D1E4A">
        <w:rPr>
          <w:rFonts w:ascii="Palatino Linotype" w:eastAsia="Palatino Linotype" w:hAnsi="Palatino Linotype" w:cs="Palatino Linotype"/>
          <w:b/>
          <w:bCs/>
          <w:i/>
          <w:iCs/>
          <w:color w:val="000000"/>
        </w:rPr>
        <w:t xml:space="preserve">Clave Única de Registro de Población (CURP) es un dato personal confidencial. </w:t>
      </w:r>
      <w:r w:rsidRPr="005D1E4A">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8D5510" w:rsidRPr="005D1E4A" w:rsidRDefault="008D5510">
      <w:pPr>
        <w:ind w:left="1134" w:right="900"/>
        <w:jc w:val="both"/>
        <w:rPr>
          <w:rFonts w:ascii="Palatino Linotype" w:eastAsia="Palatino Linotype" w:hAnsi="Palatino Linotype" w:cs="Palatino Linotype"/>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lastRenderedPageBreak/>
        <w:t>De</w:t>
      </w:r>
      <w:r w:rsidRPr="005D1E4A">
        <w:rPr>
          <w:rFonts w:ascii="Palatino Linotype" w:eastAsia="Palatino Linotype" w:hAnsi="Palatino Linotype" w:cs="Palatino Linotype"/>
          <w:color w:val="000000"/>
        </w:rPr>
        <w:t xml:space="preserve"> acuerdo con lo anterior, se la clave CURP, es un dato personal confidencial, en términos del artículo 143, fracción I, de la Ley de Transparencia y Acceso a la Información Pública del Estado de México y Municipios.</w:t>
      </w:r>
    </w:p>
    <w:p w:rsidR="008D5510" w:rsidRPr="005D1E4A" w:rsidRDefault="00F55CE3">
      <w:pPr>
        <w:spacing w:line="360" w:lineRule="auto"/>
        <w:jc w:val="both"/>
        <w:rPr>
          <w:rFonts w:ascii="Palatino Linotype" w:eastAsia="Palatino Linotype" w:hAnsi="Palatino Linotype" w:cs="Palatino Linotype"/>
        </w:rPr>
      </w:pPr>
      <w:r w:rsidRPr="005D1E4A">
        <w:rPr>
          <w:rFonts w:ascii="Palatino Linotype" w:eastAsia="Palatino Linotype" w:hAnsi="Palatino Linotype" w:cs="Palatino Linotype"/>
          <w:b/>
          <w:bCs/>
        </w:rPr>
        <w:t>Teléfono y celular particular.</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rsidR="008D5510" w:rsidRPr="005D1E4A" w:rsidRDefault="008D5510">
      <w:pPr>
        <w:pBdr>
          <w:top w:val="nil"/>
          <w:left w:val="nil"/>
          <w:bottom w:val="nil"/>
          <w:right w:val="nil"/>
          <w:between w:val="nil"/>
        </w:pBdr>
        <w:ind w:left="720"/>
        <w:rPr>
          <w:rFonts w:ascii="Palatino Linotype" w:eastAsia="Palatino Linotype" w:hAnsi="Palatino Linotype" w:cs="Palatino Linotype"/>
          <w:color w:val="000000"/>
        </w:rPr>
      </w:pPr>
    </w:p>
    <w:p w:rsidR="008D5510" w:rsidRPr="005D1E4A" w:rsidRDefault="00F55CE3">
      <w:pPr>
        <w:numPr>
          <w:ilvl w:val="0"/>
          <w:numId w:val="17"/>
        </w:numPr>
        <w:spacing w:line="360" w:lineRule="auto"/>
        <w:ind w:left="0" w:firstLine="0"/>
        <w:jc w:val="both"/>
        <w:rPr>
          <w:rFonts w:ascii="Palatino Linotype" w:eastAsia="Palatino Linotype" w:hAnsi="Palatino Linotype" w:cs="Palatino Linotype"/>
        </w:rPr>
      </w:pPr>
      <w:r w:rsidRPr="005D1E4A">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numPr>
          <w:ilvl w:val="0"/>
          <w:numId w:val="17"/>
        </w:numPr>
        <w:spacing w:line="360" w:lineRule="auto"/>
        <w:ind w:left="0" w:right="34" w:firstLine="0"/>
        <w:jc w:val="both"/>
        <w:rPr>
          <w:rFonts w:ascii="Palatino Linotype" w:eastAsia="Palatino Linotype" w:hAnsi="Palatino Linotype" w:cs="Palatino Linotype"/>
          <w:color w:val="000000"/>
        </w:rPr>
      </w:pPr>
      <w:r w:rsidRPr="005D1E4A">
        <w:rPr>
          <w:rFonts w:ascii="Palatino Linotype" w:eastAsia="Palatino Linotype" w:hAnsi="Palatino Linotype" w:cs="Palatino Linotype"/>
        </w:rPr>
        <w:t>Por lo anteriormente expuesto, este Órgano Garante considera fundadas las razones o motivos de inconformidad que plantea el</w:t>
      </w:r>
      <w:r w:rsidRPr="005D1E4A">
        <w:rPr>
          <w:rFonts w:ascii="Palatino Linotype" w:eastAsia="Palatino Linotype" w:hAnsi="Palatino Linotype" w:cs="Palatino Linotype"/>
          <w:b/>
          <w:bCs/>
        </w:rPr>
        <w:t xml:space="preserve"> RECURRENTE</w:t>
      </w:r>
      <w:r w:rsidRPr="005D1E4A">
        <w:rPr>
          <w:rFonts w:ascii="Palatino Linotype" w:eastAsia="Palatino Linotype" w:hAnsi="Palatino Linotype" w:cs="Palatino Linotype"/>
        </w:rPr>
        <w:t xml:space="preserve">, determinando </w:t>
      </w:r>
      <w:r w:rsidRPr="005D1E4A">
        <w:rPr>
          <w:rFonts w:ascii="Palatino Linotype" w:eastAsia="Palatino Linotype" w:hAnsi="Palatino Linotype" w:cs="Palatino Linotype"/>
          <w:b/>
          <w:bCs/>
        </w:rPr>
        <w:t xml:space="preserve">REVOCAR </w:t>
      </w:r>
      <w:r w:rsidRPr="005D1E4A">
        <w:rPr>
          <w:rFonts w:ascii="Palatino Linotype" w:eastAsia="Palatino Linotype" w:hAnsi="Palatino Linotype" w:cs="Palatino Linotype"/>
        </w:rPr>
        <w:t xml:space="preserve">la </w:t>
      </w:r>
      <w:r w:rsidRPr="005D1E4A">
        <w:rPr>
          <w:rFonts w:ascii="Palatino Linotype" w:eastAsia="Palatino Linotype" w:hAnsi="Palatino Linotype" w:cs="Palatino Linotype"/>
        </w:rPr>
        <w:lastRenderedPageBreak/>
        <w:t xml:space="preserve">respuesta del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D1E4A">
        <w:rPr>
          <w:rFonts w:ascii="Palatino Linotype" w:eastAsia="Palatino Linotype" w:hAnsi="Palatino Linotype" w:cs="Palatino Linotype"/>
          <w:color w:val="000000"/>
        </w:rPr>
        <w:t xml:space="preserve">este </w:t>
      </w:r>
      <w:r w:rsidRPr="005D1E4A">
        <w:rPr>
          <w:rFonts w:ascii="Palatino Linotype" w:eastAsia="Palatino Linotype" w:hAnsi="Palatino Linotype" w:cs="Palatino Linotype"/>
          <w:b/>
          <w:bCs/>
          <w:color w:val="000000"/>
        </w:rPr>
        <w:t>ÓRGANO GARANTE</w:t>
      </w:r>
      <w:r w:rsidRPr="005D1E4A">
        <w:rPr>
          <w:rFonts w:ascii="Palatino Linotype" w:eastAsia="Palatino Linotype" w:hAnsi="Palatino Linotype" w:cs="Palatino Linotype"/>
          <w:color w:val="000000"/>
        </w:rPr>
        <w:t xml:space="preserve"> emite los siguientes.</w:t>
      </w:r>
    </w:p>
    <w:p w:rsidR="005D1E4A" w:rsidRDefault="005D1E4A">
      <w:pPr>
        <w:pStyle w:val="Ttulo1"/>
        <w:spacing w:before="0" w:line="360" w:lineRule="auto"/>
        <w:jc w:val="center"/>
        <w:rPr>
          <w:rFonts w:ascii="Palatino Linotype" w:eastAsia="Palatino Linotype" w:hAnsi="Palatino Linotype" w:cs="Palatino Linotype"/>
          <w:b/>
          <w:bCs/>
          <w:color w:val="000000"/>
          <w:sz w:val="24"/>
          <w:szCs w:val="24"/>
        </w:rPr>
      </w:pPr>
    </w:p>
    <w:p w:rsidR="008D5510" w:rsidRPr="005D1E4A" w:rsidRDefault="00F55CE3">
      <w:pPr>
        <w:pStyle w:val="Ttulo1"/>
        <w:spacing w:before="0" w:line="360" w:lineRule="auto"/>
        <w:jc w:val="center"/>
        <w:rPr>
          <w:rFonts w:ascii="Palatino Linotype" w:eastAsia="Palatino Linotype" w:hAnsi="Palatino Linotype" w:cs="Palatino Linotype"/>
          <w:b/>
          <w:bCs/>
          <w:color w:val="000000"/>
          <w:sz w:val="24"/>
          <w:szCs w:val="24"/>
        </w:rPr>
      </w:pPr>
      <w:r w:rsidRPr="005D1E4A">
        <w:rPr>
          <w:rFonts w:ascii="Palatino Linotype" w:eastAsia="Palatino Linotype" w:hAnsi="Palatino Linotype" w:cs="Palatino Linotype"/>
          <w:b/>
          <w:bCs/>
          <w:color w:val="000000"/>
          <w:sz w:val="24"/>
          <w:szCs w:val="24"/>
        </w:rPr>
        <w:t>R E S O L U T I V O S</w:t>
      </w:r>
    </w:p>
    <w:p w:rsidR="008D5510" w:rsidRPr="005D1E4A" w:rsidRDefault="008D5510">
      <w:pPr>
        <w:spacing w:line="360" w:lineRule="auto"/>
        <w:rPr>
          <w:rFonts w:ascii="Palatino Linotype" w:eastAsia="Palatino Linotype" w:hAnsi="Palatino Linotype" w:cs="Palatino Linotype"/>
        </w:rPr>
      </w:pPr>
    </w:p>
    <w:p w:rsidR="008D5510" w:rsidRPr="005D1E4A" w:rsidRDefault="00F55CE3">
      <w:pPr>
        <w:spacing w:line="360" w:lineRule="auto"/>
        <w:jc w:val="both"/>
        <w:rPr>
          <w:rFonts w:ascii="Palatino Linotype" w:eastAsia="Palatino Linotype" w:hAnsi="Palatino Linotype" w:cs="Palatino Linotype"/>
        </w:rPr>
      </w:pPr>
      <w:r w:rsidRPr="005D1E4A">
        <w:rPr>
          <w:rFonts w:ascii="Palatino Linotype" w:eastAsia="Palatino Linotype" w:hAnsi="Palatino Linotype" w:cs="Palatino Linotype"/>
          <w:b/>
          <w:bCs/>
        </w:rPr>
        <w:t>PRIMERO</w:t>
      </w:r>
      <w:r w:rsidRPr="005D1E4A">
        <w:rPr>
          <w:rFonts w:ascii="Palatino Linotype" w:eastAsia="Palatino Linotype" w:hAnsi="Palatino Linotype" w:cs="Palatino Linotype"/>
        </w:rPr>
        <w:t xml:space="preserve">. Resultan fundadas las razones o motivos de inconformidad hechos valer en el Recurso de Revisión </w:t>
      </w:r>
      <w:r w:rsidRPr="005D1E4A">
        <w:rPr>
          <w:rFonts w:ascii="Palatino Linotype" w:eastAsia="Palatino Linotype" w:hAnsi="Palatino Linotype" w:cs="Palatino Linotype"/>
          <w:b/>
          <w:bCs/>
        </w:rPr>
        <w:t xml:space="preserve">1003/INFOEM/IP/RR/2026, </w:t>
      </w:r>
      <w:r w:rsidRPr="005D1E4A">
        <w:rPr>
          <w:rFonts w:ascii="Palatino Linotype" w:eastAsia="Palatino Linotype" w:hAnsi="Palatino Linotype" w:cs="Palatino Linotype"/>
        </w:rPr>
        <w:t xml:space="preserve">en términos de los  Considerandos </w:t>
      </w:r>
      <w:r w:rsidRPr="005D1E4A">
        <w:rPr>
          <w:rFonts w:ascii="Palatino Linotype" w:eastAsia="Palatino Linotype" w:hAnsi="Palatino Linotype" w:cs="Palatino Linotype"/>
          <w:b/>
          <w:bCs/>
        </w:rPr>
        <w:t xml:space="preserve">Cuarto y Quinto </w:t>
      </w:r>
      <w:r w:rsidRPr="005D1E4A">
        <w:rPr>
          <w:rFonts w:ascii="Palatino Linotype" w:eastAsia="Palatino Linotype" w:hAnsi="Palatino Linotype" w:cs="Palatino Linotype"/>
        </w:rPr>
        <w:t xml:space="preserve">de la presente resolución. </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spacing w:line="360" w:lineRule="auto"/>
        <w:jc w:val="both"/>
        <w:rPr>
          <w:rFonts w:ascii="Palatino Linotype" w:eastAsia="Palatino Linotype" w:hAnsi="Palatino Linotype" w:cs="Palatino Linotype"/>
          <w:color w:val="000000"/>
        </w:rPr>
      </w:pPr>
      <w:bookmarkStart w:id="10" w:name="_heading=h.z337ya" w:colFirst="0" w:colLast="0"/>
      <w:bookmarkEnd w:id="10"/>
      <w:r w:rsidRPr="005D1E4A">
        <w:rPr>
          <w:rFonts w:ascii="Palatino Linotype" w:eastAsia="Palatino Linotype" w:hAnsi="Palatino Linotype" w:cs="Palatino Linotype"/>
          <w:b/>
          <w:bCs/>
        </w:rPr>
        <w:t xml:space="preserve">SEGUNDO. </w:t>
      </w:r>
      <w:r w:rsidRPr="005D1E4A">
        <w:rPr>
          <w:rFonts w:ascii="Palatino Linotype" w:eastAsia="Palatino Linotype" w:hAnsi="Palatino Linotype" w:cs="Palatino Linotype"/>
          <w:color w:val="000000"/>
        </w:rPr>
        <w:t xml:space="preserve">Se </w:t>
      </w:r>
      <w:r w:rsidRPr="005D1E4A">
        <w:rPr>
          <w:rFonts w:ascii="Palatino Linotype" w:eastAsia="Palatino Linotype" w:hAnsi="Palatino Linotype" w:cs="Palatino Linotype"/>
          <w:b/>
          <w:bCs/>
          <w:color w:val="000000"/>
        </w:rPr>
        <w:t xml:space="preserve">REVOCA </w:t>
      </w:r>
      <w:r w:rsidRPr="005D1E4A">
        <w:rPr>
          <w:rFonts w:ascii="Palatino Linotype" w:eastAsia="Palatino Linotype" w:hAnsi="Palatino Linotype" w:cs="Palatino Linotype"/>
          <w:color w:val="000000"/>
        </w:rPr>
        <w:t xml:space="preserve">la respuesta emitida por el </w:t>
      </w:r>
      <w:r w:rsidRPr="005D1E4A">
        <w:rPr>
          <w:rFonts w:ascii="Palatino Linotype" w:eastAsia="Palatino Linotype" w:hAnsi="Palatino Linotype" w:cs="Palatino Linotype"/>
          <w:b/>
          <w:bCs/>
          <w:color w:val="000000"/>
        </w:rPr>
        <w:t xml:space="preserve">Ayuntamiento de Tepotzotlán </w:t>
      </w:r>
      <w:r w:rsidRPr="005D1E4A">
        <w:rPr>
          <w:rFonts w:ascii="Palatino Linotype" w:eastAsia="Palatino Linotype" w:hAnsi="Palatino Linotype" w:cs="Palatino Linotype"/>
          <w:color w:val="000000"/>
        </w:rPr>
        <w:t xml:space="preserve">y se </w:t>
      </w:r>
      <w:r w:rsidRPr="005D1E4A">
        <w:rPr>
          <w:rFonts w:ascii="Palatino Linotype" w:eastAsia="Palatino Linotype" w:hAnsi="Palatino Linotype" w:cs="Palatino Linotype"/>
          <w:b/>
          <w:bCs/>
          <w:color w:val="000000"/>
        </w:rPr>
        <w:t>ORDENA</w:t>
      </w:r>
      <w:r w:rsidRPr="005D1E4A">
        <w:rPr>
          <w:rFonts w:ascii="Palatino Linotype" w:eastAsia="Palatino Linotype" w:hAnsi="Palatino Linotype" w:cs="Palatino Linotype"/>
          <w:color w:val="000000"/>
        </w:rPr>
        <w:t xml:space="preserve"> entregar vía Sistema de Acceso a la Información Mexiquense </w:t>
      </w:r>
      <w:r w:rsidRPr="005D1E4A">
        <w:rPr>
          <w:rFonts w:ascii="Palatino Linotype" w:eastAsia="Palatino Linotype" w:hAnsi="Palatino Linotype" w:cs="Palatino Linotype"/>
          <w:b/>
          <w:bCs/>
          <w:color w:val="000000"/>
        </w:rPr>
        <w:t>(SAIMEX)</w:t>
      </w:r>
      <w:r w:rsidRPr="005D1E4A">
        <w:rPr>
          <w:rFonts w:ascii="Palatino Linotype" w:eastAsia="Palatino Linotype" w:hAnsi="Palatino Linotype" w:cs="Palatino Linotype"/>
          <w:color w:val="000000"/>
        </w:rPr>
        <w:t xml:space="preserve">, la siguiente información, de ser el caso en versión pública, del ejercicio fiscal dos mil veinticuatro y del uno de enero al diecinueve de diciembre de dos mil veinticinco el o los documentos donde conste lo siguiente. </w:t>
      </w:r>
    </w:p>
    <w:p w:rsidR="008D5510" w:rsidRPr="005D1E4A" w:rsidRDefault="00F55CE3">
      <w:pPr>
        <w:spacing w:line="360" w:lineRule="auto"/>
        <w:jc w:val="both"/>
        <w:rPr>
          <w:rFonts w:ascii="Palatino Linotype" w:eastAsia="Palatino Linotype" w:hAnsi="Palatino Linotype" w:cs="Palatino Linotype"/>
          <w:b/>
          <w:bCs/>
          <w:color w:val="000000"/>
        </w:rPr>
      </w:pPr>
      <w:r w:rsidRPr="005D1E4A">
        <w:rPr>
          <w:rFonts w:ascii="Palatino Linotype" w:eastAsia="Palatino Linotype" w:hAnsi="Palatino Linotype" w:cs="Palatino Linotype"/>
          <w:b/>
          <w:bCs/>
          <w:color w:val="000000"/>
        </w:rPr>
        <w:t xml:space="preserve"> </w:t>
      </w:r>
    </w:p>
    <w:p w:rsidR="008D5510" w:rsidRPr="005D1E4A" w:rsidRDefault="00F55CE3">
      <w:pPr>
        <w:numPr>
          <w:ilvl w:val="2"/>
          <w:numId w:val="18"/>
        </w:numPr>
        <w:pBdr>
          <w:top w:val="nil"/>
          <w:left w:val="nil"/>
          <w:bottom w:val="nil"/>
          <w:right w:val="nil"/>
          <w:between w:val="nil"/>
        </w:pBdr>
        <w:ind w:left="1134" w:right="900"/>
        <w:jc w:val="both"/>
        <w:rPr>
          <w:rFonts w:ascii="Palatino Linotype" w:eastAsia="Palatino Linotype" w:hAnsi="Palatino Linotype" w:cs="Palatino Linotype"/>
          <w:i/>
          <w:iCs/>
          <w:color w:val="000000"/>
        </w:rPr>
      </w:pPr>
      <w:bookmarkStart w:id="11" w:name="_heading=h.wn258iab0l7i" w:colFirst="0" w:colLast="0"/>
      <w:bookmarkEnd w:id="11"/>
      <w:r w:rsidRPr="005D1E4A">
        <w:rPr>
          <w:rFonts w:ascii="Palatino Linotype" w:eastAsia="Palatino Linotype" w:hAnsi="Palatino Linotype" w:cs="Palatino Linotype"/>
          <w:b/>
          <w:bCs/>
          <w:i/>
          <w:iCs/>
          <w:color w:val="000000"/>
        </w:rPr>
        <w:t>Empresas, asociaciones civiles o personas físicas que hayan recibido recursos, apoyos, estímulos, subsidios o contratos vinculados a programas de desarrollo económico, especificando montos y concepto.</w:t>
      </w:r>
    </w:p>
    <w:p w:rsidR="008D5510" w:rsidRPr="005D1E4A" w:rsidRDefault="008D5510">
      <w:pPr>
        <w:pBdr>
          <w:top w:val="nil"/>
          <w:left w:val="nil"/>
          <w:bottom w:val="nil"/>
          <w:right w:val="nil"/>
          <w:between w:val="nil"/>
        </w:pBdr>
        <w:ind w:left="594" w:right="900"/>
        <w:jc w:val="both"/>
        <w:rPr>
          <w:rFonts w:ascii="Palatino Linotype" w:eastAsia="Palatino Linotype" w:hAnsi="Palatino Linotype" w:cs="Palatino Linotype"/>
          <w:i/>
          <w:iCs/>
        </w:rPr>
      </w:pPr>
    </w:p>
    <w:p w:rsidR="008D5510" w:rsidRPr="005D1E4A" w:rsidRDefault="00F55CE3">
      <w:pPr>
        <w:tabs>
          <w:tab w:val="left" w:pos="8080"/>
        </w:tabs>
        <w:spacing w:line="276" w:lineRule="auto"/>
        <w:ind w:left="851" w:right="758"/>
        <w:jc w:val="both"/>
        <w:rPr>
          <w:rFonts w:ascii="Palatino Linotype" w:eastAsia="Palatino Linotype" w:hAnsi="Palatino Linotype" w:cs="Palatino Linotype"/>
          <w:b/>
          <w:bCs/>
          <w:i/>
          <w:iCs/>
        </w:rPr>
      </w:pPr>
      <w:r w:rsidRPr="005D1E4A">
        <w:rPr>
          <w:rFonts w:ascii="Palatino Linotype" w:eastAsia="Palatino Linotype" w:hAnsi="Palatino Linotype" w:cs="Palatino Linotype"/>
          <w:i/>
          <w:iC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5D1E4A">
        <w:rPr>
          <w:rFonts w:ascii="Palatino Linotype" w:eastAsia="Palatino Linotype" w:hAnsi="Palatino Linotype" w:cs="Palatino Linotype"/>
          <w:i/>
          <w:iCs/>
        </w:rPr>
        <w:lastRenderedPageBreak/>
        <w:t xml:space="preserve">eliminen dentro del soporte documental respectivo objeto de las versiones públicas que se formulen y se pongan a disposición del </w:t>
      </w:r>
      <w:r w:rsidRPr="005D1E4A">
        <w:rPr>
          <w:rFonts w:ascii="Palatino Linotype" w:eastAsia="Palatino Linotype" w:hAnsi="Palatino Linotype" w:cs="Palatino Linotype"/>
          <w:b/>
          <w:bCs/>
          <w:i/>
          <w:iCs/>
        </w:rPr>
        <w:t>RECURRENTE.</w:t>
      </w:r>
    </w:p>
    <w:p w:rsidR="008D5510" w:rsidRPr="005D1E4A" w:rsidRDefault="008D5510">
      <w:pPr>
        <w:tabs>
          <w:tab w:val="left" w:pos="8080"/>
        </w:tabs>
        <w:spacing w:line="360" w:lineRule="auto"/>
        <w:ind w:right="49"/>
        <w:jc w:val="both"/>
        <w:rPr>
          <w:rFonts w:ascii="Palatino Linotype" w:eastAsia="Palatino Linotype" w:hAnsi="Palatino Linotype" w:cs="Palatino Linotype"/>
          <w:b/>
          <w:bCs/>
        </w:rPr>
      </w:pPr>
    </w:p>
    <w:p w:rsidR="008D5510" w:rsidRPr="005D1E4A" w:rsidRDefault="008D5510">
      <w:pPr>
        <w:tabs>
          <w:tab w:val="left" w:pos="8080"/>
        </w:tabs>
        <w:spacing w:line="360" w:lineRule="auto"/>
        <w:ind w:right="49"/>
        <w:jc w:val="both"/>
        <w:rPr>
          <w:rFonts w:ascii="Palatino Linotype" w:eastAsia="Palatino Linotype" w:hAnsi="Palatino Linotype" w:cs="Palatino Linotype"/>
          <w:b/>
          <w:bCs/>
        </w:rPr>
      </w:pPr>
    </w:p>
    <w:p w:rsidR="008D5510" w:rsidRPr="005D1E4A" w:rsidRDefault="00F55CE3">
      <w:pPr>
        <w:tabs>
          <w:tab w:val="left" w:pos="8080"/>
        </w:tabs>
        <w:spacing w:line="360" w:lineRule="auto"/>
        <w:ind w:right="49"/>
        <w:jc w:val="both"/>
        <w:rPr>
          <w:rFonts w:ascii="Palatino Linotype" w:eastAsia="Palatino Linotype" w:hAnsi="Palatino Linotype" w:cs="Palatino Linotype"/>
          <w:color w:val="222222"/>
          <w:highlight w:val="white"/>
        </w:rPr>
      </w:pPr>
      <w:r w:rsidRPr="005D1E4A">
        <w:rPr>
          <w:rFonts w:ascii="Palatino Linotype" w:eastAsia="Palatino Linotype" w:hAnsi="Palatino Linotype" w:cs="Palatino Linotype"/>
          <w:b/>
          <w:bCs/>
        </w:rPr>
        <w:t xml:space="preserve">TERCERO. </w:t>
      </w:r>
      <w:r w:rsidRPr="005D1E4A">
        <w:rPr>
          <w:rFonts w:ascii="Palatino Linotype" w:eastAsia="Palatino Linotype" w:hAnsi="Palatino Linotype" w:cs="Palatino Linotype"/>
          <w:b/>
          <w:bCs/>
          <w:color w:val="222222"/>
          <w:highlight w:val="white"/>
        </w:rPr>
        <w:t xml:space="preserve">NOTIFÍQUESE </w:t>
      </w:r>
      <w:r w:rsidRPr="005D1E4A">
        <w:rPr>
          <w:rFonts w:ascii="Palatino Linotype" w:eastAsia="Palatino Linotype" w:hAnsi="Palatino Linotype" w:cs="Palatino Linotype"/>
          <w:color w:val="222222"/>
          <w:highlight w:val="whit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D1E4A">
        <w:rPr>
          <w:rFonts w:ascii="Palatino Linotype" w:eastAsia="Palatino Linotype" w:hAnsi="Palatino Linotype" w:cs="Palatino Linotype"/>
          <w:b/>
          <w:bCs/>
          <w:color w:val="222222"/>
          <w:highlight w:val="white"/>
        </w:rPr>
        <w:t xml:space="preserve">dé cumplimiento a lo ordenado dentro del plazo de diez días hábiles, </w:t>
      </w:r>
      <w:r w:rsidRPr="005D1E4A">
        <w:rPr>
          <w:rFonts w:ascii="Palatino Linotype" w:eastAsia="Palatino Linotype" w:hAnsi="Palatino Linotype" w:cs="Palatino Linotype"/>
          <w:color w:val="222222"/>
          <w:highlight w:val="whit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8D5510" w:rsidRPr="005D1E4A" w:rsidRDefault="008D5510">
      <w:pPr>
        <w:tabs>
          <w:tab w:val="left" w:pos="8080"/>
        </w:tabs>
        <w:spacing w:line="360" w:lineRule="auto"/>
        <w:ind w:right="49"/>
        <w:jc w:val="both"/>
        <w:rPr>
          <w:rFonts w:ascii="Palatino Linotype" w:eastAsia="Palatino Linotype" w:hAnsi="Palatino Linotype" w:cs="Palatino Linotype"/>
          <w:highlight w:val="white"/>
        </w:rPr>
      </w:pPr>
    </w:p>
    <w:p w:rsidR="008D5510" w:rsidRPr="005D1E4A" w:rsidRDefault="00F55CE3">
      <w:pPr>
        <w:spacing w:line="360" w:lineRule="auto"/>
        <w:jc w:val="both"/>
        <w:rPr>
          <w:rFonts w:ascii="Palatino Linotype" w:eastAsia="Palatino Linotype" w:hAnsi="Palatino Linotype" w:cs="Palatino Linotype"/>
        </w:rPr>
      </w:pPr>
      <w:r w:rsidRPr="005D1E4A">
        <w:rPr>
          <w:rFonts w:ascii="Palatino Linotype" w:eastAsia="Palatino Linotype" w:hAnsi="Palatino Linotype" w:cs="Palatino Linotype"/>
          <w:b/>
          <w:bCs/>
        </w:rPr>
        <w:t xml:space="preserve">CUARTO. </w:t>
      </w:r>
      <w:r w:rsidRPr="005D1E4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D1E4A">
        <w:rPr>
          <w:rFonts w:ascii="Palatino Linotype" w:eastAsia="Palatino Linotype" w:hAnsi="Palatino Linotype" w:cs="Palatino Linotype"/>
          <w:b/>
          <w:bCs/>
        </w:rPr>
        <w:t>SUJETO OBLIGADO</w:t>
      </w:r>
      <w:r w:rsidRPr="005D1E4A">
        <w:rPr>
          <w:rFonts w:ascii="Palatino Linotype" w:eastAsia="Palatino Linotype" w:hAnsi="Palatino Linotype" w:cs="Palatino Linotype"/>
        </w:rPr>
        <w:t xml:space="preserve"> de manera fundada y motivada, podrá solicitar una ampliación de plazo para el cumplimiento de la presente resolución.</w:t>
      </w: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F55CE3">
      <w:pPr>
        <w:tabs>
          <w:tab w:val="left" w:pos="8080"/>
        </w:tabs>
        <w:spacing w:line="360" w:lineRule="auto"/>
        <w:ind w:right="49"/>
        <w:jc w:val="both"/>
        <w:rPr>
          <w:rFonts w:ascii="Palatino Linotype" w:eastAsia="Palatino Linotype" w:hAnsi="Palatino Linotype" w:cs="Palatino Linotype"/>
        </w:rPr>
      </w:pPr>
      <w:bookmarkStart w:id="12" w:name="_heading=h.1y810tw" w:colFirst="0" w:colLast="0"/>
      <w:bookmarkEnd w:id="12"/>
      <w:r w:rsidRPr="005D1E4A">
        <w:rPr>
          <w:rFonts w:ascii="Palatino Linotype" w:eastAsia="Palatino Linotype" w:hAnsi="Palatino Linotype" w:cs="Palatino Linotype"/>
          <w:b/>
          <w:bCs/>
        </w:rPr>
        <w:t xml:space="preserve">QUINTO. </w:t>
      </w:r>
      <w:r w:rsidRPr="005D1E4A">
        <w:rPr>
          <w:rFonts w:ascii="Palatino Linotype" w:eastAsia="Palatino Linotype" w:hAnsi="Palatino Linotype" w:cs="Palatino Linotype"/>
        </w:rPr>
        <w:t xml:space="preserve">Notifíquese a </w:t>
      </w:r>
      <w:r w:rsidRPr="005D1E4A">
        <w:rPr>
          <w:rFonts w:ascii="Palatino Linotype" w:eastAsia="Palatino Linotype" w:hAnsi="Palatino Linotype" w:cs="Palatino Linotype"/>
          <w:b/>
          <w:bCs/>
        </w:rPr>
        <w:t>EL RECURRENTE</w:t>
      </w:r>
      <w:r w:rsidRPr="005D1E4A">
        <w:rPr>
          <w:rFonts w:ascii="Palatino Linotype" w:eastAsia="Palatino Linotype" w:hAnsi="Palatino Linotype" w:cs="Palatino Linotype"/>
        </w:rPr>
        <w:t xml:space="preserve"> la presente resolución, vía SAIMEX.</w:t>
      </w:r>
    </w:p>
    <w:p w:rsidR="008D5510" w:rsidRPr="005D1E4A" w:rsidRDefault="008D5510">
      <w:pPr>
        <w:tabs>
          <w:tab w:val="left" w:pos="8080"/>
        </w:tabs>
        <w:spacing w:line="360" w:lineRule="auto"/>
        <w:ind w:right="49"/>
        <w:jc w:val="both"/>
        <w:rPr>
          <w:rFonts w:ascii="Palatino Linotype" w:eastAsia="Palatino Linotype" w:hAnsi="Palatino Linotype" w:cs="Palatino Linotype"/>
        </w:rPr>
      </w:pPr>
    </w:p>
    <w:p w:rsidR="008D5510" w:rsidRPr="005D1E4A" w:rsidRDefault="00F55CE3">
      <w:pPr>
        <w:shd w:val="clear" w:color="auto" w:fill="FFFFFF"/>
        <w:spacing w:line="360" w:lineRule="auto"/>
        <w:jc w:val="both"/>
        <w:rPr>
          <w:rFonts w:ascii="Palatino Linotype" w:eastAsia="Palatino Linotype" w:hAnsi="Palatino Linotype" w:cs="Palatino Linotype"/>
        </w:rPr>
      </w:pPr>
      <w:r w:rsidRPr="005D1E4A">
        <w:rPr>
          <w:rFonts w:ascii="Palatino Linotype" w:eastAsia="Palatino Linotype" w:hAnsi="Palatino Linotype" w:cs="Palatino Linotype"/>
          <w:b/>
          <w:bCs/>
        </w:rPr>
        <w:t>SEXTO.</w:t>
      </w:r>
      <w:r w:rsidRPr="005D1E4A">
        <w:rPr>
          <w:rFonts w:ascii="Palatino Linotype" w:eastAsia="Palatino Linotype" w:hAnsi="Palatino Linotype" w:cs="Palatino Linotype"/>
        </w:rPr>
        <w:t xml:space="preserve"> Se hace del conocimiento de </w:t>
      </w:r>
      <w:r w:rsidRPr="005D1E4A">
        <w:rPr>
          <w:rFonts w:ascii="Palatino Linotype" w:eastAsia="Palatino Linotype" w:hAnsi="Palatino Linotype" w:cs="Palatino Linotype"/>
          <w:b/>
          <w:bCs/>
        </w:rPr>
        <w:t>EL RECURRENTE</w:t>
      </w:r>
      <w:r w:rsidRPr="005D1E4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w:t>
      </w:r>
      <w:r w:rsidRPr="005D1E4A">
        <w:rPr>
          <w:rFonts w:ascii="Palatino Linotype" w:eastAsia="Palatino Linotype" w:hAnsi="Palatino Linotype" w:cs="Palatino Linotype"/>
        </w:rPr>
        <w:lastRenderedPageBreak/>
        <w:t xml:space="preserve">algún perjuicio podrá impugnarla vía juicio de amparo en los términos de las leyes aplicables. </w:t>
      </w:r>
    </w:p>
    <w:p w:rsidR="008D5510" w:rsidRPr="005D1E4A" w:rsidRDefault="008D5510">
      <w:pPr>
        <w:shd w:val="clear" w:color="auto" w:fill="FFFFFF"/>
        <w:spacing w:line="360" w:lineRule="auto"/>
        <w:jc w:val="both"/>
        <w:rPr>
          <w:rFonts w:ascii="Palatino Linotype" w:eastAsia="Palatino Linotype" w:hAnsi="Palatino Linotype" w:cs="Palatino Linotype"/>
        </w:rPr>
      </w:pPr>
    </w:p>
    <w:p w:rsidR="008E2E58" w:rsidRPr="005D1E4A" w:rsidRDefault="008E2E58" w:rsidP="008E2E58">
      <w:pPr>
        <w:spacing w:before="240" w:after="240" w:line="360" w:lineRule="auto"/>
        <w:ind w:firstLine="1"/>
        <w:jc w:val="both"/>
        <w:rPr>
          <w:rFonts w:ascii="Palatino Linotype" w:hAnsi="Palatino Linotype"/>
        </w:rPr>
      </w:pPr>
      <w:bookmarkStart w:id="13" w:name="_Hlk99014733"/>
      <w:r w:rsidRPr="005D1E4A">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5D1E4A">
        <w:rPr>
          <w:rFonts w:ascii="Palatino Linotype" w:hAnsi="Palatino Linotype" w:cs="Palatino Linotype"/>
          <w:color w:val="000000" w:themeColor="text1"/>
        </w:rPr>
        <w:t>ALEXIS TAPIA RAMÍREZ.</w:t>
      </w:r>
    </w:p>
    <w:bookmarkEnd w:id="13"/>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8D5510">
      <w:pPr>
        <w:spacing w:line="360" w:lineRule="auto"/>
        <w:jc w:val="both"/>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8D5510">
      <w:pPr>
        <w:spacing w:line="360" w:lineRule="auto"/>
        <w:rPr>
          <w:rFonts w:ascii="Palatino Linotype" w:eastAsia="Palatino Linotype" w:hAnsi="Palatino Linotype" w:cs="Palatino Linotype"/>
        </w:rPr>
      </w:pPr>
    </w:p>
    <w:p w:rsidR="008D5510" w:rsidRPr="005D1E4A" w:rsidRDefault="00F55CE3">
      <w:pPr>
        <w:tabs>
          <w:tab w:val="left" w:pos="3374"/>
        </w:tabs>
        <w:spacing w:line="360" w:lineRule="auto"/>
        <w:rPr>
          <w:rFonts w:ascii="Palatino Linotype" w:eastAsia="Palatino Linotype" w:hAnsi="Palatino Linotype" w:cs="Palatino Linotype"/>
        </w:rPr>
      </w:pPr>
      <w:r w:rsidRPr="005D1E4A">
        <w:rPr>
          <w:rFonts w:ascii="Palatino Linotype" w:eastAsia="Palatino Linotype" w:hAnsi="Palatino Linotype" w:cs="Palatino Linotype"/>
        </w:rPr>
        <w:lastRenderedPageBreak/>
        <w:tab/>
      </w: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Pr>
        <w:tabs>
          <w:tab w:val="left" w:pos="3374"/>
        </w:tabs>
        <w:spacing w:line="360" w:lineRule="auto"/>
        <w:rPr>
          <w:rFonts w:ascii="Palatino Linotype" w:eastAsia="Palatino Linotype" w:hAnsi="Palatino Linotype" w:cs="Palatino Linotype"/>
        </w:rPr>
      </w:pPr>
    </w:p>
    <w:p w:rsidR="008D5510" w:rsidRPr="005D1E4A" w:rsidRDefault="008D5510"/>
    <w:p w:rsidR="008D5510" w:rsidRPr="005D1E4A" w:rsidRDefault="008D5510"/>
    <w:p w:rsidR="008D5510" w:rsidRPr="005D1E4A" w:rsidRDefault="008D5510"/>
    <w:p w:rsidR="008D5510" w:rsidRPr="005D1E4A" w:rsidRDefault="008D5510"/>
    <w:p w:rsidR="008D5510" w:rsidRPr="005D1E4A" w:rsidRDefault="00F55CE3">
      <w:r w:rsidRPr="005D1E4A">
        <w:tab/>
      </w:r>
    </w:p>
    <w:p w:rsidR="008D5510" w:rsidRPr="005D1E4A" w:rsidRDefault="008D5510"/>
    <w:sectPr w:rsidR="008D5510" w:rsidRPr="005D1E4A" w:rsidSect="005D1E4A">
      <w:headerReference w:type="even" r:id="rId13"/>
      <w:headerReference w:type="default" r:id="rId14"/>
      <w:footerReference w:type="default" r:id="rId15"/>
      <w:headerReference w:type="first" r:id="rId16"/>
      <w:footerReference w:type="first" r:id="rId17"/>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172" w:rsidRDefault="00141172">
      <w:r>
        <w:separator/>
      </w:r>
    </w:p>
  </w:endnote>
  <w:endnote w:type="continuationSeparator" w:id="0">
    <w:p w:rsidR="00141172" w:rsidRDefault="00141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71901F1C-EE95-4A8F-AD29-4E83B4371ECA}"/>
    <w:embedBold r:id="rId2" w:fontKey="{16CCD838-B52D-4046-A1E7-60EF4B083AA8}"/>
    <w:embedItalic r:id="rId3" w:fontKey="{C31F219A-6A61-4DD1-8E14-AC0F839B0A1B}"/>
    <w:embedBoldItalic r:id="rId4" w:fontKey="{9367E202-14F9-4817-B64D-118FD37AA8C8}"/>
  </w:font>
  <w:font w:name="Noto Sans Symbols">
    <w:altName w:val="Times New Roman"/>
    <w:charset w:val="00"/>
    <w:family w:val="auto"/>
    <w:pitch w:val="default"/>
    <w:embedRegular r:id="rId5" w:fontKey="{78098FE2-8C69-43B6-A5C6-6431A52D88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CB4713A-3BAD-40F5-817E-F22B13A23704}"/>
    <w:embedBold r:id="rId7" w:fontKey="{075BAC49-DCC0-44BC-AACD-4FF09ABBDA40}"/>
    <w:embedItalic r:id="rId8" w:fontKey="{CA28F77B-D36D-4E56-A99B-69CC64F22CC2}"/>
  </w:font>
  <w:font w:name="Georgia">
    <w:panose1 w:val="02040502050405020303"/>
    <w:charset w:val="00"/>
    <w:family w:val="roman"/>
    <w:pitch w:val="variable"/>
    <w:sig w:usb0="00000287" w:usb1="00000000" w:usb2="00000000" w:usb3="00000000" w:csb0="0000009F" w:csb1="00000000"/>
    <w:embedItalic r:id="rId9" w:fontKey="{4C8F97CB-F4B2-4ECF-9B47-373C463E3EF6}"/>
  </w:font>
  <w:font w:name="Cambria">
    <w:panose1 w:val="02040503050406030204"/>
    <w:charset w:val="00"/>
    <w:family w:val="roman"/>
    <w:pitch w:val="variable"/>
    <w:sig w:usb0="E00006FF" w:usb1="420024FF" w:usb2="02000000" w:usb3="00000000" w:csb0="0000019F" w:csb1="00000000"/>
    <w:embedRegular r:id="rId10" w:fontKey="{3165E1BE-A1B4-434D-990D-AFB4B1134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10" w:rsidRDefault="00F55CE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02029">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02029">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rsidR="008D5510" w:rsidRDefault="008D551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10" w:rsidRDefault="00F55CE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0202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02029">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rsidR="008D5510" w:rsidRDefault="008D551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172" w:rsidRDefault="00141172">
      <w:r>
        <w:separator/>
      </w:r>
    </w:p>
  </w:footnote>
  <w:footnote w:type="continuationSeparator" w:id="0">
    <w:p w:rsidR="00141172" w:rsidRDefault="00141172">
      <w:r>
        <w:continuationSeparator/>
      </w:r>
    </w:p>
  </w:footnote>
  <w:footnote w:id="1">
    <w:p w:rsidR="008D5510" w:rsidRDefault="00F55C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8D5510" w:rsidRDefault="00F55C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8D5510" w:rsidRDefault="00F55C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8D5510" w:rsidRDefault="00F55C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510" w:rsidRDefault="0014117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804" w:type="dxa"/>
      <w:tblInd w:w="2977" w:type="dxa"/>
      <w:tblLayout w:type="fixed"/>
      <w:tblLook w:val="0400" w:firstRow="0" w:lastRow="0" w:firstColumn="0" w:lastColumn="0" w:noHBand="0" w:noVBand="1"/>
    </w:tblPr>
    <w:tblGrid>
      <w:gridCol w:w="2976"/>
      <w:gridCol w:w="3828"/>
    </w:tblGrid>
    <w:tr w:rsidR="008D5510" w:rsidTr="005D1E4A">
      <w:trPr>
        <w:trHeight w:val="227"/>
      </w:trPr>
      <w:tc>
        <w:tcPr>
          <w:tcW w:w="2976" w:type="dxa"/>
          <w:vAlign w:val="center"/>
        </w:tcPr>
        <w:p w:rsidR="008D5510" w:rsidRPr="005D1E4A" w:rsidRDefault="00F55CE3">
          <w:pPr>
            <w:ind w:right="34"/>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Recurso de Revisión:</w:t>
          </w:r>
        </w:p>
      </w:tc>
      <w:tc>
        <w:tcPr>
          <w:tcW w:w="3828" w:type="dxa"/>
          <w:vAlign w:val="center"/>
        </w:tcPr>
        <w:p w:rsidR="008D5510" w:rsidRPr="005D1E4A" w:rsidRDefault="00F55CE3">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5D1E4A">
            <w:rPr>
              <w:rFonts w:ascii="Palatino Linotype" w:eastAsia="Palatino Linotype" w:hAnsi="Palatino Linotype" w:cs="Palatino Linotype"/>
              <w:b/>
              <w:bCs/>
              <w:color w:val="000000"/>
              <w:szCs w:val="22"/>
            </w:rPr>
            <w:t>1003/INFOEM/IP/RR/2026</w:t>
          </w:r>
        </w:p>
      </w:tc>
    </w:tr>
    <w:tr w:rsidR="008D5510" w:rsidTr="005D1E4A">
      <w:trPr>
        <w:trHeight w:val="242"/>
      </w:trPr>
      <w:tc>
        <w:tcPr>
          <w:tcW w:w="2976" w:type="dxa"/>
          <w:vAlign w:val="center"/>
        </w:tcPr>
        <w:p w:rsidR="008D5510" w:rsidRPr="005D1E4A" w:rsidRDefault="00F55CE3">
          <w:pPr>
            <w:ind w:right="34"/>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Sujeto Obligado:</w:t>
          </w:r>
        </w:p>
      </w:tc>
      <w:tc>
        <w:tcPr>
          <w:tcW w:w="3828" w:type="dxa"/>
          <w:vAlign w:val="center"/>
        </w:tcPr>
        <w:p w:rsidR="008D5510" w:rsidRPr="005D1E4A" w:rsidRDefault="00F55CE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Cs w:val="22"/>
              <w:highlight w:val="green"/>
            </w:rPr>
          </w:pPr>
          <w:r w:rsidRPr="005D1E4A">
            <w:rPr>
              <w:rFonts w:ascii="Palatino Linotype" w:eastAsia="Palatino Linotype" w:hAnsi="Palatino Linotype" w:cs="Palatino Linotype"/>
              <w:b/>
              <w:bCs/>
              <w:color w:val="000000"/>
              <w:szCs w:val="22"/>
            </w:rPr>
            <w:t>Ayuntamiento de Tepotzotlán</w:t>
          </w:r>
        </w:p>
      </w:tc>
    </w:tr>
    <w:tr w:rsidR="008D5510" w:rsidTr="005D1E4A">
      <w:trPr>
        <w:trHeight w:val="342"/>
      </w:trPr>
      <w:tc>
        <w:tcPr>
          <w:tcW w:w="2976" w:type="dxa"/>
          <w:vAlign w:val="center"/>
        </w:tcPr>
        <w:p w:rsidR="008D5510" w:rsidRPr="005D1E4A" w:rsidRDefault="00F55CE3">
          <w:pPr>
            <w:ind w:right="34"/>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Comisionada Ponente:</w:t>
          </w:r>
        </w:p>
      </w:tc>
      <w:tc>
        <w:tcPr>
          <w:tcW w:w="3828" w:type="dxa"/>
          <w:vAlign w:val="center"/>
        </w:tcPr>
        <w:p w:rsidR="008D5510" w:rsidRPr="005D1E4A" w:rsidRDefault="00F55CE3">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rPr>
          </w:pPr>
          <w:r w:rsidRPr="005D1E4A">
            <w:rPr>
              <w:rFonts w:ascii="Palatino Linotype" w:eastAsia="Palatino Linotype" w:hAnsi="Palatino Linotype" w:cs="Palatino Linotype"/>
              <w:b/>
              <w:bCs/>
              <w:color w:val="000000"/>
              <w:szCs w:val="22"/>
            </w:rPr>
            <w:t>María del Rosario Mejía Ayala</w:t>
          </w:r>
        </w:p>
      </w:tc>
    </w:tr>
  </w:tbl>
  <w:p w:rsidR="008D5510" w:rsidRDefault="00141172">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34.5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0" w:type="dxa"/>
      <w:tblInd w:w="3261" w:type="dxa"/>
      <w:tblLayout w:type="fixed"/>
      <w:tblLook w:val="0400" w:firstRow="0" w:lastRow="0" w:firstColumn="0" w:lastColumn="0" w:noHBand="0" w:noVBand="1"/>
    </w:tblPr>
    <w:tblGrid>
      <w:gridCol w:w="2977"/>
      <w:gridCol w:w="3683"/>
    </w:tblGrid>
    <w:tr w:rsidR="008D5510" w:rsidTr="005D1E4A">
      <w:trPr>
        <w:trHeight w:val="227"/>
      </w:trPr>
      <w:tc>
        <w:tcPr>
          <w:tcW w:w="2977" w:type="dxa"/>
          <w:vAlign w:val="center"/>
        </w:tcPr>
        <w:p w:rsidR="008D5510" w:rsidRPr="005D1E4A" w:rsidRDefault="00F55CE3">
          <w:pPr>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Recurso de Revisión:</w:t>
          </w:r>
        </w:p>
      </w:tc>
      <w:tc>
        <w:tcPr>
          <w:tcW w:w="3683" w:type="dxa"/>
          <w:vAlign w:val="center"/>
        </w:tcPr>
        <w:p w:rsidR="008D5510" w:rsidRPr="005D1E4A" w:rsidRDefault="00F55CE3">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5D1E4A">
            <w:rPr>
              <w:rFonts w:ascii="Palatino Linotype" w:eastAsia="Palatino Linotype" w:hAnsi="Palatino Linotype" w:cs="Palatino Linotype"/>
              <w:b/>
              <w:bCs/>
              <w:color w:val="000000"/>
              <w:szCs w:val="22"/>
            </w:rPr>
            <w:t>1003/INFOEM/IP/RR/2026</w:t>
          </w:r>
        </w:p>
      </w:tc>
    </w:tr>
    <w:tr w:rsidR="008D5510" w:rsidTr="005D1E4A">
      <w:trPr>
        <w:trHeight w:val="242"/>
      </w:trPr>
      <w:tc>
        <w:tcPr>
          <w:tcW w:w="2977" w:type="dxa"/>
          <w:vAlign w:val="center"/>
        </w:tcPr>
        <w:p w:rsidR="008D5510" w:rsidRPr="005D1E4A" w:rsidRDefault="00F55CE3">
          <w:pPr>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Recurrente:</w:t>
          </w:r>
        </w:p>
      </w:tc>
      <w:tc>
        <w:tcPr>
          <w:tcW w:w="3683" w:type="dxa"/>
        </w:tcPr>
        <w:p w:rsidR="008D5510" w:rsidRPr="005D1E4A" w:rsidRDefault="00237CC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Cs w:val="22"/>
              <w:highlight w:val="green"/>
            </w:rPr>
          </w:pPr>
          <w:r>
            <w:rPr>
              <w:rFonts w:ascii="Palatino Linotype" w:eastAsia="Palatino Linotype" w:hAnsi="Palatino Linotype" w:cs="Palatino Linotype"/>
              <w:b/>
              <w:bCs/>
              <w:szCs w:val="22"/>
            </w:rPr>
            <w:t>XXXX</w:t>
          </w:r>
        </w:p>
      </w:tc>
    </w:tr>
    <w:tr w:rsidR="008D5510" w:rsidTr="005D1E4A">
      <w:trPr>
        <w:trHeight w:val="342"/>
      </w:trPr>
      <w:tc>
        <w:tcPr>
          <w:tcW w:w="2977" w:type="dxa"/>
          <w:vAlign w:val="center"/>
        </w:tcPr>
        <w:p w:rsidR="008D5510" w:rsidRPr="005D1E4A" w:rsidRDefault="00F55CE3">
          <w:pPr>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Sujeto Obligado:</w:t>
          </w:r>
        </w:p>
      </w:tc>
      <w:tc>
        <w:tcPr>
          <w:tcW w:w="3683" w:type="dxa"/>
          <w:vAlign w:val="center"/>
        </w:tcPr>
        <w:p w:rsidR="008D5510" w:rsidRPr="005D1E4A" w:rsidRDefault="00F55CE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Cs w:val="22"/>
              <w:highlight w:val="green"/>
            </w:rPr>
          </w:pPr>
          <w:r w:rsidRPr="005D1E4A">
            <w:rPr>
              <w:rFonts w:ascii="Palatino Linotype" w:eastAsia="Palatino Linotype" w:hAnsi="Palatino Linotype" w:cs="Palatino Linotype"/>
              <w:b/>
              <w:bCs/>
              <w:color w:val="000000"/>
              <w:szCs w:val="22"/>
            </w:rPr>
            <w:t>Ayuntamiento de Tepotzotlán</w:t>
          </w:r>
        </w:p>
      </w:tc>
    </w:tr>
    <w:tr w:rsidR="008D5510" w:rsidTr="005D1E4A">
      <w:trPr>
        <w:trHeight w:val="342"/>
      </w:trPr>
      <w:tc>
        <w:tcPr>
          <w:tcW w:w="2977" w:type="dxa"/>
          <w:vAlign w:val="center"/>
        </w:tcPr>
        <w:p w:rsidR="008D5510" w:rsidRPr="005D1E4A" w:rsidRDefault="00F55CE3">
          <w:pPr>
            <w:jc w:val="right"/>
            <w:rPr>
              <w:rFonts w:ascii="Palatino Linotype" w:eastAsia="Palatino Linotype" w:hAnsi="Palatino Linotype" w:cs="Palatino Linotype"/>
              <w:b/>
              <w:bCs/>
              <w:szCs w:val="22"/>
            </w:rPr>
          </w:pPr>
          <w:r w:rsidRPr="005D1E4A">
            <w:rPr>
              <w:rFonts w:ascii="Palatino Linotype" w:eastAsia="Palatino Linotype" w:hAnsi="Palatino Linotype" w:cs="Palatino Linotype"/>
              <w:b/>
              <w:bCs/>
              <w:szCs w:val="22"/>
            </w:rPr>
            <w:t>Comisionada Ponente:</w:t>
          </w:r>
        </w:p>
      </w:tc>
      <w:tc>
        <w:tcPr>
          <w:tcW w:w="3683" w:type="dxa"/>
          <w:vAlign w:val="center"/>
        </w:tcPr>
        <w:p w:rsidR="008D5510" w:rsidRPr="005D1E4A" w:rsidRDefault="00F55CE3">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rPr>
          </w:pPr>
          <w:r w:rsidRPr="005D1E4A">
            <w:rPr>
              <w:rFonts w:ascii="Palatino Linotype" w:eastAsia="Palatino Linotype" w:hAnsi="Palatino Linotype" w:cs="Palatino Linotype"/>
              <w:b/>
              <w:bCs/>
              <w:color w:val="000000"/>
              <w:szCs w:val="22"/>
            </w:rPr>
            <w:t>María del Rosario Mejía Ayala</w:t>
          </w:r>
        </w:p>
      </w:tc>
    </w:tr>
  </w:tbl>
  <w:p w:rsidR="008D5510" w:rsidRDefault="00141172">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317AC"/>
    <w:multiLevelType w:val="multilevel"/>
    <w:tmpl w:val="AE185A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5E69B7"/>
    <w:multiLevelType w:val="multilevel"/>
    <w:tmpl w:val="C05C1200"/>
    <w:lvl w:ilvl="0">
      <w:start w:val="29"/>
      <w:numFmt w:val="decimal"/>
      <w:lvlText w:val="%1."/>
      <w:lvlJc w:val="left"/>
      <w:pPr>
        <w:ind w:left="1211" w:hanging="360"/>
      </w:pPr>
      <w:rPr>
        <w:b/>
        <w:bCs/>
        <w:i w:val="0"/>
        <w:iCs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620B86"/>
    <w:multiLevelType w:val="multilevel"/>
    <w:tmpl w:val="74CAC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A52CAC"/>
    <w:multiLevelType w:val="multilevel"/>
    <w:tmpl w:val="D908B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306FAF"/>
    <w:multiLevelType w:val="multilevel"/>
    <w:tmpl w:val="A1B2986C"/>
    <w:lvl w:ilvl="0">
      <w:start w:val="13"/>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D04A54"/>
    <w:multiLevelType w:val="multilevel"/>
    <w:tmpl w:val="75385E9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5012A03"/>
    <w:multiLevelType w:val="multilevel"/>
    <w:tmpl w:val="0430FE1E"/>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E435625"/>
    <w:multiLevelType w:val="multilevel"/>
    <w:tmpl w:val="336C2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DF6B83"/>
    <w:multiLevelType w:val="multilevel"/>
    <w:tmpl w:val="7DBE53D0"/>
    <w:lvl w:ilvl="0">
      <w:start w:val="59"/>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99047E"/>
    <w:multiLevelType w:val="multilevel"/>
    <w:tmpl w:val="2C6A48E4"/>
    <w:lvl w:ilvl="0">
      <w:start w:val="35"/>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79292B"/>
    <w:multiLevelType w:val="multilevel"/>
    <w:tmpl w:val="3ED83F0C"/>
    <w:lvl w:ilvl="0">
      <w:start w:val="1"/>
      <w:numFmt w:val="upperRoman"/>
      <w:lvlText w:val="%1."/>
      <w:lvlJc w:val="right"/>
      <w:pPr>
        <w:ind w:left="2138" w:hanging="360"/>
      </w:pPr>
    </w:lvl>
    <w:lvl w:ilvl="1">
      <w:start w:val="1"/>
      <w:numFmt w:val="lowerLetter"/>
      <w:lvlText w:val="%2."/>
      <w:lvlJc w:val="left"/>
      <w:pPr>
        <w:ind w:left="2858" w:hanging="360"/>
      </w:pPr>
    </w:lvl>
    <w:lvl w:ilvl="2">
      <w:start w:val="1"/>
      <w:numFmt w:val="upperRoman"/>
      <w:lvlText w:val="%3."/>
      <w:lvlJc w:val="right"/>
      <w:pPr>
        <w:ind w:left="3578" w:hanging="180"/>
      </w:pPr>
      <w:rPr>
        <w:b/>
        <w:bCs/>
        <w:i w:val="0"/>
        <w:iCs w:val="0"/>
      </w:r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1" w15:restartNumberingAfterBreak="0">
    <w:nsid w:val="576C1C99"/>
    <w:multiLevelType w:val="multilevel"/>
    <w:tmpl w:val="A336EB8E"/>
    <w:lvl w:ilvl="0">
      <w:start w:val="21"/>
      <w:numFmt w:val="decimal"/>
      <w:lvlText w:val="%1."/>
      <w:lvlJc w:val="left"/>
      <w:pPr>
        <w:ind w:left="360" w:hanging="360"/>
      </w:pPr>
      <w:rPr>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D03A8C"/>
    <w:multiLevelType w:val="multilevel"/>
    <w:tmpl w:val="BD7E0B90"/>
    <w:lvl w:ilvl="0">
      <w:start w:val="63"/>
      <w:numFmt w:val="decimal"/>
      <w:lvlText w:val="%1."/>
      <w:lvlJc w:val="left"/>
      <w:pPr>
        <w:ind w:left="1211" w:hanging="360"/>
      </w:pPr>
      <w:rPr>
        <w:b/>
        <w:bCs/>
        <w:i w:val="0"/>
        <w:iCs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A227D1"/>
    <w:multiLevelType w:val="multilevel"/>
    <w:tmpl w:val="61D6C626"/>
    <w:lvl w:ilvl="0">
      <w:start w:val="64"/>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F53C5A"/>
    <w:multiLevelType w:val="multilevel"/>
    <w:tmpl w:val="FEF226E6"/>
    <w:lvl w:ilvl="0">
      <w:start w:val="22"/>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924766"/>
    <w:multiLevelType w:val="multilevel"/>
    <w:tmpl w:val="B7AE375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6" w15:restartNumberingAfterBreak="0">
    <w:nsid w:val="78E12F61"/>
    <w:multiLevelType w:val="multilevel"/>
    <w:tmpl w:val="AFD615C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3E112F"/>
    <w:multiLevelType w:val="multilevel"/>
    <w:tmpl w:val="CA92E31E"/>
    <w:lvl w:ilvl="0">
      <w:start w:val="84"/>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D434506"/>
    <w:multiLevelType w:val="multilevel"/>
    <w:tmpl w:val="92123F86"/>
    <w:lvl w:ilvl="0">
      <w:start w:val="1"/>
      <w:numFmt w:val="lowerLetter"/>
      <w:lvlText w:val="%1)"/>
      <w:lvlJc w:val="left"/>
      <w:pPr>
        <w:ind w:left="2348" w:hanging="360"/>
      </w:pPr>
    </w:lvl>
    <w:lvl w:ilvl="1">
      <w:start w:val="1"/>
      <w:numFmt w:val="lowerLetter"/>
      <w:lvlText w:val="%2."/>
      <w:lvlJc w:val="left"/>
      <w:pPr>
        <w:ind w:left="3068" w:hanging="360"/>
      </w:pPr>
    </w:lvl>
    <w:lvl w:ilvl="2">
      <w:start w:val="1"/>
      <w:numFmt w:val="lowerRoman"/>
      <w:lvlText w:val="%3."/>
      <w:lvlJc w:val="right"/>
      <w:pPr>
        <w:ind w:left="3788" w:hanging="180"/>
      </w:pPr>
    </w:lvl>
    <w:lvl w:ilvl="3">
      <w:start w:val="1"/>
      <w:numFmt w:val="decimal"/>
      <w:lvlText w:val="%4."/>
      <w:lvlJc w:val="left"/>
      <w:pPr>
        <w:ind w:left="4508" w:hanging="360"/>
      </w:pPr>
    </w:lvl>
    <w:lvl w:ilvl="4">
      <w:start w:val="1"/>
      <w:numFmt w:val="lowerLetter"/>
      <w:lvlText w:val="%5."/>
      <w:lvlJc w:val="left"/>
      <w:pPr>
        <w:ind w:left="5228" w:hanging="360"/>
      </w:pPr>
    </w:lvl>
    <w:lvl w:ilvl="5">
      <w:start w:val="1"/>
      <w:numFmt w:val="lowerRoman"/>
      <w:lvlText w:val="%6."/>
      <w:lvlJc w:val="right"/>
      <w:pPr>
        <w:ind w:left="5948" w:hanging="180"/>
      </w:pPr>
    </w:lvl>
    <w:lvl w:ilvl="6">
      <w:start w:val="1"/>
      <w:numFmt w:val="decimal"/>
      <w:lvlText w:val="%7."/>
      <w:lvlJc w:val="left"/>
      <w:pPr>
        <w:ind w:left="6668" w:hanging="360"/>
      </w:pPr>
    </w:lvl>
    <w:lvl w:ilvl="7">
      <w:start w:val="1"/>
      <w:numFmt w:val="lowerLetter"/>
      <w:lvlText w:val="%8."/>
      <w:lvlJc w:val="left"/>
      <w:pPr>
        <w:ind w:left="7388" w:hanging="360"/>
      </w:pPr>
    </w:lvl>
    <w:lvl w:ilvl="8">
      <w:start w:val="1"/>
      <w:numFmt w:val="lowerRoman"/>
      <w:lvlText w:val="%9."/>
      <w:lvlJc w:val="right"/>
      <w:pPr>
        <w:ind w:left="8108" w:hanging="180"/>
      </w:pPr>
    </w:lvl>
  </w:abstractNum>
  <w:abstractNum w:abstractNumId="19" w15:restartNumberingAfterBreak="0">
    <w:nsid w:val="7E9F7DE8"/>
    <w:multiLevelType w:val="multilevel"/>
    <w:tmpl w:val="053C24D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5"/>
  </w:num>
  <w:num w:numId="2">
    <w:abstractNumId w:val="1"/>
  </w:num>
  <w:num w:numId="3">
    <w:abstractNumId w:val="16"/>
  </w:num>
  <w:num w:numId="4">
    <w:abstractNumId w:val="4"/>
  </w:num>
  <w:num w:numId="5">
    <w:abstractNumId w:val="15"/>
  </w:num>
  <w:num w:numId="6">
    <w:abstractNumId w:val="11"/>
  </w:num>
  <w:num w:numId="7">
    <w:abstractNumId w:val="6"/>
  </w:num>
  <w:num w:numId="8">
    <w:abstractNumId w:val="9"/>
  </w:num>
  <w:num w:numId="9">
    <w:abstractNumId w:val="13"/>
  </w:num>
  <w:num w:numId="10">
    <w:abstractNumId w:val="2"/>
  </w:num>
  <w:num w:numId="11">
    <w:abstractNumId w:val="0"/>
  </w:num>
  <w:num w:numId="12">
    <w:abstractNumId w:val="7"/>
  </w:num>
  <w:num w:numId="13">
    <w:abstractNumId w:val="3"/>
  </w:num>
  <w:num w:numId="14">
    <w:abstractNumId w:val="14"/>
  </w:num>
  <w:num w:numId="15">
    <w:abstractNumId w:val="8"/>
  </w:num>
  <w:num w:numId="16">
    <w:abstractNumId w:val="12"/>
  </w:num>
  <w:num w:numId="17">
    <w:abstractNumId w:val="17"/>
  </w:num>
  <w:num w:numId="18">
    <w:abstractNumId w:val="10"/>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510"/>
    <w:rsid w:val="00041ED1"/>
    <w:rsid w:val="00141172"/>
    <w:rsid w:val="00202029"/>
    <w:rsid w:val="00237CC7"/>
    <w:rsid w:val="00464653"/>
    <w:rsid w:val="005D1E4A"/>
    <w:rsid w:val="008D5510"/>
    <w:rsid w:val="008E2E58"/>
    <w:rsid w:val="00A35426"/>
    <w:rsid w:val="00F55C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DC382CA-6F60-4839-A8E1-28E9CA0A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E75B5"/>
      <w:sz w:val="40"/>
      <w:szCs w:val="40"/>
    </w:rPr>
  </w:style>
  <w:style w:type="paragraph" w:styleId="Ttulo2">
    <w:name w:val="heading 2"/>
    <w:basedOn w:val="Normal"/>
    <w:next w:val="Normal"/>
    <w:pPr>
      <w:keepNext/>
      <w:keepLines/>
      <w:spacing w:before="160" w:after="80"/>
      <w:outlineLvl w:val="1"/>
    </w:pPr>
    <w:rPr>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8E2E58"/>
    <w:pPr>
      <w:tabs>
        <w:tab w:val="center" w:pos="4419"/>
        <w:tab w:val="right" w:pos="8838"/>
      </w:tabs>
    </w:pPr>
  </w:style>
  <w:style w:type="character" w:customStyle="1" w:styleId="PiedepginaCar">
    <w:name w:val="Pie de página Car"/>
    <w:basedOn w:val="Fuentedeprrafopredeter"/>
    <w:link w:val="Piedepgina"/>
    <w:uiPriority w:val="99"/>
    <w:rsid w:val="008E2E58"/>
  </w:style>
  <w:style w:type="paragraph" w:styleId="Prrafodelista">
    <w:name w:val="List Paragraph"/>
    <w:basedOn w:val="Normal"/>
    <w:uiPriority w:val="34"/>
    <w:qFormat/>
    <w:rsid w:val="005D1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hDJBmw12ww7nwWdHspS1vUoa7A==">CgMxLjAyCGguZ2pkZ3hzMgloLjMwajB6bGwyCWguMWZvYjl0ZTIJaC4zem55c2g3MgloLjJldDkycDAyCGgudHlqY3d0MgloLjNkeTZ2a20yCWguMXQzaDVzZjIOaC5lMGJwYWE2YnVicGQyCGguejMzN3lhMg5oLnduMjU4aWFiMGw3aTIJaC4xeTgxMHR3OAByITFYX2xGTkNadlR3R2ZlVWMwZ0NnN1UyaXNraUVNQ0xCVg==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11921</Words>
  <Characters>65570</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6</cp:revision>
  <cp:lastPrinted>2026-04-29T18:00:00Z</cp:lastPrinted>
  <dcterms:created xsi:type="dcterms:W3CDTF">2026-04-28T19:28:00Z</dcterms:created>
  <dcterms:modified xsi:type="dcterms:W3CDTF">2026-05-07T23:49:00Z</dcterms:modified>
</cp:coreProperties>
</file>