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05" w:rsidRPr="00040E7E" w:rsidRDefault="00301111" w:rsidP="009716D8">
      <w:pPr>
        <w:tabs>
          <w:tab w:val="left" w:pos="3465"/>
        </w:tabs>
        <w:spacing w:line="360" w:lineRule="auto"/>
        <w:ind w:right="-708"/>
        <w:jc w:val="both"/>
        <w:rPr>
          <w:rFonts w:ascii="Palatino Linotype" w:eastAsia="Palatino Linotype" w:hAnsi="Palatino Linotype" w:cs="Palatino Linotype"/>
          <w:b/>
          <w:color w:val="000000"/>
        </w:rPr>
      </w:pPr>
      <w:r w:rsidRPr="00040E7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F746A" w:rsidRPr="00040E7E">
        <w:rPr>
          <w:rFonts w:ascii="Palatino Linotype" w:eastAsia="Palatino Linotype" w:hAnsi="Palatino Linotype" w:cs="Palatino Linotype"/>
          <w:b/>
          <w:color w:val="000000"/>
        </w:rPr>
        <w:t>catorce (14</w:t>
      </w:r>
      <w:r w:rsidR="00D60033" w:rsidRPr="00040E7E">
        <w:rPr>
          <w:rFonts w:ascii="Palatino Linotype" w:eastAsia="Palatino Linotype" w:hAnsi="Palatino Linotype" w:cs="Palatino Linotype"/>
          <w:b/>
          <w:color w:val="000000"/>
        </w:rPr>
        <w:t xml:space="preserve">) de </w:t>
      </w:r>
      <w:r w:rsidR="000F746A" w:rsidRPr="00040E7E">
        <w:rPr>
          <w:rFonts w:ascii="Palatino Linotype" w:eastAsia="Palatino Linotype" w:hAnsi="Palatino Linotype" w:cs="Palatino Linotype"/>
          <w:b/>
          <w:color w:val="000000"/>
        </w:rPr>
        <w:t>enero de dos mil veintiséis</w:t>
      </w:r>
      <w:r w:rsidR="00D164A6" w:rsidRPr="00040E7E">
        <w:rPr>
          <w:rFonts w:ascii="Palatino Linotype" w:eastAsia="Palatino Linotype" w:hAnsi="Palatino Linotype" w:cs="Palatino Linotype"/>
          <w:b/>
          <w:color w:val="000000"/>
        </w:rPr>
        <w:t>.</w:t>
      </w:r>
    </w:p>
    <w:p w:rsidR="007F0605" w:rsidRPr="00040E7E" w:rsidRDefault="007F0605" w:rsidP="009716D8">
      <w:pPr>
        <w:tabs>
          <w:tab w:val="left" w:pos="3465"/>
        </w:tabs>
        <w:spacing w:line="360" w:lineRule="auto"/>
        <w:ind w:right="-708"/>
        <w:jc w:val="both"/>
        <w:rPr>
          <w:rFonts w:ascii="Palatino Linotype" w:eastAsia="Palatino Linotype" w:hAnsi="Palatino Linotype" w:cs="Palatino Linotype"/>
        </w:rPr>
      </w:pPr>
    </w:p>
    <w:p w:rsidR="007F0605" w:rsidRPr="00040E7E" w:rsidRDefault="00301111" w:rsidP="009716D8">
      <w:pPr>
        <w:spacing w:line="360" w:lineRule="auto"/>
        <w:ind w:right="-708"/>
        <w:jc w:val="both"/>
        <w:rPr>
          <w:rFonts w:ascii="Palatino Linotype" w:eastAsia="Palatino Linotype" w:hAnsi="Palatino Linotype" w:cs="Palatino Linotype"/>
        </w:rPr>
      </w:pPr>
      <w:r w:rsidRPr="00040E7E">
        <w:rPr>
          <w:rFonts w:ascii="Palatino Linotype" w:eastAsia="Palatino Linotype" w:hAnsi="Palatino Linotype" w:cs="Palatino Linotype"/>
          <w:b/>
        </w:rPr>
        <w:t>VISTO</w:t>
      </w:r>
      <w:r w:rsidRPr="00040E7E">
        <w:rPr>
          <w:rFonts w:ascii="Palatino Linotype" w:eastAsia="Palatino Linotype" w:hAnsi="Palatino Linotype" w:cs="Palatino Linotype"/>
        </w:rPr>
        <w:t xml:space="preserve"> el expediente electrónico formado con</w:t>
      </w:r>
      <w:r w:rsidR="00D60033" w:rsidRPr="00040E7E">
        <w:rPr>
          <w:rFonts w:ascii="Palatino Linotype" w:eastAsia="Palatino Linotype" w:hAnsi="Palatino Linotype" w:cs="Palatino Linotype"/>
        </w:rPr>
        <w:t xml:space="preserve"> motivo del Recurso de Revisión </w:t>
      </w:r>
      <w:r w:rsidR="00BB6E7C" w:rsidRPr="00040E7E">
        <w:rPr>
          <w:rFonts w:ascii="Palatino Linotype" w:eastAsia="Palatino Linotype" w:hAnsi="Palatino Linotype" w:cs="Palatino Linotype"/>
          <w:b/>
          <w:bCs/>
        </w:rPr>
        <w:t>12328</w:t>
      </w:r>
      <w:r w:rsidR="00D164A6" w:rsidRPr="00040E7E">
        <w:rPr>
          <w:rFonts w:ascii="Palatino Linotype" w:eastAsia="Palatino Linotype" w:hAnsi="Palatino Linotype" w:cs="Palatino Linotype"/>
          <w:b/>
          <w:bCs/>
        </w:rPr>
        <w:t>/INFOEM/IP/RR/2025</w:t>
      </w:r>
      <w:r w:rsidRPr="00040E7E">
        <w:rPr>
          <w:rFonts w:ascii="Palatino Linotype" w:eastAsia="Palatino Linotype" w:hAnsi="Palatino Linotype" w:cs="Palatino Linotype"/>
        </w:rPr>
        <w:t>,</w:t>
      </w:r>
      <w:r w:rsidRPr="00040E7E">
        <w:rPr>
          <w:rFonts w:ascii="Palatino Linotype" w:eastAsia="Palatino Linotype" w:hAnsi="Palatino Linotype" w:cs="Palatino Linotype"/>
          <w:b/>
        </w:rPr>
        <w:t xml:space="preserve"> </w:t>
      </w:r>
      <w:r w:rsidRPr="00040E7E">
        <w:rPr>
          <w:rFonts w:ascii="Palatino Linotype" w:eastAsia="Palatino Linotype" w:hAnsi="Palatino Linotype" w:cs="Palatino Linotype"/>
        </w:rPr>
        <w:t xml:space="preserve">promovido por </w:t>
      </w:r>
      <w:r w:rsidR="008A292E">
        <w:rPr>
          <w:rFonts w:ascii="Palatino Linotype" w:eastAsia="Palatino Linotype" w:hAnsi="Palatino Linotype" w:cs="Palatino Linotype"/>
          <w:b/>
          <w:bCs/>
        </w:rPr>
        <w:t>XXXX</w:t>
      </w:r>
      <w:r w:rsidRPr="00040E7E">
        <w:rPr>
          <w:rFonts w:ascii="Palatino Linotype" w:eastAsia="Palatino Linotype" w:hAnsi="Palatino Linotype" w:cs="Palatino Linotype"/>
          <w:b/>
        </w:rPr>
        <w:t>,</w:t>
      </w:r>
      <w:r w:rsidRPr="00040E7E">
        <w:rPr>
          <w:rFonts w:ascii="Palatino Linotype" w:eastAsia="Palatino Linotype" w:hAnsi="Palatino Linotype" w:cs="Palatino Linotype"/>
        </w:rPr>
        <w:t xml:space="preserve"> </w:t>
      </w:r>
      <w:r w:rsidR="00040E7E">
        <w:rPr>
          <w:rFonts w:ascii="Palatino Linotype" w:eastAsia="Palatino Linotype" w:hAnsi="Palatino Linotype" w:cs="Palatino Linotype"/>
        </w:rPr>
        <w:t xml:space="preserve">en lo sucesivo la </w:t>
      </w:r>
      <w:r w:rsidR="00040E7E" w:rsidRPr="00040E7E">
        <w:rPr>
          <w:rFonts w:ascii="Palatino Linotype" w:eastAsia="Palatino Linotype" w:hAnsi="Palatino Linotype" w:cs="Palatino Linotype"/>
          <w:b/>
        </w:rPr>
        <w:t>RECURRENTE</w:t>
      </w:r>
      <w:r w:rsidR="00040E7E">
        <w:rPr>
          <w:rFonts w:ascii="Palatino Linotype" w:eastAsia="Palatino Linotype" w:hAnsi="Palatino Linotype" w:cs="Palatino Linotype"/>
        </w:rPr>
        <w:t xml:space="preserve">, </w:t>
      </w:r>
      <w:r w:rsidRPr="00040E7E">
        <w:rPr>
          <w:rFonts w:ascii="Palatino Linotype" w:eastAsia="Palatino Linotype" w:hAnsi="Palatino Linotype" w:cs="Palatino Linotype"/>
        </w:rPr>
        <w:t xml:space="preserve">en contra de la respuesta </w:t>
      </w:r>
      <w:r w:rsidR="00FB6DBB" w:rsidRPr="00040E7E">
        <w:rPr>
          <w:rFonts w:ascii="Palatino Linotype" w:eastAsia="Palatino Linotype" w:hAnsi="Palatino Linotype" w:cs="Palatino Linotype"/>
        </w:rPr>
        <w:t xml:space="preserve">del </w:t>
      </w:r>
      <w:r w:rsidR="00BB6E7C" w:rsidRPr="00040E7E">
        <w:rPr>
          <w:rFonts w:ascii="Palatino Linotype" w:eastAsia="Palatino Linotype" w:hAnsi="Palatino Linotype" w:cs="Palatino Linotype"/>
          <w:b/>
          <w:color w:val="000000"/>
        </w:rPr>
        <w:t>Ayuntamiento de Tenancingo</w:t>
      </w:r>
      <w:r w:rsidRPr="00040E7E">
        <w:rPr>
          <w:rFonts w:ascii="Palatino Linotype" w:eastAsia="Palatino Linotype" w:hAnsi="Palatino Linotype" w:cs="Palatino Linotype"/>
          <w:b/>
        </w:rPr>
        <w:t xml:space="preserve">, </w:t>
      </w:r>
      <w:r w:rsidRPr="00040E7E">
        <w:rPr>
          <w:rFonts w:ascii="Palatino Linotype" w:eastAsia="Palatino Linotype" w:hAnsi="Palatino Linotype" w:cs="Palatino Linotype"/>
        </w:rPr>
        <w:t xml:space="preserve">en </w:t>
      </w:r>
      <w:r w:rsidR="00040E7E">
        <w:rPr>
          <w:rFonts w:ascii="Palatino Linotype" w:eastAsia="Palatino Linotype" w:hAnsi="Palatino Linotype" w:cs="Palatino Linotype"/>
        </w:rPr>
        <w:t>adelante</w:t>
      </w:r>
      <w:r w:rsidRPr="00040E7E">
        <w:rPr>
          <w:rFonts w:ascii="Palatino Linotype" w:eastAsia="Palatino Linotype" w:hAnsi="Palatino Linotype" w:cs="Palatino Linotype"/>
        </w:rPr>
        <w:t xml:space="preserve"> el</w:t>
      </w:r>
      <w:r w:rsidRPr="00040E7E">
        <w:rPr>
          <w:rFonts w:ascii="Palatino Linotype" w:eastAsia="Palatino Linotype" w:hAnsi="Palatino Linotype" w:cs="Palatino Linotype"/>
          <w:b/>
        </w:rPr>
        <w:t xml:space="preserve"> SUJETO OBLIGADO</w:t>
      </w:r>
      <w:r w:rsidRPr="00040E7E">
        <w:rPr>
          <w:rFonts w:ascii="Palatino Linotype" w:eastAsia="Palatino Linotype" w:hAnsi="Palatino Linotype" w:cs="Palatino Linotype"/>
        </w:rPr>
        <w:t>, se procede a dictar la presente Resolución, con base en los siguientes:</w:t>
      </w:r>
    </w:p>
    <w:p w:rsidR="007F0605" w:rsidRPr="00040E7E" w:rsidRDefault="007F0605" w:rsidP="009716D8">
      <w:pPr>
        <w:ind w:right="-708"/>
        <w:jc w:val="both"/>
        <w:rPr>
          <w:rFonts w:ascii="Palatino Linotype" w:eastAsia="Palatino Linotype" w:hAnsi="Palatino Linotype" w:cs="Palatino Linotype"/>
        </w:rPr>
      </w:pPr>
    </w:p>
    <w:p w:rsidR="007F0605" w:rsidRPr="00040E7E" w:rsidRDefault="00301111" w:rsidP="009716D8">
      <w:pPr>
        <w:pStyle w:val="Ttulo1"/>
        <w:spacing w:before="0" w:line="360" w:lineRule="auto"/>
        <w:ind w:right="-708"/>
        <w:jc w:val="center"/>
        <w:rPr>
          <w:rFonts w:ascii="Palatino Linotype" w:eastAsia="Palatino Linotype" w:hAnsi="Palatino Linotype" w:cs="Palatino Linotype"/>
          <w:b/>
          <w:color w:val="000000"/>
          <w:sz w:val="24"/>
          <w:szCs w:val="24"/>
        </w:rPr>
      </w:pPr>
      <w:bookmarkStart w:id="0" w:name="_heading=h.gblvvbtbyie5" w:colFirst="0" w:colLast="0"/>
      <w:bookmarkEnd w:id="0"/>
      <w:r w:rsidRPr="00040E7E">
        <w:rPr>
          <w:rFonts w:ascii="Palatino Linotype" w:eastAsia="Palatino Linotype" w:hAnsi="Palatino Linotype" w:cs="Palatino Linotype"/>
          <w:b/>
          <w:color w:val="000000"/>
          <w:sz w:val="24"/>
          <w:szCs w:val="24"/>
        </w:rPr>
        <w:t>A</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N</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T</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E</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C</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E</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D</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E</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N</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T</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E</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S</w:t>
      </w:r>
    </w:p>
    <w:p w:rsidR="007F0605" w:rsidRPr="00040E7E" w:rsidRDefault="007F0605" w:rsidP="009716D8">
      <w:pPr>
        <w:pBdr>
          <w:top w:val="nil"/>
          <w:left w:val="nil"/>
          <w:bottom w:val="nil"/>
          <w:right w:val="nil"/>
          <w:between w:val="nil"/>
        </w:pBdr>
        <w:ind w:right="-708"/>
        <w:jc w:val="both"/>
        <w:rPr>
          <w:rFonts w:ascii="Palatino Linotype" w:eastAsia="Palatino Linotype" w:hAnsi="Palatino Linotype" w:cs="Palatino Linotype"/>
          <w:color w:val="000000"/>
        </w:rPr>
      </w:pPr>
    </w:p>
    <w:p w:rsidR="007F0605" w:rsidRPr="00040E7E" w:rsidRDefault="00D60033"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 xml:space="preserve">El </w:t>
      </w:r>
      <w:r w:rsidR="00BB6E7C" w:rsidRPr="00040E7E">
        <w:rPr>
          <w:rFonts w:ascii="Palatino Linotype" w:eastAsia="Palatino Linotype" w:hAnsi="Palatino Linotype" w:cs="Palatino Linotype"/>
          <w:b/>
          <w:color w:val="000000"/>
        </w:rPr>
        <w:t>veintiséis de septiembre</w:t>
      </w:r>
      <w:r w:rsidR="00D164A6" w:rsidRPr="00040E7E">
        <w:rPr>
          <w:rFonts w:ascii="Palatino Linotype" w:eastAsia="Palatino Linotype" w:hAnsi="Palatino Linotype" w:cs="Palatino Linotype"/>
          <w:b/>
          <w:color w:val="000000"/>
        </w:rPr>
        <w:t xml:space="preserve"> </w:t>
      </w:r>
      <w:r w:rsidR="00301111" w:rsidRPr="00040E7E">
        <w:rPr>
          <w:rFonts w:ascii="Palatino Linotype" w:eastAsia="Palatino Linotype" w:hAnsi="Palatino Linotype" w:cs="Palatino Linotype"/>
          <w:b/>
          <w:color w:val="000000"/>
        </w:rPr>
        <w:t xml:space="preserve">de dos mil veinticinco, </w:t>
      </w:r>
      <w:r w:rsidR="00301111" w:rsidRPr="00040E7E">
        <w:rPr>
          <w:rFonts w:ascii="Palatino Linotype" w:eastAsia="Palatino Linotype" w:hAnsi="Palatino Linotype" w:cs="Palatino Linotype"/>
          <w:color w:val="000000"/>
        </w:rPr>
        <w:t xml:space="preserve">se presentó ante el </w:t>
      </w:r>
      <w:r w:rsidR="00301111" w:rsidRPr="00040E7E">
        <w:rPr>
          <w:rFonts w:ascii="Palatino Linotype" w:eastAsia="Palatino Linotype" w:hAnsi="Palatino Linotype" w:cs="Palatino Linotype"/>
          <w:b/>
          <w:color w:val="000000"/>
        </w:rPr>
        <w:t>SUJETO OBLIGADO</w:t>
      </w:r>
      <w:r w:rsidR="00301111" w:rsidRPr="00040E7E">
        <w:rPr>
          <w:rFonts w:ascii="Palatino Linotype" w:eastAsia="Palatino Linotype" w:hAnsi="Palatino Linotype" w:cs="Palatino Linotype"/>
          <w:color w:val="000000"/>
        </w:rPr>
        <w:t xml:space="preserve"> vía Sistema de Acceso a la Información </w:t>
      </w:r>
      <w:r w:rsidR="00301111" w:rsidRPr="00040E7E">
        <w:rPr>
          <w:rFonts w:ascii="Palatino Linotype" w:eastAsia="Palatino Linotype" w:hAnsi="Palatino Linotype" w:cs="Palatino Linotype"/>
        </w:rPr>
        <w:t>Mexiquense (SAIMEX), la solicitud de acceso a datos personales registrada con el número</w:t>
      </w:r>
      <w:r w:rsidR="00301111" w:rsidRPr="00040E7E">
        <w:rPr>
          <w:rFonts w:ascii="Palatino Linotype" w:eastAsia="Palatino Linotype" w:hAnsi="Palatino Linotype" w:cs="Palatino Linotype"/>
          <w:b/>
        </w:rPr>
        <w:t xml:space="preserve"> </w:t>
      </w:r>
      <w:r w:rsidR="00BB6E7C" w:rsidRPr="00040E7E">
        <w:rPr>
          <w:rFonts w:ascii="Palatino Linotype" w:hAnsi="Palatino Linotype"/>
          <w:b/>
          <w:bCs/>
        </w:rPr>
        <w:t>00634</w:t>
      </w:r>
      <w:r w:rsidR="00EC3C89" w:rsidRPr="00040E7E">
        <w:rPr>
          <w:rFonts w:ascii="Palatino Linotype" w:hAnsi="Palatino Linotype"/>
          <w:b/>
          <w:bCs/>
        </w:rPr>
        <w:t>/</w:t>
      </w:r>
      <w:r w:rsidR="00BB6E7C" w:rsidRPr="00040E7E">
        <w:rPr>
          <w:rFonts w:ascii="Palatino Linotype" w:hAnsi="Palatino Linotype"/>
          <w:b/>
          <w:bCs/>
        </w:rPr>
        <w:t>TENANCIN</w:t>
      </w:r>
      <w:r w:rsidR="00EC3C89" w:rsidRPr="00040E7E">
        <w:rPr>
          <w:rFonts w:ascii="Palatino Linotype" w:hAnsi="Palatino Linotype"/>
          <w:b/>
          <w:bCs/>
        </w:rPr>
        <w:t>/IP/2025</w:t>
      </w:r>
      <w:r w:rsidR="00301111" w:rsidRPr="00040E7E">
        <w:rPr>
          <w:rFonts w:ascii="Palatino Linotype" w:eastAsia="Palatino Linotype" w:hAnsi="Palatino Linotype" w:cs="Palatino Linotype"/>
          <w:b/>
        </w:rPr>
        <w:t xml:space="preserve">; </w:t>
      </w:r>
      <w:r w:rsidR="00040E7E">
        <w:rPr>
          <w:rFonts w:ascii="Palatino Linotype" w:eastAsia="Palatino Linotype" w:hAnsi="Palatino Linotype" w:cs="Palatino Linotype"/>
        </w:rPr>
        <w:t xml:space="preserve">en la que </w:t>
      </w:r>
      <w:r w:rsidR="00301111" w:rsidRPr="00040E7E">
        <w:rPr>
          <w:rFonts w:ascii="Palatino Linotype" w:eastAsia="Palatino Linotype" w:hAnsi="Palatino Linotype" w:cs="Palatino Linotype"/>
        </w:rPr>
        <w:t>se solicitó la siguiente información:</w:t>
      </w:r>
    </w:p>
    <w:p w:rsidR="007F0605" w:rsidRPr="00040E7E" w:rsidRDefault="007F0605" w:rsidP="00625E94">
      <w:pPr>
        <w:pBdr>
          <w:top w:val="nil"/>
          <w:left w:val="nil"/>
          <w:bottom w:val="nil"/>
          <w:right w:val="nil"/>
          <w:between w:val="nil"/>
        </w:pBdr>
        <w:ind w:right="-141"/>
        <w:jc w:val="both"/>
        <w:rPr>
          <w:rFonts w:ascii="Palatino Linotype" w:eastAsia="Palatino Linotype" w:hAnsi="Palatino Linotype" w:cs="Palatino Linotype"/>
          <w:i/>
          <w:color w:val="000000"/>
        </w:rPr>
      </w:pPr>
    </w:p>
    <w:p w:rsidR="007F0605" w:rsidRPr="00040E7E" w:rsidRDefault="00301111" w:rsidP="009716D8">
      <w:pPr>
        <w:pBdr>
          <w:top w:val="nil"/>
          <w:left w:val="nil"/>
          <w:bottom w:val="nil"/>
          <w:right w:val="nil"/>
          <w:between w:val="nil"/>
        </w:pBdr>
        <w:ind w:left="567" w:right="-141"/>
        <w:jc w:val="both"/>
        <w:rPr>
          <w:rFonts w:ascii="Palatino Linotype" w:eastAsia="Palatino Linotype" w:hAnsi="Palatino Linotype" w:cs="Palatino Linotype"/>
          <w:i/>
          <w:color w:val="000000"/>
        </w:rPr>
      </w:pPr>
      <w:r w:rsidRPr="00040E7E">
        <w:rPr>
          <w:rFonts w:ascii="Palatino Linotype" w:eastAsia="Palatino Linotype" w:hAnsi="Palatino Linotype" w:cs="Palatino Linotype"/>
          <w:i/>
          <w:color w:val="000000"/>
        </w:rPr>
        <w:t>“</w:t>
      </w:r>
      <w:r w:rsidR="00BB6E7C" w:rsidRPr="00040E7E">
        <w:rPr>
          <w:rFonts w:ascii="Palatino Linotype" w:eastAsia="Palatino Linotype" w:hAnsi="Palatino Linotype" w:cs="Palatino Linotype"/>
          <w:i/>
          <w:color w:val="000000"/>
        </w:rPr>
        <w:t>C</w:t>
      </w:r>
      <w:r w:rsidR="00BB6E7C" w:rsidRPr="00040E7E">
        <w:rPr>
          <w:rFonts w:ascii="Palatino Linotype" w:hAnsi="Palatino Linotype"/>
          <w:i/>
          <w:color w:val="000000"/>
        </w:rPr>
        <w:t>OPIA DEL ACTA DE LA PRIMERA SESIÓN DEL COMITÉ DE DICTAMEN DE GIRO DEL MUNICIPIO DE TENANCINGO DE FECHA 2 DE SEPTIEMBRE DE 2025</w:t>
      </w:r>
      <w:r w:rsidRPr="00040E7E">
        <w:rPr>
          <w:rFonts w:ascii="Palatino Linotype" w:eastAsia="Palatino Linotype" w:hAnsi="Palatino Linotype" w:cs="Palatino Linotype"/>
          <w:i/>
          <w:color w:val="000000"/>
        </w:rPr>
        <w:t>”</w:t>
      </w:r>
      <w:r w:rsidR="005A2A4B" w:rsidRPr="00040E7E">
        <w:rPr>
          <w:rFonts w:ascii="Palatino Linotype" w:eastAsia="Palatino Linotype" w:hAnsi="Palatino Linotype" w:cs="Palatino Linotype"/>
          <w:i/>
          <w:color w:val="000000"/>
        </w:rPr>
        <w:t xml:space="preserve"> (Sic)</w:t>
      </w:r>
    </w:p>
    <w:p w:rsidR="00FB6DBB" w:rsidRDefault="00FB6DBB" w:rsidP="00D50EE7">
      <w:pPr>
        <w:ind w:right="-992"/>
        <w:jc w:val="both"/>
        <w:rPr>
          <w:rFonts w:ascii="Palatino Linotype" w:eastAsia="Palatino Linotype" w:hAnsi="Palatino Linotype" w:cs="Palatino Linotype"/>
          <w:color w:val="000000"/>
        </w:rPr>
      </w:pPr>
    </w:p>
    <w:p w:rsidR="00040E7E" w:rsidRDefault="00040E7E" w:rsidP="00D50EE7">
      <w:pPr>
        <w:ind w:right="-992"/>
        <w:jc w:val="both"/>
        <w:rPr>
          <w:rFonts w:ascii="Palatino Linotype" w:eastAsia="Palatino Linotype" w:hAnsi="Palatino Linotype" w:cs="Palatino Linotype"/>
          <w:color w:val="000000"/>
        </w:rPr>
      </w:pPr>
    </w:p>
    <w:p w:rsidR="00040E7E" w:rsidRPr="00040E7E" w:rsidRDefault="00040E7E" w:rsidP="00D50EE7">
      <w:pPr>
        <w:ind w:right="-992"/>
        <w:jc w:val="both"/>
        <w:rPr>
          <w:rFonts w:ascii="Palatino Linotype" w:eastAsia="Palatino Linotype" w:hAnsi="Palatino Linotype" w:cs="Palatino Linotype"/>
          <w:color w:val="000000"/>
        </w:rPr>
      </w:pPr>
    </w:p>
    <w:p w:rsidR="00D60033" w:rsidRPr="00040E7E" w:rsidRDefault="00D60033"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 xml:space="preserve">Se hace constar que se señaló como modalidad de entrega de la información a través del </w:t>
      </w:r>
      <w:r w:rsidRPr="00040E7E">
        <w:rPr>
          <w:rFonts w:ascii="Palatino Linotype" w:eastAsia="Palatino Linotype" w:hAnsi="Palatino Linotype" w:cs="Palatino Linotype"/>
          <w:b/>
          <w:color w:val="000000"/>
        </w:rPr>
        <w:t>SAIMEX.</w:t>
      </w:r>
    </w:p>
    <w:p w:rsidR="00FB6DBB" w:rsidRPr="00040E7E" w:rsidRDefault="00FB6DBB" w:rsidP="009716D8">
      <w:pPr>
        <w:pBdr>
          <w:top w:val="nil"/>
          <w:left w:val="nil"/>
          <w:bottom w:val="nil"/>
          <w:right w:val="nil"/>
          <w:between w:val="nil"/>
        </w:pBdr>
        <w:spacing w:line="360" w:lineRule="auto"/>
        <w:ind w:right="-708"/>
        <w:jc w:val="both"/>
        <w:rPr>
          <w:rFonts w:ascii="Palatino Linotype" w:eastAsia="Palatino Linotype" w:hAnsi="Palatino Linotype" w:cs="Palatino Linotype"/>
          <w:i/>
          <w:color w:val="000000"/>
        </w:rPr>
      </w:pPr>
    </w:p>
    <w:p w:rsidR="00BB6E7C" w:rsidRPr="00040E7E" w:rsidRDefault="00BB6E7C"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lastRenderedPageBreak/>
        <w:t xml:space="preserve">El dieciséis de octubre de dos mil veinticinco, el </w:t>
      </w:r>
      <w:r w:rsidRPr="00040E7E">
        <w:rPr>
          <w:rFonts w:ascii="Palatino Linotype" w:eastAsia="Palatino Linotype" w:hAnsi="Palatino Linotype" w:cs="Palatino Linotype"/>
          <w:b/>
          <w:color w:val="000000"/>
        </w:rPr>
        <w:t>SUJETO OBLIGADO</w:t>
      </w:r>
      <w:r w:rsidRPr="00040E7E">
        <w:rPr>
          <w:rFonts w:ascii="Palatino Linotype" w:eastAsia="Palatino Linotype" w:hAnsi="Palatino Linotype" w:cs="Palatino Linotype"/>
          <w:color w:val="000000"/>
        </w:rPr>
        <w:t xml:space="preserve"> notificó una prórroga para atender la solicitud de información, en los siguientes términos:</w:t>
      </w:r>
    </w:p>
    <w:p w:rsidR="00BB6E7C" w:rsidRPr="00040E7E" w:rsidRDefault="00BB6E7C" w:rsidP="00BB6E7C">
      <w:pPr>
        <w:pBdr>
          <w:top w:val="nil"/>
          <w:left w:val="nil"/>
          <w:bottom w:val="nil"/>
          <w:right w:val="nil"/>
          <w:between w:val="nil"/>
        </w:pBdr>
        <w:ind w:left="567" w:right="-141"/>
        <w:jc w:val="both"/>
        <w:rPr>
          <w:rFonts w:ascii="Palatino Linotype" w:hAnsi="Palatino Linotype"/>
          <w:i/>
          <w:color w:val="000000"/>
        </w:rPr>
      </w:pPr>
      <w:r w:rsidRPr="00040E7E">
        <w:rPr>
          <w:rFonts w:ascii="Palatino Linotype" w:hAnsi="Palatino Linotype"/>
          <w:i/>
          <w:color w:val="000000"/>
        </w:rPr>
        <w:t>“…</w:t>
      </w:r>
    </w:p>
    <w:p w:rsidR="00BB6E7C" w:rsidRPr="00040E7E" w:rsidRDefault="00BB6E7C" w:rsidP="00BB6E7C">
      <w:pPr>
        <w:pBdr>
          <w:top w:val="nil"/>
          <w:left w:val="nil"/>
          <w:bottom w:val="nil"/>
          <w:right w:val="nil"/>
          <w:between w:val="nil"/>
        </w:pBdr>
        <w:ind w:left="567" w:right="-141"/>
        <w:jc w:val="both"/>
        <w:rPr>
          <w:rFonts w:ascii="Palatino Linotype" w:hAnsi="Palatino Linotype"/>
          <w:i/>
          <w:color w:val="000000"/>
        </w:rPr>
      </w:pPr>
      <w:r w:rsidRPr="00040E7E">
        <w:rPr>
          <w:rFonts w:ascii="Palatino Linotype" w:hAnsi="Palatino Linotype"/>
          <w:i/>
          <w:color w:val="000000"/>
        </w:rPr>
        <w:t>Con fundamento en lo dispuesto por el artículo 163 de la Ley de Transparencia y Acceso a la Información Pública del Estado de México, se APRUEBA la prórroga solicitada.</w:t>
      </w:r>
    </w:p>
    <w:p w:rsidR="00BB6E7C" w:rsidRPr="00040E7E" w:rsidRDefault="00BB6E7C" w:rsidP="00BB6E7C">
      <w:pPr>
        <w:pBdr>
          <w:top w:val="nil"/>
          <w:left w:val="nil"/>
          <w:bottom w:val="nil"/>
          <w:right w:val="nil"/>
          <w:between w:val="nil"/>
        </w:pBdr>
        <w:ind w:left="567" w:right="-141"/>
        <w:jc w:val="both"/>
        <w:rPr>
          <w:rFonts w:ascii="Palatino Linotype" w:eastAsia="Palatino Linotype" w:hAnsi="Palatino Linotype" w:cs="Palatino Linotype"/>
          <w:i/>
          <w:color w:val="000000"/>
        </w:rPr>
      </w:pPr>
      <w:r w:rsidRPr="00040E7E">
        <w:rPr>
          <w:rFonts w:ascii="Palatino Linotype" w:hAnsi="Palatino Linotype"/>
          <w:i/>
          <w:color w:val="000000"/>
        </w:rPr>
        <w:t>…” (Sic)</w:t>
      </w:r>
    </w:p>
    <w:p w:rsidR="00BB6E7C" w:rsidRPr="00040E7E" w:rsidRDefault="00BB6E7C" w:rsidP="00BB6E7C">
      <w:pPr>
        <w:pStyle w:val="Prrafodelista"/>
        <w:rPr>
          <w:rFonts w:ascii="Palatino Linotype" w:eastAsia="Palatino Linotype" w:hAnsi="Palatino Linotype" w:cs="Palatino Linotype"/>
          <w:color w:val="000000"/>
        </w:rPr>
      </w:pPr>
    </w:p>
    <w:p w:rsidR="007F0605" w:rsidRPr="00040E7E" w:rsidRDefault="00301111"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i/>
          <w:color w:val="000000"/>
        </w:rPr>
      </w:pPr>
      <w:r w:rsidRPr="00040E7E">
        <w:rPr>
          <w:rFonts w:ascii="Palatino Linotype" w:eastAsia="Palatino Linotype" w:hAnsi="Palatino Linotype" w:cs="Palatino Linotype"/>
          <w:color w:val="000000"/>
        </w:rPr>
        <w:t xml:space="preserve">El </w:t>
      </w:r>
      <w:r w:rsidR="00BB6E7C" w:rsidRPr="00040E7E">
        <w:rPr>
          <w:rFonts w:ascii="Palatino Linotype" w:eastAsia="Palatino Linotype" w:hAnsi="Palatino Linotype" w:cs="Palatino Linotype"/>
          <w:b/>
          <w:color w:val="000000"/>
        </w:rPr>
        <w:t>veintiocho de octubre</w:t>
      </w:r>
      <w:r w:rsidR="00D164A6" w:rsidRPr="00040E7E">
        <w:rPr>
          <w:rFonts w:ascii="Palatino Linotype" w:eastAsia="Palatino Linotype" w:hAnsi="Palatino Linotype" w:cs="Palatino Linotype"/>
          <w:b/>
          <w:color w:val="000000"/>
        </w:rPr>
        <w:t xml:space="preserve"> </w:t>
      </w:r>
      <w:r w:rsidRPr="00040E7E">
        <w:rPr>
          <w:rFonts w:ascii="Palatino Linotype" w:eastAsia="Palatino Linotype" w:hAnsi="Palatino Linotype" w:cs="Palatino Linotype"/>
          <w:b/>
          <w:color w:val="000000"/>
        </w:rPr>
        <w:t>de dos mil veinticinco</w:t>
      </w:r>
      <w:r w:rsidRPr="00040E7E">
        <w:rPr>
          <w:rFonts w:ascii="Palatino Linotype" w:eastAsia="Palatino Linotype" w:hAnsi="Palatino Linotype" w:cs="Palatino Linotype"/>
          <w:color w:val="000000"/>
        </w:rPr>
        <w:t xml:space="preserve">, el </w:t>
      </w:r>
      <w:r w:rsidRPr="00040E7E">
        <w:rPr>
          <w:rFonts w:ascii="Palatino Linotype" w:eastAsia="Palatino Linotype" w:hAnsi="Palatino Linotype" w:cs="Palatino Linotype"/>
          <w:b/>
          <w:color w:val="000000"/>
        </w:rPr>
        <w:t>SUJETO OBLIGADO</w:t>
      </w:r>
      <w:r w:rsidR="00EC3C89" w:rsidRPr="00040E7E">
        <w:rPr>
          <w:rFonts w:ascii="Palatino Linotype" w:eastAsia="Palatino Linotype" w:hAnsi="Palatino Linotype" w:cs="Palatino Linotype"/>
          <w:color w:val="000000"/>
        </w:rPr>
        <w:t xml:space="preserve"> emitió</w:t>
      </w:r>
      <w:r w:rsidRPr="00040E7E">
        <w:rPr>
          <w:rFonts w:ascii="Palatino Linotype" w:eastAsia="Palatino Linotype" w:hAnsi="Palatino Linotype" w:cs="Palatino Linotype"/>
          <w:color w:val="000000"/>
        </w:rPr>
        <w:t xml:space="preserve"> respuesta a la solicitud </w:t>
      </w:r>
      <w:r w:rsidR="009C6889" w:rsidRPr="00040E7E">
        <w:rPr>
          <w:rFonts w:ascii="Palatino Linotype" w:eastAsia="Palatino Linotype" w:hAnsi="Palatino Linotype" w:cs="Palatino Linotype"/>
          <w:color w:val="000000"/>
        </w:rPr>
        <w:t>de información, en los siguientes términos:</w:t>
      </w:r>
    </w:p>
    <w:p w:rsidR="009C6889" w:rsidRPr="00040E7E" w:rsidRDefault="009C6889" w:rsidP="009716D8">
      <w:pPr>
        <w:pBdr>
          <w:top w:val="nil"/>
          <w:left w:val="nil"/>
          <w:bottom w:val="nil"/>
          <w:right w:val="nil"/>
          <w:between w:val="nil"/>
        </w:pBdr>
        <w:ind w:left="567" w:right="-141"/>
        <w:jc w:val="both"/>
        <w:rPr>
          <w:rFonts w:ascii="Palatino Linotype" w:eastAsia="Palatino Linotype" w:hAnsi="Palatino Linotype" w:cs="Palatino Linotype"/>
          <w:i/>
          <w:color w:val="000000"/>
        </w:rPr>
      </w:pPr>
      <w:r w:rsidRPr="00040E7E">
        <w:rPr>
          <w:rFonts w:ascii="Palatino Linotype" w:eastAsia="Palatino Linotype" w:hAnsi="Palatino Linotype" w:cs="Palatino Linotype"/>
          <w:i/>
          <w:color w:val="000000"/>
        </w:rPr>
        <w:t>“</w:t>
      </w:r>
      <w:r w:rsidR="00BB6E7C" w:rsidRPr="00040E7E">
        <w:rPr>
          <w:rFonts w:ascii="Palatino Linotype" w:hAnsi="Palatino Linotype"/>
          <w:i/>
          <w:color w:val="000000"/>
        </w:rPr>
        <w:t xml:space="preserve">Folio de la solicitud: 000634/TENANCIN/IP/2025 Estimado solicitante: Sirva este medio para enviarle un afectuoso saludo, al mismo tiempo con fundamento en el artículo 53 fracciones II, IV y V de la Ley de Transparencia y Acceso a la Información Pública del Estado de México y Municipios, remito la contestación a su solicitud de información, y le informo lo siguiente: </w:t>
      </w:r>
      <w:r w:rsidR="00BB6E7C" w:rsidRPr="00040E7E">
        <w:rPr>
          <w:rFonts w:ascii="Palatino Linotype" w:hAnsi="Palatino Linotype"/>
          <w:b/>
          <w:i/>
          <w:color w:val="000000"/>
        </w:rPr>
        <w:t xml:space="preserve">Dando atención a su solicitud de información con folio 00634/TENANCIN/IP/2025, se adjunta al presente en archivos PDF, los siguientes documentos: 1. Respuesta del Servidor Público Habilitado. </w:t>
      </w:r>
      <w:r w:rsidR="00BB6E7C" w:rsidRPr="00040E7E">
        <w:rPr>
          <w:rFonts w:ascii="Palatino Linotype" w:hAnsi="Palatino Linotype"/>
          <w:i/>
          <w:color w:val="000000"/>
        </w:rPr>
        <w:t>Archivos en los cuales se precisa todo lo referente a su solicitud de información. Haciendo de su conocimiento que de acuerdo a lo establecido por los artículos 176, 177 y 178 de la Ley de Transparencia y Acceso a la Información Pública del Estado de México y Municipios, podrá ejercer su segunda garantía del Derecho de Acceso a la Información pública, al interponer un recurso de revisión, ante el INFOEM o ante esta Unidad de Transparencia, dentro de los quince días hábiles posteriores a la fecha de recepción de su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quedo de Usted.</w:t>
      </w:r>
      <w:r w:rsidRPr="00040E7E">
        <w:rPr>
          <w:rFonts w:ascii="Palatino Linotype" w:eastAsia="Palatino Linotype" w:hAnsi="Palatino Linotype" w:cs="Palatino Linotype"/>
          <w:i/>
          <w:color w:val="000000"/>
        </w:rPr>
        <w:t>” (Sic)</w:t>
      </w:r>
    </w:p>
    <w:p w:rsidR="00EC3C89" w:rsidRPr="00040E7E" w:rsidRDefault="00EC3C89" w:rsidP="004251BC">
      <w:pPr>
        <w:pBdr>
          <w:top w:val="nil"/>
          <w:left w:val="nil"/>
          <w:bottom w:val="nil"/>
          <w:right w:val="nil"/>
          <w:between w:val="nil"/>
        </w:pBdr>
        <w:ind w:right="-992"/>
        <w:jc w:val="both"/>
        <w:rPr>
          <w:rFonts w:ascii="Palatino Linotype" w:eastAsia="Palatino Linotype" w:hAnsi="Palatino Linotype" w:cs="Palatino Linotype"/>
          <w:color w:val="000000"/>
        </w:rPr>
      </w:pPr>
    </w:p>
    <w:p w:rsidR="007F0605" w:rsidRPr="00040E7E" w:rsidRDefault="003B0F22"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i/>
          <w:color w:val="000000"/>
        </w:rPr>
      </w:pPr>
      <w:r w:rsidRPr="00040E7E">
        <w:rPr>
          <w:rFonts w:ascii="Palatino Linotype" w:eastAsia="Palatino Linotype" w:hAnsi="Palatino Linotype" w:cs="Palatino Linotype"/>
          <w:color w:val="000000"/>
        </w:rPr>
        <w:t>El</w:t>
      </w:r>
      <w:r w:rsidR="00301111" w:rsidRPr="00040E7E">
        <w:rPr>
          <w:rFonts w:ascii="Palatino Linotype" w:eastAsia="Palatino Linotype" w:hAnsi="Palatino Linotype" w:cs="Palatino Linotype"/>
          <w:color w:val="000000"/>
        </w:rPr>
        <w:t xml:space="preserve"> </w:t>
      </w:r>
      <w:r w:rsidR="00924537" w:rsidRPr="00040E7E">
        <w:rPr>
          <w:rFonts w:ascii="Palatino Linotype" w:eastAsia="Palatino Linotype" w:hAnsi="Palatino Linotype" w:cs="Palatino Linotype"/>
          <w:b/>
          <w:color w:val="000000"/>
        </w:rPr>
        <w:t>doce de</w:t>
      </w:r>
      <w:r w:rsidR="00EC3C89" w:rsidRPr="00040E7E">
        <w:rPr>
          <w:rFonts w:ascii="Palatino Linotype" w:eastAsia="Palatino Linotype" w:hAnsi="Palatino Linotype" w:cs="Palatino Linotype"/>
          <w:b/>
          <w:color w:val="000000"/>
        </w:rPr>
        <w:t xml:space="preserve"> junio</w:t>
      </w:r>
      <w:r w:rsidR="00301111" w:rsidRPr="00040E7E">
        <w:rPr>
          <w:rFonts w:ascii="Palatino Linotype" w:eastAsia="Palatino Linotype" w:hAnsi="Palatino Linotype" w:cs="Palatino Linotype"/>
          <w:b/>
          <w:color w:val="000000"/>
        </w:rPr>
        <w:t xml:space="preserve"> de dos mil veinticinco</w:t>
      </w:r>
      <w:r w:rsidR="00301111" w:rsidRPr="00040E7E">
        <w:rPr>
          <w:rFonts w:ascii="Palatino Linotype" w:eastAsia="Palatino Linotype" w:hAnsi="Palatino Linotype" w:cs="Palatino Linotype"/>
          <w:color w:val="000000"/>
        </w:rPr>
        <w:t xml:space="preserve">, </w:t>
      </w:r>
      <w:r w:rsidRPr="00040E7E">
        <w:rPr>
          <w:rFonts w:ascii="Palatino Linotype" w:eastAsia="Palatino Linotype" w:hAnsi="Palatino Linotype" w:cs="Palatino Linotype"/>
          <w:color w:val="000000"/>
        </w:rPr>
        <w:t xml:space="preserve">la parte </w:t>
      </w:r>
      <w:r w:rsidRPr="00040E7E">
        <w:rPr>
          <w:rFonts w:ascii="Palatino Linotype" w:eastAsia="Palatino Linotype" w:hAnsi="Palatino Linotype" w:cs="Palatino Linotype"/>
          <w:b/>
          <w:color w:val="000000"/>
        </w:rPr>
        <w:t>RECURRENTE</w:t>
      </w:r>
      <w:r w:rsidR="00301111" w:rsidRPr="00040E7E">
        <w:rPr>
          <w:rFonts w:ascii="Palatino Linotype" w:eastAsia="Palatino Linotype" w:hAnsi="Palatino Linotype" w:cs="Palatino Linotype"/>
          <w:color w:val="000000"/>
        </w:rPr>
        <w:t xml:space="preserve"> interpuso recurso de revisión, </w:t>
      </w:r>
      <w:r w:rsidRPr="00040E7E">
        <w:rPr>
          <w:rFonts w:ascii="Palatino Linotype" w:eastAsia="Palatino Linotype" w:hAnsi="Palatino Linotype" w:cs="Palatino Linotype"/>
          <w:color w:val="000000"/>
        </w:rPr>
        <w:t>en los siguientes términos:</w:t>
      </w:r>
    </w:p>
    <w:p w:rsidR="007F0605" w:rsidRPr="00040E7E" w:rsidRDefault="007F0605" w:rsidP="00BB6E7C">
      <w:pPr>
        <w:pBdr>
          <w:top w:val="nil"/>
          <w:left w:val="nil"/>
          <w:bottom w:val="nil"/>
          <w:right w:val="nil"/>
          <w:between w:val="nil"/>
        </w:pBdr>
        <w:ind w:left="567" w:right="-425"/>
        <w:jc w:val="both"/>
        <w:rPr>
          <w:rFonts w:ascii="Palatino Linotype" w:eastAsia="Palatino Linotype" w:hAnsi="Palatino Linotype" w:cs="Palatino Linotype"/>
          <w:i/>
          <w:color w:val="000000"/>
        </w:rPr>
      </w:pPr>
    </w:p>
    <w:p w:rsidR="007F0605" w:rsidRPr="00040E7E" w:rsidRDefault="00301111" w:rsidP="00040E7E">
      <w:pPr>
        <w:pStyle w:val="Prrafodelista"/>
        <w:numPr>
          <w:ilvl w:val="0"/>
          <w:numId w:val="40"/>
        </w:numPr>
        <w:pBdr>
          <w:top w:val="nil"/>
          <w:left w:val="nil"/>
          <w:bottom w:val="nil"/>
          <w:right w:val="nil"/>
          <w:between w:val="nil"/>
        </w:pBdr>
        <w:ind w:right="-425"/>
        <w:jc w:val="both"/>
        <w:rPr>
          <w:rFonts w:ascii="Palatino Linotype" w:eastAsia="Palatino Linotype" w:hAnsi="Palatino Linotype" w:cs="Palatino Linotype"/>
          <w:b/>
          <w:i/>
          <w:color w:val="000000"/>
        </w:rPr>
      </w:pPr>
      <w:bookmarkStart w:id="1" w:name="_heading=h.a4yqcbbd8811" w:colFirst="0" w:colLast="0"/>
      <w:bookmarkEnd w:id="1"/>
      <w:r w:rsidRPr="00040E7E">
        <w:rPr>
          <w:rFonts w:ascii="Palatino Linotype" w:eastAsia="Palatino Linotype" w:hAnsi="Palatino Linotype" w:cs="Palatino Linotype"/>
          <w:b/>
          <w:color w:val="000000"/>
        </w:rPr>
        <w:t>ACTO IMPUGNADO</w:t>
      </w:r>
      <w:r w:rsidRPr="00040E7E">
        <w:rPr>
          <w:rFonts w:ascii="Palatino Linotype" w:eastAsia="Palatino Linotype" w:hAnsi="Palatino Linotype" w:cs="Palatino Linotype"/>
          <w:b/>
          <w:i/>
          <w:color w:val="000000"/>
        </w:rPr>
        <w:t>:</w:t>
      </w:r>
      <w:r w:rsidR="003B0F22" w:rsidRPr="00040E7E">
        <w:rPr>
          <w:rFonts w:ascii="Palatino Linotype" w:eastAsia="Palatino Linotype" w:hAnsi="Palatino Linotype" w:cs="Palatino Linotype"/>
          <w:b/>
          <w:i/>
          <w:color w:val="000000"/>
        </w:rPr>
        <w:t xml:space="preserve"> </w:t>
      </w:r>
      <w:r w:rsidRPr="00040E7E">
        <w:rPr>
          <w:rFonts w:ascii="Palatino Linotype" w:eastAsia="Palatino Linotype" w:hAnsi="Palatino Linotype" w:cs="Palatino Linotype"/>
          <w:i/>
          <w:color w:val="000000"/>
        </w:rPr>
        <w:t>“</w:t>
      </w:r>
      <w:r w:rsidR="00BB6E7C" w:rsidRPr="00040E7E">
        <w:rPr>
          <w:rFonts w:ascii="Palatino Linotype" w:hAnsi="Palatino Linotype"/>
          <w:i/>
          <w:color w:val="000000"/>
        </w:rPr>
        <w:t xml:space="preserve">LA RESPUESTA A LA SOLICITUD 00634/TENANCIN/IP/2025 EN LA QUE COMO CONSTA EN EL SISTEMA NO SE ADJUNTÒ RESPUESTA ALGUNA, DEJANDOME EN ESTADO DE </w:t>
      </w:r>
      <w:r w:rsidR="00BB6E7C" w:rsidRPr="00040E7E">
        <w:rPr>
          <w:rFonts w:ascii="Palatino Linotype" w:hAnsi="Palatino Linotype"/>
          <w:i/>
          <w:color w:val="000000"/>
        </w:rPr>
        <w:lastRenderedPageBreak/>
        <w:t>INDEFENSIÒN Y VULNERANDO MIS DERECHOS AL ACCESO A LA INFORMACIÒN PÙBLICA</w:t>
      </w:r>
      <w:r w:rsidR="003B0F22" w:rsidRPr="00040E7E">
        <w:rPr>
          <w:rFonts w:ascii="Palatino Linotype" w:hAnsi="Palatino Linotype"/>
          <w:i/>
          <w:color w:val="000000"/>
        </w:rPr>
        <w:t>” (Sic)</w:t>
      </w:r>
    </w:p>
    <w:p w:rsidR="007F0605" w:rsidRPr="00040E7E" w:rsidRDefault="007F0605" w:rsidP="00BB6E7C">
      <w:pPr>
        <w:pBdr>
          <w:top w:val="nil"/>
          <w:left w:val="nil"/>
          <w:bottom w:val="nil"/>
          <w:right w:val="nil"/>
          <w:between w:val="nil"/>
        </w:pBdr>
        <w:spacing w:line="360" w:lineRule="auto"/>
        <w:ind w:left="567" w:right="-425"/>
        <w:jc w:val="both"/>
        <w:rPr>
          <w:rFonts w:ascii="Palatino Linotype" w:eastAsia="Palatino Linotype" w:hAnsi="Palatino Linotype" w:cs="Palatino Linotype"/>
          <w:i/>
          <w:color w:val="000000"/>
        </w:rPr>
      </w:pPr>
    </w:p>
    <w:p w:rsidR="007F0605" w:rsidRPr="00040E7E" w:rsidRDefault="00301111" w:rsidP="00040E7E">
      <w:pPr>
        <w:pStyle w:val="Prrafodelista"/>
        <w:numPr>
          <w:ilvl w:val="0"/>
          <w:numId w:val="40"/>
        </w:numPr>
        <w:pBdr>
          <w:top w:val="nil"/>
          <w:left w:val="nil"/>
          <w:bottom w:val="nil"/>
          <w:right w:val="nil"/>
          <w:between w:val="nil"/>
        </w:pBdr>
        <w:ind w:right="-425"/>
        <w:jc w:val="both"/>
        <w:rPr>
          <w:rFonts w:ascii="Palatino Linotype" w:hAnsi="Palatino Linotype"/>
          <w:i/>
          <w:color w:val="000000"/>
        </w:rPr>
      </w:pPr>
      <w:r w:rsidRPr="00040E7E">
        <w:rPr>
          <w:rFonts w:ascii="Palatino Linotype" w:eastAsia="Palatino Linotype" w:hAnsi="Palatino Linotype" w:cs="Palatino Linotype"/>
          <w:b/>
          <w:color w:val="000000"/>
        </w:rPr>
        <w:t>RAZONE</w:t>
      </w:r>
      <w:r w:rsidR="003B0F22" w:rsidRPr="00040E7E">
        <w:rPr>
          <w:rFonts w:ascii="Palatino Linotype" w:eastAsia="Palatino Linotype" w:hAnsi="Palatino Linotype" w:cs="Palatino Linotype"/>
          <w:b/>
          <w:color w:val="000000"/>
        </w:rPr>
        <w:t>S O MOTIVOS DE LA INCONFORMIDAD</w:t>
      </w:r>
      <w:r w:rsidR="009C6889" w:rsidRPr="00040E7E">
        <w:rPr>
          <w:rFonts w:ascii="Palatino Linotype" w:eastAsia="Palatino Linotype" w:hAnsi="Palatino Linotype" w:cs="Palatino Linotype"/>
          <w:b/>
          <w:i/>
          <w:color w:val="000000"/>
        </w:rPr>
        <w:t xml:space="preserve">: </w:t>
      </w:r>
      <w:r w:rsidR="009C6889" w:rsidRPr="00040E7E">
        <w:rPr>
          <w:rFonts w:ascii="Palatino Linotype" w:eastAsia="Palatino Linotype" w:hAnsi="Palatino Linotype" w:cs="Palatino Linotype"/>
          <w:color w:val="000000"/>
        </w:rPr>
        <w:t>“</w:t>
      </w:r>
      <w:r w:rsidR="00BB6E7C" w:rsidRPr="00040E7E">
        <w:rPr>
          <w:rFonts w:ascii="Palatino Linotype" w:hAnsi="Palatino Linotype"/>
          <w:color w:val="000000"/>
        </w:rPr>
        <w:t>A FALTA DE RESPUESTA, AL NO ADJUNTAR DICHO DOCUMENTO A LA RESPUESTA PUBLICADA EN EL SISTEMA</w:t>
      </w:r>
      <w:r w:rsidR="009C6889" w:rsidRPr="00040E7E">
        <w:rPr>
          <w:rFonts w:ascii="Palatino Linotype" w:hAnsi="Palatino Linotype"/>
          <w:color w:val="000000"/>
        </w:rPr>
        <w:t>” (Sic)</w:t>
      </w:r>
    </w:p>
    <w:p w:rsidR="005A2A4B" w:rsidRPr="00040E7E" w:rsidRDefault="005A2A4B" w:rsidP="00924537">
      <w:pPr>
        <w:pBdr>
          <w:top w:val="nil"/>
          <w:left w:val="nil"/>
          <w:bottom w:val="nil"/>
          <w:right w:val="nil"/>
          <w:between w:val="nil"/>
        </w:pBdr>
        <w:ind w:right="-425"/>
        <w:jc w:val="both"/>
        <w:rPr>
          <w:rFonts w:ascii="Palatino Linotype" w:eastAsia="Palatino Linotype" w:hAnsi="Palatino Linotype" w:cs="Palatino Linotype"/>
          <w:b/>
          <w:i/>
          <w:color w:val="000000"/>
        </w:rPr>
      </w:pPr>
    </w:p>
    <w:p w:rsidR="007F0605" w:rsidRPr="00040E7E" w:rsidRDefault="00040E7E"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La Comisionada p</w:t>
      </w:r>
      <w:r w:rsidR="00301111" w:rsidRPr="00040E7E">
        <w:rPr>
          <w:rFonts w:ascii="Palatino Linotype" w:eastAsia="Palatino Linotype" w:hAnsi="Palatino Linotype" w:cs="Palatino Linotype"/>
          <w:color w:val="000000"/>
        </w:rPr>
        <w:t xml:space="preserve">onente con fundamento en lo dispuesto por el artículo 185 fracción II de la ley de la materia, a través del acuerdo de admisión de fecha </w:t>
      </w:r>
      <w:r w:rsidR="0001174B" w:rsidRPr="00040E7E">
        <w:rPr>
          <w:rFonts w:ascii="Palatino Linotype" w:eastAsia="Palatino Linotype" w:hAnsi="Palatino Linotype" w:cs="Palatino Linotype"/>
          <w:b/>
          <w:color w:val="000000"/>
        </w:rPr>
        <w:t>cinco de noviembre</w:t>
      </w:r>
      <w:r w:rsidR="00A3102E" w:rsidRPr="00040E7E">
        <w:rPr>
          <w:rFonts w:ascii="Palatino Linotype" w:eastAsia="Palatino Linotype" w:hAnsi="Palatino Linotype" w:cs="Palatino Linotype"/>
          <w:b/>
          <w:color w:val="000000"/>
        </w:rPr>
        <w:t xml:space="preserve"> </w:t>
      </w:r>
      <w:r w:rsidR="00301111" w:rsidRPr="00040E7E">
        <w:rPr>
          <w:rFonts w:ascii="Palatino Linotype" w:eastAsia="Palatino Linotype" w:hAnsi="Palatino Linotype" w:cs="Palatino Linotype"/>
          <w:b/>
          <w:color w:val="000000"/>
        </w:rPr>
        <w:t>de dos mil veinticinco</w:t>
      </w:r>
      <w:r w:rsidR="00301111" w:rsidRPr="00040E7E">
        <w:rPr>
          <w:rFonts w:ascii="Palatino Linotype" w:eastAsia="Palatino Linotype" w:hAnsi="Palatino Linotype" w:cs="Palatino Linotype"/>
          <w:color w:val="000000"/>
        </w:rPr>
        <w:t xml:space="preserve">, puso a disposición de las partes el expediente electrónico vía </w:t>
      </w:r>
      <w:r w:rsidR="00301111" w:rsidRPr="00040E7E">
        <w:rPr>
          <w:rFonts w:ascii="Palatino Linotype" w:eastAsia="Palatino Linotype" w:hAnsi="Palatino Linotype" w:cs="Palatino Linotype"/>
          <w:b/>
          <w:color w:val="000000"/>
        </w:rPr>
        <w:t xml:space="preserve">SAIMEX </w:t>
      </w:r>
      <w:r w:rsidR="00301111" w:rsidRPr="00040E7E">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00301111" w:rsidRPr="00040E7E">
        <w:rPr>
          <w:rFonts w:ascii="Palatino Linotype" w:eastAsia="Palatino Linotype" w:hAnsi="Palatino Linotype" w:cs="Palatino Linotype"/>
          <w:b/>
          <w:color w:val="000000"/>
        </w:rPr>
        <w:t>SUJETO OBLIGADO</w:t>
      </w:r>
      <w:r w:rsidR="00301111" w:rsidRPr="00040E7E">
        <w:rPr>
          <w:rFonts w:ascii="Palatino Linotype" w:eastAsia="Palatino Linotype" w:hAnsi="Palatino Linotype" w:cs="Palatino Linotype"/>
          <w:color w:val="000000"/>
        </w:rPr>
        <w:t xml:space="preserve"> presentará el Informe Justificado procedente.</w:t>
      </w:r>
    </w:p>
    <w:p w:rsidR="00FB6DBB" w:rsidRPr="00040E7E" w:rsidRDefault="00FB6DBB" w:rsidP="009716D8">
      <w:pPr>
        <w:pBdr>
          <w:top w:val="nil"/>
          <w:left w:val="nil"/>
          <w:bottom w:val="nil"/>
          <w:right w:val="nil"/>
          <w:between w:val="nil"/>
        </w:pBdr>
        <w:spacing w:line="360" w:lineRule="auto"/>
        <w:ind w:right="-708"/>
        <w:jc w:val="both"/>
        <w:rPr>
          <w:rFonts w:ascii="Palatino Linotype" w:eastAsia="Palatino Linotype" w:hAnsi="Palatino Linotype" w:cs="Palatino Linotype"/>
          <w:i/>
          <w:color w:val="000000"/>
        </w:rPr>
      </w:pPr>
    </w:p>
    <w:p w:rsidR="00FB6DBB" w:rsidRPr="00040E7E" w:rsidRDefault="00FB6DBB" w:rsidP="0001174B">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rPr>
      </w:pPr>
      <w:r w:rsidRPr="00040E7E">
        <w:rPr>
          <w:rFonts w:ascii="Palatino Linotype" w:eastAsia="Palatino Linotype" w:hAnsi="Palatino Linotype" w:cs="Palatino Linotype"/>
        </w:rPr>
        <w:t>El</w:t>
      </w:r>
      <w:r w:rsidR="002D7C06" w:rsidRPr="00040E7E">
        <w:rPr>
          <w:rFonts w:ascii="Palatino Linotype" w:eastAsia="Palatino Linotype" w:hAnsi="Palatino Linotype" w:cs="Palatino Linotype"/>
        </w:rPr>
        <w:t xml:space="preserve"> </w:t>
      </w:r>
      <w:r w:rsidRPr="00040E7E">
        <w:rPr>
          <w:rFonts w:ascii="Palatino Linotype" w:eastAsia="Palatino Linotype" w:hAnsi="Palatino Linotype" w:cs="Palatino Linotype"/>
          <w:b/>
        </w:rPr>
        <w:t>SUJETO OBLIGADO</w:t>
      </w:r>
      <w:r w:rsidRPr="00040E7E">
        <w:rPr>
          <w:rFonts w:ascii="Palatino Linotype" w:eastAsia="Palatino Linotype" w:hAnsi="Palatino Linotype" w:cs="Palatino Linotype"/>
        </w:rPr>
        <w:t xml:space="preserve"> </w:t>
      </w:r>
      <w:r w:rsidR="0001174B" w:rsidRPr="00040E7E">
        <w:rPr>
          <w:rFonts w:ascii="Palatino Linotype" w:eastAsia="Palatino Linotype" w:hAnsi="Palatino Linotype" w:cs="Palatino Linotype"/>
        </w:rPr>
        <w:t xml:space="preserve">fue omiso en rendir </w:t>
      </w:r>
      <w:r w:rsidRPr="00040E7E">
        <w:rPr>
          <w:rFonts w:ascii="Palatino Linotype" w:eastAsia="Palatino Linotype" w:hAnsi="Palatino Linotype" w:cs="Palatino Linotype"/>
        </w:rPr>
        <w:t>el inform</w:t>
      </w:r>
      <w:r w:rsidR="002D7C06" w:rsidRPr="00040E7E">
        <w:rPr>
          <w:rFonts w:ascii="Palatino Linotype" w:eastAsia="Palatino Linotype" w:hAnsi="Palatino Linotype" w:cs="Palatino Linotype"/>
        </w:rPr>
        <w:t>e justificado corre</w:t>
      </w:r>
      <w:r w:rsidR="0001174B" w:rsidRPr="00040E7E">
        <w:rPr>
          <w:rFonts w:ascii="Palatino Linotype" w:eastAsia="Palatino Linotype" w:hAnsi="Palatino Linotype" w:cs="Palatino Linotype"/>
        </w:rPr>
        <w:t>spondiente, p</w:t>
      </w:r>
      <w:r w:rsidRPr="00040E7E">
        <w:rPr>
          <w:rFonts w:ascii="Palatino Linotype" w:eastAsia="Palatino Linotype" w:hAnsi="Palatino Linotype" w:cs="Palatino Linotype"/>
        </w:rPr>
        <w:t xml:space="preserve">or su parte, el </w:t>
      </w:r>
      <w:r w:rsidRPr="00040E7E">
        <w:rPr>
          <w:rFonts w:ascii="Palatino Linotype" w:eastAsia="Palatino Linotype" w:hAnsi="Palatino Linotype" w:cs="Palatino Linotype"/>
          <w:b/>
        </w:rPr>
        <w:t xml:space="preserve">RECURRENTE </w:t>
      </w:r>
      <w:r w:rsidRPr="00040E7E">
        <w:rPr>
          <w:rFonts w:ascii="Palatino Linotype" w:eastAsia="Palatino Linotype" w:hAnsi="Palatino Linotype" w:cs="Palatino Linotype"/>
        </w:rPr>
        <w:t>no realizó manifestaciones, ni ofreció pruebas o alegatos que a su derecho conviniera.</w:t>
      </w:r>
    </w:p>
    <w:p w:rsidR="0068443A" w:rsidRPr="00040E7E" w:rsidRDefault="0068443A" w:rsidP="009716D8">
      <w:pPr>
        <w:pBdr>
          <w:top w:val="nil"/>
          <w:left w:val="nil"/>
          <w:bottom w:val="nil"/>
          <w:right w:val="nil"/>
          <w:between w:val="nil"/>
        </w:pBdr>
        <w:ind w:right="-708"/>
        <w:jc w:val="both"/>
        <w:rPr>
          <w:rFonts w:ascii="Palatino Linotype" w:eastAsia="Palatino Linotype" w:hAnsi="Palatino Linotype" w:cs="Palatino Linotype"/>
          <w:b/>
          <w:color w:val="000000"/>
        </w:rPr>
      </w:pPr>
    </w:p>
    <w:p w:rsidR="007F0605" w:rsidRPr="00040E7E" w:rsidRDefault="0068443A"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b/>
          <w:color w:val="000000"/>
        </w:rPr>
      </w:pPr>
      <w:r w:rsidRPr="00040E7E">
        <w:rPr>
          <w:rFonts w:ascii="Palatino Linotype" w:eastAsia="Palatino Linotype" w:hAnsi="Palatino Linotype" w:cs="Palatino Linotype"/>
          <w:color w:val="000000"/>
        </w:rPr>
        <w:t xml:space="preserve">El </w:t>
      </w:r>
      <w:r w:rsidR="0001174B" w:rsidRPr="00040E7E">
        <w:rPr>
          <w:rFonts w:ascii="Palatino Linotype" w:eastAsia="Palatino Linotype" w:hAnsi="Palatino Linotype" w:cs="Palatino Linotype"/>
          <w:b/>
          <w:color w:val="000000"/>
        </w:rPr>
        <w:t xml:space="preserve">dieciocho </w:t>
      </w:r>
      <w:r w:rsidR="002D7C06" w:rsidRPr="00040E7E">
        <w:rPr>
          <w:rFonts w:ascii="Palatino Linotype" w:eastAsia="Palatino Linotype" w:hAnsi="Palatino Linotype" w:cs="Palatino Linotype"/>
          <w:b/>
          <w:color w:val="000000"/>
        </w:rPr>
        <w:t>de diciembre</w:t>
      </w:r>
      <w:r w:rsidR="008F4EAA" w:rsidRPr="00040E7E">
        <w:rPr>
          <w:rFonts w:ascii="Palatino Linotype" w:eastAsia="Palatino Linotype" w:hAnsi="Palatino Linotype" w:cs="Palatino Linotype"/>
          <w:b/>
          <w:color w:val="000000"/>
        </w:rPr>
        <w:t xml:space="preserve"> </w:t>
      </w:r>
      <w:r w:rsidRPr="00040E7E">
        <w:rPr>
          <w:rFonts w:ascii="Palatino Linotype" w:eastAsia="Palatino Linotype" w:hAnsi="Palatino Linotype" w:cs="Palatino Linotype"/>
          <w:b/>
          <w:color w:val="000000"/>
        </w:rPr>
        <w:t xml:space="preserve">de dos mil veinticinco, </w:t>
      </w:r>
      <w:r w:rsidR="00301111" w:rsidRPr="00040E7E">
        <w:rPr>
          <w:rFonts w:ascii="Palatino Linotype" w:eastAsia="Palatino Linotype" w:hAnsi="Palatino Linotype" w:cs="Palatino Linotype"/>
          <w:color w:val="000000"/>
        </w:rPr>
        <w:t>se decretó el cierre de instrucción, por lo que</w:t>
      </w:r>
      <w:r w:rsidRPr="00040E7E">
        <w:rPr>
          <w:rFonts w:ascii="Palatino Linotype" w:eastAsia="Palatino Linotype" w:hAnsi="Palatino Linotype" w:cs="Palatino Linotype"/>
          <w:color w:val="000000"/>
        </w:rPr>
        <w:t xml:space="preserve"> no habiendo más que hacer constar y</w:t>
      </w:r>
    </w:p>
    <w:p w:rsidR="007F0605" w:rsidRDefault="007F0605" w:rsidP="009716D8">
      <w:pPr>
        <w:pBdr>
          <w:top w:val="nil"/>
          <w:left w:val="nil"/>
          <w:bottom w:val="nil"/>
          <w:right w:val="nil"/>
          <w:between w:val="nil"/>
        </w:pBdr>
        <w:ind w:right="-141"/>
        <w:jc w:val="both"/>
        <w:rPr>
          <w:rFonts w:ascii="Palatino Linotype" w:eastAsia="Palatino Linotype" w:hAnsi="Palatino Linotype" w:cs="Palatino Linotype"/>
          <w:b/>
          <w:color w:val="000000"/>
        </w:rPr>
      </w:pPr>
    </w:p>
    <w:p w:rsidR="00040E7E" w:rsidRPr="00040E7E" w:rsidRDefault="00040E7E" w:rsidP="009716D8">
      <w:pPr>
        <w:pBdr>
          <w:top w:val="nil"/>
          <w:left w:val="nil"/>
          <w:bottom w:val="nil"/>
          <w:right w:val="nil"/>
          <w:between w:val="nil"/>
        </w:pBdr>
        <w:ind w:right="-141"/>
        <w:jc w:val="both"/>
        <w:rPr>
          <w:rFonts w:ascii="Palatino Linotype" w:eastAsia="Palatino Linotype" w:hAnsi="Palatino Linotype" w:cs="Palatino Linotype"/>
          <w:b/>
          <w:color w:val="000000"/>
        </w:rPr>
      </w:pPr>
    </w:p>
    <w:p w:rsidR="007F0605" w:rsidRPr="00040E7E" w:rsidRDefault="00301111" w:rsidP="009716D8">
      <w:pPr>
        <w:pStyle w:val="Ttulo1"/>
        <w:spacing w:before="0" w:line="360" w:lineRule="auto"/>
        <w:ind w:right="-141"/>
        <w:jc w:val="center"/>
        <w:rPr>
          <w:rFonts w:ascii="Palatino Linotype" w:eastAsia="Palatino Linotype" w:hAnsi="Palatino Linotype" w:cs="Palatino Linotype"/>
          <w:b/>
          <w:color w:val="000000"/>
          <w:sz w:val="24"/>
          <w:szCs w:val="24"/>
        </w:rPr>
      </w:pPr>
      <w:bookmarkStart w:id="2" w:name="_heading=h.tcdf2ax2f2z" w:colFirst="0" w:colLast="0"/>
      <w:bookmarkEnd w:id="2"/>
      <w:r w:rsidRPr="00040E7E">
        <w:rPr>
          <w:rFonts w:ascii="Palatino Linotype" w:eastAsia="Palatino Linotype" w:hAnsi="Palatino Linotype" w:cs="Palatino Linotype"/>
          <w:b/>
          <w:color w:val="000000"/>
          <w:sz w:val="24"/>
          <w:szCs w:val="24"/>
        </w:rPr>
        <w:t>C</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O</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N</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S</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I</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D</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E</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R</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A</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N</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D</w:t>
      </w:r>
      <w:r w:rsidR="00040E7E">
        <w:rPr>
          <w:rFonts w:ascii="Palatino Linotype" w:eastAsia="Palatino Linotype" w:hAnsi="Palatino Linotype" w:cs="Palatino Linotype"/>
          <w:b/>
          <w:color w:val="000000"/>
          <w:sz w:val="24"/>
          <w:szCs w:val="24"/>
        </w:rPr>
        <w:t xml:space="preserve"> </w:t>
      </w:r>
      <w:r w:rsidRPr="00040E7E">
        <w:rPr>
          <w:rFonts w:ascii="Palatino Linotype" w:eastAsia="Palatino Linotype" w:hAnsi="Palatino Linotype" w:cs="Palatino Linotype"/>
          <w:b/>
          <w:color w:val="000000"/>
          <w:sz w:val="24"/>
          <w:szCs w:val="24"/>
        </w:rPr>
        <w:t>O</w:t>
      </w:r>
    </w:p>
    <w:p w:rsidR="007F0605" w:rsidRPr="00040E7E" w:rsidRDefault="007F0605" w:rsidP="009716D8">
      <w:pPr>
        <w:pStyle w:val="Ttulo2"/>
        <w:spacing w:before="0"/>
        <w:ind w:right="-141"/>
        <w:rPr>
          <w:rFonts w:ascii="Palatino Linotype" w:eastAsia="Palatino Linotype" w:hAnsi="Palatino Linotype" w:cs="Palatino Linotype"/>
          <w:b/>
          <w:color w:val="000000"/>
          <w:sz w:val="24"/>
          <w:szCs w:val="24"/>
        </w:rPr>
      </w:pPr>
      <w:bookmarkStart w:id="3" w:name="_heading=h.eukquq32djgq" w:colFirst="0" w:colLast="0"/>
      <w:bookmarkEnd w:id="3"/>
    </w:p>
    <w:p w:rsidR="007F0605" w:rsidRPr="00040E7E" w:rsidRDefault="00301111" w:rsidP="009716D8">
      <w:pPr>
        <w:pStyle w:val="Ttulo2"/>
        <w:spacing w:before="0" w:line="360" w:lineRule="auto"/>
        <w:ind w:right="-141"/>
        <w:rPr>
          <w:rFonts w:ascii="Palatino Linotype" w:eastAsia="Palatino Linotype" w:hAnsi="Palatino Linotype" w:cs="Palatino Linotype"/>
          <w:b/>
          <w:color w:val="000000"/>
          <w:sz w:val="24"/>
          <w:szCs w:val="24"/>
        </w:rPr>
      </w:pPr>
      <w:r w:rsidRPr="00040E7E">
        <w:rPr>
          <w:rFonts w:ascii="Palatino Linotype" w:eastAsia="Palatino Linotype" w:hAnsi="Palatino Linotype" w:cs="Palatino Linotype"/>
          <w:b/>
          <w:color w:val="000000"/>
          <w:sz w:val="24"/>
          <w:szCs w:val="24"/>
        </w:rPr>
        <w:t>PRIMERO. De la competencia</w:t>
      </w:r>
    </w:p>
    <w:p w:rsidR="00FA52BC" w:rsidRPr="00040E7E" w:rsidRDefault="00FA52BC"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color w:val="000000"/>
          <w:lang w:val="es-MX"/>
        </w:rPr>
      </w:pPr>
      <w:r w:rsidRPr="00040E7E">
        <w:rPr>
          <w:rFonts w:ascii="Palatino Linotype" w:eastAsia="Palatino Linotype" w:hAnsi="Palatino Linotype" w:cs="Palatino Linotype"/>
          <w:color w:val="000000"/>
          <w:lang w:val="es-MX"/>
        </w:rPr>
        <w:t xml:space="preserve">Este Instituto de Transparencia, Acceso a la Información Pública y Protección de Datos Personales del Estado de México y Municipios, es competente para conocer y resolver el </w:t>
      </w:r>
      <w:r w:rsidRPr="00040E7E">
        <w:rPr>
          <w:rFonts w:ascii="Palatino Linotype" w:eastAsia="Palatino Linotype" w:hAnsi="Palatino Linotype" w:cs="Palatino Linotype"/>
          <w:color w:val="000000"/>
          <w:lang w:val="es-MX"/>
        </w:rPr>
        <w:lastRenderedPageBreak/>
        <w:t>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7F0605" w:rsidRPr="00040E7E" w:rsidRDefault="007F0605" w:rsidP="009716D8">
      <w:pPr>
        <w:ind w:right="-708"/>
        <w:jc w:val="both"/>
        <w:rPr>
          <w:rFonts w:ascii="Palatino Linotype" w:eastAsia="Palatino Linotype" w:hAnsi="Palatino Linotype" w:cs="Palatino Linotype"/>
          <w:color w:val="000000"/>
        </w:rPr>
      </w:pPr>
    </w:p>
    <w:p w:rsidR="007F0605" w:rsidRPr="00040E7E" w:rsidRDefault="00301111" w:rsidP="009716D8">
      <w:pPr>
        <w:spacing w:line="360" w:lineRule="auto"/>
        <w:ind w:right="-708"/>
        <w:jc w:val="both"/>
        <w:rPr>
          <w:rFonts w:ascii="Palatino Linotype" w:eastAsia="Palatino Linotype" w:hAnsi="Palatino Linotype" w:cs="Palatino Linotype"/>
          <w:b/>
        </w:rPr>
      </w:pPr>
      <w:bookmarkStart w:id="4" w:name="_heading=h.dyf81up906hi" w:colFirst="0" w:colLast="0"/>
      <w:bookmarkEnd w:id="4"/>
      <w:r w:rsidRPr="00040E7E">
        <w:rPr>
          <w:rFonts w:ascii="Palatino Linotype" w:eastAsia="Palatino Linotype" w:hAnsi="Palatino Linotype" w:cs="Palatino Linotype"/>
          <w:b/>
        </w:rPr>
        <w:t>SEGUNDO. De la oportunidad y procedencia.</w:t>
      </w:r>
    </w:p>
    <w:p w:rsidR="00FA52BC" w:rsidRPr="00040E7E" w:rsidRDefault="00FA52BC"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lang w:val="es-MX"/>
        </w:rPr>
      </w:pPr>
      <w:r w:rsidRPr="00040E7E">
        <w:rPr>
          <w:rFonts w:ascii="Palatino Linotype" w:eastAsia="Palatino Linotype" w:hAnsi="Palatino Linotype" w:cs="Palatino Linotype"/>
          <w:lang w:val="es-MX"/>
        </w:rPr>
        <w:t xml:space="preserve">El medio de impugnación fue presentado a través del </w:t>
      </w:r>
      <w:r w:rsidRPr="00040E7E">
        <w:rPr>
          <w:rFonts w:ascii="Palatino Linotype" w:eastAsia="Palatino Linotype" w:hAnsi="Palatino Linotype" w:cs="Palatino Linotype"/>
          <w:b/>
          <w:lang w:val="es-MX"/>
        </w:rPr>
        <w:t>SAIMEX,</w:t>
      </w:r>
      <w:r w:rsidRPr="00040E7E">
        <w:rPr>
          <w:rFonts w:ascii="Palatino Linotype" w:eastAsia="Palatino Linotype" w:hAnsi="Palatino Linotype" w:cs="Palatino Linotype"/>
          <w:lang w:val="es-MX"/>
        </w:rPr>
        <w:t xml:space="preserve"> en el formato </w:t>
      </w:r>
      <w:r w:rsidRPr="00040E7E">
        <w:rPr>
          <w:rFonts w:ascii="Palatino Linotype" w:eastAsia="Palatino Linotype" w:hAnsi="Palatino Linotype" w:cs="Palatino Linotype"/>
          <w:color w:val="000000"/>
          <w:lang w:val="es-MX"/>
        </w:rPr>
        <w:t>previamente</w:t>
      </w:r>
      <w:r w:rsidRPr="00040E7E">
        <w:rPr>
          <w:rFonts w:ascii="Palatino Linotype" w:eastAsia="Palatino Linotype" w:hAnsi="Palatino Linotype" w:cs="Palatino Linotype"/>
          <w:lang w:val="es-MX"/>
        </w:rPr>
        <w:t xml:space="preserve"> aprobado para tal efecto y dentro del plazo legal de quince días hábiles otorgados; para el caso en particular es de señalar que el </w:t>
      </w:r>
      <w:r w:rsidRPr="00040E7E">
        <w:rPr>
          <w:rFonts w:ascii="Palatino Linotype" w:eastAsia="Palatino Linotype" w:hAnsi="Palatino Linotype" w:cs="Palatino Linotype"/>
          <w:b/>
          <w:lang w:val="es-MX"/>
        </w:rPr>
        <w:t>SUJETO OBLIGADO</w:t>
      </w:r>
      <w:r w:rsidRPr="00040E7E">
        <w:rPr>
          <w:rFonts w:ascii="Palatino Linotype" w:eastAsia="Palatino Linotype" w:hAnsi="Palatino Linotype" w:cs="Palatino Linotype"/>
          <w:lang w:val="es-MX"/>
        </w:rPr>
        <w:t xml:space="preserve"> entregó respuesta el </w:t>
      </w:r>
      <w:r w:rsidR="0001174B" w:rsidRPr="00040E7E">
        <w:rPr>
          <w:rFonts w:ascii="Palatino Linotype" w:eastAsia="Palatino Linotype" w:hAnsi="Palatino Linotype" w:cs="Palatino Linotype"/>
          <w:b/>
          <w:lang w:val="es-MX"/>
        </w:rPr>
        <w:t>veintiocho de octubre</w:t>
      </w:r>
      <w:r w:rsidRPr="00040E7E">
        <w:rPr>
          <w:rFonts w:ascii="Palatino Linotype" w:eastAsia="Palatino Linotype" w:hAnsi="Palatino Linotype" w:cs="Palatino Linotype"/>
          <w:b/>
          <w:lang w:val="es-MX"/>
        </w:rPr>
        <w:t xml:space="preserve"> de dos mil veinticinco</w:t>
      </w:r>
      <w:r w:rsidRPr="00040E7E">
        <w:rPr>
          <w:rFonts w:ascii="Palatino Linotype" w:eastAsia="Palatino Linotype" w:hAnsi="Palatino Linotype" w:cs="Palatino Linotype"/>
          <w:lang w:val="es-MX"/>
        </w:rPr>
        <w:t xml:space="preserve">, de tal forma que el plazo para interponer el recurso transcurrió del </w:t>
      </w:r>
      <w:r w:rsidR="0001174B" w:rsidRPr="00040E7E">
        <w:rPr>
          <w:rFonts w:ascii="Palatino Linotype" w:eastAsia="Palatino Linotype" w:hAnsi="Palatino Linotype" w:cs="Palatino Linotype"/>
          <w:b/>
          <w:lang w:val="es-MX"/>
        </w:rPr>
        <w:t>veintinueve de octubre</w:t>
      </w:r>
      <w:r w:rsidR="00B759B1" w:rsidRPr="00040E7E">
        <w:rPr>
          <w:rFonts w:ascii="Palatino Linotype" w:eastAsia="Palatino Linotype" w:hAnsi="Palatino Linotype" w:cs="Palatino Linotype"/>
          <w:b/>
          <w:lang w:val="es-MX"/>
        </w:rPr>
        <w:t xml:space="preserve"> </w:t>
      </w:r>
      <w:r w:rsidR="002D7C06" w:rsidRPr="00040E7E">
        <w:rPr>
          <w:rFonts w:ascii="Palatino Linotype" w:eastAsia="Palatino Linotype" w:hAnsi="Palatino Linotype" w:cs="Palatino Linotype"/>
          <w:b/>
          <w:lang w:val="es-MX"/>
        </w:rPr>
        <w:t xml:space="preserve">al </w:t>
      </w:r>
      <w:r w:rsidR="00B759B1" w:rsidRPr="00040E7E">
        <w:rPr>
          <w:rFonts w:ascii="Palatino Linotype" w:eastAsia="Palatino Linotype" w:hAnsi="Palatino Linotype" w:cs="Palatino Linotype"/>
          <w:b/>
          <w:lang w:val="es-MX"/>
        </w:rPr>
        <w:t xml:space="preserve">diecinueve de </w:t>
      </w:r>
      <w:r w:rsidR="0001174B" w:rsidRPr="00040E7E">
        <w:rPr>
          <w:rFonts w:ascii="Palatino Linotype" w:eastAsia="Palatino Linotype" w:hAnsi="Palatino Linotype" w:cs="Palatino Linotype"/>
          <w:b/>
          <w:lang w:val="es-MX"/>
        </w:rPr>
        <w:t xml:space="preserve">noviembre </w:t>
      </w:r>
      <w:r w:rsidRPr="00040E7E">
        <w:rPr>
          <w:rFonts w:ascii="Palatino Linotype" w:eastAsia="Palatino Linotype" w:hAnsi="Palatino Linotype" w:cs="Palatino Linotype"/>
          <w:b/>
          <w:lang w:val="es-MX"/>
        </w:rPr>
        <w:t xml:space="preserve">de dos mil veinticinco, </w:t>
      </w:r>
      <w:r w:rsidRPr="00040E7E">
        <w:rPr>
          <w:rFonts w:ascii="Palatino Linotype" w:eastAsia="Palatino Linotype" w:hAnsi="Palatino Linotype" w:cs="Palatino Linotype"/>
          <w:lang w:val="es-MX"/>
        </w:rPr>
        <w:t xml:space="preserve">en consecuencia, si el </w:t>
      </w:r>
      <w:r w:rsidRPr="00040E7E">
        <w:rPr>
          <w:rFonts w:ascii="Palatino Linotype" w:eastAsia="Palatino Linotype" w:hAnsi="Palatino Linotype" w:cs="Palatino Linotype"/>
          <w:b/>
          <w:lang w:val="es-MX"/>
        </w:rPr>
        <w:t>PARTICULAR</w:t>
      </w:r>
      <w:r w:rsidRPr="00040E7E">
        <w:rPr>
          <w:rFonts w:ascii="Palatino Linotype" w:eastAsia="Palatino Linotype" w:hAnsi="Palatino Linotype" w:cs="Palatino Linotype"/>
          <w:lang w:val="es-MX"/>
        </w:rPr>
        <w:t xml:space="preserve"> presentó su inconformidad el </w:t>
      </w:r>
      <w:r w:rsidR="0001174B" w:rsidRPr="00040E7E">
        <w:rPr>
          <w:rFonts w:ascii="Palatino Linotype" w:eastAsia="Palatino Linotype" w:hAnsi="Palatino Linotype" w:cs="Palatino Linotype"/>
          <w:b/>
          <w:lang w:val="es-MX"/>
        </w:rPr>
        <w:t>veintinueve de octubre</w:t>
      </w:r>
      <w:r w:rsidRPr="00040E7E">
        <w:rPr>
          <w:rFonts w:ascii="Palatino Linotype" w:eastAsia="Palatino Linotype" w:hAnsi="Palatino Linotype" w:cs="Palatino Linotype"/>
          <w:b/>
          <w:lang w:val="es-MX"/>
        </w:rPr>
        <w:t xml:space="preserve"> de dos mil veinticinco</w:t>
      </w:r>
      <w:r w:rsidR="0001174B" w:rsidRPr="00040E7E">
        <w:rPr>
          <w:rFonts w:ascii="Palatino Linotype" w:eastAsia="Palatino Linotype" w:hAnsi="Palatino Linotype" w:cs="Palatino Linotype"/>
          <w:lang w:val="es-MX"/>
        </w:rPr>
        <w:t xml:space="preserve">, este </w:t>
      </w:r>
      <w:r w:rsidRPr="00040E7E">
        <w:rPr>
          <w:rFonts w:ascii="Palatino Linotype" w:eastAsia="Palatino Linotype" w:hAnsi="Palatino Linotype" w:cs="Palatino Linotype"/>
          <w:lang w:val="es-MX"/>
        </w:rPr>
        <w:t xml:space="preserve">se encuentra dentro de los márgenes temporales previstos en el artículo 178 de la </w:t>
      </w:r>
      <w:r w:rsidRPr="00040E7E">
        <w:rPr>
          <w:rFonts w:ascii="Palatino Linotype" w:eastAsia="Palatino Linotype" w:hAnsi="Palatino Linotype" w:cs="Palatino Linotype"/>
          <w:b/>
          <w:lang w:val="es-MX"/>
        </w:rPr>
        <w:t xml:space="preserve">Ley de Transparencia y Acceso a la Información Pública del Estado de México y Municipios </w:t>
      </w:r>
      <w:r w:rsidRPr="00040E7E">
        <w:rPr>
          <w:rFonts w:ascii="Palatino Linotype" w:eastAsia="Palatino Linotype" w:hAnsi="Palatino Linotype" w:cs="Palatino Linotype"/>
          <w:lang w:val="es-MX"/>
        </w:rPr>
        <w:t xml:space="preserve">vigente. </w:t>
      </w:r>
    </w:p>
    <w:p w:rsidR="007F0605" w:rsidRPr="00040E7E" w:rsidRDefault="007F0605" w:rsidP="009716D8">
      <w:pPr>
        <w:ind w:right="-708"/>
        <w:rPr>
          <w:rFonts w:ascii="Palatino Linotype" w:eastAsia="Palatino Linotype" w:hAnsi="Palatino Linotype" w:cs="Palatino Linotype"/>
        </w:rPr>
      </w:pPr>
    </w:p>
    <w:p w:rsidR="00FA52BC" w:rsidRPr="00040E7E" w:rsidRDefault="00FA52BC" w:rsidP="009716D8">
      <w:pPr>
        <w:pStyle w:val="Ttulo2"/>
        <w:ind w:right="-708"/>
        <w:rPr>
          <w:rFonts w:ascii="Palatino Linotype" w:eastAsia="Palatino Linotype" w:hAnsi="Palatino Linotype" w:cs="Palatino Linotype"/>
          <w:b/>
          <w:i/>
          <w:color w:val="000000"/>
          <w:sz w:val="24"/>
          <w:szCs w:val="24"/>
        </w:rPr>
      </w:pPr>
      <w:bookmarkStart w:id="5" w:name="_heading=h.dtalz9vugpm6" w:colFirst="0" w:colLast="0"/>
      <w:bookmarkEnd w:id="5"/>
      <w:r w:rsidRPr="00040E7E">
        <w:rPr>
          <w:rFonts w:ascii="Palatino Linotype" w:eastAsia="Palatino Linotype" w:hAnsi="Palatino Linotype" w:cs="Palatino Linotype"/>
          <w:b/>
          <w:color w:val="000000"/>
          <w:sz w:val="24"/>
          <w:szCs w:val="24"/>
        </w:rPr>
        <w:lastRenderedPageBreak/>
        <w:t xml:space="preserve">TERCERO. Del planteamiento de la </w:t>
      </w:r>
      <w:r w:rsidRPr="00040E7E">
        <w:rPr>
          <w:rFonts w:ascii="Palatino Linotype" w:eastAsia="Palatino Linotype" w:hAnsi="Palatino Linotype" w:cs="Palatino Linotype"/>
          <w:b/>
          <w:i/>
          <w:color w:val="000000"/>
          <w:sz w:val="24"/>
          <w:szCs w:val="24"/>
        </w:rPr>
        <w:t>Litis.</w:t>
      </w:r>
    </w:p>
    <w:p w:rsidR="009716D8" w:rsidRPr="00040E7E" w:rsidRDefault="00564C9A"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rPr>
      </w:pPr>
      <w:r w:rsidRPr="00040E7E">
        <w:rPr>
          <w:rFonts w:ascii="Palatino Linotype" w:eastAsia="Palatino Linotype" w:hAnsi="Palatino Linotype" w:cs="Palatino Linotype"/>
          <w:lang w:val="es-MX"/>
        </w:rPr>
        <w:t>La parte</w:t>
      </w:r>
      <w:r w:rsidR="00E95AF5" w:rsidRPr="00040E7E">
        <w:rPr>
          <w:rFonts w:ascii="Palatino Linotype" w:eastAsia="Palatino Linotype" w:hAnsi="Palatino Linotype" w:cs="Palatino Linotype"/>
          <w:lang w:val="es-MX"/>
        </w:rPr>
        <w:t xml:space="preserve"> </w:t>
      </w:r>
      <w:r w:rsidR="00E95AF5" w:rsidRPr="00040E7E">
        <w:rPr>
          <w:rFonts w:ascii="Palatino Linotype" w:eastAsia="Palatino Linotype" w:hAnsi="Palatino Linotype" w:cs="Palatino Linotype"/>
          <w:b/>
          <w:lang w:val="es-MX"/>
        </w:rPr>
        <w:t>RECURRENTE</w:t>
      </w:r>
      <w:r w:rsidR="009716D8" w:rsidRPr="00040E7E">
        <w:rPr>
          <w:rFonts w:ascii="Palatino Linotype" w:eastAsia="Palatino Linotype" w:hAnsi="Palatino Linotype" w:cs="Palatino Linotype"/>
          <w:b/>
          <w:lang w:val="es-MX"/>
        </w:rPr>
        <w:t xml:space="preserve"> </w:t>
      </w:r>
      <w:r w:rsidRPr="00040E7E">
        <w:rPr>
          <w:rFonts w:ascii="Palatino Linotype" w:eastAsia="Palatino Linotype" w:hAnsi="Palatino Linotype" w:cs="Palatino Linotype"/>
          <w:lang w:val="es-MX"/>
        </w:rPr>
        <w:t xml:space="preserve">solicitó </w:t>
      </w:r>
      <w:r w:rsidR="0001174B" w:rsidRPr="00040E7E">
        <w:rPr>
          <w:rFonts w:ascii="Palatino Linotype" w:eastAsia="Palatino Linotype" w:hAnsi="Palatino Linotype" w:cs="Palatino Linotype"/>
          <w:lang w:val="es-MX"/>
        </w:rPr>
        <w:t>el Acta de la primera sesión del Comité de Dictamen de Giro del Municipio de Tenancingo, con fecha 2 de septiembre de 2025.</w:t>
      </w:r>
    </w:p>
    <w:p w:rsidR="009716D8" w:rsidRPr="00040E7E" w:rsidRDefault="009716D8" w:rsidP="009716D8">
      <w:pPr>
        <w:pBdr>
          <w:top w:val="nil"/>
          <w:left w:val="nil"/>
          <w:bottom w:val="nil"/>
          <w:right w:val="nil"/>
          <w:between w:val="nil"/>
        </w:pBdr>
        <w:spacing w:line="360" w:lineRule="auto"/>
        <w:ind w:right="-708"/>
        <w:jc w:val="both"/>
        <w:rPr>
          <w:rFonts w:ascii="Palatino Linotype" w:eastAsia="Palatino Linotype" w:hAnsi="Palatino Linotype" w:cs="Palatino Linotype"/>
        </w:rPr>
      </w:pPr>
    </w:p>
    <w:p w:rsidR="00D94029" w:rsidRPr="00040E7E" w:rsidRDefault="001F3566"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rPr>
      </w:pPr>
      <w:r w:rsidRPr="00040E7E">
        <w:rPr>
          <w:rFonts w:ascii="Palatino Linotype" w:eastAsia="Palatino Linotype" w:hAnsi="Palatino Linotype" w:cs="Palatino Linotype"/>
        </w:rPr>
        <w:t>El</w:t>
      </w:r>
      <w:r w:rsidR="00D94029" w:rsidRPr="00040E7E">
        <w:rPr>
          <w:rFonts w:ascii="Palatino Linotype" w:eastAsia="Palatino Linotype" w:hAnsi="Palatino Linotype" w:cs="Palatino Linotype"/>
        </w:rPr>
        <w:t xml:space="preserve"> </w:t>
      </w:r>
      <w:r w:rsidR="00D94029" w:rsidRPr="00040E7E">
        <w:rPr>
          <w:rFonts w:ascii="Palatino Linotype" w:eastAsia="Palatino Linotype" w:hAnsi="Palatino Linotype" w:cs="Palatino Linotype"/>
          <w:b/>
        </w:rPr>
        <w:t>SUJETO OBLIGADO</w:t>
      </w:r>
      <w:r w:rsidR="00D94029" w:rsidRPr="00040E7E">
        <w:rPr>
          <w:rFonts w:ascii="Palatino Linotype" w:eastAsia="Palatino Linotype" w:hAnsi="Palatino Linotype" w:cs="Palatino Linotype"/>
        </w:rPr>
        <w:t xml:space="preserve"> </w:t>
      </w:r>
      <w:r w:rsidRPr="00040E7E">
        <w:rPr>
          <w:rFonts w:ascii="Palatino Linotype" w:eastAsia="Palatino Linotype" w:hAnsi="Palatino Linotype" w:cs="Palatino Linotype"/>
        </w:rPr>
        <w:t xml:space="preserve">emitió respuesta en los términos establecidos en el </w:t>
      </w:r>
      <w:r w:rsidR="0001174B" w:rsidRPr="00040E7E">
        <w:rPr>
          <w:rFonts w:ascii="Palatino Linotype" w:eastAsia="Palatino Linotype" w:hAnsi="Palatino Linotype" w:cs="Palatino Linotype"/>
          <w:b/>
        </w:rPr>
        <w:t xml:space="preserve">párrafo 4 </w:t>
      </w:r>
      <w:r w:rsidRPr="00040E7E">
        <w:rPr>
          <w:rFonts w:ascii="Palatino Linotype" w:eastAsia="Palatino Linotype" w:hAnsi="Palatino Linotype" w:cs="Palatino Linotype"/>
        </w:rPr>
        <w:t>de la presente resolución.</w:t>
      </w:r>
    </w:p>
    <w:p w:rsidR="00B07386" w:rsidRPr="00040E7E" w:rsidRDefault="00B07386" w:rsidP="009716D8">
      <w:pPr>
        <w:pBdr>
          <w:top w:val="nil"/>
          <w:left w:val="nil"/>
          <w:bottom w:val="nil"/>
          <w:right w:val="nil"/>
          <w:between w:val="nil"/>
        </w:pBdr>
        <w:ind w:right="-708"/>
        <w:jc w:val="both"/>
        <w:rPr>
          <w:rFonts w:ascii="Palatino Linotype" w:eastAsia="Palatino Linotype" w:hAnsi="Palatino Linotype" w:cs="Palatino Linotype"/>
        </w:rPr>
      </w:pPr>
    </w:p>
    <w:p w:rsidR="00A76465" w:rsidRPr="00040E7E" w:rsidRDefault="00FA52BC"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i/>
        </w:rPr>
      </w:pPr>
      <w:r w:rsidRPr="00040E7E">
        <w:rPr>
          <w:rFonts w:ascii="Palatino Linotype" w:eastAsia="Palatino Linotype" w:hAnsi="Palatino Linotype" w:cs="Palatino Linotype"/>
        </w:rPr>
        <w:t xml:space="preserve">Inconforme con lo anterior, </w:t>
      </w:r>
      <w:r w:rsidR="001F3566" w:rsidRPr="00040E7E">
        <w:rPr>
          <w:rFonts w:ascii="Palatino Linotype" w:eastAsia="Palatino Linotype" w:hAnsi="Palatino Linotype" w:cs="Palatino Linotype"/>
        </w:rPr>
        <w:t>la parte</w:t>
      </w:r>
      <w:r w:rsidRPr="00040E7E">
        <w:rPr>
          <w:rFonts w:ascii="Palatino Linotype" w:eastAsia="Palatino Linotype" w:hAnsi="Palatino Linotype" w:cs="Palatino Linotype"/>
        </w:rPr>
        <w:t xml:space="preserve"> </w:t>
      </w:r>
      <w:r w:rsidRPr="00040E7E">
        <w:rPr>
          <w:rFonts w:ascii="Palatino Linotype" w:eastAsia="Palatino Linotype" w:hAnsi="Palatino Linotype" w:cs="Palatino Linotype"/>
          <w:b/>
        </w:rPr>
        <w:t xml:space="preserve">RECURRENTE </w:t>
      </w:r>
      <w:r w:rsidRPr="00040E7E">
        <w:rPr>
          <w:rFonts w:ascii="Palatino Linotype" w:eastAsia="Palatino Linotype" w:hAnsi="Palatino Linotype" w:cs="Palatino Linotype"/>
        </w:rPr>
        <w:t>interpuso Recurso de Revisión</w:t>
      </w:r>
      <w:r w:rsidR="00D94029" w:rsidRPr="00040E7E">
        <w:rPr>
          <w:rFonts w:ascii="Palatino Linotype" w:eastAsia="Palatino Linotype" w:hAnsi="Palatino Linotype" w:cs="Palatino Linotype"/>
        </w:rPr>
        <w:t>,</w:t>
      </w:r>
      <w:r w:rsidRPr="00040E7E">
        <w:rPr>
          <w:rFonts w:ascii="Palatino Linotype" w:eastAsia="Palatino Linotype" w:hAnsi="Palatino Linotype" w:cs="Palatino Linotype"/>
        </w:rPr>
        <w:t xml:space="preserve"> </w:t>
      </w:r>
      <w:r w:rsidR="00D94029" w:rsidRPr="00040E7E">
        <w:rPr>
          <w:rFonts w:ascii="Palatino Linotype" w:eastAsia="Palatino Linotype" w:hAnsi="Palatino Linotype" w:cs="Palatino Linotype"/>
          <w:lang w:val="es-MX"/>
        </w:rPr>
        <w:t xml:space="preserve">mediante el cual, manifestó </w:t>
      </w:r>
      <w:r w:rsidR="001F3566" w:rsidRPr="00040E7E">
        <w:rPr>
          <w:rFonts w:ascii="Palatino Linotype" w:eastAsia="Palatino Linotype" w:hAnsi="Palatino Linotype" w:cs="Palatino Linotype"/>
          <w:b/>
          <w:lang w:val="es-MX"/>
        </w:rPr>
        <w:t>la negativa de la información solicitada.</w:t>
      </w:r>
    </w:p>
    <w:p w:rsidR="00A76465" w:rsidRPr="00040E7E" w:rsidRDefault="00A76465" w:rsidP="009716D8">
      <w:pPr>
        <w:ind w:right="-708"/>
        <w:jc w:val="both"/>
        <w:rPr>
          <w:rFonts w:ascii="Palatino Linotype" w:eastAsia="Palatino Linotype" w:hAnsi="Palatino Linotype" w:cs="Palatino Linotype"/>
        </w:rPr>
      </w:pPr>
    </w:p>
    <w:p w:rsidR="00FA52BC" w:rsidRPr="00040E7E" w:rsidRDefault="00FA52BC"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rPr>
      </w:pPr>
      <w:r w:rsidRPr="00040E7E">
        <w:rPr>
          <w:rFonts w:ascii="Palatino Linotype" w:eastAsia="Palatino Linotype" w:hAnsi="Palatino Linotype" w:cs="Palatino Linotype"/>
        </w:rPr>
        <w:t xml:space="preserve">En dichas condiciones, la </w:t>
      </w:r>
      <w:r w:rsidRPr="00040E7E">
        <w:rPr>
          <w:rFonts w:ascii="Palatino Linotype" w:eastAsia="Palatino Linotype" w:hAnsi="Palatino Linotype" w:cs="Palatino Linotype"/>
          <w:i/>
        </w:rPr>
        <w:t>Litis</w:t>
      </w:r>
      <w:r w:rsidRPr="00040E7E">
        <w:rPr>
          <w:rFonts w:ascii="Palatino Linotype" w:eastAsia="Palatino Linotype" w:hAnsi="Palatino Linotype" w:cs="Palatino Linotype"/>
        </w:rPr>
        <w:t xml:space="preserve"> a resolver en este recurso se circunscribe a determinar si se </w:t>
      </w:r>
      <w:r w:rsidRPr="00040E7E">
        <w:rPr>
          <w:rFonts w:ascii="Palatino Linotype" w:eastAsia="Palatino Linotype" w:hAnsi="Palatino Linotype" w:cs="Palatino Linotype"/>
          <w:lang w:val="es-MX"/>
        </w:rPr>
        <w:t>actualiza</w:t>
      </w:r>
      <w:r w:rsidRPr="00040E7E">
        <w:rPr>
          <w:rFonts w:ascii="Palatino Linotype" w:eastAsia="Palatino Linotype" w:hAnsi="Palatino Linotype" w:cs="Palatino Linotype"/>
        </w:rPr>
        <w:t xml:space="preserve"> la causal de procedencia prevista en el artículo 179, fracción</w:t>
      </w:r>
      <w:r w:rsidRPr="00040E7E">
        <w:rPr>
          <w:rFonts w:ascii="Palatino Linotype" w:eastAsia="Palatino Linotype" w:hAnsi="Palatino Linotype" w:cs="Palatino Linotype"/>
          <w:b/>
        </w:rPr>
        <w:t xml:space="preserve"> I </w:t>
      </w:r>
      <w:r w:rsidRPr="00040E7E">
        <w:rPr>
          <w:rFonts w:ascii="Palatino Linotype" w:eastAsia="Palatino Linotype" w:hAnsi="Palatino Linotype" w:cs="Palatino Linotype"/>
        </w:rPr>
        <w:t xml:space="preserve">de la </w:t>
      </w:r>
      <w:r w:rsidRPr="00040E7E">
        <w:rPr>
          <w:rFonts w:ascii="Palatino Linotype" w:eastAsia="Palatino Linotype" w:hAnsi="Palatino Linotype" w:cs="Palatino Linotype"/>
          <w:b/>
        </w:rPr>
        <w:t xml:space="preserve">Ley de </w:t>
      </w:r>
      <w:r w:rsidRPr="00040E7E">
        <w:rPr>
          <w:rFonts w:ascii="Palatino Linotype" w:eastAsia="Palatino Linotype" w:hAnsi="Palatino Linotype" w:cs="Palatino Linotype"/>
        </w:rPr>
        <w:t>Transparencia</w:t>
      </w:r>
      <w:r w:rsidRPr="00040E7E">
        <w:rPr>
          <w:rFonts w:ascii="Palatino Linotype" w:eastAsia="Palatino Linotype" w:hAnsi="Palatino Linotype" w:cs="Palatino Linotype"/>
          <w:b/>
        </w:rPr>
        <w:t xml:space="preserve"> y Acceso a la Información Pública del Estado de México y Municipios</w:t>
      </w:r>
      <w:r w:rsidRPr="00040E7E">
        <w:rPr>
          <w:rFonts w:ascii="Palatino Linotype" w:eastAsia="Palatino Linotype" w:hAnsi="Palatino Linotype" w:cs="Palatino Linotype"/>
        </w:rPr>
        <w:t xml:space="preserve">; </w:t>
      </w:r>
      <w:r w:rsidRPr="00040E7E">
        <w:rPr>
          <w:rFonts w:ascii="Palatino Linotype" w:eastAsia="Palatino Linotype" w:hAnsi="Palatino Linotype" w:cs="Palatino Linotype"/>
          <w:color w:val="000000"/>
        </w:rPr>
        <w:t xml:space="preserve">fracción que determina las hipótesis jurídica relativa a </w:t>
      </w:r>
      <w:r w:rsidR="00B07386" w:rsidRPr="00040E7E">
        <w:rPr>
          <w:rFonts w:ascii="Palatino Linotype" w:eastAsia="Palatino Linotype" w:hAnsi="Palatino Linotype" w:cs="Palatino Linotype"/>
          <w:color w:val="000000"/>
        </w:rPr>
        <w:t>la negativa de la información solicitada</w:t>
      </w:r>
      <w:r w:rsidRPr="00040E7E">
        <w:rPr>
          <w:rFonts w:ascii="Palatino Linotype" w:eastAsia="Palatino Linotype" w:hAnsi="Palatino Linotype" w:cs="Palatino Linotype"/>
          <w:color w:val="000000"/>
        </w:rPr>
        <w:t xml:space="preserve">; </w:t>
      </w:r>
      <w:r w:rsidRPr="00040E7E">
        <w:rPr>
          <w:rFonts w:ascii="Palatino Linotype" w:eastAsia="Palatino Linotype" w:hAnsi="Palatino Linotype" w:cs="Palatino Linotype"/>
        </w:rPr>
        <w:t xml:space="preserve">contexto del cual se dolió </w:t>
      </w:r>
      <w:r w:rsidR="00D94029" w:rsidRPr="00040E7E">
        <w:rPr>
          <w:rFonts w:ascii="Palatino Linotype" w:eastAsia="Palatino Linotype" w:hAnsi="Palatino Linotype" w:cs="Palatino Linotype"/>
        </w:rPr>
        <w:t>la parte</w:t>
      </w:r>
      <w:r w:rsidRPr="00040E7E">
        <w:rPr>
          <w:rFonts w:ascii="Palatino Linotype" w:eastAsia="Palatino Linotype" w:hAnsi="Palatino Linotype" w:cs="Palatino Linotype"/>
          <w:b/>
        </w:rPr>
        <w:t xml:space="preserve"> RECURRENTE </w:t>
      </w:r>
      <w:r w:rsidRPr="00040E7E">
        <w:rPr>
          <w:rFonts w:ascii="Palatino Linotype" w:eastAsia="Palatino Linotype" w:hAnsi="Palatino Linotype" w:cs="Palatino Linotype"/>
        </w:rPr>
        <w:t>al momento de interponer su inconformidad.</w:t>
      </w:r>
      <w:r w:rsidRPr="00040E7E">
        <w:rPr>
          <w:rFonts w:ascii="Palatino Linotype" w:eastAsia="Palatino Linotype" w:hAnsi="Palatino Linotype" w:cs="Palatino Linotype"/>
          <w:color w:val="000000"/>
        </w:rPr>
        <w:t xml:space="preserve"> De modo tal que, el presente recurso de revisión se abocara en determinar si el </w:t>
      </w:r>
      <w:r w:rsidRPr="00040E7E">
        <w:rPr>
          <w:rFonts w:ascii="Palatino Linotype" w:eastAsia="Palatino Linotype" w:hAnsi="Palatino Linotype" w:cs="Palatino Linotype"/>
          <w:b/>
          <w:color w:val="000000"/>
        </w:rPr>
        <w:t>SUJETO</w:t>
      </w:r>
      <w:r w:rsidRPr="00040E7E">
        <w:rPr>
          <w:rFonts w:ascii="Palatino Linotype" w:eastAsia="Palatino Linotype" w:hAnsi="Palatino Linotype" w:cs="Palatino Linotype"/>
          <w:color w:val="000000"/>
        </w:rPr>
        <w:t xml:space="preserve"> </w:t>
      </w:r>
      <w:r w:rsidRPr="00040E7E">
        <w:rPr>
          <w:rFonts w:ascii="Palatino Linotype" w:eastAsia="Palatino Linotype" w:hAnsi="Palatino Linotype" w:cs="Palatino Linotype"/>
          <w:b/>
          <w:color w:val="000000"/>
        </w:rPr>
        <w:t>OBLIGADO</w:t>
      </w:r>
      <w:r w:rsidRPr="00040E7E">
        <w:rPr>
          <w:rFonts w:ascii="Palatino Linotype" w:eastAsia="Palatino Linotype" w:hAnsi="Palatino Linotype" w:cs="Palatino Linotype"/>
          <w:color w:val="000000"/>
        </w:rPr>
        <w:t xml:space="preserve"> con su respuesta ciertamente actualiza la causal de procedencia</w:t>
      </w:r>
      <w:r w:rsidRPr="00040E7E">
        <w:rPr>
          <w:rFonts w:ascii="Palatino Linotype" w:eastAsia="Palatino Linotype" w:hAnsi="Palatino Linotype" w:cs="Palatino Linotype"/>
          <w:b/>
          <w:color w:val="000000"/>
        </w:rPr>
        <w:t xml:space="preserve"> </w:t>
      </w:r>
      <w:r w:rsidRPr="00040E7E">
        <w:rPr>
          <w:rFonts w:ascii="Palatino Linotype" w:eastAsia="Palatino Linotype" w:hAnsi="Palatino Linotype" w:cs="Palatino Linotype"/>
          <w:color w:val="000000"/>
        </w:rPr>
        <w:t>antes señalada. Así como comprobar si la respuesta emitida resulta congruente e integral en términos del artículo 11 de la ley de la materia.</w:t>
      </w:r>
    </w:p>
    <w:p w:rsidR="00FA52BC" w:rsidRPr="00040E7E" w:rsidRDefault="00FA52BC" w:rsidP="009716D8">
      <w:pPr>
        <w:pBdr>
          <w:top w:val="nil"/>
          <w:left w:val="nil"/>
          <w:bottom w:val="nil"/>
          <w:right w:val="nil"/>
          <w:between w:val="nil"/>
        </w:pBdr>
        <w:ind w:right="-708"/>
        <w:rPr>
          <w:rFonts w:ascii="Palatino Linotype" w:eastAsia="Palatino Linotype" w:hAnsi="Palatino Linotype" w:cs="Palatino Linotype"/>
          <w:color w:val="000000"/>
        </w:rPr>
      </w:pPr>
    </w:p>
    <w:p w:rsidR="00FA52BC" w:rsidRPr="00040E7E" w:rsidRDefault="00FA52BC" w:rsidP="009716D8">
      <w:pPr>
        <w:pStyle w:val="Ttulo2"/>
        <w:ind w:right="-708"/>
        <w:rPr>
          <w:rFonts w:ascii="Palatino Linotype" w:eastAsia="Palatino Linotype" w:hAnsi="Palatino Linotype" w:cs="Palatino Linotype"/>
          <w:b/>
          <w:color w:val="000000"/>
          <w:sz w:val="24"/>
          <w:szCs w:val="24"/>
        </w:rPr>
      </w:pPr>
      <w:bookmarkStart w:id="6" w:name="_heading=h.3dy6vkm" w:colFirst="0" w:colLast="0"/>
      <w:bookmarkEnd w:id="6"/>
      <w:r w:rsidRPr="00040E7E">
        <w:rPr>
          <w:rFonts w:ascii="Palatino Linotype" w:eastAsia="Palatino Linotype" w:hAnsi="Palatino Linotype" w:cs="Palatino Linotype"/>
          <w:b/>
          <w:color w:val="000000"/>
          <w:sz w:val="24"/>
          <w:szCs w:val="24"/>
        </w:rPr>
        <w:t>CUARTO. Del estudio y resolución del asunto.</w:t>
      </w:r>
    </w:p>
    <w:p w:rsidR="001F3566" w:rsidRPr="00040E7E" w:rsidRDefault="001F3566" w:rsidP="009716D8">
      <w:pPr>
        <w:numPr>
          <w:ilvl w:val="0"/>
          <w:numId w:val="1"/>
        </w:numPr>
        <w:pBdr>
          <w:top w:val="nil"/>
          <w:left w:val="nil"/>
          <w:bottom w:val="nil"/>
          <w:right w:val="nil"/>
          <w:between w:val="nil"/>
        </w:pBdr>
        <w:spacing w:line="360" w:lineRule="auto"/>
        <w:ind w:left="0" w:right="-708" w:firstLine="0"/>
        <w:jc w:val="both"/>
        <w:rPr>
          <w:rFonts w:ascii="Palatino Linotype" w:eastAsia="Calibri" w:hAnsi="Palatino Linotype" w:cs="Arial"/>
        </w:rPr>
      </w:pPr>
      <w:bookmarkStart w:id="7" w:name="_Toc34911390"/>
      <w:r w:rsidRPr="00040E7E">
        <w:rPr>
          <w:rFonts w:ascii="Palatino Linotype" w:eastAsia="Calibri" w:hAnsi="Palatino Linotype" w:cs="Arial"/>
        </w:rPr>
        <w:t xml:space="preserve">Acotada </w:t>
      </w:r>
      <w:r w:rsidRPr="00040E7E">
        <w:rPr>
          <w:rFonts w:ascii="Palatino Linotype" w:eastAsia="Palatino Linotype" w:hAnsi="Palatino Linotype" w:cs="Palatino Linotype"/>
          <w:color w:val="000000"/>
        </w:rPr>
        <w:t xml:space="preserve">la </w:t>
      </w:r>
      <w:r w:rsidRPr="00040E7E">
        <w:rPr>
          <w:rFonts w:ascii="Palatino Linotype" w:eastAsia="Palatino Linotype" w:hAnsi="Palatino Linotype" w:cs="Palatino Linotype"/>
          <w:i/>
          <w:color w:val="000000"/>
        </w:rPr>
        <w:t>Litis</w:t>
      </w:r>
      <w:r w:rsidRPr="00040E7E">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w:t>
      </w:r>
      <w:r w:rsidRPr="00040E7E">
        <w:rPr>
          <w:rFonts w:ascii="Palatino Linotype" w:eastAsia="Palatino Linotype" w:hAnsi="Palatino Linotype" w:cs="Palatino Linotype"/>
          <w:color w:val="000000"/>
        </w:rPr>
        <w:lastRenderedPageBreak/>
        <w:t>A), fracción I de la Constitución Política de los Estados Unidos Mexicanos, el cual establece que toda la información en posesión de cualquier autoridad es pública y sólo podrá ser reservada temporalmente por razones de interés público.</w:t>
      </w:r>
    </w:p>
    <w:p w:rsidR="001F3566" w:rsidRPr="00040E7E" w:rsidRDefault="001F3566" w:rsidP="009716D8">
      <w:pPr>
        <w:pBdr>
          <w:top w:val="nil"/>
          <w:left w:val="nil"/>
          <w:bottom w:val="nil"/>
          <w:right w:val="nil"/>
          <w:between w:val="nil"/>
        </w:pBdr>
        <w:spacing w:line="360" w:lineRule="auto"/>
        <w:ind w:right="-708"/>
        <w:jc w:val="both"/>
        <w:rPr>
          <w:rFonts w:ascii="Palatino Linotype" w:eastAsia="Palatino Linotype" w:hAnsi="Palatino Linotype" w:cs="Palatino Linotype"/>
          <w:color w:val="000000"/>
        </w:rPr>
      </w:pPr>
    </w:p>
    <w:p w:rsidR="001F3566" w:rsidRPr="00040E7E" w:rsidRDefault="001F3566" w:rsidP="009716D8">
      <w:pPr>
        <w:pStyle w:val="Prrafodelista"/>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884E94" w:rsidRPr="00040E7E" w:rsidRDefault="00884E94" w:rsidP="009716D8">
      <w:pPr>
        <w:pStyle w:val="Prrafodelista"/>
        <w:pBdr>
          <w:top w:val="nil"/>
          <w:left w:val="nil"/>
          <w:bottom w:val="nil"/>
          <w:right w:val="nil"/>
          <w:between w:val="nil"/>
        </w:pBdr>
        <w:spacing w:line="360" w:lineRule="auto"/>
        <w:ind w:left="0" w:right="-708"/>
        <w:jc w:val="both"/>
        <w:rPr>
          <w:rFonts w:ascii="Palatino Linotype" w:eastAsia="Palatino Linotype" w:hAnsi="Palatino Linotype" w:cs="Palatino Linotype"/>
          <w:color w:val="000000"/>
        </w:rPr>
      </w:pPr>
    </w:p>
    <w:p w:rsidR="001F3566" w:rsidRDefault="001F3566"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040E7E" w:rsidRPr="00040E7E" w:rsidRDefault="00040E7E" w:rsidP="00040E7E">
      <w:pPr>
        <w:pBdr>
          <w:top w:val="nil"/>
          <w:left w:val="nil"/>
          <w:bottom w:val="nil"/>
          <w:right w:val="nil"/>
          <w:between w:val="nil"/>
        </w:pBdr>
        <w:spacing w:line="360" w:lineRule="auto"/>
        <w:ind w:right="-708"/>
        <w:jc w:val="both"/>
        <w:rPr>
          <w:rFonts w:ascii="Palatino Linotype" w:eastAsia="Palatino Linotype" w:hAnsi="Palatino Linotype" w:cs="Palatino Linotype"/>
          <w:color w:val="000000"/>
        </w:rPr>
      </w:pPr>
    </w:p>
    <w:p w:rsidR="001F3566" w:rsidRPr="00040E7E" w:rsidRDefault="001F3566"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 xml:space="preserve">Finalmente, es relevante mencionar que el artículo 19 del ordenamiento local de la materia señala que se presume que la información debe existir si se refiere a las facultades, </w:t>
      </w:r>
      <w:r w:rsidRPr="00040E7E">
        <w:rPr>
          <w:rFonts w:ascii="Palatino Linotype" w:eastAsia="Palatino Linotype" w:hAnsi="Palatino Linotype" w:cs="Palatino Linotype"/>
          <w:color w:val="000000"/>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rsidR="001F3566" w:rsidRPr="00040E7E" w:rsidRDefault="001F3566" w:rsidP="009716D8">
      <w:pPr>
        <w:ind w:right="-708"/>
        <w:rPr>
          <w:rFonts w:ascii="Palatino Linotype" w:eastAsia="Palatino Linotype" w:hAnsi="Palatino Linotype" w:cs="Palatino Linotype"/>
          <w:color w:val="000000"/>
        </w:rPr>
      </w:pPr>
    </w:p>
    <w:p w:rsidR="001F3566" w:rsidRPr="00040E7E" w:rsidRDefault="001F3566" w:rsidP="009716D8">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 xml:space="preserve">Acotada la Litis del presente asunto, se reiterar la información solicitada por la parte </w:t>
      </w:r>
      <w:r w:rsidRPr="00040E7E">
        <w:rPr>
          <w:rFonts w:ascii="Palatino Linotype" w:eastAsia="Palatino Linotype" w:hAnsi="Palatino Linotype" w:cs="Palatino Linotype"/>
          <w:b/>
          <w:color w:val="000000"/>
        </w:rPr>
        <w:t>RECURRENTE</w:t>
      </w:r>
      <w:r w:rsidRPr="00040E7E">
        <w:rPr>
          <w:rFonts w:ascii="Palatino Linotype" w:eastAsia="Palatino Linotype" w:hAnsi="Palatino Linotype" w:cs="Palatino Linotype"/>
          <w:color w:val="000000"/>
        </w:rPr>
        <w:t xml:space="preserve">, así como la respuesta emitida por el </w:t>
      </w:r>
      <w:r w:rsidRPr="00040E7E">
        <w:rPr>
          <w:rFonts w:ascii="Palatino Linotype" w:eastAsia="Palatino Linotype" w:hAnsi="Palatino Linotype" w:cs="Palatino Linotype"/>
          <w:b/>
          <w:color w:val="000000"/>
        </w:rPr>
        <w:t>SUJETO OBLIGADO</w:t>
      </w:r>
      <w:r w:rsidRPr="00040E7E">
        <w:rPr>
          <w:rFonts w:ascii="Palatino Linotype" w:eastAsia="Palatino Linotype" w:hAnsi="Palatino Linotype" w:cs="Palatino Linotype"/>
          <w:color w:val="000000"/>
        </w:rPr>
        <w:t>, mediante el siguiente cuadro descriptivo:</w:t>
      </w:r>
    </w:p>
    <w:p w:rsidR="001F3566" w:rsidRPr="00040E7E" w:rsidRDefault="001F3566" w:rsidP="001F3566">
      <w:pPr>
        <w:pBdr>
          <w:top w:val="nil"/>
          <w:left w:val="nil"/>
          <w:bottom w:val="nil"/>
          <w:right w:val="nil"/>
          <w:between w:val="nil"/>
        </w:pBdr>
        <w:spacing w:line="360" w:lineRule="auto"/>
        <w:ind w:right="-992"/>
        <w:jc w:val="both"/>
        <w:rPr>
          <w:rFonts w:ascii="Palatino Linotype" w:eastAsia="Calibri" w:hAnsi="Palatino Linotype" w:cs="Arial"/>
        </w:rPr>
      </w:pPr>
    </w:p>
    <w:tbl>
      <w:tblPr>
        <w:tblStyle w:val="Tablaconcuadrcula"/>
        <w:tblW w:w="8222" w:type="dxa"/>
        <w:tblInd w:w="304" w:type="dxa"/>
        <w:tblLook w:val="04A0" w:firstRow="1" w:lastRow="0" w:firstColumn="1" w:lastColumn="0" w:noHBand="0" w:noVBand="1"/>
      </w:tblPr>
      <w:tblGrid>
        <w:gridCol w:w="3681"/>
        <w:gridCol w:w="4541"/>
      </w:tblGrid>
      <w:tr w:rsidR="009716D8" w:rsidRPr="00040E7E" w:rsidTr="00A1243B">
        <w:tc>
          <w:tcPr>
            <w:tcW w:w="3681" w:type="dxa"/>
            <w:shd w:val="clear" w:color="auto" w:fill="D9D9D9" w:themeFill="background1" w:themeFillShade="D9"/>
          </w:tcPr>
          <w:p w:rsidR="009716D8" w:rsidRPr="00040E7E" w:rsidRDefault="009716D8" w:rsidP="004251BC">
            <w:pPr>
              <w:spacing w:line="360" w:lineRule="auto"/>
              <w:ind w:right="34"/>
              <w:jc w:val="center"/>
              <w:rPr>
                <w:rFonts w:ascii="Palatino Linotype" w:eastAsia="Calibri" w:hAnsi="Palatino Linotype" w:cs="Arial"/>
                <w:b/>
              </w:rPr>
            </w:pPr>
            <w:r w:rsidRPr="00040E7E">
              <w:rPr>
                <w:rFonts w:ascii="Palatino Linotype" w:eastAsia="Calibri" w:hAnsi="Palatino Linotype" w:cs="Arial"/>
                <w:b/>
              </w:rPr>
              <w:t>Información Solicitada</w:t>
            </w:r>
          </w:p>
        </w:tc>
        <w:tc>
          <w:tcPr>
            <w:tcW w:w="4541" w:type="dxa"/>
            <w:shd w:val="clear" w:color="auto" w:fill="D9D9D9" w:themeFill="background1" w:themeFillShade="D9"/>
          </w:tcPr>
          <w:p w:rsidR="009716D8" w:rsidRPr="00040E7E" w:rsidRDefault="009716D8" w:rsidP="004251BC">
            <w:pPr>
              <w:spacing w:line="360" w:lineRule="auto"/>
              <w:ind w:right="-2898" w:hanging="2836"/>
              <w:jc w:val="center"/>
              <w:rPr>
                <w:rFonts w:ascii="Palatino Linotype" w:eastAsia="Calibri" w:hAnsi="Palatino Linotype" w:cs="Arial"/>
                <w:b/>
              </w:rPr>
            </w:pPr>
            <w:r w:rsidRPr="00040E7E">
              <w:rPr>
                <w:rFonts w:ascii="Palatino Linotype" w:eastAsia="Calibri" w:hAnsi="Palatino Linotype" w:cs="Arial"/>
                <w:b/>
              </w:rPr>
              <w:t>Respuesta</w:t>
            </w:r>
          </w:p>
        </w:tc>
      </w:tr>
      <w:tr w:rsidR="009716D8" w:rsidRPr="00040E7E" w:rsidTr="00A1243B">
        <w:tc>
          <w:tcPr>
            <w:tcW w:w="3681" w:type="dxa"/>
          </w:tcPr>
          <w:p w:rsidR="009716D8" w:rsidRPr="00040E7E" w:rsidRDefault="0001174B" w:rsidP="001F3566">
            <w:pPr>
              <w:pBdr>
                <w:top w:val="nil"/>
                <w:left w:val="nil"/>
                <w:bottom w:val="nil"/>
                <w:right w:val="nil"/>
                <w:between w:val="nil"/>
              </w:pBdr>
              <w:ind w:right="34"/>
              <w:jc w:val="both"/>
              <w:rPr>
                <w:rFonts w:ascii="Palatino Linotype" w:eastAsia="Palatino Linotype" w:hAnsi="Palatino Linotype" w:cs="Palatino Linotype"/>
                <w:lang w:val="es-MX"/>
              </w:rPr>
            </w:pPr>
            <w:r w:rsidRPr="00040E7E">
              <w:rPr>
                <w:rFonts w:ascii="Palatino Linotype" w:eastAsia="Palatino Linotype" w:hAnsi="Palatino Linotype" w:cs="Palatino Linotype"/>
                <w:lang w:val="es-MX"/>
              </w:rPr>
              <w:t>El Acta de la primera sesión del Comité de Dictamen de Giro del Municipio de Tenancingo</w:t>
            </w:r>
            <w:r w:rsidR="00A1243B" w:rsidRPr="00040E7E">
              <w:rPr>
                <w:rFonts w:ascii="Palatino Linotype" w:eastAsia="Palatino Linotype" w:hAnsi="Palatino Linotype" w:cs="Palatino Linotype"/>
                <w:lang w:val="es-MX"/>
              </w:rPr>
              <w:t xml:space="preserve">, del </w:t>
            </w:r>
            <w:r w:rsidRPr="00040E7E">
              <w:rPr>
                <w:rFonts w:ascii="Palatino Linotype" w:eastAsia="Palatino Linotype" w:hAnsi="Palatino Linotype" w:cs="Palatino Linotype"/>
                <w:lang w:val="es-MX"/>
              </w:rPr>
              <w:t>2 de septiembre de 2025.</w:t>
            </w:r>
          </w:p>
        </w:tc>
        <w:tc>
          <w:tcPr>
            <w:tcW w:w="4541" w:type="dxa"/>
          </w:tcPr>
          <w:p w:rsidR="00A1243B" w:rsidRPr="00040E7E" w:rsidRDefault="00A1243B" w:rsidP="00A1243B">
            <w:pPr>
              <w:pBdr>
                <w:top w:val="nil"/>
                <w:left w:val="nil"/>
                <w:bottom w:val="nil"/>
                <w:right w:val="nil"/>
                <w:between w:val="nil"/>
              </w:pBdr>
              <w:jc w:val="both"/>
              <w:rPr>
                <w:rFonts w:ascii="Palatino Linotype" w:hAnsi="Palatino Linotype"/>
              </w:rPr>
            </w:pPr>
            <w:r w:rsidRPr="00040E7E">
              <w:rPr>
                <w:rFonts w:ascii="Palatino Linotype" w:hAnsi="Palatino Linotype"/>
              </w:rPr>
              <w:t xml:space="preserve">El </w:t>
            </w:r>
            <w:r w:rsidRPr="00040E7E">
              <w:rPr>
                <w:rFonts w:ascii="Palatino Linotype" w:hAnsi="Palatino Linotype"/>
                <w:b/>
              </w:rPr>
              <w:t>SUJETO OBLIGADO</w:t>
            </w:r>
            <w:r w:rsidRPr="00040E7E">
              <w:rPr>
                <w:rFonts w:ascii="Palatino Linotype" w:hAnsi="Palatino Linotype"/>
              </w:rPr>
              <w:t xml:space="preserve"> por medio de la Titular de la Unidad de Transparencia, refirió </w:t>
            </w:r>
            <w:r w:rsidRPr="00040E7E">
              <w:rPr>
                <w:rFonts w:ascii="Palatino Linotype" w:hAnsi="Palatino Linotype"/>
                <w:color w:val="000000"/>
              </w:rPr>
              <w:t>adjuntar la respuesta del Servidor Público Habilitado</w:t>
            </w:r>
          </w:p>
        </w:tc>
      </w:tr>
    </w:tbl>
    <w:p w:rsidR="001F3566" w:rsidRPr="00040E7E" w:rsidRDefault="001F3566" w:rsidP="009716D8">
      <w:pPr>
        <w:pBdr>
          <w:top w:val="nil"/>
          <w:left w:val="nil"/>
          <w:bottom w:val="nil"/>
          <w:right w:val="nil"/>
          <w:between w:val="nil"/>
        </w:pBdr>
        <w:spacing w:line="360" w:lineRule="auto"/>
        <w:ind w:right="-141"/>
        <w:jc w:val="both"/>
        <w:rPr>
          <w:rFonts w:ascii="Palatino Linotype" w:eastAsia="Calibri" w:hAnsi="Palatino Linotype" w:cs="Arial"/>
        </w:rPr>
      </w:pPr>
    </w:p>
    <w:p w:rsidR="001F3566" w:rsidRPr="00040E7E" w:rsidRDefault="002E31E6" w:rsidP="00A1243B">
      <w:pPr>
        <w:pStyle w:val="Prrafodelista"/>
        <w:numPr>
          <w:ilvl w:val="0"/>
          <w:numId w:val="1"/>
        </w:numPr>
        <w:pBdr>
          <w:top w:val="nil"/>
          <w:left w:val="nil"/>
          <w:bottom w:val="nil"/>
          <w:right w:val="nil"/>
          <w:between w:val="nil"/>
        </w:pBdr>
        <w:spacing w:line="360" w:lineRule="auto"/>
        <w:ind w:left="0" w:right="-708" w:firstLine="0"/>
        <w:jc w:val="both"/>
        <w:rPr>
          <w:rFonts w:ascii="Palatino Linotype" w:eastAsia="Calibri" w:hAnsi="Palatino Linotype" w:cs="Arial"/>
        </w:rPr>
      </w:pPr>
      <w:r w:rsidRPr="00040E7E">
        <w:rPr>
          <w:rFonts w:ascii="Palatino Linotype" w:eastAsia="Calibri" w:hAnsi="Palatino Linotype" w:cs="Arial"/>
        </w:rPr>
        <w:t xml:space="preserve">Al respecto, </w:t>
      </w:r>
      <w:r w:rsidRPr="00040E7E">
        <w:rPr>
          <w:rFonts w:ascii="Palatino Linotype" w:eastAsia="Palatino Linotype" w:hAnsi="Palatino Linotype" w:cs="Palatino Linotype"/>
          <w:color w:val="000000"/>
        </w:rPr>
        <w:t xml:space="preserve">la parte </w:t>
      </w:r>
      <w:r w:rsidRPr="00040E7E">
        <w:rPr>
          <w:rFonts w:ascii="Palatino Linotype" w:eastAsia="Palatino Linotype" w:hAnsi="Palatino Linotype" w:cs="Palatino Linotype"/>
          <w:b/>
          <w:color w:val="000000"/>
        </w:rPr>
        <w:t xml:space="preserve">RECURRENTE </w:t>
      </w:r>
      <w:r w:rsidRPr="00040E7E">
        <w:rPr>
          <w:rFonts w:ascii="Palatino Linotype" w:eastAsia="Palatino Linotype" w:hAnsi="Palatino Linotype" w:cs="Palatino Linotype"/>
          <w:color w:val="000000"/>
        </w:rPr>
        <w:t xml:space="preserve">interpuso recurso de revisión en el que se inconformó por </w:t>
      </w:r>
      <w:r w:rsidRPr="00040E7E">
        <w:rPr>
          <w:rFonts w:ascii="Palatino Linotype" w:eastAsia="Palatino Linotype" w:hAnsi="Palatino Linotype" w:cs="Palatino Linotype"/>
          <w:b/>
          <w:color w:val="000000"/>
        </w:rPr>
        <w:t>la negati</w:t>
      </w:r>
      <w:r w:rsidR="00A1243B" w:rsidRPr="00040E7E">
        <w:rPr>
          <w:rFonts w:ascii="Palatino Linotype" w:eastAsia="Palatino Linotype" w:hAnsi="Palatino Linotype" w:cs="Palatino Linotype"/>
          <w:b/>
          <w:color w:val="000000"/>
        </w:rPr>
        <w:t>va de la información solicitada, ya que no se adjuntó el oficio de respuesta referido.</w:t>
      </w:r>
    </w:p>
    <w:p w:rsidR="002E31E6" w:rsidRPr="00040E7E" w:rsidRDefault="002E31E6" w:rsidP="00A1243B">
      <w:pPr>
        <w:pBdr>
          <w:top w:val="nil"/>
          <w:left w:val="nil"/>
          <w:bottom w:val="nil"/>
          <w:right w:val="nil"/>
          <w:between w:val="nil"/>
        </w:pBdr>
        <w:spacing w:line="360" w:lineRule="auto"/>
        <w:ind w:right="-708"/>
        <w:jc w:val="both"/>
        <w:rPr>
          <w:rFonts w:ascii="Palatino Linotype" w:eastAsia="Calibri" w:hAnsi="Palatino Linotype" w:cs="Arial"/>
        </w:rPr>
      </w:pPr>
    </w:p>
    <w:p w:rsidR="002E31E6" w:rsidRPr="00040E7E" w:rsidRDefault="002E31E6" w:rsidP="00A1243B">
      <w:pPr>
        <w:numPr>
          <w:ilvl w:val="0"/>
          <w:numId w:val="1"/>
        </w:numPr>
        <w:pBdr>
          <w:top w:val="nil"/>
          <w:left w:val="nil"/>
          <w:bottom w:val="nil"/>
          <w:right w:val="nil"/>
          <w:between w:val="nil"/>
        </w:pBdr>
        <w:spacing w:line="360" w:lineRule="auto"/>
        <w:ind w:left="0" w:right="-708" w:firstLine="0"/>
        <w:jc w:val="both"/>
        <w:rPr>
          <w:rFonts w:ascii="Palatino Linotype" w:eastAsia="Calibri" w:hAnsi="Palatino Linotype" w:cs="Arial"/>
        </w:rPr>
      </w:pPr>
      <w:r w:rsidRPr="00040E7E">
        <w:rPr>
          <w:rFonts w:ascii="Palatino Linotype" w:eastAsia="Calibri" w:hAnsi="Palatino Linotype" w:cs="Arial"/>
        </w:rPr>
        <w:t xml:space="preserve">Así, </w:t>
      </w:r>
      <w:r w:rsidRPr="00040E7E">
        <w:rPr>
          <w:rFonts w:ascii="Palatino Linotype" w:eastAsia="Palatino Linotype" w:hAnsi="Palatino Linotype" w:cs="Palatino Linotype"/>
          <w:color w:val="000000"/>
        </w:rPr>
        <w:t xml:space="preserve">es necesario señalar que </w:t>
      </w:r>
      <w:r w:rsidRPr="00040E7E">
        <w:rPr>
          <w:rFonts w:ascii="Palatino Linotype" w:hAnsi="Palatino Linotype"/>
          <w:color w:val="222222"/>
        </w:rPr>
        <w:t xml:space="preserve">se obvia el análisis de la competencia por parte del </w:t>
      </w:r>
      <w:r w:rsidRPr="00040E7E">
        <w:rPr>
          <w:rFonts w:ascii="Palatino Linotype" w:hAnsi="Palatino Linotype"/>
          <w:b/>
          <w:bCs/>
          <w:color w:val="222222"/>
        </w:rPr>
        <w:t>SUJETO OBLIGADO</w:t>
      </w:r>
      <w:r w:rsidRPr="00040E7E">
        <w:rPr>
          <w:rFonts w:ascii="Palatino Linotype" w:hAnsi="Palatino Linotype"/>
          <w:color w:val="222222"/>
        </w:rPr>
        <w:t>, para generar, administrar o poseer la información solicitada, dad</w:t>
      </w:r>
      <w:r w:rsidR="009716D8" w:rsidRPr="00040E7E">
        <w:rPr>
          <w:rFonts w:ascii="Palatino Linotype" w:hAnsi="Palatino Linotype"/>
          <w:color w:val="222222"/>
        </w:rPr>
        <w:t>o que éste ha asumido la misma.</w:t>
      </w:r>
    </w:p>
    <w:p w:rsidR="009716D8" w:rsidRPr="00040E7E" w:rsidRDefault="009716D8" w:rsidP="009716D8">
      <w:pPr>
        <w:pBdr>
          <w:top w:val="nil"/>
          <w:left w:val="nil"/>
          <w:bottom w:val="nil"/>
          <w:right w:val="nil"/>
          <w:between w:val="nil"/>
        </w:pBdr>
        <w:spacing w:line="360" w:lineRule="auto"/>
        <w:ind w:right="-708"/>
        <w:jc w:val="both"/>
        <w:rPr>
          <w:rFonts w:ascii="Palatino Linotype" w:eastAsia="Calibri" w:hAnsi="Palatino Linotype" w:cs="Arial"/>
        </w:rPr>
      </w:pPr>
    </w:p>
    <w:p w:rsidR="002E31E6" w:rsidRPr="00040E7E" w:rsidRDefault="002E31E6" w:rsidP="00A1243B">
      <w:pPr>
        <w:numPr>
          <w:ilvl w:val="0"/>
          <w:numId w:val="1"/>
        </w:numPr>
        <w:pBdr>
          <w:top w:val="nil"/>
          <w:left w:val="nil"/>
          <w:bottom w:val="nil"/>
          <w:right w:val="nil"/>
          <w:between w:val="nil"/>
        </w:pBdr>
        <w:spacing w:line="360" w:lineRule="auto"/>
        <w:ind w:left="0" w:right="-708" w:firstLine="0"/>
        <w:jc w:val="both"/>
        <w:rPr>
          <w:rFonts w:ascii="Palatino Linotype" w:eastAsia="Calibri" w:hAnsi="Palatino Linotype" w:cs="Arial"/>
        </w:rPr>
      </w:pPr>
      <w:r w:rsidRPr="00040E7E">
        <w:rPr>
          <w:rFonts w:ascii="Palatino Linotype" w:eastAsia="Calibri" w:hAnsi="Palatino Linotype" w:cs="Arial"/>
        </w:rPr>
        <w:t xml:space="preserve">En este sentido, </w:t>
      </w:r>
      <w:r w:rsidRPr="00040E7E">
        <w:rPr>
          <w:rFonts w:ascii="Palatino Linotype" w:hAnsi="Palatino Linotype"/>
          <w:color w:val="222222"/>
        </w:rPr>
        <w:t>el hecho de que el</w:t>
      </w:r>
      <w:r w:rsidRPr="00040E7E">
        <w:rPr>
          <w:rFonts w:ascii="Palatino Linotype" w:hAnsi="Palatino Linotype"/>
          <w:b/>
          <w:bCs/>
          <w:color w:val="222222"/>
        </w:rPr>
        <w:t xml:space="preserve"> SUJETO OBLIGADO</w:t>
      </w:r>
      <w:r w:rsidRPr="00040E7E">
        <w:rPr>
          <w:rFonts w:ascii="Palatino Linotype" w:hAnsi="Palatino Linotype"/>
          <w:color w:val="222222"/>
        </w:rPr>
        <w:t xml:space="preserve"> haya asumido contar con la información pública solicitada, acepta que la genera, posee y administra, en ejercicio de sus funciones de derecho público, motivo por el cual se actualiza el supuesto jurídico, previsto </w:t>
      </w:r>
      <w:r w:rsidRPr="00040E7E">
        <w:rPr>
          <w:rFonts w:ascii="Palatino Linotype" w:hAnsi="Palatino Linotype"/>
          <w:color w:val="222222"/>
        </w:rPr>
        <w:lastRenderedPageBreak/>
        <w:t>en el artículo 12 de la Ley de Transparencia y Acceso a la Información Pública del Estado de México y Municipios.</w:t>
      </w:r>
    </w:p>
    <w:p w:rsidR="002E31E6" w:rsidRPr="00040E7E" w:rsidRDefault="002E31E6" w:rsidP="009716D8">
      <w:pPr>
        <w:shd w:val="clear" w:color="auto" w:fill="FFFFFF"/>
        <w:ind w:left="567" w:right="-141"/>
        <w:jc w:val="both"/>
        <w:rPr>
          <w:rFonts w:ascii="Palatino Linotype" w:hAnsi="Palatino Linotype"/>
          <w:i/>
          <w:iCs/>
          <w:color w:val="222222"/>
        </w:rPr>
      </w:pPr>
      <w:r w:rsidRPr="00040E7E">
        <w:rPr>
          <w:rFonts w:ascii="Palatino Linotype" w:hAnsi="Palatino Linotype"/>
          <w:i/>
          <w:iCs/>
          <w:color w:val="222222"/>
        </w:rPr>
        <w:t>“</w:t>
      </w:r>
      <w:r w:rsidRPr="00040E7E">
        <w:rPr>
          <w:rFonts w:ascii="Palatino Linotype" w:hAnsi="Palatino Linotype"/>
          <w:b/>
          <w:bCs/>
          <w:i/>
          <w:iCs/>
          <w:color w:val="222222"/>
        </w:rPr>
        <w:t>Artículo 12.</w:t>
      </w:r>
      <w:r w:rsidRPr="00040E7E">
        <w:rPr>
          <w:rFonts w:ascii="Palatino Linotype" w:hAnsi="Palatino Linotype"/>
          <w:i/>
          <w:iCs/>
          <w:color w:val="222222"/>
        </w:rPr>
        <w:t> Quienes generen, recopilen, administren, manejen, procesen, archiven o conserven información pública serán responsables de la misma en los términos de las disposiciones jurídicas aplicables.</w:t>
      </w:r>
    </w:p>
    <w:p w:rsidR="002E31E6" w:rsidRPr="00040E7E" w:rsidRDefault="002E31E6" w:rsidP="009716D8">
      <w:pPr>
        <w:shd w:val="clear" w:color="auto" w:fill="FFFFFF"/>
        <w:ind w:left="567" w:right="-141"/>
        <w:jc w:val="both"/>
        <w:rPr>
          <w:rFonts w:ascii="Palatino Linotype" w:hAnsi="Palatino Linotype"/>
          <w:i/>
          <w:iCs/>
          <w:color w:val="222222"/>
        </w:rPr>
      </w:pPr>
    </w:p>
    <w:p w:rsidR="001F3566" w:rsidRPr="00040E7E" w:rsidRDefault="002E31E6" w:rsidP="009716D8">
      <w:pPr>
        <w:shd w:val="clear" w:color="auto" w:fill="FFFFFF"/>
        <w:ind w:left="567" w:right="-141"/>
        <w:jc w:val="both"/>
        <w:rPr>
          <w:rFonts w:ascii="Palatino Linotype" w:hAnsi="Palatino Linotype"/>
          <w:i/>
          <w:iCs/>
          <w:color w:val="222222"/>
        </w:rPr>
      </w:pPr>
      <w:r w:rsidRPr="00040E7E">
        <w:rPr>
          <w:rFonts w:ascii="Palatino Linotype" w:hAnsi="Palatino Linotype"/>
          <w:i/>
          <w:iCs/>
          <w:color w:val="2222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E31E6" w:rsidRPr="00040E7E" w:rsidRDefault="002E31E6" w:rsidP="002E31E6">
      <w:pPr>
        <w:pBdr>
          <w:top w:val="nil"/>
          <w:left w:val="nil"/>
          <w:bottom w:val="nil"/>
          <w:right w:val="nil"/>
          <w:between w:val="nil"/>
        </w:pBdr>
        <w:spacing w:line="360" w:lineRule="auto"/>
        <w:ind w:right="-992"/>
        <w:jc w:val="both"/>
        <w:rPr>
          <w:rFonts w:ascii="Palatino Linotype" w:eastAsia="Calibri" w:hAnsi="Palatino Linotype" w:cs="Arial"/>
        </w:rPr>
      </w:pPr>
    </w:p>
    <w:p w:rsidR="001F3566" w:rsidRPr="00040E7E" w:rsidRDefault="002E31E6" w:rsidP="00A1243B">
      <w:pPr>
        <w:numPr>
          <w:ilvl w:val="0"/>
          <w:numId w:val="1"/>
        </w:numPr>
        <w:pBdr>
          <w:top w:val="nil"/>
          <w:left w:val="nil"/>
          <w:bottom w:val="nil"/>
          <w:right w:val="nil"/>
          <w:between w:val="nil"/>
        </w:pBdr>
        <w:spacing w:line="360" w:lineRule="auto"/>
        <w:ind w:left="0" w:right="-708" w:firstLine="0"/>
        <w:jc w:val="both"/>
        <w:rPr>
          <w:rFonts w:ascii="Palatino Linotype" w:eastAsia="Calibri" w:hAnsi="Palatino Linotype" w:cs="Arial"/>
        </w:rPr>
      </w:pPr>
      <w:r w:rsidRPr="00040E7E">
        <w:rPr>
          <w:rFonts w:ascii="Palatino Linotype" w:eastAsia="Calibri" w:hAnsi="Palatino Linotype" w:cs="Arial"/>
        </w:rPr>
        <w:t xml:space="preserve">No obstante, </w:t>
      </w:r>
      <w:r w:rsidR="009716D8" w:rsidRPr="00040E7E">
        <w:rPr>
          <w:rFonts w:ascii="Palatino Linotype" w:eastAsia="Calibri" w:hAnsi="Palatino Linotype" w:cs="Arial"/>
        </w:rPr>
        <w:t xml:space="preserve">el </w:t>
      </w:r>
      <w:r w:rsidR="009716D8" w:rsidRPr="00040E7E">
        <w:rPr>
          <w:rFonts w:ascii="Palatino Linotype" w:eastAsia="Calibri" w:hAnsi="Palatino Linotype" w:cs="Arial"/>
          <w:b/>
        </w:rPr>
        <w:t>SUJETO OBLIGADO</w:t>
      </w:r>
      <w:r w:rsidR="009716D8" w:rsidRPr="00040E7E">
        <w:rPr>
          <w:rFonts w:ascii="Palatino Linotype" w:eastAsia="Calibri" w:hAnsi="Palatino Linotype" w:cs="Arial"/>
        </w:rPr>
        <w:t xml:space="preserve"> </w:t>
      </w:r>
      <w:r w:rsidR="00A1243B" w:rsidRPr="00040E7E">
        <w:rPr>
          <w:rFonts w:ascii="Palatino Linotype" w:eastAsia="Calibri" w:hAnsi="Palatino Linotype" w:cs="Arial"/>
          <w:b/>
        </w:rPr>
        <w:t>omitió adjuntar el archivo electrónico referido mediante respuesta.</w:t>
      </w:r>
    </w:p>
    <w:p w:rsidR="009716D8" w:rsidRPr="00040E7E" w:rsidRDefault="009716D8" w:rsidP="009716D8">
      <w:pPr>
        <w:pBdr>
          <w:top w:val="nil"/>
          <w:left w:val="nil"/>
          <w:bottom w:val="nil"/>
          <w:right w:val="nil"/>
          <w:between w:val="nil"/>
        </w:pBdr>
        <w:spacing w:line="360" w:lineRule="auto"/>
        <w:ind w:right="-708"/>
        <w:jc w:val="both"/>
        <w:rPr>
          <w:rFonts w:ascii="Palatino Linotype" w:eastAsia="Calibri" w:hAnsi="Palatino Linotype" w:cs="Arial"/>
        </w:rPr>
      </w:pPr>
    </w:p>
    <w:p w:rsidR="00A1243B" w:rsidRPr="00040E7E" w:rsidRDefault="009716D8" w:rsidP="00A1243B">
      <w:pPr>
        <w:numPr>
          <w:ilvl w:val="0"/>
          <w:numId w:val="1"/>
        </w:numPr>
        <w:pBdr>
          <w:top w:val="nil"/>
          <w:left w:val="nil"/>
          <w:bottom w:val="nil"/>
          <w:right w:val="nil"/>
          <w:between w:val="nil"/>
        </w:pBdr>
        <w:spacing w:line="360" w:lineRule="auto"/>
        <w:ind w:left="0" w:right="-708" w:firstLine="0"/>
        <w:jc w:val="both"/>
        <w:rPr>
          <w:rFonts w:ascii="Palatino Linotype" w:eastAsia="Calibri" w:hAnsi="Palatino Linotype" w:cs="Arial"/>
        </w:rPr>
      </w:pPr>
      <w:r w:rsidRPr="00040E7E">
        <w:rPr>
          <w:rFonts w:ascii="Palatino Linotype" w:eastAsia="Calibri" w:hAnsi="Palatino Linotype" w:cs="Arial"/>
        </w:rPr>
        <w:t xml:space="preserve">En este contexto, </w:t>
      </w:r>
      <w:r w:rsidR="00A1243B" w:rsidRPr="00040E7E">
        <w:rPr>
          <w:rFonts w:ascii="Palatino Linotype" w:hAnsi="Palatino Linotype" w:cs="Arial"/>
          <w:color w:val="000000" w:themeColor="text1"/>
        </w:rPr>
        <w:t xml:space="preserve">es de subrayar que el derecho de acceso a la información pública, consiste en que la información solicitada conste en un soporte documental en cualquiera de sus formas, a saber: </w:t>
      </w:r>
      <w:r w:rsidR="00A1243B" w:rsidRPr="00040E7E">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00A1243B" w:rsidRPr="00040E7E">
        <w:rPr>
          <w:rFonts w:ascii="Palatino Linotype" w:hAnsi="Palatino Linotype" w:cs="Arial"/>
          <w:color w:val="000000" w:themeColor="text1"/>
        </w:rPr>
        <w:t xml:space="preserve">; los que, </w:t>
      </w:r>
      <w:r w:rsidR="00A1243B" w:rsidRPr="00040E7E">
        <w:rPr>
          <w:rFonts w:ascii="Palatino Linotype" w:hAnsi="Palatino Linotype" w:cs="Arial"/>
        </w:rPr>
        <w:t>podrán estar en cualquier medio, sea escrito, impreso, sonoro, visual, electrónico, informático u holográfico</w:t>
      </w:r>
      <w:r w:rsidR="00A1243B" w:rsidRPr="00040E7E">
        <w:rPr>
          <w:rFonts w:ascii="Palatino Linotype" w:hAnsi="Palatino Linotype" w:cs="Arial"/>
          <w:color w:val="000000" w:themeColor="text1"/>
        </w:rPr>
        <w:t xml:space="preserve">, de conformidad con el artículo 3, fracción XI, de la Ley de la materia, el cual dispone lo siguiente: </w:t>
      </w:r>
    </w:p>
    <w:p w:rsidR="00A1243B" w:rsidRPr="00040E7E" w:rsidRDefault="00A1243B" w:rsidP="00A1243B">
      <w:pPr>
        <w:ind w:left="567" w:right="567"/>
        <w:jc w:val="both"/>
        <w:rPr>
          <w:rFonts w:ascii="Palatino Linotype" w:hAnsi="Palatino Linotype" w:cs="Arial"/>
          <w:i/>
          <w:color w:val="000000"/>
        </w:rPr>
      </w:pPr>
      <w:r w:rsidRPr="00040E7E">
        <w:rPr>
          <w:rFonts w:ascii="Palatino Linotype" w:hAnsi="Palatino Linotype" w:cs="Arial"/>
          <w:i/>
          <w:color w:val="000000"/>
        </w:rPr>
        <w:t>“</w:t>
      </w:r>
      <w:r w:rsidRPr="00040E7E">
        <w:rPr>
          <w:rFonts w:ascii="Palatino Linotype" w:hAnsi="Palatino Linotype" w:cs="Arial"/>
          <w:b/>
          <w:i/>
          <w:color w:val="000000"/>
        </w:rPr>
        <w:t xml:space="preserve">Artículo 3. </w:t>
      </w:r>
      <w:r w:rsidRPr="00040E7E">
        <w:rPr>
          <w:rFonts w:ascii="Palatino Linotype" w:hAnsi="Palatino Linotype" w:cs="Arial"/>
          <w:i/>
          <w:color w:val="000000"/>
        </w:rPr>
        <w:t>Para los efectos de la presente Ley se entenderá por:</w:t>
      </w:r>
    </w:p>
    <w:p w:rsidR="00A1243B" w:rsidRPr="00040E7E" w:rsidRDefault="00A1243B" w:rsidP="00A1243B">
      <w:pPr>
        <w:ind w:left="567" w:right="567"/>
        <w:jc w:val="both"/>
        <w:rPr>
          <w:rFonts w:ascii="Palatino Linotype" w:hAnsi="Palatino Linotype" w:cs="Arial"/>
          <w:i/>
          <w:color w:val="000000"/>
        </w:rPr>
      </w:pPr>
      <w:r w:rsidRPr="00040E7E">
        <w:rPr>
          <w:rFonts w:ascii="Palatino Linotype" w:hAnsi="Palatino Linotype" w:cs="Arial"/>
          <w:i/>
          <w:color w:val="000000"/>
        </w:rPr>
        <w:t>(…)</w:t>
      </w:r>
    </w:p>
    <w:p w:rsidR="00A1243B" w:rsidRPr="00040E7E" w:rsidRDefault="00A1243B" w:rsidP="00A1243B">
      <w:pPr>
        <w:ind w:left="567" w:right="567"/>
        <w:jc w:val="both"/>
        <w:rPr>
          <w:rFonts w:ascii="Palatino Linotype" w:hAnsi="Palatino Linotype" w:cs="Arial"/>
          <w:i/>
          <w:color w:val="000000"/>
        </w:rPr>
      </w:pPr>
      <w:r w:rsidRPr="00040E7E">
        <w:rPr>
          <w:rFonts w:ascii="Palatino Linotype" w:hAnsi="Palatino Linotype" w:cs="Arial"/>
          <w:b/>
          <w:i/>
          <w:color w:val="000000"/>
        </w:rPr>
        <w:lastRenderedPageBreak/>
        <w:t>XI. Documento:</w:t>
      </w:r>
      <w:r w:rsidRPr="00040E7E">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1243B" w:rsidRPr="00040E7E" w:rsidRDefault="00A1243B" w:rsidP="00A1243B">
      <w:pPr>
        <w:ind w:left="567" w:right="567"/>
        <w:jc w:val="both"/>
        <w:rPr>
          <w:rFonts w:ascii="Palatino Linotype" w:hAnsi="Palatino Linotype" w:cs="Arial"/>
          <w:i/>
          <w:color w:val="000000"/>
        </w:rPr>
      </w:pPr>
      <w:r w:rsidRPr="00040E7E">
        <w:rPr>
          <w:rFonts w:ascii="Palatino Linotype" w:hAnsi="Palatino Linotype" w:cs="Arial"/>
          <w:i/>
          <w:color w:val="000000"/>
        </w:rPr>
        <w:t>(…)”</w:t>
      </w:r>
    </w:p>
    <w:p w:rsidR="00A1243B" w:rsidRPr="00040E7E" w:rsidRDefault="00A1243B" w:rsidP="003D343A">
      <w:pPr>
        <w:ind w:right="902"/>
        <w:jc w:val="both"/>
        <w:rPr>
          <w:rFonts w:ascii="Palatino Linotype" w:hAnsi="Palatino Linotype" w:cs="Arial"/>
        </w:rPr>
      </w:pPr>
    </w:p>
    <w:p w:rsidR="00A1243B" w:rsidRPr="00040E7E" w:rsidRDefault="00A1243B" w:rsidP="003D343A">
      <w:pPr>
        <w:pStyle w:val="Prrafodelista"/>
        <w:numPr>
          <w:ilvl w:val="0"/>
          <w:numId w:val="1"/>
        </w:numPr>
        <w:autoSpaceDE w:val="0"/>
        <w:autoSpaceDN w:val="0"/>
        <w:adjustRightInd w:val="0"/>
        <w:spacing w:line="360" w:lineRule="auto"/>
        <w:ind w:left="0" w:right="-708" w:firstLine="0"/>
        <w:jc w:val="both"/>
        <w:rPr>
          <w:rFonts w:ascii="Palatino Linotype" w:hAnsi="Palatino Linotype" w:cs="Arial"/>
        </w:rPr>
      </w:pPr>
      <w:r w:rsidRPr="00040E7E">
        <w:rPr>
          <w:rFonts w:ascii="Palatino Linotype" w:hAnsi="Palatino Linotype" w:cs="Arial"/>
        </w:rPr>
        <w:t xml:space="preserve">Siendo aplicable el Criterio </w:t>
      </w:r>
      <w:r w:rsidRPr="00040E7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40E7E">
        <w:rPr>
          <w:rFonts w:ascii="Palatino Linotype" w:hAnsi="Palatino Linotype" w:cs="Arial"/>
        </w:rPr>
        <w:t>cuyo rubro y texto dispone:</w:t>
      </w:r>
    </w:p>
    <w:p w:rsidR="00A1243B" w:rsidRPr="00040E7E" w:rsidRDefault="00262780" w:rsidP="00A1243B">
      <w:pPr>
        <w:ind w:left="567" w:right="567"/>
        <w:jc w:val="both"/>
        <w:rPr>
          <w:rFonts w:ascii="Palatino Linotype" w:hAnsi="Palatino Linotype" w:cs="Arial"/>
          <w:b/>
          <w:i/>
          <w:lang w:eastAsia="es-MX"/>
        </w:rPr>
      </w:pPr>
      <w:r w:rsidRPr="00040E7E">
        <w:rPr>
          <w:rFonts w:ascii="Palatino Linotype" w:hAnsi="Palatino Linotype" w:cs="Arial"/>
          <w:b/>
          <w:lang w:eastAsia="es-MX"/>
        </w:rPr>
        <w:t xml:space="preserve"> </w:t>
      </w:r>
      <w:r w:rsidR="00A1243B" w:rsidRPr="00040E7E">
        <w:rPr>
          <w:rFonts w:ascii="Palatino Linotype" w:hAnsi="Palatino Linotype" w:cs="Arial"/>
          <w:b/>
          <w:lang w:eastAsia="es-MX"/>
        </w:rPr>
        <w:t>“</w:t>
      </w:r>
      <w:r w:rsidR="00A1243B" w:rsidRPr="00040E7E">
        <w:rPr>
          <w:rFonts w:ascii="Palatino Linotype" w:hAnsi="Palatino Linotype" w:cs="Arial"/>
          <w:b/>
          <w:i/>
          <w:lang w:eastAsia="es-MX"/>
        </w:rPr>
        <w:t>CRITERIO 0002-11</w:t>
      </w:r>
    </w:p>
    <w:p w:rsidR="00A1243B" w:rsidRPr="00040E7E" w:rsidRDefault="00A1243B" w:rsidP="00A1243B">
      <w:pPr>
        <w:ind w:left="567" w:right="567"/>
        <w:jc w:val="both"/>
        <w:rPr>
          <w:rFonts w:ascii="Palatino Linotype" w:hAnsi="Palatino Linotype" w:cs="Arial"/>
          <w:i/>
          <w:lang w:eastAsia="es-MX"/>
        </w:rPr>
      </w:pPr>
      <w:r w:rsidRPr="00040E7E">
        <w:rPr>
          <w:rFonts w:ascii="Palatino Linotype" w:hAnsi="Palatino Linotype" w:cs="Arial"/>
          <w:b/>
          <w:i/>
          <w:lang w:eastAsia="es-MX"/>
        </w:rPr>
        <w:t xml:space="preserve">INFORMACIÓN PÚBLICA, CONCEPTO DE, EN MATERIA DE TRANSPARENCIA. INTERPRETACIÓN SISTEMÁTICA DE LOS ARTÍCULOS 2°, FRACCIÓN </w:t>
      </w:r>
      <w:r w:rsidRPr="00040E7E">
        <w:rPr>
          <w:rFonts w:ascii="Palatino Linotype" w:hAnsi="Palatino Linotype" w:cs="Arial"/>
          <w:b/>
          <w:bCs/>
          <w:i/>
          <w:lang w:eastAsia="es-MX"/>
        </w:rPr>
        <w:t xml:space="preserve">V, XV, Y XVI, </w:t>
      </w:r>
      <w:r w:rsidRPr="00040E7E">
        <w:rPr>
          <w:rFonts w:ascii="Palatino Linotype" w:hAnsi="Palatino Linotype" w:cs="Arial"/>
          <w:b/>
          <w:i/>
          <w:lang w:eastAsia="es-MX"/>
        </w:rPr>
        <w:t>3°, 4°, 11 Y 41.</w:t>
      </w:r>
      <w:r w:rsidRPr="00040E7E">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1243B" w:rsidRPr="00040E7E" w:rsidRDefault="00A1243B" w:rsidP="00A1243B">
      <w:pPr>
        <w:ind w:left="567" w:right="567"/>
        <w:jc w:val="both"/>
        <w:rPr>
          <w:rFonts w:ascii="Palatino Linotype" w:hAnsi="Palatino Linotype" w:cs="Arial"/>
          <w:i/>
          <w:lang w:eastAsia="es-MX"/>
        </w:rPr>
      </w:pPr>
      <w:r w:rsidRPr="00040E7E">
        <w:rPr>
          <w:rFonts w:ascii="Palatino Linotype" w:hAnsi="Palatino Linotype" w:cs="Arial"/>
          <w:i/>
          <w:lang w:eastAsia="es-MX"/>
        </w:rPr>
        <w:t>En consecuencia el acceso a la información se refiere a que se cumplan cualquiera de los siguientes tres supuestos:</w:t>
      </w:r>
    </w:p>
    <w:p w:rsidR="00A1243B" w:rsidRPr="00040E7E" w:rsidRDefault="00A1243B" w:rsidP="00A1243B">
      <w:pPr>
        <w:ind w:left="567" w:right="567"/>
        <w:jc w:val="both"/>
        <w:rPr>
          <w:rFonts w:ascii="Palatino Linotype" w:hAnsi="Palatino Linotype" w:cs="Arial"/>
          <w:b/>
          <w:i/>
          <w:lang w:eastAsia="es-MX"/>
        </w:rPr>
      </w:pPr>
      <w:r w:rsidRPr="00040E7E">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A1243B" w:rsidRPr="00040E7E" w:rsidRDefault="00A1243B" w:rsidP="00A1243B">
      <w:pPr>
        <w:ind w:left="567" w:right="567"/>
        <w:jc w:val="both"/>
        <w:rPr>
          <w:rFonts w:ascii="Palatino Linotype" w:hAnsi="Palatino Linotype" w:cs="Arial"/>
          <w:i/>
          <w:lang w:eastAsia="es-MX"/>
        </w:rPr>
      </w:pPr>
      <w:r w:rsidRPr="00040E7E">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A1243B" w:rsidRPr="00040E7E" w:rsidRDefault="00A1243B" w:rsidP="00A1243B">
      <w:pPr>
        <w:ind w:left="567" w:right="567"/>
        <w:jc w:val="both"/>
        <w:rPr>
          <w:rFonts w:ascii="Palatino Linotype" w:hAnsi="Palatino Linotype" w:cs="Arial"/>
          <w:i/>
          <w:lang w:eastAsia="es-MX"/>
        </w:rPr>
      </w:pPr>
      <w:r w:rsidRPr="00040E7E">
        <w:rPr>
          <w:rFonts w:ascii="Palatino Linotype" w:hAnsi="Palatino Linotype" w:cs="Arial"/>
          <w:i/>
          <w:lang w:eastAsia="es-MX"/>
        </w:rPr>
        <w:lastRenderedPageBreak/>
        <w:t>3) Que se trate de información registrada en cualquier soporte documental, que en ejercicio de las atribuciones conferidas, se encuentre en posesión de los Sujetos Obligados.” (SIC)</w:t>
      </w:r>
    </w:p>
    <w:p w:rsidR="00A1243B" w:rsidRPr="00040E7E" w:rsidRDefault="00A1243B" w:rsidP="00A1243B">
      <w:pPr>
        <w:spacing w:line="360" w:lineRule="auto"/>
        <w:jc w:val="both"/>
        <w:rPr>
          <w:rFonts w:ascii="Palatino Linotype" w:hAnsi="Palatino Linotype" w:cs="Arial"/>
        </w:rPr>
      </w:pPr>
    </w:p>
    <w:p w:rsidR="00262780" w:rsidRPr="00040E7E" w:rsidRDefault="003D343A" w:rsidP="00262780">
      <w:pPr>
        <w:pStyle w:val="Prrafodelista"/>
        <w:numPr>
          <w:ilvl w:val="0"/>
          <w:numId w:val="1"/>
        </w:numPr>
        <w:spacing w:line="360" w:lineRule="auto"/>
        <w:ind w:left="0" w:right="-708" w:firstLine="0"/>
        <w:jc w:val="both"/>
        <w:rPr>
          <w:rFonts w:ascii="Palatino Linotype" w:hAnsi="Palatino Linotype"/>
          <w:bCs/>
        </w:rPr>
      </w:pPr>
      <w:r w:rsidRPr="00040E7E">
        <w:rPr>
          <w:rFonts w:ascii="Palatino Linotype" w:hAnsi="Palatino Linotype" w:cs="Arial"/>
        </w:rPr>
        <w:t xml:space="preserve">Expuesto lo anterior, resulta conveniente </w:t>
      </w:r>
      <w:r w:rsidR="00262780" w:rsidRPr="00040E7E">
        <w:rPr>
          <w:rFonts w:ascii="Palatino Linotype" w:hAnsi="Palatino Linotype" w:cs="Arial"/>
        </w:rPr>
        <w:t xml:space="preserve">referir que en </w:t>
      </w:r>
      <w:r w:rsidR="00262780" w:rsidRPr="00040E7E">
        <w:rPr>
          <w:rFonts w:ascii="Palatino Linotype" w:eastAsia="Palatino Linotype" w:hAnsi="Palatino Linotype" w:cs="Palatino Linotype"/>
        </w:rPr>
        <w:t xml:space="preserve">materia de desarrollo y fomento económico, para el funcionamiento de unidades económicas deberán obtener el Dictamen de Giro, emitido por el Comité Municipal de Dictámenes de Giro, el cual se conformará por las personas titulares de diversas direcciones y un representante del Comité Coordinador del Sistema Municipal Anticorrupción, como a continuación se observa en el Bando Municipal del </w:t>
      </w:r>
      <w:r w:rsidR="00262780" w:rsidRPr="00040E7E">
        <w:rPr>
          <w:rFonts w:ascii="Palatino Linotype" w:eastAsia="Palatino Linotype" w:hAnsi="Palatino Linotype" w:cs="Palatino Linotype"/>
          <w:b/>
        </w:rPr>
        <w:t xml:space="preserve">SUJETO OBLIGADO. </w:t>
      </w:r>
    </w:p>
    <w:p w:rsidR="00262780" w:rsidRPr="00040E7E" w:rsidRDefault="00262780" w:rsidP="00262780">
      <w:pPr>
        <w:pBdr>
          <w:top w:val="nil"/>
          <w:left w:val="nil"/>
          <w:bottom w:val="nil"/>
          <w:right w:val="nil"/>
          <w:between w:val="nil"/>
        </w:pBdr>
        <w:spacing w:line="276" w:lineRule="auto"/>
        <w:ind w:left="567" w:right="616"/>
        <w:jc w:val="both"/>
        <w:rPr>
          <w:rFonts w:ascii="Palatino Linotype" w:hAnsi="Palatino Linotype"/>
          <w:i/>
        </w:rPr>
      </w:pPr>
      <w:r w:rsidRPr="00040E7E">
        <w:rPr>
          <w:rFonts w:ascii="Palatino Linotype" w:hAnsi="Palatino Linotype"/>
          <w:b/>
          <w:i/>
        </w:rPr>
        <w:t>Artículo 114.</w:t>
      </w:r>
      <w:r w:rsidRPr="00040E7E">
        <w:rPr>
          <w:rFonts w:ascii="Palatino Linotype" w:hAnsi="Palatino Linotype"/>
          <w:i/>
        </w:rPr>
        <w:t xml:space="preserve"> En el funcionamiento de unidades económicas que tengan como actividad principal o complementaria a la venta de bebidas alcohólicas para consumo inmediato y rastros, previo análisis normativo multidisciplinario, deberán obtener el “Dictamen de Giro” emitido por el </w:t>
      </w:r>
      <w:r w:rsidRPr="00040E7E">
        <w:rPr>
          <w:rFonts w:ascii="Palatino Linotype" w:hAnsi="Palatino Linotype"/>
          <w:b/>
          <w:i/>
        </w:rPr>
        <w:t>Comité Municipal de Dictámenes de Giro</w:t>
      </w:r>
      <w:r w:rsidRPr="00040E7E">
        <w:rPr>
          <w:rFonts w:ascii="Palatino Linotype" w:hAnsi="Palatino Linotype"/>
          <w:i/>
        </w:rPr>
        <w:t>, sustentado en las opiniones y/o dictaminación técnica que realizan las diversas áreas de la Administración Pública Municipal en el ámbito de su competencia, así como la evaluación técnica de factibilidad en materias de salubridad local. Lo anterior, de conformidad con la Ley de Competitividad y Ordenamiento Comercial del Estado de México y demás disposiciones jurídicas aplicables atendiendo los principios de transparencia y publicidad.</w:t>
      </w:r>
    </w:p>
    <w:p w:rsidR="00262780" w:rsidRPr="00040E7E" w:rsidRDefault="00262780" w:rsidP="00262780">
      <w:pPr>
        <w:pBdr>
          <w:top w:val="nil"/>
          <w:left w:val="nil"/>
          <w:bottom w:val="nil"/>
          <w:right w:val="nil"/>
          <w:between w:val="nil"/>
        </w:pBdr>
        <w:spacing w:line="360" w:lineRule="auto"/>
        <w:ind w:right="-150"/>
        <w:jc w:val="both"/>
        <w:rPr>
          <w:rFonts w:ascii="Palatino Linotype" w:hAnsi="Palatino Linotype"/>
        </w:rPr>
      </w:pPr>
    </w:p>
    <w:p w:rsidR="00262780" w:rsidRPr="00040E7E" w:rsidRDefault="00262780" w:rsidP="00262780">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040E7E">
        <w:rPr>
          <w:rFonts w:ascii="Palatino Linotype" w:hAnsi="Palatino Linotype"/>
          <w:b/>
          <w:i/>
        </w:rPr>
        <w:t>Artículo 115.</w:t>
      </w:r>
      <w:r w:rsidRPr="00040E7E">
        <w:rPr>
          <w:rFonts w:ascii="Palatino Linotype" w:hAnsi="Palatino Linotype"/>
          <w:i/>
        </w:rPr>
        <w:t xml:space="preserve"> El Comité Municipal de Dictámenes de Giro se integrara en términos de lo que dispone el artículo 20 Bis párrafo segundo de la Ley de Competitividad y Ordenamiento Comercial del Estado de México y se conformara por las personas titulares de las Direcciones Municipales de Desarrollo y Fomento Económico, Desarrollo Urbano, Medio Ambiente, Protección Civil, Dirección de Salud o sus equivalentes, así como un representante de las cámaras empresariales que será designado por el presidente municipal, un representante del </w:t>
      </w:r>
      <w:r w:rsidRPr="00040E7E">
        <w:rPr>
          <w:rFonts w:ascii="Palatino Linotype" w:hAnsi="Palatino Linotype"/>
          <w:b/>
          <w:i/>
        </w:rPr>
        <w:t xml:space="preserve">Comité </w:t>
      </w:r>
      <w:r w:rsidRPr="00040E7E">
        <w:rPr>
          <w:rFonts w:ascii="Palatino Linotype" w:hAnsi="Palatino Linotype"/>
          <w:b/>
          <w:i/>
        </w:rPr>
        <w:lastRenderedPageBreak/>
        <w:t>Coordinador del Sistema Municipal Anticorrupción</w:t>
      </w:r>
      <w:r w:rsidRPr="00040E7E">
        <w:rPr>
          <w:rFonts w:ascii="Palatino Linotype" w:hAnsi="Palatino Linotype"/>
          <w:i/>
        </w:rPr>
        <w:t xml:space="preserve"> y un representante de la Contraloría Municipal. Sera presidido por el Coordinador Municipal de Giro y tendrá la finalidad de establecer la factibilidad para la operación de las actividades previstas en la referida Ley y demás disposiciones de carácter municipal que se aprueben y publiquen para tales efectos.</w:t>
      </w:r>
    </w:p>
    <w:p w:rsidR="00262780" w:rsidRPr="00040E7E" w:rsidRDefault="00262780" w:rsidP="00262780">
      <w:pPr>
        <w:pStyle w:val="Prrafodelista"/>
        <w:spacing w:line="360" w:lineRule="auto"/>
        <w:ind w:left="0" w:right="-708"/>
        <w:jc w:val="both"/>
        <w:rPr>
          <w:rFonts w:ascii="Palatino Linotype" w:hAnsi="Palatino Linotype"/>
          <w:bCs/>
        </w:rPr>
      </w:pPr>
    </w:p>
    <w:p w:rsidR="00A1243B" w:rsidRPr="00040E7E" w:rsidRDefault="00262780" w:rsidP="00262780">
      <w:pPr>
        <w:pStyle w:val="Prrafodelista"/>
        <w:numPr>
          <w:ilvl w:val="0"/>
          <w:numId w:val="1"/>
        </w:numPr>
        <w:spacing w:line="360" w:lineRule="auto"/>
        <w:ind w:left="0" w:right="-708" w:firstLine="0"/>
        <w:jc w:val="both"/>
        <w:rPr>
          <w:rFonts w:ascii="Palatino Linotype" w:hAnsi="Palatino Linotype"/>
          <w:bCs/>
        </w:rPr>
      </w:pPr>
      <w:r w:rsidRPr="00040E7E">
        <w:rPr>
          <w:rFonts w:ascii="Palatino Linotype" w:hAnsi="Palatino Linotype" w:cs="Arial"/>
        </w:rPr>
        <w:t xml:space="preserve">Por su parte, </w:t>
      </w:r>
      <w:r w:rsidRPr="00040E7E">
        <w:rPr>
          <w:rFonts w:ascii="Palatino Linotype" w:hAnsi="Palatino Linotype"/>
          <w:bCs/>
        </w:rPr>
        <w:t xml:space="preserve">el artículo 20 </w:t>
      </w:r>
      <w:r w:rsidR="00A1243B" w:rsidRPr="00040E7E">
        <w:rPr>
          <w:rFonts w:ascii="Palatino Linotype" w:hAnsi="Palatino Linotype"/>
          <w:bCs/>
        </w:rPr>
        <w:t>Bis, p</w:t>
      </w:r>
      <w:r w:rsidRPr="00040E7E">
        <w:rPr>
          <w:rFonts w:ascii="Palatino Linotype" w:hAnsi="Palatino Linotype"/>
          <w:bCs/>
        </w:rPr>
        <w:t xml:space="preserve">árrafo segundo </w:t>
      </w:r>
      <w:r w:rsidR="00A1243B" w:rsidRPr="00040E7E">
        <w:rPr>
          <w:rFonts w:ascii="Palatino Linotype" w:hAnsi="Palatino Linotype"/>
          <w:bCs/>
        </w:rPr>
        <w:t>de la Ley de Competitividad y Ordenamiento Comercial del Estado de México, establecen lo siguiente:</w:t>
      </w:r>
    </w:p>
    <w:p w:rsidR="00A1243B" w:rsidRPr="00040E7E" w:rsidRDefault="00A1243B" w:rsidP="00A1243B">
      <w:pPr>
        <w:spacing w:line="360" w:lineRule="auto"/>
        <w:ind w:left="426" w:right="425"/>
        <w:jc w:val="center"/>
        <w:rPr>
          <w:rFonts w:ascii="Palatino Linotype" w:hAnsi="Palatino Linotype"/>
          <w:b/>
          <w:bCs/>
          <w:i/>
        </w:rPr>
      </w:pPr>
      <w:r w:rsidRPr="00040E7E">
        <w:rPr>
          <w:rFonts w:ascii="Palatino Linotype" w:hAnsi="Palatino Linotype"/>
          <w:b/>
          <w:bCs/>
          <w:i/>
        </w:rPr>
        <w:t>LEY DE COMPETITIVIDAD Y ORDENAMIENTO</w:t>
      </w:r>
    </w:p>
    <w:p w:rsidR="00A1243B" w:rsidRPr="00040E7E" w:rsidRDefault="00A1243B" w:rsidP="00A1243B">
      <w:pPr>
        <w:ind w:left="426" w:right="425"/>
        <w:jc w:val="center"/>
        <w:rPr>
          <w:rFonts w:ascii="Palatino Linotype" w:hAnsi="Palatino Linotype"/>
          <w:b/>
          <w:bCs/>
          <w:i/>
        </w:rPr>
      </w:pPr>
      <w:r w:rsidRPr="00040E7E">
        <w:rPr>
          <w:rFonts w:ascii="Palatino Linotype" w:hAnsi="Palatino Linotype"/>
          <w:b/>
          <w:bCs/>
          <w:i/>
        </w:rPr>
        <w:t>COMERCIAL DEL ESTADO DE MÉXICO</w:t>
      </w:r>
    </w:p>
    <w:p w:rsidR="00A1243B" w:rsidRPr="00040E7E" w:rsidRDefault="00A1243B" w:rsidP="00A1243B">
      <w:pPr>
        <w:ind w:left="567" w:right="567"/>
        <w:jc w:val="center"/>
        <w:rPr>
          <w:rFonts w:ascii="Palatino Linotype" w:hAnsi="Palatino Linotype"/>
          <w:i/>
          <w:iCs/>
        </w:rPr>
      </w:pPr>
      <w:r w:rsidRPr="00040E7E">
        <w:rPr>
          <w:rFonts w:ascii="Palatino Linotype" w:hAnsi="Palatino Linotype"/>
          <w:i/>
          <w:iCs/>
        </w:rPr>
        <w:t>SECCIÓN TERCERA DEL DICTAMEN DE GIRO</w:t>
      </w:r>
    </w:p>
    <w:p w:rsidR="00A1243B" w:rsidRPr="00040E7E" w:rsidRDefault="00A1243B" w:rsidP="00A1243B">
      <w:pPr>
        <w:ind w:left="567" w:right="567"/>
        <w:jc w:val="center"/>
        <w:rPr>
          <w:rFonts w:ascii="Palatino Linotype" w:hAnsi="Palatino Linotype"/>
          <w:i/>
          <w:iCs/>
        </w:rPr>
      </w:pPr>
    </w:p>
    <w:p w:rsidR="00A1243B" w:rsidRPr="00040E7E" w:rsidRDefault="00A1243B" w:rsidP="00A1243B">
      <w:pPr>
        <w:ind w:left="567" w:right="567"/>
        <w:jc w:val="both"/>
        <w:rPr>
          <w:rFonts w:ascii="Palatino Linotype" w:hAnsi="Palatino Linotype"/>
          <w:i/>
          <w:iCs/>
        </w:rPr>
      </w:pPr>
      <w:r w:rsidRPr="00040E7E">
        <w:rPr>
          <w:rFonts w:ascii="Palatino Linotype" w:hAnsi="Palatino Linotype"/>
          <w:b/>
          <w:bCs/>
          <w:i/>
          <w:iCs/>
        </w:rPr>
        <w:t>Artículo 20 Bis</w:t>
      </w:r>
      <w:r w:rsidRPr="00040E7E">
        <w:rPr>
          <w:rFonts w:ascii="Palatino Linotype" w:hAnsi="Palatino Linotype"/>
          <w:i/>
          <w:iCs/>
        </w:rPr>
        <w:t xml:space="preserve">. - El Dictamen de Giro es el documento de carácter permanente emitido por el Comité Municipal de Dictámenes de Giro, sustentado en las evaluaciones técnicas de factibilidad en materias de salubridad local tratándose de venta de bebidas alcohólicas y rastros, cuya finalidad es determinar el funcionamiento de unidades económicas, en términos de esta Ley y las disposiciones jurídicas aplicables de acuerdo con los principios de transparencia y publicidad. </w:t>
      </w:r>
    </w:p>
    <w:p w:rsidR="00A1243B" w:rsidRPr="00040E7E" w:rsidRDefault="00A1243B" w:rsidP="00A1243B">
      <w:pPr>
        <w:ind w:left="567" w:right="567"/>
        <w:jc w:val="both"/>
        <w:rPr>
          <w:rFonts w:ascii="Palatino Linotype" w:hAnsi="Palatino Linotype"/>
          <w:i/>
          <w:iCs/>
        </w:rPr>
      </w:pPr>
      <w:r w:rsidRPr="00040E7E">
        <w:rPr>
          <w:rFonts w:ascii="Palatino Linotype" w:hAnsi="Palatino Linotype"/>
          <w:b/>
          <w:bCs/>
          <w:i/>
          <w:iCs/>
        </w:rPr>
        <w:t>El Comité</w:t>
      </w:r>
      <w:r w:rsidRPr="00040E7E">
        <w:rPr>
          <w:rFonts w:ascii="Palatino Linotype" w:hAnsi="Palatino Linotype"/>
          <w:i/>
          <w:iCs/>
        </w:rPr>
        <w:t xml:space="preserve"> a que se refiere el párrafo anterior, </w:t>
      </w:r>
      <w:r w:rsidRPr="00040E7E">
        <w:rPr>
          <w:rFonts w:ascii="Palatino Linotype" w:hAnsi="Palatino Linotype"/>
          <w:b/>
          <w:bCs/>
          <w:i/>
          <w:iCs/>
        </w:rPr>
        <w:t xml:space="preserve">estará integrado por las personas titulares de las Direcciones municipales de Desarrollo Económico, </w:t>
      </w:r>
      <w:r w:rsidRPr="00040E7E">
        <w:rPr>
          <w:rFonts w:ascii="Palatino Linotype" w:hAnsi="Palatino Linotype"/>
          <w:bCs/>
          <w:i/>
          <w:iCs/>
        </w:rPr>
        <w:t>Desarrollo Urbano, Ecología, Protección Civil, Salud o sus equivalentes, un representante de las Cámaras Empresariales, así como un representante del Comité Coordinador del Sistema Municipal Anticorrupción y un representante de la Contraloría Municipal.</w:t>
      </w:r>
      <w:r w:rsidRPr="00040E7E">
        <w:rPr>
          <w:rFonts w:ascii="Palatino Linotype" w:hAnsi="Palatino Linotype"/>
          <w:i/>
          <w:iCs/>
        </w:rPr>
        <w:t xml:space="preserve"> Será presidido por la o el Presidente Municipal o quien éste determine, y tendrá la finalidad de establecer la factibilidad para la operación de las actividades previstas en la presente Ley en términos de las disposiciones jurídicas aplicables.</w:t>
      </w:r>
    </w:p>
    <w:p w:rsidR="00A1243B" w:rsidRPr="00040E7E" w:rsidRDefault="00A1243B" w:rsidP="00A1243B">
      <w:pPr>
        <w:spacing w:line="360" w:lineRule="auto"/>
        <w:ind w:right="567"/>
        <w:jc w:val="both"/>
        <w:rPr>
          <w:rFonts w:ascii="Palatino Linotype" w:hAnsi="Palatino Linotype"/>
          <w:b/>
          <w:bCs/>
          <w:i/>
          <w:iCs/>
        </w:rPr>
      </w:pPr>
    </w:p>
    <w:p w:rsidR="00A1243B" w:rsidRPr="00040E7E" w:rsidRDefault="00A1243B" w:rsidP="003D343A">
      <w:pPr>
        <w:pStyle w:val="Prrafodelista"/>
        <w:numPr>
          <w:ilvl w:val="0"/>
          <w:numId w:val="1"/>
        </w:numPr>
        <w:spacing w:line="360" w:lineRule="auto"/>
        <w:ind w:left="0" w:right="-708" w:firstLine="0"/>
        <w:jc w:val="both"/>
        <w:rPr>
          <w:rFonts w:ascii="Palatino Linotype" w:hAnsi="Palatino Linotype"/>
        </w:rPr>
      </w:pPr>
      <w:r w:rsidRPr="00040E7E">
        <w:rPr>
          <w:rFonts w:ascii="Palatino Linotype" w:hAnsi="Palatino Linotype"/>
        </w:rPr>
        <w:t xml:space="preserve">Bajo la óptica del precepto legal invocado de advierte que el Comité Municipal de Dictamen de Giro, se encuentra integrado por los Titulares de las Direcciones Municipales de Desarrollo Económico, Desarrollo Urbano, Ecología, Protección Civil, Salud o sus </w:t>
      </w:r>
      <w:r w:rsidRPr="00040E7E">
        <w:rPr>
          <w:rFonts w:ascii="Palatino Linotype" w:hAnsi="Palatino Linotype"/>
        </w:rPr>
        <w:lastRenderedPageBreak/>
        <w:t>equivalentes, un representante de las Cámaras Empresariales, así como un representante del Comité Coordinador del Sistema Municipal Anticorrupción y un representante de la Contraloría Municipal.</w:t>
      </w:r>
    </w:p>
    <w:p w:rsidR="00A1243B" w:rsidRPr="00040E7E" w:rsidRDefault="00A1243B" w:rsidP="003D343A">
      <w:pPr>
        <w:pStyle w:val="Prrafodelista"/>
        <w:spacing w:line="360" w:lineRule="auto"/>
        <w:ind w:left="0" w:right="-708"/>
        <w:jc w:val="both"/>
        <w:rPr>
          <w:rFonts w:ascii="Palatino Linotype" w:hAnsi="Palatino Linotype"/>
        </w:rPr>
      </w:pPr>
    </w:p>
    <w:p w:rsidR="00A1243B" w:rsidRPr="00040E7E" w:rsidRDefault="00A1243B" w:rsidP="003D343A">
      <w:pPr>
        <w:pStyle w:val="Prrafodelista"/>
        <w:numPr>
          <w:ilvl w:val="0"/>
          <w:numId w:val="1"/>
        </w:numPr>
        <w:spacing w:line="360" w:lineRule="auto"/>
        <w:ind w:left="0" w:right="-708" w:firstLine="0"/>
        <w:jc w:val="both"/>
        <w:rPr>
          <w:rFonts w:ascii="Palatino Linotype" w:hAnsi="Palatino Linotype"/>
        </w:rPr>
      </w:pPr>
      <w:r w:rsidRPr="00040E7E">
        <w:rPr>
          <w:rFonts w:ascii="Palatino Linotype" w:hAnsi="Palatino Linotype"/>
        </w:rPr>
        <w:t>El Comité Municipal de Dictámenes de Giro de acuerdo a la Ley de Competitividad y Ordenamiento Comercial del Estado de México, tiene como función determinar si existe la necesidad de practicar visita o supervisión técnica y física a las unidades económicas, previa a la entrega de los documentos y formatos que acrediten los requisitos por el solicitante, notificándose a las autoridades municipales correspondientes, para que realicen la supervisión técnica y física del inmueble de la unidad económica, tal y como se desprende de los siguientes preceptos legales:</w:t>
      </w:r>
    </w:p>
    <w:p w:rsidR="00A1243B" w:rsidRPr="00040E7E" w:rsidRDefault="00A1243B" w:rsidP="00A1243B">
      <w:pPr>
        <w:ind w:left="567" w:right="567"/>
        <w:jc w:val="both"/>
        <w:rPr>
          <w:rFonts w:ascii="Palatino Linotype" w:hAnsi="Palatino Linotype"/>
          <w:i/>
          <w:iCs/>
        </w:rPr>
      </w:pPr>
      <w:r w:rsidRPr="00040E7E">
        <w:rPr>
          <w:rFonts w:ascii="Palatino Linotype" w:hAnsi="Palatino Linotype"/>
          <w:b/>
          <w:bCs/>
          <w:i/>
          <w:iCs/>
        </w:rPr>
        <w:t>Artículo 20 Ter</w:t>
      </w:r>
      <w:r w:rsidRPr="00040E7E">
        <w:rPr>
          <w:rFonts w:ascii="Palatino Linotype" w:hAnsi="Palatino Linotype"/>
          <w:i/>
          <w:iCs/>
        </w:rPr>
        <w:t xml:space="preserve">. Para obtener el Dictamen de Giro, se deberá presentar solicitud conforme a los formatos, requisitos, documentos y anexos técnicos establecidos en el Registro Municipal de Trámites y Servicios. </w:t>
      </w:r>
    </w:p>
    <w:p w:rsidR="00A1243B" w:rsidRPr="00040E7E" w:rsidRDefault="00A1243B" w:rsidP="00A1243B">
      <w:pPr>
        <w:ind w:left="567" w:right="567"/>
        <w:jc w:val="both"/>
        <w:rPr>
          <w:rFonts w:ascii="Palatino Linotype" w:hAnsi="Palatino Linotype"/>
          <w:i/>
          <w:iCs/>
        </w:rPr>
      </w:pPr>
      <w:r w:rsidRPr="00040E7E">
        <w:rPr>
          <w:rFonts w:ascii="Palatino Linotype" w:hAnsi="Palatino Linotype"/>
          <w:b/>
          <w:bCs/>
          <w:i/>
          <w:iCs/>
        </w:rPr>
        <w:t>Artículo 20 Quáter</w:t>
      </w:r>
      <w:r w:rsidRPr="00040E7E">
        <w:rPr>
          <w:rFonts w:ascii="Palatino Linotype" w:hAnsi="Palatino Linotype"/>
          <w:i/>
          <w:iCs/>
        </w:rPr>
        <w:t xml:space="preserve">. Si del análisis respectivo, se determina que la documentación no cumple con requisitos de forma, se notificará al solicitante dentro del plazo de diez días hábiles y se le otorgará un plazo de tres días hábiles para que la subsane. Si transcurrido el plazo no se ha dado cumplimiento, se tendrá por concluida la solicitud, informando de manera transparente y fundamentada las motivaciones de la determinación en sentido negativo. </w:t>
      </w:r>
    </w:p>
    <w:p w:rsidR="00A1243B" w:rsidRPr="00040E7E" w:rsidRDefault="00A1243B" w:rsidP="00A1243B">
      <w:pPr>
        <w:ind w:left="567" w:right="567"/>
        <w:jc w:val="both"/>
        <w:rPr>
          <w:rFonts w:ascii="Palatino Linotype" w:hAnsi="Palatino Linotype"/>
          <w:i/>
          <w:iCs/>
        </w:rPr>
      </w:pPr>
      <w:r w:rsidRPr="00040E7E">
        <w:rPr>
          <w:rFonts w:ascii="Palatino Linotype" w:hAnsi="Palatino Linotype"/>
          <w:b/>
          <w:bCs/>
          <w:i/>
          <w:iCs/>
        </w:rPr>
        <w:t>Artículo 20 Quinquies</w:t>
      </w:r>
      <w:r w:rsidRPr="00040E7E">
        <w:rPr>
          <w:rFonts w:ascii="Palatino Linotype" w:hAnsi="Palatino Linotype"/>
          <w:i/>
          <w:iCs/>
        </w:rPr>
        <w:t xml:space="preserve">. Una vez cumplida la integración de la totalidad de los formatos, requisitos, documentos y anexos técnicos establecidos en el Registro Municipal de Trámites y servicios que acompañan a la solicitud del Dictamen de Giro, el Comité Municipal de Dictámenes de Giro, emitirá el oficio de procedencia jurídica con el cual, la o el solicitante, puede iniciar la gestión de autorizaciones, licencias y permisos ante las autoridades municipales correspondientes, mismo que no es vinculante para la determinación de procedencia del Dictamen de Giro. </w:t>
      </w:r>
    </w:p>
    <w:p w:rsidR="00A1243B" w:rsidRPr="00040E7E" w:rsidRDefault="00A1243B" w:rsidP="00A1243B">
      <w:pPr>
        <w:ind w:left="567" w:right="567"/>
        <w:jc w:val="both"/>
        <w:rPr>
          <w:rFonts w:ascii="Palatino Linotype" w:hAnsi="Palatino Linotype"/>
          <w:i/>
          <w:iCs/>
        </w:rPr>
      </w:pPr>
      <w:r w:rsidRPr="00040E7E">
        <w:rPr>
          <w:rFonts w:ascii="Palatino Linotype" w:hAnsi="Palatino Linotype"/>
          <w:b/>
          <w:bCs/>
          <w:i/>
          <w:iCs/>
        </w:rPr>
        <w:t>Artículo 20 Sexties</w:t>
      </w:r>
      <w:r w:rsidRPr="00040E7E">
        <w:rPr>
          <w:rFonts w:ascii="Palatino Linotype" w:hAnsi="Palatino Linotype"/>
          <w:i/>
          <w:iCs/>
        </w:rPr>
        <w:t xml:space="preserve">. Recibidos los documentos que acrediten los requisitos, en un plazo no mayor a tres días hábiles, el Comité Municipal de Dictámenes de Giro, </w:t>
      </w:r>
      <w:r w:rsidRPr="00040E7E">
        <w:rPr>
          <w:rFonts w:ascii="Palatino Linotype" w:hAnsi="Palatino Linotype"/>
          <w:i/>
          <w:iCs/>
        </w:rPr>
        <w:lastRenderedPageBreak/>
        <w:t xml:space="preserve">determinará si existe la necesidad de practicar visita o supervisión técnica y física a la unidad económica, precisando el objeto y alcance de la misma, así como, las autoridades que sean competentes para realizar dicha visita y el plazo para ejecutarla, el cual no será mayor a diez días hábiles. De ser así, en un plazo máximo de tres días hábiles, el Comité Municipal de Dictámenes de Giro notificará a las autoridades municipales correspondientes, para que realicen la supervisión técnica y física del inmueble de la unidad económica, con el objeto de allegarse de los elementos indispensables y estar en aptitud de emitir la evaluación técnica de factibilidad respectiva, que en su caso integre la determinación del Dictamen de Giro o la resolución correspondiente. Una vez realizada la visita, se deberá elaborar el acta de la misma y entregar al Comité Municipal de Dictámenes de Giro, dentro del término de tres días hábiles. </w:t>
      </w:r>
    </w:p>
    <w:p w:rsidR="00A1243B" w:rsidRPr="00040E7E" w:rsidRDefault="00A1243B" w:rsidP="00A1243B">
      <w:pPr>
        <w:ind w:left="567" w:right="567"/>
        <w:jc w:val="both"/>
        <w:rPr>
          <w:rFonts w:ascii="Palatino Linotype" w:hAnsi="Palatino Linotype"/>
          <w:i/>
          <w:iCs/>
        </w:rPr>
      </w:pPr>
      <w:r w:rsidRPr="00040E7E">
        <w:rPr>
          <w:rFonts w:ascii="Palatino Linotype" w:hAnsi="Palatino Linotype"/>
          <w:b/>
          <w:bCs/>
          <w:i/>
          <w:iCs/>
        </w:rPr>
        <w:t>Artículo 20 Septies</w:t>
      </w:r>
      <w:r w:rsidRPr="00040E7E">
        <w:rPr>
          <w:rFonts w:ascii="Palatino Linotype" w:hAnsi="Palatino Linotype"/>
          <w:i/>
          <w:iCs/>
        </w:rPr>
        <w:t xml:space="preserve">. Concluidas las visitas o supervisiones del artículo anterior, las instancias correspondientes contarán con un plazo improrrogable de veinte días hábiles para emitir las evaluaciones técnicas de factibilidad o la determinación correspondiente y remitirlas al Comité Municipal de Dictámenes de Giro. </w:t>
      </w:r>
    </w:p>
    <w:p w:rsidR="00A1243B" w:rsidRPr="00040E7E" w:rsidRDefault="00A1243B" w:rsidP="00A1243B">
      <w:pPr>
        <w:ind w:left="567" w:right="567"/>
        <w:jc w:val="both"/>
        <w:rPr>
          <w:rFonts w:ascii="Palatino Linotype" w:hAnsi="Palatino Linotype"/>
          <w:i/>
          <w:iCs/>
        </w:rPr>
      </w:pPr>
      <w:r w:rsidRPr="00040E7E">
        <w:rPr>
          <w:rFonts w:ascii="Palatino Linotype" w:hAnsi="Palatino Linotype"/>
          <w:b/>
          <w:bCs/>
          <w:i/>
          <w:iCs/>
        </w:rPr>
        <w:t>Artículo 20 Octies</w:t>
      </w:r>
      <w:r w:rsidRPr="00040E7E">
        <w:rPr>
          <w:rFonts w:ascii="Palatino Linotype" w:hAnsi="Palatino Linotype"/>
          <w:i/>
          <w:iCs/>
        </w:rPr>
        <w:t xml:space="preserve">. Si del análisis técnico de la documentación de la unidad económica y de la visita o supervisión, se concluye, de manera fundada y motivada, la necesidad de otros estudios específicos, contemplados en las disposiciones jurídicas aplicables, dentro del plazo máximo de cinco días hábiles, se notificará a la o el solicitante, a fin de que dé cumplimiento en el término fijado al efecto, que en ningún caso podrá exceder quince días hábiles. Si por caso fortuito o fuerza mayor el solicitante no pudiera dar cumplimiento o presentar los estudios específicos requeridos, podrá solicitar una prórroga al Comité Municipal de Dictámenes de Giro, el que notificará sobre la procedencia y la ampliación del plazo, hasta por diez días hábiles más. La solicitud de prórroga deberá ser presentada antes de que concluya el plazo fijado para la presentación de los estudios específicos. Si los estudios no son presentados dentro del plazo fijado para dicho efecto, se dará por concluida la solicitud correspondiente. </w:t>
      </w:r>
    </w:p>
    <w:p w:rsidR="00A1243B" w:rsidRPr="00040E7E" w:rsidRDefault="00A1243B" w:rsidP="00A1243B">
      <w:pPr>
        <w:ind w:left="567" w:right="567"/>
        <w:jc w:val="both"/>
        <w:rPr>
          <w:rFonts w:ascii="Palatino Linotype" w:hAnsi="Palatino Linotype"/>
          <w:i/>
          <w:iCs/>
        </w:rPr>
      </w:pPr>
      <w:r w:rsidRPr="00040E7E">
        <w:rPr>
          <w:rFonts w:ascii="Palatino Linotype" w:hAnsi="Palatino Linotype"/>
          <w:b/>
          <w:bCs/>
          <w:i/>
          <w:iCs/>
        </w:rPr>
        <w:t>Artículo 20 Nonies</w:t>
      </w:r>
      <w:r w:rsidRPr="00040E7E">
        <w:rPr>
          <w:rFonts w:ascii="Palatino Linotype" w:hAnsi="Palatino Linotype"/>
          <w:i/>
          <w:iCs/>
        </w:rPr>
        <w:t xml:space="preserve">. Emitidas las evaluaciones técnicas favorables, se procederá a elaborar el Dictamen de Giro, en un plazo no mayor a diez días hábiles, debiendo notificar al solicitante. </w:t>
      </w:r>
    </w:p>
    <w:p w:rsidR="00A1243B" w:rsidRPr="00040E7E" w:rsidRDefault="00A1243B" w:rsidP="00A1243B">
      <w:pPr>
        <w:ind w:left="567" w:right="567"/>
        <w:jc w:val="both"/>
        <w:rPr>
          <w:rFonts w:ascii="Palatino Linotype" w:hAnsi="Palatino Linotype"/>
          <w:i/>
          <w:iCs/>
        </w:rPr>
      </w:pPr>
      <w:r w:rsidRPr="00040E7E">
        <w:rPr>
          <w:rFonts w:ascii="Palatino Linotype" w:hAnsi="Palatino Linotype"/>
          <w:b/>
          <w:bCs/>
          <w:i/>
          <w:iCs/>
        </w:rPr>
        <w:t>Artículo 20 Decies</w:t>
      </w:r>
      <w:r w:rsidRPr="00040E7E">
        <w:rPr>
          <w:rFonts w:ascii="Palatino Linotype" w:hAnsi="Palatino Linotype"/>
          <w:i/>
          <w:iCs/>
        </w:rPr>
        <w:t>. Ningún trámite para la emisión del Dictamen de Giro, podrá exceder el tiempo previsto para su resolución, salvo los casos que debidamente fundado y motivado así se determinen.</w:t>
      </w:r>
    </w:p>
    <w:p w:rsidR="009716D8" w:rsidRPr="00040E7E" w:rsidRDefault="009716D8" w:rsidP="003D343A">
      <w:pPr>
        <w:numPr>
          <w:ilvl w:val="0"/>
          <w:numId w:val="1"/>
        </w:numPr>
        <w:pBdr>
          <w:top w:val="nil"/>
          <w:left w:val="nil"/>
          <w:bottom w:val="nil"/>
          <w:right w:val="nil"/>
          <w:between w:val="nil"/>
        </w:pBdr>
        <w:spacing w:line="360" w:lineRule="auto"/>
        <w:ind w:left="0" w:right="-708" w:firstLine="0"/>
        <w:jc w:val="both"/>
        <w:rPr>
          <w:rFonts w:ascii="Palatino Linotype" w:eastAsia="Calibri" w:hAnsi="Palatino Linotype" w:cs="Arial"/>
        </w:rPr>
      </w:pPr>
      <w:r w:rsidRPr="00040E7E">
        <w:rPr>
          <w:rFonts w:ascii="Palatino Linotype" w:eastAsia="Calibri" w:hAnsi="Palatino Linotype" w:cs="Arial"/>
        </w:rPr>
        <w:lastRenderedPageBreak/>
        <w:t xml:space="preserve">En virtud de lo anterior, es de </w:t>
      </w:r>
      <w:r w:rsidR="003D343A" w:rsidRPr="00040E7E">
        <w:rPr>
          <w:rFonts w:ascii="Palatino Linotype" w:eastAsia="Calibri" w:hAnsi="Palatino Linotype" w:cs="Arial"/>
        </w:rPr>
        <w:t xml:space="preserve">reiterar </w:t>
      </w:r>
      <w:r w:rsidRPr="00040E7E">
        <w:rPr>
          <w:rFonts w:ascii="Palatino Linotype" w:eastAsia="Calibri" w:hAnsi="Palatino Linotype" w:cs="Arial"/>
        </w:rPr>
        <w:t xml:space="preserve">que la información requerida es susceptible de ser generada, poseída y administrada por el </w:t>
      </w:r>
      <w:r w:rsidRPr="00040E7E">
        <w:rPr>
          <w:rFonts w:ascii="Palatino Linotype" w:eastAsia="Calibri" w:hAnsi="Palatino Linotype" w:cs="Arial"/>
          <w:b/>
        </w:rPr>
        <w:t>SUJETO OBLIGADO</w:t>
      </w:r>
      <w:r w:rsidRPr="00040E7E">
        <w:rPr>
          <w:rFonts w:ascii="Palatino Linotype" w:eastAsia="Calibri" w:hAnsi="Palatino Linotype" w:cs="Arial"/>
        </w:rPr>
        <w:t xml:space="preserve">; en consecuencia, debe obrar en los archivos del </w:t>
      </w:r>
      <w:r w:rsidRPr="00040E7E">
        <w:rPr>
          <w:rFonts w:ascii="Palatino Linotype" w:eastAsia="Calibri" w:hAnsi="Palatino Linotype" w:cs="Arial"/>
          <w:b/>
        </w:rPr>
        <w:t>SUJETO OBLIGADO</w:t>
      </w:r>
      <w:r w:rsidRPr="00040E7E">
        <w:rPr>
          <w:rFonts w:ascii="Palatino Linotype" w:eastAsia="Calibri" w:hAnsi="Palatino Linotype" w:cs="Arial"/>
        </w:rPr>
        <w:t xml:space="preserve">, por lo que se ordena </w:t>
      </w:r>
      <w:r w:rsidR="003D343A" w:rsidRPr="00040E7E">
        <w:rPr>
          <w:rFonts w:ascii="Palatino Linotype" w:eastAsia="Calibri" w:hAnsi="Palatino Linotype" w:cs="Arial"/>
        </w:rPr>
        <w:t xml:space="preserve">de ser procedente </w:t>
      </w:r>
      <w:r w:rsidRPr="00040E7E">
        <w:rPr>
          <w:rFonts w:ascii="Palatino Linotype" w:eastAsia="Calibri" w:hAnsi="Palatino Linotype" w:cs="Arial"/>
          <w:b/>
        </w:rPr>
        <w:t xml:space="preserve">en versión pública, </w:t>
      </w:r>
      <w:r w:rsidR="003D343A" w:rsidRPr="00040E7E">
        <w:rPr>
          <w:rFonts w:ascii="Palatino Linotype" w:eastAsia="Calibri" w:hAnsi="Palatino Linotype" w:cs="Arial"/>
          <w:b/>
        </w:rPr>
        <w:t xml:space="preserve">el Acta de la Primera Sesión del Comité de Dictamen de Giro de 2025. </w:t>
      </w:r>
    </w:p>
    <w:p w:rsidR="00262780" w:rsidRPr="00040E7E" w:rsidRDefault="00262780" w:rsidP="00262780">
      <w:pPr>
        <w:pBdr>
          <w:top w:val="nil"/>
          <w:left w:val="nil"/>
          <w:bottom w:val="nil"/>
          <w:right w:val="nil"/>
          <w:between w:val="nil"/>
        </w:pBdr>
        <w:spacing w:line="360" w:lineRule="auto"/>
        <w:ind w:right="-708"/>
        <w:jc w:val="both"/>
        <w:rPr>
          <w:rFonts w:ascii="Palatino Linotype" w:eastAsia="Calibri" w:hAnsi="Palatino Linotype" w:cs="Arial"/>
        </w:rPr>
      </w:pPr>
    </w:p>
    <w:p w:rsidR="00262780" w:rsidRPr="00040E7E" w:rsidRDefault="00262780" w:rsidP="00262780">
      <w:pPr>
        <w:numPr>
          <w:ilvl w:val="0"/>
          <w:numId w:val="1"/>
        </w:numPr>
        <w:pBdr>
          <w:top w:val="nil"/>
          <w:left w:val="nil"/>
          <w:bottom w:val="nil"/>
          <w:right w:val="nil"/>
          <w:between w:val="nil"/>
        </w:pBdr>
        <w:spacing w:line="360" w:lineRule="auto"/>
        <w:ind w:left="0" w:right="-708" w:firstLine="0"/>
        <w:jc w:val="both"/>
        <w:rPr>
          <w:rFonts w:ascii="Palatino Linotype" w:eastAsia="Calibri" w:hAnsi="Palatino Linotype" w:cs="Arial"/>
        </w:rPr>
      </w:pPr>
      <w:r w:rsidRPr="00040E7E">
        <w:rPr>
          <w:rFonts w:ascii="Palatino Linotype" w:eastAsia="Palatino Linotype" w:hAnsi="Palatino Linotype" w:cs="Palatino Linotype"/>
          <w:color w:val="000000"/>
        </w:rPr>
        <w:t>Ahora bien, e</w:t>
      </w:r>
      <w:r w:rsidRPr="00040E7E">
        <w:rPr>
          <w:rFonts w:ascii="Palatino Linotype" w:eastAsia="Palatino Linotype" w:hAnsi="Palatino Linotype" w:cs="Palatino Linotype"/>
        </w:rPr>
        <w:t xml:space="preserve">s importante señalar que el artículo 4, párrafo segundo de la Ley de Transparencia y Acceso a la Información Pública del Estado de México y Municipios, dispone lo siguiente: </w:t>
      </w:r>
    </w:p>
    <w:p w:rsidR="00262780" w:rsidRPr="00040E7E" w:rsidRDefault="00262780" w:rsidP="00262780">
      <w:pPr>
        <w:tabs>
          <w:tab w:val="left" w:pos="426"/>
          <w:tab w:val="left" w:pos="567"/>
        </w:tabs>
        <w:ind w:left="567" w:right="565"/>
        <w:jc w:val="both"/>
        <w:rPr>
          <w:rFonts w:ascii="Palatino Linotype" w:eastAsia="Palatino Linotype" w:hAnsi="Palatino Linotype" w:cs="Palatino Linotype"/>
          <w:i/>
        </w:rPr>
      </w:pPr>
      <w:r w:rsidRPr="00040E7E">
        <w:rPr>
          <w:rFonts w:ascii="Palatino Linotype" w:eastAsia="Palatino Linotype" w:hAnsi="Palatino Linotype" w:cs="Palatino Linotype"/>
          <w:i/>
        </w:rPr>
        <w:t>“</w:t>
      </w:r>
      <w:r w:rsidRPr="00040E7E">
        <w:rPr>
          <w:rFonts w:ascii="Palatino Linotype" w:eastAsia="Palatino Linotype" w:hAnsi="Palatino Linotype" w:cs="Palatino Linotype"/>
          <w:b/>
          <w:i/>
        </w:rPr>
        <w:t>Artículo 4. …</w:t>
      </w:r>
    </w:p>
    <w:p w:rsidR="00262780" w:rsidRPr="00040E7E" w:rsidRDefault="00262780" w:rsidP="00262780">
      <w:pPr>
        <w:tabs>
          <w:tab w:val="left" w:pos="426"/>
          <w:tab w:val="left" w:pos="567"/>
        </w:tabs>
        <w:ind w:left="567" w:right="426"/>
        <w:jc w:val="both"/>
        <w:rPr>
          <w:rFonts w:ascii="Palatino Linotype" w:eastAsia="Palatino Linotype" w:hAnsi="Palatino Linotype" w:cs="Palatino Linotype"/>
          <w:i/>
        </w:rPr>
      </w:pPr>
      <w:r w:rsidRPr="00040E7E">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62780" w:rsidRDefault="00262780" w:rsidP="00262780">
      <w:pPr>
        <w:tabs>
          <w:tab w:val="left" w:pos="426"/>
          <w:tab w:val="left" w:pos="567"/>
        </w:tabs>
        <w:ind w:right="426"/>
        <w:jc w:val="both"/>
        <w:rPr>
          <w:rFonts w:ascii="Palatino Linotype" w:eastAsia="Palatino Linotype" w:hAnsi="Palatino Linotype" w:cs="Palatino Linotype"/>
        </w:rPr>
      </w:pPr>
    </w:p>
    <w:p w:rsidR="00040E7E" w:rsidRPr="00040E7E" w:rsidRDefault="00040E7E" w:rsidP="00262780">
      <w:pPr>
        <w:tabs>
          <w:tab w:val="left" w:pos="426"/>
          <w:tab w:val="left" w:pos="567"/>
        </w:tabs>
        <w:ind w:right="426"/>
        <w:jc w:val="both"/>
        <w:rPr>
          <w:rFonts w:ascii="Palatino Linotype" w:eastAsia="Palatino Linotype" w:hAnsi="Palatino Linotype" w:cs="Palatino Linotype"/>
        </w:rPr>
      </w:pPr>
    </w:p>
    <w:p w:rsidR="00262780" w:rsidRPr="00040E7E" w:rsidRDefault="00262780" w:rsidP="00262780">
      <w:pPr>
        <w:pStyle w:val="Prrafodelista"/>
        <w:numPr>
          <w:ilvl w:val="0"/>
          <w:numId w:val="1"/>
        </w:numPr>
        <w:spacing w:line="360" w:lineRule="auto"/>
        <w:ind w:left="0" w:right="1" w:firstLine="0"/>
        <w:jc w:val="both"/>
        <w:rPr>
          <w:rFonts w:ascii="Palatino Linotype" w:eastAsia="Palatino Linotype" w:hAnsi="Palatino Linotype" w:cs="Palatino Linotype"/>
          <w:b/>
        </w:rPr>
      </w:pPr>
      <w:r w:rsidRPr="00040E7E">
        <w:rPr>
          <w:rFonts w:ascii="Palatino Linotype" w:eastAsia="Palatino Linotype" w:hAnsi="Palatino Linotype" w:cs="Palatino Linotype"/>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262780" w:rsidRPr="00040E7E" w:rsidRDefault="00262780" w:rsidP="00262780">
      <w:pPr>
        <w:spacing w:line="360" w:lineRule="auto"/>
        <w:ind w:right="1"/>
        <w:jc w:val="both"/>
        <w:rPr>
          <w:rFonts w:ascii="Palatino Linotype" w:eastAsia="Palatino Linotype" w:hAnsi="Palatino Linotype" w:cs="Palatino Linotype"/>
        </w:rPr>
      </w:pPr>
    </w:p>
    <w:p w:rsidR="00262780" w:rsidRPr="00040E7E" w:rsidRDefault="00262780" w:rsidP="00262780">
      <w:pPr>
        <w:numPr>
          <w:ilvl w:val="0"/>
          <w:numId w:val="1"/>
        </w:numPr>
        <w:spacing w:line="360" w:lineRule="auto"/>
        <w:ind w:left="0" w:right="1" w:firstLine="0"/>
        <w:jc w:val="both"/>
        <w:rPr>
          <w:rFonts w:ascii="Palatino Linotype" w:eastAsia="Palatino Linotype" w:hAnsi="Palatino Linotype" w:cs="Palatino Linotype"/>
          <w:b/>
        </w:rPr>
      </w:pPr>
      <w:r w:rsidRPr="00040E7E">
        <w:rPr>
          <w:rFonts w:ascii="Palatino Linotype" w:eastAsia="Palatino Linotype" w:hAnsi="Palatino Linotype" w:cs="Palatino Linotype"/>
        </w:rPr>
        <w:t xml:space="preserve">Así, el derecho de acceso a la información pública se satisface en aquellos casos en que se entregue el soporte documental en que conste la información pública, toda vez que, los Sujetos Obligados no tienen el deber de generar, poseer o administrar la </w:t>
      </w:r>
      <w:r w:rsidRPr="00040E7E">
        <w:rPr>
          <w:rFonts w:ascii="Palatino Linotype" w:eastAsia="Palatino Linotype" w:hAnsi="Palatino Linotype" w:cs="Palatino Linotype"/>
        </w:rPr>
        <w:lastRenderedPageBreak/>
        <w:t xml:space="preserve">información pública con el grado de detalle solicitado; esto es, que no tienen el deber de generar un documento ad hoc, para satisfacer el derecho de acceso a la información pública. </w:t>
      </w:r>
    </w:p>
    <w:p w:rsidR="00262780" w:rsidRPr="00040E7E" w:rsidRDefault="00262780" w:rsidP="00262780">
      <w:pPr>
        <w:spacing w:line="360" w:lineRule="auto"/>
        <w:ind w:right="1"/>
        <w:jc w:val="both"/>
        <w:rPr>
          <w:rFonts w:ascii="Palatino Linotype" w:eastAsia="Palatino Linotype" w:hAnsi="Palatino Linotype" w:cs="Palatino Linotype"/>
        </w:rPr>
      </w:pPr>
    </w:p>
    <w:p w:rsidR="00262780" w:rsidRPr="00040E7E" w:rsidRDefault="00262780" w:rsidP="00262780">
      <w:pPr>
        <w:pStyle w:val="Prrafodelista"/>
        <w:numPr>
          <w:ilvl w:val="0"/>
          <w:numId w:val="1"/>
        </w:numPr>
        <w:spacing w:line="360" w:lineRule="auto"/>
        <w:ind w:left="0" w:right="1" w:firstLine="0"/>
        <w:jc w:val="both"/>
        <w:rPr>
          <w:rFonts w:ascii="Palatino Linotype" w:eastAsia="Palatino Linotype" w:hAnsi="Palatino Linotype" w:cs="Palatino Linotype"/>
          <w:b/>
        </w:rPr>
      </w:pPr>
      <w:r w:rsidRPr="00040E7E">
        <w:rPr>
          <w:rFonts w:ascii="Palatino Linotype" w:eastAsia="Palatino Linotype" w:hAnsi="Palatino Linotype" w:cs="Palatino Linotype"/>
        </w:rPr>
        <w:t xml:space="preserve">Como apoyo a lo anterior, es aplicable el Criterio 03-17, emitido por el Instituto Nacional de Transparencia, Acceso a la Información y Protección de Datos Personales, que dice: </w:t>
      </w:r>
    </w:p>
    <w:p w:rsidR="00262780" w:rsidRPr="00040E7E" w:rsidRDefault="00262780" w:rsidP="00262780">
      <w:pPr>
        <w:tabs>
          <w:tab w:val="left" w:pos="426"/>
          <w:tab w:val="left" w:pos="567"/>
        </w:tabs>
        <w:ind w:left="567" w:right="426"/>
        <w:jc w:val="both"/>
        <w:rPr>
          <w:rFonts w:ascii="Palatino Linotype" w:eastAsia="Palatino Linotype" w:hAnsi="Palatino Linotype" w:cs="Palatino Linotype"/>
          <w:i/>
        </w:rPr>
      </w:pPr>
      <w:r w:rsidRPr="00040E7E">
        <w:rPr>
          <w:rFonts w:ascii="Palatino Linotype" w:eastAsia="Palatino Linotype" w:hAnsi="Palatino Linotype" w:cs="Palatino Linotype"/>
          <w:b/>
          <w:i/>
        </w:rPr>
        <w:t>“No existe obligación de elaborar documentos ad hoc para atender las solicitudes de acceso a la información.</w:t>
      </w:r>
      <w:r w:rsidRPr="00040E7E">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262780" w:rsidRPr="00040E7E" w:rsidRDefault="00262780" w:rsidP="00262780">
      <w:pPr>
        <w:tabs>
          <w:tab w:val="left" w:pos="426"/>
          <w:tab w:val="left" w:pos="567"/>
        </w:tabs>
        <w:ind w:left="567" w:right="426"/>
        <w:jc w:val="both"/>
        <w:rPr>
          <w:rFonts w:ascii="Palatino Linotype" w:eastAsia="Palatino Linotype" w:hAnsi="Palatino Linotype" w:cs="Palatino Linotype"/>
          <w:i/>
        </w:rPr>
      </w:pPr>
    </w:p>
    <w:p w:rsidR="00262780" w:rsidRPr="00040E7E" w:rsidRDefault="00262780" w:rsidP="00262780">
      <w:pPr>
        <w:tabs>
          <w:tab w:val="left" w:pos="426"/>
          <w:tab w:val="left" w:pos="567"/>
        </w:tabs>
        <w:ind w:left="567" w:right="426"/>
        <w:jc w:val="both"/>
        <w:rPr>
          <w:rFonts w:ascii="Palatino Linotype" w:eastAsia="Palatino Linotype" w:hAnsi="Palatino Linotype" w:cs="Palatino Linotype"/>
          <w:i/>
        </w:rPr>
      </w:pPr>
      <w:r w:rsidRPr="00040E7E">
        <w:rPr>
          <w:rFonts w:ascii="Palatino Linotype" w:eastAsia="Palatino Linotype" w:hAnsi="Palatino Linotype" w:cs="Palatino Linotype"/>
          <w:i/>
        </w:rPr>
        <w:t xml:space="preserve">Resoluciones: </w:t>
      </w:r>
    </w:p>
    <w:p w:rsidR="00262780" w:rsidRPr="00040E7E" w:rsidRDefault="00262780" w:rsidP="00262780">
      <w:pPr>
        <w:tabs>
          <w:tab w:val="left" w:pos="426"/>
          <w:tab w:val="left" w:pos="567"/>
        </w:tabs>
        <w:ind w:left="567" w:right="426"/>
        <w:jc w:val="both"/>
        <w:rPr>
          <w:rFonts w:ascii="Palatino Linotype" w:eastAsia="Palatino Linotype" w:hAnsi="Palatino Linotype" w:cs="Palatino Linotype"/>
          <w:i/>
        </w:rPr>
      </w:pPr>
      <w:r w:rsidRPr="00040E7E">
        <w:rPr>
          <w:rFonts w:ascii="Palatino Linotype" w:eastAsia="Palatino Linotype" w:hAnsi="Palatino Linotype" w:cs="Palatino Linotype"/>
          <w:i/>
        </w:rPr>
        <w:t xml:space="preserve">RRA 0050/16. Instituto Nacional para la Evaluación de la Educación. 13 julio de 2016. Por unanimidad. Comisionado Ponente: Francisco Javier Acuña Llamas. </w:t>
      </w:r>
    </w:p>
    <w:p w:rsidR="00262780" w:rsidRPr="00040E7E" w:rsidRDefault="00262780" w:rsidP="00262780">
      <w:pPr>
        <w:tabs>
          <w:tab w:val="left" w:pos="426"/>
          <w:tab w:val="left" w:pos="567"/>
        </w:tabs>
        <w:ind w:left="567" w:right="426"/>
        <w:jc w:val="both"/>
        <w:rPr>
          <w:rFonts w:ascii="Palatino Linotype" w:eastAsia="Palatino Linotype" w:hAnsi="Palatino Linotype" w:cs="Palatino Linotype"/>
          <w:i/>
        </w:rPr>
      </w:pPr>
      <w:r w:rsidRPr="00040E7E">
        <w:rPr>
          <w:rFonts w:ascii="Palatino Linotype" w:eastAsia="Palatino Linotype" w:hAnsi="Palatino Linotype" w:cs="Palatino Linotype"/>
          <w:i/>
        </w:rPr>
        <w:t xml:space="preserve">RRA 0310/16. Instituto Nacional de Transparencia, Acceso a la Información y Protección de Datos Personales. 10 de agosto de 2016. Por unanimidad. Comisionada Ponente. Areli Cano Guadiana. </w:t>
      </w:r>
    </w:p>
    <w:p w:rsidR="00262780" w:rsidRPr="00040E7E" w:rsidRDefault="00262780" w:rsidP="00262780">
      <w:pPr>
        <w:tabs>
          <w:tab w:val="left" w:pos="426"/>
          <w:tab w:val="left" w:pos="567"/>
        </w:tabs>
        <w:ind w:left="567" w:right="426"/>
        <w:jc w:val="both"/>
        <w:rPr>
          <w:rFonts w:ascii="Palatino Linotype" w:eastAsia="Palatino Linotype" w:hAnsi="Palatino Linotype" w:cs="Palatino Linotype"/>
        </w:rPr>
      </w:pPr>
      <w:r w:rsidRPr="00040E7E">
        <w:rPr>
          <w:rFonts w:ascii="Palatino Linotype" w:eastAsia="Palatino Linotype" w:hAnsi="Palatino Linotype" w:cs="Palatino Linotype"/>
          <w:i/>
        </w:rPr>
        <w:t>RRA 1889/16. Secretaría de Hacienda y Crédito Público. 05 de octubre de 2016. Por unanimidad. Comisionada Ponente. Ximena Puente de la Mora.”</w:t>
      </w:r>
    </w:p>
    <w:p w:rsidR="00262780" w:rsidRPr="00040E7E" w:rsidRDefault="00262780" w:rsidP="00262780">
      <w:pPr>
        <w:spacing w:line="360" w:lineRule="auto"/>
        <w:ind w:right="1"/>
        <w:jc w:val="both"/>
        <w:rPr>
          <w:rFonts w:ascii="Palatino Linotype" w:eastAsia="Palatino Linotype" w:hAnsi="Palatino Linotype" w:cs="Palatino Linotype"/>
        </w:rPr>
      </w:pPr>
    </w:p>
    <w:p w:rsidR="00262780" w:rsidRPr="00040E7E" w:rsidRDefault="00262780" w:rsidP="00262780">
      <w:pPr>
        <w:numPr>
          <w:ilvl w:val="0"/>
          <w:numId w:val="1"/>
        </w:numPr>
        <w:spacing w:line="360" w:lineRule="auto"/>
        <w:ind w:left="0" w:right="1" w:firstLine="0"/>
        <w:jc w:val="both"/>
        <w:rPr>
          <w:rFonts w:ascii="Palatino Linotype" w:eastAsia="Palatino Linotype" w:hAnsi="Palatino Linotype" w:cs="Palatino Linotype"/>
          <w:b/>
        </w:rPr>
      </w:pPr>
      <w:r w:rsidRPr="00040E7E">
        <w:rPr>
          <w:rFonts w:ascii="Palatino Linotype" w:eastAsia="Palatino Linotype" w:hAnsi="Palatino Linotype" w:cs="Palatino Linotype"/>
        </w:rPr>
        <w:t xml:space="preserve">Asimos, el artículo 24, de la Ley de la materia, dispone que los Sujetos Obligados sólo proporcionarán la información pública que generen, administren o </w:t>
      </w:r>
      <w:r w:rsidRPr="00040E7E">
        <w:rPr>
          <w:rFonts w:ascii="Palatino Linotype" w:eastAsia="Palatino Linotype" w:hAnsi="Palatino Linotype" w:cs="Palatino Linotype"/>
        </w:rPr>
        <w:lastRenderedPageBreak/>
        <w:t xml:space="preserve">posean en el ejercicio de sus atribuciones; por consiguiente, la información pública se encuentra a disposición de cualquier persona, lo que implica que es deber de los Sujetos Obligados, garantizar el derecho de acceso a la información pública. </w:t>
      </w:r>
    </w:p>
    <w:p w:rsidR="00262780" w:rsidRPr="00040E7E" w:rsidRDefault="00262780" w:rsidP="009716D8">
      <w:pPr>
        <w:spacing w:line="360" w:lineRule="auto"/>
        <w:ind w:right="-708"/>
        <w:jc w:val="both"/>
        <w:rPr>
          <w:rFonts w:ascii="Palatino Linotype" w:eastAsia="Palatino Linotype" w:hAnsi="Palatino Linotype" w:cs="Palatino Linotype"/>
          <w:b/>
        </w:rPr>
      </w:pPr>
    </w:p>
    <w:p w:rsidR="00F30DD8" w:rsidRPr="00040E7E" w:rsidRDefault="00F30DD8" w:rsidP="00F30DD8">
      <w:pPr>
        <w:pBdr>
          <w:top w:val="nil"/>
          <w:left w:val="nil"/>
          <w:bottom w:val="nil"/>
          <w:right w:val="nil"/>
          <w:between w:val="nil"/>
        </w:pBdr>
        <w:spacing w:before="240" w:after="240" w:line="360" w:lineRule="auto"/>
        <w:ind w:right="48"/>
        <w:jc w:val="both"/>
        <w:rPr>
          <w:rFonts w:ascii="Palatino Linotype" w:eastAsia="Palatino Linotype" w:hAnsi="Palatino Linotype" w:cs="Palatino Linotype"/>
          <w:b/>
          <w:color w:val="000000"/>
        </w:rPr>
      </w:pPr>
      <w:r w:rsidRPr="00040E7E">
        <w:rPr>
          <w:rFonts w:ascii="Palatino Linotype" w:eastAsia="Palatino Linotype" w:hAnsi="Palatino Linotype" w:cs="Palatino Linotype"/>
          <w:b/>
          <w:color w:val="000000"/>
        </w:rPr>
        <w:t>QUINTO. VERSIÓN PÚBLICA.</w:t>
      </w:r>
    </w:p>
    <w:p w:rsidR="00F30DD8" w:rsidRPr="00040E7E" w:rsidRDefault="00F30DD8" w:rsidP="00F30DD8">
      <w:pPr>
        <w:keepNext/>
        <w:keepLines/>
        <w:numPr>
          <w:ilvl w:val="0"/>
          <w:numId w:val="25"/>
        </w:numPr>
        <w:spacing w:line="360" w:lineRule="auto"/>
        <w:ind w:left="284" w:firstLine="0"/>
        <w:rPr>
          <w:rFonts w:ascii="Palatino Linotype" w:eastAsia="Palatino Linotype" w:hAnsi="Palatino Linotype" w:cs="Palatino Linotype"/>
          <w:b/>
          <w:color w:val="000000"/>
        </w:rPr>
      </w:pPr>
      <w:r w:rsidRPr="00040E7E">
        <w:rPr>
          <w:rFonts w:ascii="Palatino Linotype" w:eastAsia="Palatino Linotype" w:hAnsi="Palatino Linotype" w:cs="Palatino Linotype"/>
          <w:b/>
          <w:color w:val="000000"/>
        </w:rPr>
        <w:t xml:space="preserve">Nociones generales. </w:t>
      </w:r>
    </w:p>
    <w:p w:rsidR="00F30DD8" w:rsidRPr="00040E7E" w:rsidRDefault="00F30DD8" w:rsidP="00A1243B">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Debe destacarse que, debido a la naturaleza de la información solicitada</w:t>
      </w:r>
      <w:r w:rsidRPr="00040E7E">
        <w:rPr>
          <w:rFonts w:ascii="Palatino Linotype" w:eastAsia="Palatino Linotype" w:hAnsi="Palatino Linotype" w:cs="Palatino Linotype"/>
          <w:b/>
          <w:color w:val="000000"/>
        </w:rPr>
        <w:t xml:space="preserve">, </w:t>
      </w:r>
      <w:r w:rsidRPr="00040E7E">
        <w:rPr>
          <w:rFonts w:ascii="Palatino Linotype" w:eastAsia="Palatino Linotype" w:hAnsi="Palatino Linotype" w:cs="Palatino Linotype"/>
          <w:color w:val="000000"/>
        </w:rPr>
        <w:t xml:space="preserve">eventualmente pudiera obrar datos personales susceptibles de protegerse, el </w:t>
      </w:r>
      <w:r w:rsidRPr="00040E7E">
        <w:rPr>
          <w:rFonts w:ascii="Palatino Linotype" w:eastAsia="Palatino Linotype" w:hAnsi="Palatino Linotype" w:cs="Palatino Linotype"/>
          <w:b/>
          <w:color w:val="000000"/>
        </w:rPr>
        <w:t xml:space="preserve">SUJETO OBLIGADO </w:t>
      </w:r>
      <w:r w:rsidRPr="00040E7E">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F30DD8" w:rsidRPr="00040E7E" w:rsidRDefault="00F30DD8" w:rsidP="009716D8">
      <w:pPr>
        <w:pBdr>
          <w:top w:val="nil"/>
          <w:left w:val="nil"/>
          <w:bottom w:val="nil"/>
          <w:right w:val="nil"/>
          <w:between w:val="nil"/>
        </w:pBdr>
        <w:spacing w:line="360" w:lineRule="auto"/>
        <w:ind w:right="-708"/>
        <w:jc w:val="both"/>
        <w:rPr>
          <w:rFonts w:ascii="Palatino Linotype" w:eastAsia="Palatino Linotype" w:hAnsi="Palatino Linotype" w:cs="Palatino Linotype"/>
          <w:color w:val="000000"/>
        </w:rPr>
      </w:pPr>
    </w:p>
    <w:p w:rsidR="00F30DD8" w:rsidRPr="00040E7E" w:rsidRDefault="00F30DD8" w:rsidP="00A1243B">
      <w:pPr>
        <w:numPr>
          <w:ilvl w:val="0"/>
          <w:numId w:val="1"/>
        </w:numPr>
        <w:pBdr>
          <w:top w:val="nil"/>
          <w:left w:val="nil"/>
          <w:bottom w:val="nil"/>
          <w:right w:val="nil"/>
          <w:between w:val="nil"/>
        </w:pBdr>
        <w:spacing w:line="360" w:lineRule="auto"/>
        <w:ind w:left="0" w:right="-708" w:firstLine="0"/>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No pasa desapercibido para este Órgano Garante que los Sujetos Obligados</w:t>
      </w:r>
      <w:r w:rsidRPr="00040E7E">
        <w:rPr>
          <w:rFonts w:ascii="Palatino Linotype" w:eastAsia="Palatino Linotype" w:hAnsi="Palatino Linotype" w:cs="Palatino Linotype"/>
          <w:b/>
          <w:color w:val="000000"/>
        </w:rPr>
        <w:t xml:space="preserve"> </w:t>
      </w:r>
      <w:r w:rsidRPr="00040E7E">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F30DD8" w:rsidRPr="00040E7E" w:rsidRDefault="00F30DD8" w:rsidP="00040E7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7371"/>
      </w:tblGrid>
      <w:tr w:rsidR="00F30DD8" w:rsidRPr="00040E7E" w:rsidTr="00040E7E">
        <w:tc>
          <w:tcPr>
            <w:tcW w:w="2547" w:type="dxa"/>
          </w:tcPr>
          <w:p w:rsidR="00F30DD8" w:rsidRPr="00040E7E" w:rsidRDefault="00F30DD8" w:rsidP="00F30DD8">
            <w:pPr>
              <w:rPr>
                <w:rFonts w:ascii="Palatino Linotype" w:eastAsia="Palatino Linotype" w:hAnsi="Palatino Linotype" w:cs="Palatino Linotype"/>
              </w:rPr>
            </w:pPr>
            <w:r w:rsidRPr="00040E7E">
              <w:rPr>
                <w:rFonts w:ascii="Palatino Linotype" w:eastAsia="Palatino Linotype" w:hAnsi="Palatino Linotype" w:cs="Palatino Linotype"/>
              </w:rPr>
              <w:t>a) Requisitos previos.</w:t>
            </w:r>
          </w:p>
        </w:tc>
        <w:tc>
          <w:tcPr>
            <w:tcW w:w="7371" w:type="dxa"/>
          </w:tcPr>
          <w:p w:rsidR="00F30DD8" w:rsidRPr="00040E7E" w:rsidRDefault="00F30DD8" w:rsidP="00F30DD8">
            <w:pPr>
              <w:ind w:right="49"/>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F30DD8" w:rsidRPr="00040E7E" w:rsidRDefault="00F30DD8" w:rsidP="00F30DD8">
            <w:pPr>
              <w:ind w:right="49"/>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F30DD8" w:rsidRPr="00040E7E" w:rsidRDefault="00F30DD8" w:rsidP="00F30DD8">
            <w:pPr>
              <w:ind w:right="49"/>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lastRenderedPageBreak/>
              <w:t>Además, se debe señalar el procedimiento, de los tres que establecen los artículos 132 y 106 de la Ley Estatal y General, respectivamente.</w:t>
            </w:r>
          </w:p>
          <w:p w:rsidR="00F30DD8" w:rsidRPr="00040E7E" w:rsidRDefault="00F30DD8" w:rsidP="00F30DD8">
            <w:pPr>
              <w:jc w:val="both"/>
              <w:rPr>
                <w:rFonts w:ascii="Palatino Linotype" w:eastAsia="Palatino Linotype" w:hAnsi="Palatino Linotype" w:cs="Palatino Linotype"/>
              </w:rPr>
            </w:pPr>
            <w:r w:rsidRPr="00040E7E">
              <w:rPr>
                <w:rFonts w:ascii="Palatino Linotype" w:eastAsia="Palatino Linotype" w:hAnsi="Palatino Linotype" w:cs="Palatino Linotype"/>
                <w:color w:val="000000"/>
              </w:rPr>
              <w:t>El último de estos requisitos previos consiste en que no se pueden emitir acuerdos de carácter general ni particular,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tc>
      </w:tr>
      <w:tr w:rsidR="00F30DD8" w:rsidRPr="00040E7E" w:rsidTr="00040E7E">
        <w:tc>
          <w:tcPr>
            <w:tcW w:w="2547" w:type="dxa"/>
          </w:tcPr>
          <w:p w:rsidR="00F30DD8" w:rsidRPr="00040E7E" w:rsidRDefault="00F30DD8" w:rsidP="00F30DD8">
            <w:pPr>
              <w:rPr>
                <w:rFonts w:ascii="Palatino Linotype" w:eastAsia="Palatino Linotype" w:hAnsi="Palatino Linotype" w:cs="Palatino Linotype"/>
              </w:rPr>
            </w:pPr>
            <w:r w:rsidRPr="00040E7E">
              <w:rPr>
                <w:rFonts w:ascii="Palatino Linotype" w:eastAsia="Palatino Linotype" w:hAnsi="Palatino Linotype" w:cs="Palatino Linotype"/>
              </w:rPr>
              <w:lastRenderedPageBreak/>
              <w:t>b) Supuestos de clasificación.</w:t>
            </w:r>
          </w:p>
        </w:tc>
        <w:tc>
          <w:tcPr>
            <w:tcW w:w="7371" w:type="dxa"/>
          </w:tcPr>
          <w:p w:rsidR="00F30DD8" w:rsidRPr="00040E7E" w:rsidRDefault="00F30DD8" w:rsidP="00F30DD8">
            <w:pPr>
              <w:ind w:right="49"/>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F30DD8" w:rsidRPr="00040E7E" w:rsidRDefault="00F30DD8" w:rsidP="00F30DD8">
            <w:pPr>
              <w:ind w:right="49"/>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30DD8" w:rsidRPr="00040E7E" w:rsidRDefault="00F30DD8" w:rsidP="00F30DD8">
            <w:pPr>
              <w:jc w:val="both"/>
              <w:rPr>
                <w:rFonts w:ascii="Palatino Linotype" w:eastAsia="Palatino Linotype" w:hAnsi="Palatino Linotype" w:cs="Palatino Linotype"/>
              </w:rPr>
            </w:pPr>
            <w:r w:rsidRPr="00040E7E">
              <w:rPr>
                <w:rFonts w:ascii="Palatino Linotype" w:eastAsia="Palatino Linotype" w:hAnsi="Palatino Linotype" w:cs="Palatino Linotype"/>
                <w:color w:val="000000"/>
              </w:rPr>
              <w:t xml:space="preserve">El </w:t>
            </w:r>
            <w:r w:rsidRPr="00040E7E">
              <w:rPr>
                <w:rFonts w:ascii="Palatino Linotype" w:eastAsia="Palatino Linotype" w:hAnsi="Palatino Linotype" w:cs="Palatino Linotype"/>
                <w:b/>
                <w:color w:val="000000"/>
              </w:rPr>
              <w:t>Sujeto Obligado</w:t>
            </w:r>
            <w:r w:rsidRPr="00040E7E">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30DD8" w:rsidRPr="00040E7E" w:rsidTr="00040E7E">
        <w:tc>
          <w:tcPr>
            <w:tcW w:w="2547" w:type="dxa"/>
          </w:tcPr>
          <w:p w:rsidR="00F30DD8" w:rsidRPr="00040E7E" w:rsidRDefault="00F30DD8" w:rsidP="00F30DD8">
            <w:pPr>
              <w:rPr>
                <w:rFonts w:ascii="Palatino Linotype" w:eastAsia="Palatino Linotype" w:hAnsi="Palatino Linotype" w:cs="Palatino Linotype"/>
              </w:rPr>
            </w:pPr>
            <w:r w:rsidRPr="00040E7E">
              <w:rPr>
                <w:rFonts w:ascii="Palatino Linotype" w:eastAsia="Palatino Linotype" w:hAnsi="Palatino Linotype" w:cs="Palatino Linotype"/>
              </w:rPr>
              <w:t>c) Formalidades para emitir el acuerdo de clasificación.</w:t>
            </w:r>
          </w:p>
        </w:tc>
        <w:tc>
          <w:tcPr>
            <w:tcW w:w="7371" w:type="dxa"/>
          </w:tcPr>
          <w:p w:rsidR="00F30DD8" w:rsidRPr="00040E7E" w:rsidRDefault="00F30DD8" w:rsidP="00F30DD8">
            <w:pPr>
              <w:ind w:right="49"/>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F30DD8" w:rsidRPr="00040E7E" w:rsidRDefault="00F30DD8" w:rsidP="00F30DD8">
            <w:pPr>
              <w:ind w:right="49"/>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 xml:space="preserve">Es necesario que </w:t>
            </w:r>
            <w:r w:rsidRPr="00040E7E">
              <w:rPr>
                <w:rFonts w:ascii="Palatino Linotype" w:eastAsia="Palatino Linotype" w:hAnsi="Palatino Linotype" w:cs="Palatino Linotype"/>
                <w:b/>
                <w:color w:val="000000"/>
              </w:rPr>
              <w:t>el acto reúna con los requisitos elementales</w:t>
            </w:r>
            <w:r w:rsidRPr="00040E7E">
              <w:rPr>
                <w:rFonts w:ascii="Palatino Linotype" w:eastAsia="Palatino Linotype" w:hAnsi="Palatino Linotype" w:cs="Palatino Linotype"/>
                <w:color w:val="000000"/>
              </w:rPr>
              <w:t>, entre ellos, que la autoridad que va a emitir el acto de autoridad sea la legalmente facultada para ello.</w:t>
            </w:r>
          </w:p>
          <w:p w:rsidR="00F30DD8" w:rsidRPr="00040E7E" w:rsidRDefault="00F30DD8" w:rsidP="00F30DD8">
            <w:pPr>
              <w:jc w:val="both"/>
              <w:rPr>
                <w:rFonts w:ascii="Palatino Linotype" w:eastAsia="Palatino Linotype" w:hAnsi="Palatino Linotype" w:cs="Palatino Linotype"/>
              </w:rPr>
            </w:pPr>
            <w:r w:rsidRPr="00040E7E">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w:t>
            </w:r>
            <w:r w:rsidRPr="00040E7E">
              <w:rPr>
                <w:rFonts w:ascii="Palatino Linotype" w:eastAsia="Palatino Linotype" w:hAnsi="Palatino Linotype" w:cs="Palatino Linotype"/>
                <w:color w:val="000000"/>
              </w:rPr>
              <w:lastRenderedPageBreak/>
              <w:t>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30DD8" w:rsidRPr="00040E7E" w:rsidTr="00040E7E">
        <w:tc>
          <w:tcPr>
            <w:tcW w:w="2547" w:type="dxa"/>
          </w:tcPr>
          <w:p w:rsidR="00F30DD8" w:rsidRPr="00040E7E" w:rsidRDefault="00F30DD8" w:rsidP="00F30DD8">
            <w:pPr>
              <w:rPr>
                <w:rFonts w:ascii="Palatino Linotype" w:eastAsia="Palatino Linotype" w:hAnsi="Palatino Linotype" w:cs="Palatino Linotype"/>
              </w:rPr>
            </w:pPr>
          </w:p>
          <w:p w:rsidR="00F30DD8" w:rsidRPr="00040E7E" w:rsidRDefault="00F30DD8" w:rsidP="00F30DD8">
            <w:pPr>
              <w:jc w:val="both"/>
              <w:rPr>
                <w:rFonts w:ascii="Palatino Linotype" w:eastAsia="Palatino Linotype" w:hAnsi="Palatino Linotype" w:cs="Palatino Linotype"/>
              </w:rPr>
            </w:pPr>
            <w:r w:rsidRPr="00040E7E">
              <w:rPr>
                <w:rFonts w:ascii="Palatino Linotype" w:eastAsia="Palatino Linotype" w:hAnsi="Palatino Linotype" w:cs="Palatino Linotype"/>
                <w:color w:val="000000"/>
              </w:rPr>
              <w:t xml:space="preserve">d) Requisitos de fondo del acuerdo de clasificación. </w:t>
            </w:r>
          </w:p>
        </w:tc>
        <w:tc>
          <w:tcPr>
            <w:tcW w:w="7371" w:type="dxa"/>
          </w:tcPr>
          <w:p w:rsidR="00F30DD8" w:rsidRPr="00040E7E" w:rsidRDefault="00F30DD8" w:rsidP="00F30DD8">
            <w:pPr>
              <w:ind w:right="49"/>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40E7E">
              <w:rPr>
                <w:rFonts w:ascii="Palatino Linotype" w:eastAsia="Palatino Linotype" w:hAnsi="Palatino Linotype" w:cs="Palatino Linotype"/>
                <w:b/>
                <w:color w:val="000000"/>
              </w:rPr>
              <w:t>Sujetos Obligados</w:t>
            </w:r>
            <w:r w:rsidRPr="00040E7E">
              <w:rPr>
                <w:rFonts w:ascii="Palatino Linotype" w:eastAsia="Palatino Linotype" w:hAnsi="Palatino Linotype" w:cs="Palatino Linotype"/>
                <w:color w:val="000000"/>
              </w:rPr>
              <w:t xml:space="preserve">, por lo que deberán fundar y motivar debidamente la clasificación. </w:t>
            </w:r>
          </w:p>
          <w:p w:rsidR="00F30DD8" w:rsidRPr="00040E7E" w:rsidRDefault="00F30DD8" w:rsidP="00F30DD8">
            <w:pPr>
              <w:ind w:right="49"/>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 xml:space="preserve">De lo anterior, se desprende que para una correcta </w:t>
            </w:r>
            <w:r w:rsidRPr="00040E7E">
              <w:rPr>
                <w:rFonts w:ascii="Palatino Linotype" w:eastAsia="Palatino Linotype" w:hAnsi="Palatino Linotype" w:cs="Palatino Linotype"/>
                <w:b/>
                <w:color w:val="000000"/>
              </w:rPr>
              <w:t>clasificación total o parcial</w:t>
            </w:r>
            <w:r w:rsidRPr="00040E7E">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30DD8" w:rsidRPr="00040E7E" w:rsidRDefault="00F30DD8" w:rsidP="00F30DD8">
            <w:pPr>
              <w:ind w:right="49"/>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30DD8" w:rsidRPr="00040E7E" w:rsidRDefault="00F30DD8" w:rsidP="00F30DD8">
            <w:pPr>
              <w:ind w:right="49"/>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En ese mismo sentido, el n</w:t>
            </w:r>
            <w:bookmarkStart w:id="8" w:name="_GoBack"/>
            <w:bookmarkEnd w:id="8"/>
            <w:r w:rsidRPr="00040E7E">
              <w:rPr>
                <w:rFonts w:ascii="Palatino Linotype" w:eastAsia="Palatino Linotype" w:hAnsi="Palatino Linotype" w:cs="Palatino Linotype"/>
                <w:color w:val="000000"/>
              </w:rPr>
              <w:t>umeral trigésimo tercero fracción V de los Lineamientos Generales, precisa que para motivar la clasificación se deben acreditar las circunstancias de tiempo, modo y lugar.</w:t>
            </w:r>
          </w:p>
          <w:p w:rsidR="00F30DD8" w:rsidRPr="00040E7E" w:rsidRDefault="00F30DD8" w:rsidP="00F30DD8">
            <w:pPr>
              <w:ind w:right="49"/>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 xml:space="preserve">Ahora bien, </w:t>
            </w:r>
            <w:r w:rsidRPr="00040E7E">
              <w:rPr>
                <w:rFonts w:ascii="Palatino Linotype" w:eastAsia="Palatino Linotype" w:hAnsi="Palatino Linotype" w:cs="Palatino Linotype"/>
                <w:b/>
                <w:color w:val="000000"/>
              </w:rPr>
              <w:t>para cada caso además de fundar y motivar</w:t>
            </w:r>
            <w:r w:rsidRPr="00040E7E">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Registro Federal de Contribuyentes </w:t>
            </w:r>
            <w:r w:rsidRPr="00040E7E">
              <w:rPr>
                <w:rFonts w:ascii="Palatino Linotype" w:eastAsia="Palatino Linotype" w:hAnsi="Palatino Linotype" w:cs="Palatino Linotype"/>
                <w:color w:val="000000"/>
              </w:rPr>
              <w:lastRenderedPageBreak/>
              <w:t>(R.F.C.), claves de seguros, préstamos o descuentos personales, secretos bancario, fiduciario, industrial, comercial, fiscal, bursátil y postal, cuya titularidad corresponda a particulares, entre otros.</w:t>
            </w:r>
          </w:p>
        </w:tc>
      </w:tr>
      <w:tr w:rsidR="00F30DD8" w:rsidRPr="00040E7E" w:rsidTr="00040E7E">
        <w:tc>
          <w:tcPr>
            <w:tcW w:w="2547" w:type="dxa"/>
          </w:tcPr>
          <w:p w:rsidR="00F30DD8" w:rsidRPr="00040E7E" w:rsidRDefault="00F30DD8" w:rsidP="00625E94">
            <w:pPr>
              <w:ind w:right="49"/>
              <w:jc w:val="both"/>
              <w:rPr>
                <w:rFonts w:ascii="Palatino Linotype" w:eastAsia="Palatino Linotype" w:hAnsi="Palatino Linotype" w:cs="Palatino Linotype"/>
              </w:rPr>
            </w:pPr>
            <w:r w:rsidRPr="00040E7E">
              <w:rPr>
                <w:rFonts w:ascii="Palatino Linotype" w:eastAsia="Palatino Linotype" w:hAnsi="Palatino Linotype" w:cs="Palatino Linotype"/>
              </w:rPr>
              <w:lastRenderedPageBreak/>
              <w:t xml:space="preserve">e) Condiciones especiales de la clasificación de la información como confidencial. </w:t>
            </w:r>
          </w:p>
        </w:tc>
        <w:tc>
          <w:tcPr>
            <w:tcW w:w="7371" w:type="dxa"/>
          </w:tcPr>
          <w:p w:rsidR="00F30DD8" w:rsidRPr="00040E7E" w:rsidRDefault="00F30DD8" w:rsidP="00625E94">
            <w:pPr>
              <w:ind w:right="49"/>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F30DD8" w:rsidRPr="00040E7E" w:rsidRDefault="00F30DD8" w:rsidP="00625E94">
            <w:pPr>
              <w:ind w:right="49"/>
              <w:jc w:val="both"/>
              <w:rPr>
                <w:rFonts w:ascii="Palatino Linotype" w:eastAsia="Palatino Linotype" w:hAnsi="Palatino Linotype" w:cs="Palatino Linotype"/>
                <w:color w:val="000000"/>
              </w:rPr>
            </w:pPr>
            <w:r w:rsidRPr="00040E7E">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30DD8" w:rsidRPr="00040E7E" w:rsidRDefault="00F30DD8" w:rsidP="00625E94">
            <w:pPr>
              <w:ind w:right="49"/>
              <w:rPr>
                <w:rFonts w:ascii="Palatino Linotype" w:eastAsia="Palatino Linotype" w:hAnsi="Palatino Linotype" w:cs="Palatino Linotype"/>
              </w:rPr>
            </w:pPr>
            <w:r w:rsidRPr="00040E7E">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716D8" w:rsidRPr="00040E7E" w:rsidRDefault="009716D8" w:rsidP="009716D8">
      <w:pPr>
        <w:pBdr>
          <w:top w:val="nil"/>
          <w:left w:val="nil"/>
          <w:bottom w:val="nil"/>
          <w:right w:val="nil"/>
          <w:between w:val="nil"/>
        </w:pBdr>
        <w:spacing w:line="360" w:lineRule="auto"/>
        <w:ind w:right="-708"/>
        <w:jc w:val="both"/>
        <w:rPr>
          <w:rFonts w:ascii="Palatino Linotype" w:hAnsi="Palatino Linotype"/>
          <w:color w:val="000000" w:themeColor="text1"/>
        </w:rPr>
      </w:pPr>
    </w:p>
    <w:p w:rsidR="00DE2DBA" w:rsidRPr="00040E7E" w:rsidRDefault="00DE2DBA" w:rsidP="00A1243B">
      <w:pPr>
        <w:numPr>
          <w:ilvl w:val="0"/>
          <w:numId w:val="1"/>
        </w:numPr>
        <w:pBdr>
          <w:top w:val="nil"/>
          <w:left w:val="nil"/>
          <w:bottom w:val="nil"/>
          <w:right w:val="nil"/>
          <w:between w:val="nil"/>
        </w:pBdr>
        <w:spacing w:line="360" w:lineRule="auto"/>
        <w:ind w:left="0" w:right="-708" w:firstLine="0"/>
        <w:jc w:val="both"/>
        <w:rPr>
          <w:rFonts w:ascii="Palatino Linotype" w:hAnsi="Palatino Linotype"/>
          <w:color w:val="000000" w:themeColor="text1"/>
        </w:rPr>
      </w:pPr>
      <w:r w:rsidRPr="00040E7E">
        <w:rPr>
          <w:rFonts w:ascii="Palatino Linotype" w:eastAsia="Palatino Linotype" w:hAnsi="Palatino Linotype" w:cs="Palatino Linotype"/>
          <w:color w:val="000000"/>
        </w:rPr>
        <w:t xml:space="preserve">Si </w:t>
      </w:r>
      <w:r w:rsidRPr="00040E7E">
        <w:rPr>
          <w:rFonts w:ascii="Palatino Linotype" w:eastAsia="Palatino Linotype" w:hAnsi="Palatino Linotype" w:cs="Palatino Linotype"/>
        </w:rPr>
        <w:t>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F30DD8" w:rsidRPr="00040E7E" w:rsidRDefault="00F30DD8" w:rsidP="009716D8">
      <w:pPr>
        <w:pBdr>
          <w:top w:val="nil"/>
          <w:left w:val="nil"/>
          <w:bottom w:val="nil"/>
          <w:right w:val="nil"/>
          <w:between w:val="nil"/>
        </w:pBdr>
        <w:spacing w:line="360" w:lineRule="auto"/>
        <w:ind w:right="-708"/>
        <w:jc w:val="both"/>
        <w:rPr>
          <w:rFonts w:ascii="Palatino Linotype" w:hAnsi="Palatino Linotype"/>
          <w:color w:val="000000" w:themeColor="text1"/>
        </w:rPr>
      </w:pPr>
    </w:p>
    <w:p w:rsidR="00FA52BC" w:rsidRPr="00040E7E" w:rsidRDefault="00FA52BC" w:rsidP="00A1243B">
      <w:pPr>
        <w:numPr>
          <w:ilvl w:val="0"/>
          <w:numId w:val="1"/>
        </w:numPr>
        <w:pBdr>
          <w:top w:val="nil"/>
          <w:left w:val="nil"/>
          <w:bottom w:val="nil"/>
          <w:right w:val="nil"/>
          <w:between w:val="nil"/>
        </w:pBdr>
        <w:spacing w:line="360" w:lineRule="auto"/>
        <w:ind w:left="0" w:right="-708" w:firstLine="0"/>
        <w:jc w:val="both"/>
        <w:rPr>
          <w:rFonts w:ascii="Palatino Linotype" w:hAnsi="Palatino Linotype"/>
          <w:color w:val="000000" w:themeColor="text1"/>
        </w:rPr>
      </w:pPr>
      <w:r w:rsidRPr="00040E7E">
        <w:rPr>
          <w:rFonts w:ascii="Palatino Linotype" w:hAnsi="Palatino Linotype" w:cs="Arial"/>
          <w:color w:val="000000" w:themeColor="text1"/>
          <w:lang w:eastAsia="es-MX"/>
        </w:rPr>
        <w:t xml:space="preserve">Por lo anteriormente expuesto y fundado, este </w:t>
      </w:r>
      <w:r w:rsidRPr="00040E7E">
        <w:rPr>
          <w:rFonts w:ascii="Palatino Linotype" w:hAnsi="Palatino Linotype" w:cs="Arial"/>
          <w:b/>
          <w:bCs/>
          <w:color w:val="000000" w:themeColor="text1"/>
          <w:lang w:eastAsia="es-MX"/>
        </w:rPr>
        <w:t>ÓRGANO GARANTE</w:t>
      </w:r>
      <w:r w:rsidRPr="00040E7E">
        <w:rPr>
          <w:rFonts w:ascii="Palatino Linotype" w:hAnsi="Palatino Linotype" w:cs="Arial"/>
          <w:color w:val="000000" w:themeColor="text1"/>
          <w:lang w:eastAsia="es-MX"/>
        </w:rPr>
        <w:t xml:space="preserve"> emite los siguientes:</w:t>
      </w:r>
      <w:bookmarkStart w:id="9" w:name="_Toc504500693"/>
      <w:bookmarkStart w:id="10" w:name="_Toc534742545"/>
      <w:bookmarkStart w:id="11" w:name="_Toc2248738"/>
      <w:bookmarkStart w:id="12" w:name="_Toc34819440"/>
      <w:bookmarkStart w:id="13" w:name="_Toc51259595"/>
      <w:bookmarkStart w:id="14" w:name="_Toc83128595"/>
      <w:r w:rsidR="00040E7E">
        <w:rPr>
          <w:rFonts w:ascii="Palatino Linotype" w:hAnsi="Palatino Linotype" w:cs="Arial"/>
          <w:color w:val="000000" w:themeColor="text1"/>
          <w:lang w:eastAsia="es-MX"/>
        </w:rPr>
        <w:t xml:space="preserve"> -----------------------------------------------------------------------------------------------------------</w:t>
      </w:r>
    </w:p>
    <w:p w:rsidR="00040E7E" w:rsidRDefault="00040E7E" w:rsidP="00040E7E">
      <w:pPr>
        <w:pStyle w:val="Prrafodelista"/>
        <w:rPr>
          <w:rFonts w:ascii="Palatino Linotype" w:hAnsi="Palatino Linotype"/>
          <w:color w:val="000000" w:themeColor="text1"/>
        </w:rPr>
      </w:pPr>
    </w:p>
    <w:p w:rsidR="00040E7E" w:rsidRDefault="00040E7E" w:rsidP="00040E7E">
      <w:pPr>
        <w:pBdr>
          <w:top w:val="nil"/>
          <w:left w:val="nil"/>
          <w:bottom w:val="nil"/>
          <w:right w:val="nil"/>
          <w:between w:val="nil"/>
        </w:pBdr>
        <w:spacing w:line="360" w:lineRule="auto"/>
        <w:ind w:right="-708"/>
        <w:jc w:val="both"/>
        <w:rPr>
          <w:rFonts w:ascii="Palatino Linotype" w:hAnsi="Palatino Linotype"/>
          <w:color w:val="000000" w:themeColor="text1"/>
        </w:rPr>
      </w:pPr>
    </w:p>
    <w:p w:rsidR="00040E7E" w:rsidRDefault="00040E7E" w:rsidP="00040E7E">
      <w:pPr>
        <w:pBdr>
          <w:top w:val="nil"/>
          <w:left w:val="nil"/>
          <w:bottom w:val="nil"/>
          <w:right w:val="nil"/>
          <w:between w:val="nil"/>
        </w:pBdr>
        <w:spacing w:line="360" w:lineRule="auto"/>
        <w:ind w:right="-708"/>
        <w:jc w:val="both"/>
        <w:rPr>
          <w:rFonts w:ascii="Palatino Linotype" w:hAnsi="Palatino Linotype"/>
          <w:color w:val="000000" w:themeColor="text1"/>
        </w:rPr>
      </w:pPr>
    </w:p>
    <w:p w:rsidR="00040E7E" w:rsidRPr="00040E7E" w:rsidRDefault="00040E7E" w:rsidP="00040E7E">
      <w:pPr>
        <w:pBdr>
          <w:top w:val="nil"/>
          <w:left w:val="nil"/>
          <w:bottom w:val="nil"/>
          <w:right w:val="nil"/>
          <w:between w:val="nil"/>
        </w:pBdr>
        <w:spacing w:line="360" w:lineRule="auto"/>
        <w:ind w:right="-708"/>
        <w:jc w:val="both"/>
        <w:rPr>
          <w:rFonts w:ascii="Palatino Linotype" w:hAnsi="Palatino Linotype"/>
          <w:color w:val="000000" w:themeColor="text1"/>
        </w:rPr>
      </w:pPr>
    </w:p>
    <w:p w:rsidR="00FA52BC" w:rsidRPr="00040E7E" w:rsidRDefault="00FA52BC" w:rsidP="009716D8">
      <w:pPr>
        <w:pStyle w:val="Ttulo1"/>
        <w:spacing w:before="0" w:line="360" w:lineRule="auto"/>
        <w:ind w:right="-708"/>
        <w:jc w:val="center"/>
        <w:rPr>
          <w:rFonts w:ascii="Palatino Linotype" w:eastAsia="Calibri" w:hAnsi="Palatino Linotype"/>
          <w:b/>
          <w:color w:val="000000" w:themeColor="text1"/>
          <w:sz w:val="24"/>
          <w:szCs w:val="24"/>
          <w:lang w:val="es-ES"/>
        </w:rPr>
      </w:pPr>
      <w:r w:rsidRPr="00040E7E">
        <w:rPr>
          <w:rFonts w:ascii="Palatino Linotype" w:eastAsia="Calibri" w:hAnsi="Palatino Linotype"/>
          <w:b/>
          <w:color w:val="000000" w:themeColor="text1"/>
          <w:sz w:val="24"/>
          <w:szCs w:val="24"/>
          <w:lang w:val="es-ES"/>
        </w:rPr>
        <w:lastRenderedPageBreak/>
        <w:t>R E S O L U T I V O S</w:t>
      </w:r>
      <w:bookmarkEnd w:id="9"/>
      <w:bookmarkEnd w:id="10"/>
      <w:bookmarkEnd w:id="11"/>
      <w:bookmarkEnd w:id="12"/>
      <w:bookmarkEnd w:id="13"/>
      <w:bookmarkEnd w:id="14"/>
    </w:p>
    <w:p w:rsidR="00FA52BC" w:rsidRPr="00040E7E" w:rsidRDefault="00FA52BC" w:rsidP="009716D8">
      <w:pPr>
        <w:ind w:right="-708"/>
        <w:rPr>
          <w:rFonts w:ascii="Palatino Linotype" w:hAnsi="Palatino Linotype"/>
          <w:lang w:val="es-ES"/>
        </w:rPr>
      </w:pPr>
    </w:p>
    <w:p w:rsidR="007704C1" w:rsidRPr="00040E7E" w:rsidRDefault="007704C1" w:rsidP="009716D8">
      <w:pPr>
        <w:spacing w:line="360" w:lineRule="auto"/>
        <w:ind w:right="-708"/>
        <w:jc w:val="both"/>
        <w:rPr>
          <w:rFonts w:ascii="Palatino Linotype" w:eastAsia="Palatino Linotype" w:hAnsi="Palatino Linotype" w:cs="Palatino Linotype"/>
        </w:rPr>
      </w:pPr>
      <w:r w:rsidRPr="00040E7E">
        <w:rPr>
          <w:rFonts w:ascii="Palatino Linotype" w:eastAsia="Palatino Linotype" w:hAnsi="Palatino Linotype" w:cs="Palatino Linotype"/>
          <w:b/>
        </w:rPr>
        <w:t>PRIMERO</w:t>
      </w:r>
      <w:r w:rsidRPr="00040E7E">
        <w:rPr>
          <w:rFonts w:ascii="Palatino Linotype" w:eastAsia="Palatino Linotype" w:hAnsi="Palatino Linotype" w:cs="Palatino Linotype"/>
        </w:rPr>
        <w:t xml:space="preserve">. Resultan parcialmente fundadas las razones o motivos de inconformidad hechos valer en el Recursos de Revisión </w:t>
      </w:r>
      <w:r w:rsidR="001D7CEC" w:rsidRPr="00040E7E">
        <w:rPr>
          <w:rFonts w:ascii="Palatino Linotype" w:eastAsia="Palatino Linotype" w:hAnsi="Palatino Linotype" w:cs="Palatino Linotype"/>
          <w:b/>
        </w:rPr>
        <w:t>12328</w:t>
      </w:r>
      <w:r w:rsidRPr="00040E7E">
        <w:rPr>
          <w:rFonts w:ascii="Palatino Linotype" w:eastAsia="Palatino Linotype" w:hAnsi="Palatino Linotype" w:cs="Palatino Linotype"/>
          <w:b/>
        </w:rPr>
        <w:t xml:space="preserve">/INFOEM/IP/RR/2025 </w:t>
      </w:r>
      <w:r w:rsidRPr="00040E7E">
        <w:rPr>
          <w:rFonts w:ascii="Palatino Linotype" w:eastAsia="Palatino Linotype" w:hAnsi="Palatino Linotype" w:cs="Palatino Linotype"/>
        </w:rPr>
        <w:t xml:space="preserve">en términos del </w:t>
      </w:r>
      <w:r w:rsidRPr="00040E7E">
        <w:rPr>
          <w:rFonts w:ascii="Palatino Linotype" w:eastAsia="Palatino Linotype" w:hAnsi="Palatino Linotype" w:cs="Palatino Linotype"/>
          <w:b/>
        </w:rPr>
        <w:t xml:space="preserve">Considerando CUARTO y QUINTO </w:t>
      </w:r>
      <w:r w:rsidRPr="00040E7E">
        <w:rPr>
          <w:rFonts w:ascii="Palatino Linotype" w:eastAsia="Palatino Linotype" w:hAnsi="Palatino Linotype" w:cs="Palatino Linotype"/>
        </w:rPr>
        <w:t>de la presente resolución.</w:t>
      </w:r>
    </w:p>
    <w:p w:rsidR="007704C1" w:rsidRPr="00040E7E" w:rsidRDefault="007704C1" w:rsidP="009716D8">
      <w:pPr>
        <w:spacing w:line="360" w:lineRule="auto"/>
        <w:ind w:right="-708"/>
        <w:jc w:val="both"/>
        <w:rPr>
          <w:rFonts w:ascii="Palatino Linotype" w:eastAsia="Palatino Linotype" w:hAnsi="Palatino Linotype" w:cs="Palatino Linotype"/>
        </w:rPr>
      </w:pPr>
    </w:p>
    <w:p w:rsidR="009716D8" w:rsidRPr="00040E7E" w:rsidRDefault="007704C1" w:rsidP="009716D8">
      <w:pPr>
        <w:spacing w:line="360" w:lineRule="auto"/>
        <w:ind w:right="-708"/>
        <w:jc w:val="both"/>
        <w:rPr>
          <w:rFonts w:ascii="Palatino Linotype" w:eastAsia="Palatino Linotype" w:hAnsi="Palatino Linotype" w:cs="Palatino Linotype"/>
        </w:rPr>
      </w:pPr>
      <w:bookmarkStart w:id="15" w:name="_heading=h.26in1rg" w:colFirst="0" w:colLast="0"/>
      <w:bookmarkEnd w:id="15"/>
      <w:r w:rsidRPr="00040E7E">
        <w:rPr>
          <w:rFonts w:ascii="Palatino Linotype" w:eastAsia="Palatino Linotype" w:hAnsi="Palatino Linotype" w:cs="Palatino Linotype"/>
          <w:b/>
        </w:rPr>
        <w:t xml:space="preserve">SEGUNDO. </w:t>
      </w:r>
      <w:r w:rsidRPr="00040E7E">
        <w:rPr>
          <w:rFonts w:ascii="Palatino Linotype" w:eastAsia="Palatino Linotype" w:hAnsi="Palatino Linotype" w:cs="Palatino Linotype"/>
          <w:color w:val="000000"/>
        </w:rPr>
        <w:t xml:space="preserve">Se </w:t>
      </w:r>
      <w:r w:rsidR="009716D8" w:rsidRPr="00040E7E">
        <w:rPr>
          <w:rFonts w:ascii="Palatino Linotype" w:eastAsia="Palatino Linotype" w:hAnsi="Palatino Linotype" w:cs="Palatino Linotype"/>
          <w:b/>
          <w:color w:val="000000"/>
        </w:rPr>
        <w:t>REVOCA</w:t>
      </w:r>
      <w:r w:rsidRPr="00040E7E">
        <w:rPr>
          <w:rFonts w:ascii="Palatino Linotype" w:eastAsia="Palatino Linotype" w:hAnsi="Palatino Linotype" w:cs="Palatino Linotype"/>
          <w:b/>
          <w:color w:val="000000"/>
        </w:rPr>
        <w:t xml:space="preserve"> </w:t>
      </w:r>
      <w:r w:rsidRPr="00040E7E">
        <w:rPr>
          <w:rFonts w:ascii="Palatino Linotype" w:eastAsia="Palatino Linotype" w:hAnsi="Palatino Linotype" w:cs="Palatino Linotype"/>
          <w:color w:val="000000"/>
        </w:rPr>
        <w:t xml:space="preserve">la respuesta emitida por el </w:t>
      </w:r>
      <w:r w:rsidR="001D7CEC" w:rsidRPr="00040E7E">
        <w:rPr>
          <w:rFonts w:ascii="Palatino Linotype" w:eastAsia="Palatino Linotype" w:hAnsi="Palatino Linotype" w:cs="Palatino Linotype"/>
          <w:b/>
          <w:color w:val="000000"/>
        </w:rPr>
        <w:t>Ayuntamiento de Tenancingo</w:t>
      </w:r>
      <w:r w:rsidRPr="00040E7E">
        <w:rPr>
          <w:rFonts w:ascii="Palatino Linotype" w:eastAsia="Palatino Linotype" w:hAnsi="Palatino Linotype" w:cs="Palatino Linotype"/>
          <w:b/>
          <w:color w:val="000000"/>
        </w:rPr>
        <w:t>,</w:t>
      </w:r>
      <w:r w:rsidRPr="00040E7E">
        <w:rPr>
          <w:rFonts w:ascii="Palatino Linotype" w:eastAsia="Palatino Linotype" w:hAnsi="Palatino Linotype" w:cs="Palatino Linotype"/>
          <w:color w:val="000000"/>
        </w:rPr>
        <w:t xml:space="preserve"> a la </w:t>
      </w:r>
      <w:r w:rsidRPr="00040E7E">
        <w:rPr>
          <w:rFonts w:ascii="Palatino Linotype" w:eastAsia="Palatino Linotype" w:hAnsi="Palatino Linotype" w:cs="Palatino Linotype"/>
        </w:rPr>
        <w:t>solicitud de información pública registrada con el número</w:t>
      </w:r>
      <w:r w:rsidRPr="00040E7E">
        <w:rPr>
          <w:rFonts w:ascii="Palatino Linotype" w:eastAsia="Palatino Linotype" w:hAnsi="Palatino Linotype" w:cs="Palatino Linotype"/>
          <w:b/>
        </w:rPr>
        <w:t xml:space="preserve"> </w:t>
      </w:r>
      <w:r w:rsidR="001D7CEC" w:rsidRPr="00040E7E">
        <w:rPr>
          <w:rFonts w:ascii="Palatino Linotype" w:eastAsia="Palatino Linotype" w:hAnsi="Palatino Linotype" w:cs="Palatino Linotype"/>
          <w:b/>
          <w:color w:val="000000"/>
        </w:rPr>
        <w:t>00634</w:t>
      </w:r>
      <w:r w:rsidRPr="00040E7E">
        <w:rPr>
          <w:rFonts w:ascii="Palatino Linotype" w:eastAsia="Palatino Linotype" w:hAnsi="Palatino Linotype" w:cs="Palatino Linotype"/>
          <w:b/>
          <w:color w:val="000000"/>
        </w:rPr>
        <w:t>/</w:t>
      </w:r>
      <w:r w:rsidR="001D7CEC" w:rsidRPr="00040E7E">
        <w:rPr>
          <w:rFonts w:ascii="Palatino Linotype" w:eastAsia="Palatino Linotype" w:hAnsi="Palatino Linotype" w:cs="Palatino Linotype"/>
          <w:b/>
          <w:color w:val="000000"/>
        </w:rPr>
        <w:t>TENANCIN</w:t>
      </w:r>
      <w:r w:rsidRPr="00040E7E">
        <w:rPr>
          <w:rFonts w:ascii="Palatino Linotype" w:eastAsia="Palatino Linotype" w:hAnsi="Palatino Linotype" w:cs="Palatino Linotype"/>
          <w:b/>
          <w:color w:val="000000"/>
        </w:rPr>
        <w:t xml:space="preserve">/IP/2025 </w:t>
      </w:r>
      <w:r w:rsidRPr="00040E7E">
        <w:rPr>
          <w:rFonts w:ascii="Palatino Linotype" w:eastAsia="Palatino Linotype" w:hAnsi="Palatino Linotype" w:cs="Palatino Linotype"/>
          <w:color w:val="000000"/>
        </w:rPr>
        <w:t xml:space="preserve">y se </w:t>
      </w:r>
      <w:r w:rsidRPr="00040E7E">
        <w:rPr>
          <w:rFonts w:ascii="Palatino Linotype" w:eastAsia="Palatino Linotype" w:hAnsi="Palatino Linotype" w:cs="Palatino Linotype"/>
          <w:b/>
          <w:color w:val="000000"/>
        </w:rPr>
        <w:t>ORDENA</w:t>
      </w:r>
      <w:r w:rsidRPr="00040E7E">
        <w:rPr>
          <w:rFonts w:ascii="Palatino Linotype" w:eastAsia="Palatino Linotype" w:hAnsi="Palatino Linotype" w:cs="Palatino Linotype"/>
          <w:color w:val="000000"/>
        </w:rPr>
        <w:t xml:space="preserve"> entregar vía Sistema de Acceso a la Información Mexiquense </w:t>
      </w:r>
      <w:r w:rsidRPr="00040E7E">
        <w:rPr>
          <w:rFonts w:ascii="Palatino Linotype" w:eastAsia="Palatino Linotype" w:hAnsi="Palatino Linotype" w:cs="Palatino Linotype"/>
          <w:b/>
          <w:color w:val="000000"/>
        </w:rPr>
        <w:t xml:space="preserve">(SAIMEX), </w:t>
      </w:r>
      <w:r w:rsidR="001D7CEC" w:rsidRPr="00040E7E">
        <w:rPr>
          <w:rFonts w:ascii="Palatino Linotype" w:eastAsia="Palatino Linotype" w:hAnsi="Palatino Linotype" w:cs="Palatino Linotype"/>
          <w:b/>
          <w:color w:val="000000"/>
        </w:rPr>
        <w:t xml:space="preserve">de ser procedente </w:t>
      </w:r>
      <w:r w:rsidR="009716D8" w:rsidRPr="00040E7E">
        <w:rPr>
          <w:rFonts w:ascii="Palatino Linotype" w:eastAsia="Palatino Linotype" w:hAnsi="Palatino Linotype" w:cs="Palatino Linotype"/>
          <w:b/>
          <w:color w:val="000000"/>
        </w:rPr>
        <w:t xml:space="preserve">en versión pública, </w:t>
      </w:r>
      <w:r w:rsidRPr="00040E7E">
        <w:rPr>
          <w:rFonts w:ascii="Palatino Linotype" w:eastAsia="Palatino Linotype" w:hAnsi="Palatino Linotype" w:cs="Palatino Linotype"/>
        </w:rPr>
        <w:t>lo siguiente:</w:t>
      </w:r>
      <w:bookmarkStart w:id="16" w:name="_heading=h.4d34og8" w:colFirst="0" w:colLast="0"/>
      <w:bookmarkEnd w:id="16"/>
    </w:p>
    <w:p w:rsidR="009716D8" w:rsidRPr="00040E7E" w:rsidRDefault="009716D8" w:rsidP="009716D8">
      <w:pPr>
        <w:spacing w:line="360" w:lineRule="auto"/>
        <w:ind w:right="-708"/>
        <w:jc w:val="both"/>
        <w:rPr>
          <w:rFonts w:ascii="Palatino Linotype" w:eastAsia="Palatino Linotype" w:hAnsi="Palatino Linotype" w:cs="Palatino Linotype"/>
        </w:rPr>
      </w:pPr>
    </w:p>
    <w:p w:rsidR="001D7CEC" w:rsidRPr="00040E7E" w:rsidRDefault="001D7CEC" w:rsidP="001D7CEC">
      <w:pPr>
        <w:pStyle w:val="Prrafodelista"/>
        <w:numPr>
          <w:ilvl w:val="0"/>
          <w:numId w:val="31"/>
        </w:numPr>
        <w:spacing w:line="360" w:lineRule="auto"/>
        <w:ind w:left="567" w:right="-141" w:hanging="207"/>
        <w:jc w:val="both"/>
        <w:rPr>
          <w:rFonts w:ascii="Palatino Linotype" w:eastAsia="Palatino Linotype" w:hAnsi="Palatino Linotype" w:cs="Palatino Linotype"/>
          <w:b/>
        </w:rPr>
      </w:pPr>
      <w:r w:rsidRPr="00040E7E">
        <w:rPr>
          <w:rFonts w:ascii="Palatino Linotype" w:eastAsia="Palatino Linotype" w:hAnsi="Palatino Linotype" w:cs="Palatino Linotype"/>
          <w:b/>
        </w:rPr>
        <w:t>E</w:t>
      </w:r>
      <w:r w:rsidRPr="00040E7E">
        <w:rPr>
          <w:rFonts w:ascii="Palatino Linotype" w:eastAsia="Calibri" w:hAnsi="Palatino Linotype" w:cs="Arial"/>
          <w:b/>
        </w:rPr>
        <w:t xml:space="preserve">l Acta de la Primera Sesión del Comité de Dictamen de Giro de 2025. </w:t>
      </w:r>
    </w:p>
    <w:p w:rsidR="009716D8" w:rsidRPr="00040E7E" w:rsidRDefault="009716D8" w:rsidP="009716D8">
      <w:pPr>
        <w:spacing w:line="360" w:lineRule="auto"/>
        <w:ind w:right="-708"/>
        <w:jc w:val="both"/>
        <w:rPr>
          <w:rFonts w:ascii="Palatino Linotype" w:eastAsia="Palatino Linotype" w:hAnsi="Palatino Linotype" w:cs="Palatino Linotype"/>
        </w:rPr>
      </w:pPr>
    </w:p>
    <w:p w:rsidR="009716D8" w:rsidRPr="00040E7E" w:rsidRDefault="007704C1" w:rsidP="009716D8">
      <w:pPr>
        <w:spacing w:line="360" w:lineRule="auto"/>
        <w:ind w:right="-708"/>
        <w:jc w:val="both"/>
        <w:rPr>
          <w:rFonts w:ascii="Palatino Linotype" w:eastAsia="Palatino Linotype" w:hAnsi="Palatino Linotype" w:cs="Palatino Linotype"/>
          <w:b/>
        </w:rPr>
      </w:pPr>
      <w:r w:rsidRPr="00040E7E">
        <w:rPr>
          <w:rFonts w:ascii="Palatino Linotype" w:eastAsia="Palatino Linotype" w:hAnsi="Palatino Linotype" w:cs="Palatino Linotype"/>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040E7E">
        <w:rPr>
          <w:rFonts w:ascii="Palatino Linotype" w:eastAsia="Palatino Linotype" w:hAnsi="Palatino Linotype" w:cs="Palatino Linotype"/>
          <w:b/>
        </w:rPr>
        <w:t>RECURRENTE.</w:t>
      </w:r>
    </w:p>
    <w:p w:rsidR="009716D8" w:rsidRPr="00040E7E" w:rsidRDefault="009716D8" w:rsidP="009716D8">
      <w:pPr>
        <w:spacing w:line="360" w:lineRule="auto"/>
        <w:ind w:right="-708"/>
        <w:jc w:val="both"/>
        <w:rPr>
          <w:rFonts w:ascii="Palatino Linotype" w:eastAsia="Palatino Linotype" w:hAnsi="Palatino Linotype" w:cs="Palatino Linotype"/>
          <w:b/>
        </w:rPr>
      </w:pPr>
    </w:p>
    <w:p w:rsidR="007704C1" w:rsidRPr="00040E7E" w:rsidRDefault="007704C1" w:rsidP="009716D8">
      <w:pPr>
        <w:tabs>
          <w:tab w:val="left" w:pos="8080"/>
        </w:tabs>
        <w:spacing w:line="360" w:lineRule="auto"/>
        <w:ind w:right="-708"/>
        <w:jc w:val="both"/>
        <w:rPr>
          <w:rFonts w:ascii="Palatino Linotype" w:eastAsia="Palatino Linotype" w:hAnsi="Palatino Linotype" w:cs="Palatino Linotype"/>
          <w:b/>
        </w:rPr>
      </w:pPr>
      <w:bookmarkStart w:id="17" w:name="_heading=h.lnxbz9" w:colFirst="0" w:colLast="0"/>
      <w:bookmarkEnd w:id="17"/>
      <w:r w:rsidRPr="00040E7E">
        <w:rPr>
          <w:rFonts w:ascii="Palatino Linotype" w:eastAsia="Palatino Linotype" w:hAnsi="Palatino Linotype" w:cs="Palatino Linotype"/>
          <w:b/>
        </w:rPr>
        <w:t xml:space="preserve">TERCERO. NOTIFÍQUESE </w:t>
      </w:r>
      <w:r w:rsidRPr="00040E7E">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40E7E">
        <w:rPr>
          <w:rFonts w:ascii="Palatino Linotype" w:eastAsia="Palatino Linotype" w:hAnsi="Palatino Linotype" w:cs="Palatino Linotype"/>
          <w:b/>
        </w:rPr>
        <w:t xml:space="preserve">dé cumplimiento a lo ordenado dentro del plazo de diez </w:t>
      </w:r>
      <w:r w:rsidRPr="00040E7E">
        <w:rPr>
          <w:rFonts w:ascii="Palatino Linotype" w:eastAsia="Palatino Linotype" w:hAnsi="Palatino Linotype" w:cs="Palatino Linotype"/>
          <w:b/>
        </w:rPr>
        <w:lastRenderedPageBreak/>
        <w:t>días hábiles,</w:t>
      </w:r>
      <w:r w:rsidRPr="00040E7E">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704C1" w:rsidRPr="00040E7E" w:rsidRDefault="007704C1" w:rsidP="009716D8">
      <w:pPr>
        <w:tabs>
          <w:tab w:val="left" w:pos="8080"/>
        </w:tabs>
        <w:spacing w:line="360" w:lineRule="auto"/>
        <w:ind w:right="-708"/>
        <w:jc w:val="both"/>
        <w:rPr>
          <w:rFonts w:ascii="Palatino Linotype" w:eastAsia="Palatino Linotype" w:hAnsi="Palatino Linotype" w:cs="Palatino Linotype"/>
        </w:rPr>
      </w:pPr>
    </w:p>
    <w:p w:rsidR="007704C1" w:rsidRPr="00040E7E" w:rsidRDefault="007704C1" w:rsidP="009716D8">
      <w:pPr>
        <w:spacing w:line="360" w:lineRule="auto"/>
        <w:ind w:right="-708"/>
        <w:jc w:val="both"/>
        <w:rPr>
          <w:rFonts w:ascii="Palatino Linotype" w:eastAsia="Palatino Linotype" w:hAnsi="Palatino Linotype" w:cs="Palatino Linotype"/>
        </w:rPr>
      </w:pPr>
      <w:r w:rsidRPr="00040E7E">
        <w:rPr>
          <w:rFonts w:ascii="Palatino Linotype" w:eastAsia="Palatino Linotype" w:hAnsi="Palatino Linotype" w:cs="Palatino Linotype"/>
          <w:b/>
        </w:rPr>
        <w:t xml:space="preserve">CUARTO. </w:t>
      </w:r>
      <w:r w:rsidRPr="00040E7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40E7E">
        <w:rPr>
          <w:rFonts w:ascii="Palatino Linotype" w:eastAsia="Palatino Linotype" w:hAnsi="Palatino Linotype" w:cs="Palatino Linotype"/>
          <w:b/>
        </w:rPr>
        <w:t>SUJETO OBLIGADO</w:t>
      </w:r>
      <w:r w:rsidRPr="00040E7E">
        <w:rPr>
          <w:rFonts w:ascii="Palatino Linotype" w:eastAsia="Palatino Linotype" w:hAnsi="Palatino Linotype" w:cs="Palatino Linotype"/>
        </w:rPr>
        <w:t xml:space="preserve"> de manera fundada y motivada, podrá solicitar una ampliación de plazo para el cumplimiento de la presente resolución.</w:t>
      </w:r>
    </w:p>
    <w:p w:rsidR="007704C1" w:rsidRPr="00040E7E" w:rsidRDefault="007704C1" w:rsidP="009716D8">
      <w:pPr>
        <w:spacing w:line="360" w:lineRule="auto"/>
        <w:ind w:right="-708"/>
        <w:jc w:val="both"/>
        <w:rPr>
          <w:rFonts w:ascii="Palatino Linotype" w:eastAsia="Palatino Linotype" w:hAnsi="Palatino Linotype" w:cs="Palatino Linotype"/>
        </w:rPr>
      </w:pPr>
    </w:p>
    <w:p w:rsidR="007704C1" w:rsidRPr="00040E7E" w:rsidRDefault="007704C1" w:rsidP="009716D8">
      <w:pPr>
        <w:tabs>
          <w:tab w:val="left" w:pos="8080"/>
        </w:tabs>
        <w:spacing w:line="360" w:lineRule="auto"/>
        <w:ind w:right="-708"/>
        <w:jc w:val="both"/>
        <w:rPr>
          <w:rFonts w:ascii="Palatino Linotype" w:eastAsia="Palatino Linotype" w:hAnsi="Palatino Linotype" w:cs="Palatino Linotype"/>
        </w:rPr>
      </w:pPr>
      <w:bookmarkStart w:id="18" w:name="_heading=h.35nkun2" w:colFirst="0" w:colLast="0"/>
      <w:bookmarkEnd w:id="18"/>
      <w:r w:rsidRPr="00040E7E">
        <w:rPr>
          <w:rFonts w:ascii="Palatino Linotype" w:eastAsia="Palatino Linotype" w:hAnsi="Palatino Linotype" w:cs="Palatino Linotype"/>
          <w:b/>
        </w:rPr>
        <w:t xml:space="preserve">QUINTO. </w:t>
      </w:r>
      <w:r w:rsidRPr="00040E7E">
        <w:rPr>
          <w:rFonts w:ascii="Palatino Linotype" w:eastAsia="Palatino Linotype" w:hAnsi="Palatino Linotype" w:cs="Palatino Linotype"/>
        </w:rPr>
        <w:t>Notifíquese a la parte</w:t>
      </w:r>
      <w:r w:rsidRPr="00040E7E">
        <w:rPr>
          <w:rFonts w:ascii="Palatino Linotype" w:eastAsia="Palatino Linotype" w:hAnsi="Palatino Linotype" w:cs="Palatino Linotype"/>
          <w:b/>
        </w:rPr>
        <w:t xml:space="preserve"> RECURRENTE</w:t>
      </w:r>
      <w:r w:rsidRPr="00040E7E">
        <w:rPr>
          <w:rFonts w:ascii="Palatino Linotype" w:eastAsia="Palatino Linotype" w:hAnsi="Palatino Linotype" w:cs="Palatino Linotype"/>
        </w:rPr>
        <w:t xml:space="preserve"> la presente resolución, vía </w:t>
      </w:r>
      <w:r w:rsidRPr="00040E7E">
        <w:rPr>
          <w:rFonts w:ascii="Palatino Linotype" w:eastAsia="Palatino Linotype" w:hAnsi="Palatino Linotype" w:cs="Palatino Linotype"/>
          <w:b/>
        </w:rPr>
        <w:t>SAIMEX.</w:t>
      </w:r>
    </w:p>
    <w:p w:rsidR="007704C1" w:rsidRPr="00040E7E" w:rsidRDefault="007704C1" w:rsidP="009716D8">
      <w:pPr>
        <w:tabs>
          <w:tab w:val="left" w:pos="8080"/>
        </w:tabs>
        <w:spacing w:line="360" w:lineRule="auto"/>
        <w:ind w:right="-708"/>
        <w:jc w:val="both"/>
        <w:rPr>
          <w:rFonts w:ascii="Palatino Linotype" w:eastAsia="Palatino Linotype" w:hAnsi="Palatino Linotype" w:cs="Palatino Linotype"/>
        </w:rPr>
      </w:pPr>
    </w:p>
    <w:p w:rsidR="00FA52BC" w:rsidRPr="00040E7E" w:rsidRDefault="007704C1" w:rsidP="009716D8">
      <w:pPr>
        <w:shd w:val="clear" w:color="auto" w:fill="FFFFFF"/>
        <w:spacing w:line="360" w:lineRule="auto"/>
        <w:ind w:right="-708"/>
        <w:jc w:val="both"/>
        <w:rPr>
          <w:rFonts w:ascii="Palatino Linotype" w:eastAsia="Palatino Linotype" w:hAnsi="Palatino Linotype" w:cs="Palatino Linotype"/>
        </w:rPr>
      </w:pPr>
      <w:r w:rsidRPr="00040E7E">
        <w:rPr>
          <w:rFonts w:ascii="Palatino Linotype" w:eastAsia="Palatino Linotype" w:hAnsi="Palatino Linotype" w:cs="Palatino Linotype"/>
          <w:b/>
        </w:rPr>
        <w:t>SEXTO.</w:t>
      </w:r>
      <w:r w:rsidRPr="00040E7E">
        <w:rPr>
          <w:rFonts w:ascii="Palatino Linotype" w:eastAsia="Palatino Linotype" w:hAnsi="Palatino Linotype" w:cs="Palatino Linotype"/>
        </w:rPr>
        <w:t xml:space="preserve"> Se hace del conocimiento de la parte</w:t>
      </w:r>
      <w:r w:rsidRPr="00040E7E">
        <w:rPr>
          <w:rFonts w:ascii="Palatino Linotype" w:eastAsia="Palatino Linotype" w:hAnsi="Palatino Linotype" w:cs="Palatino Linotype"/>
          <w:b/>
        </w:rPr>
        <w:t xml:space="preserve"> RECURRENTE</w:t>
      </w:r>
      <w:r w:rsidRPr="00040E7E">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A52BC" w:rsidRPr="00040E7E" w:rsidRDefault="00FA52BC" w:rsidP="009716D8">
      <w:pPr>
        <w:shd w:val="clear" w:color="auto" w:fill="FFFFFF"/>
        <w:ind w:right="-708"/>
        <w:jc w:val="both"/>
        <w:rPr>
          <w:rFonts w:ascii="Palatino Linotype" w:hAnsi="Palatino Linotype"/>
          <w:lang w:val="es-ES" w:eastAsia="es-MX"/>
        </w:rPr>
      </w:pPr>
    </w:p>
    <w:p w:rsidR="00FA52BC" w:rsidRPr="00040E7E" w:rsidRDefault="00FA52BC" w:rsidP="009716D8">
      <w:pPr>
        <w:pBdr>
          <w:top w:val="nil"/>
          <w:left w:val="nil"/>
          <w:bottom w:val="nil"/>
          <w:right w:val="nil"/>
          <w:between w:val="nil"/>
        </w:pBdr>
        <w:spacing w:line="360" w:lineRule="auto"/>
        <w:ind w:right="-708"/>
        <w:jc w:val="both"/>
        <w:rPr>
          <w:rFonts w:ascii="Palatino Linotype" w:hAnsi="Palatino Linotype"/>
        </w:rPr>
      </w:pPr>
      <w:r w:rsidRPr="00040E7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0F746A" w:rsidRPr="00040E7E">
        <w:rPr>
          <w:rFonts w:ascii="Palatino Linotype" w:hAnsi="Palatino Linotype"/>
        </w:rPr>
        <w:t>LA PRIMERA</w:t>
      </w:r>
      <w:r w:rsidR="00A47C74" w:rsidRPr="00040E7E">
        <w:rPr>
          <w:rFonts w:ascii="Palatino Linotype" w:hAnsi="Palatino Linotype"/>
        </w:rPr>
        <w:t xml:space="preserve"> </w:t>
      </w:r>
      <w:r w:rsidRPr="00040E7E">
        <w:rPr>
          <w:rFonts w:ascii="Palatino Linotype" w:hAnsi="Palatino Linotype"/>
        </w:rPr>
        <w:t xml:space="preserve">SESIÓN ORDINARIA CELEBRADA EL </w:t>
      </w:r>
      <w:r w:rsidR="000F746A" w:rsidRPr="00040E7E">
        <w:rPr>
          <w:rFonts w:ascii="Palatino Linotype" w:hAnsi="Palatino Linotype"/>
        </w:rPr>
        <w:lastRenderedPageBreak/>
        <w:t>CATORCE (14</w:t>
      </w:r>
      <w:r w:rsidR="00D50EE7" w:rsidRPr="00040E7E">
        <w:rPr>
          <w:rFonts w:ascii="Palatino Linotype" w:hAnsi="Palatino Linotype"/>
        </w:rPr>
        <w:t xml:space="preserve">) DE </w:t>
      </w:r>
      <w:r w:rsidR="000F746A" w:rsidRPr="00040E7E">
        <w:rPr>
          <w:rFonts w:ascii="Palatino Linotype" w:hAnsi="Palatino Linotype"/>
        </w:rPr>
        <w:t>ENERO DE DOS MIL VEINTISÉIS</w:t>
      </w:r>
      <w:r w:rsidRPr="00040E7E">
        <w:rPr>
          <w:rFonts w:ascii="Palatino Linotype" w:hAnsi="Palatino Linotype"/>
        </w:rPr>
        <w:t>, ANTE EL SECRETARIO TÉCNICO DEL PLENO ALEXIS TAPIA RAMÍREZ</w:t>
      </w:r>
      <w:r w:rsidR="000F746A" w:rsidRPr="00040E7E">
        <w:rPr>
          <w:rFonts w:ascii="Palatino Linotype" w:hAnsi="Palatino Linotype"/>
        </w:rPr>
        <w:t>.</w:t>
      </w:r>
    </w:p>
    <w:p w:rsidR="00FA52BC" w:rsidRPr="00040E7E" w:rsidRDefault="00FA52BC" w:rsidP="00FA52BC">
      <w:pPr>
        <w:spacing w:line="360" w:lineRule="auto"/>
        <w:ind w:right="49"/>
        <w:jc w:val="both"/>
        <w:rPr>
          <w:rFonts w:ascii="Palatino Linotype" w:hAnsi="Palatino Linotype"/>
          <w:b/>
          <w:bCs/>
        </w:rPr>
      </w:pPr>
    </w:p>
    <w:p w:rsidR="0026080A" w:rsidRPr="00040E7E" w:rsidRDefault="0026080A" w:rsidP="00FA52BC">
      <w:pPr>
        <w:spacing w:line="360" w:lineRule="auto"/>
        <w:ind w:right="49"/>
        <w:jc w:val="both"/>
        <w:rPr>
          <w:rFonts w:ascii="Palatino Linotype" w:hAnsi="Palatino Linotype"/>
          <w:b/>
          <w:bCs/>
        </w:rPr>
      </w:pPr>
    </w:p>
    <w:p w:rsidR="0026080A" w:rsidRPr="00040E7E" w:rsidRDefault="0026080A" w:rsidP="00FA52BC">
      <w:pPr>
        <w:spacing w:line="360" w:lineRule="auto"/>
        <w:ind w:right="49"/>
        <w:jc w:val="both"/>
        <w:rPr>
          <w:rFonts w:ascii="Palatino Linotype" w:hAnsi="Palatino Linotype"/>
          <w:b/>
          <w:bCs/>
        </w:rPr>
      </w:pPr>
    </w:p>
    <w:p w:rsidR="0026080A" w:rsidRPr="00040E7E" w:rsidRDefault="0026080A" w:rsidP="00FA52BC">
      <w:pPr>
        <w:spacing w:line="360" w:lineRule="auto"/>
        <w:ind w:right="49"/>
        <w:jc w:val="both"/>
        <w:rPr>
          <w:rFonts w:ascii="Palatino Linotype" w:hAnsi="Palatino Linotype"/>
          <w:b/>
          <w:bCs/>
        </w:rPr>
      </w:pPr>
    </w:p>
    <w:p w:rsidR="0026080A" w:rsidRPr="00040E7E" w:rsidRDefault="0026080A" w:rsidP="00FA52BC">
      <w:pPr>
        <w:spacing w:line="360" w:lineRule="auto"/>
        <w:ind w:right="49"/>
        <w:jc w:val="both"/>
        <w:rPr>
          <w:rFonts w:ascii="Palatino Linotype" w:hAnsi="Palatino Linotype"/>
          <w:b/>
          <w:bCs/>
        </w:rPr>
      </w:pPr>
    </w:p>
    <w:p w:rsidR="0026080A" w:rsidRPr="00040E7E" w:rsidRDefault="0026080A" w:rsidP="00FA52BC">
      <w:pPr>
        <w:spacing w:line="360" w:lineRule="auto"/>
        <w:ind w:right="49"/>
        <w:jc w:val="both"/>
        <w:rPr>
          <w:rFonts w:ascii="Palatino Linotype" w:hAnsi="Palatino Linotype"/>
          <w:b/>
          <w:bCs/>
        </w:rPr>
      </w:pPr>
    </w:p>
    <w:p w:rsidR="0026080A" w:rsidRPr="00040E7E" w:rsidRDefault="0026080A" w:rsidP="00FA52BC">
      <w:pPr>
        <w:spacing w:line="360" w:lineRule="auto"/>
        <w:ind w:right="49"/>
        <w:jc w:val="both"/>
        <w:rPr>
          <w:rFonts w:ascii="Palatino Linotype" w:hAnsi="Palatino Linotype"/>
          <w:b/>
          <w:bCs/>
        </w:rPr>
      </w:pPr>
    </w:p>
    <w:p w:rsidR="0026080A" w:rsidRPr="00040E7E" w:rsidRDefault="0026080A" w:rsidP="00FA52BC">
      <w:pPr>
        <w:spacing w:line="360" w:lineRule="auto"/>
        <w:ind w:right="49"/>
        <w:jc w:val="both"/>
        <w:rPr>
          <w:rFonts w:ascii="Palatino Linotype" w:hAnsi="Palatino Linotype"/>
          <w:b/>
          <w:bCs/>
        </w:rPr>
      </w:pPr>
    </w:p>
    <w:p w:rsidR="0026080A" w:rsidRPr="00040E7E" w:rsidRDefault="0026080A" w:rsidP="00FA52BC">
      <w:pPr>
        <w:spacing w:line="360" w:lineRule="auto"/>
        <w:ind w:right="49"/>
        <w:jc w:val="both"/>
        <w:rPr>
          <w:rFonts w:ascii="Palatino Linotype" w:hAnsi="Palatino Linotype"/>
          <w:b/>
          <w:bCs/>
        </w:rPr>
      </w:pPr>
    </w:p>
    <w:p w:rsidR="0026080A" w:rsidRPr="00040E7E" w:rsidRDefault="0026080A" w:rsidP="00FA52BC">
      <w:pPr>
        <w:spacing w:line="360" w:lineRule="auto"/>
        <w:ind w:right="49"/>
        <w:jc w:val="both"/>
        <w:rPr>
          <w:rFonts w:ascii="Palatino Linotype" w:hAnsi="Palatino Linotype"/>
          <w:b/>
          <w:bCs/>
        </w:rPr>
      </w:pPr>
    </w:p>
    <w:p w:rsidR="00FA52BC" w:rsidRPr="00040E7E" w:rsidRDefault="00FA52BC" w:rsidP="00FA52BC">
      <w:pPr>
        <w:spacing w:line="360" w:lineRule="auto"/>
        <w:ind w:right="49"/>
        <w:jc w:val="both"/>
        <w:rPr>
          <w:rFonts w:ascii="Palatino Linotype" w:hAnsi="Palatino Linotype"/>
          <w:b/>
          <w:bCs/>
        </w:rPr>
      </w:pPr>
    </w:p>
    <w:p w:rsidR="00FA52BC" w:rsidRPr="00040E7E" w:rsidRDefault="00FA52BC" w:rsidP="00FA52BC">
      <w:pPr>
        <w:spacing w:line="360" w:lineRule="auto"/>
        <w:ind w:right="34"/>
        <w:jc w:val="both"/>
        <w:rPr>
          <w:rFonts w:ascii="Palatino Linotype" w:eastAsia="Palatino Linotype" w:hAnsi="Palatino Linotype" w:cs="Palatino Linotype"/>
          <w:color w:val="000000"/>
        </w:rPr>
      </w:pPr>
      <w:bookmarkStart w:id="19" w:name="_heading=h.tyjcwt" w:colFirst="0" w:colLast="0"/>
      <w:bookmarkEnd w:id="7"/>
      <w:bookmarkEnd w:id="19"/>
    </w:p>
    <w:p w:rsidR="006827B8" w:rsidRPr="00040E7E" w:rsidRDefault="006827B8" w:rsidP="00FA52BC">
      <w:pPr>
        <w:spacing w:line="360" w:lineRule="auto"/>
        <w:ind w:right="34"/>
        <w:jc w:val="both"/>
        <w:rPr>
          <w:rFonts w:ascii="Palatino Linotype" w:eastAsia="Palatino Linotype" w:hAnsi="Palatino Linotype" w:cs="Palatino Linotype"/>
          <w:color w:val="000000"/>
        </w:rPr>
      </w:pPr>
    </w:p>
    <w:p w:rsidR="007F0605" w:rsidRDefault="007F0605" w:rsidP="0068443A">
      <w:pPr>
        <w:spacing w:line="360" w:lineRule="auto"/>
        <w:ind w:right="-992"/>
        <w:rPr>
          <w:rFonts w:ascii="Palatino Linotype" w:eastAsia="Palatino Linotype" w:hAnsi="Palatino Linotype" w:cs="Palatino Linotype"/>
        </w:rPr>
      </w:pPr>
    </w:p>
    <w:p w:rsidR="00040E7E" w:rsidRDefault="00040E7E" w:rsidP="0068443A">
      <w:pPr>
        <w:spacing w:line="360" w:lineRule="auto"/>
        <w:ind w:right="-992"/>
        <w:rPr>
          <w:rFonts w:ascii="Palatino Linotype" w:eastAsia="Palatino Linotype" w:hAnsi="Palatino Linotype" w:cs="Palatino Linotype"/>
        </w:rPr>
      </w:pPr>
    </w:p>
    <w:p w:rsidR="00040E7E" w:rsidRDefault="00040E7E" w:rsidP="0068443A">
      <w:pPr>
        <w:spacing w:line="360" w:lineRule="auto"/>
        <w:ind w:right="-992"/>
        <w:rPr>
          <w:rFonts w:ascii="Palatino Linotype" w:eastAsia="Palatino Linotype" w:hAnsi="Palatino Linotype" w:cs="Palatino Linotype"/>
        </w:rPr>
      </w:pPr>
    </w:p>
    <w:p w:rsidR="00040E7E" w:rsidRDefault="00040E7E" w:rsidP="0068443A">
      <w:pPr>
        <w:spacing w:line="360" w:lineRule="auto"/>
        <w:ind w:right="-992"/>
        <w:rPr>
          <w:rFonts w:ascii="Palatino Linotype" w:eastAsia="Palatino Linotype" w:hAnsi="Palatino Linotype" w:cs="Palatino Linotype"/>
        </w:rPr>
      </w:pPr>
    </w:p>
    <w:p w:rsidR="00040E7E" w:rsidRDefault="00040E7E" w:rsidP="0068443A">
      <w:pPr>
        <w:spacing w:line="360" w:lineRule="auto"/>
        <w:ind w:right="-992"/>
        <w:rPr>
          <w:rFonts w:ascii="Palatino Linotype" w:eastAsia="Palatino Linotype" w:hAnsi="Palatino Linotype" w:cs="Palatino Linotype"/>
        </w:rPr>
      </w:pPr>
    </w:p>
    <w:p w:rsidR="00040E7E" w:rsidRDefault="00040E7E" w:rsidP="0068443A">
      <w:pPr>
        <w:spacing w:line="360" w:lineRule="auto"/>
        <w:ind w:right="-992"/>
        <w:rPr>
          <w:rFonts w:ascii="Palatino Linotype" w:eastAsia="Palatino Linotype" w:hAnsi="Palatino Linotype" w:cs="Palatino Linotype"/>
        </w:rPr>
      </w:pPr>
    </w:p>
    <w:p w:rsidR="00040E7E" w:rsidRDefault="00040E7E" w:rsidP="0068443A">
      <w:pPr>
        <w:spacing w:line="360" w:lineRule="auto"/>
        <w:ind w:right="-992"/>
        <w:rPr>
          <w:rFonts w:ascii="Palatino Linotype" w:eastAsia="Palatino Linotype" w:hAnsi="Palatino Linotype" w:cs="Palatino Linotype"/>
        </w:rPr>
      </w:pPr>
    </w:p>
    <w:p w:rsidR="00040E7E" w:rsidRDefault="00040E7E" w:rsidP="0068443A">
      <w:pPr>
        <w:spacing w:line="360" w:lineRule="auto"/>
        <w:ind w:right="-992"/>
        <w:rPr>
          <w:rFonts w:ascii="Palatino Linotype" w:eastAsia="Palatino Linotype" w:hAnsi="Palatino Linotype" w:cs="Palatino Linotype"/>
        </w:rPr>
      </w:pPr>
    </w:p>
    <w:p w:rsidR="00040E7E" w:rsidRDefault="00040E7E" w:rsidP="0068443A">
      <w:pPr>
        <w:spacing w:line="360" w:lineRule="auto"/>
        <w:ind w:right="-992"/>
        <w:rPr>
          <w:rFonts w:ascii="Palatino Linotype" w:eastAsia="Palatino Linotype" w:hAnsi="Palatino Linotype" w:cs="Palatino Linotype"/>
        </w:rPr>
      </w:pPr>
    </w:p>
    <w:p w:rsidR="00040E7E" w:rsidRDefault="00040E7E" w:rsidP="0068443A">
      <w:pPr>
        <w:spacing w:line="360" w:lineRule="auto"/>
        <w:ind w:right="-992"/>
        <w:rPr>
          <w:rFonts w:ascii="Palatino Linotype" w:eastAsia="Palatino Linotype" w:hAnsi="Palatino Linotype" w:cs="Palatino Linotype"/>
        </w:rPr>
      </w:pPr>
    </w:p>
    <w:p w:rsidR="00040E7E" w:rsidRDefault="00040E7E" w:rsidP="0068443A">
      <w:pPr>
        <w:spacing w:line="360" w:lineRule="auto"/>
        <w:ind w:right="-992"/>
        <w:rPr>
          <w:rFonts w:ascii="Palatino Linotype" w:eastAsia="Palatino Linotype" w:hAnsi="Palatino Linotype" w:cs="Palatino Linotype"/>
        </w:rPr>
      </w:pPr>
    </w:p>
    <w:p w:rsidR="00040E7E" w:rsidRDefault="00040E7E" w:rsidP="0068443A">
      <w:pPr>
        <w:spacing w:line="360" w:lineRule="auto"/>
        <w:ind w:right="-992"/>
        <w:rPr>
          <w:rFonts w:ascii="Palatino Linotype" w:eastAsia="Palatino Linotype" w:hAnsi="Palatino Linotype" w:cs="Palatino Linotype"/>
        </w:rPr>
      </w:pPr>
    </w:p>
    <w:p w:rsidR="00040E7E" w:rsidRPr="00040E7E" w:rsidRDefault="00040E7E" w:rsidP="0068443A">
      <w:pPr>
        <w:spacing w:line="360" w:lineRule="auto"/>
        <w:ind w:right="-992"/>
        <w:rPr>
          <w:rFonts w:ascii="Palatino Linotype" w:eastAsia="Palatino Linotype" w:hAnsi="Palatino Linotype" w:cs="Palatino Linotype"/>
        </w:rPr>
      </w:pPr>
    </w:p>
    <w:sectPr w:rsidR="00040E7E" w:rsidRPr="00040E7E" w:rsidSect="00040E7E">
      <w:headerReference w:type="even" r:id="rId9"/>
      <w:headerReference w:type="default" r:id="rId10"/>
      <w:footerReference w:type="default" r:id="rId11"/>
      <w:headerReference w:type="first" r:id="rId12"/>
      <w:footerReference w:type="first" r:id="rId13"/>
      <w:pgSz w:w="12240" w:h="15840"/>
      <w:pgMar w:top="2269" w:right="1467"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5A6" w:rsidRDefault="00F375A6">
      <w:r>
        <w:separator/>
      </w:r>
    </w:p>
  </w:endnote>
  <w:endnote w:type="continuationSeparator" w:id="0">
    <w:p w:rsidR="00F375A6" w:rsidRDefault="00F3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E7C" w:rsidRPr="00040E7E" w:rsidRDefault="00BB6E7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040E7E">
      <w:rPr>
        <w:rFonts w:ascii="Palatino Linotype" w:eastAsia="Palatino Linotype" w:hAnsi="Palatino Linotype" w:cs="Palatino Linotype"/>
        <w:color w:val="000000"/>
        <w:sz w:val="22"/>
        <w:szCs w:val="20"/>
      </w:rPr>
      <w:t xml:space="preserve">Página </w:t>
    </w:r>
    <w:r w:rsidRPr="00040E7E">
      <w:rPr>
        <w:rFonts w:ascii="Palatino Linotype" w:eastAsia="Palatino Linotype" w:hAnsi="Palatino Linotype" w:cs="Palatino Linotype"/>
        <w:color w:val="000000"/>
        <w:sz w:val="22"/>
        <w:szCs w:val="20"/>
      </w:rPr>
      <w:fldChar w:fldCharType="begin"/>
    </w:r>
    <w:r w:rsidRPr="00040E7E">
      <w:rPr>
        <w:rFonts w:ascii="Palatino Linotype" w:eastAsia="Palatino Linotype" w:hAnsi="Palatino Linotype" w:cs="Palatino Linotype"/>
        <w:color w:val="000000"/>
        <w:sz w:val="22"/>
        <w:szCs w:val="20"/>
      </w:rPr>
      <w:instrText>PAGE</w:instrText>
    </w:r>
    <w:r w:rsidRPr="00040E7E">
      <w:rPr>
        <w:rFonts w:ascii="Palatino Linotype" w:eastAsia="Palatino Linotype" w:hAnsi="Palatino Linotype" w:cs="Palatino Linotype"/>
        <w:color w:val="000000"/>
        <w:sz w:val="22"/>
        <w:szCs w:val="20"/>
      </w:rPr>
      <w:fldChar w:fldCharType="separate"/>
    </w:r>
    <w:r w:rsidR="008A292E">
      <w:rPr>
        <w:rFonts w:ascii="Palatino Linotype" w:eastAsia="Palatino Linotype" w:hAnsi="Palatino Linotype" w:cs="Palatino Linotype"/>
        <w:noProof/>
        <w:color w:val="000000"/>
        <w:sz w:val="22"/>
        <w:szCs w:val="20"/>
      </w:rPr>
      <w:t>22</w:t>
    </w:r>
    <w:r w:rsidRPr="00040E7E">
      <w:rPr>
        <w:rFonts w:ascii="Palatino Linotype" w:eastAsia="Palatino Linotype" w:hAnsi="Palatino Linotype" w:cs="Palatino Linotype"/>
        <w:color w:val="000000"/>
        <w:sz w:val="22"/>
        <w:szCs w:val="20"/>
      </w:rPr>
      <w:fldChar w:fldCharType="end"/>
    </w:r>
    <w:r w:rsidRPr="00040E7E">
      <w:rPr>
        <w:rFonts w:ascii="Palatino Linotype" w:eastAsia="Palatino Linotype" w:hAnsi="Palatino Linotype" w:cs="Palatino Linotype"/>
        <w:color w:val="000000"/>
        <w:sz w:val="22"/>
        <w:szCs w:val="20"/>
      </w:rPr>
      <w:t xml:space="preserve"> de </w:t>
    </w:r>
    <w:r w:rsidRPr="00040E7E">
      <w:rPr>
        <w:rFonts w:ascii="Palatino Linotype" w:eastAsia="Palatino Linotype" w:hAnsi="Palatino Linotype" w:cs="Palatino Linotype"/>
        <w:color w:val="000000"/>
        <w:sz w:val="22"/>
        <w:szCs w:val="20"/>
      </w:rPr>
      <w:fldChar w:fldCharType="begin"/>
    </w:r>
    <w:r w:rsidRPr="00040E7E">
      <w:rPr>
        <w:rFonts w:ascii="Palatino Linotype" w:eastAsia="Palatino Linotype" w:hAnsi="Palatino Linotype" w:cs="Palatino Linotype"/>
        <w:color w:val="000000"/>
        <w:sz w:val="22"/>
        <w:szCs w:val="20"/>
      </w:rPr>
      <w:instrText>NUMPAGES</w:instrText>
    </w:r>
    <w:r w:rsidRPr="00040E7E">
      <w:rPr>
        <w:rFonts w:ascii="Palatino Linotype" w:eastAsia="Palatino Linotype" w:hAnsi="Palatino Linotype" w:cs="Palatino Linotype"/>
        <w:color w:val="000000"/>
        <w:sz w:val="22"/>
        <w:szCs w:val="20"/>
      </w:rPr>
      <w:fldChar w:fldCharType="separate"/>
    </w:r>
    <w:r w:rsidR="008A292E">
      <w:rPr>
        <w:rFonts w:ascii="Palatino Linotype" w:eastAsia="Palatino Linotype" w:hAnsi="Palatino Linotype" w:cs="Palatino Linotype"/>
        <w:noProof/>
        <w:color w:val="000000"/>
        <w:sz w:val="22"/>
        <w:szCs w:val="20"/>
      </w:rPr>
      <w:t>23</w:t>
    </w:r>
    <w:r w:rsidRPr="00040E7E">
      <w:rPr>
        <w:rFonts w:ascii="Palatino Linotype" w:eastAsia="Palatino Linotype" w:hAnsi="Palatino Linotype" w:cs="Palatino Linotype"/>
        <w:color w:val="000000"/>
        <w:sz w:val="22"/>
        <w:szCs w:val="20"/>
      </w:rPr>
      <w:fldChar w:fldCharType="end"/>
    </w:r>
  </w:p>
  <w:p w:rsidR="00BB6E7C" w:rsidRDefault="00BB6E7C">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E7C" w:rsidRPr="00040E7E" w:rsidRDefault="00BB6E7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040E7E">
      <w:rPr>
        <w:rFonts w:ascii="Palatino Linotype" w:eastAsia="Palatino Linotype" w:hAnsi="Palatino Linotype" w:cs="Palatino Linotype"/>
        <w:color w:val="000000"/>
        <w:sz w:val="22"/>
        <w:szCs w:val="20"/>
      </w:rPr>
      <w:t xml:space="preserve">Página </w:t>
    </w:r>
    <w:r w:rsidRPr="00040E7E">
      <w:rPr>
        <w:rFonts w:ascii="Palatino Linotype" w:eastAsia="Palatino Linotype" w:hAnsi="Palatino Linotype" w:cs="Palatino Linotype"/>
        <w:color w:val="000000"/>
        <w:sz w:val="22"/>
        <w:szCs w:val="20"/>
      </w:rPr>
      <w:fldChar w:fldCharType="begin"/>
    </w:r>
    <w:r w:rsidRPr="00040E7E">
      <w:rPr>
        <w:rFonts w:ascii="Palatino Linotype" w:eastAsia="Palatino Linotype" w:hAnsi="Palatino Linotype" w:cs="Palatino Linotype"/>
        <w:color w:val="000000"/>
        <w:sz w:val="22"/>
        <w:szCs w:val="20"/>
      </w:rPr>
      <w:instrText>PAGE</w:instrText>
    </w:r>
    <w:r w:rsidRPr="00040E7E">
      <w:rPr>
        <w:rFonts w:ascii="Palatino Linotype" w:eastAsia="Palatino Linotype" w:hAnsi="Palatino Linotype" w:cs="Palatino Linotype"/>
        <w:color w:val="000000"/>
        <w:sz w:val="22"/>
        <w:szCs w:val="20"/>
      </w:rPr>
      <w:fldChar w:fldCharType="separate"/>
    </w:r>
    <w:r w:rsidR="008A292E">
      <w:rPr>
        <w:rFonts w:ascii="Palatino Linotype" w:eastAsia="Palatino Linotype" w:hAnsi="Palatino Linotype" w:cs="Palatino Linotype"/>
        <w:noProof/>
        <w:color w:val="000000"/>
        <w:sz w:val="22"/>
        <w:szCs w:val="20"/>
      </w:rPr>
      <w:t>1</w:t>
    </w:r>
    <w:r w:rsidRPr="00040E7E">
      <w:rPr>
        <w:rFonts w:ascii="Palatino Linotype" w:eastAsia="Palatino Linotype" w:hAnsi="Palatino Linotype" w:cs="Palatino Linotype"/>
        <w:color w:val="000000"/>
        <w:sz w:val="22"/>
        <w:szCs w:val="20"/>
      </w:rPr>
      <w:fldChar w:fldCharType="end"/>
    </w:r>
    <w:r w:rsidRPr="00040E7E">
      <w:rPr>
        <w:rFonts w:ascii="Palatino Linotype" w:eastAsia="Palatino Linotype" w:hAnsi="Palatino Linotype" w:cs="Palatino Linotype"/>
        <w:color w:val="000000"/>
        <w:sz w:val="22"/>
        <w:szCs w:val="20"/>
      </w:rPr>
      <w:t xml:space="preserve"> de </w:t>
    </w:r>
    <w:r w:rsidRPr="00040E7E">
      <w:rPr>
        <w:rFonts w:ascii="Palatino Linotype" w:eastAsia="Palatino Linotype" w:hAnsi="Palatino Linotype" w:cs="Palatino Linotype"/>
        <w:color w:val="000000"/>
        <w:sz w:val="22"/>
        <w:szCs w:val="20"/>
      </w:rPr>
      <w:fldChar w:fldCharType="begin"/>
    </w:r>
    <w:r w:rsidRPr="00040E7E">
      <w:rPr>
        <w:rFonts w:ascii="Palatino Linotype" w:eastAsia="Palatino Linotype" w:hAnsi="Palatino Linotype" w:cs="Palatino Linotype"/>
        <w:color w:val="000000"/>
        <w:sz w:val="22"/>
        <w:szCs w:val="20"/>
      </w:rPr>
      <w:instrText>NUMPAGES</w:instrText>
    </w:r>
    <w:r w:rsidRPr="00040E7E">
      <w:rPr>
        <w:rFonts w:ascii="Palatino Linotype" w:eastAsia="Palatino Linotype" w:hAnsi="Palatino Linotype" w:cs="Palatino Linotype"/>
        <w:color w:val="000000"/>
        <w:sz w:val="22"/>
        <w:szCs w:val="20"/>
      </w:rPr>
      <w:fldChar w:fldCharType="separate"/>
    </w:r>
    <w:r w:rsidR="008A292E">
      <w:rPr>
        <w:rFonts w:ascii="Palatino Linotype" w:eastAsia="Palatino Linotype" w:hAnsi="Palatino Linotype" w:cs="Palatino Linotype"/>
        <w:noProof/>
        <w:color w:val="000000"/>
        <w:sz w:val="22"/>
        <w:szCs w:val="20"/>
      </w:rPr>
      <w:t>23</w:t>
    </w:r>
    <w:r w:rsidRPr="00040E7E">
      <w:rPr>
        <w:rFonts w:ascii="Palatino Linotype" w:eastAsia="Palatino Linotype" w:hAnsi="Palatino Linotype" w:cs="Palatino Linotype"/>
        <w:color w:val="000000"/>
        <w:sz w:val="22"/>
        <w:szCs w:val="20"/>
      </w:rPr>
      <w:fldChar w:fldCharType="end"/>
    </w:r>
  </w:p>
  <w:p w:rsidR="00BB6E7C" w:rsidRDefault="00BB6E7C">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5A6" w:rsidRDefault="00F375A6">
      <w:r>
        <w:separator/>
      </w:r>
    </w:p>
  </w:footnote>
  <w:footnote w:type="continuationSeparator" w:id="0">
    <w:p w:rsidR="00F375A6" w:rsidRDefault="00F37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E7C" w:rsidRDefault="00F375A6">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
      <w:tblW w:w="6804" w:type="dxa"/>
      <w:tblInd w:w="3261" w:type="dxa"/>
      <w:tblLayout w:type="fixed"/>
      <w:tblLook w:val="0400" w:firstRow="0" w:lastRow="0" w:firstColumn="0" w:lastColumn="0" w:noHBand="0" w:noVBand="1"/>
    </w:tblPr>
    <w:tblGrid>
      <w:gridCol w:w="2976"/>
      <w:gridCol w:w="3828"/>
    </w:tblGrid>
    <w:tr w:rsidR="00BB6E7C" w:rsidTr="00040E7E">
      <w:trPr>
        <w:trHeight w:val="227"/>
      </w:trPr>
      <w:tc>
        <w:tcPr>
          <w:tcW w:w="2976" w:type="dxa"/>
          <w:vAlign w:val="center"/>
        </w:tcPr>
        <w:p w:rsidR="00BB6E7C" w:rsidRPr="00040E7E" w:rsidRDefault="00BB6E7C">
          <w:pPr>
            <w:ind w:right="34"/>
            <w:jc w:val="right"/>
            <w:rPr>
              <w:rFonts w:ascii="Palatino Linotype" w:eastAsia="Palatino Linotype" w:hAnsi="Palatino Linotype" w:cs="Palatino Linotype"/>
              <w:b/>
              <w:szCs w:val="22"/>
            </w:rPr>
          </w:pPr>
          <w:r w:rsidRPr="00040E7E">
            <w:rPr>
              <w:rFonts w:ascii="Palatino Linotype" w:eastAsia="Palatino Linotype" w:hAnsi="Palatino Linotype" w:cs="Palatino Linotype"/>
              <w:b/>
              <w:szCs w:val="22"/>
            </w:rPr>
            <w:t>Recurso de Revisión:</w:t>
          </w:r>
        </w:p>
      </w:tc>
      <w:tc>
        <w:tcPr>
          <w:tcW w:w="3828" w:type="dxa"/>
          <w:vAlign w:val="center"/>
        </w:tcPr>
        <w:p w:rsidR="00BB6E7C" w:rsidRPr="00040E7E" w:rsidRDefault="00BB6E7C" w:rsidP="00040E7E">
          <w:pPr>
            <w:pBdr>
              <w:top w:val="nil"/>
              <w:left w:val="nil"/>
              <w:bottom w:val="nil"/>
              <w:right w:val="nil"/>
              <w:between w:val="nil"/>
            </w:pBdr>
            <w:tabs>
              <w:tab w:val="right" w:pos="8838"/>
            </w:tabs>
            <w:rPr>
              <w:rFonts w:ascii="Palatino Linotype" w:eastAsia="Palatino Linotype" w:hAnsi="Palatino Linotype" w:cs="Palatino Linotype"/>
              <w:color w:val="000000"/>
              <w:szCs w:val="22"/>
            </w:rPr>
          </w:pPr>
          <w:r w:rsidRPr="00040E7E">
            <w:rPr>
              <w:rFonts w:ascii="Palatino Linotype" w:eastAsia="Palatino Linotype" w:hAnsi="Palatino Linotype" w:cs="Palatino Linotype"/>
              <w:bCs/>
              <w:color w:val="000000"/>
              <w:szCs w:val="22"/>
            </w:rPr>
            <w:t>12328/INFOEM/IP/RR/2025</w:t>
          </w:r>
        </w:p>
      </w:tc>
    </w:tr>
    <w:tr w:rsidR="00BB6E7C" w:rsidTr="00040E7E">
      <w:trPr>
        <w:trHeight w:val="242"/>
      </w:trPr>
      <w:tc>
        <w:tcPr>
          <w:tcW w:w="2976" w:type="dxa"/>
          <w:vAlign w:val="center"/>
        </w:tcPr>
        <w:p w:rsidR="00BB6E7C" w:rsidRPr="00040E7E" w:rsidRDefault="00BB6E7C">
          <w:pPr>
            <w:ind w:right="34"/>
            <w:jc w:val="right"/>
            <w:rPr>
              <w:rFonts w:ascii="Palatino Linotype" w:eastAsia="Palatino Linotype" w:hAnsi="Palatino Linotype" w:cs="Palatino Linotype"/>
              <w:b/>
              <w:szCs w:val="22"/>
            </w:rPr>
          </w:pPr>
          <w:r w:rsidRPr="00040E7E">
            <w:rPr>
              <w:rFonts w:ascii="Palatino Linotype" w:eastAsia="Palatino Linotype" w:hAnsi="Palatino Linotype" w:cs="Palatino Linotype"/>
              <w:b/>
              <w:szCs w:val="22"/>
            </w:rPr>
            <w:t>Sujeto Obligado:</w:t>
          </w:r>
        </w:p>
      </w:tc>
      <w:tc>
        <w:tcPr>
          <w:tcW w:w="3828" w:type="dxa"/>
          <w:vAlign w:val="center"/>
        </w:tcPr>
        <w:p w:rsidR="00BB6E7C" w:rsidRPr="00040E7E" w:rsidRDefault="00BB6E7C" w:rsidP="00040E7E">
          <w:pPr>
            <w:pBdr>
              <w:top w:val="nil"/>
              <w:left w:val="nil"/>
              <w:bottom w:val="nil"/>
              <w:right w:val="nil"/>
              <w:between w:val="nil"/>
            </w:pBdr>
            <w:tabs>
              <w:tab w:val="right" w:pos="8838"/>
            </w:tabs>
            <w:ind w:right="212"/>
            <w:rPr>
              <w:rFonts w:ascii="Palatino Linotype" w:eastAsia="Palatino Linotype" w:hAnsi="Palatino Linotype" w:cs="Palatino Linotype"/>
              <w:color w:val="000000"/>
              <w:szCs w:val="22"/>
            </w:rPr>
          </w:pPr>
          <w:r w:rsidRPr="00040E7E">
            <w:rPr>
              <w:rFonts w:ascii="Palatino Linotype" w:eastAsia="Palatino Linotype" w:hAnsi="Palatino Linotype" w:cs="Palatino Linotype"/>
              <w:color w:val="000000"/>
              <w:szCs w:val="22"/>
            </w:rPr>
            <w:t>Ayuntamiento de Tenancingo</w:t>
          </w:r>
        </w:p>
      </w:tc>
    </w:tr>
    <w:tr w:rsidR="00BB6E7C" w:rsidTr="00040E7E">
      <w:trPr>
        <w:trHeight w:val="342"/>
      </w:trPr>
      <w:tc>
        <w:tcPr>
          <w:tcW w:w="2976" w:type="dxa"/>
          <w:vAlign w:val="center"/>
        </w:tcPr>
        <w:p w:rsidR="00BB6E7C" w:rsidRPr="00040E7E" w:rsidRDefault="00BB6E7C">
          <w:pPr>
            <w:ind w:right="34"/>
            <w:jc w:val="right"/>
            <w:rPr>
              <w:rFonts w:ascii="Palatino Linotype" w:eastAsia="Palatino Linotype" w:hAnsi="Palatino Linotype" w:cs="Palatino Linotype"/>
              <w:b/>
              <w:szCs w:val="22"/>
            </w:rPr>
          </w:pPr>
          <w:r w:rsidRPr="00040E7E">
            <w:rPr>
              <w:rFonts w:ascii="Palatino Linotype" w:eastAsia="Palatino Linotype" w:hAnsi="Palatino Linotype" w:cs="Palatino Linotype"/>
              <w:b/>
              <w:szCs w:val="22"/>
            </w:rPr>
            <w:t>Comisionada Ponente:</w:t>
          </w:r>
        </w:p>
      </w:tc>
      <w:tc>
        <w:tcPr>
          <w:tcW w:w="3828" w:type="dxa"/>
          <w:vAlign w:val="center"/>
        </w:tcPr>
        <w:p w:rsidR="00BB6E7C" w:rsidRPr="00040E7E" w:rsidRDefault="00BB6E7C" w:rsidP="00040E7E">
          <w:pPr>
            <w:pBdr>
              <w:top w:val="nil"/>
              <w:left w:val="nil"/>
              <w:bottom w:val="nil"/>
              <w:right w:val="nil"/>
              <w:between w:val="nil"/>
            </w:pBdr>
            <w:tabs>
              <w:tab w:val="right" w:pos="8838"/>
            </w:tabs>
            <w:rPr>
              <w:rFonts w:ascii="Palatino Linotype" w:eastAsia="Palatino Linotype" w:hAnsi="Palatino Linotype" w:cs="Palatino Linotype"/>
              <w:color w:val="000000"/>
              <w:szCs w:val="22"/>
            </w:rPr>
          </w:pPr>
          <w:r w:rsidRPr="00040E7E">
            <w:rPr>
              <w:rFonts w:ascii="Palatino Linotype" w:eastAsia="Palatino Linotype" w:hAnsi="Palatino Linotype" w:cs="Palatino Linotype"/>
              <w:color w:val="000000"/>
              <w:szCs w:val="22"/>
            </w:rPr>
            <w:t>María del Rosario Mejía Ayala</w:t>
          </w:r>
        </w:p>
      </w:tc>
    </w:tr>
  </w:tbl>
  <w:p w:rsidR="00BB6E7C" w:rsidRDefault="00F375A6">
    <w:pPr>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78.2pt;margin-top:-12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229" w:type="dxa"/>
      <w:tblInd w:w="2835" w:type="dxa"/>
      <w:tblLayout w:type="fixed"/>
      <w:tblLook w:val="0400" w:firstRow="0" w:lastRow="0" w:firstColumn="0" w:lastColumn="0" w:noHBand="0" w:noVBand="1"/>
    </w:tblPr>
    <w:tblGrid>
      <w:gridCol w:w="2977"/>
      <w:gridCol w:w="4252"/>
    </w:tblGrid>
    <w:tr w:rsidR="00BB6E7C" w:rsidTr="00040E7E">
      <w:trPr>
        <w:trHeight w:val="227"/>
      </w:trPr>
      <w:tc>
        <w:tcPr>
          <w:tcW w:w="2977" w:type="dxa"/>
          <w:vAlign w:val="center"/>
        </w:tcPr>
        <w:p w:rsidR="00BB6E7C" w:rsidRPr="00040E7E" w:rsidRDefault="00BB6E7C">
          <w:pPr>
            <w:jc w:val="right"/>
            <w:rPr>
              <w:rFonts w:ascii="Palatino Linotype" w:eastAsia="Palatino Linotype" w:hAnsi="Palatino Linotype" w:cs="Palatino Linotype"/>
              <w:b/>
              <w:szCs w:val="22"/>
            </w:rPr>
          </w:pPr>
          <w:r w:rsidRPr="00040E7E">
            <w:rPr>
              <w:rFonts w:ascii="Palatino Linotype" w:eastAsia="Palatino Linotype" w:hAnsi="Palatino Linotype" w:cs="Palatino Linotype"/>
              <w:b/>
              <w:szCs w:val="22"/>
            </w:rPr>
            <w:t>Recurso de Revisión:</w:t>
          </w:r>
        </w:p>
      </w:tc>
      <w:tc>
        <w:tcPr>
          <w:tcW w:w="4252" w:type="dxa"/>
          <w:vAlign w:val="center"/>
        </w:tcPr>
        <w:p w:rsidR="00BB6E7C" w:rsidRPr="00040E7E" w:rsidRDefault="00BB6E7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040E7E">
            <w:rPr>
              <w:rFonts w:ascii="Palatino Linotype" w:eastAsia="Palatino Linotype" w:hAnsi="Palatino Linotype" w:cs="Palatino Linotype"/>
              <w:bCs/>
              <w:color w:val="000000"/>
              <w:szCs w:val="22"/>
            </w:rPr>
            <w:t>12328/INFOEM/IP/RR/2025</w:t>
          </w:r>
        </w:p>
      </w:tc>
    </w:tr>
    <w:tr w:rsidR="00BB6E7C" w:rsidTr="00040E7E">
      <w:trPr>
        <w:trHeight w:val="242"/>
      </w:trPr>
      <w:tc>
        <w:tcPr>
          <w:tcW w:w="2977" w:type="dxa"/>
          <w:vAlign w:val="center"/>
        </w:tcPr>
        <w:p w:rsidR="00BB6E7C" w:rsidRPr="00040E7E" w:rsidRDefault="00BB6E7C">
          <w:pPr>
            <w:jc w:val="right"/>
            <w:rPr>
              <w:rFonts w:ascii="Palatino Linotype" w:eastAsia="Palatino Linotype" w:hAnsi="Palatino Linotype" w:cs="Palatino Linotype"/>
              <w:b/>
              <w:szCs w:val="22"/>
            </w:rPr>
          </w:pPr>
          <w:r w:rsidRPr="00040E7E">
            <w:rPr>
              <w:rFonts w:ascii="Palatino Linotype" w:eastAsia="Palatino Linotype" w:hAnsi="Palatino Linotype" w:cs="Palatino Linotype"/>
              <w:b/>
              <w:szCs w:val="22"/>
            </w:rPr>
            <w:t>Recurrente:</w:t>
          </w:r>
        </w:p>
      </w:tc>
      <w:tc>
        <w:tcPr>
          <w:tcW w:w="4252" w:type="dxa"/>
        </w:tcPr>
        <w:p w:rsidR="00BB6E7C" w:rsidRPr="00040E7E" w:rsidRDefault="008A292E">
          <w:pPr>
            <w:rPr>
              <w:rFonts w:ascii="Palatino Linotype" w:hAnsi="Palatino Linotype"/>
              <w:szCs w:val="22"/>
            </w:rPr>
          </w:pPr>
          <w:r>
            <w:rPr>
              <w:rFonts w:ascii="Palatino Linotype" w:eastAsia="Palatino Linotype" w:hAnsi="Palatino Linotype" w:cs="Palatino Linotype"/>
              <w:bCs/>
              <w:szCs w:val="22"/>
            </w:rPr>
            <w:t>XXXX</w:t>
          </w:r>
        </w:p>
      </w:tc>
    </w:tr>
    <w:tr w:rsidR="00BB6E7C" w:rsidTr="00040E7E">
      <w:trPr>
        <w:trHeight w:val="342"/>
      </w:trPr>
      <w:tc>
        <w:tcPr>
          <w:tcW w:w="2977" w:type="dxa"/>
          <w:vAlign w:val="center"/>
        </w:tcPr>
        <w:p w:rsidR="00BB6E7C" w:rsidRPr="00040E7E" w:rsidRDefault="00BB6E7C">
          <w:pPr>
            <w:jc w:val="right"/>
            <w:rPr>
              <w:rFonts w:ascii="Palatino Linotype" w:eastAsia="Palatino Linotype" w:hAnsi="Palatino Linotype" w:cs="Palatino Linotype"/>
              <w:b/>
              <w:szCs w:val="22"/>
            </w:rPr>
          </w:pPr>
          <w:r w:rsidRPr="00040E7E">
            <w:rPr>
              <w:rFonts w:ascii="Palatino Linotype" w:eastAsia="Palatino Linotype" w:hAnsi="Palatino Linotype" w:cs="Palatino Linotype"/>
              <w:b/>
              <w:szCs w:val="22"/>
            </w:rPr>
            <w:t>Sujeto Obligado:</w:t>
          </w:r>
        </w:p>
      </w:tc>
      <w:tc>
        <w:tcPr>
          <w:tcW w:w="4252" w:type="dxa"/>
          <w:vAlign w:val="center"/>
        </w:tcPr>
        <w:p w:rsidR="00BB6E7C" w:rsidRPr="00040E7E" w:rsidRDefault="00BB6E7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Cs w:val="22"/>
            </w:rPr>
          </w:pPr>
          <w:r w:rsidRPr="00040E7E">
            <w:rPr>
              <w:rFonts w:ascii="Palatino Linotype" w:eastAsia="Palatino Linotype" w:hAnsi="Palatino Linotype" w:cs="Palatino Linotype"/>
              <w:color w:val="000000"/>
              <w:szCs w:val="22"/>
            </w:rPr>
            <w:t>Ayuntamiento de Tenancingo</w:t>
          </w:r>
        </w:p>
      </w:tc>
    </w:tr>
    <w:tr w:rsidR="00BB6E7C" w:rsidTr="00040E7E">
      <w:trPr>
        <w:trHeight w:val="342"/>
      </w:trPr>
      <w:tc>
        <w:tcPr>
          <w:tcW w:w="2977" w:type="dxa"/>
          <w:vAlign w:val="center"/>
        </w:tcPr>
        <w:p w:rsidR="00BB6E7C" w:rsidRPr="00040E7E" w:rsidRDefault="00BB6E7C">
          <w:pPr>
            <w:jc w:val="right"/>
            <w:rPr>
              <w:rFonts w:ascii="Palatino Linotype" w:eastAsia="Palatino Linotype" w:hAnsi="Palatino Linotype" w:cs="Palatino Linotype"/>
              <w:b/>
              <w:szCs w:val="22"/>
            </w:rPr>
          </w:pPr>
          <w:r w:rsidRPr="00040E7E">
            <w:rPr>
              <w:rFonts w:ascii="Palatino Linotype" w:eastAsia="Palatino Linotype" w:hAnsi="Palatino Linotype" w:cs="Palatino Linotype"/>
              <w:b/>
              <w:szCs w:val="22"/>
            </w:rPr>
            <w:t>Comisionada Ponente:</w:t>
          </w:r>
        </w:p>
      </w:tc>
      <w:tc>
        <w:tcPr>
          <w:tcW w:w="4252" w:type="dxa"/>
          <w:vAlign w:val="center"/>
        </w:tcPr>
        <w:p w:rsidR="00BB6E7C" w:rsidRPr="00040E7E" w:rsidRDefault="00BB6E7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040E7E">
            <w:rPr>
              <w:rFonts w:ascii="Palatino Linotype" w:eastAsia="Palatino Linotype" w:hAnsi="Palatino Linotype" w:cs="Palatino Linotype"/>
              <w:color w:val="000000"/>
              <w:szCs w:val="22"/>
            </w:rPr>
            <w:t>María del Rosario Mejía Ayala</w:t>
          </w:r>
        </w:p>
      </w:tc>
    </w:tr>
  </w:tbl>
  <w:p w:rsidR="00BB6E7C" w:rsidRDefault="00F375A6">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84.55pt;margin-top:-122.3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70E"/>
    <w:multiLevelType w:val="hybridMultilevel"/>
    <w:tmpl w:val="2AAA0B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7613EB3"/>
    <w:multiLevelType w:val="multilevel"/>
    <w:tmpl w:val="19CAB29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056DC"/>
    <w:multiLevelType w:val="multilevel"/>
    <w:tmpl w:val="1130A9B6"/>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E0831"/>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8039B"/>
    <w:multiLevelType w:val="multilevel"/>
    <w:tmpl w:val="18503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CB087A"/>
    <w:multiLevelType w:val="hybridMultilevel"/>
    <w:tmpl w:val="C9E4B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1D7C5CA6"/>
    <w:multiLevelType w:val="multilevel"/>
    <w:tmpl w:val="46AA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737F8"/>
    <w:multiLevelType w:val="multilevel"/>
    <w:tmpl w:val="CDD01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963DA"/>
    <w:multiLevelType w:val="multilevel"/>
    <w:tmpl w:val="B6F0BF78"/>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6E0074"/>
    <w:multiLevelType w:val="multilevel"/>
    <w:tmpl w:val="FD206A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13E6758"/>
    <w:multiLevelType w:val="multilevel"/>
    <w:tmpl w:val="790C312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9A0632F"/>
    <w:multiLevelType w:val="hybridMultilevel"/>
    <w:tmpl w:val="B39ABF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3" w15:restartNumberingAfterBreak="0">
    <w:nsid w:val="3E771C05"/>
    <w:multiLevelType w:val="hybridMultilevel"/>
    <w:tmpl w:val="21A401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5" w15:restartNumberingAfterBreak="0">
    <w:nsid w:val="49CD7694"/>
    <w:multiLevelType w:val="multilevel"/>
    <w:tmpl w:val="DAC2C7B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51206E6F"/>
    <w:multiLevelType w:val="hybridMultilevel"/>
    <w:tmpl w:val="BED22C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8200C8C"/>
    <w:multiLevelType w:val="multilevel"/>
    <w:tmpl w:val="0E74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CD4B02"/>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2A1933"/>
    <w:multiLevelType w:val="multilevel"/>
    <w:tmpl w:val="D97620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5" w15:restartNumberingAfterBreak="0">
    <w:nsid w:val="6FB07F24"/>
    <w:multiLevelType w:val="multilevel"/>
    <w:tmpl w:val="AEC0A0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6" w15:restartNumberingAfterBreak="0">
    <w:nsid w:val="74AE1110"/>
    <w:multiLevelType w:val="multilevel"/>
    <w:tmpl w:val="790C312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7F8A248A"/>
    <w:multiLevelType w:val="hybridMultilevel"/>
    <w:tmpl w:val="F4424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14"/>
  </w:num>
  <w:num w:numId="3">
    <w:abstractNumId w:val="35"/>
  </w:num>
  <w:num w:numId="4">
    <w:abstractNumId w:val="16"/>
  </w:num>
  <w:num w:numId="5">
    <w:abstractNumId w:val="25"/>
  </w:num>
  <w:num w:numId="6">
    <w:abstractNumId w:val="7"/>
  </w:num>
  <w:num w:numId="7">
    <w:abstractNumId w:val="34"/>
  </w:num>
  <w:num w:numId="8">
    <w:abstractNumId w:val="10"/>
  </w:num>
  <w:num w:numId="9">
    <w:abstractNumId w:val="0"/>
  </w:num>
  <w:num w:numId="10">
    <w:abstractNumId w:val="37"/>
  </w:num>
  <w:num w:numId="11">
    <w:abstractNumId w:val="22"/>
  </w:num>
  <w:num w:numId="12">
    <w:abstractNumId w:val="26"/>
  </w:num>
  <w:num w:numId="13">
    <w:abstractNumId w:val="31"/>
  </w:num>
  <w:num w:numId="14">
    <w:abstractNumId w:val="5"/>
  </w:num>
  <w:num w:numId="15">
    <w:abstractNumId w:val="33"/>
  </w:num>
  <w:num w:numId="16">
    <w:abstractNumId w:val="6"/>
  </w:num>
  <w:num w:numId="17">
    <w:abstractNumId w:val="38"/>
  </w:num>
  <w:num w:numId="18">
    <w:abstractNumId w:val="27"/>
  </w:num>
  <w:num w:numId="19">
    <w:abstractNumId w:val="8"/>
  </w:num>
  <w:num w:numId="20">
    <w:abstractNumId w:val="1"/>
  </w:num>
  <w:num w:numId="21">
    <w:abstractNumId w:val="2"/>
  </w:num>
  <w:num w:numId="22">
    <w:abstractNumId w:val="15"/>
  </w:num>
  <w:num w:numId="23">
    <w:abstractNumId w:val="24"/>
  </w:num>
  <w:num w:numId="24">
    <w:abstractNumId w:val="9"/>
  </w:num>
  <w:num w:numId="25">
    <w:abstractNumId w:val="11"/>
  </w:num>
  <w:num w:numId="26">
    <w:abstractNumId w:val="3"/>
  </w:num>
  <w:num w:numId="27">
    <w:abstractNumId w:val="28"/>
  </w:num>
  <w:num w:numId="28">
    <w:abstractNumId w:val="13"/>
  </w:num>
  <w:num w:numId="29">
    <w:abstractNumId w:val="39"/>
  </w:num>
  <w:num w:numId="30">
    <w:abstractNumId w:val="18"/>
  </w:num>
  <w:num w:numId="31">
    <w:abstractNumId w:val="21"/>
  </w:num>
  <w:num w:numId="32">
    <w:abstractNumId w:val="4"/>
  </w:num>
  <w:num w:numId="33">
    <w:abstractNumId w:val="30"/>
  </w:num>
  <w:num w:numId="34">
    <w:abstractNumId w:val="19"/>
  </w:num>
  <w:num w:numId="35">
    <w:abstractNumId w:val="20"/>
  </w:num>
  <w:num w:numId="36">
    <w:abstractNumId w:val="32"/>
  </w:num>
  <w:num w:numId="37">
    <w:abstractNumId w:val="12"/>
  </w:num>
  <w:num w:numId="38">
    <w:abstractNumId w:val="29"/>
  </w:num>
  <w:num w:numId="39">
    <w:abstractNumId w:val="17"/>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05"/>
    <w:rsid w:val="0001174B"/>
    <w:rsid w:val="00040E7E"/>
    <w:rsid w:val="00050708"/>
    <w:rsid w:val="00054FCA"/>
    <w:rsid w:val="00071E47"/>
    <w:rsid w:val="000A7AD7"/>
    <w:rsid w:val="000C17B2"/>
    <w:rsid w:val="000D06F1"/>
    <w:rsid w:val="000F746A"/>
    <w:rsid w:val="001239B5"/>
    <w:rsid w:val="00135D60"/>
    <w:rsid w:val="001725E3"/>
    <w:rsid w:val="00186EA7"/>
    <w:rsid w:val="001911F0"/>
    <w:rsid w:val="001D7CEC"/>
    <w:rsid w:val="001E042D"/>
    <w:rsid w:val="001E109C"/>
    <w:rsid w:val="001F11A5"/>
    <w:rsid w:val="001F3566"/>
    <w:rsid w:val="002001B9"/>
    <w:rsid w:val="00210821"/>
    <w:rsid w:val="00253635"/>
    <w:rsid w:val="0026080A"/>
    <w:rsid w:val="00262780"/>
    <w:rsid w:val="002767E0"/>
    <w:rsid w:val="00286290"/>
    <w:rsid w:val="002D7C06"/>
    <w:rsid w:val="002E31E6"/>
    <w:rsid w:val="00301111"/>
    <w:rsid w:val="003307C2"/>
    <w:rsid w:val="0034771B"/>
    <w:rsid w:val="003B0F22"/>
    <w:rsid w:val="003D343A"/>
    <w:rsid w:val="003E6604"/>
    <w:rsid w:val="004251BC"/>
    <w:rsid w:val="004521AF"/>
    <w:rsid w:val="004C2802"/>
    <w:rsid w:val="00564C9A"/>
    <w:rsid w:val="005A2A4B"/>
    <w:rsid w:val="00624CCB"/>
    <w:rsid w:val="00625E94"/>
    <w:rsid w:val="0066123A"/>
    <w:rsid w:val="006827B8"/>
    <w:rsid w:val="0068443A"/>
    <w:rsid w:val="006A658C"/>
    <w:rsid w:val="00755590"/>
    <w:rsid w:val="00761FC4"/>
    <w:rsid w:val="007704C1"/>
    <w:rsid w:val="00781B34"/>
    <w:rsid w:val="007F0605"/>
    <w:rsid w:val="007F712A"/>
    <w:rsid w:val="008164EF"/>
    <w:rsid w:val="00884E94"/>
    <w:rsid w:val="008A292E"/>
    <w:rsid w:val="008F4EAA"/>
    <w:rsid w:val="00900C90"/>
    <w:rsid w:val="00924537"/>
    <w:rsid w:val="00940F62"/>
    <w:rsid w:val="0096234D"/>
    <w:rsid w:val="009716D8"/>
    <w:rsid w:val="00975087"/>
    <w:rsid w:val="009C6889"/>
    <w:rsid w:val="00A1243B"/>
    <w:rsid w:val="00A3102E"/>
    <w:rsid w:val="00A42E88"/>
    <w:rsid w:val="00A47C74"/>
    <w:rsid w:val="00A62BA6"/>
    <w:rsid w:val="00A76465"/>
    <w:rsid w:val="00A908DD"/>
    <w:rsid w:val="00AA1704"/>
    <w:rsid w:val="00AF4484"/>
    <w:rsid w:val="00B07386"/>
    <w:rsid w:val="00B4211F"/>
    <w:rsid w:val="00B43447"/>
    <w:rsid w:val="00B759B1"/>
    <w:rsid w:val="00BB6E7C"/>
    <w:rsid w:val="00BD5881"/>
    <w:rsid w:val="00C726F0"/>
    <w:rsid w:val="00CA6A4C"/>
    <w:rsid w:val="00CB7ABF"/>
    <w:rsid w:val="00D164A6"/>
    <w:rsid w:val="00D20545"/>
    <w:rsid w:val="00D41203"/>
    <w:rsid w:val="00D50EE7"/>
    <w:rsid w:val="00D60033"/>
    <w:rsid w:val="00D80EBC"/>
    <w:rsid w:val="00D94029"/>
    <w:rsid w:val="00DD4639"/>
    <w:rsid w:val="00DE0586"/>
    <w:rsid w:val="00DE2DBA"/>
    <w:rsid w:val="00E11716"/>
    <w:rsid w:val="00E313F0"/>
    <w:rsid w:val="00E95AF5"/>
    <w:rsid w:val="00EB2227"/>
    <w:rsid w:val="00EC3C89"/>
    <w:rsid w:val="00F30DD8"/>
    <w:rsid w:val="00F375A6"/>
    <w:rsid w:val="00F563FE"/>
    <w:rsid w:val="00F704B7"/>
    <w:rsid w:val="00FA52BC"/>
    <w:rsid w:val="00FB6DBB"/>
    <w:rsid w:val="00FC63F4"/>
    <w:rsid w:val="00FC7908"/>
    <w:rsid w:val="00FE16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0D70471-8BC2-42D3-9656-45340CE6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table" w:styleId="Tablaconcuadrcula">
    <w:name w:val="Table Grid"/>
    <w:basedOn w:val="Tablanormal"/>
    <w:uiPriority w:val="39"/>
    <w:rsid w:val="001F3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247">
      <w:bodyDiv w:val="1"/>
      <w:marLeft w:val="0"/>
      <w:marRight w:val="0"/>
      <w:marTop w:val="0"/>
      <w:marBottom w:val="0"/>
      <w:divBdr>
        <w:top w:val="none" w:sz="0" w:space="0" w:color="auto"/>
        <w:left w:val="none" w:sz="0" w:space="0" w:color="auto"/>
        <w:bottom w:val="none" w:sz="0" w:space="0" w:color="auto"/>
        <w:right w:val="none" w:sz="0" w:space="0" w:color="auto"/>
      </w:divBdr>
    </w:div>
    <w:div w:id="893852210">
      <w:bodyDiv w:val="1"/>
      <w:marLeft w:val="0"/>
      <w:marRight w:val="0"/>
      <w:marTop w:val="0"/>
      <w:marBottom w:val="0"/>
      <w:divBdr>
        <w:top w:val="none" w:sz="0" w:space="0" w:color="auto"/>
        <w:left w:val="none" w:sz="0" w:space="0" w:color="auto"/>
        <w:bottom w:val="none" w:sz="0" w:space="0" w:color="auto"/>
        <w:right w:val="none" w:sz="0" w:space="0" w:color="auto"/>
      </w:divBdr>
    </w:div>
    <w:div w:id="978343066">
      <w:bodyDiv w:val="1"/>
      <w:marLeft w:val="0"/>
      <w:marRight w:val="0"/>
      <w:marTop w:val="0"/>
      <w:marBottom w:val="0"/>
      <w:divBdr>
        <w:top w:val="none" w:sz="0" w:space="0" w:color="auto"/>
        <w:left w:val="none" w:sz="0" w:space="0" w:color="auto"/>
        <w:bottom w:val="none" w:sz="0" w:space="0" w:color="auto"/>
        <w:right w:val="none" w:sz="0" w:space="0" w:color="auto"/>
      </w:divBdr>
    </w:div>
    <w:div w:id="1865972236">
      <w:bodyDiv w:val="1"/>
      <w:marLeft w:val="0"/>
      <w:marRight w:val="0"/>
      <w:marTop w:val="0"/>
      <w:marBottom w:val="0"/>
      <w:divBdr>
        <w:top w:val="none" w:sz="0" w:space="0" w:color="auto"/>
        <w:left w:val="none" w:sz="0" w:space="0" w:color="auto"/>
        <w:bottom w:val="none" w:sz="0" w:space="0" w:color="auto"/>
        <w:right w:val="none" w:sz="0" w:space="0" w:color="auto"/>
      </w:divBdr>
    </w:div>
    <w:div w:id="1958564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a+GhD3E7IitL4coygLD0YD8ug==">CgMxLjAyDmguZ2JsdnZidGJ5aWU1Mg5oLmE0eXFjYmJkODgxMTINaC50Y2RmMmF4MmYyejIOaC5ldWtxdXEzMmRqZ3EyDmguZHlmODF1cDkwNmhpMg5oLmR0YWx6OXZ1Z3BtNjIIaC5sbnhiejkyCWguNGQzNG9nODIJaC4xdDNoNXNmMgloLjM1bmt1bjIyDmgudDc4cXg1emMwc3c2OAByITEteWJCVHZ6bk94OTdhc2xic005MWJCaDVEaFN0dFdOMA==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132C96-025B-46A7-B11B-5362DA53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5751</Words>
  <Characters>31636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10</cp:revision>
  <cp:lastPrinted>2026-01-16T16:34:00Z</cp:lastPrinted>
  <dcterms:created xsi:type="dcterms:W3CDTF">2025-12-18T20:12:00Z</dcterms:created>
  <dcterms:modified xsi:type="dcterms:W3CDTF">2026-01-29T23:13:00Z</dcterms:modified>
</cp:coreProperties>
</file>