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CC9" w:rsidRPr="00317535" w:rsidRDefault="00B623AE">
      <w:pPr>
        <w:spacing w:line="360" w:lineRule="auto"/>
        <w:jc w:val="both"/>
        <w:rPr>
          <w:rFonts w:ascii="Palatino Linotype" w:eastAsia="Palatino Linotype" w:hAnsi="Palatino Linotype" w:cs="Palatino Linotype"/>
        </w:rPr>
      </w:pPr>
      <w:bookmarkStart w:id="0" w:name="_GoBack"/>
      <w:bookmarkEnd w:id="0"/>
      <w:r w:rsidRPr="00317535">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w:t>
      </w:r>
      <w:r w:rsidR="006B5FE8" w:rsidRPr="00317535">
        <w:rPr>
          <w:rFonts w:ascii="Palatino Linotype" w:eastAsia="Palatino Linotype" w:hAnsi="Palatino Linotype" w:cs="Palatino Linotype"/>
          <w:color w:val="000000"/>
        </w:rPr>
        <w:t>de fecha</w:t>
      </w:r>
      <w:r w:rsidRPr="00317535">
        <w:rPr>
          <w:rFonts w:ascii="Palatino Linotype" w:eastAsia="Palatino Linotype" w:hAnsi="Palatino Linotype" w:cs="Palatino Linotype"/>
          <w:color w:val="000000"/>
        </w:rPr>
        <w:t xml:space="preserve"> </w:t>
      </w:r>
      <w:r w:rsidRPr="00317535">
        <w:rPr>
          <w:rFonts w:ascii="Palatino Linotype" w:eastAsia="Palatino Linotype" w:hAnsi="Palatino Linotype" w:cs="Palatino Linotype"/>
          <w:b/>
          <w:bCs/>
        </w:rPr>
        <w:t xml:space="preserve">catorce </w:t>
      </w:r>
      <w:r w:rsidR="009B480F" w:rsidRPr="00317535">
        <w:rPr>
          <w:rFonts w:ascii="Palatino Linotype" w:eastAsia="Palatino Linotype" w:hAnsi="Palatino Linotype" w:cs="Palatino Linotype"/>
          <w:b/>
          <w:bCs/>
        </w:rPr>
        <w:t xml:space="preserve">(14) </w:t>
      </w:r>
      <w:r w:rsidRPr="00317535">
        <w:rPr>
          <w:rFonts w:ascii="Palatino Linotype" w:eastAsia="Palatino Linotype" w:hAnsi="Palatino Linotype" w:cs="Palatino Linotype"/>
          <w:b/>
          <w:bCs/>
        </w:rPr>
        <w:t>de enero de dos mil veintiséis</w:t>
      </w:r>
      <w:r w:rsidRPr="00317535">
        <w:rPr>
          <w:rFonts w:ascii="Palatino Linotype" w:eastAsia="Palatino Linotype" w:hAnsi="Palatino Linotype" w:cs="Palatino Linotype"/>
        </w:rPr>
        <w:t>.</w:t>
      </w:r>
    </w:p>
    <w:p w:rsidR="00411CC9" w:rsidRPr="00317535" w:rsidRDefault="00411CC9">
      <w:pPr>
        <w:spacing w:line="360" w:lineRule="auto"/>
        <w:jc w:val="both"/>
        <w:rPr>
          <w:rFonts w:ascii="Palatino Linotype" w:eastAsia="Palatino Linotype" w:hAnsi="Palatino Linotype" w:cs="Palatino Linotype"/>
          <w:color w:val="000000"/>
        </w:rPr>
      </w:pPr>
    </w:p>
    <w:p w:rsidR="00411CC9" w:rsidRPr="00317535" w:rsidRDefault="00B623AE">
      <w:pPr>
        <w:spacing w:line="360" w:lineRule="auto"/>
        <w:ind w:right="-28"/>
        <w:jc w:val="both"/>
        <w:rPr>
          <w:rFonts w:ascii="Palatino Linotype" w:eastAsia="Palatino Linotype" w:hAnsi="Palatino Linotype" w:cs="Palatino Linotype"/>
        </w:rPr>
      </w:pPr>
      <w:r w:rsidRPr="00317535">
        <w:rPr>
          <w:rFonts w:ascii="Palatino Linotype" w:eastAsia="Palatino Linotype" w:hAnsi="Palatino Linotype" w:cs="Palatino Linotype"/>
          <w:b/>
          <w:bCs/>
        </w:rPr>
        <w:t>VISTO</w:t>
      </w:r>
      <w:r w:rsidRPr="00317535">
        <w:rPr>
          <w:rFonts w:ascii="Palatino Linotype" w:eastAsia="Palatino Linotype" w:hAnsi="Palatino Linotype" w:cs="Palatino Linotype"/>
        </w:rPr>
        <w:t xml:space="preserve"> el expediente electrónico formado con motivo del Recurso de Revisión </w:t>
      </w:r>
      <w:r w:rsidRPr="00317535">
        <w:rPr>
          <w:rFonts w:ascii="Palatino Linotype" w:eastAsia="Palatino Linotype" w:hAnsi="Palatino Linotype" w:cs="Palatino Linotype"/>
          <w:b/>
          <w:bCs/>
        </w:rPr>
        <w:t xml:space="preserve">10333/INFOEM/IP/RR/2025, </w:t>
      </w:r>
      <w:r w:rsidRPr="00317535">
        <w:rPr>
          <w:rFonts w:ascii="Palatino Linotype" w:eastAsia="Palatino Linotype" w:hAnsi="Palatino Linotype" w:cs="Palatino Linotype"/>
        </w:rPr>
        <w:t xml:space="preserve">promovido por </w:t>
      </w:r>
      <w:r w:rsidRPr="00317535">
        <w:rPr>
          <w:rFonts w:ascii="Palatino Linotype" w:eastAsia="Palatino Linotype" w:hAnsi="Palatino Linotype" w:cs="Palatino Linotype"/>
          <w:b/>
          <w:bCs/>
        </w:rPr>
        <w:t xml:space="preserve">una persona que no proporcionó datos de identificación, </w:t>
      </w:r>
      <w:r w:rsidRPr="00317535">
        <w:rPr>
          <w:rFonts w:ascii="Palatino Linotype" w:eastAsia="Palatino Linotype" w:hAnsi="Palatino Linotype" w:cs="Palatino Linotype"/>
        </w:rPr>
        <w:t xml:space="preserve">a quien en lo sucesivo se le denominará el </w:t>
      </w:r>
      <w:r w:rsidRPr="00317535">
        <w:rPr>
          <w:rFonts w:ascii="Palatino Linotype" w:eastAsia="Palatino Linotype" w:hAnsi="Palatino Linotype" w:cs="Palatino Linotype"/>
          <w:b/>
          <w:bCs/>
        </w:rPr>
        <w:t>RECURRENTE</w:t>
      </w:r>
      <w:r w:rsidRPr="00317535">
        <w:rPr>
          <w:rFonts w:ascii="Palatino Linotype" w:eastAsia="Palatino Linotype" w:hAnsi="Palatino Linotype" w:cs="Palatino Linotype"/>
        </w:rPr>
        <w:t xml:space="preserve">, en contra de la respuesta del </w:t>
      </w:r>
      <w:r w:rsidRPr="00317535">
        <w:rPr>
          <w:rFonts w:ascii="Palatino Linotype" w:eastAsia="Palatino Linotype" w:hAnsi="Palatino Linotype" w:cs="Palatino Linotype"/>
          <w:b/>
          <w:bCs/>
        </w:rPr>
        <w:t>Ayuntamiento de Cuautitlán Izcalli,</w:t>
      </w:r>
      <w:r w:rsidRPr="00317535">
        <w:rPr>
          <w:rFonts w:ascii="Palatino Linotype" w:eastAsia="Palatino Linotype" w:hAnsi="Palatino Linotype" w:cs="Palatino Linotype"/>
        </w:rPr>
        <w:t xml:space="preserve"> en adelante el</w:t>
      </w:r>
      <w:r w:rsidRPr="00317535">
        <w:rPr>
          <w:rFonts w:ascii="Palatino Linotype" w:eastAsia="Palatino Linotype" w:hAnsi="Palatino Linotype" w:cs="Palatino Linotype"/>
          <w:b/>
          <w:bCs/>
        </w:rPr>
        <w:t xml:space="preserve"> SUJETO OBLIGADO</w:t>
      </w:r>
      <w:r w:rsidRPr="00317535">
        <w:rPr>
          <w:rFonts w:ascii="Palatino Linotype" w:eastAsia="Palatino Linotype" w:hAnsi="Palatino Linotype" w:cs="Palatino Linotype"/>
        </w:rPr>
        <w:t xml:space="preserve">, por lo que se procede a dictar la presente resolución, con base en los siguientes: </w:t>
      </w:r>
    </w:p>
    <w:p w:rsidR="00411CC9" w:rsidRPr="00317535" w:rsidRDefault="00411CC9">
      <w:pPr>
        <w:spacing w:line="360" w:lineRule="auto"/>
        <w:ind w:right="-28"/>
        <w:jc w:val="both"/>
        <w:rPr>
          <w:rFonts w:ascii="Palatino Linotype" w:eastAsia="Palatino Linotype" w:hAnsi="Palatino Linotype" w:cs="Palatino Linotype"/>
          <w:b/>
          <w:bCs/>
        </w:rPr>
      </w:pPr>
    </w:p>
    <w:p w:rsidR="00411CC9" w:rsidRPr="00317535" w:rsidRDefault="00B623AE">
      <w:pPr>
        <w:keepNext/>
        <w:keepLines/>
        <w:spacing w:line="360" w:lineRule="auto"/>
        <w:jc w:val="center"/>
        <w:rPr>
          <w:rFonts w:ascii="Palatino Linotype" w:eastAsia="Palatino Linotype" w:hAnsi="Palatino Linotype" w:cs="Palatino Linotype"/>
          <w:b/>
          <w:bCs/>
          <w:color w:val="000000"/>
        </w:rPr>
      </w:pPr>
      <w:r w:rsidRPr="00317535">
        <w:rPr>
          <w:rFonts w:ascii="Palatino Linotype" w:eastAsia="Palatino Linotype" w:hAnsi="Palatino Linotype" w:cs="Palatino Linotype"/>
          <w:b/>
          <w:bCs/>
          <w:color w:val="000000"/>
        </w:rPr>
        <w:t>A N T E C E D E N T E S</w:t>
      </w:r>
    </w:p>
    <w:p w:rsidR="00411CC9" w:rsidRPr="00317535" w:rsidRDefault="00411CC9">
      <w:pPr>
        <w:spacing w:line="360" w:lineRule="auto"/>
        <w:jc w:val="both"/>
        <w:rPr>
          <w:rFonts w:ascii="Palatino Linotype" w:eastAsia="Palatino Linotype" w:hAnsi="Palatino Linotype" w:cs="Palatino Linotype"/>
          <w:color w:val="000000"/>
        </w:rPr>
      </w:pPr>
    </w:p>
    <w:p w:rsidR="00411CC9" w:rsidRPr="00317535" w:rsidRDefault="00B623AE">
      <w:pPr>
        <w:numPr>
          <w:ilvl w:val="0"/>
          <w:numId w:val="1"/>
        </w:numPr>
        <w:spacing w:line="360" w:lineRule="auto"/>
        <w:ind w:left="0" w:right="-28" w:firstLine="0"/>
        <w:jc w:val="both"/>
        <w:rPr>
          <w:rFonts w:ascii="Palatino Linotype" w:eastAsia="Palatino Linotype" w:hAnsi="Palatino Linotype" w:cs="Palatino Linotype"/>
        </w:rPr>
      </w:pPr>
      <w:r w:rsidRPr="00317535">
        <w:rPr>
          <w:rFonts w:ascii="Palatino Linotype" w:eastAsia="Palatino Linotype" w:hAnsi="Palatino Linotype" w:cs="Palatino Linotype"/>
        </w:rPr>
        <w:t xml:space="preserve">En fecha  </w:t>
      </w:r>
      <w:r w:rsidRPr="00317535">
        <w:rPr>
          <w:rFonts w:ascii="Palatino Linotype" w:eastAsia="Palatino Linotype" w:hAnsi="Palatino Linotype" w:cs="Palatino Linotype"/>
          <w:b/>
          <w:bCs/>
        </w:rPr>
        <w:t>quince de agosto de dos mil veinticinco</w:t>
      </w:r>
      <w:r w:rsidRPr="00317535">
        <w:rPr>
          <w:rFonts w:ascii="Palatino Linotype" w:eastAsia="Palatino Linotype" w:hAnsi="Palatino Linotype" w:cs="Palatino Linotype"/>
        </w:rPr>
        <w:t xml:space="preserve"> se presentó ante el </w:t>
      </w:r>
      <w:r w:rsidRPr="00317535">
        <w:rPr>
          <w:rFonts w:ascii="Palatino Linotype" w:eastAsia="Palatino Linotype" w:hAnsi="Palatino Linotype" w:cs="Palatino Linotype"/>
          <w:b/>
          <w:bCs/>
        </w:rPr>
        <w:t xml:space="preserve">SUJETO OBLIGADO </w:t>
      </w:r>
      <w:r w:rsidRPr="00317535">
        <w:rPr>
          <w:rFonts w:ascii="Palatino Linotype" w:eastAsia="Palatino Linotype" w:hAnsi="Palatino Linotype" w:cs="Palatino Linotype"/>
        </w:rPr>
        <w:t xml:space="preserve">vía Sistema de Acceso a la Información; </w:t>
      </w:r>
      <w:r w:rsidRPr="00317535">
        <w:rPr>
          <w:rFonts w:ascii="Palatino Linotype" w:eastAsia="Palatino Linotype" w:hAnsi="Palatino Linotype" w:cs="Palatino Linotype"/>
          <w:color w:val="000000"/>
        </w:rPr>
        <w:t xml:space="preserve">(SAIMEX), la solicitud de información pública, con el número de </w:t>
      </w:r>
      <w:r w:rsidRPr="00317535">
        <w:rPr>
          <w:rFonts w:ascii="Palatino Linotype" w:eastAsia="Palatino Linotype" w:hAnsi="Palatino Linotype" w:cs="Palatino Linotype"/>
        </w:rPr>
        <w:t>expediente</w:t>
      </w:r>
      <w:r w:rsidRPr="00317535">
        <w:rPr>
          <w:rFonts w:ascii="Palatino Linotype" w:eastAsia="Palatino Linotype" w:hAnsi="Palatino Linotype" w:cs="Palatino Linotype"/>
          <w:b/>
          <w:bCs/>
        </w:rPr>
        <w:t xml:space="preserve"> 01387/CUAUTIZC/IP/2025</w:t>
      </w:r>
      <w:r w:rsidRPr="00317535">
        <w:rPr>
          <w:rFonts w:ascii="Palatino Linotype" w:eastAsia="Palatino Linotype" w:hAnsi="Palatino Linotype" w:cs="Palatino Linotype"/>
        </w:rPr>
        <w:t>, en la que se solicitó lo siguiente:</w:t>
      </w:r>
    </w:p>
    <w:p w:rsidR="00411CC9" w:rsidRPr="00317535" w:rsidRDefault="00411CC9">
      <w:pPr>
        <w:ind w:right="-28"/>
        <w:jc w:val="both"/>
        <w:rPr>
          <w:rFonts w:ascii="Palatino Linotype" w:eastAsia="Palatino Linotype" w:hAnsi="Palatino Linotype" w:cs="Palatino Linotype"/>
        </w:rPr>
      </w:pPr>
    </w:p>
    <w:p w:rsidR="00411CC9" w:rsidRPr="00317535" w:rsidRDefault="00B623AE">
      <w:pPr>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t xml:space="preserve">“solicito el listado en version publico de los nuevos puestos (en todas sus categorias) autorizados este año 2025 o lo que se les haya cobrado unicamente 2025 sin tener ningun antecedente de pago o expediente y que se pudieran considerar como nuevos.”(Sic). </w:t>
      </w:r>
    </w:p>
    <w:p w:rsidR="00411CC9" w:rsidRPr="00317535" w:rsidRDefault="00411CC9">
      <w:pPr>
        <w:pBdr>
          <w:top w:val="nil"/>
          <w:left w:val="nil"/>
          <w:bottom w:val="nil"/>
          <w:right w:val="nil"/>
          <w:between w:val="nil"/>
        </w:pBdr>
        <w:ind w:left="567" w:right="539"/>
        <w:jc w:val="both"/>
        <w:rPr>
          <w:rFonts w:ascii="Palatino Linotype" w:eastAsia="Palatino Linotype" w:hAnsi="Palatino Linotype" w:cs="Palatino Linotype"/>
          <w:color w:val="000000"/>
        </w:rPr>
      </w:pPr>
    </w:p>
    <w:p w:rsidR="00411CC9" w:rsidRPr="00317535" w:rsidRDefault="00411CC9">
      <w:pPr>
        <w:pBdr>
          <w:top w:val="nil"/>
          <w:left w:val="nil"/>
          <w:bottom w:val="nil"/>
          <w:right w:val="nil"/>
          <w:between w:val="nil"/>
        </w:pBdr>
        <w:ind w:right="-29"/>
        <w:rPr>
          <w:rFonts w:ascii="Palatino Linotype" w:eastAsia="Palatino Linotype" w:hAnsi="Palatino Linotype" w:cs="Palatino Linotype"/>
          <w:color w:val="000000"/>
        </w:rPr>
      </w:pPr>
    </w:p>
    <w:p w:rsidR="00411CC9" w:rsidRPr="00317535" w:rsidRDefault="00B623AE">
      <w:pPr>
        <w:numPr>
          <w:ilvl w:val="0"/>
          <w:numId w:val="6"/>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t xml:space="preserve">Modalidad de entrega de la información: a través del </w:t>
      </w:r>
      <w:r w:rsidRPr="00317535">
        <w:rPr>
          <w:rFonts w:ascii="Palatino Linotype" w:eastAsia="Palatino Linotype" w:hAnsi="Palatino Linotype" w:cs="Palatino Linotype"/>
          <w:b/>
          <w:bCs/>
          <w:color w:val="000000"/>
        </w:rPr>
        <w:t>SAIMEX.</w:t>
      </w:r>
    </w:p>
    <w:p w:rsidR="00411CC9" w:rsidRPr="00317535" w:rsidRDefault="00411CC9">
      <w:pPr>
        <w:spacing w:line="360" w:lineRule="auto"/>
        <w:jc w:val="both"/>
        <w:rPr>
          <w:rFonts w:ascii="Palatino Linotype" w:eastAsia="Palatino Linotype" w:hAnsi="Palatino Linotype" w:cs="Palatino Linotype"/>
          <w:color w:val="000000"/>
        </w:rPr>
      </w:pPr>
    </w:p>
    <w:p w:rsidR="00411CC9" w:rsidRPr="00317535" w:rsidRDefault="00B623AE">
      <w:pPr>
        <w:numPr>
          <w:ilvl w:val="0"/>
          <w:numId w:val="1"/>
        </w:numPr>
        <w:spacing w:line="360" w:lineRule="auto"/>
        <w:ind w:left="0" w:right="-28" w:firstLine="0"/>
        <w:jc w:val="both"/>
        <w:rPr>
          <w:rFonts w:ascii="Palatino Linotype" w:eastAsia="Palatino Linotype" w:hAnsi="Palatino Linotype" w:cs="Palatino Linotype"/>
        </w:rPr>
      </w:pPr>
      <w:r w:rsidRPr="00317535">
        <w:rPr>
          <w:rFonts w:ascii="Palatino Linotype" w:eastAsia="Palatino Linotype" w:hAnsi="Palatino Linotype" w:cs="Palatino Linotype"/>
        </w:rPr>
        <w:lastRenderedPageBreak/>
        <w:t xml:space="preserve">El uno de septiembre de dos mil veinticinco, el </w:t>
      </w:r>
      <w:r w:rsidRPr="00317535">
        <w:rPr>
          <w:rFonts w:ascii="Palatino Linotype" w:eastAsia="Palatino Linotype" w:hAnsi="Palatino Linotype" w:cs="Palatino Linotype"/>
          <w:b/>
          <w:bCs/>
        </w:rPr>
        <w:t>SUJETO OBLIGADO</w:t>
      </w:r>
      <w:r w:rsidRPr="00317535">
        <w:rPr>
          <w:rFonts w:ascii="Palatino Linotype" w:eastAsia="Palatino Linotype" w:hAnsi="Palatino Linotype" w:cs="Palatino Linotype"/>
          <w:b/>
          <w:bCs/>
          <w:i/>
          <w:iCs/>
        </w:rPr>
        <w:t xml:space="preserve"> </w:t>
      </w:r>
      <w:r w:rsidRPr="00317535">
        <w:rPr>
          <w:rFonts w:ascii="Palatino Linotype" w:eastAsia="Palatino Linotype" w:hAnsi="Palatino Linotype" w:cs="Palatino Linotype"/>
        </w:rPr>
        <w:t xml:space="preserve">dio respuesta a la solicitud de información, adjuntando dos archivos electrónicos en formato </w:t>
      </w:r>
      <w:r w:rsidRPr="00317535">
        <w:rPr>
          <w:rFonts w:ascii="Palatino Linotype" w:eastAsia="Palatino Linotype" w:hAnsi="Palatino Linotype" w:cs="Palatino Linotype"/>
          <w:i/>
          <w:iCs/>
        </w:rPr>
        <w:t>pdf</w:t>
      </w:r>
      <w:r w:rsidRPr="00317535">
        <w:rPr>
          <w:rFonts w:ascii="Palatino Linotype" w:eastAsia="Palatino Linotype" w:hAnsi="Palatino Linotype" w:cs="Palatino Linotype"/>
        </w:rPr>
        <w:t>,  que en cuanto hace a este recurso refieren lo siguiente:</w:t>
      </w:r>
    </w:p>
    <w:p w:rsidR="00411CC9" w:rsidRPr="00317535" w:rsidRDefault="00B623AE">
      <w:pPr>
        <w:tabs>
          <w:tab w:val="left" w:pos="7938"/>
        </w:tabs>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b/>
          <w:bCs/>
          <w:color w:val="000000"/>
        </w:rPr>
        <w:t xml:space="preserve">CONTESTACIÓN SAIMEX 01387.pdf: </w:t>
      </w:r>
      <w:r w:rsidRPr="00317535">
        <w:rPr>
          <w:rFonts w:ascii="Palatino Linotype" w:eastAsia="Palatino Linotype" w:hAnsi="Palatino Linotype" w:cs="Palatino Linotype"/>
          <w:i/>
          <w:iCs/>
          <w:color w:val="000000"/>
        </w:rPr>
        <w:t xml:space="preserve">Donde medularmente el titular de la Dirección de Desarrollo Económico informa que para el año 2025 no se han emitido nuevos permisos o cédulas, puestos fijos y semifijos. </w:t>
      </w:r>
    </w:p>
    <w:p w:rsidR="00411CC9" w:rsidRPr="00317535" w:rsidRDefault="00411CC9">
      <w:pPr>
        <w:tabs>
          <w:tab w:val="left" w:pos="7938"/>
        </w:tabs>
        <w:ind w:left="1134" w:right="1389"/>
        <w:jc w:val="both"/>
        <w:rPr>
          <w:rFonts w:ascii="Palatino Linotype" w:eastAsia="Palatino Linotype" w:hAnsi="Palatino Linotype" w:cs="Palatino Linotype"/>
          <w:i/>
          <w:iCs/>
          <w:color w:val="000000"/>
        </w:rPr>
      </w:pPr>
    </w:p>
    <w:p w:rsidR="00411CC9" w:rsidRPr="00317535" w:rsidRDefault="00B623AE">
      <w:pPr>
        <w:tabs>
          <w:tab w:val="left" w:pos="7938"/>
        </w:tabs>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b/>
          <w:bCs/>
          <w:color w:val="000000"/>
        </w:rPr>
        <w:t xml:space="preserve">RESPUESTA 1387.pdf: </w:t>
      </w:r>
      <w:r w:rsidRPr="00317535">
        <w:rPr>
          <w:rFonts w:ascii="Palatino Linotype" w:eastAsia="Palatino Linotype" w:hAnsi="Palatino Linotype" w:cs="Palatino Linotype"/>
          <w:i/>
          <w:iCs/>
          <w:color w:val="000000"/>
        </w:rPr>
        <w:t>Donde en esencia, el servidor público habilitado de la Dirección de Administración pone a disposición del solicitante un enlace en formato cerrado donde refiere al tabulador de sueldos y salarios.</w:t>
      </w:r>
    </w:p>
    <w:p w:rsidR="00411CC9" w:rsidRPr="00317535" w:rsidRDefault="00411CC9">
      <w:pPr>
        <w:tabs>
          <w:tab w:val="left" w:pos="7938"/>
        </w:tabs>
        <w:ind w:left="1134" w:right="1389"/>
        <w:jc w:val="both"/>
        <w:rPr>
          <w:rFonts w:ascii="Palatino Linotype" w:eastAsia="Palatino Linotype" w:hAnsi="Palatino Linotype" w:cs="Palatino Linotype"/>
          <w:i/>
          <w:iCs/>
        </w:rPr>
      </w:pPr>
    </w:p>
    <w:p w:rsidR="00411CC9" w:rsidRPr="00317535" w:rsidRDefault="00411CC9">
      <w:pPr>
        <w:ind w:right="680"/>
        <w:jc w:val="both"/>
        <w:rPr>
          <w:rFonts w:ascii="Palatino Linotype" w:eastAsia="Palatino Linotype" w:hAnsi="Palatino Linotype" w:cs="Palatino Linotype"/>
          <w:color w:val="000000"/>
        </w:rPr>
      </w:pPr>
    </w:p>
    <w:p w:rsidR="00411CC9" w:rsidRPr="00317535" w:rsidRDefault="00B623A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t xml:space="preserve">Inconforme con la respuesta emitida por el Sujeto Obligado, el Recurrente interpuso el presente recurso de revisión el </w:t>
      </w:r>
      <w:r w:rsidRPr="00317535">
        <w:rPr>
          <w:rFonts w:ascii="Palatino Linotype" w:eastAsia="Palatino Linotype" w:hAnsi="Palatino Linotype" w:cs="Palatino Linotype"/>
          <w:b/>
          <w:bCs/>
          <w:color w:val="000000"/>
        </w:rPr>
        <w:t>día dos de septiembre de dos mil veinticinco</w:t>
      </w:r>
      <w:r w:rsidRPr="00317535">
        <w:rPr>
          <w:rFonts w:ascii="Palatino Linotype" w:eastAsia="Palatino Linotype" w:hAnsi="Palatino Linotype" w:cs="Palatino Linotype"/>
          <w:color w:val="000000"/>
        </w:rPr>
        <w:t xml:space="preserve">, con el expediente número </w:t>
      </w:r>
      <w:r w:rsidRPr="00317535">
        <w:rPr>
          <w:rFonts w:ascii="Palatino Linotype" w:eastAsia="Palatino Linotype" w:hAnsi="Palatino Linotype" w:cs="Palatino Linotype"/>
          <w:b/>
          <w:bCs/>
          <w:color w:val="000000"/>
        </w:rPr>
        <w:t>10333/INFOEM/IP/RR/2025</w:t>
      </w:r>
      <w:r w:rsidRPr="00317535">
        <w:rPr>
          <w:rFonts w:ascii="Palatino Linotype" w:eastAsia="Palatino Linotype" w:hAnsi="Palatino Linotype" w:cs="Palatino Linotype"/>
          <w:color w:val="000000"/>
        </w:rPr>
        <w:t>, manifestando lo siguiente:</w:t>
      </w:r>
    </w:p>
    <w:p w:rsidR="00411CC9" w:rsidRPr="00317535" w:rsidRDefault="00411CC9">
      <w:pPr>
        <w:spacing w:line="360" w:lineRule="auto"/>
        <w:jc w:val="both"/>
        <w:rPr>
          <w:rFonts w:ascii="Palatino Linotype" w:eastAsia="Palatino Linotype" w:hAnsi="Palatino Linotype" w:cs="Palatino Linotype"/>
          <w:color w:val="000000"/>
        </w:rPr>
      </w:pPr>
    </w:p>
    <w:p w:rsidR="00411CC9" w:rsidRPr="00317535" w:rsidRDefault="006B5FE8" w:rsidP="006B5FE8">
      <w:pPr>
        <w:pStyle w:val="Prrafodelista"/>
        <w:numPr>
          <w:ilvl w:val="0"/>
          <w:numId w:val="13"/>
        </w:numPr>
        <w:ind w:right="1389"/>
        <w:jc w:val="both"/>
        <w:rPr>
          <w:rFonts w:ascii="Palatino Linotype" w:eastAsia="Palatino Linotype" w:hAnsi="Palatino Linotype" w:cs="Palatino Linotype"/>
          <w:b/>
          <w:bCs/>
          <w:sz w:val="24"/>
        </w:rPr>
      </w:pPr>
      <w:r w:rsidRPr="00317535">
        <w:rPr>
          <w:rFonts w:ascii="Palatino Linotype" w:eastAsia="Palatino Linotype" w:hAnsi="Palatino Linotype" w:cs="Palatino Linotype"/>
          <w:b/>
          <w:bCs/>
          <w:sz w:val="24"/>
        </w:rPr>
        <w:t xml:space="preserve">ACTO IMPUGNADO </w:t>
      </w:r>
    </w:p>
    <w:p w:rsidR="00411CC9" w:rsidRPr="00317535" w:rsidRDefault="00B623AE">
      <w:pPr>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t xml:space="preserve"> “</w:t>
      </w:r>
      <w:r w:rsidRPr="00317535">
        <w:rPr>
          <w:rFonts w:ascii="Palatino Linotype" w:eastAsia="Palatino Linotype" w:hAnsi="Palatino Linotype" w:cs="Palatino Linotype"/>
          <w:i/>
          <w:iCs/>
        </w:rPr>
        <w:t>solicito el listado en version publico de los nuevos puestos (en todas sus categorias) autorizados este año 2025 o lo que se les haya cobrado unicamente 2025 sin tener ningun antecedente de pago o expediente y que se pudieran considerar como nuevos.</w:t>
      </w:r>
      <w:r w:rsidRPr="00317535">
        <w:rPr>
          <w:rFonts w:ascii="Palatino Linotype" w:eastAsia="Palatino Linotype" w:hAnsi="Palatino Linotype" w:cs="Palatino Linotype"/>
          <w:i/>
          <w:iCs/>
          <w:color w:val="000000"/>
        </w:rPr>
        <w:t>” (Sic)</w:t>
      </w:r>
    </w:p>
    <w:p w:rsidR="00411CC9" w:rsidRPr="00317535" w:rsidRDefault="00411CC9">
      <w:pPr>
        <w:ind w:left="1134" w:right="1389"/>
        <w:jc w:val="both"/>
        <w:rPr>
          <w:rFonts w:ascii="Palatino Linotype" w:eastAsia="Palatino Linotype" w:hAnsi="Palatino Linotype" w:cs="Palatino Linotype"/>
          <w:b/>
          <w:bCs/>
        </w:rPr>
      </w:pPr>
    </w:p>
    <w:p w:rsidR="00411CC9" w:rsidRPr="00317535" w:rsidRDefault="006B5FE8" w:rsidP="006B5FE8">
      <w:pPr>
        <w:pStyle w:val="Prrafodelista"/>
        <w:numPr>
          <w:ilvl w:val="0"/>
          <w:numId w:val="13"/>
        </w:numPr>
        <w:ind w:right="1389"/>
        <w:jc w:val="both"/>
        <w:rPr>
          <w:rFonts w:ascii="Palatino Linotype" w:eastAsia="Palatino Linotype" w:hAnsi="Palatino Linotype" w:cs="Palatino Linotype"/>
          <w:b/>
          <w:bCs/>
          <w:sz w:val="24"/>
        </w:rPr>
      </w:pPr>
      <w:r w:rsidRPr="00317535">
        <w:rPr>
          <w:rFonts w:ascii="Palatino Linotype" w:eastAsia="Palatino Linotype" w:hAnsi="Palatino Linotype" w:cs="Palatino Linotype"/>
          <w:b/>
          <w:bCs/>
          <w:sz w:val="24"/>
        </w:rPr>
        <w:t>RAZONES O MOTIVOS DE INCONFORMIDAD</w:t>
      </w:r>
    </w:p>
    <w:p w:rsidR="00411CC9" w:rsidRPr="00317535" w:rsidRDefault="00B623AE">
      <w:pPr>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t>“LA RESPUESTA QUE PROPORCIONAN NO CORRESPONDE A LA SOLICITADO, EN VIRTUD QUE ENVIAN UN TABULADOR DE SUELDOS Y SALARIOS, INFORMACION QUE NO FUE SOLICITADA, AHORA BIEN RESPECTO A LA OTRA RESPUESTA SE REFIERE nuevos permisos o cédulas, puestos fijos y semifijos, SIN EMBARGO LO QUE SOLICITE ES EL LISTADO DE LOS QUE HAYAN COBRADO ESTE AÑO 2025 SIN QUE TUVIERA ANTEDECENTES DE PAGO Y PUEDAN CONSIDERARSE COMO NUEVOS.” (Sic)</w:t>
      </w:r>
    </w:p>
    <w:p w:rsidR="00411CC9" w:rsidRPr="00317535" w:rsidRDefault="00411CC9">
      <w:pPr>
        <w:jc w:val="both"/>
        <w:rPr>
          <w:rFonts w:ascii="Palatino Linotype" w:eastAsia="Palatino Linotype" w:hAnsi="Palatino Linotype" w:cs="Palatino Linotype"/>
          <w:i/>
          <w:iCs/>
          <w:color w:val="000000"/>
        </w:rPr>
      </w:pPr>
    </w:p>
    <w:p w:rsidR="00411CC9" w:rsidRPr="00317535" w:rsidRDefault="00B623AE">
      <w:pPr>
        <w:numPr>
          <w:ilvl w:val="0"/>
          <w:numId w:val="1"/>
        </w:numPr>
        <w:spacing w:line="360" w:lineRule="auto"/>
        <w:ind w:left="0" w:right="-28"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rPr>
        <w:lastRenderedPageBreak/>
        <w:t xml:space="preserve">Posteriormente, la Comisionada Ponente con fundamento en lo dispuesto por el artículo 185, fracción II, de la Ley de la materia, a través del acuerdo de admisión del </w:t>
      </w:r>
      <w:r w:rsidRPr="00317535">
        <w:rPr>
          <w:rFonts w:ascii="Palatino Linotype" w:eastAsia="Palatino Linotype" w:hAnsi="Palatino Linotype" w:cs="Palatino Linotype"/>
          <w:b/>
          <w:bCs/>
        </w:rPr>
        <w:t>ocho de septiembre de dos mil veinticinco</w:t>
      </w:r>
      <w:r w:rsidRPr="00317535">
        <w:rPr>
          <w:rFonts w:ascii="Palatino Linotype" w:eastAsia="Palatino Linotype" w:hAnsi="Palatino Linotype" w:cs="Palatino Linotype"/>
        </w:rPr>
        <w:t xml:space="preserve">, puso a disposición de las partes el expediente electrónico vía </w:t>
      </w:r>
      <w:r w:rsidRPr="00317535">
        <w:rPr>
          <w:rFonts w:ascii="Palatino Linotype" w:eastAsia="Palatino Linotype" w:hAnsi="Palatino Linotype" w:cs="Palatino Linotype"/>
          <w:b/>
          <w:bCs/>
        </w:rPr>
        <w:t xml:space="preserve">SAIMEX </w:t>
      </w:r>
      <w:r w:rsidRPr="00317535">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Pr="00317535">
        <w:rPr>
          <w:rFonts w:ascii="Palatino Linotype" w:eastAsia="Palatino Linotype" w:hAnsi="Palatino Linotype" w:cs="Palatino Linotype"/>
          <w:b/>
          <w:bCs/>
        </w:rPr>
        <w:t>SUJETO OBLIGADO</w:t>
      </w:r>
      <w:r w:rsidRPr="00317535">
        <w:rPr>
          <w:rFonts w:ascii="Palatino Linotype" w:eastAsia="Palatino Linotype" w:hAnsi="Palatino Linotype" w:cs="Palatino Linotype"/>
        </w:rPr>
        <w:t xml:space="preserve"> presentase el informe justificado procedente. </w:t>
      </w:r>
    </w:p>
    <w:p w:rsidR="00411CC9" w:rsidRPr="00317535" w:rsidRDefault="00411CC9">
      <w:pPr>
        <w:jc w:val="both"/>
        <w:rPr>
          <w:rFonts w:ascii="Palatino Linotype" w:eastAsia="Palatino Linotype" w:hAnsi="Palatino Linotype" w:cs="Palatino Linotype"/>
          <w:i/>
          <w:iCs/>
          <w:color w:val="000000"/>
        </w:rPr>
      </w:pPr>
    </w:p>
    <w:p w:rsidR="00411CC9" w:rsidRPr="00317535" w:rsidRDefault="00B623AE">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b/>
          <w:bCs/>
          <w:color w:val="000000"/>
        </w:rPr>
        <w:t>EL SUJETO OBLIGADO</w:t>
      </w:r>
      <w:r w:rsidRPr="00317535">
        <w:rPr>
          <w:rFonts w:ascii="Palatino Linotype" w:eastAsia="Palatino Linotype" w:hAnsi="Palatino Linotype" w:cs="Palatino Linotype"/>
          <w:color w:val="000000"/>
        </w:rPr>
        <w:t xml:space="preserve">, en fecha </w:t>
      </w:r>
      <w:r w:rsidRPr="00317535">
        <w:rPr>
          <w:rFonts w:ascii="Palatino Linotype" w:eastAsia="Palatino Linotype" w:hAnsi="Palatino Linotype" w:cs="Palatino Linotype"/>
          <w:b/>
          <w:bCs/>
          <w:color w:val="000000"/>
        </w:rPr>
        <w:t>quince de septiembre de dos mil veinticinco</w:t>
      </w:r>
      <w:r w:rsidRPr="00317535">
        <w:rPr>
          <w:rFonts w:ascii="Palatino Linotype" w:eastAsia="Palatino Linotype" w:hAnsi="Palatino Linotype" w:cs="Palatino Linotype"/>
          <w:color w:val="000000"/>
        </w:rPr>
        <w:t xml:space="preserve">, rindió Informe Justificado en un archivo electrónico, mismos que fue puesto a la vista del Recurrente mediante acuerdo de fecha </w:t>
      </w:r>
      <w:r w:rsidRPr="00317535">
        <w:rPr>
          <w:rFonts w:ascii="Palatino Linotype" w:eastAsia="Palatino Linotype" w:hAnsi="Palatino Linotype" w:cs="Palatino Linotype"/>
          <w:b/>
          <w:bCs/>
          <w:color w:val="000000"/>
        </w:rPr>
        <w:t>dieciséis de diciembre del año en curso</w:t>
      </w:r>
      <w:r w:rsidRPr="00317535">
        <w:rPr>
          <w:rFonts w:ascii="Palatino Linotype" w:eastAsia="Palatino Linotype" w:hAnsi="Palatino Linotype" w:cs="Palatino Linotype"/>
          <w:color w:val="000000"/>
        </w:rPr>
        <w:t>, en términos de la fracción III del artículo 185 de la Ley de Transparencia y Acceso a la Información Pública del Estado de México y Municipios; y  se otorgó al particular un término de tres días para manifestar lo que a su derecho conviniera;  archivos de los que se desglosa lo siguiente:</w:t>
      </w:r>
    </w:p>
    <w:p w:rsidR="00411CC9" w:rsidRPr="00317535" w:rsidRDefault="00B623AE">
      <w:pPr>
        <w:pBdr>
          <w:top w:val="nil"/>
          <w:left w:val="nil"/>
          <w:bottom w:val="nil"/>
          <w:right w:val="nil"/>
          <w:between w:val="nil"/>
        </w:pBdr>
        <w:spacing w:line="360" w:lineRule="auto"/>
        <w:ind w:left="1134" w:right="822"/>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b/>
          <w:bCs/>
          <w:color w:val="000000"/>
        </w:rPr>
        <w:t>Informe Justificado RR 010333.pdf</w:t>
      </w:r>
      <w:r w:rsidRPr="00317535">
        <w:rPr>
          <w:rFonts w:ascii="Palatino Linotype" w:eastAsia="Palatino Linotype" w:hAnsi="Palatino Linotype" w:cs="Palatino Linotype"/>
          <w:color w:val="000000"/>
        </w:rPr>
        <w:t xml:space="preserve">: </w:t>
      </w:r>
      <w:r w:rsidRPr="00317535">
        <w:rPr>
          <w:rFonts w:ascii="Palatino Linotype" w:eastAsia="Palatino Linotype" w:hAnsi="Palatino Linotype" w:cs="Palatino Linotype"/>
          <w:i/>
          <w:iCs/>
          <w:color w:val="000000"/>
        </w:rPr>
        <w:t>Donde el Sujeto Obligado ratifica su respuesta y señala que para el año 2025 no se han emitido nuevos permisos o cédulas, puestos fijos y semifijos.</w:t>
      </w:r>
    </w:p>
    <w:p w:rsidR="006B5FE8" w:rsidRPr="00317535" w:rsidRDefault="006B5FE8">
      <w:pPr>
        <w:pBdr>
          <w:top w:val="nil"/>
          <w:left w:val="nil"/>
          <w:bottom w:val="nil"/>
          <w:right w:val="nil"/>
          <w:between w:val="nil"/>
        </w:pBdr>
        <w:spacing w:line="360" w:lineRule="auto"/>
        <w:ind w:left="1134" w:right="822"/>
        <w:jc w:val="both"/>
        <w:rPr>
          <w:rFonts w:ascii="Palatino Linotype" w:eastAsia="Palatino Linotype" w:hAnsi="Palatino Linotype" w:cs="Palatino Linotype"/>
          <w:i/>
          <w:iCs/>
          <w:color w:val="000000"/>
        </w:rPr>
      </w:pPr>
    </w:p>
    <w:p w:rsidR="00411CC9" w:rsidRPr="00317535" w:rsidRDefault="00B623AE">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t xml:space="preserve">Por su parte, </w:t>
      </w:r>
      <w:r w:rsidRPr="00317535">
        <w:rPr>
          <w:rFonts w:ascii="Palatino Linotype" w:eastAsia="Palatino Linotype" w:hAnsi="Palatino Linotype" w:cs="Palatino Linotype"/>
          <w:b/>
          <w:bCs/>
          <w:color w:val="000000"/>
        </w:rPr>
        <w:t>LA RECURRENTE</w:t>
      </w:r>
      <w:r w:rsidRPr="00317535">
        <w:rPr>
          <w:rFonts w:ascii="Palatino Linotype" w:eastAsia="Palatino Linotype" w:hAnsi="Palatino Linotype" w:cs="Palatino Linotype"/>
          <w:color w:val="000000"/>
        </w:rPr>
        <w:t xml:space="preserve"> dejó de realizar manifestaciones que a su derecho convinieran y asistieran.</w:t>
      </w:r>
    </w:p>
    <w:p w:rsidR="00411CC9" w:rsidRPr="00317535" w:rsidRDefault="00411CC9">
      <w:pPr>
        <w:pBdr>
          <w:top w:val="nil"/>
          <w:left w:val="nil"/>
          <w:bottom w:val="nil"/>
          <w:right w:val="nil"/>
          <w:between w:val="nil"/>
        </w:pBdr>
        <w:spacing w:line="360" w:lineRule="auto"/>
        <w:ind w:right="-141"/>
        <w:jc w:val="both"/>
        <w:rPr>
          <w:rFonts w:ascii="Palatino Linotype" w:eastAsia="Palatino Linotype" w:hAnsi="Palatino Linotype" w:cs="Palatino Linotype"/>
          <w:color w:val="000000"/>
        </w:rPr>
      </w:pPr>
    </w:p>
    <w:p w:rsidR="00411CC9" w:rsidRPr="00317535" w:rsidRDefault="00B623AE">
      <w:pPr>
        <w:numPr>
          <w:ilvl w:val="0"/>
          <w:numId w:val="1"/>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b/>
          <w:bCs/>
          <w:color w:val="000000"/>
        </w:rPr>
      </w:pPr>
      <w:r w:rsidRPr="00317535">
        <w:rPr>
          <w:rFonts w:ascii="Palatino Linotype" w:eastAsia="Palatino Linotype" w:hAnsi="Palatino Linotype" w:cs="Palatino Linotype"/>
          <w:color w:val="000000"/>
        </w:rPr>
        <w:t xml:space="preserve">En </w:t>
      </w:r>
      <w:r w:rsidRPr="00317535">
        <w:rPr>
          <w:rFonts w:ascii="Palatino Linotype" w:eastAsia="Palatino Linotype" w:hAnsi="Palatino Linotype" w:cs="Palatino Linotype"/>
          <w:b/>
          <w:bCs/>
          <w:color w:val="000000"/>
        </w:rPr>
        <w:t>fecha dieciséis de diciembre de dos mil veinticinco</w:t>
      </w:r>
      <w:r w:rsidRPr="00317535">
        <w:rPr>
          <w:rFonts w:ascii="Palatino Linotype" w:eastAsia="Palatino Linotype" w:hAnsi="Palatino Linotype" w:cs="Palatino Linotype"/>
          <w:color w:val="000000"/>
        </w:rPr>
        <w:t>, se acordó ampliar el término para resolver el presente asunto.</w:t>
      </w:r>
    </w:p>
    <w:p w:rsidR="00411CC9" w:rsidRPr="00317535" w:rsidRDefault="00411CC9">
      <w:pPr>
        <w:pBdr>
          <w:top w:val="nil"/>
          <w:left w:val="nil"/>
          <w:bottom w:val="nil"/>
          <w:right w:val="nil"/>
          <w:between w:val="nil"/>
        </w:pBdr>
        <w:ind w:right="27"/>
        <w:rPr>
          <w:rFonts w:ascii="Palatino Linotype" w:eastAsia="Palatino Linotype" w:hAnsi="Palatino Linotype" w:cs="Palatino Linotype"/>
          <w:b/>
          <w:bCs/>
          <w:color w:val="000000"/>
        </w:rPr>
      </w:pPr>
    </w:p>
    <w:p w:rsidR="00411CC9" w:rsidRPr="00317535" w:rsidRDefault="00B623AE">
      <w:pPr>
        <w:numPr>
          <w:ilvl w:val="0"/>
          <w:numId w:val="1"/>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w:t>
      </w:r>
      <w:r w:rsidRPr="00317535">
        <w:rPr>
          <w:rFonts w:ascii="Palatino Linotype" w:eastAsia="Palatino Linotype" w:hAnsi="Palatino Linotype" w:cs="Palatino Linotype"/>
          <w:color w:val="000000"/>
        </w:rPr>
        <w:lastRenderedPageBreak/>
        <w:t>razonabilidad del plazo de resolución de asuntos conforme a los parámetros establecidos por diversos órganos jurisdiccionales federales, aplicables también en procedimientos análogos, como el que nos ocupa.</w:t>
      </w:r>
    </w:p>
    <w:p w:rsidR="00411CC9" w:rsidRPr="00317535" w:rsidRDefault="00411CC9">
      <w:pPr>
        <w:spacing w:after="280"/>
        <w:jc w:val="center"/>
        <w:rPr>
          <w:rFonts w:ascii="Palatino Linotype" w:eastAsia="Palatino Linotype" w:hAnsi="Palatino Linotype" w:cs="Palatino Linotype"/>
        </w:rPr>
      </w:pPr>
    </w:p>
    <w:p w:rsidR="00411CC9" w:rsidRPr="00317535" w:rsidRDefault="00B623AE">
      <w:pPr>
        <w:numPr>
          <w:ilvl w:val="0"/>
          <w:numId w:val="7"/>
        </w:numPr>
        <w:spacing w:line="360" w:lineRule="auto"/>
        <w:ind w:left="0" w:right="-29" w:firstLine="0"/>
        <w:jc w:val="both"/>
        <w:rPr>
          <w:rFonts w:ascii="Palatino Linotype" w:eastAsia="Palatino Linotype" w:hAnsi="Palatino Linotype" w:cs="Palatino Linotype"/>
        </w:rPr>
      </w:pPr>
      <w:r w:rsidRPr="00317535">
        <w:rPr>
          <w:rFonts w:ascii="Palatino Linotype" w:eastAsia="Palatino Linotype" w:hAnsi="Palatino Linotype" w:cs="Palatino Linotype"/>
        </w:rPr>
        <w:t xml:space="preserve">La Comisionada Ponente decretó el cierre de instrucción mediante el acuerdo del </w:t>
      </w:r>
      <w:r w:rsidRPr="00317535">
        <w:rPr>
          <w:rFonts w:ascii="Palatino Linotype" w:eastAsia="Palatino Linotype" w:hAnsi="Palatino Linotype" w:cs="Palatino Linotype"/>
          <w:b/>
          <w:bCs/>
        </w:rPr>
        <w:t xml:space="preserve">doce de enero de dos mil veinticinco; </w:t>
      </w:r>
      <w:r w:rsidRPr="00317535">
        <w:rPr>
          <w:rFonts w:ascii="Palatino Linotype" w:eastAsia="Palatino Linotype" w:hAnsi="Palatino Linotype" w:cs="Palatino Linotype"/>
        </w:rPr>
        <w:t>por lo que en virtud de que el expediente electrónico ha sido debidamente substanciado y no existe diligencia pendiente de desahogo, se procede a emitir la presente resolución que conforme a Derecho corresponda y;</w:t>
      </w:r>
    </w:p>
    <w:p w:rsidR="00411CC9" w:rsidRPr="00317535" w:rsidRDefault="00B623AE">
      <w:pPr>
        <w:spacing w:before="600" w:after="600" w:line="276" w:lineRule="auto"/>
        <w:jc w:val="center"/>
        <w:rPr>
          <w:rFonts w:ascii="Palatino Linotype" w:eastAsia="Palatino Linotype" w:hAnsi="Palatino Linotype" w:cs="Palatino Linotype"/>
          <w:b/>
          <w:bCs/>
        </w:rPr>
      </w:pPr>
      <w:r w:rsidRPr="00317535">
        <w:rPr>
          <w:rFonts w:ascii="Palatino Linotype" w:eastAsia="Palatino Linotype" w:hAnsi="Palatino Linotype" w:cs="Palatino Linotype"/>
          <w:b/>
          <w:bCs/>
        </w:rPr>
        <w:t>C</w:t>
      </w:r>
      <w:r w:rsidR="006B5FE8" w:rsidRPr="00317535">
        <w:rPr>
          <w:rFonts w:ascii="Palatino Linotype" w:eastAsia="Palatino Linotype" w:hAnsi="Palatino Linotype" w:cs="Palatino Linotype"/>
          <w:b/>
          <w:bCs/>
        </w:rPr>
        <w:t xml:space="preserve"> </w:t>
      </w:r>
      <w:r w:rsidRPr="00317535">
        <w:rPr>
          <w:rFonts w:ascii="Palatino Linotype" w:eastAsia="Palatino Linotype" w:hAnsi="Palatino Linotype" w:cs="Palatino Linotype"/>
          <w:b/>
          <w:bCs/>
        </w:rPr>
        <w:t>O</w:t>
      </w:r>
      <w:r w:rsidR="006B5FE8" w:rsidRPr="00317535">
        <w:rPr>
          <w:rFonts w:ascii="Palatino Linotype" w:eastAsia="Palatino Linotype" w:hAnsi="Palatino Linotype" w:cs="Palatino Linotype"/>
          <w:b/>
          <w:bCs/>
        </w:rPr>
        <w:t xml:space="preserve"> </w:t>
      </w:r>
      <w:r w:rsidRPr="00317535">
        <w:rPr>
          <w:rFonts w:ascii="Palatino Linotype" w:eastAsia="Palatino Linotype" w:hAnsi="Palatino Linotype" w:cs="Palatino Linotype"/>
          <w:b/>
          <w:bCs/>
        </w:rPr>
        <w:t>N</w:t>
      </w:r>
      <w:r w:rsidR="006B5FE8" w:rsidRPr="00317535">
        <w:rPr>
          <w:rFonts w:ascii="Palatino Linotype" w:eastAsia="Palatino Linotype" w:hAnsi="Palatino Linotype" w:cs="Palatino Linotype"/>
          <w:b/>
          <w:bCs/>
        </w:rPr>
        <w:t xml:space="preserve"> </w:t>
      </w:r>
      <w:r w:rsidRPr="00317535">
        <w:rPr>
          <w:rFonts w:ascii="Palatino Linotype" w:eastAsia="Palatino Linotype" w:hAnsi="Palatino Linotype" w:cs="Palatino Linotype"/>
          <w:b/>
          <w:bCs/>
        </w:rPr>
        <w:t>S</w:t>
      </w:r>
      <w:r w:rsidR="006B5FE8" w:rsidRPr="00317535">
        <w:rPr>
          <w:rFonts w:ascii="Palatino Linotype" w:eastAsia="Palatino Linotype" w:hAnsi="Palatino Linotype" w:cs="Palatino Linotype"/>
          <w:b/>
          <w:bCs/>
        </w:rPr>
        <w:t xml:space="preserve"> </w:t>
      </w:r>
      <w:r w:rsidRPr="00317535">
        <w:rPr>
          <w:rFonts w:ascii="Palatino Linotype" w:eastAsia="Palatino Linotype" w:hAnsi="Palatino Linotype" w:cs="Palatino Linotype"/>
          <w:b/>
          <w:bCs/>
        </w:rPr>
        <w:t>I</w:t>
      </w:r>
      <w:r w:rsidR="006B5FE8" w:rsidRPr="00317535">
        <w:rPr>
          <w:rFonts w:ascii="Palatino Linotype" w:eastAsia="Palatino Linotype" w:hAnsi="Palatino Linotype" w:cs="Palatino Linotype"/>
          <w:b/>
          <w:bCs/>
        </w:rPr>
        <w:t xml:space="preserve"> </w:t>
      </w:r>
      <w:r w:rsidRPr="00317535">
        <w:rPr>
          <w:rFonts w:ascii="Palatino Linotype" w:eastAsia="Palatino Linotype" w:hAnsi="Palatino Linotype" w:cs="Palatino Linotype"/>
          <w:b/>
          <w:bCs/>
        </w:rPr>
        <w:t>D</w:t>
      </w:r>
      <w:r w:rsidR="006B5FE8" w:rsidRPr="00317535">
        <w:rPr>
          <w:rFonts w:ascii="Palatino Linotype" w:eastAsia="Palatino Linotype" w:hAnsi="Palatino Linotype" w:cs="Palatino Linotype"/>
          <w:b/>
          <w:bCs/>
        </w:rPr>
        <w:t xml:space="preserve"> </w:t>
      </w:r>
      <w:r w:rsidRPr="00317535">
        <w:rPr>
          <w:rFonts w:ascii="Palatino Linotype" w:eastAsia="Palatino Linotype" w:hAnsi="Palatino Linotype" w:cs="Palatino Linotype"/>
          <w:b/>
          <w:bCs/>
        </w:rPr>
        <w:t>E</w:t>
      </w:r>
      <w:r w:rsidR="006B5FE8" w:rsidRPr="00317535">
        <w:rPr>
          <w:rFonts w:ascii="Palatino Linotype" w:eastAsia="Palatino Linotype" w:hAnsi="Palatino Linotype" w:cs="Palatino Linotype"/>
          <w:b/>
          <w:bCs/>
        </w:rPr>
        <w:t xml:space="preserve"> </w:t>
      </w:r>
      <w:r w:rsidRPr="00317535">
        <w:rPr>
          <w:rFonts w:ascii="Palatino Linotype" w:eastAsia="Palatino Linotype" w:hAnsi="Palatino Linotype" w:cs="Palatino Linotype"/>
          <w:b/>
          <w:bCs/>
        </w:rPr>
        <w:t>R</w:t>
      </w:r>
      <w:r w:rsidR="006B5FE8" w:rsidRPr="00317535">
        <w:rPr>
          <w:rFonts w:ascii="Palatino Linotype" w:eastAsia="Palatino Linotype" w:hAnsi="Palatino Linotype" w:cs="Palatino Linotype"/>
          <w:b/>
          <w:bCs/>
        </w:rPr>
        <w:t xml:space="preserve"> </w:t>
      </w:r>
      <w:r w:rsidRPr="00317535">
        <w:rPr>
          <w:rFonts w:ascii="Palatino Linotype" w:eastAsia="Palatino Linotype" w:hAnsi="Palatino Linotype" w:cs="Palatino Linotype"/>
          <w:b/>
          <w:bCs/>
        </w:rPr>
        <w:t>A</w:t>
      </w:r>
      <w:r w:rsidR="006B5FE8" w:rsidRPr="00317535">
        <w:rPr>
          <w:rFonts w:ascii="Palatino Linotype" w:eastAsia="Palatino Linotype" w:hAnsi="Palatino Linotype" w:cs="Palatino Linotype"/>
          <w:b/>
          <w:bCs/>
        </w:rPr>
        <w:t xml:space="preserve"> </w:t>
      </w:r>
      <w:r w:rsidRPr="00317535">
        <w:rPr>
          <w:rFonts w:ascii="Palatino Linotype" w:eastAsia="Palatino Linotype" w:hAnsi="Palatino Linotype" w:cs="Palatino Linotype"/>
          <w:b/>
          <w:bCs/>
        </w:rPr>
        <w:t>N</w:t>
      </w:r>
      <w:r w:rsidR="006B5FE8" w:rsidRPr="00317535">
        <w:rPr>
          <w:rFonts w:ascii="Palatino Linotype" w:eastAsia="Palatino Linotype" w:hAnsi="Palatino Linotype" w:cs="Palatino Linotype"/>
          <w:b/>
          <w:bCs/>
        </w:rPr>
        <w:t xml:space="preserve"> </w:t>
      </w:r>
      <w:r w:rsidRPr="00317535">
        <w:rPr>
          <w:rFonts w:ascii="Palatino Linotype" w:eastAsia="Palatino Linotype" w:hAnsi="Palatino Linotype" w:cs="Palatino Linotype"/>
          <w:b/>
          <w:bCs/>
        </w:rPr>
        <w:t>D</w:t>
      </w:r>
      <w:r w:rsidR="006B5FE8" w:rsidRPr="00317535">
        <w:rPr>
          <w:rFonts w:ascii="Palatino Linotype" w:eastAsia="Palatino Linotype" w:hAnsi="Palatino Linotype" w:cs="Palatino Linotype"/>
          <w:b/>
          <w:bCs/>
        </w:rPr>
        <w:t xml:space="preserve"> </w:t>
      </w:r>
      <w:r w:rsidRPr="00317535">
        <w:rPr>
          <w:rFonts w:ascii="Palatino Linotype" w:eastAsia="Palatino Linotype" w:hAnsi="Palatino Linotype" w:cs="Palatino Linotype"/>
          <w:b/>
          <w:bCs/>
        </w:rPr>
        <w:t>O</w:t>
      </w:r>
      <w:r w:rsidR="006B5FE8" w:rsidRPr="00317535">
        <w:rPr>
          <w:rFonts w:ascii="Palatino Linotype" w:eastAsia="Palatino Linotype" w:hAnsi="Palatino Linotype" w:cs="Palatino Linotype"/>
          <w:b/>
          <w:bCs/>
        </w:rPr>
        <w:t xml:space="preserve"> </w:t>
      </w:r>
    </w:p>
    <w:p w:rsidR="00411CC9" w:rsidRPr="00317535" w:rsidRDefault="00B623AE" w:rsidP="006B5FE8">
      <w:pPr>
        <w:pStyle w:val="Prrafodelista"/>
        <w:widowControl w:val="0"/>
        <w:numPr>
          <w:ilvl w:val="1"/>
          <w:numId w:val="1"/>
        </w:numPr>
        <w:spacing w:before="280" w:line="360" w:lineRule="auto"/>
        <w:ind w:left="851" w:hanging="851"/>
        <w:jc w:val="both"/>
        <w:rPr>
          <w:rFonts w:ascii="Palatino Linotype" w:eastAsia="Palatino Linotype" w:hAnsi="Palatino Linotype" w:cs="Palatino Linotype"/>
          <w:sz w:val="24"/>
        </w:rPr>
      </w:pPr>
      <w:r w:rsidRPr="00317535">
        <w:rPr>
          <w:rFonts w:ascii="Palatino Linotype" w:eastAsia="Palatino Linotype" w:hAnsi="Palatino Linotype" w:cs="Palatino Linotype"/>
          <w:b/>
          <w:bCs/>
          <w:sz w:val="24"/>
        </w:rPr>
        <w:t>De la Competencia</w:t>
      </w:r>
      <w:r w:rsidRPr="00317535">
        <w:rPr>
          <w:rFonts w:ascii="Palatino Linotype" w:eastAsia="Palatino Linotype" w:hAnsi="Palatino Linotype" w:cs="Palatino Linotype"/>
          <w:sz w:val="24"/>
        </w:rPr>
        <w:t>.</w:t>
      </w:r>
      <w:r w:rsidRPr="00317535">
        <w:rPr>
          <w:rFonts w:ascii="Palatino Linotype" w:eastAsia="Palatino Linotype" w:hAnsi="Palatino Linotype" w:cs="Palatino Linotype"/>
          <w:b/>
          <w:bCs/>
          <w:sz w:val="24"/>
        </w:rPr>
        <w:t xml:space="preserve"> </w:t>
      </w:r>
    </w:p>
    <w:p w:rsidR="00411CC9" w:rsidRPr="00317535" w:rsidRDefault="00B623AE" w:rsidP="006B5FE8">
      <w:pPr>
        <w:pStyle w:val="Prrafodelista"/>
        <w:numPr>
          <w:ilvl w:val="0"/>
          <w:numId w:val="7"/>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sz w:val="24"/>
        </w:rPr>
      </w:pPr>
      <w:r w:rsidRPr="00317535">
        <w:rPr>
          <w:rFonts w:ascii="Palatino Linotype" w:eastAsia="Palatino Linotype" w:hAnsi="Palatino Linotype" w:cs="Palatino Linotype"/>
          <w:color w:val="000000"/>
          <w:sz w:val="24"/>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rsidR="00411CC9" w:rsidRPr="00317535" w:rsidRDefault="00411CC9">
      <w:pPr>
        <w:spacing w:line="360" w:lineRule="auto"/>
        <w:ind w:right="-28"/>
        <w:jc w:val="both"/>
        <w:rPr>
          <w:rFonts w:ascii="Palatino Linotype" w:eastAsia="Palatino Linotype" w:hAnsi="Palatino Linotype" w:cs="Palatino Linotype"/>
        </w:rPr>
      </w:pPr>
    </w:p>
    <w:p w:rsidR="00411CC9" w:rsidRPr="00317535" w:rsidRDefault="00B623AE">
      <w:pPr>
        <w:pStyle w:val="Ttulo2"/>
        <w:spacing w:before="0" w:line="360" w:lineRule="auto"/>
        <w:rPr>
          <w:rFonts w:ascii="Palatino Linotype" w:eastAsia="Palatino Linotype" w:hAnsi="Palatino Linotype" w:cs="Palatino Linotype"/>
          <w:b/>
          <w:bCs/>
          <w:color w:val="000000"/>
          <w:sz w:val="24"/>
          <w:szCs w:val="24"/>
        </w:rPr>
      </w:pPr>
      <w:r w:rsidRPr="00317535">
        <w:rPr>
          <w:rFonts w:ascii="Palatino Linotype" w:eastAsia="Palatino Linotype" w:hAnsi="Palatino Linotype" w:cs="Palatino Linotype"/>
          <w:b/>
          <w:bCs/>
          <w:color w:val="000000"/>
          <w:sz w:val="24"/>
          <w:szCs w:val="24"/>
        </w:rPr>
        <w:t>SEGUNDO. De la oportunidad y procedencia.</w:t>
      </w:r>
    </w:p>
    <w:p w:rsidR="00411CC9" w:rsidRPr="00317535" w:rsidRDefault="00B623AE">
      <w:pPr>
        <w:numPr>
          <w:ilvl w:val="0"/>
          <w:numId w:val="1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t xml:space="preserve">Los medios de impugnación fueron presentados a través del </w:t>
      </w:r>
      <w:r w:rsidRPr="00317535">
        <w:rPr>
          <w:rFonts w:ascii="Palatino Linotype" w:eastAsia="Palatino Linotype" w:hAnsi="Palatino Linotype" w:cs="Palatino Linotype"/>
          <w:b/>
          <w:bCs/>
          <w:color w:val="000000"/>
        </w:rPr>
        <w:t>SAIMEX,</w:t>
      </w:r>
      <w:r w:rsidRPr="00317535">
        <w:rPr>
          <w:rFonts w:ascii="Palatino Linotype" w:eastAsia="Palatino Linotype" w:hAnsi="Palatino Linotype" w:cs="Palatino Linotype"/>
          <w:color w:val="000000"/>
        </w:rPr>
        <w:t xml:space="preserve"> en el formato previamente aprobado para tal efecto y dentro del plazo legal de quince días hábiles </w:t>
      </w:r>
      <w:r w:rsidRPr="00317535">
        <w:rPr>
          <w:rFonts w:ascii="Palatino Linotype" w:eastAsia="Palatino Linotype" w:hAnsi="Palatino Linotype" w:cs="Palatino Linotype"/>
          <w:color w:val="000000"/>
        </w:rPr>
        <w:lastRenderedPageBreak/>
        <w:t xml:space="preserve">otorgados; para el caso en particular es de señalar que el </w:t>
      </w:r>
      <w:r w:rsidRPr="00317535">
        <w:rPr>
          <w:rFonts w:ascii="Palatino Linotype" w:eastAsia="Palatino Linotype" w:hAnsi="Palatino Linotype" w:cs="Palatino Linotype"/>
          <w:b/>
          <w:bCs/>
          <w:color w:val="000000"/>
        </w:rPr>
        <w:t>SUJETO OBLIGADO</w:t>
      </w:r>
      <w:r w:rsidRPr="00317535">
        <w:rPr>
          <w:rFonts w:ascii="Palatino Linotype" w:eastAsia="Palatino Linotype" w:hAnsi="Palatino Linotype" w:cs="Palatino Linotype"/>
          <w:color w:val="000000"/>
        </w:rPr>
        <w:t xml:space="preserve"> entregó su respuesta el </w:t>
      </w:r>
      <w:r w:rsidRPr="00317535">
        <w:rPr>
          <w:rFonts w:ascii="Palatino Linotype" w:eastAsia="Palatino Linotype" w:hAnsi="Palatino Linotype" w:cs="Palatino Linotype"/>
          <w:b/>
          <w:bCs/>
          <w:color w:val="000000"/>
        </w:rPr>
        <w:t>uno de septiembre de dos mil veinticinco</w:t>
      </w:r>
      <w:r w:rsidRPr="00317535">
        <w:rPr>
          <w:rFonts w:ascii="Palatino Linotype" w:eastAsia="Palatino Linotype" w:hAnsi="Palatino Linotype" w:cs="Palatino Linotype"/>
          <w:color w:val="000000"/>
        </w:rPr>
        <w:t xml:space="preserve">, de tal forma que el plazo para interponer el recurso de revisión transcurrió del día </w:t>
      </w:r>
      <w:r w:rsidRPr="00317535">
        <w:rPr>
          <w:rFonts w:ascii="Palatino Linotype" w:eastAsia="Palatino Linotype" w:hAnsi="Palatino Linotype" w:cs="Palatino Linotype"/>
          <w:b/>
          <w:bCs/>
          <w:color w:val="000000"/>
        </w:rPr>
        <w:t>dos al veintitrés de septiembre de dos mil veinticinco</w:t>
      </w:r>
      <w:r w:rsidRPr="00317535">
        <w:rPr>
          <w:rFonts w:ascii="Palatino Linotype" w:eastAsia="Palatino Linotype" w:hAnsi="Palatino Linotype" w:cs="Palatino Linotype"/>
          <w:color w:val="000000"/>
        </w:rPr>
        <w:t xml:space="preserve">; en consecuencia, el ahora </w:t>
      </w:r>
      <w:r w:rsidRPr="00317535">
        <w:rPr>
          <w:rFonts w:ascii="Palatino Linotype" w:eastAsia="Palatino Linotype" w:hAnsi="Palatino Linotype" w:cs="Palatino Linotype"/>
          <w:b/>
          <w:bCs/>
          <w:color w:val="000000"/>
        </w:rPr>
        <w:t>RECURRENTE</w:t>
      </w:r>
      <w:r w:rsidRPr="00317535">
        <w:rPr>
          <w:rFonts w:ascii="Palatino Linotype" w:eastAsia="Palatino Linotype" w:hAnsi="Palatino Linotype" w:cs="Palatino Linotype"/>
          <w:color w:val="000000"/>
        </w:rPr>
        <w:t xml:space="preserve"> presentó su inconformidad el día </w:t>
      </w:r>
      <w:r w:rsidRPr="00317535">
        <w:rPr>
          <w:rFonts w:ascii="Palatino Linotype" w:eastAsia="Palatino Linotype" w:hAnsi="Palatino Linotype" w:cs="Palatino Linotype"/>
          <w:b/>
          <w:bCs/>
          <w:color w:val="000000"/>
        </w:rPr>
        <w:t>dos de septiembre de dos mil veinticinco,</w:t>
      </w:r>
      <w:r w:rsidRPr="00317535">
        <w:rPr>
          <w:rFonts w:ascii="Palatino Linotype" w:eastAsia="Palatino Linotype" w:hAnsi="Palatino Linotype" w:cs="Palatino Linotype"/>
          <w:color w:val="000000"/>
        </w:rPr>
        <w:t xml:space="preserve"> es decir dentro del lapso legalmente establecido para tal efecto.</w:t>
      </w:r>
    </w:p>
    <w:p w:rsidR="00411CC9" w:rsidRPr="00317535" w:rsidRDefault="00411CC9">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411CC9" w:rsidRPr="00317535" w:rsidRDefault="00B623AE">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411CC9" w:rsidRPr="00317535" w:rsidRDefault="00411CC9">
      <w:pPr>
        <w:spacing w:line="360" w:lineRule="auto"/>
        <w:jc w:val="both"/>
        <w:rPr>
          <w:rFonts w:ascii="Palatino Linotype" w:eastAsia="Palatino Linotype" w:hAnsi="Palatino Linotype" w:cs="Palatino Linotype"/>
        </w:rPr>
      </w:pPr>
    </w:p>
    <w:p w:rsidR="00411CC9" w:rsidRPr="00317535" w:rsidRDefault="00B623AE">
      <w:pPr>
        <w:pBdr>
          <w:top w:val="nil"/>
          <w:left w:val="nil"/>
          <w:bottom w:val="nil"/>
          <w:right w:val="nil"/>
          <w:between w:val="nil"/>
        </w:pBdr>
        <w:tabs>
          <w:tab w:val="left" w:pos="7938"/>
        </w:tabs>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t>“</w:t>
      </w:r>
      <w:r w:rsidRPr="00317535">
        <w:rPr>
          <w:rFonts w:ascii="Palatino Linotype" w:eastAsia="Palatino Linotype" w:hAnsi="Palatino Linotype" w:cs="Palatino Linotype"/>
          <w:b/>
          <w:bCs/>
          <w:i/>
          <w:iCs/>
          <w:color w:val="000000"/>
        </w:rPr>
        <w:t>Las solicitudes anónimas</w:t>
      </w:r>
      <w:r w:rsidRPr="00317535">
        <w:rPr>
          <w:rFonts w:ascii="Palatino Linotype" w:eastAsia="Palatino Linotype" w:hAnsi="Palatino Linotype" w:cs="Palatino Linotype"/>
          <w:i/>
          <w:iCs/>
          <w:color w:val="000000"/>
        </w:rPr>
        <w:t xml:space="preserve">, con nombre incompleto o seudónimo </w:t>
      </w:r>
      <w:r w:rsidRPr="00317535">
        <w:rPr>
          <w:rFonts w:ascii="Palatino Linotype" w:eastAsia="Palatino Linotype" w:hAnsi="Palatino Linotype" w:cs="Palatino Linotype"/>
          <w:b/>
          <w:bCs/>
          <w:i/>
          <w:iCs/>
          <w:color w:val="000000"/>
        </w:rPr>
        <w:t>serán procedentes para su trámite por parte del sujeto obligado ante quien se presente</w:t>
      </w:r>
      <w:r w:rsidRPr="00317535">
        <w:rPr>
          <w:rFonts w:ascii="Palatino Linotype" w:eastAsia="Palatino Linotype" w:hAnsi="Palatino Linotype" w:cs="Palatino Linotype"/>
          <w:i/>
          <w:iCs/>
          <w:color w:val="000000"/>
        </w:rPr>
        <w:t xml:space="preserve">. No podrá requerirse información adicional con motivo del nombre proporcionado por el solicitante.” </w:t>
      </w:r>
      <w:r w:rsidRPr="00317535">
        <w:rPr>
          <w:rFonts w:ascii="Palatino Linotype" w:eastAsia="Palatino Linotype" w:hAnsi="Palatino Linotype" w:cs="Palatino Linotype"/>
          <w:color w:val="000000"/>
        </w:rPr>
        <w:t>(Sic)</w:t>
      </w:r>
    </w:p>
    <w:p w:rsidR="00411CC9" w:rsidRPr="00317535" w:rsidRDefault="00411CC9">
      <w:pPr>
        <w:pBdr>
          <w:top w:val="nil"/>
          <w:left w:val="nil"/>
          <w:bottom w:val="nil"/>
          <w:right w:val="nil"/>
          <w:between w:val="nil"/>
        </w:pBdr>
        <w:spacing w:line="360" w:lineRule="auto"/>
        <w:ind w:right="758"/>
        <w:rPr>
          <w:rFonts w:ascii="Palatino Linotype" w:eastAsia="Palatino Linotype" w:hAnsi="Palatino Linotype" w:cs="Palatino Linotype"/>
          <w:i/>
          <w:iCs/>
          <w:color w:val="000000"/>
        </w:rPr>
      </w:pPr>
    </w:p>
    <w:p w:rsidR="00411CC9" w:rsidRPr="00317535" w:rsidRDefault="00B623AE">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rsidR="00411CC9" w:rsidRPr="00317535" w:rsidRDefault="00B623AE">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t>“</w:t>
      </w:r>
      <w:r w:rsidRPr="00317535">
        <w:rPr>
          <w:rFonts w:ascii="Palatino Linotype" w:eastAsia="Palatino Linotype" w:hAnsi="Palatino Linotype" w:cs="Palatino Linotype"/>
          <w:b/>
          <w:bCs/>
          <w:i/>
          <w:iCs/>
          <w:color w:val="000000"/>
        </w:rPr>
        <w:t>Artículo 6.-</w:t>
      </w:r>
      <w:r w:rsidRPr="00317535">
        <w:rPr>
          <w:rFonts w:ascii="Palatino Linotype" w:eastAsia="Palatino Linotype" w:hAnsi="Palatino Linotype" w:cs="Palatino Linotype"/>
          <w:i/>
          <w:iCs/>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411CC9" w:rsidRPr="00317535" w:rsidRDefault="00B623AE">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t>Para efectos de lo dispuesto en el presente artículo se observará lo siguiente:</w:t>
      </w:r>
    </w:p>
    <w:p w:rsidR="00411CC9" w:rsidRPr="00317535" w:rsidRDefault="00B623AE">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lastRenderedPageBreak/>
        <w:t>A. Para el ejercicio del derecho de acceso a la información, la Federación, los Estados y el Distrito Federal, en el ámbito de sus respectivas competencias, se regirán por los siguientes principios y bases:</w:t>
      </w:r>
    </w:p>
    <w:p w:rsidR="00411CC9" w:rsidRPr="00317535" w:rsidRDefault="00B623AE">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t>III. Toda persona, sin necesidad de acreditar interés alguno o justificar su utilización, tendrá acceso gratuito a la información pública, a sus datos personales o a la rectificación de éstos.”</w:t>
      </w:r>
      <w:r w:rsidRPr="00317535">
        <w:rPr>
          <w:rFonts w:ascii="Palatino Linotype" w:eastAsia="Palatino Linotype" w:hAnsi="Palatino Linotype" w:cs="Palatino Linotype"/>
          <w:color w:val="000000"/>
        </w:rPr>
        <w:t>(Sic)</w:t>
      </w:r>
    </w:p>
    <w:p w:rsidR="00411CC9" w:rsidRPr="00317535" w:rsidRDefault="00411CC9">
      <w:pPr>
        <w:pBdr>
          <w:top w:val="nil"/>
          <w:left w:val="nil"/>
          <w:bottom w:val="nil"/>
          <w:right w:val="nil"/>
          <w:between w:val="nil"/>
        </w:pBdr>
        <w:spacing w:line="360" w:lineRule="auto"/>
        <w:rPr>
          <w:rFonts w:ascii="Palatino Linotype" w:eastAsia="Palatino Linotype" w:hAnsi="Palatino Linotype" w:cs="Palatino Linotype"/>
          <w:i/>
          <w:iCs/>
          <w:color w:val="000000"/>
        </w:rPr>
      </w:pPr>
    </w:p>
    <w:p w:rsidR="00411CC9" w:rsidRPr="00317535" w:rsidRDefault="00B623AE">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rsidR="00411CC9" w:rsidRPr="00317535" w:rsidRDefault="00B623AE">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t>“</w:t>
      </w:r>
      <w:r w:rsidRPr="00317535">
        <w:rPr>
          <w:rFonts w:ascii="Palatino Linotype" w:eastAsia="Palatino Linotype" w:hAnsi="Palatino Linotype" w:cs="Palatino Linotype"/>
          <w:b/>
          <w:bCs/>
          <w:i/>
          <w:iCs/>
          <w:color w:val="000000"/>
        </w:rPr>
        <w:t>Artículo 5.-</w:t>
      </w:r>
      <w:r w:rsidRPr="00317535">
        <w:rPr>
          <w:rFonts w:ascii="Palatino Linotype" w:eastAsia="Palatino Linotype" w:hAnsi="Palatino Linotype" w:cs="Palatino Linotype"/>
          <w:i/>
          <w:iCs/>
          <w:color w:val="00000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411CC9" w:rsidRPr="00317535" w:rsidRDefault="00B623AE">
      <w:pPr>
        <w:ind w:left="1134" w:right="1389"/>
        <w:jc w:val="both"/>
        <w:rPr>
          <w:rFonts w:ascii="Palatino Linotype" w:eastAsia="Palatino Linotype" w:hAnsi="Palatino Linotype" w:cs="Palatino Linotype"/>
          <w:i/>
          <w:iCs/>
        </w:rPr>
      </w:pPr>
      <w:r w:rsidRPr="00317535">
        <w:rPr>
          <w:rFonts w:ascii="Palatino Linotype" w:eastAsia="Palatino Linotype" w:hAnsi="Palatino Linotype" w:cs="Palatino Linotype"/>
          <w:i/>
          <w:iCs/>
        </w:rPr>
        <w:t>…</w:t>
      </w:r>
    </w:p>
    <w:p w:rsidR="00411CC9" w:rsidRPr="00317535" w:rsidRDefault="00B623AE">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t>Toda persona en el Estado de México, tiene derecho al libre acceso a la información plural y oportuna, así como a buscar recibir y difundir información e ideas de toda índole por cualquier medio de expresión.</w:t>
      </w:r>
    </w:p>
    <w:p w:rsidR="00411CC9" w:rsidRPr="00317535" w:rsidRDefault="00B623AE">
      <w:pPr>
        <w:ind w:left="1134" w:right="1389"/>
        <w:jc w:val="both"/>
        <w:rPr>
          <w:rFonts w:ascii="Palatino Linotype" w:eastAsia="Palatino Linotype" w:hAnsi="Palatino Linotype" w:cs="Palatino Linotype"/>
          <w:i/>
          <w:iCs/>
        </w:rPr>
      </w:pPr>
      <w:r w:rsidRPr="00317535">
        <w:rPr>
          <w:rFonts w:ascii="Palatino Linotype" w:eastAsia="Palatino Linotype" w:hAnsi="Palatino Linotype" w:cs="Palatino Linotype"/>
          <w:i/>
          <w:iCs/>
        </w:rPr>
        <w:t>...</w:t>
      </w:r>
    </w:p>
    <w:p w:rsidR="00411CC9" w:rsidRPr="00317535" w:rsidRDefault="00B623AE">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t>El derecho a la información será garantizado por el Estado. La ley establecerá las previsiones que permitan asegurar la protección, el respeto y la difusión de este derecho.</w:t>
      </w:r>
    </w:p>
    <w:p w:rsidR="00411CC9" w:rsidRPr="00317535" w:rsidRDefault="00411CC9">
      <w:pPr>
        <w:pBdr>
          <w:top w:val="nil"/>
          <w:left w:val="nil"/>
          <w:bottom w:val="nil"/>
          <w:right w:val="nil"/>
          <w:between w:val="nil"/>
        </w:pBdr>
        <w:ind w:left="1134" w:right="1389"/>
        <w:jc w:val="both"/>
        <w:rPr>
          <w:rFonts w:ascii="Palatino Linotype" w:eastAsia="Palatino Linotype" w:hAnsi="Palatino Linotype" w:cs="Palatino Linotype"/>
          <w:i/>
          <w:iCs/>
          <w:color w:val="000000"/>
        </w:rPr>
      </w:pPr>
    </w:p>
    <w:p w:rsidR="00411CC9" w:rsidRPr="00317535" w:rsidRDefault="00B623AE">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411CC9" w:rsidRPr="00317535" w:rsidRDefault="00B623AE">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t>III. Toda persona, sin necesidad de acreditar interés alguno o justificar su utilización, tendrá acceso gratuito a la información pública, a sus datos personales o a la rectificación de éstos;</w:t>
      </w:r>
    </w:p>
    <w:p w:rsidR="00411CC9" w:rsidRPr="00317535" w:rsidRDefault="00B623AE">
      <w:pPr>
        <w:ind w:left="1134" w:right="1389"/>
        <w:jc w:val="both"/>
        <w:rPr>
          <w:rFonts w:ascii="Palatino Linotype" w:eastAsia="Palatino Linotype" w:hAnsi="Palatino Linotype" w:cs="Palatino Linotype"/>
          <w:i/>
          <w:iCs/>
        </w:rPr>
      </w:pPr>
      <w:r w:rsidRPr="00317535">
        <w:rPr>
          <w:rFonts w:ascii="Palatino Linotype" w:eastAsia="Palatino Linotype" w:hAnsi="Palatino Linotype" w:cs="Palatino Linotype"/>
          <w:i/>
          <w:iCs/>
        </w:rPr>
        <w:t>...</w:t>
      </w:r>
    </w:p>
    <w:p w:rsidR="00411CC9" w:rsidRPr="00317535" w:rsidRDefault="00B623AE">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411CC9" w:rsidRPr="00317535" w:rsidRDefault="00411CC9">
      <w:pPr>
        <w:pBdr>
          <w:top w:val="nil"/>
          <w:left w:val="nil"/>
          <w:bottom w:val="nil"/>
          <w:right w:val="nil"/>
          <w:between w:val="nil"/>
        </w:pBdr>
        <w:spacing w:line="360" w:lineRule="auto"/>
        <w:rPr>
          <w:rFonts w:ascii="Palatino Linotype" w:eastAsia="Palatino Linotype" w:hAnsi="Palatino Linotype" w:cs="Palatino Linotype"/>
          <w:i/>
          <w:iCs/>
          <w:color w:val="000000"/>
        </w:rPr>
      </w:pPr>
    </w:p>
    <w:p w:rsidR="00411CC9" w:rsidRPr="00317535" w:rsidRDefault="00B623AE">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t>Por otra parte, del contenido del artículo 1 de la Constitución Política de los Estados Unidos mexicanos, se destaca lo siguiente:</w:t>
      </w:r>
    </w:p>
    <w:p w:rsidR="00411CC9" w:rsidRPr="00317535" w:rsidRDefault="00B623AE">
      <w:pPr>
        <w:pBdr>
          <w:top w:val="nil"/>
          <w:left w:val="nil"/>
          <w:bottom w:val="nil"/>
          <w:right w:val="nil"/>
          <w:between w:val="nil"/>
        </w:pBdr>
        <w:tabs>
          <w:tab w:val="left" w:pos="7938"/>
        </w:tabs>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t>“</w:t>
      </w:r>
      <w:r w:rsidRPr="00317535">
        <w:rPr>
          <w:rFonts w:ascii="Palatino Linotype" w:eastAsia="Palatino Linotype" w:hAnsi="Palatino Linotype" w:cs="Palatino Linotype"/>
          <w:b/>
          <w:bCs/>
          <w:i/>
          <w:iCs/>
          <w:color w:val="000000"/>
        </w:rPr>
        <w:t>Artículo 1</w:t>
      </w:r>
      <w:r w:rsidRPr="00317535">
        <w:rPr>
          <w:rFonts w:ascii="Palatino Linotype" w:eastAsia="Palatino Linotype" w:hAnsi="Palatino Linotype" w:cs="Palatino Linotype"/>
          <w:i/>
          <w:iCs/>
          <w:color w:val="000000"/>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11CC9" w:rsidRPr="00317535" w:rsidRDefault="00B623AE">
      <w:pPr>
        <w:pBdr>
          <w:top w:val="nil"/>
          <w:left w:val="nil"/>
          <w:bottom w:val="nil"/>
          <w:right w:val="nil"/>
          <w:between w:val="nil"/>
        </w:pBdr>
        <w:tabs>
          <w:tab w:val="left" w:pos="7938"/>
        </w:tabs>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t>Las normas relativas a los derechos humanos se interpretarán de conformidad con esta Constitución y con los tratados internacionales de la materia favoreciendo en todo tiempo a las personas la protección más amplia.</w:t>
      </w:r>
    </w:p>
    <w:p w:rsidR="00411CC9" w:rsidRPr="00317535" w:rsidRDefault="00B623AE">
      <w:pPr>
        <w:pBdr>
          <w:top w:val="nil"/>
          <w:left w:val="nil"/>
          <w:bottom w:val="nil"/>
          <w:right w:val="nil"/>
          <w:between w:val="nil"/>
        </w:pBdr>
        <w:tabs>
          <w:tab w:val="left" w:pos="7938"/>
        </w:tabs>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411CC9" w:rsidRPr="00317535" w:rsidRDefault="00411CC9">
      <w:pPr>
        <w:pBdr>
          <w:top w:val="nil"/>
          <w:left w:val="nil"/>
          <w:bottom w:val="nil"/>
          <w:right w:val="nil"/>
          <w:between w:val="nil"/>
        </w:pBdr>
        <w:spacing w:line="360" w:lineRule="auto"/>
        <w:rPr>
          <w:rFonts w:ascii="Palatino Linotype" w:eastAsia="Palatino Linotype" w:hAnsi="Palatino Linotype" w:cs="Palatino Linotype"/>
          <w:i/>
          <w:iCs/>
          <w:color w:val="000000"/>
        </w:rPr>
      </w:pPr>
    </w:p>
    <w:p w:rsidR="00411CC9" w:rsidRPr="00317535" w:rsidRDefault="00B623AE">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t xml:space="preserve">Esto es, que el derecho humano de acceso a la información pública, se aprecia que toda persona, sin necesidad de acreditar interés alguno o justificar su interposición, deberá tener acceso a la información pública, es decir, dicho </w:t>
      </w:r>
      <w:r w:rsidRPr="00317535">
        <w:rPr>
          <w:rFonts w:ascii="Palatino Linotype" w:eastAsia="Palatino Linotype" w:hAnsi="Palatino Linotype" w:cs="Palatino Linotype"/>
          <w:i/>
          <w:iCs/>
          <w:color w:val="000000"/>
        </w:rPr>
        <w:t>derecho fundamental exime a quien lo ejerce</w:t>
      </w:r>
      <w:r w:rsidRPr="00317535">
        <w:rPr>
          <w:rFonts w:ascii="Palatino Linotype" w:eastAsia="Palatino Linotype" w:hAnsi="Palatino Linotype" w:cs="Palatino Linotype"/>
          <w:color w:val="000000"/>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411CC9" w:rsidRPr="00317535" w:rsidRDefault="00B623AE">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lastRenderedPageBreak/>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411CC9" w:rsidRPr="00317535" w:rsidRDefault="00B623AE">
      <w:pPr>
        <w:pBdr>
          <w:top w:val="nil"/>
          <w:left w:val="nil"/>
          <w:bottom w:val="nil"/>
          <w:right w:val="nil"/>
          <w:between w:val="nil"/>
        </w:pBdr>
        <w:ind w:left="1060"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411CC9" w:rsidRPr="00317535" w:rsidRDefault="00411CC9">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411CC9" w:rsidRPr="00317535" w:rsidRDefault="00B623AE">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411CC9" w:rsidRPr="00317535" w:rsidRDefault="00411CC9">
      <w:pPr>
        <w:pBdr>
          <w:top w:val="nil"/>
          <w:left w:val="nil"/>
          <w:bottom w:val="nil"/>
          <w:right w:val="nil"/>
          <w:between w:val="nil"/>
        </w:pBdr>
        <w:ind w:left="720"/>
        <w:rPr>
          <w:rFonts w:ascii="Palatino Linotype" w:eastAsia="Palatino Linotype" w:hAnsi="Palatino Linotype" w:cs="Palatino Linotype"/>
          <w:color w:val="000000"/>
        </w:rPr>
      </w:pPr>
    </w:p>
    <w:p w:rsidR="00411CC9" w:rsidRPr="00317535" w:rsidRDefault="00B623AE">
      <w:pPr>
        <w:pStyle w:val="Ttulo2"/>
        <w:spacing w:before="0" w:line="360" w:lineRule="auto"/>
        <w:rPr>
          <w:rFonts w:ascii="Palatino Linotype" w:eastAsia="Palatino Linotype" w:hAnsi="Palatino Linotype" w:cs="Palatino Linotype"/>
          <w:b/>
          <w:bCs/>
          <w:color w:val="000000"/>
          <w:sz w:val="24"/>
          <w:szCs w:val="24"/>
        </w:rPr>
      </w:pPr>
      <w:r w:rsidRPr="00317535">
        <w:rPr>
          <w:rFonts w:ascii="Palatino Linotype" w:eastAsia="Palatino Linotype" w:hAnsi="Palatino Linotype" w:cs="Palatino Linotype"/>
          <w:b/>
          <w:bCs/>
          <w:color w:val="000000"/>
          <w:sz w:val="24"/>
          <w:szCs w:val="24"/>
        </w:rPr>
        <w:t>TERCERO. Del planteamiento de la Litis</w:t>
      </w:r>
    </w:p>
    <w:p w:rsidR="00411CC9" w:rsidRPr="00317535" w:rsidRDefault="00B623A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t>De las constancias en el expediente al rubro indicado, se desprende que el particular  solicitó tener acceso a la información que a continuación se desagrega:</w:t>
      </w:r>
    </w:p>
    <w:p w:rsidR="00411CC9" w:rsidRPr="00317535" w:rsidRDefault="00B623AE">
      <w:pPr>
        <w:ind w:left="426" w:right="708"/>
        <w:jc w:val="center"/>
        <w:rPr>
          <w:rFonts w:ascii="Palatino Linotype" w:eastAsia="Palatino Linotype" w:hAnsi="Palatino Linotype" w:cs="Palatino Linotype"/>
          <w:b/>
          <w:bCs/>
          <w:i/>
          <w:iCs/>
        </w:rPr>
      </w:pPr>
      <w:r w:rsidRPr="00317535">
        <w:rPr>
          <w:rFonts w:ascii="Palatino Linotype" w:eastAsia="Palatino Linotype" w:hAnsi="Palatino Linotype" w:cs="Palatino Linotype"/>
          <w:b/>
          <w:bCs/>
          <w:i/>
          <w:iCs/>
        </w:rPr>
        <w:t>Del uno de enero al quince de agosto de dos mil veinticinco:</w:t>
      </w:r>
    </w:p>
    <w:p w:rsidR="00411CC9" w:rsidRPr="00317535" w:rsidRDefault="00B623AE">
      <w:pPr>
        <w:numPr>
          <w:ilvl w:val="3"/>
          <w:numId w:val="2"/>
        </w:numPr>
        <w:pBdr>
          <w:top w:val="nil"/>
          <w:left w:val="nil"/>
          <w:bottom w:val="nil"/>
          <w:right w:val="nil"/>
          <w:between w:val="nil"/>
        </w:pBdr>
        <w:ind w:left="426" w:right="708"/>
        <w:jc w:val="center"/>
        <w:rPr>
          <w:rFonts w:ascii="Palatino Linotype" w:eastAsia="Palatino Linotype" w:hAnsi="Palatino Linotype" w:cs="Palatino Linotype"/>
          <w:b/>
          <w:bCs/>
          <w:i/>
          <w:iCs/>
          <w:color w:val="000000"/>
        </w:rPr>
      </w:pPr>
      <w:r w:rsidRPr="00317535">
        <w:rPr>
          <w:rFonts w:ascii="Palatino Linotype" w:eastAsia="Palatino Linotype" w:hAnsi="Palatino Linotype" w:cs="Palatino Linotype"/>
          <w:b/>
          <w:bCs/>
          <w:i/>
          <w:iCs/>
          <w:color w:val="000000"/>
        </w:rPr>
        <w:t xml:space="preserve">Listado de nuevos puestos </w:t>
      </w:r>
    </w:p>
    <w:p w:rsidR="00411CC9" w:rsidRPr="00317535" w:rsidRDefault="00B623AE">
      <w:pPr>
        <w:numPr>
          <w:ilvl w:val="3"/>
          <w:numId w:val="2"/>
        </w:numPr>
        <w:pBdr>
          <w:top w:val="nil"/>
          <w:left w:val="nil"/>
          <w:bottom w:val="nil"/>
          <w:right w:val="nil"/>
          <w:between w:val="nil"/>
        </w:pBdr>
        <w:ind w:left="426" w:right="708"/>
        <w:jc w:val="center"/>
        <w:rPr>
          <w:rFonts w:ascii="Palatino Linotype" w:eastAsia="Palatino Linotype" w:hAnsi="Palatino Linotype" w:cs="Palatino Linotype"/>
          <w:i/>
          <w:iCs/>
          <w:color w:val="000000"/>
        </w:rPr>
      </w:pPr>
      <w:r w:rsidRPr="00317535">
        <w:rPr>
          <w:rFonts w:ascii="Palatino Linotype" w:eastAsia="Palatino Linotype" w:hAnsi="Palatino Linotype" w:cs="Palatino Linotype"/>
          <w:b/>
          <w:bCs/>
          <w:i/>
          <w:iCs/>
          <w:color w:val="000000"/>
        </w:rPr>
        <w:t>Cobros a nuevos puestos</w:t>
      </w:r>
    </w:p>
    <w:p w:rsidR="00411CC9" w:rsidRPr="00317535" w:rsidRDefault="00411CC9">
      <w:pPr>
        <w:spacing w:line="360" w:lineRule="auto"/>
        <w:ind w:left="1134" w:right="708"/>
        <w:jc w:val="center"/>
        <w:rPr>
          <w:rFonts w:ascii="Palatino Linotype" w:eastAsia="Palatino Linotype" w:hAnsi="Palatino Linotype" w:cs="Palatino Linotype"/>
          <w:b/>
          <w:bCs/>
        </w:rPr>
      </w:pPr>
    </w:p>
    <w:p w:rsidR="00411CC9" w:rsidRPr="00317535" w:rsidRDefault="00B623A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lastRenderedPageBreak/>
        <w:t xml:space="preserve">En respuesta, el </w:t>
      </w:r>
      <w:r w:rsidRPr="00317535">
        <w:rPr>
          <w:rFonts w:ascii="Palatino Linotype" w:eastAsia="Palatino Linotype" w:hAnsi="Palatino Linotype" w:cs="Palatino Linotype"/>
          <w:b/>
          <w:bCs/>
          <w:color w:val="000000"/>
        </w:rPr>
        <w:t>SUJETO OBLIGADO</w:t>
      </w:r>
      <w:r w:rsidRPr="00317535">
        <w:rPr>
          <w:rFonts w:ascii="Palatino Linotype" w:eastAsia="Palatino Linotype" w:hAnsi="Palatino Linotype" w:cs="Palatino Linotype"/>
          <w:color w:val="000000"/>
        </w:rPr>
        <w:t xml:space="preserve">, remitió un archivo electrónico en formato PDF, cuyo contenido ha sido desglosado en el párrafo número dos del presente. </w:t>
      </w:r>
    </w:p>
    <w:p w:rsidR="00411CC9" w:rsidRPr="00317535" w:rsidRDefault="00411CC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11CC9" w:rsidRPr="00317535" w:rsidRDefault="00B623A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t xml:space="preserve">Por lo que, el particular se inconformó porque se entregó por parte del  </w:t>
      </w:r>
      <w:r w:rsidRPr="00317535">
        <w:rPr>
          <w:rFonts w:ascii="Palatino Linotype" w:eastAsia="Palatino Linotype" w:hAnsi="Palatino Linotype" w:cs="Palatino Linotype"/>
          <w:b/>
          <w:bCs/>
          <w:color w:val="000000"/>
        </w:rPr>
        <w:t>SUJETO OBLIGADO</w:t>
      </w:r>
      <w:r w:rsidRPr="00317535">
        <w:rPr>
          <w:rFonts w:ascii="Palatino Linotype" w:eastAsia="Palatino Linotype" w:hAnsi="Palatino Linotype" w:cs="Palatino Linotype"/>
          <w:color w:val="000000"/>
        </w:rPr>
        <w:t xml:space="preserve"> la  información que no corresponde con lo solicitado</w:t>
      </w:r>
      <w:r w:rsidRPr="00317535">
        <w:rPr>
          <w:rFonts w:ascii="Palatino Linotype" w:eastAsia="Palatino Linotype" w:hAnsi="Palatino Linotype" w:cs="Palatino Linotype"/>
          <w:b/>
          <w:bCs/>
          <w:color w:val="000000"/>
        </w:rPr>
        <w:t>.</w:t>
      </w:r>
    </w:p>
    <w:p w:rsidR="00411CC9" w:rsidRPr="00317535" w:rsidRDefault="00411CC9">
      <w:pPr>
        <w:pBdr>
          <w:top w:val="nil"/>
          <w:left w:val="nil"/>
          <w:bottom w:val="nil"/>
          <w:right w:val="nil"/>
          <w:between w:val="nil"/>
        </w:pBdr>
        <w:ind w:left="720"/>
        <w:rPr>
          <w:rFonts w:ascii="Palatino Linotype" w:eastAsia="Palatino Linotype" w:hAnsi="Palatino Linotype" w:cs="Palatino Linotype"/>
          <w:color w:val="000000"/>
        </w:rPr>
      </w:pPr>
    </w:p>
    <w:p w:rsidR="00411CC9" w:rsidRPr="00317535" w:rsidRDefault="00B623AE">
      <w:pPr>
        <w:numPr>
          <w:ilvl w:val="0"/>
          <w:numId w:val="2"/>
        </w:numPr>
        <w:spacing w:line="360" w:lineRule="auto"/>
        <w:ind w:left="0" w:firstLine="0"/>
        <w:jc w:val="both"/>
        <w:rPr>
          <w:rFonts w:ascii="Palatino Linotype" w:eastAsia="Palatino Linotype" w:hAnsi="Palatino Linotype" w:cs="Palatino Linotype"/>
        </w:rPr>
      </w:pPr>
      <w:r w:rsidRPr="00317535">
        <w:rPr>
          <w:rFonts w:ascii="Palatino Linotype" w:eastAsia="Palatino Linotype" w:hAnsi="Palatino Linotype" w:cs="Palatino Linotype"/>
        </w:rPr>
        <w:t xml:space="preserve">En dichas condiciones, la </w:t>
      </w:r>
      <w:r w:rsidRPr="00317535">
        <w:rPr>
          <w:rFonts w:ascii="Palatino Linotype" w:eastAsia="Palatino Linotype" w:hAnsi="Palatino Linotype" w:cs="Palatino Linotype"/>
          <w:i/>
          <w:iCs/>
        </w:rPr>
        <w:t>Litis</w:t>
      </w:r>
      <w:r w:rsidRPr="00317535">
        <w:rPr>
          <w:rFonts w:ascii="Palatino Linotype" w:eastAsia="Palatino Linotype" w:hAnsi="Palatino Linotype" w:cs="Palatino Linotype"/>
        </w:rPr>
        <w:t xml:space="preserve"> a resolver en este recurso se circunscribe a determinar si se actualizan las causales de procedencia previstas en el artículo 179, </w:t>
      </w:r>
      <w:r w:rsidRPr="00317535">
        <w:rPr>
          <w:rFonts w:ascii="Palatino Linotype" w:eastAsia="Palatino Linotype" w:hAnsi="Palatino Linotype" w:cs="Palatino Linotype"/>
          <w:b/>
          <w:bCs/>
        </w:rPr>
        <w:t xml:space="preserve">fracción VI </w:t>
      </w:r>
      <w:r w:rsidRPr="00317535">
        <w:rPr>
          <w:rFonts w:ascii="Palatino Linotype" w:eastAsia="Palatino Linotype" w:hAnsi="Palatino Linotype" w:cs="Palatino Linotype"/>
        </w:rPr>
        <w:t xml:space="preserve">de la </w:t>
      </w:r>
      <w:r w:rsidRPr="00317535">
        <w:rPr>
          <w:rFonts w:ascii="Palatino Linotype" w:eastAsia="Palatino Linotype" w:hAnsi="Palatino Linotype" w:cs="Palatino Linotype"/>
          <w:b/>
          <w:bCs/>
        </w:rPr>
        <w:t>Ley de Transparencia y Acceso a la Información Pública del Estado de México y Municipios</w:t>
      </w:r>
      <w:r w:rsidRPr="00317535">
        <w:rPr>
          <w:rFonts w:ascii="Palatino Linotype" w:eastAsia="Palatino Linotype" w:hAnsi="Palatino Linotype" w:cs="Palatino Linotype"/>
        </w:rPr>
        <w:t xml:space="preserve">; </w:t>
      </w:r>
      <w:r w:rsidRPr="00317535">
        <w:rPr>
          <w:rFonts w:ascii="Palatino Linotype" w:eastAsia="Palatino Linotype" w:hAnsi="Palatino Linotype" w:cs="Palatino Linotype"/>
          <w:color w:val="000000"/>
        </w:rPr>
        <w:t xml:space="preserve">fracción que determina la entrega de información que no corresponda con lo solicitado; </w:t>
      </w:r>
      <w:r w:rsidRPr="00317535">
        <w:rPr>
          <w:rFonts w:ascii="Palatino Linotype" w:eastAsia="Palatino Linotype" w:hAnsi="Palatino Linotype" w:cs="Palatino Linotype"/>
        </w:rPr>
        <w:t xml:space="preserve">contexto del  cual se dolió </w:t>
      </w:r>
      <w:r w:rsidRPr="00317535">
        <w:rPr>
          <w:rFonts w:ascii="Palatino Linotype" w:eastAsia="Palatino Linotype" w:hAnsi="Palatino Linotype" w:cs="Palatino Linotype"/>
          <w:b/>
          <w:bCs/>
        </w:rPr>
        <w:t xml:space="preserve">EL RECURRENTE </w:t>
      </w:r>
      <w:r w:rsidRPr="00317535">
        <w:rPr>
          <w:rFonts w:ascii="Palatino Linotype" w:eastAsia="Palatino Linotype" w:hAnsi="Palatino Linotype" w:cs="Palatino Linotype"/>
        </w:rPr>
        <w:t>al momento de interponer su inconformidad.</w:t>
      </w:r>
      <w:r w:rsidRPr="00317535">
        <w:rPr>
          <w:rFonts w:ascii="Palatino Linotype" w:eastAsia="Palatino Linotype" w:hAnsi="Palatino Linotype" w:cs="Palatino Linotype"/>
          <w:color w:val="000000"/>
        </w:rPr>
        <w:t xml:space="preserve"> </w:t>
      </w:r>
    </w:p>
    <w:p w:rsidR="00411CC9" w:rsidRPr="00317535" w:rsidRDefault="00411CC9">
      <w:pPr>
        <w:pBdr>
          <w:top w:val="nil"/>
          <w:left w:val="nil"/>
          <w:bottom w:val="nil"/>
          <w:right w:val="nil"/>
          <w:between w:val="nil"/>
        </w:pBdr>
        <w:ind w:left="720"/>
        <w:rPr>
          <w:rFonts w:ascii="Palatino Linotype" w:eastAsia="Palatino Linotype" w:hAnsi="Palatino Linotype" w:cs="Palatino Linotype"/>
          <w:color w:val="000000"/>
        </w:rPr>
      </w:pPr>
    </w:p>
    <w:p w:rsidR="00411CC9" w:rsidRPr="00317535" w:rsidRDefault="00B623AE">
      <w:pPr>
        <w:numPr>
          <w:ilvl w:val="0"/>
          <w:numId w:val="2"/>
        </w:numPr>
        <w:spacing w:line="360" w:lineRule="auto"/>
        <w:ind w:left="0" w:firstLine="0"/>
        <w:jc w:val="both"/>
        <w:rPr>
          <w:rFonts w:ascii="Palatino Linotype" w:eastAsia="Palatino Linotype" w:hAnsi="Palatino Linotype" w:cs="Palatino Linotype"/>
        </w:rPr>
      </w:pPr>
      <w:r w:rsidRPr="00317535">
        <w:rPr>
          <w:rFonts w:ascii="Palatino Linotype" w:eastAsia="Palatino Linotype" w:hAnsi="Palatino Linotype" w:cs="Palatino Linotype"/>
          <w:color w:val="000000"/>
        </w:rPr>
        <w:t xml:space="preserve">De modo tal que el presente recurso de revisión se abocará en determinar si el </w:t>
      </w:r>
      <w:r w:rsidRPr="00317535">
        <w:rPr>
          <w:rFonts w:ascii="Palatino Linotype" w:eastAsia="Palatino Linotype" w:hAnsi="Palatino Linotype" w:cs="Palatino Linotype"/>
          <w:b/>
          <w:bCs/>
          <w:color w:val="000000"/>
        </w:rPr>
        <w:t>SUJETO</w:t>
      </w:r>
      <w:r w:rsidRPr="00317535">
        <w:rPr>
          <w:rFonts w:ascii="Palatino Linotype" w:eastAsia="Palatino Linotype" w:hAnsi="Palatino Linotype" w:cs="Palatino Linotype"/>
          <w:color w:val="000000"/>
        </w:rPr>
        <w:t xml:space="preserve"> </w:t>
      </w:r>
      <w:r w:rsidRPr="00317535">
        <w:rPr>
          <w:rFonts w:ascii="Palatino Linotype" w:eastAsia="Palatino Linotype" w:hAnsi="Palatino Linotype" w:cs="Palatino Linotype"/>
          <w:b/>
          <w:bCs/>
          <w:color w:val="000000"/>
        </w:rPr>
        <w:t>OBLIGADO</w:t>
      </w:r>
      <w:r w:rsidRPr="00317535">
        <w:rPr>
          <w:rFonts w:ascii="Palatino Linotype" w:eastAsia="Palatino Linotype" w:hAnsi="Palatino Linotype" w:cs="Palatino Linotype"/>
          <w:color w:val="000000"/>
        </w:rPr>
        <w:t xml:space="preserve"> con su respuesta ciertamente actualiza las causales de procedencia</w:t>
      </w:r>
      <w:r w:rsidRPr="00317535">
        <w:rPr>
          <w:rFonts w:ascii="Palatino Linotype" w:eastAsia="Palatino Linotype" w:hAnsi="Palatino Linotype" w:cs="Palatino Linotype"/>
          <w:b/>
          <w:bCs/>
          <w:color w:val="000000"/>
        </w:rPr>
        <w:t xml:space="preserve"> </w:t>
      </w:r>
      <w:r w:rsidRPr="00317535">
        <w:rPr>
          <w:rFonts w:ascii="Palatino Linotype" w:eastAsia="Palatino Linotype" w:hAnsi="Palatino Linotype" w:cs="Palatino Linotype"/>
          <w:color w:val="000000"/>
        </w:rPr>
        <w:t>antes señalada; asimismo, determinar si se vulnera el derecho de acceso a la información de la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411CC9" w:rsidRPr="00317535" w:rsidRDefault="00411CC9">
      <w:pPr>
        <w:spacing w:line="360" w:lineRule="auto"/>
        <w:ind w:left="644"/>
        <w:jc w:val="both"/>
        <w:rPr>
          <w:rFonts w:ascii="Palatino Linotype" w:eastAsia="Palatino Linotype" w:hAnsi="Palatino Linotype" w:cs="Palatino Linotype"/>
        </w:rPr>
      </w:pPr>
    </w:p>
    <w:p w:rsidR="00411CC9" w:rsidRPr="00317535" w:rsidRDefault="00B623AE">
      <w:pPr>
        <w:pStyle w:val="Ttulo2"/>
        <w:spacing w:before="0" w:line="360" w:lineRule="auto"/>
        <w:rPr>
          <w:rFonts w:ascii="Palatino Linotype" w:eastAsia="Palatino Linotype" w:hAnsi="Palatino Linotype" w:cs="Palatino Linotype"/>
          <w:b/>
          <w:bCs/>
          <w:color w:val="000000"/>
          <w:sz w:val="24"/>
          <w:szCs w:val="24"/>
          <w:highlight w:val="white"/>
        </w:rPr>
      </w:pPr>
      <w:r w:rsidRPr="00317535">
        <w:rPr>
          <w:rFonts w:ascii="Palatino Linotype" w:eastAsia="Palatino Linotype" w:hAnsi="Palatino Linotype" w:cs="Palatino Linotype"/>
          <w:b/>
          <w:bCs/>
          <w:color w:val="000000"/>
          <w:sz w:val="24"/>
          <w:szCs w:val="24"/>
          <w:highlight w:val="white"/>
        </w:rPr>
        <w:t>CUARTO. Del estudio y resolución del asunto.</w:t>
      </w:r>
    </w:p>
    <w:p w:rsidR="00411CC9" w:rsidRPr="00317535" w:rsidRDefault="00B623AE">
      <w:pPr>
        <w:pStyle w:val="Ttulo1"/>
        <w:numPr>
          <w:ilvl w:val="0"/>
          <w:numId w:val="3"/>
        </w:numPr>
        <w:spacing w:before="0" w:after="240" w:line="360" w:lineRule="auto"/>
        <w:ind w:left="786" w:hanging="360"/>
        <w:rPr>
          <w:rFonts w:ascii="Palatino Linotype" w:eastAsia="Palatino Linotype" w:hAnsi="Palatino Linotype" w:cs="Palatino Linotype"/>
          <w:b/>
          <w:bCs/>
          <w:color w:val="000000"/>
          <w:sz w:val="24"/>
          <w:szCs w:val="24"/>
        </w:rPr>
      </w:pPr>
      <w:bookmarkStart w:id="1" w:name="_heading=h.2s8eyo1" w:colFirst="0" w:colLast="0"/>
      <w:bookmarkEnd w:id="1"/>
      <w:r w:rsidRPr="00317535">
        <w:rPr>
          <w:rFonts w:ascii="Palatino Linotype" w:eastAsia="Palatino Linotype" w:hAnsi="Palatino Linotype" w:cs="Palatino Linotype"/>
          <w:b/>
          <w:bCs/>
          <w:color w:val="000000"/>
          <w:sz w:val="24"/>
          <w:szCs w:val="24"/>
        </w:rPr>
        <w:t>Del derecho de acceso a la información.</w:t>
      </w:r>
    </w:p>
    <w:p w:rsidR="00411CC9" w:rsidRPr="00317535" w:rsidRDefault="00B623AE">
      <w:pPr>
        <w:numPr>
          <w:ilvl w:val="0"/>
          <w:numId w:val="2"/>
        </w:numPr>
        <w:spacing w:line="360" w:lineRule="auto"/>
        <w:ind w:left="0"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w:t>
      </w:r>
      <w:r w:rsidRPr="00317535">
        <w:rPr>
          <w:rFonts w:ascii="Palatino Linotype" w:eastAsia="Palatino Linotype" w:hAnsi="Palatino Linotype" w:cs="Palatino Linotype"/>
          <w:color w:val="000000"/>
        </w:rPr>
        <w:lastRenderedPageBreak/>
        <w:t xml:space="preserve">Derechos Humanos en su artículo 13.1; en el artículo sexto de la Constitución Política de los Estados Unidos Mexicanos y en el artículo quinto de la Particular del Estado de México. </w:t>
      </w:r>
    </w:p>
    <w:p w:rsidR="00411CC9" w:rsidRPr="00317535" w:rsidRDefault="00411CC9">
      <w:pPr>
        <w:spacing w:line="360" w:lineRule="auto"/>
        <w:jc w:val="both"/>
        <w:rPr>
          <w:rFonts w:ascii="Palatino Linotype" w:eastAsia="Palatino Linotype" w:hAnsi="Palatino Linotype" w:cs="Palatino Linotype"/>
          <w:color w:val="000000"/>
        </w:rPr>
      </w:pPr>
    </w:p>
    <w:p w:rsidR="00411CC9" w:rsidRPr="00317535" w:rsidRDefault="00B623AE">
      <w:pPr>
        <w:numPr>
          <w:ilvl w:val="0"/>
          <w:numId w:val="2"/>
        </w:numPr>
        <w:spacing w:before="240" w:line="360" w:lineRule="auto"/>
        <w:ind w:left="0" w:right="49" w:firstLine="0"/>
        <w:jc w:val="both"/>
        <w:rPr>
          <w:rFonts w:ascii="Palatino Linotype" w:eastAsia="Palatino Linotype" w:hAnsi="Palatino Linotype" w:cs="Palatino Linotype"/>
        </w:rPr>
      </w:pPr>
      <w:r w:rsidRPr="00317535">
        <w:rPr>
          <w:rFonts w:ascii="Palatino Linotype" w:eastAsia="Palatino Linotype" w:hAnsi="Palatino Linotype" w:cs="Palatino Linotype"/>
        </w:rPr>
        <w:t xml:space="preserve">Definiendo el Derecho de Acceso a la Información Pública como: </w:t>
      </w:r>
    </w:p>
    <w:p w:rsidR="00411CC9" w:rsidRPr="00317535" w:rsidRDefault="00B623AE">
      <w:pPr>
        <w:spacing w:before="240"/>
        <w:ind w:left="1134" w:right="1389"/>
        <w:jc w:val="both"/>
        <w:rPr>
          <w:rFonts w:ascii="Palatino Linotype" w:eastAsia="Palatino Linotype" w:hAnsi="Palatino Linotype" w:cs="Palatino Linotype"/>
        </w:rPr>
      </w:pPr>
      <w:r w:rsidRPr="00317535">
        <w:rPr>
          <w:rFonts w:ascii="Palatino Linotype" w:eastAsia="Palatino Linotype" w:hAnsi="Palatino Linotype" w:cs="Palatino Linotype"/>
          <w:i/>
          <w:iCs/>
          <w:color w:val="000000"/>
        </w:rPr>
        <w:t>La igualdad de oportunidades para recibir, buscar e impartir información</w:t>
      </w:r>
      <w:r w:rsidRPr="00317535">
        <w:rPr>
          <w:rFonts w:ascii="Palatino Linotype" w:eastAsia="Palatino Linotype" w:hAnsi="Palatino Linotype" w:cs="Palatino Linotype"/>
          <w:i/>
          <w:iCs/>
          <w:vertAlign w:val="superscript"/>
        </w:rPr>
        <w:footnoteReference w:id="1"/>
      </w:r>
      <w:r w:rsidRPr="00317535">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17535">
        <w:rPr>
          <w:rFonts w:ascii="Palatino Linotype" w:eastAsia="Palatino Linotype" w:hAnsi="Palatino Linotype" w:cs="Palatino Linotype"/>
          <w:i/>
          <w:iCs/>
          <w:vertAlign w:val="superscript"/>
        </w:rPr>
        <w:footnoteReference w:id="2"/>
      </w:r>
      <w:r w:rsidRPr="00317535">
        <w:rPr>
          <w:rFonts w:ascii="Palatino Linotype" w:eastAsia="Palatino Linotype" w:hAnsi="Palatino Linotype" w:cs="Palatino Linotype"/>
          <w:color w:val="000000"/>
        </w:rPr>
        <w:t>que se constituye como una herramienta fundamental para ejercer</w:t>
      </w:r>
      <w:r w:rsidRPr="00317535">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317535">
        <w:rPr>
          <w:rFonts w:ascii="Palatino Linotype" w:eastAsia="Palatino Linotype" w:hAnsi="Palatino Linotype" w:cs="Palatino Linotype"/>
          <w:i/>
          <w:iCs/>
          <w:vertAlign w:val="superscript"/>
        </w:rPr>
        <w:footnoteReference w:id="3"/>
      </w:r>
      <w:r w:rsidRPr="00317535">
        <w:rPr>
          <w:rFonts w:ascii="Palatino Linotype" w:eastAsia="Palatino Linotype" w:hAnsi="Palatino Linotype" w:cs="Palatino Linotype"/>
          <w:color w:val="000000"/>
        </w:rPr>
        <w:t>fomentando</w:t>
      </w:r>
      <w:r w:rsidRPr="00317535">
        <w:rPr>
          <w:rFonts w:ascii="Palatino Linotype" w:eastAsia="Palatino Linotype" w:hAnsi="Palatino Linotype" w:cs="Palatino Linotype"/>
          <w:i/>
          <w:iCs/>
          <w:color w:val="000000"/>
        </w:rPr>
        <w:t xml:space="preserve"> la transparencia de las actividades estatales y </w:t>
      </w:r>
      <w:r w:rsidRPr="00317535">
        <w:rPr>
          <w:rFonts w:ascii="Palatino Linotype" w:eastAsia="Palatino Linotype" w:hAnsi="Palatino Linotype" w:cs="Palatino Linotype"/>
          <w:color w:val="000000"/>
        </w:rPr>
        <w:t>promoviendo</w:t>
      </w:r>
      <w:r w:rsidRPr="00317535">
        <w:rPr>
          <w:rFonts w:ascii="Palatino Linotype" w:eastAsia="Palatino Linotype" w:hAnsi="Palatino Linotype" w:cs="Palatino Linotype"/>
          <w:i/>
          <w:iCs/>
          <w:color w:val="000000"/>
        </w:rPr>
        <w:t xml:space="preserve"> la responsabilidad de los funcionarios sobre su gestión pública,</w:t>
      </w:r>
      <w:r w:rsidRPr="00317535">
        <w:rPr>
          <w:rFonts w:ascii="Palatino Linotype" w:eastAsia="Palatino Linotype" w:hAnsi="Palatino Linotype" w:cs="Palatino Linotype"/>
          <w:i/>
          <w:iCs/>
          <w:vertAlign w:val="superscript"/>
        </w:rPr>
        <w:footnoteReference w:id="4"/>
      </w:r>
      <w:r w:rsidRPr="00317535">
        <w:rPr>
          <w:rFonts w:ascii="Palatino Linotype" w:eastAsia="Palatino Linotype" w:hAnsi="Palatino Linotype" w:cs="Palatino Linotype"/>
          <w:color w:val="000000"/>
        </w:rPr>
        <w:t>que permite</w:t>
      </w:r>
      <w:r w:rsidRPr="00317535">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411CC9" w:rsidRPr="00317535" w:rsidRDefault="00411CC9">
      <w:pPr>
        <w:spacing w:line="360" w:lineRule="auto"/>
        <w:ind w:left="1134" w:right="1183"/>
        <w:jc w:val="both"/>
        <w:rPr>
          <w:rFonts w:ascii="Palatino Linotype" w:eastAsia="Palatino Linotype" w:hAnsi="Palatino Linotype" w:cs="Palatino Linotype"/>
        </w:rPr>
      </w:pPr>
    </w:p>
    <w:p w:rsidR="00411CC9" w:rsidRPr="00317535" w:rsidRDefault="00B623AE">
      <w:pPr>
        <w:numPr>
          <w:ilvl w:val="0"/>
          <w:numId w:val="2"/>
        </w:numPr>
        <w:spacing w:line="360" w:lineRule="auto"/>
        <w:ind w:left="0" w:right="49" w:firstLine="0"/>
        <w:jc w:val="both"/>
        <w:rPr>
          <w:rFonts w:ascii="Palatino Linotype" w:eastAsia="Palatino Linotype" w:hAnsi="Palatino Linotype" w:cs="Palatino Linotype"/>
        </w:rPr>
      </w:pPr>
      <w:r w:rsidRPr="00317535">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411CC9" w:rsidRPr="00317535" w:rsidRDefault="00B623AE">
      <w:pPr>
        <w:ind w:left="1134" w:right="900"/>
        <w:jc w:val="both"/>
        <w:rPr>
          <w:rFonts w:ascii="Palatino Linotype" w:eastAsia="Palatino Linotype" w:hAnsi="Palatino Linotype" w:cs="Palatino Linotype"/>
          <w:i/>
          <w:iCs/>
        </w:rPr>
      </w:pPr>
      <w:r w:rsidRPr="00317535">
        <w:rPr>
          <w:rFonts w:ascii="Palatino Linotype" w:eastAsia="Palatino Linotype" w:hAnsi="Palatino Linotype" w:cs="Palatino Linotype"/>
          <w:i/>
          <w:iCs/>
        </w:rPr>
        <w:t>“</w:t>
      </w:r>
      <w:r w:rsidRPr="00317535">
        <w:rPr>
          <w:rFonts w:ascii="Palatino Linotype" w:eastAsia="Palatino Linotype" w:hAnsi="Palatino Linotype" w:cs="Palatino Linotype"/>
          <w:b/>
          <w:bCs/>
          <w:i/>
          <w:iCs/>
        </w:rPr>
        <w:t>Artículo 1.-</w:t>
      </w:r>
      <w:r w:rsidRPr="00317535">
        <w:rPr>
          <w:rFonts w:ascii="Palatino Linotype" w:eastAsia="Palatino Linotype" w:hAnsi="Palatino Linotype" w:cs="Palatino Linotype"/>
          <w:i/>
          <w:iCs/>
        </w:rPr>
        <w:t xml:space="preserve"> </w:t>
      </w:r>
    </w:p>
    <w:p w:rsidR="00411CC9" w:rsidRPr="00317535" w:rsidRDefault="00B623AE">
      <w:pPr>
        <w:ind w:left="1134" w:right="900"/>
        <w:jc w:val="both"/>
        <w:rPr>
          <w:rFonts w:ascii="Palatino Linotype" w:eastAsia="Palatino Linotype" w:hAnsi="Palatino Linotype" w:cs="Palatino Linotype"/>
          <w:i/>
          <w:iCs/>
        </w:rPr>
      </w:pPr>
      <w:r w:rsidRPr="00317535">
        <w:rPr>
          <w:rFonts w:ascii="Palatino Linotype" w:eastAsia="Palatino Linotype" w:hAnsi="Palatino Linotype" w:cs="Palatino Linotype"/>
          <w:i/>
          <w:iCs/>
        </w:rPr>
        <w:t>(…)</w:t>
      </w:r>
    </w:p>
    <w:p w:rsidR="00411CC9" w:rsidRPr="00317535" w:rsidRDefault="00B623AE">
      <w:pPr>
        <w:ind w:left="1134" w:right="1389"/>
        <w:jc w:val="both"/>
        <w:rPr>
          <w:rFonts w:ascii="Palatino Linotype" w:eastAsia="Palatino Linotype" w:hAnsi="Palatino Linotype" w:cs="Palatino Linotype"/>
          <w:i/>
          <w:iCs/>
        </w:rPr>
      </w:pPr>
      <w:r w:rsidRPr="00317535">
        <w:rPr>
          <w:rFonts w:ascii="Palatino Linotype" w:eastAsia="Palatino Linotype" w:hAnsi="Palatino Linotype" w:cs="Palatino Linotype"/>
          <w:i/>
          <w:iCs/>
        </w:rPr>
        <w:t>Todas las</w:t>
      </w:r>
      <w:r w:rsidRPr="00317535">
        <w:rPr>
          <w:rFonts w:ascii="Palatino Linotype" w:eastAsia="Palatino Linotype" w:hAnsi="Palatino Linotype" w:cs="Palatino Linotype"/>
        </w:rPr>
        <w:t xml:space="preserve"> </w:t>
      </w:r>
      <w:r w:rsidRPr="00317535">
        <w:rPr>
          <w:rFonts w:ascii="Palatino Linotype" w:eastAsia="Palatino Linotype" w:hAnsi="Palatino Linotype" w:cs="Palatino Linotype"/>
          <w:i/>
          <w:iCs/>
        </w:rPr>
        <w:t xml:space="preserve">autoridades, en el ámbito de sus competencias, tienen la obligación de promover, respetar, proteger y garantizar los derechos humanos de conformidad con los principios de universalidad, interdependencia, </w:t>
      </w:r>
      <w:r w:rsidRPr="00317535">
        <w:rPr>
          <w:rFonts w:ascii="Palatino Linotype" w:eastAsia="Palatino Linotype" w:hAnsi="Palatino Linotype" w:cs="Palatino Linotype"/>
          <w:i/>
          <w:iCs/>
        </w:rPr>
        <w:lastRenderedPageBreak/>
        <w:t>indivisibilidad y progresividad. En consecuencia, el Estado deberá prevenir, investigar, sancionar y reparar las violaciones a los derechos humanos, en los términos que establezca la ley.</w:t>
      </w:r>
    </w:p>
    <w:p w:rsidR="00411CC9" w:rsidRPr="00317535" w:rsidRDefault="00B623AE">
      <w:pPr>
        <w:ind w:left="1134" w:right="1389"/>
        <w:jc w:val="both"/>
        <w:rPr>
          <w:rFonts w:ascii="Palatino Linotype" w:eastAsia="Palatino Linotype" w:hAnsi="Palatino Linotype" w:cs="Palatino Linotype"/>
        </w:rPr>
      </w:pPr>
      <w:r w:rsidRPr="00317535">
        <w:rPr>
          <w:rFonts w:ascii="Palatino Linotype" w:eastAsia="Palatino Linotype" w:hAnsi="Palatino Linotype" w:cs="Palatino Linotype"/>
          <w:i/>
          <w:iCs/>
        </w:rPr>
        <w:t>(…)</w:t>
      </w:r>
      <w:r w:rsidRPr="00317535">
        <w:rPr>
          <w:rFonts w:ascii="Palatino Linotype" w:eastAsia="Palatino Linotype" w:hAnsi="Palatino Linotype" w:cs="Palatino Linotype"/>
        </w:rPr>
        <w:t>”.</w:t>
      </w:r>
    </w:p>
    <w:p w:rsidR="00411CC9" w:rsidRPr="00317535" w:rsidRDefault="00411CC9">
      <w:pPr>
        <w:ind w:right="1389"/>
        <w:jc w:val="both"/>
        <w:rPr>
          <w:rFonts w:ascii="Palatino Linotype" w:eastAsia="Palatino Linotype" w:hAnsi="Palatino Linotype" w:cs="Palatino Linotype"/>
          <w:b/>
          <w:bCs/>
        </w:rPr>
      </w:pPr>
    </w:p>
    <w:p w:rsidR="00411CC9" w:rsidRPr="00317535" w:rsidRDefault="00B623AE">
      <w:pPr>
        <w:numPr>
          <w:ilvl w:val="0"/>
          <w:numId w:val="2"/>
        </w:numPr>
        <w:spacing w:line="360" w:lineRule="auto"/>
        <w:ind w:left="0" w:right="49" w:firstLine="0"/>
        <w:jc w:val="both"/>
        <w:rPr>
          <w:rFonts w:ascii="Palatino Linotype" w:eastAsia="Palatino Linotype" w:hAnsi="Palatino Linotype" w:cs="Palatino Linotype"/>
        </w:rPr>
      </w:pPr>
      <w:r w:rsidRPr="00317535">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411CC9" w:rsidRPr="00317535" w:rsidRDefault="00411CC9">
      <w:pPr>
        <w:spacing w:line="360" w:lineRule="auto"/>
        <w:ind w:right="49"/>
        <w:jc w:val="both"/>
        <w:rPr>
          <w:rFonts w:ascii="Palatino Linotype" w:eastAsia="Palatino Linotype" w:hAnsi="Palatino Linotype" w:cs="Palatino Linotype"/>
        </w:rPr>
      </w:pPr>
    </w:p>
    <w:p w:rsidR="00411CC9" w:rsidRPr="00317535" w:rsidRDefault="00B623AE">
      <w:pPr>
        <w:numPr>
          <w:ilvl w:val="0"/>
          <w:numId w:val="2"/>
        </w:numPr>
        <w:spacing w:line="360" w:lineRule="auto"/>
        <w:ind w:left="0" w:right="49" w:firstLine="0"/>
        <w:jc w:val="both"/>
        <w:rPr>
          <w:rFonts w:ascii="Palatino Linotype" w:eastAsia="Palatino Linotype" w:hAnsi="Palatino Linotype" w:cs="Palatino Linotype"/>
        </w:rPr>
      </w:pPr>
      <w:r w:rsidRPr="00317535">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411CC9" w:rsidRPr="00317535" w:rsidRDefault="00411CC9">
      <w:pPr>
        <w:ind w:left="1134" w:right="900"/>
        <w:jc w:val="both"/>
        <w:rPr>
          <w:rFonts w:ascii="Palatino Linotype" w:eastAsia="Palatino Linotype" w:hAnsi="Palatino Linotype" w:cs="Palatino Linotype"/>
        </w:rPr>
      </w:pPr>
    </w:p>
    <w:p w:rsidR="00411CC9" w:rsidRPr="00317535" w:rsidRDefault="00B623AE">
      <w:pPr>
        <w:spacing w:after="240"/>
        <w:ind w:left="1134" w:right="1389"/>
        <w:jc w:val="both"/>
        <w:rPr>
          <w:rFonts w:ascii="Palatino Linotype" w:eastAsia="Palatino Linotype" w:hAnsi="Palatino Linotype" w:cs="Palatino Linotype"/>
          <w:b/>
          <w:bCs/>
          <w:i/>
          <w:iCs/>
        </w:rPr>
      </w:pPr>
      <w:r w:rsidRPr="00317535">
        <w:rPr>
          <w:rFonts w:ascii="Palatino Linotype" w:eastAsia="Palatino Linotype" w:hAnsi="Palatino Linotype" w:cs="Palatino Linotype"/>
          <w:b/>
          <w:bCs/>
          <w:i/>
          <w:iCs/>
        </w:rPr>
        <w:t>Constitución Política de los Estados Unidos Mexicanos</w:t>
      </w:r>
    </w:p>
    <w:p w:rsidR="00411CC9" w:rsidRPr="00317535" w:rsidRDefault="00B623AE">
      <w:pPr>
        <w:spacing w:before="240" w:after="240"/>
        <w:ind w:left="1134" w:right="1389"/>
        <w:jc w:val="both"/>
        <w:rPr>
          <w:rFonts w:ascii="Palatino Linotype" w:eastAsia="Palatino Linotype" w:hAnsi="Palatino Linotype" w:cs="Palatino Linotype"/>
          <w:b/>
          <w:bCs/>
          <w:i/>
          <w:iCs/>
        </w:rPr>
      </w:pPr>
      <w:r w:rsidRPr="00317535">
        <w:rPr>
          <w:rFonts w:ascii="Palatino Linotype" w:eastAsia="Palatino Linotype" w:hAnsi="Palatino Linotype" w:cs="Palatino Linotype"/>
          <w:b/>
          <w:bCs/>
          <w:i/>
          <w:iCs/>
        </w:rPr>
        <w:t>“Artículo 6.</w:t>
      </w:r>
    </w:p>
    <w:p w:rsidR="00411CC9" w:rsidRPr="00317535" w:rsidRDefault="00B623AE">
      <w:pPr>
        <w:spacing w:before="240" w:after="240"/>
        <w:ind w:left="1134" w:right="1389"/>
        <w:jc w:val="both"/>
        <w:rPr>
          <w:rFonts w:ascii="Palatino Linotype" w:eastAsia="Palatino Linotype" w:hAnsi="Palatino Linotype" w:cs="Palatino Linotype"/>
          <w:i/>
          <w:iCs/>
        </w:rPr>
      </w:pPr>
      <w:r w:rsidRPr="00317535">
        <w:rPr>
          <w:rFonts w:ascii="Palatino Linotype" w:eastAsia="Palatino Linotype" w:hAnsi="Palatino Linotype" w:cs="Palatino Linotype"/>
          <w:i/>
          <w:iCs/>
        </w:rPr>
        <w:t>(…)</w:t>
      </w:r>
    </w:p>
    <w:p w:rsidR="00411CC9" w:rsidRPr="00317535" w:rsidRDefault="00B623AE">
      <w:pPr>
        <w:spacing w:before="240" w:after="240"/>
        <w:ind w:left="1134" w:right="1389"/>
        <w:jc w:val="both"/>
        <w:rPr>
          <w:rFonts w:ascii="Palatino Linotype" w:eastAsia="Palatino Linotype" w:hAnsi="Palatino Linotype" w:cs="Palatino Linotype"/>
          <w:i/>
          <w:iCs/>
        </w:rPr>
      </w:pPr>
      <w:r w:rsidRPr="00317535">
        <w:rPr>
          <w:rFonts w:ascii="Palatino Linotype" w:eastAsia="Palatino Linotype" w:hAnsi="Palatino Linotype" w:cs="Palatino Linotype"/>
          <w:i/>
          <w:iCs/>
        </w:rPr>
        <w:t>Para efectos de lo dispuesto en el presente artículo se observará lo siguiente:</w:t>
      </w:r>
    </w:p>
    <w:p w:rsidR="00411CC9" w:rsidRPr="00317535" w:rsidRDefault="00B623AE">
      <w:pPr>
        <w:spacing w:before="240" w:after="240"/>
        <w:ind w:left="1134" w:right="1389"/>
        <w:jc w:val="both"/>
        <w:rPr>
          <w:rFonts w:ascii="Palatino Linotype" w:eastAsia="Palatino Linotype" w:hAnsi="Palatino Linotype" w:cs="Palatino Linotype"/>
          <w:b/>
          <w:bCs/>
          <w:i/>
          <w:iCs/>
        </w:rPr>
      </w:pPr>
      <w:r w:rsidRPr="00317535">
        <w:rPr>
          <w:rFonts w:ascii="Palatino Linotype" w:eastAsia="Palatino Linotype" w:hAnsi="Palatino Linotype" w:cs="Palatino Linotype"/>
          <w:b/>
          <w:bCs/>
          <w:i/>
          <w:iCs/>
        </w:rPr>
        <w:t>A</w:t>
      </w:r>
      <w:r w:rsidRPr="00317535">
        <w:rPr>
          <w:rFonts w:ascii="Palatino Linotype" w:eastAsia="Palatino Linotype" w:hAnsi="Palatino Linotype" w:cs="Palatino Linotype"/>
          <w:i/>
          <w:iCs/>
        </w:rPr>
        <w:t xml:space="preserve">. </w:t>
      </w:r>
      <w:r w:rsidRPr="00317535">
        <w:rPr>
          <w:rFonts w:ascii="Palatino Linotype" w:eastAsia="Palatino Linotype" w:hAnsi="Palatino Linotype" w:cs="Palatino Linotype"/>
          <w:b/>
          <w:bCs/>
          <w:i/>
          <w:iCs/>
        </w:rPr>
        <w:t>Para el ejercicio del derecho de acceso a la información</w:t>
      </w:r>
      <w:r w:rsidRPr="00317535">
        <w:rPr>
          <w:rFonts w:ascii="Palatino Linotype" w:eastAsia="Palatino Linotype" w:hAnsi="Palatino Linotype" w:cs="Palatino Linotype"/>
          <w:i/>
          <w:iCs/>
        </w:rPr>
        <w:t xml:space="preserve">, la Federación y </w:t>
      </w:r>
      <w:r w:rsidRPr="00317535">
        <w:rPr>
          <w:rFonts w:ascii="Palatino Linotype" w:eastAsia="Palatino Linotype" w:hAnsi="Palatino Linotype" w:cs="Palatino Linotype"/>
          <w:b/>
          <w:bCs/>
          <w:i/>
          <w:iCs/>
        </w:rPr>
        <w:t>las entidades federativas, en el ámbito de sus respectivas competencias, se regirán por los siguientes principios y bases:</w:t>
      </w:r>
    </w:p>
    <w:p w:rsidR="00411CC9" w:rsidRPr="00317535" w:rsidRDefault="00B623AE">
      <w:pPr>
        <w:spacing w:before="240" w:after="240"/>
        <w:ind w:left="1134" w:right="1389"/>
        <w:jc w:val="both"/>
        <w:rPr>
          <w:rFonts w:ascii="Palatino Linotype" w:eastAsia="Palatino Linotype" w:hAnsi="Palatino Linotype" w:cs="Palatino Linotype"/>
          <w:i/>
          <w:iCs/>
        </w:rPr>
      </w:pPr>
      <w:r w:rsidRPr="00317535">
        <w:rPr>
          <w:rFonts w:ascii="Palatino Linotype" w:eastAsia="Palatino Linotype" w:hAnsi="Palatino Linotype" w:cs="Palatino Linotype"/>
          <w:b/>
          <w:bCs/>
          <w:i/>
          <w:iCs/>
        </w:rPr>
        <w:t xml:space="preserve">I. </w:t>
      </w:r>
      <w:r w:rsidRPr="00317535">
        <w:rPr>
          <w:rFonts w:ascii="Palatino Linotype" w:eastAsia="Palatino Linotype" w:hAnsi="Palatino Linotype" w:cs="Palatino Linotype"/>
          <w:b/>
          <w:bCs/>
          <w:i/>
          <w:iCs/>
        </w:rPr>
        <w:tab/>
        <w:t>Toda la información en posesión de cualquier</w:t>
      </w:r>
      <w:r w:rsidRPr="00317535">
        <w:rPr>
          <w:rFonts w:ascii="Palatino Linotype" w:eastAsia="Palatino Linotype" w:hAnsi="Palatino Linotype" w:cs="Palatino Linotype"/>
          <w:i/>
          <w:iCs/>
        </w:rPr>
        <w:t xml:space="preserve"> </w:t>
      </w:r>
      <w:r w:rsidRPr="00317535">
        <w:rPr>
          <w:rFonts w:ascii="Palatino Linotype" w:eastAsia="Palatino Linotype" w:hAnsi="Palatino Linotype" w:cs="Palatino Linotype"/>
          <w:b/>
          <w:bCs/>
          <w:i/>
          <w:iCs/>
        </w:rPr>
        <w:t>autoridad</w:t>
      </w:r>
      <w:r w:rsidRPr="00317535">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17535">
        <w:rPr>
          <w:rFonts w:ascii="Palatino Linotype" w:eastAsia="Palatino Linotype" w:hAnsi="Palatino Linotype" w:cs="Palatino Linotype"/>
          <w:b/>
          <w:bCs/>
          <w:i/>
          <w:iCs/>
        </w:rPr>
        <w:t>municipal</w:t>
      </w:r>
      <w:r w:rsidRPr="00317535">
        <w:rPr>
          <w:rFonts w:ascii="Palatino Linotype" w:eastAsia="Palatino Linotype" w:hAnsi="Palatino Linotype" w:cs="Palatino Linotype"/>
          <w:i/>
          <w:iCs/>
        </w:rPr>
        <w:t xml:space="preserve">, </w:t>
      </w:r>
      <w:r w:rsidRPr="00317535">
        <w:rPr>
          <w:rFonts w:ascii="Palatino Linotype" w:eastAsia="Palatino Linotype" w:hAnsi="Palatino Linotype" w:cs="Palatino Linotype"/>
          <w:b/>
          <w:bCs/>
          <w:i/>
          <w:iCs/>
        </w:rPr>
        <w:t>es pública</w:t>
      </w:r>
      <w:r w:rsidRPr="00317535">
        <w:rPr>
          <w:rFonts w:ascii="Palatino Linotype" w:eastAsia="Palatino Linotype" w:hAnsi="Palatino Linotype" w:cs="Palatino Linotype"/>
          <w:i/>
          <w:iCs/>
        </w:rPr>
        <w:t xml:space="preserve"> y sólo podrá ser reservada temporalmente por </w:t>
      </w:r>
      <w:r w:rsidRPr="00317535">
        <w:rPr>
          <w:rFonts w:ascii="Palatino Linotype" w:eastAsia="Palatino Linotype" w:hAnsi="Palatino Linotype" w:cs="Palatino Linotype"/>
          <w:i/>
          <w:iCs/>
        </w:rPr>
        <w:lastRenderedPageBreak/>
        <w:t xml:space="preserve">razones de interés público y seguridad nacional, en los términos que fijen las leyes. </w:t>
      </w:r>
      <w:r w:rsidRPr="00317535">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317535">
        <w:rPr>
          <w:rFonts w:ascii="Palatino Linotype" w:eastAsia="Palatino Linotype" w:hAnsi="Palatino Linotype" w:cs="Palatino Linotype"/>
          <w:i/>
          <w:iCs/>
        </w:rPr>
        <w:t>, la ley determinará los supuestos específicos bajo los cuales procederá la declaración de inexistencia de la información.”</w:t>
      </w:r>
    </w:p>
    <w:p w:rsidR="00411CC9" w:rsidRPr="00317535" w:rsidRDefault="00411CC9">
      <w:pPr>
        <w:pBdr>
          <w:top w:val="nil"/>
          <w:left w:val="nil"/>
          <w:bottom w:val="nil"/>
          <w:right w:val="nil"/>
          <w:between w:val="nil"/>
        </w:pBdr>
        <w:tabs>
          <w:tab w:val="left" w:pos="567"/>
        </w:tabs>
        <w:spacing w:before="240" w:after="240"/>
        <w:ind w:left="1134" w:right="1389"/>
        <w:jc w:val="both"/>
        <w:rPr>
          <w:rFonts w:ascii="Palatino Linotype" w:eastAsia="Palatino Linotype" w:hAnsi="Palatino Linotype" w:cs="Palatino Linotype"/>
          <w:b/>
          <w:bCs/>
          <w:i/>
          <w:iCs/>
          <w:color w:val="000000"/>
        </w:rPr>
      </w:pPr>
    </w:p>
    <w:p w:rsidR="00411CC9" w:rsidRPr="00317535" w:rsidRDefault="00B623AE">
      <w:pPr>
        <w:spacing w:before="240" w:after="240"/>
        <w:ind w:left="1134" w:right="1389"/>
        <w:jc w:val="both"/>
        <w:rPr>
          <w:rFonts w:ascii="Palatino Linotype" w:eastAsia="Palatino Linotype" w:hAnsi="Palatino Linotype" w:cs="Palatino Linotype"/>
          <w:b/>
          <w:bCs/>
          <w:i/>
          <w:iCs/>
        </w:rPr>
      </w:pPr>
      <w:r w:rsidRPr="00317535">
        <w:rPr>
          <w:rFonts w:ascii="Palatino Linotype" w:eastAsia="Palatino Linotype" w:hAnsi="Palatino Linotype" w:cs="Palatino Linotype"/>
          <w:b/>
          <w:bCs/>
          <w:i/>
          <w:iCs/>
        </w:rPr>
        <w:t>Constitución Política del Estado Libre y Soberano de México</w:t>
      </w:r>
    </w:p>
    <w:p w:rsidR="00411CC9" w:rsidRPr="00317535" w:rsidRDefault="00B623AE">
      <w:pPr>
        <w:spacing w:before="240" w:after="240"/>
        <w:ind w:left="1134" w:right="1389"/>
        <w:jc w:val="both"/>
        <w:rPr>
          <w:rFonts w:ascii="Palatino Linotype" w:eastAsia="Palatino Linotype" w:hAnsi="Palatino Linotype" w:cs="Palatino Linotype"/>
          <w:i/>
          <w:iCs/>
        </w:rPr>
      </w:pPr>
      <w:r w:rsidRPr="00317535">
        <w:rPr>
          <w:rFonts w:ascii="Palatino Linotype" w:eastAsia="Palatino Linotype" w:hAnsi="Palatino Linotype" w:cs="Palatino Linotype"/>
          <w:b/>
          <w:bCs/>
          <w:i/>
          <w:iCs/>
        </w:rPr>
        <w:t>“Artículo 5</w:t>
      </w:r>
      <w:r w:rsidRPr="00317535">
        <w:rPr>
          <w:rFonts w:ascii="Palatino Linotype" w:eastAsia="Palatino Linotype" w:hAnsi="Palatino Linotype" w:cs="Palatino Linotype"/>
          <w:i/>
          <w:iCs/>
        </w:rPr>
        <w:t xml:space="preserve">.- </w:t>
      </w:r>
    </w:p>
    <w:p w:rsidR="00411CC9" w:rsidRPr="00317535" w:rsidRDefault="00B623AE">
      <w:pPr>
        <w:spacing w:before="240" w:after="240"/>
        <w:ind w:left="1134" w:right="1389"/>
        <w:jc w:val="both"/>
        <w:rPr>
          <w:rFonts w:ascii="Palatino Linotype" w:eastAsia="Palatino Linotype" w:hAnsi="Palatino Linotype" w:cs="Palatino Linotype"/>
          <w:i/>
          <w:iCs/>
        </w:rPr>
      </w:pPr>
      <w:r w:rsidRPr="00317535">
        <w:rPr>
          <w:rFonts w:ascii="Palatino Linotype" w:eastAsia="Palatino Linotype" w:hAnsi="Palatino Linotype" w:cs="Palatino Linotype"/>
          <w:i/>
          <w:iCs/>
        </w:rPr>
        <w:t>(…)</w:t>
      </w:r>
    </w:p>
    <w:p w:rsidR="00411CC9" w:rsidRPr="00317535" w:rsidRDefault="00B623AE">
      <w:pPr>
        <w:spacing w:before="240" w:after="240"/>
        <w:ind w:left="1134" w:right="1389"/>
        <w:jc w:val="both"/>
        <w:rPr>
          <w:rFonts w:ascii="Palatino Linotype" w:eastAsia="Palatino Linotype" w:hAnsi="Palatino Linotype" w:cs="Palatino Linotype"/>
          <w:i/>
          <w:iCs/>
        </w:rPr>
      </w:pPr>
      <w:r w:rsidRPr="00317535">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317535">
        <w:rPr>
          <w:rFonts w:ascii="Palatino Linotype" w:eastAsia="Palatino Linotype" w:hAnsi="Palatino Linotype" w:cs="Palatino Linotype"/>
          <w:i/>
          <w:iCs/>
        </w:rPr>
        <w:t>.</w:t>
      </w:r>
    </w:p>
    <w:p w:rsidR="00411CC9" w:rsidRPr="00317535" w:rsidRDefault="00B623AE">
      <w:pPr>
        <w:spacing w:before="240" w:after="240"/>
        <w:ind w:left="1134" w:right="1389"/>
        <w:jc w:val="both"/>
        <w:rPr>
          <w:rFonts w:ascii="Palatino Linotype" w:eastAsia="Palatino Linotype" w:hAnsi="Palatino Linotype" w:cs="Palatino Linotype"/>
          <w:i/>
          <w:iCs/>
        </w:rPr>
      </w:pPr>
      <w:r w:rsidRPr="00317535">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11CC9" w:rsidRPr="00317535" w:rsidRDefault="00B623AE">
      <w:pPr>
        <w:spacing w:before="240" w:after="240"/>
        <w:ind w:left="1134" w:right="1389"/>
        <w:jc w:val="both"/>
        <w:rPr>
          <w:rFonts w:ascii="Palatino Linotype" w:eastAsia="Palatino Linotype" w:hAnsi="Palatino Linotype" w:cs="Palatino Linotype"/>
          <w:i/>
          <w:iCs/>
        </w:rPr>
      </w:pPr>
      <w:r w:rsidRPr="00317535">
        <w:rPr>
          <w:rFonts w:ascii="Palatino Linotype" w:eastAsia="Palatino Linotype" w:hAnsi="Palatino Linotype" w:cs="Palatino Linotype"/>
          <w:b/>
          <w:bCs/>
          <w:i/>
          <w:iCs/>
        </w:rPr>
        <w:t>Este derecho se regirá por los principios y bases siguientes</w:t>
      </w:r>
      <w:r w:rsidRPr="00317535">
        <w:rPr>
          <w:rFonts w:ascii="Palatino Linotype" w:eastAsia="Palatino Linotype" w:hAnsi="Palatino Linotype" w:cs="Palatino Linotype"/>
          <w:i/>
          <w:iCs/>
        </w:rPr>
        <w:t>:</w:t>
      </w:r>
    </w:p>
    <w:p w:rsidR="00411CC9" w:rsidRPr="00317535" w:rsidRDefault="00B623AE">
      <w:pPr>
        <w:spacing w:before="240" w:after="240"/>
        <w:ind w:left="1134" w:right="1389"/>
        <w:jc w:val="both"/>
        <w:rPr>
          <w:rFonts w:ascii="Palatino Linotype" w:eastAsia="Palatino Linotype" w:hAnsi="Palatino Linotype" w:cs="Palatino Linotype"/>
          <w:i/>
          <w:iCs/>
        </w:rPr>
      </w:pPr>
      <w:r w:rsidRPr="00317535">
        <w:rPr>
          <w:rFonts w:ascii="Palatino Linotype" w:eastAsia="Palatino Linotype" w:hAnsi="Palatino Linotype" w:cs="Palatino Linotype"/>
          <w:b/>
          <w:bCs/>
          <w:i/>
          <w:iCs/>
        </w:rPr>
        <w:t>I. Toda la información en posesión de cualquier autoridad, entidad, órgano y organismos de los</w:t>
      </w:r>
      <w:r w:rsidRPr="00317535">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317535">
        <w:rPr>
          <w:rFonts w:ascii="Palatino Linotype" w:eastAsia="Palatino Linotype" w:hAnsi="Palatino Linotype" w:cs="Palatino Linotype"/>
          <w:b/>
          <w:bCs/>
          <w:i/>
          <w:iCs/>
        </w:rPr>
        <w:t>municipales</w:t>
      </w:r>
      <w:r w:rsidRPr="00317535">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17535">
        <w:rPr>
          <w:rFonts w:ascii="Palatino Linotype" w:eastAsia="Palatino Linotype" w:hAnsi="Palatino Linotype" w:cs="Palatino Linotype"/>
          <w:b/>
          <w:bCs/>
          <w:i/>
          <w:iCs/>
        </w:rPr>
        <w:t>es pública</w:t>
      </w:r>
      <w:r w:rsidRPr="00317535">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317535">
        <w:rPr>
          <w:rFonts w:ascii="Palatino Linotype" w:eastAsia="Palatino Linotype" w:hAnsi="Palatino Linotype" w:cs="Palatino Linotype"/>
          <w:b/>
          <w:bCs/>
          <w:i/>
          <w:iCs/>
        </w:rPr>
        <w:t>En la interpretación de este derecho deberá prevalecer el principio de máxima publicidad</w:t>
      </w:r>
      <w:r w:rsidRPr="00317535">
        <w:rPr>
          <w:rFonts w:ascii="Palatino Linotype" w:eastAsia="Palatino Linotype" w:hAnsi="Palatino Linotype" w:cs="Palatino Linotype"/>
          <w:i/>
          <w:iCs/>
        </w:rPr>
        <w:t xml:space="preserve">. </w:t>
      </w:r>
      <w:r w:rsidRPr="00317535">
        <w:rPr>
          <w:rFonts w:ascii="Palatino Linotype" w:eastAsia="Palatino Linotype" w:hAnsi="Palatino Linotype" w:cs="Palatino Linotype"/>
          <w:b/>
          <w:bCs/>
          <w:i/>
          <w:iCs/>
        </w:rPr>
        <w:t xml:space="preserve">Los sujetos obligados deberán documentar todo </w:t>
      </w:r>
      <w:r w:rsidRPr="00317535">
        <w:rPr>
          <w:rFonts w:ascii="Palatino Linotype" w:eastAsia="Palatino Linotype" w:hAnsi="Palatino Linotype" w:cs="Palatino Linotype"/>
          <w:b/>
          <w:bCs/>
          <w:i/>
          <w:iCs/>
        </w:rPr>
        <w:lastRenderedPageBreak/>
        <w:t>acto que derive del ejercicio de sus facultades, competencias o funciones</w:t>
      </w:r>
      <w:r w:rsidRPr="00317535">
        <w:rPr>
          <w:rFonts w:ascii="Palatino Linotype" w:eastAsia="Palatino Linotype" w:hAnsi="Palatino Linotype" w:cs="Palatino Linotype"/>
          <w:i/>
          <w:iCs/>
        </w:rPr>
        <w:t>, la ley determinará los supuestos específicos bajo los cuales procederá la declaración de inexistencia de la información.”</w:t>
      </w:r>
    </w:p>
    <w:p w:rsidR="00411CC9" w:rsidRPr="00317535" w:rsidRDefault="00411CC9">
      <w:pPr>
        <w:tabs>
          <w:tab w:val="left" w:pos="567"/>
        </w:tabs>
        <w:spacing w:before="240" w:after="240"/>
        <w:ind w:right="567"/>
        <w:jc w:val="both"/>
        <w:rPr>
          <w:rFonts w:ascii="Palatino Linotype" w:eastAsia="Palatino Linotype" w:hAnsi="Palatino Linotype" w:cs="Palatino Linotype"/>
          <w:b/>
          <w:bCs/>
          <w:i/>
          <w:iCs/>
        </w:rPr>
      </w:pPr>
    </w:p>
    <w:p w:rsidR="00411CC9" w:rsidRPr="00317535" w:rsidRDefault="00B623AE">
      <w:pPr>
        <w:numPr>
          <w:ilvl w:val="0"/>
          <w:numId w:val="2"/>
        </w:numPr>
        <w:spacing w:before="240" w:line="360" w:lineRule="auto"/>
        <w:ind w:left="0" w:right="49" w:firstLine="0"/>
        <w:jc w:val="both"/>
        <w:rPr>
          <w:rFonts w:ascii="Palatino Linotype" w:eastAsia="Palatino Linotype" w:hAnsi="Palatino Linotype" w:cs="Palatino Linotype"/>
        </w:rPr>
      </w:pPr>
      <w:r w:rsidRPr="00317535">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317535">
        <w:rPr>
          <w:rFonts w:ascii="Palatino Linotype" w:eastAsia="Palatino Linotype" w:hAnsi="Palatino Linotype" w:cs="Palatino Linotype"/>
          <w:i/>
          <w:iCs/>
        </w:rPr>
        <w:t>por los principios de simplicidad, rapidez gratuidad del procedimiento, auxilio y orientación a los particulares</w:t>
      </w:r>
      <w:r w:rsidRPr="00317535">
        <w:rPr>
          <w:rFonts w:ascii="Palatino Linotype" w:eastAsia="Palatino Linotype" w:hAnsi="Palatino Linotype" w:cs="Palatino Linotype"/>
        </w:rPr>
        <w:t>, contemplando el derecho de las personas con discapacidad y hablantes de lengua indígena.</w:t>
      </w:r>
    </w:p>
    <w:p w:rsidR="00411CC9" w:rsidRPr="00317535" w:rsidRDefault="00411CC9">
      <w:pPr>
        <w:spacing w:line="360" w:lineRule="auto"/>
        <w:ind w:right="49"/>
        <w:jc w:val="both"/>
        <w:rPr>
          <w:rFonts w:ascii="Palatino Linotype" w:eastAsia="Palatino Linotype" w:hAnsi="Palatino Linotype" w:cs="Palatino Linotype"/>
        </w:rPr>
      </w:pPr>
    </w:p>
    <w:p w:rsidR="00411CC9" w:rsidRPr="00317535" w:rsidRDefault="00B623AE">
      <w:pPr>
        <w:numPr>
          <w:ilvl w:val="0"/>
          <w:numId w:val="2"/>
        </w:numPr>
        <w:spacing w:line="360" w:lineRule="auto"/>
        <w:ind w:left="0" w:right="49" w:firstLine="0"/>
        <w:jc w:val="both"/>
        <w:rPr>
          <w:rFonts w:ascii="Palatino Linotype" w:eastAsia="Palatino Linotype" w:hAnsi="Palatino Linotype" w:cs="Palatino Linotype"/>
        </w:rPr>
      </w:pPr>
      <w:bookmarkStart w:id="2" w:name="_heading=h.17dp8vu" w:colFirst="0" w:colLast="0"/>
      <w:bookmarkEnd w:id="2"/>
      <w:r w:rsidRPr="00317535">
        <w:rPr>
          <w:rFonts w:ascii="Palatino Linotype" w:eastAsia="Palatino Linotype" w:hAnsi="Palatino Linotype" w:cs="Palatino Linotype"/>
        </w:rPr>
        <w:t xml:space="preserve">Así entonces, se procede analizar, en primer lugar, si el </w:t>
      </w:r>
      <w:r w:rsidRPr="00317535">
        <w:rPr>
          <w:rFonts w:ascii="Palatino Linotype" w:eastAsia="Palatino Linotype" w:hAnsi="Palatino Linotype" w:cs="Palatino Linotype"/>
          <w:b/>
          <w:bCs/>
        </w:rPr>
        <w:t>SUJETO OBLIGADO</w:t>
      </w:r>
      <w:r w:rsidRPr="00317535">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411CC9" w:rsidRPr="00317535" w:rsidRDefault="00411CC9">
      <w:pPr>
        <w:spacing w:line="360" w:lineRule="auto"/>
        <w:ind w:right="49"/>
        <w:jc w:val="both"/>
        <w:rPr>
          <w:rFonts w:ascii="Palatino Linotype" w:eastAsia="Palatino Linotype" w:hAnsi="Palatino Linotype" w:cs="Palatino Linotype"/>
        </w:rPr>
      </w:pPr>
    </w:p>
    <w:p w:rsidR="00411CC9" w:rsidRPr="00317535" w:rsidRDefault="00B623AE">
      <w:pPr>
        <w:pStyle w:val="Ttulo1"/>
        <w:spacing w:before="0" w:line="360" w:lineRule="auto"/>
        <w:rPr>
          <w:rFonts w:ascii="Palatino Linotype" w:eastAsia="Palatino Linotype" w:hAnsi="Palatino Linotype" w:cs="Palatino Linotype"/>
          <w:b/>
          <w:bCs/>
          <w:color w:val="000000"/>
          <w:sz w:val="24"/>
          <w:szCs w:val="24"/>
        </w:rPr>
      </w:pPr>
      <w:bookmarkStart w:id="3" w:name="_heading=h.3rdcrjn" w:colFirst="0" w:colLast="0"/>
      <w:bookmarkEnd w:id="3"/>
      <w:r w:rsidRPr="00317535">
        <w:rPr>
          <w:rFonts w:ascii="Palatino Linotype" w:eastAsia="Palatino Linotype" w:hAnsi="Palatino Linotype" w:cs="Palatino Linotype"/>
          <w:b/>
          <w:bCs/>
          <w:color w:val="000000"/>
          <w:sz w:val="24"/>
          <w:szCs w:val="24"/>
        </w:rPr>
        <w:t>II. De la información solicitada y la respuesta del SUJETO OBLIGADO</w:t>
      </w:r>
    </w:p>
    <w:p w:rsidR="00411CC9" w:rsidRPr="00317535" w:rsidRDefault="00B623AE">
      <w:pPr>
        <w:numPr>
          <w:ilvl w:val="0"/>
          <w:numId w:val="2"/>
        </w:numPr>
        <w:spacing w:line="360" w:lineRule="auto"/>
        <w:ind w:left="0" w:firstLine="0"/>
        <w:jc w:val="both"/>
        <w:rPr>
          <w:rFonts w:ascii="Palatino Linotype" w:eastAsia="Palatino Linotype" w:hAnsi="Palatino Linotype" w:cs="Palatino Linotype"/>
        </w:rPr>
      </w:pPr>
      <w:r w:rsidRPr="00317535">
        <w:rPr>
          <w:rFonts w:ascii="Palatino Linotype" w:eastAsia="Palatino Linotype" w:hAnsi="Palatino Linotype" w:cs="Palatino Linotype"/>
          <w:color w:val="000000"/>
        </w:rPr>
        <w:t xml:space="preserve">Acotada la </w:t>
      </w:r>
      <w:r w:rsidRPr="00317535">
        <w:rPr>
          <w:rFonts w:ascii="Palatino Linotype" w:eastAsia="Palatino Linotype" w:hAnsi="Palatino Linotype" w:cs="Palatino Linotype"/>
          <w:i/>
          <w:iCs/>
          <w:color w:val="000000"/>
        </w:rPr>
        <w:t>Litis</w:t>
      </w:r>
      <w:r w:rsidRPr="00317535">
        <w:rPr>
          <w:rFonts w:ascii="Palatino Linotype" w:eastAsia="Palatino Linotype" w:hAnsi="Palatino Linotype" w:cs="Palatino Linotype"/>
          <w:color w:val="000000"/>
        </w:rPr>
        <w:t xml:space="preserve"> del presente asunto, es menester precisar que del escrito de inconformidad, se observa que el particular se duele porque no se le entrega la información. </w:t>
      </w:r>
    </w:p>
    <w:p w:rsidR="00411CC9" w:rsidRPr="00317535" w:rsidRDefault="00411CC9">
      <w:pPr>
        <w:spacing w:line="360" w:lineRule="auto"/>
        <w:jc w:val="both"/>
        <w:rPr>
          <w:rFonts w:ascii="Palatino Linotype" w:eastAsia="Palatino Linotype" w:hAnsi="Palatino Linotype" w:cs="Palatino Linotype"/>
        </w:rPr>
      </w:pPr>
    </w:p>
    <w:p w:rsidR="00411CC9" w:rsidRPr="00317535" w:rsidRDefault="00B623AE">
      <w:pPr>
        <w:numPr>
          <w:ilvl w:val="0"/>
          <w:numId w:val="2"/>
        </w:numPr>
        <w:spacing w:line="360" w:lineRule="auto"/>
        <w:ind w:left="0" w:firstLine="0"/>
        <w:jc w:val="both"/>
        <w:rPr>
          <w:rFonts w:ascii="Palatino Linotype" w:eastAsia="Palatino Linotype" w:hAnsi="Palatino Linotype" w:cs="Palatino Linotype"/>
        </w:rPr>
      </w:pPr>
      <w:r w:rsidRPr="00317535">
        <w:rPr>
          <w:rFonts w:ascii="Palatino Linotype" w:eastAsia="Palatino Linotype" w:hAnsi="Palatino Linotype" w:cs="Palatino Linotype"/>
        </w:rPr>
        <w:t xml:space="preserve">En ese sentido, es importante recordar la información que fue solicitada por el </w:t>
      </w:r>
      <w:r w:rsidRPr="00317535">
        <w:rPr>
          <w:rFonts w:ascii="Palatino Linotype" w:eastAsia="Palatino Linotype" w:hAnsi="Palatino Linotype" w:cs="Palatino Linotype"/>
          <w:b/>
          <w:bCs/>
        </w:rPr>
        <w:t xml:space="preserve">RECURRENTE. </w:t>
      </w:r>
    </w:p>
    <w:p w:rsidR="00411CC9" w:rsidRPr="00317535" w:rsidRDefault="00B623AE">
      <w:pPr>
        <w:ind w:left="426" w:right="708"/>
        <w:jc w:val="center"/>
        <w:rPr>
          <w:rFonts w:ascii="Palatino Linotype" w:eastAsia="Palatino Linotype" w:hAnsi="Palatino Linotype" w:cs="Palatino Linotype"/>
          <w:i/>
          <w:iCs/>
        </w:rPr>
      </w:pPr>
      <w:r w:rsidRPr="00317535">
        <w:rPr>
          <w:rFonts w:ascii="Palatino Linotype" w:eastAsia="Palatino Linotype" w:hAnsi="Palatino Linotype" w:cs="Palatino Linotype"/>
          <w:i/>
          <w:iCs/>
        </w:rPr>
        <w:t>Del uno de enero al quince de agosto de dos mil veinticinco:</w:t>
      </w:r>
    </w:p>
    <w:p w:rsidR="00411CC9" w:rsidRPr="00317535" w:rsidRDefault="00B623AE">
      <w:pPr>
        <w:numPr>
          <w:ilvl w:val="3"/>
          <w:numId w:val="2"/>
        </w:numPr>
        <w:pBdr>
          <w:top w:val="nil"/>
          <w:left w:val="nil"/>
          <w:bottom w:val="nil"/>
          <w:right w:val="nil"/>
          <w:between w:val="nil"/>
        </w:pBdr>
        <w:ind w:left="426" w:right="708"/>
        <w:jc w:val="center"/>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t xml:space="preserve">Listado de nuevos puestos </w:t>
      </w:r>
    </w:p>
    <w:p w:rsidR="00411CC9" w:rsidRPr="00317535" w:rsidRDefault="00B623AE">
      <w:pPr>
        <w:numPr>
          <w:ilvl w:val="3"/>
          <w:numId w:val="2"/>
        </w:numPr>
        <w:pBdr>
          <w:top w:val="nil"/>
          <w:left w:val="nil"/>
          <w:bottom w:val="nil"/>
          <w:right w:val="nil"/>
          <w:between w:val="nil"/>
        </w:pBdr>
        <w:ind w:left="426" w:right="708"/>
        <w:jc w:val="center"/>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t>Cobros a nuevos puestos</w:t>
      </w:r>
    </w:p>
    <w:p w:rsidR="00411CC9" w:rsidRPr="00317535" w:rsidRDefault="00411CC9">
      <w:pPr>
        <w:spacing w:line="360" w:lineRule="auto"/>
        <w:ind w:right="708"/>
        <w:jc w:val="center"/>
        <w:rPr>
          <w:rFonts w:ascii="Palatino Linotype" w:eastAsia="Palatino Linotype" w:hAnsi="Palatino Linotype" w:cs="Palatino Linotype"/>
          <w:b/>
          <w:bCs/>
        </w:rPr>
      </w:pPr>
    </w:p>
    <w:p w:rsidR="00411CC9" w:rsidRPr="00317535" w:rsidRDefault="00B623AE">
      <w:pPr>
        <w:numPr>
          <w:ilvl w:val="0"/>
          <w:numId w:val="2"/>
        </w:numPr>
        <w:pBdr>
          <w:top w:val="nil"/>
          <w:left w:val="nil"/>
          <w:bottom w:val="nil"/>
          <w:right w:val="nil"/>
          <w:between w:val="nil"/>
        </w:pBdr>
        <w:spacing w:line="360" w:lineRule="auto"/>
        <w:ind w:left="0" w:right="-29" w:firstLine="0"/>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color w:val="000000"/>
        </w:rPr>
        <w:lastRenderedPageBreak/>
        <w:t xml:space="preserve">De lo anterior, el </w:t>
      </w:r>
      <w:r w:rsidRPr="00317535">
        <w:rPr>
          <w:rFonts w:ascii="Palatino Linotype" w:eastAsia="Palatino Linotype" w:hAnsi="Palatino Linotype" w:cs="Palatino Linotype"/>
          <w:b/>
          <w:bCs/>
          <w:color w:val="000000"/>
        </w:rPr>
        <w:t xml:space="preserve">SUJETO OBLIGADO </w:t>
      </w:r>
      <w:r w:rsidRPr="00317535">
        <w:rPr>
          <w:rFonts w:ascii="Palatino Linotype" w:eastAsia="Palatino Linotype" w:hAnsi="Palatino Linotype" w:cs="Palatino Linotype"/>
          <w:color w:val="000000"/>
        </w:rPr>
        <w:t>entregó en  respuesta a la solicitud de información un archivo en formato PDF, cuyo contenido grosso</w:t>
      </w:r>
      <w:r w:rsidRPr="00317535">
        <w:rPr>
          <w:rFonts w:ascii="Palatino Linotype" w:eastAsia="Palatino Linotype" w:hAnsi="Palatino Linotype" w:cs="Palatino Linotype"/>
          <w:i/>
          <w:iCs/>
          <w:color w:val="000000"/>
        </w:rPr>
        <w:t xml:space="preserve"> modo es el siguiente: </w:t>
      </w:r>
    </w:p>
    <w:p w:rsidR="00411CC9" w:rsidRPr="00317535" w:rsidRDefault="00B623AE">
      <w:pPr>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b/>
          <w:bCs/>
          <w:color w:val="000000"/>
        </w:rPr>
        <w:t xml:space="preserve">CONTESTACIÓN SAIMEX 01387.pdf: </w:t>
      </w:r>
      <w:r w:rsidRPr="00317535">
        <w:rPr>
          <w:rFonts w:ascii="Palatino Linotype" w:eastAsia="Palatino Linotype" w:hAnsi="Palatino Linotype" w:cs="Palatino Linotype"/>
          <w:i/>
          <w:iCs/>
          <w:color w:val="000000"/>
        </w:rPr>
        <w:t xml:space="preserve">El titular de la Dirección de Desarrollo Económico informa que para el año 2025 no se han emitido nuevos permisos o cédulas, puestos fijos y semifijos. </w:t>
      </w:r>
    </w:p>
    <w:p w:rsidR="00411CC9" w:rsidRPr="00317535" w:rsidRDefault="00411CC9">
      <w:pPr>
        <w:ind w:left="1134" w:right="1389"/>
        <w:jc w:val="both"/>
        <w:rPr>
          <w:rFonts w:ascii="Palatino Linotype" w:eastAsia="Palatino Linotype" w:hAnsi="Palatino Linotype" w:cs="Palatino Linotype"/>
          <w:i/>
          <w:iCs/>
          <w:color w:val="000000"/>
        </w:rPr>
      </w:pPr>
    </w:p>
    <w:p w:rsidR="00411CC9" w:rsidRPr="00317535" w:rsidRDefault="00B623AE">
      <w:pPr>
        <w:ind w:right="-29"/>
        <w:jc w:val="center"/>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noProof/>
          <w:color w:val="000000"/>
        </w:rPr>
        <w:drawing>
          <wp:inline distT="0" distB="0" distL="0" distR="0">
            <wp:extent cx="5080079" cy="101737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080079" cy="1017372"/>
                    </a:xfrm>
                    <a:prstGeom prst="rect">
                      <a:avLst/>
                    </a:prstGeom>
                    <a:ln/>
                  </pic:spPr>
                </pic:pic>
              </a:graphicData>
            </a:graphic>
          </wp:inline>
        </w:drawing>
      </w:r>
    </w:p>
    <w:p w:rsidR="00411CC9" w:rsidRPr="00317535" w:rsidRDefault="00411CC9">
      <w:pPr>
        <w:ind w:left="1134" w:right="1389"/>
        <w:jc w:val="both"/>
        <w:rPr>
          <w:rFonts w:ascii="Palatino Linotype" w:eastAsia="Palatino Linotype" w:hAnsi="Palatino Linotype" w:cs="Palatino Linotype"/>
          <w:b/>
          <w:bCs/>
          <w:color w:val="000000"/>
        </w:rPr>
      </w:pPr>
    </w:p>
    <w:p w:rsidR="00411CC9" w:rsidRPr="00317535" w:rsidRDefault="00B623AE">
      <w:pPr>
        <w:ind w:left="1134" w:right="1389"/>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b/>
          <w:bCs/>
          <w:color w:val="000000"/>
        </w:rPr>
        <w:t xml:space="preserve">RESPUESTA 1387.pdf: </w:t>
      </w:r>
      <w:r w:rsidRPr="00317535">
        <w:rPr>
          <w:rFonts w:ascii="Palatino Linotype" w:eastAsia="Palatino Linotype" w:hAnsi="Palatino Linotype" w:cs="Palatino Linotype"/>
          <w:i/>
          <w:iCs/>
          <w:color w:val="000000"/>
        </w:rPr>
        <w:t>Donde en esencia, el servidor público habilitado de la Dirección de Administración pone a disposición del solicitante un enlace en formato cerrado donde refiere al tabulador de sueldos y salarios.</w:t>
      </w:r>
    </w:p>
    <w:p w:rsidR="00411CC9" w:rsidRPr="00317535" w:rsidRDefault="00411CC9">
      <w:pPr>
        <w:ind w:left="1134" w:right="1389"/>
        <w:jc w:val="both"/>
        <w:rPr>
          <w:rFonts w:ascii="Palatino Linotype" w:eastAsia="Palatino Linotype" w:hAnsi="Palatino Linotype" w:cs="Palatino Linotype"/>
          <w:i/>
          <w:iCs/>
        </w:rPr>
      </w:pPr>
    </w:p>
    <w:p w:rsidR="00411CC9" w:rsidRPr="00317535" w:rsidRDefault="00B623AE">
      <w:pPr>
        <w:ind w:right="-29"/>
        <w:jc w:val="center"/>
        <w:rPr>
          <w:rFonts w:ascii="Palatino Linotype" w:eastAsia="Palatino Linotype" w:hAnsi="Palatino Linotype" w:cs="Palatino Linotype"/>
          <w:i/>
          <w:iCs/>
        </w:rPr>
      </w:pPr>
      <w:r w:rsidRPr="00317535">
        <w:rPr>
          <w:rFonts w:ascii="Palatino Linotype" w:eastAsia="Palatino Linotype" w:hAnsi="Palatino Linotype" w:cs="Palatino Linotype"/>
          <w:i/>
          <w:iCs/>
          <w:noProof/>
        </w:rPr>
        <w:drawing>
          <wp:inline distT="0" distB="0" distL="0" distR="0">
            <wp:extent cx="5235027" cy="1286446"/>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235027" cy="1286446"/>
                    </a:xfrm>
                    <a:prstGeom prst="rect">
                      <a:avLst/>
                    </a:prstGeom>
                    <a:ln/>
                  </pic:spPr>
                </pic:pic>
              </a:graphicData>
            </a:graphic>
          </wp:inline>
        </w:drawing>
      </w:r>
    </w:p>
    <w:p w:rsidR="00411CC9" w:rsidRPr="00317535" w:rsidRDefault="00411CC9">
      <w:pPr>
        <w:spacing w:line="360" w:lineRule="auto"/>
        <w:ind w:left="1560" w:right="680"/>
        <w:jc w:val="both"/>
        <w:rPr>
          <w:rFonts w:ascii="Palatino Linotype" w:eastAsia="Palatino Linotype" w:hAnsi="Palatino Linotype" w:cs="Palatino Linotype"/>
        </w:rPr>
      </w:pPr>
    </w:p>
    <w:p w:rsidR="00411CC9" w:rsidRPr="00317535" w:rsidRDefault="00B623AE">
      <w:pPr>
        <w:widowControl w:val="0"/>
        <w:numPr>
          <w:ilvl w:val="0"/>
          <w:numId w:val="2"/>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t>Es de destacar que el artículo 185 del Reglamento Orgánico de la Administración Pública Municipal  que señala que la Dirección de Desarrollo Económico cuenta entre sus atribuciones con la de expedir, renovar, modificar y revocar los permisos o cédulas, así como iniciar, tramitar y resolver los procedimientos para actividades económicas o de prestación de servicios en vía pública, ya sea en puestos fijos, semifijos, comercio ambulante o de temporadas.</w:t>
      </w:r>
    </w:p>
    <w:p w:rsidR="00411CC9" w:rsidRPr="00317535" w:rsidRDefault="00411CC9">
      <w:pPr>
        <w:widowControl w:val="0"/>
        <w:spacing w:after="280" w:line="360" w:lineRule="auto"/>
        <w:jc w:val="both"/>
        <w:rPr>
          <w:rFonts w:ascii="Palatino Linotype" w:eastAsia="Palatino Linotype" w:hAnsi="Palatino Linotype" w:cs="Palatino Linotype"/>
        </w:rPr>
      </w:pPr>
    </w:p>
    <w:p w:rsidR="00411CC9" w:rsidRPr="00317535" w:rsidRDefault="00B623AE">
      <w:pPr>
        <w:widowControl w:val="0"/>
        <w:numPr>
          <w:ilvl w:val="0"/>
          <w:numId w:val="2"/>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lastRenderedPageBreak/>
        <w:t xml:space="preserve">Al respecto, se aprecia que el propio documento remitido por el </w:t>
      </w:r>
      <w:r w:rsidRPr="00317535">
        <w:rPr>
          <w:rFonts w:ascii="Palatino Linotype" w:eastAsia="Palatino Linotype" w:hAnsi="Palatino Linotype" w:cs="Palatino Linotype"/>
          <w:b/>
          <w:bCs/>
          <w:color w:val="000000"/>
        </w:rPr>
        <w:t>SUJETO OBLIGADO</w:t>
      </w:r>
      <w:r w:rsidRPr="00317535">
        <w:rPr>
          <w:rFonts w:ascii="Palatino Linotype" w:eastAsia="Palatino Linotype" w:hAnsi="Palatino Linotype" w:cs="Palatino Linotype"/>
          <w:color w:val="000000"/>
        </w:rPr>
        <w:t xml:space="preserve"> al dar respuesta a la solicitud de información de </w:t>
      </w:r>
      <w:r w:rsidRPr="00317535">
        <w:rPr>
          <w:rFonts w:ascii="Palatino Linotype" w:eastAsia="Palatino Linotype" w:hAnsi="Palatino Linotype" w:cs="Palatino Linotype"/>
          <w:b/>
          <w:bCs/>
          <w:color w:val="000000"/>
        </w:rPr>
        <w:t>EL RECURRENTE</w:t>
      </w:r>
      <w:r w:rsidRPr="00317535">
        <w:rPr>
          <w:rFonts w:ascii="Palatino Linotype" w:eastAsia="Palatino Linotype" w:hAnsi="Palatino Linotype" w:cs="Palatino Linotype"/>
          <w:color w:val="000000"/>
        </w:rPr>
        <w:t xml:space="preserve">  permite conocer que es quien se encarga de atender los requerimientos de transparencia en el ámbito de su competencia dentro del Ayuntamiento.</w:t>
      </w:r>
    </w:p>
    <w:p w:rsidR="00411CC9" w:rsidRPr="00317535" w:rsidRDefault="00B623AE">
      <w:pPr>
        <w:numPr>
          <w:ilvl w:val="0"/>
          <w:numId w:val="8"/>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color w:val="000000"/>
        </w:rPr>
        <w:t xml:space="preserve">Así mismo, ya que si bien es cierto el requerimiento de información fue turnado también a la Dirección de Administración derivado de  la interpretación que el Titular de la Unidad de Transparencia realizó de la solicitud de información  y de que el particular no resulta experto en terminología de administración pública o incluso transparencia, en este sentido, se comprende que resultan de su interés los documentos donde se </w:t>
      </w:r>
      <w:r w:rsidRPr="00317535">
        <w:rPr>
          <w:rFonts w:ascii="Palatino Linotype" w:eastAsia="Palatino Linotype" w:hAnsi="Palatino Linotype" w:cs="Palatino Linotype"/>
        </w:rPr>
        <w:t>aprecian</w:t>
      </w:r>
      <w:r w:rsidRPr="00317535">
        <w:rPr>
          <w:rFonts w:ascii="Palatino Linotype" w:eastAsia="Palatino Linotype" w:hAnsi="Palatino Linotype" w:cs="Palatino Linotype"/>
          <w:color w:val="000000"/>
        </w:rPr>
        <w:t xml:space="preserve"> los permisos o cédulas para actividades económicas o de prestación de servicios en vía pública, en puestos fijos, semifijos, comercio ambulante o de temporadas así como los cobros por el costo de los referidos que hayan sido generados del uno  de enero al quince de agosto de dos mil veinticinco; requerimiento de información hecho valer en la interposición del presente recurso.</w:t>
      </w:r>
    </w:p>
    <w:p w:rsidR="00411CC9" w:rsidRPr="00317535" w:rsidRDefault="00B623AE">
      <w:pPr>
        <w:numPr>
          <w:ilvl w:val="0"/>
          <w:numId w:val="9"/>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t xml:space="preserve">Dichas precisiones, con fundamento en los artículos 13 y 181 cuarto párrafo de la Ley en materia, los cuales a la letra rezan: </w:t>
      </w:r>
    </w:p>
    <w:p w:rsidR="00411CC9" w:rsidRPr="00317535" w:rsidRDefault="00B623AE">
      <w:pPr>
        <w:pBdr>
          <w:top w:val="nil"/>
          <w:left w:val="nil"/>
          <w:bottom w:val="nil"/>
          <w:right w:val="nil"/>
          <w:between w:val="nil"/>
        </w:pBdr>
        <w:spacing w:before="240" w:after="160" w:line="276" w:lineRule="auto"/>
        <w:ind w:left="1134" w:right="851"/>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b/>
          <w:bCs/>
          <w:i/>
          <w:iCs/>
          <w:color w:val="000000"/>
        </w:rPr>
        <w:t xml:space="preserve">“Artículo 13. </w:t>
      </w:r>
      <w:r w:rsidRPr="00317535">
        <w:rPr>
          <w:rFonts w:ascii="Palatino Linotype" w:eastAsia="Palatino Linotype" w:hAnsi="Palatino Linotype" w:cs="Palatino Linotype"/>
          <w:i/>
          <w:iCs/>
          <w:color w:val="000000"/>
        </w:rPr>
        <w:t>El Instituto, en el ámbito de sus atribuciones, deberá suplir cualquier deficiencia para garantizar el ejercicio del derecho de acceso a la información.</w:t>
      </w:r>
    </w:p>
    <w:p w:rsidR="00411CC9" w:rsidRPr="00317535" w:rsidRDefault="00B623AE">
      <w:pPr>
        <w:pBdr>
          <w:top w:val="nil"/>
          <w:left w:val="nil"/>
          <w:bottom w:val="nil"/>
          <w:right w:val="nil"/>
          <w:between w:val="nil"/>
        </w:pBdr>
        <w:spacing w:before="240" w:after="160" w:line="276" w:lineRule="auto"/>
        <w:ind w:left="1134" w:right="851"/>
        <w:jc w:val="both"/>
        <w:rPr>
          <w:rFonts w:ascii="Palatino Linotype" w:eastAsia="Palatino Linotype" w:hAnsi="Palatino Linotype" w:cs="Palatino Linotype"/>
          <w:b/>
          <w:bCs/>
          <w:i/>
          <w:iCs/>
          <w:color w:val="000000"/>
        </w:rPr>
      </w:pPr>
      <w:r w:rsidRPr="00317535">
        <w:rPr>
          <w:rFonts w:ascii="Palatino Linotype" w:eastAsia="Palatino Linotype" w:hAnsi="Palatino Linotype" w:cs="Palatino Linotype"/>
          <w:b/>
          <w:bCs/>
          <w:i/>
          <w:iCs/>
          <w:color w:val="000000"/>
        </w:rPr>
        <w:t xml:space="preserve">Artículo 181. … </w:t>
      </w:r>
    </w:p>
    <w:p w:rsidR="00411CC9" w:rsidRPr="00317535" w:rsidRDefault="00B623AE">
      <w:pPr>
        <w:pBdr>
          <w:top w:val="nil"/>
          <w:left w:val="nil"/>
          <w:bottom w:val="nil"/>
          <w:right w:val="nil"/>
          <w:between w:val="nil"/>
        </w:pBdr>
        <w:spacing w:before="240" w:after="160" w:line="276" w:lineRule="auto"/>
        <w:ind w:left="1134" w:right="851"/>
        <w:jc w:val="both"/>
        <w:rPr>
          <w:rFonts w:ascii="Palatino Linotype" w:eastAsia="Palatino Linotype" w:hAnsi="Palatino Linotype" w:cs="Palatino Linotype"/>
          <w:b/>
          <w:bCs/>
          <w:i/>
          <w:iCs/>
          <w:color w:val="000000"/>
        </w:rPr>
      </w:pPr>
      <w:r w:rsidRPr="00317535">
        <w:rPr>
          <w:rFonts w:ascii="Palatino Linotype" w:eastAsia="Palatino Linotype" w:hAnsi="Palatino Linotype" w:cs="Palatino Linotype"/>
          <w:i/>
          <w:iCs/>
          <w:color w:val="000000"/>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317535">
        <w:rPr>
          <w:rFonts w:ascii="Palatino Linotype" w:eastAsia="Palatino Linotype" w:hAnsi="Palatino Linotype" w:cs="Palatino Linotype"/>
          <w:b/>
          <w:bCs/>
          <w:i/>
          <w:iCs/>
          <w:color w:val="000000"/>
        </w:rPr>
        <w:t>[Sic]</w:t>
      </w:r>
    </w:p>
    <w:p w:rsidR="00411CC9" w:rsidRPr="00317535" w:rsidRDefault="00B623AE">
      <w:pPr>
        <w:widowControl w:val="0"/>
        <w:numPr>
          <w:ilvl w:val="0"/>
          <w:numId w:val="4"/>
        </w:numPr>
        <w:spacing w:before="280" w:after="280" w:line="360" w:lineRule="auto"/>
        <w:ind w:left="0" w:right="49" w:firstLine="0"/>
        <w:jc w:val="both"/>
        <w:rPr>
          <w:rFonts w:ascii="Palatino Linotype" w:eastAsia="Palatino Linotype" w:hAnsi="Palatino Linotype" w:cs="Palatino Linotype"/>
          <w:i/>
          <w:iCs/>
        </w:rPr>
      </w:pPr>
      <w:r w:rsidRPr="00317535">
        <w:rPr>
          <w:rFonts w:ascii="Palatino Linotype" w:eastAsia="Palatino Linotype" w:hAnsi="Palatino Linotype" w:cs="Palatino Linotype"/>
        </w:rPr>
        <w:lastRenderedPageBreak/>
        <w:t>En ese sentido, toda vez que la información fue turnada al área competente para conocer de ella, y  que, después de haber realizado las diligencias necesarias a fin de dar cumplimiento cabal  a la solicitud del RECURRENTE es que se tiene por colmado su derecho de acceso a la información.</w:t>
      </w:r>
    </w:p>
    <w:p w:rsidR="00411CC9" w:rsidRPr="00317535" w:rsidRDefault="00B623AE" w:rsidP="00317535">
      <w:pPr>
        <w:pStyle w:val="Prrafodelista"/>
        <w:widowControl w:val="0"/>
        <w:numPr>
          <w:ilvl w:val="0"/>
          <w:numId w:val="4"/>
        </w:numPr>
        <w:spacing w:before="280" w:after="280" w:line="360" w:lineRule="auto"/>
        <w:ind w:left="0" w:firstLine="0"/>
        <w:jc w:val="both"/>
        <w:rPr>
          <w:rFonts w:ascii="Palatino Linotype" w:eastAsia="Palatino Linotype" w:hAnsi="Palatino Linotype" w:cs="Palatino Linotype"/>
          <w:color w:val="000000"/>
          <w:sz w:val="24"/>
        </w:rPr>
      </w:pPr>
      <w:r w:rsidRPr="00317535">
        <w:rPr>
          <w:rFonts w:ascii="Palatino Linotype" w:eastAsia="Palatino Linotype" w:hAnsi="Palatino Linotype" w:cs="Palatino Linotype"/>
          <w:color w:val="000000"/>
          <w:sz w:val="24"/>
        </w:rPr>
        <w:t xml:space="preserve">Ahora bien, al haber referido el Sujeto Obligado en respuesta y en informe justificado que durante la temporalidad requerida, es decir del primero de enero al quince de agosto de la presente anualidad no se han emitido nuevos permisos o cédulas para las actividades descritas en el párrafo con numeral </w:t>
      </w:r>
      <w:r w:rsidRPr="00317535">
        <w:rPr>
          <w:rFonts w:ascii="Palatino Linotype" w:eastAsia="Palatino Linotype" w:hAnsi="Palatino Linotype" w:cs="Palatino Linotype"/>
          <w:b/>
          <w:bCs/>
          <w:i/>
          <w:iCs/>
          <w:color w:val="000000"/>
          <w:sz w:val="24"/>
        </w:rPr>
        <w:t>36</w:t>
      </w:r>
      <w:r w:rsidRPr="00317535">
        <w:rPr>
          <w:rFonts w:ascii="Palatino Linotype" w:eastAsia="Palatino Linotype" w:hAnsi="Palatino Linotype" w:cs="Palatino Linotype"/>
          <w:color w:val="000000"/>
          <w:sz w:val="24"/>
        </w:rPr>
        <w:t xml:space="preserve"> y que por ende al no haberse generado éstos tampoco se han generado las documentales tendientes a documentar el cobro por su emisión es que se está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411CC9" w:rsidRPr="00317535" w:rsidRDefault="00B623AE">
      <w:pPr>
        <w:ind w:left="860" w:right="1389"/>
        <w:jc w:val="both"/>
        <w:rPr>
          <w:rFonts w:ascii="Palatino Linotype" w:eastAsia="Palatino Linotype" w:hAnsi="Palatino Linotype" w:cs="Palatino Linotype"/>
          <w:b/>
          <w:bCs/>
          <w:i/>
          <w:iCs/>
        </w:rPr>
      </w:pPr>
      <w:r w:rsidRPr="00317535">
        <w:rPr>
          <w:rFonts w:ascii="Palatino Linotype" w:eastAsia="Palatino Linotype" w:hAnsi="Palatino Linotype" w:cs="Palatino Linotype"/>
          <w:b/>
          <w:bCs/>
          <w:i/>
          <w:iCs/>
        </w:rPr>
        <w:t>HECHOS NEGATIVOS, NO SON SUSCEPTIBLES DE DEMOSTRACIÓN.</w:t>
      </w:r>
    </w:p>
    <w:p w:rsidR="00411CC9" w:rsidRPr="00317535" w:rsidRDefault="00B623AE">
      <w:pPr>
        <w:ind w:left="860" w:right="1389"/>
        <w:jc w:val="both"/>
        <w:rPr>
          <w:rFonts w:ascii="Palatino Linotype" w:eastAsia="Palatino Linotype" w:hAnsi="Palatino Linotype" w:cs="Palatino Linotype"/>
          <w:i/>
          <w:iCs/>
        </w:rPr>
      </w:pPr>
      <w:r w:rsidRPr="00317535">
        <w:rPr>
          <w:rFonts w:ascii="Palatino Linotype" w:eastAsia="Palatino Linotype" w:hAnsi="Palatino Linotype" w:cs="Palatino Linotype"/>
          <w:i/>
          <w:iCs/>
        </w:rPr>
        <w:t>Tratándose de un hecho negativo, el Juez no tiene por que invocar prueba alguna de la que se desprenda, ya que es bien sabido que esta clase de hechos no son susceptibles de demostración.</w:t>
      </w:r>
    </w:p>
    <w:p w:rsidR="00411CC9" w:rsidRPr="00317535" w:rsidRDefault="00B623AE">
      <w:pPr>
        <w:ind w:left="860" w:right="1389"/>
        <w:jc w:val="both"/>
        <w:rPr>
          <w:rFonts w:ascii="Palatino Linotype" w:eastAsia="Palatino Linotype" w:hAnsi="Palatino Linotype" w:cs="Palatino Linotype"/>
          <w:i/>
          <w:iCs/>
        </w:rPr>
      </w:pPr>
      <w:r w:rsidRPr="00317535">
        <w:rPr>
          <w:rFonts w:ascii="Palatino Linotype" w:eastAsia="Palatino Linotype" w:hAnsi="Palatino Linotype" w:cs="Palatino Linotype"/>
          <w:i/>
          <w:iCs/>
        </w:rPr>
        <w:t>Amparo en revisión 2022/61. José García Florín (Menor). 9 de octubre de 1961. Cinco votos. Ponente: José Rivera Pérez Campos.”</w:t>
      </w:r>
    </w:p>
    <w:p w:rsidR="00411CC9" w:rsidRPr="00317535" w:rsidRDefault="00411CC9">
      <w:pPr>
        <w:spacing w:line="360" w:lineRule="auto"/>
        <w:ind w:right="27"/>
        <w:jc w:val="both"/>
        <w:rPr>
          <w:rFonts w:ascii="Palatino Linotype" w:eastAsia="Palatino Linotype" w:hAnsi="Palatino Linotype" w:cs="Palatino Linotype"/>
        </w:rPr>
      </w:pPr>
    </w:p>
    <w:p w:rsidR="00411CC9" w:rsidRPr="00317535" w:rsidRDefault="00B623AE">
      <w:pPr>
        <w:numPr>
          <w:ilvl w:val="0"/>
          <w:numId w:val="4"/>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t xml:space="preserve">Además, y de conformidad con lo establecido en el artículo 12 de la Ley de Transparencia y Acceso a la Información Pública del Estado de México y Municipios, anteriormente invocado el </w:t>
      </w:r>
      <w:r w:rsidRPr="00317535">
        <w:rPr>
          <w:rFonts w:ascii="Palatino Linotype" w:eastAsia="Palatino Linotype" w:hAnsi="Palatino Linotype" w:cs="Palatino Linotype"/>
          <w:b/>
          <w:bCs/>
          <w:color w:val="000000"/>
        </w:rPr>
        <w:t>Sujeto Obligado</w:t>
      </w:r>
      <w:r w:rsidRPr="00317535">
        <w:rPr>
          <w:rFonts w:ascii="Palatino Linotype" w:eastAsia="Palatino Linotype" w:hAnsi="Palatino Linotype" w:cs="Palatino Linotype"/>
          <w:color w:val="000000"/>
        </w:rPr>
        <w:t xml:space="preserve"> sólo proporcionará la información que obra en sus archivos, lo que a</w:t>
      </w:r>
      <w:r w:rsidRPr="00317535">
        <w:rPr>
          <w:rFonts w:ascii="Palatino Linotype" w:eastAsia="Palatino Linotype" w:hAnsi="Palatino Linotype" w:cs="Palatino Linotype"/>
          <w:i/>
          <w:iCs/>
          <w:color w:val="000000"/>
        </w:rPr>
        <w:t xml:space="preserve"> contrario sensu</w:t>
      </w:r>
      <w:r w:rsidRPr="00317535">
        <w:rPr>
          <w:rFonts w:ascii="Palatino Linotype" w:eastAsia="Palatino Linotype" w:hAnsi="Palatino Linotype" w:cs="Palatino Linotype"/>
          <w:color w:val="000000"/>
        </w:rPr>
        <w:t xml:space="preserve"> significa que no se está obligado a proporcionar lo que </w:t>
      </w:r>
      <w:r w:rsidRPr="00317535">
        <w:rPr>
          <w:rFonts w:ascii="Palatino Linotype" w:eastAsia="Palatino Linotype" w:hAnsi="Palatino Linotype" w:cs="Palatino Linotype"/>
          <w:color w:val="000000"/>
        </w:rPr>
        <w:lastRenderedPageBreak/>
        <w:t>no obre en sus archivos; por ende, las razones o motivos de inconformidad al respecto devienen infundados.</w:t>
      </w:r>
    </w:p>
    <w:p w:rsidR="00411CC9" w:rsidRPr="00317535" w:rsidRDefault="00411CC9">
      <w:pPr>
        <w:spacing w:line="360" w:lineRule="auto"/>
        <w:ind w:right="27"/>
        <w:jc w:val="both"/>
        <w:rPr>
          <w:rFonts w:ascii="Palatino Linotype" w:eastAsia="Palatino Linotype" w:hAnsi="Palatino Linotype" w:cs="Palatino Linotype"/>
        </w:rPr>
      </w:pPr>
    </w:p>
    <w:p w:rsidR="00411CC9" w:rsidRPr="00317535" w:rsidRDefault="00B623AE">
      <w:pPr>
        <w:numPr>
          <w:ilvl w:val="0"/>
          <w:numId w:val="4"/>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t xml:space="preserve">Aunado a lo anterior, este Pleno considera necesario dejar claro que, al haber existido un pronunciamiento por parte del </w:t>
      </w:r>
      <w:r w:rsidRPr="00317535">
        <w:rPr>
          <w:rFonts w:ascii="Palatino Linotype" w:eastAsia="Palatino Linotype" w:hAnsi="Palatino Linotype" w:cs="Palatino Linotype"/>
          <w:b/>
          <w:bCs/>
          <w:color w:val="000000"/>
        </w:rPr>
        <w:t>Sujeto Obligado</w:t>
      </w:r>
      <w:r w:rsidRPr="00317535">
        <w:rPr>
          <w:rFonts w:ascii="Palatino Linotype" w:eastAsia="Palatino Linotype" w:hAnsi="Palatino Linotype" w:cs="Palatino Linotype"/>
          <w:color w:val="000000"/>
        </w:rPr>
        <w:t>, a fin de dar respuesta a la solicitud planteada, éste no está facultado para manifestarse sobre la veracidad de la información proporcionada, pues no existe precepto legal alguno en la Ley de la Materia que permita que, vía recurso de revisión, se pronuncie al respecto.</w:t>
      </w:r>
    </w:p>
    <w:p w:rsidR="00411CC9" w:rsidRPr="00317535" w:rsidRDefault="00411CC9">
      <w:pPr>
        <w:pBdr>
          <w:top w:val="nil"/>
          <w:left w:val="nil"/>
          <w:bottom w:val="nil"/>
          <w:right w:val="nil"/>
          <w:between w:val="nil"/>
        </w:pBdr>
        <w:ind w:left="720"/>
        <w:rPr>
          <w:rFonts w:ascii="Palatino Linotype" w:eastAsia="Palatino Linotype" w:hAnsi="Palatino Linotype" w:cs="Palatino Linotype"/>
          <w:color w:val="000000"/>
        </w:rPr>
      </w:pPr>
    </w:p>
    <w:p w:rsidR="00411CC9" w:rsidRPr="00317535" w:rsidRDefault="00B623AE">
      <w:pPr>
        <w:numPr>
          <w:ilvl w:val="0"/>
          <w:numId w:val="4"/>
        </w:numPr>
        <w:spacing w:line="360" w:lineRule="auto"/>
        <w:ind w:left="0" w:right="49" w:firstLine="0"/>
        <w:jc w:val="both"/>
        <w:rPr>
          <w:rFonts w:ascii="Palatino Linotype" w:eastAsia="Palatino Linotype" w:hAnsi="Palatino Linotype" w:cs="Palatino Linotype"/>
        </w:rPr>
      </w:pPr>
      <w:r w:rsidRPr="00317535">
        <w:rPr>
          <w:rFonts w:ascii="Palatino Linotype" w:eastAsia="Palatino Linotype" w:hAnsi="Palatino Linotype" w:cs="Palatino Linotype"/>
        </w:rPr>
        <w:t xml:space="preserve">Sirviendo de apoyo a lo anterior por analogía, el criterio 31-10 emitido por el entonces Instituto </w:t>
      </w:r>
      <w:r w:rsidRPr="00317535">
        <w:rPr>
          <w:rFonts w:ascii="Palatino Linotype" w:eastAsia="Palatino Linotype" w:hAnsi="Palatino Linotype" w:cs="Palatino Linotype"/>
          <w:color w:val="000000"/>
        </w:rPr>
        <w:t>Nacional</w:t>
      </w:r>
      <w:r w:rsidRPr="00317535">
        <w:rPr>
          <w:rFonts w:ascii="Palatino Linotype" w:eastAsia="Palatino Linotype" w:hAnsi="Palatino Linotype" w:cs="Palatino Linotype"/>
        </w:rPr>
        <w:t xml:space="preserve"> de Transparencia, Acceso a la Información y Protección de Datos Personales, que a la letra dice:</w:t>
      </w:r>
    </w:p>
    <w:p w:rsidR="00411CC9" w:rsidRPr="00317535" w:rsidRDefault="00B623AE">
      <w:pPr>
        <w:pBdr>
          <w:top w:val="nil"/>
          <w:left w:val="nil"/>
          <w:bottom w:val="nil"/>
          <w:right w:val="nil"/>
          <w:between w:val="nil"/>
        </w:pBdr>
        <w:ind w:left="1134" w:right="1814"/>
        <w:jc w:val="both"/>
        <w:rPr>
          <w:rFonts w:ascii="Palatino Linotype" w:eastAsia="Palatino Linotype" w:hAnsi="Palatino Linotype" w:cs="Palatino Linotype"/>
          <w:i/>
          <w:iCs/>
          <w:color w:val="000000"/>
        </w:rPr>
      </w:pPr>
      <w:r w:rsidRPr="00317535">
        <w:rPr>
          <w:rFonts w:ascii="Palatino Linotype" w:eastAsia="Palatino Linotype" w:hAnsi="Palatino Linotype" w:cs="Palatino Linotype"/>
          <w:i/>
          <w:iCs/>
          <w:color w:val="000000"/>
        </w:rPr>
        <w:t xml:space="preserve">“El Instituto Federal de Acceso a la Información y Protección de Datos </w:t>
      </w:r>
      <w:r w:rsidRPr="00317535">
        <w:rPr>
          <w:rFonts w:ascii="Palatino Linotype" w:eastAsia="Palatino Linotype" w:hAnsi="Palatino Linotype" w:cs="Palatino Linotype"/>
          <w:b/>
          <w:bCs/>
          <w:i/>
          <w:iCs/>
          <w:color w:val="000000"/>
        </w:rPr>
        <w:t>no cuenta con facultades para pronunciarse respecto de la veracidad de los documentos proporcionados por los sujetos obligados.</w:t>
      </w:r>
      <w:r w:rsidRPr="00317535">
        <w:rPr>
          <w:rFonts w:ascii="Palatino Linotype" w:eastAsia="Palatino Linotype" w:hAnsi="Palatino Linotype" w:cs="Palatino Linotype"/>
          <w:i/>
          <w:iCs/>
          <w:color w:val="00000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11CC9" w:rsidRPr="00317535" w:rsidRDefault="00411CC9">
      <w:pPr>
        <w:pBdr>
          <w:top w:val="nil"/>
          <w:left w:val="nil"/>
          <w:bottom w:val="nil"/>
          <w:right w:val="nil"/>
          <w:between w:val="nil"/>
        </w:pBdr>
        <w:spacing w:line="360" w:lineRule="auto"/>
        <w:ind w:left="851" w:right="850"/>
        <w:jc w:val="both"/>
        <w:rPr>
          <w:rFonts w:ascii="Palatino Linotype" w:eastAsia="Palatino Linotype" w:hAnsi="Palatino Linotype" w:cs="Palatino Linotype"/>
          <w:i/>
          <w:iCs/>
          <w:color w:val="000000"/>
        </w:rPr>
      </w:pPr>
    </w:p>
    <w:p w:rsidR="00411CC9" w:rsidRPr="00317535" w:rsidRDefault="00411CC9">
      <w:pPr>
        <w:spacing w:line="360" w:lineRule="auto"/>
        <w:ind w:right="49"/>
        <w:jc w:val="both"/>
        <w:rPr>
          <w:rFonts w:ascii="Palatino Linotype" w:eastAsia="Palatino Linotype" w:hAnsi="Palatino Linotype" w:cs="Palatino Linotype"/>
          <w:color w:val="000000"/>
        </w:rPr>
      </w:pPr>
    </w:p>
    <w:p w:rsidR="00411CC9" w:rsidRPr="00317535" w:rsidRDefault="00B623AE">
      <w:pPr>
        <w:numPr>
          <w:ilvl w:val="0"/>
          <w:numId w:val="4"/>
        </w:numPr>
        <w:spacing w:line="360" w:lineRule="auto"/>
        <w:ind w:left="0" w:right="49"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rPr>
        <w:lastRenderedPageBreak/>
        <w:t xml:space="preserve">Es </w:t>
      </w:r>
      <w:r w:rsidR="00317535" w:rsidRPr="00317535">
        <w:rPr>
          <w:rFonts w:ascii="Palatino Linotype" w:eastAsia="Palatino Linotype" w:hAnsi="Palatino Linotype" w:cs="Palatino Linotype"/>
        </w:rPr>
        <w:t>así</w:t>
      </w:r>
      <w:r w:rsidRPr="00317535">
        <w:rPr>
          <w:rFonts w:ascii="Palatino Linotype" w:eastAsia="Palatino Linotype" w:hAnsi="Palatino Linotype" w:cs="Palatino Linotype"/>
        </w:rPr>
        <w:t xml:space="preserve"> que, al haber pronunciado que a la fecha de la solicitud no se han emitido nuevos permisos o cédulas  para puestos fijos o semifijos,  es que se colma el derecho accionado por el Recurre</w:t>
      </w:r>
      <w:r w:rsidR="00317535">
        <w:rPr>
          <w:rFonts w:ascii="Palatino Linotype" w:eastAsia="Palatino Linotype" w:hAnsi="Palatino Linotype" w:cs="Palatino Linotype"/>
        </w:rPr>
        <w:t xml:space="preserve">nte, por lo que </w:t>
      </w:r>
      <w:r w:rsidRPr="00317535">
        <w:rPr>
          <w:rFonts w:ascii="Palatino Linotype" w:eastAsia="Palatino Linotype" w:hAnsi="Palatino Linotype" w:cs="Palatino Linotype"/>
        </w:rPr>
        <w:t>se CONFIRMA  la respuesta del Sujeto Obligado.</w:t>
      </w:r>
    </w:p>
    <w:p w:rsidR="00411CC9" w:rsidRPr="00317535" w:rsidRDefault="00411CC9">
      <w:pPr>
        <w:spacing w:line="360" w:lineRule="auto"/>
        <w:ind w:right="49"/>
        <w:jc w:val="both"/>
        <w:rPr>
          <w:rFonts w:ascii="Palatino Linotype" w:eastAsia="Palatino Linotype" w:hAnsi="Palatino Linotype" w:cs="Palatino Linotype"/>
          <w:color w:val="000000"/>
        </w:rPr>
      </w:pPr>
    </w:p>
    <w:p w:rsidR="00411CC9" w:rsidRPr="00317535" w:rsidRDefault="00B623AE">
      <w:pPr>
        <w:spacing w:line="360" w:lineRule="auto"/>
        <w:ind w:right="49"/>
        <w:jc w:val="both"/>
        <w:rPr>
          <w:rFonts w:ascii="Palatino Linotype" w:eastAsia="Palatino Linotype" w:hAnsi="Palatino Linotype" w:cs="Palatino Linotype"/>
          <w:b/>
          <w:bCs/>
        </w:rPr>
      </w:pPr>
      <w:r w:rsidRPr="00317535">
        <w:rPr>
          <w:rFonts w:ascii="Palatino Linotype" w:eastAsia="Palatino Linotype" w:hAnsi="Palatino Linotype" w:cs="Palatino Linotype"/>
          <w:b/>
          <w:bCs/>
        </w:rPr>
        <w:t>Conclusión</w:t>
      </w:r>
    </w:p>
    <w:p w:rsidR="00411CC9" w:rsidRPr="00317535" w:rsidRDefault="00B623AE">
      <w:pPr>
        <w:numPr>
          <w:ilvl w:val="0"/>
          <w:numId w:val="5"/>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317535">
        <w:rPr>
          <w:rFonts w:ascii="Palatino Linotype" w:eastAsia="Palatino Linotype" w:hAnsi="Palatino Linotype" w:cs="Palatino Linotype"/>
          <w:color w:val="000000"/>
        </w:rPr>
        <w:t xml:space="preserve">En mérito de lo expuesto, resultan infundadas las razones o motivos de inconformidad hechos valer por el RECURRENTE dentro del recurso de revisión </w:t>
      </w:r>
      <w:r w:rsidRPr="00317535">
        <w:rPr>
          <w:rFonts w:ascii="Palatino Linotype" w:eastAsia="Palatino Linotype" w:hAnsi="Palatino Linotype" w:cs="Palatino Linotype"/>
          <w:b/>
          <w:bCs/>
          <w:color w:val="000000"/>
        </w:rPr>
        <w:t xml:space="preserve">10333/INFOEM/IP/RR/2025, </w:t>
      </w:r>
      <w:r w:rsidRPr="00317535">
        <w:rPr>
          <w:rFonts w:ascii="Palatino Linotype" w:eastAsia="Palatino Linotype" w:hAnsi="Palatino Linotype" w:cs="Palatino Linotype"/>
          <w:color w:val="000000"/>
        </w:rPr>
        <w:t>por ello, éste Órgano Garante determina</w:t>
      </w:r>
      <w:r w:rsidRPr="00317535">
        <w:rPr>
          <w:rFonts w:ascii="Palatino Linotype" w:eastAsia="Palatino Linotype" w:hAnsi="Palatino Linotype" w:cs="Palatino Linotype"/>
          <w:b/>
          <w:bCs/>
          <w:color w:val="000000"/>
        </w:rPr>
        <w:t xml:space="preserve"> CONFIRMAR  </w:t>
      </w:r>
      <w:r w:rsidRPr="00317535">
        <w:rPr>
          <w:rFonts w:ascii="Palatino Linotype" w:eastAsia="Palatino Linotype" w:hAnsi="Palatino Linotype" w:cs="Palatino Linotype"/>
          <w:color w:val="000000"/>
        </w:rPr>
        <w:t>la respuesta otorgada por el</w:t>
      </w:r>
      <w:r w:rsidRPr="00317535">
        <w:rPr>
          <w:rFonts w:ascii="Palatino Linotype" w:eastAsia="Palatino Linotype" w:hAnsi="Palatino Linotype" w:cs="Palatino Linotype"/>
          <w:b/>
          <w:bCs/>
          <w:color w:val="000000"/>
        </w:rPr>
        <w:t xml:space="preserve"> SUJETO OBLIGADO  </w:t>
      </w:r>
      <w:r w:rsidRPr="00317535">
        <w:rPr>
          <w:rFonts w:ascii="Palatino Linotype" w:eastAsia="Palatino Linotype" w:hAnsi="Palatino Linotype" w:cs="Palatino Linotype"/>
          <w:color w:val="000000"/>
        </w:rPr>
        <w:t>en la solicitud de información</w:t>
      </w:r>
      <w:r w:rsidRPr="00317535">
        <w:rPr>
          <w:rFonts w:ascii="Palatino Linotype" w:eastAsia="Palatino Linotype" w:hAnsi="Palatino Linotype" w:cs="Palatino Linotype"/>
          <w:b/>
          <w:bCs/>
          <w:color w:val="000000"/>
        </w:rPr>
        <w:t xml:space="preserve"> 01387/CUAUTIZC/IP/2025.</w:t>
      </w:r>
    </w:p>
    <w:p w:rsidR="00411CC9" w:rsidRPr="00317535" w:rsidRDefault="00411CC9">
      <w:pPr>
        <w:ind w:right="-28"/>
        <w:jc w:val="both"/>
        <w:rPr>
          <w:rFonts w:ascii="Palatino Linotype" w:eastAsia="Palatino Linotype" w:hAnsi="Palatino Linotype" w:cs="Palatino Linotype"/>
        </w:rPr>
      </w:pPr>
    </w:p>
    <w:p w:rsidR="00411CC9" w:rsidRPr="00317535" w:rsidRDefault="00B623AE">
      <w:pPr>
        <w:numPr>
          <w:ilvl w:val="0"/>
          <w:numId w:val="1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317535">
        <w:rPr>
          <w:rFonts w:ascii="Palatino Linotype" w:eastAsia="Palatino Linotype" w:hAnsi="Palatino Linotype" w:cs="Palatino Linotype"/>
        </w:rPr>
        <w:t>Con fundamento en lo prescrito en los artículos 5, párrafos trigésimo, trigésimo primero y trigésimo segundo de la Constitución Política del Estado Libre y Soberano de México; 2, fracción II; 29, 36 fracciones I y II; 176, 178, 179, 181 y 185 de la Ley de Transparencia y Acceso a la Información Pública del Estado de México y Municipios, este Pleno:</w:t>
      </w:r>
    </w:p>
    <w:p w:rsidR="00411CC9" w:rsidRPr="00317535" w:rsidRDefault="00B623AE">
      <w:pPr>
        <w:keepNext/>
        <w:keepLines/>
        <w:spacing w:line="360" w:lineRule="auto"/>
        <w:ind w:right="-28"/>
        <w:jc w:val="center"/>
        <w:rPr>
          <w:rFonts w:ascii="Palatino Linotype" w:eastAsia="Palatino Linotype" w:hAnsi="Palatino Linotype" w:cs="Palatino Linotype"/>
          <w:b/>
          <w:bCs/>
          <w:color w:val="000000"/>
        </w:rPr>
      </w:pPr>
      <w:bookmarkStart w:id="4" w:name="_heading=h.sbo12zq3sdty" w:colFirst="0" w:colLast="0"/>
      <w:bookmarkEnd w:id="4"/>
      <w:r w:rsidRPr="00317535">
        <w:rPr>
          <w:rFonts w:ascii="Palatino Linotype" w:eastAsia="Palatino Linotype" w:hAnsi="Palatino Linotype" w:cs="Palatino Linotype"/>
          <w:b/>
          <w:bCs/>
          <w:color w:val="000000"/>
        </w:rPr>
        <w:t xml:space="preserve">R E S U E L V E </w:t>
      </w:r>
    </w:p>
    <w:p w:rsidR="00411CC9" w:rsidRPr="00317535" w:rsidRDefault="00411CC9">
      <w:pPr>
        <w:keepNext/>
        <w:keepLines/>
        <w:ind w:right="-28"/>
        <w:jc w:val="center"/>
        <w:rPr>
          <w:rFonts w:ascii="Palatino Linotype" w:eastAsia="Palatino Linotype" w:hAnsi="Palatino Linotype" w:cs="Palatino Linotype"/>
          <w:b/>
          <w:bCs/>
        </w:rPr>
      </w:pPr>
    </w:p>
    <w:p w:rsidR="00411CC9" w:rsidRPr="00317535" w:rsidRDefault="00B623AE">
      <w:pPr>
        <w:spacing w:line="360" w:lineRule="auto"/>
        <w:ind w:right="-28"/>
        <w:jc w:val="both"/>
        <w:rPr>
          <w:rFonts w:ascii="Palatino Linotype" w:eastAsia="Palatino Linotype" w:hAnsi="Palatino Linotype" w:cs="Palatino Linotype"/>
        </w:rPr>
      </w:pPr>
      <w:r w:rsidRPr="00317535">
        <w:rPr>
          <w:rFonts w:ascii="Palatino Linotype" w:eastAsia="Palatino Linotype" w:hAnsi="Palatino Linotype" w:cs="Palatino Linotype"/>
          <w:b/>
          <w:bCs/>
        </w:rPr>
        <w:t xml:space="preserve">PRIMERO. </w:t>
      </w:r>
      <w:r w:rsidRPr="00317535">
        <w:rPr>
          <w:rFonts w:ascii="Palatino Linotype" w:eastAsia="Palatino Linotype" w:hAnsi="Palatino Linotype" w:cs="Palatino Linotype"/>
        </w:rPr>
        <w:t>Resultan infundadas las</w:t>
      </w:r>
      <w:r w:rsidRPr="00317535">
        <w:rPr>
          <w:rFonts w:ascii="Palatino Linotype" w:eastAsia="Palatino Linotype" w:hAnsi="Palatino Linotype" w:cs="Palatino Linotype"/>
          <w:b/>
          <w:bCs/>
        </w:rPr>
        <w:t xml:space="preserve"> </w:t>
      </w:r>
      <w:r w:rsidRPr="00317535">
        <w:rPr>
          <w:rFonts w:ascii="Palatino Linotype" w:eastAsia="Palatino Linotype" w:hAnsi="Palatino Linotype" w:cs="Palatino Linotype"/>
        </w:rPr>
        <w:t>razones o motivos de inconformidad hechos valer en el recurso de revisión</w:t>
      </w:r>
      <w:r w:rsidRPr="00317535">
        <w:rPr>
          <w:rFonts w:ascii="Palatino Linotype" w:eastAsia="Palatino Linotype" w:hAnsi="Palatino Linotype" w:cs="Palatino Linotype"/>
          <w:b/>
          <w:bCs/>
        </w:rPr>
        <w:t xml:space="preserve"> 10333/INFOEM/IP/RR/2025, </w:t>
      </w:r>
      <w:r w:rsidRPr="00317535">
        <w:rPr>
          <w:rFonts w:ascii="Palatino Linotype" w:eastAsia="Palatino Linotype" w:hAnsi="Palatino Linotype" w:cs="Palatino Linotype"/>
        </w:rPr>
        <w:t xml:space="preserve">en términos del </w:t>
      </w:r>
      <w:r w:rsidRPr="00317535">
        <w:rPr>
          <w:rFonts w:ascii="Palatino Linotype" w:eastAsia="Palatino Linotype" w:hAnsi="Palatino Linotype" w:cs="Palatino Linotype"/>
          <w:b/>
          <w:bCs/>
        </w:rPr>
        <w:t>Considerando</w:t>
      </w:r>
      <w:r w:rsidRPr="00317535">
        <w:rPr>
          <w:rFonts w:ascii="Palatino Linotype" w:eastAsia="Palatino Linotype" w:hAnsi="Palatino Linotype" w:cs="Palatino Linotype"/>
        </w:rPr>
        <w:t xml:space="preserve"> </w:t>
      </w:r>
      <w:r w:rsidRPr="00317535">
        <w:rPr>
          <w:rFonts w:ascii="Palatino Linotype" w:eastAsia="Palatino Linotype" w:hAnsi="Palatino Linotype" w:cs="Palatino Linotype"/>
          <w:b/>
          <w:bCs/>
        </w:rPr>
        <w:t>CUARTO</w:t>
      </w:r>
      <w:r w:rsidRPr="00317535">
        <w:rPr>
          <w:rFonts w:ascii="Palatino Linotype" w:eastAsia="Palatino Linotype" w:hAnsi="Palatino Linotype" w:cs="Palatino Linotype"/>
        </w:rPr>
        <w:t xml:space="preserve"> de la presente resolución.</w:t>
      </w:r>
    </w:p>
    <w:p w:rsidR="00411CC9" w:rsidRPr="00317535" w:rsidRDefault="00411CC9">
      <w:pPr>
        <w:ind w:right="-28"/>
        <w:jc w:val="both"/>
        <w:rPr>
          <w:rFonts w:ascii="Palatino Linotype" w:eastAsia="Palatino Linotype" w:hAnsi="Palatino Linotype" w:cs="Palatino Linotype"/>
        </w:rPr>
      </w:pPr>
    </w:p>
    <w:p w:rsidR="00411CC9" w:rsidRPr="00317535" w:rsidRDefault="00B623AE">
      <w:pPr>
        <w:spacing w:line="360" w:lineRule="auto"/>
        <w:jc w:val="both"/>
        <w:rPr>
          <w:rFonts w:ascii="Palatino Linotype" w:eastAsia="Palatino Linotype" w:hAnsi="Palatino Linotype" w:cs="Palatino Linotype"/>
          <w:b/>
          <w:bCs/>
        </w:rPr>
      </w:pPr>
      <w:r w:rsidRPr="00317535">
        <w:rPr>
          <w:rFonts w:ascii="Palatino Linotype" w:eastAsia="Palatino Linotype" w:hAnsi="Palatino Linotype" w:cs="Palatino Linotype"/>
          <w:b/>
          <w:bCs/>
        </w:rPr>
        <w:t>SEGUNDO.</w:t>
      </w:r>
      <w:r w:rsidRPr="00317535">
        <w:rPr>
          <w:rFonts w:ascii="Palatino Linotype" w:eastAsia="Palatino Linotype" w:hAnsi="Palatino Linotype" w:cs="Palatino Linotype"/>
          <w:b/>
          <w:bCs/>
          <w:color w:val="2E75B5"/>
        </w:rPr>
        <w:t xml:space="preserve"> </w:t>
      </w:r>
      <w:r w:rsidRPr="00317535">
        <w:rPr>
          <w:rFonts w:ascii="Palatino Linotype" w:eastAsia="Palatino Linotype" w:hAnsi="Palatino Linotype" w:cs="Palatino Linotype"/>
        </w:rPr>
        <w:t>Se</w:t>
      </w:r>
      <w:r w:rsidRPr="00317535">
        <w:rPr>
          <w:rFonts w:ascii="Palatino Linotype" w:eastAsia="Palatino Linotype" w:hAnsi="Palatino Linotype" w:cs="Palatino Linotype"/>
          <w:b/>
          <w:bCs/>
        </w:rPr>
        <w:t xml:space="preserve"> CONFIRMA </w:t>
      </w:r>
      <w:r w:rsidRPr="00317535">
        <w:rPr>
          <w:rFonts w:ascii="Palatino Linotype" w:eastAsia="Palatino Linotype" w:hAnsi="Palatino Linotype" w:cs="Palatino Linotype"/>
        </w:rPr>
        <w:t xml:space="preserve">la respuesta emitida por el </w:t>
      </w:r>
      <w:r w:rsidRPr="00317535">
        <w:rPr>
          <w:rFonts w:ascii="Palatino Linotype" w:eastAsia="Palatino Linotype" w:hAnsi="Palatino Linotype" w:cs="Palatino Linotype"/>
          <w:b/>
          <w:bCs/>
        </w:rPr>
        <w:t>Ayuntamiento de Cuautitlán Izcalli</w:t>
      </w:r>
      <w:r w:rsidRPr="00317535">
        <w:rPr>
          <w:rFonts w:ascii="Palatino Linotype" w:eastAsia="Palatino Linotype" w:hAnsi="Palatino Linotype" w:cs="Palatino Linotype"/>
        </w:rPr>
        <w:t xml:space="preserve"> dentro de  la solicitud de información </w:t>
      </w:r>
      <w:r w:rsidRPr="00317535">
        <w:rPr>
          <w:rFonts w:ascii="Palatino Linotype" w:eastAsia="Palatino Linotype" w:hAnsi="Palatino Linotype" w:cs="Palatino Linotype"/>
          <w:b/>
          <w:bCs/>
        </w:rPr>
        <w:t>01387/CUAUTIZC/IP/2025.</w:t>
      </w:r>
    </w:p>
    <w:p w:rsidR="00411CC9" w:rsidRPr="00317535" w:rsidRDefault="00411CC9">
      <w:pPr>
        <w:ind w:right="-28"/>
        <w:jc w:val="both"/>
        <w:rPr>
          <w:rFonts w:ascii="Palatino Linotype" w:eastAsia="Palatino Linotype" w:hAnsi="Palatino Linotype" w:cs="Palatino Linotype"/>
          <w:b/>
          <w:bCs/>
        </w:rPr>
      </w:pPr>
    </w:p>
    <w:p w:rsidR="00411CC9" w:rsidRPr="00317535" w:rsidRDefault="00B623AE">
      <w:pPr>
        <w:tabs>
          <w:tab w:val="left" w:pos="8080"/>
        </w:tabs>
        <w:spacing w:line="360" w:lineRule="auto"/>
        <w:ind w:right="-28"/>
        <w:jc w:val="both"/>
        <w:rPr>
          <w:rFonts w:ascii="Palatino Linotype" w:eastAsia="Palatino Linotype" w:hAnsi="Palatino Linotype" w:cs="Palatino Linotype"/>
          <w:b/>
          <w:bCs/>
        </w:rPr>
      </w:pPr>
      <w:r w:rsidRPr="00317535">
        <w:rPr>
          <w:rFonts w:ascii="Palatino Linotype" w:eastAsia="Palatino Linotype" w:hAnsi="Palatino Linotype" w:cs="Palatino Linotype"/>
          <w:b/>
          <w:bCs/>
        </w:rPr>
        <w:lastRenderedPageBreak/>
        <w:t xml:space="preserve">TERCERO. NOTIFÍQUESE, </w:t>
      </w:r>
      <w:r w:rsidRPr="00317535">
        <w:rPr>
          <w:rFonts w:ascii="Palatino Linotype" w:eastAsia="Palatino Linotype" w:hAnsi="Palatino Linotype" w:cs="Palatino Linotype"/>
        </w:rPr>
        <w:t xml:space="preserve">vía Sistema de Acceso a la Información Mexiquense </w:t>
      </w:r>
      <w:r w:rsidRPr="00317535">
        <w:rPr>
          <w:rFonts w:ascii="Palatino Linotype" w:eastAsia="Palatino Linotype" w:hAnsi="Palatino Linotype" w:cs="Palatino Linotype"/>
          <w:b/>
          <w:bCs/>
        </w:rPr>
        <w:t>(SAIMEX),</w:t>
      </w:r>
      <w:r w:rsidRPr="00317535">
        <w:rPr>
          <w:rFonts w:ascii="Palatino Linotype" w:eastAsia="Palatino Linotype" w:hAnsi="Palatino Linotype" w:cs="Palatino Linotype"/>
        </w:rPr>
        <w:t xml:space="preserve"> la presente resolución al Titular de la Unidad de Transparencia del </w:t>
      </w:r>
      <w:r w:rsidRPr="00317535">
        <w:rPr>
          <w:rFonts w:ascii="Palatino Linotype" w:eastAsia="Palatino Linotype" w:hAnsi="Palatino Linotype" w:cs="Palatino Linotype"/>
          <w:b/>
          <w:bCs/>
        </w:rPr>
        <w:t>SUJETO OBLIGADO.</w:t>
      </w:r>
    </w:p>
    <w:p w:rsidR="00411CC9" w:rsidRPr="00317535" w:rsidRDefault="00411CC9">
      <w:pPr>
        <w:tabs>
          <w:tab w:val="left" w:pos="8080"/>
        </w:tabs>
        <w:ind w:right="-28"/>
        <w:jc w:val="both"/>
        <w:rPr>
          <w:rFonts w:ascii="Palatino Linotype" w:eastAsia="Palatino Linotype" w:hAnsi="Palatino Linotype" w:cs="Palatino Linotype"/>
          <w:b/>
          <w:bCs/>
        </w:rPr>
      </w:pPr>
    </w:p>
    <w:p w:rsidR="00411CC9" w:rsidRPr="00317535" w:rsidRDefault="00B623AE">
      <w:pPr>
        <w:shd w:val="clear" w:color="auto" w:fill="FFFFFF"/>
        <w:spacing w:line="360" w:lineRule="auto"/>
        <w:ind w:right="-28"/>
        <w:jc w:val="both"/>
        <w:rPr>
          <w:rFonts w:ascii="Palatino Linotype" w:eastAsia="Palatino Linotype" w:hAnsi="Palatino Linotype" w:cs="Palatino Linotype"/>
        </w:rPr>
      </w:pPr>
      <w:r w:rsidRPr="00317535">
        <w:rPr>
          <w:rFonts w:ascii="Palatino Linotype" w:eastAsia="Palatino Linotype" w:hAnsi="Palatino Linotype" w:cs="Palatino Linotype"/>
          <w:b/>
          <w:bCs/>
        </w:rPr>
        <w:t xml:space="preserve">CUARTO. </w:t>
      </w:r>
      <w:r w:rsidRPr="00317535">
        <w:rPr>
          <w:rFonts w:ascii="Palatino Linotype" w:eastAsia="Palatino Linotype" w:hAnsi="Palatino Linotype" w:cs="Palatino Linotype"/>
          <w:b/>
          <w:bCs/>
          <w:color w:val="222222"/>
        </w:rPr>
        <w:t>Notifíquese al RECURRENTE</w:t>
      </w:r>
      <w:r w:rsidRPr="00317535">
        <w:rPr>
          <w:rFonts w:ascii="Palatino Linotype" w:eastAsia="Palatino Linotype" w:hAnsi="Palatino Linotype" w:cs="Palatino Linotype"/>
          <w:b/>
          <w:bCs/>
        </w:rPr>
        <w:t xml:space="preserve"> </w:t>
      </w:r>
      <w:r w:rsidRPr="00317535">
        <w:rPr>
          <w:rFonts w:ascii="Palatino Linotype" w:eastAsia="Palatino Linotype" w:hAnsi="Palatino Linotype" w:cs="Palatino Linotype"/>
        </w:rPr>
        <w:t xml:space="preserve">la presente resolución a través del </w:t>
      </w:r>
      <w:r w:rsidRPr="00317535">
        <w:rPr>
          <w:rFonts w:ascii="Palatino Linotype" w:eastAsia="Palatino Linotype" w:hAnsi="Palatino Linotype" w:cs="Palatino Linotype"/>
          <w:b/>
          <w:bCs/>
        </w:rPr>
        <w:t>SAIMEX.</w:t>
      </w:r>
    </w:p>
    <w:p w:rsidR="00411CC9" w:rsidRPr="00317535" w:rsidRDefault="00B623AE">
      <w:pPr>
        <w:spacing w:before="240" w:after="240" w:line="360" w:lineRule="auto"/>
        <w:ind w:right="-28"/>
        <w:jc w:val="both"/>
        <w:rPr>
          <w:rFonts w:ascii="Palatino Linotype" w:eastAsia="Palatino Linotype" w:hAnsi="Palatino Linotype" w:cs="Palatino Linotype"/>
        </w:rPr>
      </w:pPr>
      <w:r w:rsidRPr="00317535">
        <w:rPr>
          <w:rFonts w:ascii="Palatino Linotype" w:eastAsia="Palatino Linotype" w:hAnsi="Palatino Linotype" w:cs="Palatino Linotype"/>
          <w:b/>
          <w:bCs/>
        </w:rPr>
        <w:t>QUINTO.</w:t>
      </w:r>
      <w:r w:rsidRPr="00317535">
        <w:rPr>
          <w:rFonts w:ascii="Palatino Linotype" w:eastAsia="Palatino Linotype" w:hAnsi="Palatino Linotype" w:cs="Palatino Linotype"/>
        </w:rPr>
        <w:t xml:space="preserve"> Se hace del conocimiento del </w:t>
      </w:r>
      <w:r w:rsidRPr="00317535">
        <w:rPr>
          <w:rFonts w:ascii="Palatino Linotype" w:eastAsia="Palatino Linotype" w:hAnsi="Palatino Linotype" w:cs="Palatino Linotype"/>
          <w:b/>
          <w:bCs/>
          <w:color w:val="222222"/>
        </w:rPr>
        <w:t>RECURRENTE</w:t>
      </w:r>
      <w:r w:rsidRPr="00317535">
        <w:rPr>
          <w:rFonts w:ascii="Palatino Linotype" w:eastAsia="Palatino Linotype" w:hAnsi="Palatino Linotype" w:cs="Palatino Linotype"/>
          <w:b/>
          <w:bCs/>
        </w:rPr>
        <w:t xml:space="preserve"> </w:t>
      </w:r>
      <w:r w:rsidRPr="00317535">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411CC9" w:rsidRPr="00317535" w:rsidRDefault="00411CC9">
      <w:pPr>
        <w:shd w:val="clear" w:color="auto" w:fill="FFFFFF"/>
        <w:spacing w:line="360" w:lineRule="auto"/>
        <w:ind w:right="-716"/>
        <w:jc w:val="both"/>
        <w:rPr>
          <w:rFonts w:ascii="Palatino Linotype" w:eastAsia="Palatino Linotype" w:hAnsi="Palatino Linotype" w:cs="Palatino Linotype"/>
        </w:rPr>
      </w:pPr>
      <w:bookmarkStart w:id="5" w:name="_heading=h.umwzv6bq3ggs" w:colFirst="0" w:colLast="0"/>
      <w:bookmarkEnd w:id="5"/>
    </w:p>
    <w:p w:rsidR="00411CC9" w:rsidRPr="00317535" w:rsidRDefault="00B623AE" w:rsidP="009B480F">
      <w:pPr>
        <w:spacing w:line="360" w:lineRule="auto"/>
        <w:ind w:right="-29"/>
        <w:jc w:val="both"/>
        <w:rPr>
          <w:rFonts w:ascii="Palatino Linotype" w:eastAsia="Palatino Linotype" w:hAnsi="Palatino Linotype" w:cs="Palatino Linotype"/>
        </w:rPr>
      </w:pPr>
      <w:r w:rsidRPr="00317535">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CATORCE (14) DE ENERO DE DOS MIL VEINTISÉIS, ANTE EL SECRETARIO TÉCNICO DEL PLENO ALEXIS TAPIA RAMÍREZ.</w:t>
      </w:r>
    </w:p>
    <w:p w:rsidR="00411CC9" w:rsidRPr="00317535" w:rsidRDefault="00411CC9" w:rsidP="009B480F">
      <w:pPr>
        <w:spacing w:line="360" w:lineRule="auto"/>
        <w:ind w:right="-29"/>
        <w:rPr>
          <w:rFonts w:ascii="Palatino Linotype" w:eastAsia="Palatino Linotype" w:hAnsi="Palatino Linotype" w:cs="Palatino Linotype"/>
        </w:rPr>
      </w:pPr>
    </w:p>
    <w:p w:rsidR="00411CC9" w:rsidRPr="00317535" w:rsidRDefault="00411CC9" w:rsidP="009B480F">
      <w:pPr>
        <w:spacing w:line="360" w:lineRule="auto"/>
        <w:ind w:right="-29"/>
        <w:rPr>
          <w:rFonts w:ascii="Palatino Linotype" w:eastAsia="Palatino Linotype" w:hAnsi="Palatino Linotype" w:cs="Palatino Linotype"/>
        </w:rPr>
      </w:pPr>
    </w:p>
    <w:p w:rsidR="00411CC9" w:rsidRPr="00317535" w:rsidRDefault="00411CC9" w:rsidP="009B480F">
      <w:pPr>
        <w:spacing w:line="360" w:lineRule="auto"/>
        <w:ind w:right="-29"/>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p w:rsidR="00411CC9" w:rsidRPr="00317535" w:rsidRDefault="00411CC9">
      <w:pPr>
        <w:spacing w:line="360" w:lineRule="auto"/>
        <w:ind w:right="-28"/>
        <w:rPr>
          <w:rFonts w:ascii="Palatino Linotype" w:eastAsia="Palatino Linotype" w:hAnsi="Palatino Linotype" w:cs="Palatino Linotype"/>
        </w:rPr>
      </w:pPr>
    </w:p>
    <w:sectPr w:rsidR="00411CC9" w:rsidRPr="00317535" w:rsidSect="006B5FE8">
      <w:headerReference w:type="even" r:id="rId10"/>
      <w:headerReference w:type="default" r:id="rId11"/>
      <w:footerReference w:type="default" r:id="rId12"/>
      <w:headerReference w:type="first" r:id="rId13"/>
      <w:footerReference w:type="first" r:id="rId14"/>
      <w:pgSz w:w="12240" w:h="15840"/>
      <w:pgMar w:top="66" w:right="900" w:bottom="1560" w:left="1588" w:header="0"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31E" w:rsidRDefault="003B131E">
      <w:r>
        <w:separator/>
      </w:r>
    </w:p>
  </w:endnote>
  <w:endnote w:type="continuationSeparator" w:id="0">
    <w:p w:rsidR="003B131E" w:rsidRDefault="003B1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FC147B67-3EB1-4326-85BE-C5B2380F6895}"/>
    <w:embedBold r:id="rId2" w:fontKey="{34C627A0-8EFC-416B-911F-C1C5B336197F}"/>
    <w:embedItalic r:id="rId3" w:fontKey="{906E02FB-4CF5-4536-A4F9-8022304DA0AD}"/>
    <w:embedBoldItalic r:id="rId4" w:fontKey="{A4857895-1E4A-41DB-95FC-7A635CA7D168}"/>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5" w:fontKey="{C13C7964-DEAB-44EF-B9C2-C08F315B349C}"/>
  </w:font>
  <w:font w:name="Calibri">
    <w:panose1 w:val="020F0502020204030204"/>
    <w:charset w:val="00"/>
    <w:family w:val="swiss"/>
    <w:pitch w:val="variable"/>
    <w:sig w:usb0="E4002EFF" w:usb1="C200247B" w:usb2="00000009" w:usb3="00000000" w:csb0="000001FF" w:csb1="00000000"/>
    <w:embedRegular r:id="rId6" w:fontKey="{533A68E1-E90C-4A85-AD43-A03E86496903}"/>
    <w:embedItalic r:id="rId7" w:fontKey="{B7444E9E-10C4-4FFD-82CB-1DC06090E41E}"/>
  </w:font>
  <w:font w:name="Calibri Light">
    <w:panose1 w:val="020F0302020204030204"/>
    <w:charset w:val="00"/>
    <w:family w:val="swiss"/>
    <w:pitch w:val="variable"/>
    <w:sig w:usb0="E4002EFF" w:usb1="C200247B" w:usb2="00000009" w:usb3="00000000" w:csb0="000001FF" w:csb1="00000000"/>
    <w:embedRegular r:id="rId8" w:fontKey="{04E2C316-DDA0-499B-AEFA-FDA4DE9A83CE}"/>
  </w:font>
  <w:font w:name="Century Gothic">
    <w:panose1 w:val="020B0502020202020204"/>
    <w:charset w:val="00"/>
    <w:family w:val="swiss"/>
    <w:pitch w:val="variable"/>
    <w:sig w:usb0="00000287" w:usb1="00000000" w:usb2="00000000" w:usb3="00000000" w:csb0="0000009F" w:csb1="00000000"/>
    <w:embedRegular r:id="rId9" w:fontKey="{D08ECC21-7A2A-4721-A99D-F7E2CC78451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0" w:fontKey="{08A2CB79-45DC-4D97-9C78-9F9E0BD56B67}"/>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1" w:fontKey="{8C9261CC-6B71-440F-A12E-1F314C1DA1EF}"/>
  </w:font>
  <w:font w:name="Montserra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12" w:fontKey="{72FD4CAE-889F-4B1C-A0D0-2F1DA5BCCD40}"/>
  </w:font>
  <w:font w:name="Garamond">
    <w:panose1 w:val="02020404030301010803"/>
    <w:charset w:val="00"/>
    <w:family w:val="roman"/>
    <w:pitch w:val="variable"/>
    <w:sig w:usb0="00000287" w:usb1="00000000" w:usb2="00000000" w:usb3="00000000" w:csb0="0000009F" w:csb1="00000000"/>
    <w:embedRegular r:id="rId13" w:fontKey="{7B24944A-7788-429C-A424-4CD7A3373B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CC9" w:rsidRPr="006B5FE8" w:rsidRDefault="00B623AE">
    <w:pPr>
      <w:pBdr>
        <w:top w:val="nil"/>
        <w:left w:val="nil"/>
        <w:bottom w:val="nil"/>
        <w:right w:val="nil"/>
        <w:between w:val="nil"/>
      </w:pBdr>
      <w:tabs>
        <w:tab w:val="center" w:pos="4419"/>
        <w:tab w:val="right" w:pos="8838"/>
      </w:tabs>
      <w:jc w:val="right"/>
      <w:rPr>
        <w:color w:val="000000"/>
        <w:sz w:val="22"/>
      </w:rPr>
    </w:pPr>
    <w:r w:rsidRPr="006B5FE8">
      <w:rPr>
        <w:color w:val="000000"/>
        <w:sz w:val="22"/>
      </w:rPr>
      <w:t xml:space="preserve">Página </w:t>
    </w:r>
    <w:r w:rsidRPr="006B5FE8">
      <w:rPr>
        <w:b/>
        <w:bCs/>
        <w:color w:val="000000"/>
        <w:sz w:val="22"/>
      </w:rPr>
      <w:fldChar w:fldCharType="begin"/>
    </w:r>
    <w:r w:rsidRPr="006B5FE8">
      <w:rPr>
        <w:b/>
        <w:bCs/>
        <w:color w:val="000000"/>
        <w:sz w:val="22"/>
      </w:rPr>
      <w:instrText>PAGE</w:instrText>
    </w:r>
    <w:r w:rsidRPr="006B5FE8">
      <w:rPr>
        <w:b/>
        <w:bCs/>
        <w:color w:val="000000"/>
        <w:sz w:val="22"/>
      </w:rPr>
      <w:fldChar w:fldCharType="separate"/>
    </w:r>
    <w:r w:rsidR="00317535">
      <w:rPr>
        <w:b/>
        <w:bCs/>
        <w:noProof/>
        <w:color w:val="000000"/>
        <w:sz w:val="22"/>
      </w:rPr>
      <w:t>2</w:t>
    </w:r>
    <w:r w:rsidRPr="006B5FE8">
      <w:rPr>
        <w:b/>
        <w:bCs/>
        <w:color w:val="000000"/>
        <w:sz w:val="22"/>
      </w:rPr>
      <w:fldChar w:fldCharType="end"/>
    </w:r>
    <w:r w:rsidRPr="006B5FE8">
      <w:rPr>
        <w:color w:val="000000"/>
        <w:sz w:val="22"/>
      </w:rPr>
      <w:t xml:space="preserve"> de </w:t>
    </w:r>
    <w:r w:rsidRPr="006B5FE8">
      <w:rPr>
        <w:b/>
        <w:bCs/>
        <w:color w:val="000000"/>
        <w:sz w:val="22"/>
      </w:rPr>
      <w:fldChar w:fldCharType="begin"/>
    </w:r>
    <w:r w:rsidRPr="006B5FE8">
      <w:rPr>
        <w:b/>
        <w:bCs/>
        <w:color w:val="000000"/>
        <w:sz w:val="22"/>
      </w:rPr>
      <w:instrText>NUMPAGES</w:instrText>
    </w:r>
    <w:r w:rsidRPr="006B5FE8">
      <w:rPr>
        <w:b/>
        <w:bCs/>
        <w:color w:val="000000"/>
        <w:sz w:val="22"/>
      </w:rPr>
      <w:fldChar w:fldCharType="separate"/>
    </w:r>
    <w:r w:rsidR="00317535">
      <w:rPr>
        <w:b/>
        <w:bCs/>
        <w:noProof/>
        <w:color w:val="000000"/>
        <w:sz w:val="22"/>
      </w:rPr>
      <w:t>20</w:t>
    </w:r>
    <w:r w:rsidRPr="006B5FE8">
      <w:rPr>
        <w:b/>
        <w:bCs/>
        <w:color w:val="000000"/>
        <w:sz w:val="22"/>
      </w:rPr>
      <w:fldChar w:fldCharType="end"/>
    </w:r>
  </w:p>
  <w:p w:rsidR="00411CC9" w:rsidRDefault="00411CC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CC9" w:rsidRPr="006B5FE8" w:rsidRDefault="00B623AE">
    <w:pPr>
      <w:pBdr>
        <w:top w:val="nil"/>
        <w:left w:val="nil"/>
        <w:bottom w:val="nil"/>
        <w:right w:val="nil"/>
        <w:between w:val="nil"/>
      </w:pBdr>
      <w:tabs>
        <w:tab w:val="center" w:pos="4419"/>
        <w:tab w:val="right" w:pos="8838"/>
      </w:tabs>
      <w:jc w:val="right"/>
      <w:rPr>
        <w:color w:val="000000"/>
        <w:sz w:val="22"/>
      </w:rPr>
    </w:pPr>
    <w:r w:rsidRPr="006B5FE8">
      <w:rPr>
        <w:color w:val="000000"/>
        <w:sz w:val="22"/>
      </w:rPr>
      <w:t xml:space="preserve">Página </w:t>
    </w:r>
    <w:r w:rsidRPr="006B5FE8">
      <w:rPr>
        <w:b/>
        <w:bCs/>
        <w:color w:val="000000"/>
        <w:sz w:val="22"/>
      </w:rPr>
      <w:fldChar w:fldCharType="begin"/>
    </w:r>
    <w:r w:rsidRPr="006B5FE8">
      <w:rPr>
        <w:b/>
        <w:bCs/>
        <w:color w:val="000000"/>
        <w:sz w:val="22"/>
      </w:rPr>
      <w:instrText>PAGE</w:instrText>
    </w:r>
    <w:r w:rsidRPr="006B5FE8">
      <w:rPr>
        <w:b/>
        <w:bCs/>
        <w:color w:val="000000"/>
        <w:sz w:val="22"/>
      </w:rPr>
      <w:fldChar w:fldCharType="separate"/>
    </w:r>
    <w:r w:rsidR="00317535">
      <w:rPr>
        <w:b/>
        <w:bCs/>
        <w:noProof/>
        <w:color w:val="000000"/>
        <w:sz w:val="22"/>
      </w:rPr>
      <w:t>1</w:t>
    </w:r>
    <w:r w:rsidRPr="006B5FE8">
      <w:rPr>
        <w:b/>
        <w:bCs/>
        <w:color w:val="000000"/>
        <w:sz w:val="22"/>
      </w:rPr>
      <w:fldChar w:fldCharType="end"/>
    </w:r>
    <w:r w:rsidRPr="006B5FE8">
      <w:rPr>
        <w:color w:val="000000"/>
        <w:sz w:val="22"/>
      </w:rPr>
      <w:t xml:space="preserve"> de </w:t>
    </w:r>
    <w:r w:rsidRPr="006B5FE8">
      <w:rPr>
        <w:b/>
        <w:bCs/>
        <w:color w:val="000000"/>
        <w:sz w:val="22"/>
      </w:rPr>
      <w:fldChar w:fldCharType="begin"/>
    </w:r>
    <w:r w:rsidRPr="006B5FE8">
      <w:rPr>
        <w:b/>
        <w:bCs/>
        <w:color w:val="000000"/>
        <w:sz w:val="22"/>
      </w:rPr>
      <w:instrText>NUMPAGES</w:instrText>
    </w:r>
    <w:r w:rsidRPr="006B5FE8">
      <w:rPr>
        <w:b/>
        <w:bCs/>
        <w:color w:val="000000"/>
        <w:sz w:val="22"/>
      </w:rPr>
      <w:fldChar w:fldCharType="separate"/>
    </w:r>
    <w:r w:rsidR="00317535">
      <w:rPr>
        <w:b/>
        <w:bCs/>
        <w:noProof/>
        <w:color w:val="000000"/>
        <w:sz w:val="22"/>
      </w:rPr>
      <w:t>20</w:t>
    </w:r>
    <w:r w:rsidRPr="006B5FE8">
      <w:rPr>
        <w:b/>
        <w:bCs/>
        <w:color w:val="000000"/>
        <w:sz w:val="22"/>
      </w:rPr>
      <w:fldChar w:fldCharType="end"/>
    </w:r>
  </w:p>
  <w:p w:rsidR="00411CC9" w:rsidRDefault="00411CC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31E" w:rsidRDefault="003B131E">
      <w:r>
        <w:separator/>
      </w:r>
    </w:p>
  </w:footnote>
  <w:footnote w:type="continuationSeparator" w:id="0">
    <w:p w:rsidR="003B131E" w:rsidRDefault="003B131E">
      <w:r>
        <w:continuationSeparator/>
      </w:r>
    </w:p>
  </w:footnote>
  <w:footnote w:id="1">
    <w:p w:rsidR="00411CC9" w:rsidRDefault="00B623A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411CC9" w:rsidRDefault="00B623A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411CC9" w:rsidRDefault="00B623A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411CC9" w:rsidRDefault="00B623A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CC9" w:rsidRDefault="003B131E">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7"/>
      <w:tblW w:w="10290" w:type="dxa"/>
      <w:tblInd w:w="0" w:type="dxa"/>
      <w:tblLayout w:type="fixed"/>
      <w:tblLook w:val="0400" w:firstRow="0" w:lastRow="0" w:firstColumn="0" w:lastColumn="0" w:noHBand="0" w:noVBand="1"/>
    </w:tblPr>
    <w:tblGrid>
      <w:gridCol w:w="2310"/>
      <w:gridCol w:w="7980"/>
    </w:tblGrid>
    <w:tr w:rsidR="00411CC9">
      <w:trPr>
        <w:trHeight w:val="917"/>
      </w:trPr>
      <w:tc>
        <w:tcPr>
          <w:tcW w:w="2310" w:type="dxa"/>
          <w:shd w:val="clear" w:color="auto" w:fill="auto"/>
        </w:tcPr>
        <w:p w:rsidR="00411CC9" w:rsidRDefault="00411CC9">
          <w:pPr>
            <w:tabs>
              <w:tab w:val="right" w:pos="4273"/>
            </w:tabs>
            <w:rPr>
              <w:rFonts w:ascii="Garamond" w:eastAsia="Garamond" w:hAnsi="Garamond" w:cs="Garamond"/>
              <w:sz w:val="16"/>
              <w:szCs w:val="16"/>
            </w:rPr>
          </w:pPr>
        </w:p>
      </w:tc>
      <w:tc>
        <w:tcPr>
          <w:tcW w:w="7980" w:type="dxa"/>
          <w:shd w:val="clear" w:color="auto" w:fill="auto"/>
        </w:tcPr>
        <w:p w:rsidR="006B5FE8" w:rsidRDefault="006B5FE8"/>
        <w:p w:rsidR="006B5FE8" w:rsidRDefault="006B5FE8"/>
        <w:tbl>
          <w:tblPr>
            <w:tblStyle w:val="af8"/>
            <w:tblW w:w="7461" w:type="dxa"/>
            <w:tblInd w:w="43" w:type="dxa"/>
            <w:tblLayout w:type="fixed"/>
            <w:tblLook w:val="0400" w:firstRow="0" w:lastRow="0" w:firstColumn="0" w:lastColumn="0" w:noHBand="0" w:noVBand="1"/>
          </w:tblPr>
          <w:tblGrid>
            <w:gridCol w:w="3383"/>
            <w:gridCol w:w="4078"/>
          </w:tblGrid>
          <w:tr w:rsidR="00411CC9" w:rsidTr="006B5FE8">
            <w:trPr>
              <w:trHeight w:val="32"/>
            </w:trPr>
            <w:tc>
              <w:tcPr>
                <w:tcW w:w="3383" w:type="dxa"/>
                <w:shd w:val="clear" w:color="auto" w:fill="auto"/>
              </w:tcPr>
              <w:p w:rsidR="00411CC9" w:rsidRPr="006B5FE8" w:rsidRDefault="00B623AE">
                <w:pPr>
                  <w:tabs>
                    <w:tab w:val="right" w:pos="8838"/>
                  </w:tabs>
                  <w:ind w:left="850" w:right="-274"/>
                  <w:rPr>
                    <w:rFonts w:ascii="Palatino Linotype" w:eastAsia="Palatino Linotype" w:hAnsi="Palatino Linotype" w:cs="Palatino Linotype"/>
                    <w:b/>
                    <w:bCs/>
                    <w:szCs w:val="22"/>
                  </w:rPr>
                </w:pPr>
                <w:r w:rsidRPr="006B5FE8">
                  <w:rPr>
                    <w:rFonts w:ascii="Palatino Linotype" w:eastAsia="Palatino Linotype" w:hAnsi="Palatino Linotype" w:cs="Palatino Linotype"/>
                    <w:b/>
                    <w:bCs/>
                    <w:szCs w:val="22"/>
                  </w:rPr>
                  <w:t>Recurso de Revisión:</w:t>
                </w:r>
              </w:p>
            </w:tc>
            <w:tc>
              <w:tcPr>
                <w:tcW w:w="4078" w:type="dxa"/>
                <w:shd w:val="clear" w:color="auto" w:fill="auto"/>
              </w:tcPr>
              <w:p w:rsidR="00411CC9" w:rsidRPr="006B5FE8" w:rsidRDefault="00B623AE">
                <w:pPr>
                  <w:ind w:right="-1512"/>
                  <w:rPr>
                    <w:rFonts w:ascii="Palatino Linotype" w:eastAsia="Palatino Linotype" w:hAnsi="Palatino Linotype" w:cs="Palatino Linotype"/>
                    <w:szCs w:val="22"/>
                  </w:rPr>
                </w:pPr>
                <w:r w:rsidRPr="006B5FE8">
                  <w:rPr>
                    <w:rFonts w:ascii="Palatino Linotype" w:eastAsia="Palatino Linotype" w:hAnsi="Palatino Linotype" w:cs="Palatino Linotype"/>
                    <w:szCs w:val="22"/>
                  </w:rPr>
                  <w:t>10333/INFOEM/IP/RR/2025</w:t>
                </w:r>
              </w:p>
            </w:tc>
          </w:tr>
          <w:tr w:rsidR="00411CC9" w:rsidTr="006B5FE8">
            <w:trPr>
              <w:trHeight w:val="63"/>
            </w:trPr>
            <w:tc>
              <w:tcPr>
                <w:tcW w:w="3383" w:type="dxa"/>
                <w:shd w:val="clear" w:color="auto" w:fill="auto"/>
              </w:tcPr>
              <w:p w:rsidR="00411CC9" w:rsidRPr="006B5FE8" w:rsidRDefault="00B623AE">
                <w:pPr>
                  <w:tabs>
                    <w:tab w:val="right" w:pos="8838"/>
                  </w:tabs>
                  <w:ind w:left="850" w:right="-274"/>
                  <w:rPr>
                    <w:rFonts w:ascii="Palatino Linotype" w:eastAsia="Palatino Linotype" w:hAnsi="Palatino Linotype" w:cs="Palatino Linotype"/>
                    <w:b/>
                    <w:bCs/>
                    <w:szCs w:val="22"/>
                  </w:rPr>
                </w:pPr>
                <w:r w:rsidRPr="006B5FE8">
                  <w:rPr>
                    <w:rFonts w:ascii="Palatino Linotype" w:eastAsia="Palatino Linotype" w:hAnsi="Palatino Linotype" w:cs="Palatino Linotype"/>
                    <w:b/>
                    <w:bCs/>
                    <w:szCs w:val="22"/>
                  </w:rPr>
                  <w:t>Sujeto Obligado:</w:t>
                </w:r>
              </w:p>
            </w:tc>
            <w:tc>
              <w:tcPr>
                <w:tcW w:w="4078" w:type="dxa"/>
                <w:shd w:val="clear" w:color="auto" w:fill="auto"/>
              </w:tcPr>
              <w:p w:rsidR="00411CC9" w:rsidRPr="006B5FE8" w:rsidRDefault="00B623AE">
                <w:pPr>
                  <w:tabs>
                    <w:tab w:val="left" w:pos="2834"/>
                  </w:tabs>
                  <w:ind w:right="-810"/>
                  <w:rPr>
                    <w:rFonts w:ascii="Palatino Linotype" w:eastAsia="Palatino Linotype" w:hAnsi="Palatino Linotype" w:cs="Palatino Linotype"/>
                    <w:szCs w:val="22"/>
                  </w:rPr>
                </w:pPr>
                <w:r w:rsidRPr="006B5FE8">
                  <w:rPr>
                    <w:rFonts w:ascii="Palatino Linotype" w:eastAsia="Palatino Linotype" w:hAnsi="Palatino Linotype" w:cs="Palatino Linotype"/>
                    <w:szCs w:val="22"/>
                  </w:rPr>
                  <w:t>Ayuntamiento de Cuautitlán Izcalli</w:t>
                </w:r>
              </w:p>
            </w:tc>
          </w:tr>
          <w:tr w:rsidR="00411CC9" w:rsidTr="006B5FE8">
            <w:trPr>
              <w:trHeight w:val="632"/>
            </w:trPr>
            <w:tc>
              <w:tcPr>
                <w:tcW w:w="3383" w:type="dxa"/>
                <w:shd w:val="clear" w:color="auto" w:fill="auto"/>
              </w:tcPr>
              <w:p w:rsidR="00411CC9" w:rsidRPr="006B5FE8" w:rsidRDefault="00B623AE">
                <w:pPr>
                  <w:tabs>
                    <w:tab w:val="right" w:pos="8838"/>
                  </w:tabs>
                  <w:ind w:left="850" w:right="-274"/>
                  <w:rPr>
                    <w:rFonts w:ascii="Palatino Linotype" w:eastAsia="Palatino Linotype" w:hAnsi="Palatino Linotype" w:cs="Palatino Linotype"/>
                    <w:b/>
                    <w:bCs/>
                    <w:szCs w:val="22"/>
                  </w:rPr>
                </w:pPr>
                <w:r w:rsidRPr="006B5FE8">
                  <w:rPr>
                    <w:rFonts w:ascii="Palatino Linotype" w:eastAsia="Palatino Linotype" w:hAnsi="Palatino Linotype" w:cs="Palatino Linotype"/>
                    <w:b/>
                    <w:bCs/>
                    <w:szCs w:val="22"/>
                  </w:rPr>
                  <w:t>Comisionada ponente:</w:t>
                </w:r>
              </w:p>
            </w:tc>
            <w:tc>
              <w:tcPr>
                <w:tcW w:w="4078" w:type="dxa"/>
                <w:shd w:val="clear" w:color="auto" w:fill="auto"/>
              </w:tcPr>
              <w:p w:rsidR="00411CC9" w:rsidRPr="006B5FE8" w:rsidRDefault="00B623AE">
                <w:pPr>
                  <w:ind w:right="-1512"/>
                  <w:rPr>
                    <w:rFonts w:ascii="Palatino Linotype" w:eastAsia="Palatino Linotype" w:hAnsi="Palatino Linotype" w:cs="Palatino Linotype"/>
                    <w:szCs w:val="22"/>
                  </w:rPr>
                </w:pPr>
                <w:r w:rsidRPr="006B5FE8">
                  <w:rPr>
                    <w:rFonts w:ascii="Palatino Linotype" w:eastAsia="Palatino Linotype" w:hAnsi="Palatino Linotype" w:cs="Palatino Linotype"/>
                    <w:szCs w:val="22"/>
                  </w:rPr>
                  <w:t>María del Rosario Mejía Ayala</w:t>
                </w:r>
              </w:p>
              <w:p w:rsidR="00411CC9" w:rsidRPr="006B5FE8" w:rsidRDefault="00411CC9">
                <w:pPr>
                  <w:ind w:right="-1512"/>
                  <w:rPr>
                    <w:rFonts w:ascii="Palatino Linotype" w:eastAsia="Palatino Linotype" w:hAnsi="Palatino Linotype" w:cs="Palatino Linotype"/>
                    <w:szCs w:val="22"/>
                  </w:rPr>
                </w:pPr>
              </w:p>
            </w:tc>
          </w:tr>
        </w:tbl>
        <w:p w:rsidR="00411CC9" w:rsidRDefault="00411CC9">
          <w:pPr>
            <w:tabs>
              <w:tab w:val="right" w:pos="8838"/>
            </w:tabs>
            <w:ind w:left="-28"/>
            <w:jc w:val="both"/>
            <w:rPr>
              <w:rFonts w:ascii="Arial" w:eastAsia="Arial" w:hAnsi="Arial" w:cs="Arial"/>
              <w:b/>
              <w:bCs/>
              <w:sz w:val="22"/>
              <w:szCs w:val="22"/>
            </w:rPr>
          </w:pPr>
        </w:p>
      </w:tc>
    </w:tr>
  </w:tbl>
  <w:p w:rsidR="00411CC9" w:rsidRDefault="006B5FE8">
    <w:pPr>
      <w:pBdr>
        <w:top w:val="nil"/>
        <w:left w:val="nil"/>
        <w:bottom w:val="nil"/>
        <w:right w:val="nil"/>
        <w:between w:val="nil"/>
      </w:pBdr>
      <w:tabs>
        <w:tab w:val="center" w:pos="4419"/>
        <w:tab w:val="right" w:pos="8838"/>
      </w:tabs>
      <w:rPr>
        <w:color w:val="000000"/>
        <w:sz w:val="14"/>
        <w:szCs w:val="14"/>
      </w:rPr>
    </w:pPr>
    <w:r>
      <w:rPr>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6.5pt;margin-top:-115.7pt;width:589.8pt;height:768pt;z-index:-251659776;mso-position-horizontal-relative:margin;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9"/>
      <w:tblW w:w="10350" w:type="dxa"/>
      <w:tblInd w:w="0" w:type="dxa"/>
      <w:tblLayout w:type="fixed"/>
      <w:tblLook w:val="0400" w:firstRow="0" w:lastRow="0" w:firstColumn="0" w:lastColumn="0" w:noHBand="0" w:noVBand="1"/>
    </w:tblPr>
    <w:tblGrid>
      <w:gridCol w:w="3092"/>
      <w:gridCol w:w="7258"/>
    </w:tblGrid>
    <w:tr w:rsidR="00411CC9" w:rsidTr="006B5FE8">
      <w:trPr>
        <w:trHeight w:val="567"/>
      </w:trPr>
      <w:tc>
        <w:tcPr>
          <w:tcW w:w="3092" w:type="dxa"/>
          <w:shd w:val="clear" w:color="auto" w:fill="auto"/>
        </w:tcPr>
        <w:p w:rsidR="00411CC9" w:rsidRDefault="00411CC9">
          <w:pPr>
            <w:tabs>
              <w:tab w:val="right" w:pos="4273"/>
            </w:tabs>
            <w:rPr>
              <w:rFonts w:ascii="Garamond" w:eastAsia="Garamond" w:hAnsi="Garamond" w:cs="Garamond"/>
              <w:sz w:val="22"/>
              <w:szCs w:val="22"/>
            </w:rPr>
          </w:pPr>
        </w:p>
      </w:tc>
      <w:tc>
        <w:tcPr>
          <w:tcW w:w="7258" w:type="dxa"/>
          <w:shd w:val="clear" w:color="auto" w:fill="auto"/>
        </w:tcPr>
        <w:p w:rsidR="00411CC9" w:rsidRDefault="00411CC9" w:rsidP="006B5FE8">
          <w:pPr>
            <w:tabs>
              <w:tab w:val="right" w:pos="8838"/>
            </w:tabs>
            <w:jc w:val="both"/>
            <w:rPr>
              <w:rFonts w:ascii="Arial" w:eastAsia="Arial" w:hAnsi="Arial" w:cs="Arial"/>
              <w:b/>
              <w:bCs/>
              <w:sz w:val="22"/>
              <w:szCs w:val="22"/>
            </w:rPr>
          </w:pPr>
        </w:p>
      </w:tc>
    </w:tr>
  </w:tbl>
  <w:tbl>
    <w:tblPr>
      <w:tblStyle w:val="af8"/>
      <w:tblW w:w="7362" w:type="dxa"/>
      <w:tblInd w:w="2562" w:type="dxa"/>
      <w:tblLayout w:type="fixed"/>
      <w:tblLook w:val="0400" w:firstRow="0" w:lastRow="0" w:firstColumn="0" w:lastColumn="0" w:noHBand="0" w:noVBand="1"/>
    </w:tblPr>
    <w:tblGrid>
      <w:gridCol w:w="3402"/>
      <w:gridCol w:w="3960"/>
    </w:tblGrid>
    <w:tr w:rsidR="006B5FE8" w:rsidTr="006B5FE8">
      <w:trPr>
        <w:trHeight w:val="68"/>
      </w:trPr>
      <w:tc>
        <w:tcPr>
          <w:tcW w:w="3402" w:type="dxa"/>
          <w:shd w:val="clear" w:color="auto" w:fill="auto"/>
        </w:tcPr>
        <w:p w:rsidR="006B5FE8" w:rsidRPr="006B5FE8" w:rsidRDefault="006B5FE8" w:rsidP="006B5FE8">
          <w:pPr>
            <w:tabs>
              <w:tab w:val="right" w:pos="8838"/>
            </w:tabs>
            <w:ind w:left="463" w:right="115"/>
            <w:jc w:val="right"/>
            <w:rPr>
              <w:rFonts w:ascii="Palatino Linotype" w:eastAsia="Palatino Linotype" w:hAnsi="Palatino Linotype" w:cs="Palatino Linotype"/>
              <w:b/>
              <w:bCs/>
              <w:szCs w:val="22"/>
            </w:rPr>
          </w:pPr>
          <w:r w:rsidRPr="006B5FE8">
            <w:rPr>
              <w:rFonts w:ascii="Palatino Linotype" w:eastAsia="Palatino Linotype" w:hAnsi="Palatino Linotype" w:cs="Palatino Linotype"/>
              <w:b/>
              <w:bCs/>
              <w:szCs w:val="22"/>
            </w:rPr>
            <w:t>Recurso de Revisión:</w:t>
          </w:r>
        </w:p>
        <w:p w:rsidR="006B5FE8" w:rsidRPr="006B5FE8" w:rsidRDefault="006B5FE8" w:rsidP="006B5FE8">
          <w:pPr>
            <w:tabs>
              <w:tab w:val="right" w:pos="8838"/>
            </w:tabs>
            <w:ind w:left="850" w:right="115"/>
            <w:jc w:val="right"/>
            <w:rPr>
              <w:rFonts w:ascii="Palatino Linotype" w:eastAsia="Palatino Linotype" w:hAnsi="Palatino Linotype" w:cs="Palatino Linotype"/>
              <w:b/>
              <w:bCs/>
              <w:szCs w:val="22"/>
            </w:rPr>
          </w:pPr>
          <w:r w:rsidRPr="006B5FE8">
            <w:rPr>
              <w:rFonts w:ascii="Palatino Linotype" w:eastAsia="Palatino Linotype" w:hAnsi="Palatino Linotype" w:cs="Palatino Linotype"/>
              <w:b/>
              <w:bCs/>
              <w:szCs w:val="22"/>
            </w:rPr>
            <w:t>Recurrente:</w:t>
          </w:r>
        </w:p>
      </w:tc>
      <w:tc>
        <w:tcPr>
          <w:tcW w:w="3960" w:type="dxa"/>
          <w:shd w:val="clear" w:color="auto" w:fill="auto"/>
        </w:tcPr>
        <w:p w:rsidR="006B5FE8" w:rsidRPr="006B5FE8" w:rsidRDefault="006B5FE8" w:rsidP="006B5FE8">
          <w:pPr>
            <w:ind w:left="-61" w:right="-1512"/>
            <w:rPr>
              <w:rFonts w:ascii="Palatino Linotype" w:eastAsia="Palatino Linotype" w:hAnsi="Palatino Linotype" w:cs="Palatino Linotype"/>
              <w:szCs w:val="22"/>
            </w:rPr>
          </w:pPr>
          <w:r w:rsidRPr="006B5FE8">
            <w:rPr>
              <w:rFonts w:ascii="Palatino Linotype" w:eastAsia="Palatino Linotype" w:hAnsi="Palatino Linotype" w:cs="Palatino Linotype"/>
              <w:szCs w:val="22"/>
            </w:rPr>
            <w:t>10333/INFOEM/IP/RR/2025</w:t>
          </w:r>
        </w:p>
        <w:p w:rsidR="006B5FE8" w:rsidRPr="006B5FE8" w:rsidRDefault="006B5FE8" w:rsidP="006B5FE8">
          <w:pPr>
            <w:ind w:left="-61" w:right="-1512"/>
            <w:rPr>
              <w:rFonts w:ascii="Palatino Linotype" w:eastAsia="Palatino Linotype" w:hAnsi="Palatino Linotype" w:cs="Palatino Linotype"/>
              <w:szCs w:val="22"/>
            </w:rPr>
          </w:pPr>
        </w:p>
      </w:tc>
    </w:tr>
    <w:tr w:rsidR="006B5FE8" w:rsidTr="006B5FE8">
      <w:trPr>
        <w:trHeight w:val="135"/>
      </w:trPr>
      <w:tc>
        <w:tcPr>
          <w:tcW w:w="3402" w:type="dxa"/>
          <w:shd w:val="clear" w:color="auto" w:fill="auto"/>
        </w:tcPr>
        <w:p w:rsidR="006B5FE8" w:rsidRPr="006B5FE8" w:rsidRDefault="006B5FE8" w:rsidP="006B5FE8">
          <w:pPr>
            <w:tabs>
              <w:tab w:val="right" w:pos="8838"/>
            </w:tabs>
            <w:ind w:left="850" w:right="115"/>
            <w:jc w:val="right"/>
            <w:rPr>
              <w:rFonts w:ascii="Palatino Linotype" w:eastAsia="Palatino Linotype" w:hAnsi="Palatino Linotype" w:cs="Palatino Linotype"/>
              <w:b/>
              <w:bCs/>
              <w:szCs w:val="22"/>
            </w:rPr>
          </w:pPr>
          <w:r w:rsidRPr="006B5FE8">
            <w:rPr>
              <w:rFonts w:ascii="Palatino Linotype" w:eastAsia="Palatino Linotype" w:hAnsi="Palatino Linotype" w:cs="Palatino Linotype"/>
              <w:b/>
              <w:bCs/>
              <w:szCs w:val="22"/>
            </w:rPr>
            <w:t>Sujeto Obligado:</w:t>
          </w:r>
        </w:p>
      </w:tc>
      <w:tc>
        <w:tcPr>
          <w:tcW w:w="3960" w:type="dxa"/>
          <w:shd w:val="clear" w:color="auto" w:fill="auto"/>
        </w:tcPr>
        <w:p w:rsidR="006B5FE8" w:rsidRPr="006B5FE8" w:rsidRDefault="006B5FE8" w:rsidP="006B5FE8">
          <w:pPr>
            <w:tabs>
              <w:tab w:val="left" w:pos="2834"/>
            </w:tabs>
            <w:ind w:left="-61" w:right="-810"/>
            <w:rPr>
              <w:rFonts w:ascii="Palatino Linotype" w:eastAsia="Palatino Linotype" w:hAnsi="Palatino Linotype" w:cs="Palatino Linotype"/>
              <w:szCs w:val="22"/>
            </w:rPr>
          </w:pPr>
          <w:r w:rsidRPr="006B5FE8">
            <w:rPr>
              <w:rFonts w:ascii="Palatino Linotype" w:eastAsia="Palatino Linotype" w:hAnsi="Palatino Linotype" w:cs="Palatino Linotype"/>
              <w:szCs w:val="22"/>
            </w:rPr>
            <w:t>Ayuntamiento de Cuautitlán Izcalli</w:t>
          </w:r>
        </w:p>
      </w:tc>
    </w:tr>
    <w:tr w:rsidR="006B5FE8" w:rsidTr="006B5FE8">
      <w:trPr>
        <w:trHeight w:val="74"/>
      </w:trPr>
      <w:tc>
        <w:tcPr>
          <w:tcW w:w="3402" w:type="dxa"/>
          <w:shd w:val="clear" w:color="auto" w:fill="auto"/>
        </w:tcPr>
        <w:p w:rsidR="006B5FE8" w:rsidRPr="006B5FE8" w:rsidRDefault="006B5FE8" w:rsidP="006B5FE8">
          <w:pPr>
            <w:tabs>
              <w:tab w:val="right" w:pos="8838"/>
            </w:tabs>
            <w:ind w:left="364" w:right="115"/>
            <w:jc w:val="right"/>
            <w:rPr>
              <w:rFonts w:ascii="Palatino Linotype" w:eastAsia="Palatino Linotype" w:hAnsi="Palatino Linotype" w:cs="Palatino Linotype"/>
              <w:b/>
              <w:bCs/>
              <w:szCs w:val="22"/>
            </w:rPr>
          </w:pPr>
          <w:r w:rsidRPr="006B5FE8">
            <w:rPr>
              <w:rFonts w:ascii="Palatino Linotype" w:eastAsia="Palatino Linotype" w:hAnsi="Palatino Linotype" w:cs="Palatino Linotype"/>
              <w:b/>
              <w:bCs/>
              <w:szCs w:val="22"/>
            </w:rPr>
            <w:t>Comisionada ponente:</w:t>
          </w:r>
        </w:p>
      </w:tc>
      <w:tc>
        <w:tcPr>
          <w:tcW w:w="3960" w:type="dxa"/>
          <w:shd w:val="clear" w:color="auto" w:fill="auto"/>
        </w:tcPr>
        <w:p w:rsidR="006B5FE8" w:rsidRPr="006B5FE8" w:rsidRDefault="006B5FE8" w:rsidP="006B5FE8">
          <w:pPr>
            <w:ind w:left="-61" w:right="-1512"/>
            <w:rPr>
              <w:rFonts w:ascii="Palatino Linotype" w:eastAsia="Palatino Linotype" w:hAnsi="Palatino Linotype" w:cs="Palatino Linotype"/>
              <w:szCs w:val="22"/>
            </w:rPr>
          </w:pPr>
          <w:r w:rsidRPr="006B5FE8">
            <w:rPr>
              <w:rFonts w:ascii="Palatino Linotype" w:eastAsia="Palatino Linotype" w:hAnsi="Palatino Linotype" w:cs="Palatino Linotype"/>
              <w:szCs w:val="22"/>
            </w:rPr>
            <w:t>María del Rosario Mejía Ayala</w:t>
          </w:r>
        </w:p>
        <w:p w:rsidR="006B5FE8" w:rsidRPr="006B5FE8" w:rsidRDefault="006B5FE8" w:rsidP="006B5FE8">
          <w:pPr>
            <w:ind w:left="-61" w:right="-1512"/>
            <w:rPr>
              <w:rFonts w:ascii="Palatino Linotype" w:eastAsia="Palatino Linotype" w:hAnsi="Palatino Linotype" w:cs="Palatino Linotype"/>
              <w:szCs w:val="22"/>
            </w:rPr>
          </w:pPr>
        </w:p>
      </w:tc>
    </w:tr>
  </w:tbl>
  <w:p w:rsidR="00411CC9" w:rsidRDefault="006B5FE8">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59.9pt;margin-top:-116pt;width:589.8pt;height:768pt;z-index:-251658752;mso-position-horizontal-relative:margin;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05361"/>
    <w:multiLevelType w:val="multilevel"/>
    <w:tmpl w:val="FF9CAED2"/>
    <w:lvl w:ilvl="0">
      <w:start w:val="45"/>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101848"/>
    <w:multiLevelType w:val="multilevel"/>
    <w:tmpl w:val="8EC237DE"/>
    <w:lvl w:ilvl="0">
      <w:start w:val="19"/>
      <w:numFmt w:val="decimal"/>
      <w:lvlText w:val="%1."/>
      <w:lvlJc w:val="left"/>
      <w:pPr>
        <w:ind w:left="644" w:hanging="358"/>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647996"/>
    <w:multiLevelType w:val="multilevel"/>
    <w:tmpl w:val="7CCC11D4"/>
    <w:lvl w:ilvl="0">
      <w:start w:val="38"/>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316A71"/>
    <w:multiLevelType w:val="hybridMultilevel"/>
    <w:tmpl w:val="6E9847AE"/>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 w15:restartNumberingAfterBreak="0">
    <w:nsid w:val="28A21B67"/>
    <w:multiLevelType w:val="multilevel"/>
    <w:tmpl w:val="CF126202"/>
    <w:lvl w:ilvl="0">
      <w:start w:val="9"/>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20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8F66B7"/>
    <w:multiLevelType w:val="multilevel"/>
    <w:tmpl w:val="9FB2EC50"/>
    <w:lvl w:ilvl="0">
      <w:start w:val="1"/>
      <w:numFmt w:val="decimal"/>
      <w:lvlText w:val="%1."/>
      <w:lvlJc w:val="left"/>
      <w:pPr>
        <w:ind w:left="1920" w:hanging="360"/>
      </w:pPr>
      <w:rPr>
        <w:b/>
        <w:bCs/>
        <w:smallCaps/>
        <w:sz w:val="28"/>
        <w:szCs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6125C9"/>
    <w:multiLevelType w:val="multilevel"/>
    <w:tmpl w:val="80BACF7E"/>
    <w:lvl w:ilvl="0">
      <w:start w:val="44"/>
      <w:numFmt w:val="decimal"/>
      <w:lvlText w:val="%1."/>
      <w:lvlJc w:val="left"/>
      <w:pPr>
        <w:ind w:left="644" w:hanging="357"/>
      </w:pPr>
      <w:rPr>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710F72"/>
    <w:multiLevelType w:val="multilevel"/>
    <w:tmpl w:val="7DB6472C"/>
    <w:lvl w:ilvl="0">
      <w:start w:val="36"/>
      <w:numFmt w:val="decimal"/>
      <w:lvlText w:val="%1."/>
      <w:lvlJc w:val="left"/>
      <w:pPr>
        <w:ind w:left="1353" w:hanging="359"/>
      </w:pPr>
      <w:rPr>
        <w:rFonts w:ascii="Palatino Linotype" w:eastAsia="Palatino Linotype" w:hAnsi="Palatino Linotype" w:cs="Palatino Linotype"/>
        <w:b/>
        <w:bCs/>
        <w:i w:val="0"/>
        <w:iCs w:val="0"/>
        <w:color w:val="000000"/>
        <w:sz w:val="24"/>
        <w:szCs w:val="24"/>
      </w:rPr>
    </w:lvl>
    <w:lvl w:ilvl="1">
      <w:start w:val="1"/>
      <w:numFmt w:val="decimal"/>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024791C"/>
    <w:multiLevelType w:val="multilevel"/>
    <w:tmpl w:val="05D4D472"/>
    <w:lvl w:ilvl="0">
      <w:start w:val="1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6CA3D29"/>
    <w:multiLevelType w:val="multilevel"/>
    <w:tmpl w:val="28A0C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63229A"/>
    <w:multiLevelType w:val="multilevel"/>
    <w:tmpl w:val="47889EC4"/>
    <w:lvl w:ilvl="0">
      <w:start w:val="1"/>
      <w:numFmt w:val="decimal"/>
      <w:lvlText w:val="%1."/>
      <w:lvlJc w:val="left"/>
      <w:pPr>
        <w:ind w:left="644" w:hanging="357"/>
      </w:pPr>
      <w:rPr>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CC656EE"/>
    <w:multiLevelType w:val="multilevel"/>
    <w:tmpl w:val="3B6C28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3C12607"/>
    <w:multiLevelType w:val="multilevel"/>
    <w:tmpl w:val="17B26A36"/>
    <w:lvl w:ilvl="0">
      <w:start w:val="37"/>
      <w:numFmt w:val="decimal"/>
      <w:lvlText w:val="%1."/>
      <w:lvlJc w:val="left"/>
      <w:pPr>
        <w:ind w:left="1495" w:hanging="360"/>
      </w:pPr>
      <w:rPr>
        <w:rFonts w:ascii="Palatino Linotype" w:eastAsia="Palatino Linotype" w:hAnsi="Palatino Linotype" w:cs="Palatino Linotype"/>
        <w:b/>
        <w:bCs/>
        <w:i w:val="0"/>
        <w:iCs w:val="0"/>
        <w:color w:val="000000"/>
        <w:sz w:val="24"/>
        <w:szCs w:val="24"/>
      </w:rPr>
    </w:lvl>
    <w:lvl w:ilvl="1">
      <w:start w:val="1"/>
      <w:numFmt w:val="decimal"/>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
  </w:num>
  <w:num w:numId="3">
    <w:abstractNumId w:val="11"/>
  </w:num>
  <w:num w:numId="4">
    <w:abstractNumId w:val="2"/>
  </w:num>
  <w:num w:numId="5">
    <w:abstractNumId w:val="6"/>
  </w:num>
  <w:num w:numId="6">
    <w:abstractNumId w:val="9"/>
  </w:num>
  <w:num w:numId="7">
    <w:abstractNumId w:val="4"/>
  </w:num>
  <w:num w:numId="8">
    <w:abstractNumId w:val="7"/>
  </w:num>
  <w:num w:numId="9">
    <w:abstractNumId w:val="12"/>
  </w:num>
  <w:num w:numId="10">
    <w:abstractNumId w:val="0"/>
  </w:num>
  <w:num w:numId="11">
    <w:abstractNumId w:val="5"/>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CC9"/>
    <w:rsid w:val="00317535"/>
    <w:rsid w:val="00382062"/>
    <w:rsid w:val="003B131E"/>
    <w:rsid w:val="00411CC9"/>
    <w:rsid w:val="006B5FE8"/>
    <w:rsid w:val="007C31F4"/>
    <w:rsid w:val="009B480F"/>
    <w:rsid w:val="00B623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DA460AA-1D1E-42F7-983F-7CF1DE83E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CE3EF5"/>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uiPriority w:val="9"/>
    <w:rsid w:val="00CE3EF5"/>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E3EF5"/>
    <w:pPr>
      <w:tabs>
        <w:tab w:val="center" w:pos="4419"/>
        <w:tab w:val="right" w:pos="8838"/>
      </w:tabs>
    </w:pPr>
  </w:style>
  <w:style w:type="character" w:customStyle="1" w:styleId="EncabezadoCar">
    <w:name w:val="Encabezado Car"/>
    <w:basedOn w:val="Fuentedeprrafopredeter"/>
    <w:link w:val="Encabezado"/>
    <w:uiPriority w:val="99"/>
    <w:rsid w:val="00CE3EF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CE3EF5"/>
    <w:pPr>
      <w:tabs>
        <w:tab w:val="center" w:pos="4419"/>
        <w:tab w:val="right" w:pos="8838"/>
      </w:tabs>
    </w:pPr>
  </w:style>
  <w:style w:type="character" w:customStyle="1" w:styleId="PiedepginaCar">
    <w:name w:val="Pie de página Car"/>
    <w:basedOn w:val="Fuentedeprrafopredeter"/>
    <w:link w:val="Piedepgina"/>
    <w:uiPriority w:val="99"/>
    <w:rsid w:val="00CE3EF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E3EF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CE3EF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CE3EF5"/>
    <w:rPr>
      <w:color w:val="0563C1"/>
      <w:u w:val="single"/>
    </w:rPr>
  </w:style>
  <w:style w:type="paragraph" w:styleId="Sinespaciado">
    <w:name w:val="No Spacing"/>
    <w:aliases w:val="Francesa,INAI,Fundamentos"/>
    <w:link w:val="SinespaciadoCar"/>
    <w:uiPriority w:val="1"/>
    <w:qFormat/>
    <w:rsid w:val="00CE3EF5"/>
  </w:style>
  <w:style w:type="character" w:customStyle="1" w:styleId="SinespaciadoCar">
    <w:name w:val="Sin espaciado Car"/>
    <w:aliases w:val="Francesa Car,INAI Car,Fundamentos Car"/>
    <w:link w:val="Sinespaciado"/>
    <w:uiPriority w:val="1"/>
    <w:qFormat/>
    <w:locked/>
    <w:rsid w:val="00CE3EF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CE3EF5"/>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CE3EF5"/>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E3EF5"/>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CE3EF5"/>
    <w:rPr>
      <w:rFonts w:ascii="Times New Roman" w:eastAsia="Times New Roman" w:hAnsi="Times New Roman" w:cs="Times New Roman"/>
      <w:sz w:val="20"/>
      <w:szCs w:val="20"/>
      <w:lang w:eastAsia="es-MX"/>
    </w:rPr>
  </w:style>
  <w:style w:type="character" w:styleId="Hipervnculovisitado">
    <w:name w:val="FollowedHyperlink"/>
    <w:basedOn w:val="Fuentedeprrafopredeter"/>
    <w:uiPriority w:val="99"/>
    <w:semiHidden/>
    <w:unhideWhenUsed/>
    <w:rsid w:val="00243D8E"/>
    <w:rPr>
      <w:color w:val="954F72" w:themeColor="followedHyperlink"/>
      <w:u w:val="single"/>
    </w:rPr>
  </w:style>
  <w:style w:type="table" w:styleId="Tabladecuadrcula6concolores">
    <w:name w:val="Grid Table 6 Colorful"/>
    <w:basedOn w:val="Tablanormal"/>
    <w:uiPriority w:val="51"/>
    <w:rsid w:val="00DC69E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qFormat/>
    <w:rsid w:val="0095227B"/>
    <w:pPr>
      <w:autoSpaceDE w:val="0"/>
      <w:autoSpaceDN w:val="0"/>
      <w:adjustRightInd w:val="0"/>
    </w:pPr>
    <w:rPr>
      <w:rFonts w:ascii="Arial" w:hAnsi="Arial" w:cs="Arial"/>
      <w:color w:val="000000"/>
    </w:rPr>
  </w:style>
  <w:style w:type="character" w:customStyle="1" w:styleId="markedcontent">
    <w:name w:val="markedcontent"/>
    <w:basedOn w:val="Fuentedeprrafopredeter"/>
    <w:rsid w:val="00AD0C84"/>
  </w:style>
  <w:style w:type="numbering" w:customStyle="1" w:styleId="Estiloimportado1">
    <w:name w:val="Estilo importado 1"/>
    <w:rsid w:val="008B5F61"/>
  </w:style>
  <w:style w:type="table" w:customStyle="1" w:styleId="Tablanormal13">
    <w:name w:val="Tabla normal 13"/>
    <w:basedOn w:val="Tablanormal"/>
    <w:next w:val="Tablanormal1"/>
    <w:uiPriority w:val="41"/>
    <w:rsid w:val="002023A6"/>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2023A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rPr>
      <w:color w:val="000000"/>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rPr>
      <w:color w:val="000000"/>
    </w:rPr>
    <w:tblPr>
      <w:tblStyleRowBandSize w:val="1"/>
      <w:tblStyleColBandSize w:val="1"/>
      <w:tblCellMar>
        <w:left w:w="115" w:type="dxa"/>
        <w:right w:w="1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4"/>
    <w:rPr>
      <w:color w:val="000000"/>
    </w:rPr>
    <w:tblPr>
      <w:tblStyleRowBandSize w:val="1"/>
      <w:tblStyleColBandSize w:val="1"/>
      <w:tblCellMar>
        <w:left w:w="115" w:type="dxa"/>
        <w:right w:w="115" w:type="dxa"/>
      </w:tblCellMar>
    </w:tblPr>
  </w:style>
  <w:style w:type="table" w:customStyle="1" w:styleId="a6">
    <w:basedOn w:val="TableNormal4"/>
    <w:rPr>
      <w:color w:val="000000"/>
    </w:rPr>
    <w:tblPr>
      <w:tblStyleRowBandSize w:val="1"/>
      <w:tblStyleColBandSize w:val="1"/>
      <w:tblCellMar>
        <w:left w:w="115" w:type="dxa"/>
        <w:right w:w="115" w:type="dxa"/>
      </w:tblCellMar>
    </w:tblPr>
  </w:style>
  <w:style w:type="table" w:customStyle="1" w:styleId="a7">
    <w:basedOn w:val="TableNormal4"/>
    <w:rPr>
      <w:color w:val="000000"/>
    </w:rPr>
    <w:tblPr>
      <w:tblStyleRowBandSize w:val="1"/>
      <w:tblStyleColBandSize w:val="1"/>
      <w:tblCellMar>
        <w:left w:w="115" w:type="dxa"/>
        <w:right w:w="115" w:type="dxa"/>
      </w:tblCellMar>
    </w:tblPr>
  </w:style>
  <w:style w:type="table" w:customStyle="1" w:styleId="a8">
    <w:basedOn w:val="TableNormal4"/>
    <w:rPr>
      <w:color w:val="00000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EF7312"/>
    <w:rPr>
      <w:color w:val="605E5C"/>
      <w:shd w:val="clear" w:color="auto" w:fill="E1DFDD"/>
    </w:rPr>
  </w:style>
  <w:style w:type="character" w:styleId="Refdecomentario">
    <w:name w:val="annotation reference"/>
    <w:basedOn w:val="Fuentedeprrafopredeter"/>
    <w:uiPriority w:val="99"/>
    <w:semiHidden/>
    <w:unhideWhenUsed/>
    <w:rsid w:val="00E60A26"/>
    <w:rPr>
      <w:sz w:val="16"/>
      <w:szCs w:val="16"/>
    </w:rPr>
  </w:style>
  <w:style w:type="paragraph" w:styleId="Textocomentario">
    <w:name w:val="annotation text"/>
    <w:basedOn w:val="Normal"/>
    <w:link w:val="TextocomentarioCar"/>
    <w:uiPriority w:val="99"/>
    <w:unhideWhenUsed/>
    <w:rsid w:val="00E60A26"/>
    <w:rPr>
      <w:sz w:val="20"/>
      <w:szCs w:val="20"/>
    </w:rPr>
  </w:style>
  <w:style w:type="character" w:customStyle="1" w:styleId="TextocomentarioCar">
    <w:name w:val="Texto comentario Car"/>
    <w:basedOn w:val="Fuentedeprrafopredeter"/>
    <w:link w:val="Textocomentario"/>
    <w:uiPriority w:val="99"/>
    <w:rsid w:val="00E60A26"/>
    <w:rPr>
      <w:sz w:val="20"/>
      <w:szCs w:val="20"/>
    </w:rPr>
  </w:style>
  <w:style w:type="paragraph" w:styleId="Asuntodelcomentario">
    <w:name w:val="annotation subject"/>
    <w:basedOn w:val="Textocomentario"/>
    <w:next w:val="Textocomentario"/>
    <w:link w:val="AsuntodelcomentarioCar"/>
    <w:uiPriority w:val="99"/>
    <w:semiHidden/>
    <w:unhideWhenUsed/>
    <w:rsid w:val="00E60A26"/>
    <w:rPr>
      <w:b/>
      <w:bCs/>
    </w:rPr>
  </w:style>
  <w:style w:type="character" w:customStyle="1" w:styleId="AsuntodelcomentarioCar">
    <w:name w:val="Asunto del comentario Car"/>
    <w:basedOn w:val="TextocomentarioCar"/>
    <w:link w:val="Asuntodelcomentario"/>
    <w:uiPriority w:val="99"/>
    <w:semiHidden/>
    <w:rsid w:val="00E60A26"/>
    <w:rPr>
      <w:b/>
      <w:bCs/>
      <w:sz w:val="20"/>
      <w:szCs w:val="20"/>
    </w:rPr>
  </w:style>
  <w:style w:type="paragraph" w:styleId="Textodeglobo">
    <w:name w:val="Balloon Text"/>
    <w:basedOn w:val="Normal"/>
    <w:link w:val="TextodegloboCar"/>
    <w:uiPriority w:val="99"/>
    <w:semiHidden/>
    <w:unhideWhenUsed/>
    <w:rsid w:val="00E60A2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0A26"/>
    <w:rPr>
      <w:rFonts w:ascii="Segoe UI" w:hAnsi="Segoe UI" w:cs="Segoe UI"/>
      <w:sz w:val="18"/>
      <w:szCs w:val="18"/>
    </w:rPr>
  </w:style>
  <w:style w:type="table" w:styleId="Tablaconcuadrcula">
    <w:name w:val="Table Grid"/>
    <w:basedOn w:val="Tablanormal"/>
    <w:uiPriority w:val="59"/>
    <w:rsid w:val="00D46DD8"/>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9">
    <w:basedOn w:val="TableNormal3"/>
    <w:rPr>
      <w:rFonts w:ascii="Calibri" w:eastAsia="Calibri" w:hAnsi="Calibri" w:cs="Calibri"/>
      <w:color w:val="000000"/>
    </w:rPr>
    <w:tblPr>
      <w:tblStyleRowBandSize w:val="1"/>
      <w:tblStyleColBandSize w:val="1"/>
      <w:tblCellMar>
        <w:left w:w="108" w:type="dxa"/>
        <w:right w:w="108"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rPr>
      <w:color w:val="000000"/>
    </w:rPr>
    <w:tblPr>
      <w:tblStyleRowBandSize w:val="1"/>
      <w:tblStyleColBandSize w:val="1"/>
      <w:tblCellMar>
        <w:left w:w="115" w:type="dxa"/>
        <w:right w:w="115" w:type="dxa"/>
      </w:tblCellMar>
    </w:tblPr>
  </w:style>
  <w:style w:type="table" w:customStyle="1" w:styleId="ac">
    <w:basedOn w:val="TableNormal3"/>
    <w:rPr>
      <w:color w:val="000000"/>
    </w:rPr>
    <w:tblPr>
      <w:tblStyleRowBandSize w:val="1"/>
      <w:tblStyleColBandSize w:val="1"/>
      <w:tblCellMar>
        <w:left w:w="115" w:type="dxa"/>
        <w:right w:w="115" w:type="dxa"/>
      </w:tblCellMar>
    </w:tblPr>
  </w:style>
  <w:style w:type="table" w:customStyle="1" w:styleId="ad">
    <w:basedOn w:val="TableNormal3"/>
    <w:rPr>
      <w:color w:val="000000"/>
    </w:rPr>
    <w:tblPr>
      <w:tblStyleRowBandSize w:val="1"/>
      <w:tblStyleColBandSize w:val="1"/>
      <w:tblCellMar>
        <w:left w:w="115" w:type="dxa"/>
        <w:right w:w="115" w:type="dxa"/>
      </w:tblCellMar>
    </w:tblPr>
  </w:style>
  <w:style w:type="table" w:customStyle="1" w:styleId="ae">
    <w:basedOn w:val="TableNormal3"/>
    <w:rPr>
      <w:color w:val="000000"/>
    </w:rPr>
    <w:tblPr>
      <w:tblStyleRowBandSize w:val="1"/>
      <w:tblStyleColBandSize w:val="1"/>
      <w:tblCellMar>
        <w:left w:w="115" w:type="dxa"/>
        <w:right w:w="115" w:type="dxa"/>
      </w:tblCellMar>
    </w:tblPr>
  </w:style>
  <w:style w:type="table" w:customStyle="1" w:styleId="af">
    <w:basedOn w:val="TableNormal2"/>
    <w:rPr>
      <w:rFonts w:ascii="Calibri" w:eastAsia="Calibri" w:hAnsi="Calibri" w:cs="Calibri"/>
      <w:color w:val="000000"/>
    </w:rPr>
    <w:tblPr>
      <w:tblStyleRowBandSize w:val="1"/>
      <w:tblStyleColBandSize w:val="1"/>
      <w:tblCellMar>
        <w:left w:w="115" w:type="dxa"/>
        <w:right w:w="115" w:type="dxa"/>
      </w:tblCellMar>
    </w:tblPr>
  </w:style>
  <w:style w:type="table" w:customStyle="1" w:styleId="af0">
    <w:basedOn w:val="TableNormal2"/>
    <w:rPr>
      <w:rFonts w:ascii="Calibri" w:eastAsia="Calibri" w:hAnsi="Calibri" w:cs="Calibri"/>
      <w:color w:val="000000"/>
    </w:rPr>
    <w:tblPr>
      <w:tblStyleRowBandSize w:val="1"/>
      <w:tblStyleColBandSize w:val="1"/>
      <w:tblCellMar>
        <w:left w:w="115" w:type="dxa"/>
        <w:right w:w="115" w:type="dxa"/>
      </w:tblCellMar>
    </w:tblPr>
  </w:style>
  <w:style w:type="table" w:customStyle="1" w:styleId="af1">
    <w:basedOn w:val="TableNormal2"/>
    <w:rPr>
      <w:rFonts w:ascii="Calibri" w:eastAsia="Calibri" w:hAnsi="Calibri" w:cs="Calibri"/>
      <w:color w:val="000000"/>
    </w:rPr>
    <w:tblPr>
      <w:tblStyleRowBandSize w:val="1"/>
      <w:tblStyleColBandSize w:val="1"/>
      <w:tblCellMar>
        <w:left w:w="115" w:type="dxa"/>
        <w:right w:w="115" w:type="dxa"/>
      </w:tblCellMar>
    </w:tblPr>
  </w:style>
  <w:style w:type="table" w:customStyle="1" w:styleId="af2">
    <w:basedOn w:val="TableNormal2"/>
    <w:rPr>
      <w:rFonts w:ascii="Calibri" w:eastAsia="Calibri" w:hAnsi="Calibri" w:cs="Calibri"/>
      <w:color w:val="000000"/>
    </w:rPr>
    <w:tblPr>
      <w:tblStyleRowBandSize w:val="1"/>
      <w:tblStyleColBandSize w:val="1"/>
      <w:tblCellMar>
        <w:left w:w="115" w:type="dxa"/>
        <w:right w:w="115" w:type="dxa"/>
      </w:tblCellMar>
    </w:tblPr>
  </w:style>
  <w:style w:type="character" w:styleId="Referenciasutil">
    <w:name w:val="Subtle Reference"/>
    <w:basedOn w:val="Fuentedeprrafopredeter"/>
    <w:uiPriority w:val="31"/>
    <w:qFormat/>
    <w:rsid w:val="00A36329"/>
    <w:rPr>
      <w:rFonts w:cs="Times New Roman"/>
      <w:smallCaps/>
      <w:color w:val="5A5A5A" w:themeColor="text1" w:themeTint="A5"/>
    </w:rPr>
  </w:style>
  <w:style w:type="table" w:customStyle="1" w:styleId="af3">
    <w:basedOn w:val="TableNormal1"/>
    <w:rPr>
      <w:rFonts w:ascii="Calibri" w:eastAsia="Calibri" w:hAnsi="Calibri" w:cs="Calibri"/>
      <w:color w:val="000000"/>
    </w:rPr>
    <w:tblPr>
      <w:tblStyleRowBandSize w:val="1"/>
      <w:tblStyleColBandSize w:val="1"/>
      <w:tblCellMar>
        <w:left w:w="115" w:type="dxa"/>
        <w:right w:w="115" w:type="dxa"/>
      </w:tblCellMar>
    </w:tblPr>
  </w:style>
  <w:style w:type="table" w:customStyle="1" w:styleId="af4">
    <w:basedOn w:val="TableNormal1"/>
    <w:rPr>
      <w:rFonts w:ascii="Calibri" w:eastAsia="Calibri" w:hAnsi="Calibri" w:cs="Calibri"/>
      <w:color w:val="000000"/>
    </w:rPr>
    <w:tblPr>
      <w:tblStyleRowBandSize w:val="1"/>
      <w:tblStyleColBandSize w:val="1"/>
      <w:tblCellMar>
        <w:left w:w="115" w:type="dxa"/>
        <w:right w:w="115" w:type="dxa"/>
      </w:tblCellMar>
    </w:tblPr>
  </w:style>
  <w:style w:type="table" w:customStyle="1" w:styleId="af5">
    <w:basedOn w:val="TableNormal1"/>
    <w:rPr>
      <w:rFonts w:ascii="Calibri" w:eastAsia="Calibri" w:hAnsi="Calibri" w:cs="Calibri"/>
      <w:color w:val="000000"/>
    </w:rPr>
    <w:tblPr>
      <w:tblStyleRowBandSize w:val="1"/>
      <w:tblStyleColBandSize w:val="1"/>
      <w:tblCellMar>
        <w:left w:w="115" w:type="dxa"/>
        <w:right w:w="115" w:type="dxa"/>
      </w:tblCellMar>
    </w:tblPr>
  </w:style>
  <w:style w:type="table" w:customStyle="1" w:styleId="af6">
    <w:basedOn w:val="TableNormal1"/>
    <w:rPr>
      <w:rFonts w:ascii="Calibri" w:eastAsia="Calibri" w:hAnsi="Calibri" w:cs="Calibri"/>
      <w:color w:val="000000"/>
    </w:rPr>
    <w:tblPr>
      <w:tblStyleRowBandSize w:val="1"/>
      <w:tblStyleColBandSize w:val="1"/>
      <w:tblCellMar>
        <w:left w:w="115" w:type="dxa"/>
        <w:right w:w="115" w:type="dxa"/>
      </w:tblCellMar>
    </w:tblPr>
  </w:style>
  <w:style w:type="paragraph" w:styleId="NormalWeb">
    <w:name w:val="Normal (Web)"/>
    <w:basedOn w:val="Normal"/>
    <w:uiPriority w:val="99"/>
    <w:rsid w:val="00F4095B"/>
    <w:pPr>
      <w:spacing w:before="100" w:beforeAutospacing="1" w:after="100" w:afterAutospacing="1"/>
    </w:pPr>
    <w:rPr>
      <w:lang w:eastAsia="es-ES"/>
    </w:rPr>
  </w:style>
  <w:style w:type="character" w:styleId="Textoennegrita">
    <w:name w:val="Strong"/>
    <w:uiPriority w:val="22"/>
    <w:qFormat/>
    <w:rsid w:val="00F4095B"/>
    <w:rPr>
      <w:b/>
      <w:bCs/>
    </w:rPr>
  </w:style>
  <w:style w:type="paragraph" w:styleId="Textoindependiente2">
    <w:name w:val="Body Text 2"/>
    <w:basedOn w:val="Normal"/>
    <w:link w:val="Textoindependiente2Car"/>
    <w:uiPriority w:val="99"/>
    <w:unhideWhenUsed/>
    <w:rsid w:val="00F4095B"/>
    <w:pPr>
      <w:spacing w:after="120" w:line="480" w:lineRule="auto"/>
    </w:pPr>
    <w:rPr>
      <w:lang w:eastAsia="es-ES"/>
    </w:rPr>
  </w:style>
  <w:style w:type="character" w:customStyle="1" w:styleId="Textoindependiente2Car">
    <w:name w:val="Texto independiente 2 Car"/>
    <w:basedOn w:val="Fuentedeprrafopredeter"/>
    <w:link w:val="Textoindependiente2"/>
    <w:uiPriority w:val="99"/>
    <w:rsid w:val="00F4095B"/>
    <w:rPr>
      <w:lang w:eastAsia="es-ES"/>
    </w:rPr>
  </w:style>
  <w:style w:type="character" w:customStyle="1" w:styleId="apple-converted-space">
    <w:name w:val="apple-converted-space"/>
    <w:basedOn w:val="Fuentedeprrafopredeter"/>
    <w:rsid w:val="00F4095B"/>
  </w:style>
  <w:style w:type="paragraph" w:customStyle="1" w:styleId="Listavistosa-nfasis11">
    <w:name w:val="Lista vistosa - Énfasis 11"/>
    <w:basedOn w:val="Normal"/>
    <w:link w:val="Listavistosa-nfasis1Car"/>
    <w:uiPriority w:val="34"/>
    <w:qFormat/>
    <w:rsid w:val="00F4095B"/>
    <w:pPr>
      <w:ind w:left="708"/>
    </w:pPr>
    <w:rPr>
      <w:lang w:eastAsia="es-ES"/>
    </w:rPr>
  </w:style>
  <w:style w:type="character" w:customStyle="1" w:styleId="Listavistosa-nfasis1Car">
    <w:name w:val="Lista vistosa - Énfasis 1 Car"/>
    <w:link w:val="Listavistosa-nfasis11"/>
    <w:uiPriority w:val="34"/>
    <w:locked/>
    <w:rsid w:val="00F4095B"/>
    <w:rPr>
      <w:lang w:eastAsia="es-ES"/>
    </w:rPr>
  </w:style>
  <w:style w:type="paragraph" w:customStyle="1" w:styleId="Texto">
    <w:name w:val="Texto"/>
    <w:basedOn w:val="Normal"/>
    <w:link w:val="TextoCar"/>
    <w:qFormat/>
    <w:rsid w:val="00F4095B"/>
    <w:pPr>
      <w:spacing w:after="101" w:line="216" w:lineRule="exact"/>
      <w:ind w:firstLine="288"/>
      <w:jc w:val="both"/>
    </w:pPr>
    <w:rPr>
      <w:rFonts w:ascii="Arial" w:hAnsi="Arial" w:cs="Arial"/>
      <w:sz w:val="18"/>
      <w:szCs w:val="18"/>
      <w:lang w:eastAsia="es-ES"/>
    </w:rPr>
  </w:style>
  <w:style w:type="character" w:customStyle="1" w:styleId="apple-style-span">
    <w:name w:val="apple-style-span"/>
    <w:rsid w:val="00F4095B"/>
  </w:style>
  <w:style w:type="paragraph" w:styleId="Textosinformato">
    <w:name w:val="Plain Text"/>
    <w:basedOn w:val="Normal"/>
    <w:link w:val="TextosinformatoCar"/>
    <w:rsid w:val="00F4095B"/>
    <w:rPr>
      <w:rFonts w:ascii="Courier New" w:hAnsi="Courier New"/>
      <w:sz w:val="20"/>
      <w:szCs w:val="20"/>
      <w:lang w:eastAsia="es-ES"/>
    </w:rPr>
  </w:style>
  <w:style w:type="character" w:customStyle="1" w:styleId="TextosinformatoCar">
    <w:name w:val="Texto sin formato Car"/>
    <w:basedOn w:val="Fuentedeprrafopredeter"/>
    <w:link w:val="Textosinformato"/>
    <w:rsid w:val="00F4095B"/>
    <w:rPr>
      <w:rFonts w:ascii="Courier New" w:hAnsi="Courier New"/>
      <w:sz w:val="20"/>
      <w:szCs w:val="20"/>
      <w:lang w:eastAsia="es-ES"/>
    </w:rPr>
  </w:style>
  <w:style w:type="paragraph" w:customStyle="1" w:styleId="Standard">
    <w:name w:val="Standard"/>
    <w:rsid w:val="00F4095B"/>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F4095B"/>
    <w:rPr>
      <w:rFonts w:ascii="Arial" w:hAnsi="Arial" w:cs="Arial" w:hint="default"/>
      <w:b/>
      <w:bCs/>
      <w:sz w:val="18"/>
      <w:szCs w:val="18"/>
    </w:rPr>
  </w:style>
  <w:style w:type="paragraph" w:customStyle="1" w:styleId="Pa2">
    <w:name w:val="Pa2"/>
    <w:basedOn w:val="Normal"/>
    <w:next w:val="Normal"/>
    <w:uiPriority w:val="99"/>
    <w:rsid w:val="00F4095B"/>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F4095B"/>
    <w:pPr>
      <w:spacing w:before="100" w:beforeAutospacing="1" w:after="100" w:afterAutospacing="1"/>
    </w:pPr>
  </w:style>
  <w:style w:type="character" w:customStyle="1" w:styleId="d">
    <w:name w:val="d"/>
    <w:basedOn w:val="Fuentedeprrafopredeter"/>
    <w:rsid w:val="00F4095B"/>
  </w:style>
  <w:style w:type="character" w:customStyle="1" w:styleId="b">
    <w:name w:val="b"/>
    <w:basedOn w:val="Fuentedeprrafopredeter"/>
    <w:rsid w:val="00F4095B"/>
  </w:style>
  <w:style w:type="character" w:customStyle="1" w:styleId="k">
    <w:name w:val="k"/>
    <w:basedOn w:val="Fuentedeprrafopredeter"/>
    <w:rsid w:val="00F4095B"/>
  </w:style>
  <w:style w:type="character" w:customStyle="1" w:styleId="h">
    <w:name w:val="h"/>
    <w:basedOn w:val="Fuentedeprrafopredeter"/>
    <w:rsid w:val="00F4095B"/>
  </w:style>
  <w:style w:type="character" w:styleId="CitaHTML">
    <w:name w:val="HTML Cite"/>
    <w:uiPriority w:val="99"/>
    <w:semiHidden/>
    <w:unhideWhenUsed/>
    <w:rsid w:val="00F4095B"/>
    <w:rPr>
      <w:i/>
      <w:iCs/>
    </w:rPr>
  </w:style>
  <w:style w:type="paragraph" w:customStyle="1" w:styleId="RSCGnotaalpie">
    <w:name w:val="RSCG nota al pie"/>
    <w:basedOn w:val="Normal"/>
    <w:uiPriority w:val="99"/>
    <w:qFormat/>
    <w:rsid w:val="00F4095B"/>
    <w:pPr>
      <w:spacing w:after="120"/>
      <w:jc w:val="both"/>
    </w:pPr>
    <w:rPr>
      <w:rFonts w:ascii="Palatino" w:hAnsi="Palatino" w:cstheme="minorBidi"/>
      <w:sz w:val="22"/>
      <w:szCs w:val="22"/>
      <w:lang w:eastAsia="en-US"/>
    </w:rPr>
  </w:style>
  <w:style w:type="character" w:customStyle="1" w:styleId="lbl-encabezado-blanco2">
    <w:name w:val="lbl-encabezado-blanco2"/>
    <w:rsid w:val="00F4095B"/>
    <w:rPr>
      <w:color w:val="FFFFFF"/>
    </w:rPr>
  </w:style>
  <w:style w:type="character" w:customStyle="1" w:styleId="TextoCar">
    <w:name w:val="Texto Car"/>
    <w:link w:val="Texto"/>
    <w:locked/>
    <w:rsid w:val="00F4095B"/>
    <w:rPr>
      <w:rFonts w:ascii="Arial" w:hAnsi="Arial" w:cs="Arial"/>
      <w:sz w:val="18"/>
      <w:szCs w:val="18"/>
      <w:lang w:eastAsia="es-ES"/>
    </w:rPr>
  </w:style>
  <w:style w:type="character" w:customStyle="1" w:styleId="Ttulo3Car">
    <w:name w:val="Título 3 Car"/>
    <w:basedOn w:val="Fuentedeprrafopredeter"/>
    <w:uiPriority w:val="9"/>
    <w:rsid w:val="00F4095B"/>
    <w:rPr>
      <w:b/>
      <w:sz w:val="28"/>
      <w:szCs w:val="28"/>
    </w:rPr>
  </w:style>
  <w:style w:type="paragraph" w:customStyle="1" w:styleId="ANOTACION">
    <w:name w:val="ANOTACION"/>
    <w:basedOn w:val="Normal"/>
    <w:link w:val="ANOTACIONCar"/>
    <w:rsid w:val="00F4095B"/>
    <w:pPr>
      <w:spacing w:before="101" w:after="101"/>
      <w:jc w:val="center"/>
    </w:pPr>
    <w:rPr>
      <w:b/>
      <w:sz w:val="18"/>
      <w:szCs w:val="18"/>
      <w:lang w:eastAsia="es-ES"/>
    </w:rPr>
  </w:style>
  <w:style w:type="character" w:customStyle="1" w:styleId="ANOTACIONCar">
    <w:name w:val="ANOTACION Car"/>
    <w:link w:val="ANOTACION"/>
    <w:locked/>
    <w:rsid w:val="00F4095B"/>
    <w:rPr>
      <w:b/>
      <w:sz w:val="18"/>
      <w:szCs w:val="18"/>
      <w:lang w:eastAsia="es-ES"/>
    </w:rPr>
  </w:style>
  <w:style w:type="character" w:styleId="nfasis">
    <w:name w:val="Emphasis"/>
    <w:basedOn w:val="Fuentedeprrafopredeter"/>
    <w:uiPriority w:val="20"/>
    <w:qFormat/>
    <w:rsid w:val="00F4095B"/>
    <w:rPr>
      <w:i/>
      <w:iCs/>
    </w:rPr>
  </w:style>
  <w:style w:type="paragraph" w:styleId="Bibliografa">
    <w:name w:val="Bibliography"/>
    <w:basedOn w:val="Normal"/>
    <w:next w:val="Normal"/>
    <w:uiPriority w:val="37"/>
    <w:semiHidden/>
    <w:unhideWhenUsed/>
    <w:rsid w:val="00F4095B"/>
    <w:rPr>
      <w:lang w:eastAsia="es-ES"/>
    </w:rPr>
  </w:style>
  <w:style w:type="paragraph" w:customStyle="1" w:styleId="ROMANOS">
    <w:name w:val="ROMANOS"/>
    <w:basedOn w:val="Normal"/>
    <w:link w:val="ROMANOSCar"/>
    <w:rsid w:val="00F4095B"/>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ROMANOSCar">
    <w:name w:val="ROMANOS Car"/>
    <w:link w:val="ROMANOS"/>
    <w:locked/>
    <w:rsid w:val="00F4095B"/>
    <w:rPr>
      <w:rFonts w:ascii="Arial"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F4095B"/>
  </w:style>
  <w:style w:type="character" w:customStyle="1" w:styleId="Ninguno">
    <w:name w:val="Ninguno"/>
    <w:rsid w:val="00F4095B"/>
    <w:rPr>
      <w:lang w:val="es-ES_tradnl"/>
    </w:rPr>
  </w:style>
  <w:style w:type="paragraph" w:customStyle="1" w:styleId="Cuerpo">
    <w:name w:val="Cuerpo"/>
    <w:rsid w:val="00F4095B"/>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eastAsia="es-ES"/>
    </w:rPr>
  </w:style>
  <w:style w:type="numbering" w:customStyle="1" w:styleId="Estiloimportado2">
    <w:name w:val="Estilo importado 2"/>
    <w:rsid w:val="00F4095B"/>
  </w:style>
  <w:style w:type="character" w:customStyle="1" w:styleId="normaltextrun">
    <w:name w:val="normaltextrun"/>
    <w:basedOn w:val="Fuentedeprrafopredeter"/>
    <w:rsid w:val="00F4095B"/>
  </w:style>
  <w:style w:type="paragraph" w:customStyle="1" w:styleId="INCISO">
    <w:name w:val="INCISO"/>
    <w:basedOn w:val="Normal"/>
    <w:rsid w:val="00F4095B"/>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F4095B"/>
    <w:pPr>
      <w:spacing w:before="100" w:beforeAutospacing="1" w:after="100" w:afterAutospacing="1"/>
    </w:pPr>
  </w:style>
  <w:style w:type="paragraph" w:customStyle="1" w:styleId="j">
    <w:name w:val="j"/>
    <w:basedOn w:val="Normal"/>
    <w:rsid w:val="00F4095B"/>
    <w:pPr>
      <w:spacing w:before="100" w:beforeAutospacing="1" w:after="100" w:afterAutospacing="1"/>
    </w:pPr>
  </w:style>
  <w:style w:type="character" w:customStyle="1" w:styleId="nacep">
    <w:name w:val="n_acep"/>
    <w:basedOn w:val="Fuentedeprrafopredeter"/>
    <w:rsid w:val="00F4095B"/>
  </w:style>
  <w:style w:type="paragraph" w:customStyle="1" w:styleId="m5212863947045306324gmail-msonormal">
    <w:name w:val="m_5212863947045306324gmail-msonormal"/>
    <w:basedOn w:val="Normal"/>
    <w:rsid w:val="00F4095B"/>
    <w:pPr>
      <w:spacing w:before="100" w:beforeAutospacing="1" w:after="100" w:afterAutospacing="1"/>
    </w:pPr>
  </w:style>
  <w:style w:type="character" w:customStyle="1" w:styleId="user-highlighted-active">
    <w:name w:val="user-highlighted-active"/>
    <w:basedOn w:val="Fuentedeprrafopredeter"/>
    <w:rsid w:val="00F4095B"/>
  </w:style>
  <w:style w:type="character" w:customStyle="1" w:styleId="Ttulo4Car">
    <w:name w:val="Título 4 Car"/>
    <w:basedOn w:val="Fuentedeprrafopredeter"/>
    <w:uiPriority w:val="9"/>
    <w:rsid w:val="00F4095B"/>
    <w:rPr>
      <w:b/>
    </w:rPr>
  </w:style>
  <w:style w:type="character" w:customStyle="1" w:styleId="Ttulo5Car">
    <w:name w:val="Título 5 Car"/>
    <w:basedOn w:val="Fuentedeprrafopredeter"/>
    <w:uiPriority w:val="9"/>
    <w:rsid w:val="00F4095B"/>
    <w:rPr>
      <w:b/>
      <w:sz w:val="22"/>
      <w:szCs w:val="22"/>
    </w:rPr>
  </w:style>
  <w:style w:type="character" w:customStyle="1" w:styleId="Ttulo6Car">
    <w:name w:val="Título 6 Car"/>
    <w:basedOn w:val="Fuentedeprrafopredeter"/>
    <w:uiPriority w:val="9"/>
    <w:rsid w:val="00F4095B"/>
    <w:rPr>
      <w:b/>
      <w:sz w:val="20"/>
      <w:szCs w:val="20"/>
    </w:rPr>
  </w:style>
  <w:style w:type="paragraph" w:styleId="Lista">
    <w:name w:val="List"/>
    <w:basedOn w:val="Normal"/>
    <w:uiPriority w:val="99"/>
    <w:unhideWhenUsed/>
    <w:rsid w:val="00F4095B"/>
    <w:pPr>
      <w:ind w:left="283" w:hanging="283"/>
      <w:contextualSpacing/>
    </w:pPr>
    <w:rPr>
      <w:lang w:val="es-ES" w:eastAsia="es-ES"/>
    </w:rPr>
  </w:style>
  <w:style w:type="paragraph" w:styleId="Lista2">
    <w:name w:val="List 2"/>
    <w:basedOn w:val="Normal"/>
    <w:uiPriority w:val="99"/>
    <w:unhideWhenUsed/>
    <w:rsid w:val="00F4095B"/>
    <w:pPr>
      <w:ind w:left="566" w:hanging="283"/>
      <w:contextualSpacing/>
    </w:pPr>
    <w:rPr>
      <w:lang w:val="es-ES" w:eastAsia="es-ES"/>
    </w:rPr>
  </w:style>
  <w:style w:type="paragraph" w:styleId="Lista3">
    <w:name w:val="List 3"/>
    <w:basedOn w:val="Normal"/>
    <w:uiPriority w:val="99"/>
    <w:unhideWhenUsed/>
    <w:rsid w:val="00F4095B"/>
    <w:pPr>
      <w:ind w:left="849" w:hanging="283"/>
      <w:contextualSpacing/>
    </w:pPr>
    <w:rPr>
      <w:lang w:val="es-ES" w:eastAsia="es-ES"/>
    </w:rPr>
  </w:style>
  <w:style w:type="paragraph" w:styleId="Textoindependiente">
    <w:name w:val="Body Text"/>
    <w:basedOn w:val="Normal"/>
    <w:link w:val="TextoindependienteCar"/>
    <w:uiPriority w:val="99"/>
    <w:unhideWhenUsed/>
    <w:rsid w:val="00F4095B"/>
    <w:pPr>
      <w:spacing w:after="120"/>
    </w:pPr>
    <w:rPr>
      <w:lang w:val="es-ES" w:eastAsia="es-ES"/>
    </w:rPr>
  </w:style>
  <w:style w:type="character" w:customStyle="1" w:styleId="TextoindependienteCar">
    <w:name w:val="Texto independiente Car"/>
    <w:basedOn w:val="Fuentedeprrafopredeter"/>
    <w:link w:val="Textoindependiente"/>
    <w:uiPriority w:val="99"/>
    <w:rsid w:val="00F4095B"/>
    <w:rPr>
      <w:lang w:val="es-ES" w:eastAsia="es-ES"/>
    </w:rPr>
  </w:style>
  <w:style w:type="paragraph" w:styleId="Sangradetextonormal">
    <w:name w:val="Body Text Indent"/>
    <w:basedOn w:val="Normal"/>
    <w:link w:val="SangradetextonormalCar"/>
    <w:uiPriority w:val="99"/>
    <w:unhideWhenUsed/>
    <w:rsid w:val="00F4095B"/>
    <w:pPr>
      <w:spacing w:after="120"/>
      <w:ind w:left="283"/>
    </w:pPr>
    <w:rPr>
      <w:lang w:val="es-ES" w:eastAsia="es-ES"/>
    </w:rPr>
  </w:style>
  <w:style w:type="character" w:customStyle="1" w:styleId="SangradetextonormalCar">
    <w:name w:val="Sangría de texto normal Car"/>
    <w:basedOn w:val="Fuentedeprrafopredeter"/>
    <w:link w:val="Sangradetextonormal"/>
    <w:uiPriority w:val="99"/>
    <w:rsid w:val="00F4095B"/>
    <w:rPr>
      <w:lang w:val="es-ES" w:eastAsia="es-ES"/>
    </w:rPr>
  </w:style>
  <w:style w:type="paragraph" w:styleId="Textoindependienteprimerasangra2">
    <w:name w:val="Body Text First Indent 2"/>
    <w:basedOn w:val="Sangradetextonormal"/>
    <w:link w:val="Textoindependienteprimerasangra2Car"/>
    <w:uiPriority w:val="99"/>
    <w:unhideWhenUsed/>
    <w:rsid w:val="00F4095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4095B"/>
    <w:rPr>
      <w:lang w:val="es-ES" w:eastAsia="es-ES"/>
    </w:rPr>
  </w:style>
  <w:style w:type="character" w:customStyle="1" w:styleId="numberfracccentro">
    <w:name w:val="numberfracccentro"/>
    <w:basedOn w:val="Fuentedeprrafopredeter"/>
    <w:rsid w:val="00F4095B"/>
  </w:style>
  <w:style w:type="character" w:customStyle="1" w:styleId="titulorubrolgt">
    <w:name w:val="titulorubrolgt"/>
    <w:basedOn w:val="Fuentedeprrafopredeter"/>
    <w:rsid w:val="00F4095B"/>
  </w:style>
  <w:style w:type="paragraph" w:customStyle="1" w:styleId="Text">
    <w:name w:val="Text"/>
    <w:basedOn w:val="Normal"/>
    <w:link w:val="TextChar"/>
    <w:rsid w:val="00F4095B"/>
    <w:pPr>
      <w:spacing w:after="240"/>
    </w:pPr>
    <w:rPr>
      <w:szCs w:val="20"/>
      <w:lang w:val="en-US" w:eastAsia="en-US"/>
    </w:rPr>
  </w:style>
  <w:style w:type="character" w:customStyle="1" w:styleId="TextChar">
    <w:name w:val="Text Char"/>
    <w:link w:val="Text"/>
    <w:locked/>
    <w:rsid w:val="00F4095B"/>
    <w:rPr>
      <w:szCs w:val="20"/>
      <w:lang w:val="en-US" w:eastAsia="en-US"/>
    </w:rPr>
  </w:style>
  <w:style w:type="paragraph" w:customStyle="1" w:styleId="corte5transcripcion">
    <w:name w:val="corte5 transcripcion"/>
    <w:basedOn w:val="Normal"/>
    <w:rsid w:val="00F4095B"/>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F4095B"/>
    <w:rPr>
      <w:rFonts w:asciiTheme="minorHAnsi" w:eastAsia="Cambria" w:hAnsiTheme="minorHAnsi" w:cstheme="minorBidi"/>
      <w:sz w:val="20"/>
      <w:szCs w:val="20"/>
      <w:lang w:eastAsia="en-US"/>
    </w:rPr>
  </w:style>
  <w:style w:type="paragraph" w:customStyle="1" w:styleId="paragraph">
    <w:name w:val="paragraph"/>
    <w:basedOn w:val="Normal"/>
    <w:uiPriority w:val="99"/>
    <w:rsid w:val="00F4095B"/>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F4095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F4095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F4095B"/>
    <w:pPr>
      <w:spacing w:before="100" w:beforeAutospacing="1" w:after="100" w:afterAutospacing="1"/>
    </w:pPr>
  </w:style>
  <w:style w:type="character" w:customStyle="1" w:styleId="bold">
    <w:name w:val="bold"/>
    <w:basedOn w:val="Fuentedeprrafopredeter"/>
    <w:rsid w:val="00F4095B"/>
  </w:style>
  <w:style w:type="paragraph" w:customStyle="1" w:styleId="ng-star-inserted">
    <w:name w:val="ng-star-inserted"/>
    <w:basedOn w:val="Normal"/>
    <w:rsid w:val="00F4095B"/>
    <w:pPr>
      <w:spacing w:before="100" w:beforeAutospacing="1" w:after="100" w:afterAutospacing="1"/>
    </w:pPr>
  </w:style>
  <w:style w:type="character" w:customStyle="1" w:styleId="Mencinsinresolver2">
    <w:name w:val="Mención sin resolver2"/>
    <w:basedOn w:val="Fuentedeprrafopredeter"/>
    <w:uiPriority w:val="99"/>
    <w:semiHidden/>
    <w:unhideWhenUsed/>
    <w:rsid w:val="00F4095B"/>
    <w:rPr>
      <w:color w:val="605E5C"/>
      <w:shd w:val="clear" w:color="auto" w:fill="E1DFDD"/>
    </w:rPr>
  </w:style>
  <w:style w:type="character" w:customStyle="1" w:styleId="Mencinsinresolver3">
    <w:name w:val="Mención sin resolver3"/>
    <w:basedOn w:val="Fuentedeprrafopredeter"/>
    <w:uiPriority w:val="99"/>
    <w:semiHidden/>
    <w:unhideWhenUsed/>
    <w:rsid w:val="00F4095B"/>
    <w:rPr>
      <w:color w:val="605E5C"/>
      <w:shd w:val="clear" w:color="auto" w:fill="E1DFDD"/>
    </w:rPr>
  </w:style>
  <w:style w:type="paragraph" w:styleId="Saludo">
    <w:name w:val="Salutation"/>
    <w:basedOn w:val="Normal"/>
    <w:next w:val="Normal"/>
    <w:link w:val="SaludoCar"/>
    <w:uiPriority w:val="99"/>
    <w:unhideWhenUsed/>
    <w:rsid w:val="00F4095B"/>
    <w:rPr>
      <w:lang w:eastAsia="es-ES"/>
    </w:rPr>
  </w:style>
  <w:style w:type="character" w:customStyle="1" w:styleId="SaludoCar">
    <w:name w:val="Saludo Car"/>
    <w:basedOn w:val="Fuentedeprrafopredeter"/>
    <w:link w:val="Saludo"/>
    <w:uiPriority w:val="99"/>
    <w:rsid w:val="00F4095B"/>
    <w:rPr>
      <w:lang w:eastAsia="es-ES"/>
    </w:rPr>
  </w:style>
  <w:style w:type="character" w:customStyle="1" w:styleId="Caracteresdenotaalpie">
    <w:name w:val="Caracteres de nota al pie"/>
    <w:qFormat/>
    <w:rsid w:val="00F4095B"/>
  </w:style>
  <w:style w:type="character" w:customStyle="1" w:styleId="Mencinsinresolver4">
    <w:name w:val="Mención sin resolver4"/>
    <w:basedOn w:val="Fuentedeprrafopredeter"/>
    <w:uiPriority w:val="99"/>
    <w:semiHidden/>
    <w:unhideWhenUsed/>
    <w:rsid w:val="00F4095B"/>
    <w:rPr>
      <w:color w:val="605E5C"/>
      <w:shd w:val="clear" w:color="auto" w:fill="E1DFDD"/>
    </w:rPr>
  </w:style>
  <w:style w:type="character" w:customStyle="1" w:styleId="Mencinsinresolver5">
    <w:name w:val="Mención sin resolver5"/>
    <w:basedOn w:val="Fuentedeprrafopredeter"/>
    <w:uiPriority w:val="99"/>
    <w:semiHidden/>
    <w:unhideWhenUsed/>
    <w:rsid w:val="00F4095B"/>
    <w:rPr>
      <w:color w:val="605E5C"/>
      <w:shd w:val="clear" w:color="auto" w:fill="E1DFDD"/>
    </w:rPr>
  </w:style>
  <w:style w:type="character" w:customStyle="1" w:styleId="Mencinsinresolver6">
    <w:name w:val="Mención sin resolver6"/>
    <w:basedOn w:val="Fuentedeprrafopredeter"/>
    <w:uiPriority w:val="99"/>
    <w:semiHidden/>
    <w:unhideWhenUsed/>
    <w:rsid w:val="00F4095B"/>
    <w:rPr>
      <w:color w:val="605E5C"/>
      <w:shd w:val="clear" w:color="auto" w:fill="E1DFDD"/>
    </w:rPr>
  </w:style>
  <w:style w:type="table" w:customStyle="1" w:styleId="Tablaconcuadrcula111121">
    <w:name w:val="Tabla con cuadrícula111121"/>
    <w:basedOn w:val="Tablanormal"/>
    <w:uiPriority w:val="39"/>
    <w:rsid w:val="00F4095B"/>
    <w:rPr>
      <w:rFonts w:asciiTheme="minorHAnsi" w:eastAsiaTheme="minorHAnsi" w:hAnsiTheme="minorHAnsi" w:cstheme="minorBidi"/>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F4095B"/>
    <w:rPr>
      <w:rFonts w:ascii="Cambria" w:eastAsia="Cambria" w:hAnsi="Cambria"/>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F4095B"/>
    <w:rPr>
      <w:color w:val="605E5C"/>
      <w:shd w:val="clear" w:color="auto" w:fill="E1DFDD"/>
    </w:rPr>
  </w:style>
  <w:style w:type="character" w:customStyle="1" w:styleId="Mencinsinresolver8">
    <w:name w:val="Mención sin resolver8"/>
    <w:basedOn w:val="Fuentedeprrafopredeter"/>
    <w:uiPriority w:val="99"/>
    <w:semiHidden/>
    <w:unhideWhenUsed/>
    <w:rsid w:val="00F4095B"/>
    <w:rPr>
      <w:color w:val="605E5C"/>
      <w:shd w:val="clear" w:color="auto" w:fill="E1DFDD"/>
    </w:rPr>
  </w:style>
  <w:style w:type="table" w:customStyle="1" w:styleId="Tablaconcuadrcula1111212">
    <w:name w:val="Tabla con cuadrícula1111212"/>
    <w:basedOn w:val="Tablanormal"/>
    <w:uiPriority w:val="39"/>
    <w:rsid w:val="00F4095B"/>
    <w:rPr>
      <w:rFonts w:ascii="Cambria" w:eastAsia="Cambria" w:hAnsi="Cambria"/>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F4095B"/>
    <w:rPr>
      <w:lang w:eastAsia="es-ES"/>
    </w:rPr>
  </w:style>
  <w:style w:type="table" w:customStyle="1" w:styleId="Tablaconcuadrcula3">
    <w:name w:val="Tabla con cuadrícula3"/>
    <w:basedOn w:val="Tablanormal"/>
    <w:next w:val="Tablaconcuadrcula"/>
    <w:uiPriority w:val="39"/>
    <w:rsid w:val="00F4095B"/>
    <w:rPr>
      <w:rFonts w:ascii="Arial" w:eastAsia="Calibri" w:hAnsi="Arial"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4095B"/>
    <w:pPr>
      <w:spacing w:after="120"/>
    </w:pPr>
    <w:rPr>
      <w:sz w:val="16"/>
      <w:szCs w:val="16"/>
      <w:lang w:eastAsia="es-ES"/>
    </w:rPr>
  </w:style>
  <w:style w:type="character" w:customStyle="1" w:styleId="Textoindependiente3Car">
    <w:name w:val="Texto independiente 3 Car"/>
    <w:basedOn w:val="Fuentedeprrafopredeter"/>
    <w:link w:val="Textoindependiente3"/>
    <w:uiPriority w:val="99"/>
    <w:semiHidden/>
    <w:rsid w:val="00F4095B"/>
    <w:rPr>
      <w:sz w:val="16"/>
      <w:szCs w:val="16"/>
      <w:lang w:eastAsia="es-ES"/>
    </w:rPr>
  </w:style>
  <w:style w:type="paragraph" w:customStyle="1" w:styleId="xmsonormal">
    <w:name w:val="x_msonormal"/>
    <w:basedOn w:val="Normal"/>
    <w:rsid w:val="00F4095B"/>
    <w:pPr>
      <w:spacing w:before="100" w:beforeAutospacing="1" w:after="100" w:afterAutospacing="1"/>
    </w:pPr>
  </w:style>
  <w:style w:type="character" w:customStyle="1" w:styleId="eop">
    <w:name w:val="eop"/>
    <w:basedOn w:val="Fuentedeprrafopredeter"/>
    <w:rsid w:val="00F4095B"/>
  </w:style>
  <w:style w:type="paragraph" w:styleId="Textonotaalfinal">
    <w:name w:val="endnote text"/>
    <w:basedOn w:val="Normal"/>
    <w:link w:val="TextonotaalfinalCar"/>
    <w:uiPriority w:val="99"/>
    <w:semiHidden/>
    <w:unhideWhenUsed/>
    <w:rsid w:val="00F4095B"/>
    <w:rPr>
      <w:sz w:val="20"/>
      <w:szCs w:val="20"/>
      <w:lang w:eastAsia="es-ES"/>
    </w:rPr>
  </w:style>
  <w:style w:type="character" w:customStyle="1" w:styleId="TextonotaalfinalCar">
    <w:name w:val="Texto nota al final Car"/>
    <w:basedOn w:val="Fuentedeprrafopredeter"/>
    <w:link w:val="Textonotaalfinal"/>
    <w:uiPriority w:val="99"/>
    <w:semiHidden/>
    <w:rsid w:val="00F4095B"/>
    <w:rPr>
      <w:sz w:val="20"/>
      <w:szCs w:val="20"/>
      <w:lang w:eastAsia="es-ES"/>
    </w:rPr>
  </w:style>
  <w:style w:type="character" w:styleId="Refdenotaalfinal">
    <w:name w:val="endnote reference"/>
    <w:basedOn w:val="Fuentedeprrafopredeter"/>
    <w:uiPriority w:val="99"/>
    <w:semiHidden/>
    <w:unhideWhenUsed/>
    <w:rsid w:val="00F4095B"/>
    <w:rPr>
      <w:vertAlign w:val="superscript"/>
    </w:rPr>
  </w:style>
  <w:style w:type="table" w:customStyle="1" w:styleId="Tablaconcuadrcula1111213">
    <w:name w:val="Tabla con cuadrícula1111213"/>
    <w:basedOn w:val="Tablanormal"/>
    <w:uiPriority w:val="39"/>
    <w:rsid w:val="00F4095B"/>
    <w:rPr>
      <w:rFonts w:asciiTheme="minorHAnsi" w:eastAsiaTheme="minorHAnsi" w:hAnsiTheme="minorHAnsi" w:cstheme="minorBidi"/>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F4095B"/>
    <w:rPr>
      <w:color w:val="605E5C"/>
      <w:shd w:val="clear" w:color="auto" w:fill="E1DFDD"/>
    </w:rPr>
  </w:style>
  <w:style w:type="character" w:customStyle="1" w:styleId="Mencinsinresolver10">
    <w:name w:val="Mención sin resolver10"/>
    <w:basedOn w:val="Fuentedeprrafopredeter"/>
    <w:uiPriority w:val="99"/>
    <w:semiHidden/>
    <w:unhideWhenUsed/>
    <w:rsid w:val="00F4095B"/>
    <w:rPr>
      <w:color w:val="605E5C"/>
      <w:shd w:val="clear" w:color="auto" w:fill="E1DFDD"/>
    </w:rPr>
  </w:style>
  <w:style w:type="table" w:customStyle="1" w:styleId="Tablaconcuadrcula31">
    <w:name w:val="Tabla con cuadrícula31"/>
    <w:basedOn w:val="Tablanormal"/>
    <w:uiPriority w:val="59"/>
    <w:rsid w:val="00F4095B"/>
    <w:rPr>
      <w:rFonts w:asciiTheme="minorHAnsi" w:eastAsiaTheme="minorHAnsi" w:hAnsiTheme="minorHAnsi" w:cstheme="minorBidi"/>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F4095B"/>
    <w:rPr>
      <w:color w:val="605E5C"/>
      <w:shd w:val="clear" w:color="auto" w:fill="E1DFDD"/>
    </w:rPr>
  </w:style>
  <w:style w:type="character" w:customStyle="1" w:styleId="Mencinsinresolver12">
    <w:name w:val="Mención sin resolver12"/>
    <w:basedOn w:val="Fuentedeprrafopredeter"/>
    <w:uiPriority w:val="99"/>
    <w:semiHidden/>
    <w:unhideWhenUsed/>
    <w:rsid w:val="00F4095B"/>
    <w:rPr>
      <w:color w:val="605E5C"/>
      <w:shd w:val="clear" w:color="auto" w:fill="E1DFDD"/>
    </w:rPr>
  </w:style>
  <w:style w:type="character" w:customStyle="1" w:styleId="Mencinsinresolver13">
    <w:name w:val="Mención sin resolver13"/>
    <w:basedOn w:val="Fuentedeprrafopredeter"/>
    <w:uiPriority w:val="99"/>
    <w:semiHidden/>
    <w:unhideWhenUsed/>
    <w:rsid w:val="00F4095B"/>
    <w:rPr>
      <w:color w:val="605E5C"/>
      <w:shd w:val="clear" w:color="auto" w:fill="E1DFDD"/>
    </w:rPr>
  </w:style>
  <w:style w:type="character" w:customStyle="1" w:styleId="Mencinsinresolver14">
    <w:name w:val="Mención sin resolver14"/>
    <w:basedOn w:val="Fuentedeprrafopredeter"/>
    <w:uiPriority w:val="99"/>
    <w:semiHidden/>
    <w:unhideWhenUsed/>
    <w:rsid w:val="00F4095B"/>
    <w:rPr>
      <w:color w:val="605E5C"/>
      <w:shd w:val="clear" w:color="auto" w:fill="E1DFDD"/>
    </w:rPr>
  </w:style>
  <w:style w:type="character" w:customStyle="1" w:styleId="Mencinsinresolver15">
    <w:name w:val="Mención sin resolver15"/>
    <w:basedOn w:val="Fuentedeprrafopredeter"/>
    <w:uiPriority w:val="99"/>
    <w:semiHidden/>
    <w:unhideWhenUsed/>
    <w:rsid w:val="00F4095B"/>
    <w:rPr>
      <w:color w:val="605E5C"/>
      <w:shd w:val="clear" w:color="auto" w:fill="E1DFDD"/>
    </w:rPr>
  </w:style>
  <w:style w:type="character" w:customStyle="1" w:styleId="Mencinsinresolver16">
    <w:name w:val="Mención sin resolver16"/>
    <w:basedOn w:val="Fuentedeprrafopredeter"/>
    <w:uiPriority w:val="99"/>
    <w:semiHidden/>
    <w:unhideWhenUsed/>
    <w:rsid w:val="00F4095B"/>
    <w:rPr>
      <w:color w:val="605E5C"/>
      <w:shd w:val="clear" w:color="auto" w:fill="E1DFDD"/>
    </w:rPr>
  </w:style>
  <w:style w:type="character" w:customStyle="1" w:styleId="Mencinsinresolver17">
    <w:name w:val="Mención sin resolver17"/>
    <w:basedOn w:val="Fuentedeprrafopredeter"/>
    <w:uiPriority w:val="99"/>
    <w:semiHidden/>
    <w:unhideWhenUsed/>
    <w:rsid w:val="00F4095B"/>
    <w:rPr>
      <w:color w:val="605E5C"/>
      <w:shd w:val="clear" w:color="auto" w:fill="E1DFDD"/>
    </w:rPr>
  </w:style>
  <w:style w:type="table" w:customStyle="1" w:styleId="Tablaconcuadrcula1111214">
    <w:name w:val="Tabla con cuadrícula1111214"/>
    <w:basedOn w:val="Tablanormal"/>
    <w:uiPriority w:val="39"/>
    <w:rsid w:val="00F4095B"/>
    <w:rPr>
      <w:rFonts w:asciiTheme="minorHAnsi" w:eastAsiaTheme="minorHAnsi" w:hAnsiTheme="minorHAnsi" w:cstheme="minorBidi"/>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8">
    <w:name w:val="Mención sin resolver18"/>
    <w:basedOn w:val="Fuentedeprrafopredeter"/>
    <w:uiPriority w:val="99"/>
    <w:semiHidden/>
    <w:unhideWhenUsed/>
    <w:rsid w:val="00F4095B"/>
    <w:rPr>
      <w:color w:val="605E5C"/>
      <w:shd w:val="clear" w:color="auto" w:fill="E1DFDD"/>
    </w:rPr>
  </w:style>
  <w:style w:type="table" w:customStyle="1" w:styleId="Tablaconcuadrcula11112131">
    <w:name w:val="Tabla con cuadrícula11112131"/>
    <w:basedOn w:val="Tablanormal"/>
    <w:uiPriority w:val="39"/>
    <w:rsid w:val="00F4095B"/>
    <w:rPr>
      <w:rFonts w:asciiTheme="minorHAnsi" w:eastAsiaTheme="minorHAnsi" w:hAnsiTheme="minorHAnsi" w:cstheme="minorBidi"/>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311">
    <w:name w:val="Tabla con cuadrícula111121311"/>
    <w:basedOn w:val="Tablanormal"/>
    <w:uiPriority w:val="39"/>
    <w:rsid w:val="00F4095B"/>
    <w:rPr>
      <w:rFonts w:asciiTheme="minorHAnsi" w:eastAsiaTheme="minorHAnsi" w:hAnsiTheme="minorHAnsi" w:cstheme="minorBidi"/>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9">
    <w:name w:val="Mención sin resolver19"/>
    <w:basedOn w:val="Fuentedeprrafopredeter"/>
    <w:uiPriority w:val="99"/>
    <w:semiHidden/>
    <w:unhideWhenUsed/>
    <w:rsid w:val="00F4095B"/>
    <w:rPr>
      <w:color w:val="605E5C"/>
      <w:shd w:val="clear" w:color="auto" w:fill="E1DFDD"/>
    </w:rPr>
  </w:style>
  <w:style w:type="table" w:customStyle="1" w:styleId="Tablaconcuadrcula311">
    <w:name w:val="Tabla con cuadrícula311"/>
    <w:basedOn w:val="Tablanormal"/>
    <w:uiPriority w:val="59"/>
    <w:rsid w:val="00F4095B"/>
    <w:rPr>
      <w:rFonts w:asciiTheme="minorHAnsi" w:eastAsiaTheme="minorHAnsi" w:hAnsiTheme="minorHAnsi" w:cstheme="minorBidi"/>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F409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M">
    <w:name w:val="INFOEM"/>
    <w:basedOn w:val="Normal"/>
    <w:qFormat/>
    <w:rsid w:val="00F4095B"/>
    <w:pPr>
      <w:spacing w:before="240" w:after="160" w:line="360" w:lineRule="auto"/>
      <w:ind w:left="851" w:right="851"/>
      <w:jc w:val="both"/>
    </w:pPr>
    <w:rPr>
      <w:rFonts w:ascii="Palatino Linotype" w:eastAsiaTheme="minorHAnsi" w:hAnsi="Palatino Linotype" w:cstheme="minorBidi"/>
      <w:i/>
      <w:sz w:val="22"/>
      <w:szCs w:val="14"/>
      <w:lang w:eastAsia="en-US"/>
    </w:rPr>
  </w:style>
  <w:style w:type="character" w:customStyle="1" w:styleId="Mencinsinresolver20">
    <w:name w:val="Mención sin resolver20"/>
    <w:basedOn w:val="Fuentedeprrafopredeter"/>
    <w:uiPriority w:val="99"/>
    <w:semiHidden/>
    <w:unhideWhenUsed/>
    <w:rsid w:val="00F4095B"/>
    <w:rPr>
      <w:color w:val="605E5C"/>
      <w:shd w:val="clear" w:color="auto" w:fill="E1DFDD"/>
    </w:rPr>
  </w:style>
  <w:style w:type="character" w:customStyle="1" w:styleId="medium">
    <w:name w:val="medium"/>
    <w:basedOn w:val="Fuentedeprrafopredeter"/>
    <w:rsid w:val="00F4095B"/>
  </w:style>
  <w:style w:type="character" w:customStyle="1" w:styleId="A60">
    <w:name w:val="A6"/>
    <w:uiPriority w:val="99"/>
    <w:rsid w:val="00076C70"/>
    <w:rPr>
      <w:rFonts w:cs="Montserrat"/>
      <w:color w:val="000000"/>
      <w:sz w:val="16"/>
      <w:szCs w:val="16"/>
    </w:rPr>
  </w:style>
  <w:style w:type="paragraph" w:customStyle="1" w:styleId="Citas">
    <w:name w:val="Citas"/>
    <w:basedOn w:val="Normal"/>
    <w:qFormat/>
    <w:rsid w:val="001664EC"/>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7">
    <w:basedOn w:val="TableNormal0"/>
    <w:rPr>
      <w:rFonts w:ascii="Calibri" w:eastAsia="Calibri" w:hAnsi="Calibri" w:cs="Calibri"/>
      <w:color w:val="000000"/>
    </w:rPr>
    <w:tblPr>
      <w:tblStyleRowBandSize w:val="1"/>
      <w:tblStyleColBandSize w:val="1"/>
      <w:tblCellMar>
        <w:left w:w="115" w:type="dxa"/>
        <w:right w:w="115" w:type="dxa"/>
      </w:tblCellMar>
    </w:tblPr>
  </w:style>
  <w:style w:type="table" w:customStyle="1" w:styleId="af8">
    <w:basedOn w:val="TableNormal0"/>
    <w:rPr>
      <w:rFonts w:ascii="Calibri" w:eastAsia="Calibri" w:hAnsi="Calibri" w:cs="Calibri"/>
      <w:color w:val="000000"/>
    </w:rPr>
    <w:tblPr>
      <w:tblStyleRowBandSize w:val="1"/>
      <w:tblStyleColBandSize w:val="1"/>
      <w:tblCellMar>
        <w:left w:w="115" w:type="dxa"/>
        <w:right w:w="115" w:type="dxa"/>
      </w:tblCellMar>
    </w:tblPr>
  </w:style>
  <w:style w:type="table" w:customStyle="1" w:styleId="af9">
    <w:basedOn w:val="TableNormal0"/>
    <w:rPr>
      <w:rFonts w:ascii="Calibri" w:eastAsia="Calibri" w:hAnsi="Calibri" w:cs="Calibri"/>
      <w:color w:val="000000"/>
    </w:rPr>
    <w:tblPr>
      <w:tblStyleRowBandSize w:val="1"/>
      <w:tblStyleColBandSize w:val="1"/>
      <w:tblCellMar>
        <w:left w:w="115" w:type="dxa"/>
        <w:right w:w="115" w:type="dxa"/>
      </w:tblCellMar>
    </w:tblPr>
  </w:style>
  <w:style w:type="table" w:customStyle="1" w:styleId="afa">
    <w:basedOn w:val="TableNormal0"/>
    <w:rPr>
      <w:rFonts w:ascii="Calibri" w:eastAsia="Calibri" w:hAnsi="Calibri" w:cs="Calibri"/>
      <w:color w:val="00000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5kJfAOsvBHIKgmL/D7YjVs5JYw==">CgMxLjAyCWguMnM4ZXlvMTIJaC4xN2RwOHZ1MgloLjNyZGNyam4yDmguc2JvMTJ6cTNzZHR5Mg5oLnVtd3p2NmJxM2dnczgAciExT0pfS2JvY2JIMGZCaUdOYmlmdDlfWUNxdzlJc01YOXY=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4812</Words>
  <Characters>26471</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31221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Cuenta Microsoft</cp:lastModifiedBy>
  <cp:revision>4</cp:revision>
  <cp:lastPrinted>2026-01-16T17:15:00Z</cp:lastPrinted>
  <dcterms:created xsi:type="dcterms:W3CDTF">2025-12-16T17:48:00Z</dcterms:created>
  <dcterms:modified xsi:type="dcterms:W3CDTF">2026-01-27T18:05:00Z</dcterms:modified>
</cp:coreProperties>
</file>