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08B1" w:rsidRDefault="003E0D5B">
      <w:pPr>
        <w:spacing w:before="240" w:after="240" w:line="360" w:lineRule="auto"/>
        <w:jc w:val="both"/>
        <w:rPr>
          <w:rFonts w:ascii="Palatino Linotype" w:eastAsia="Palatino Linotype" w:hAnsi="Palatino Linotype" w:cs="Palatino Linotype"/>
          <w:sz w:val="22"/>
          <w:szCs w:val="22"/>
        </w:rPr>
      </w:pPr>
      <w:bookmarkStart w:id="0" w:name="_heading=h.3rdcrjn" w:colFirst="0" w:colLast="0"/>
      <w:bookmarkEnd w:id="0"/>
      <w:r>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ocho de abril de dos mil veintiséis. </w:t>
      </w:r>
    </w:p>
    <w:p w:rsidR="00A208B1" w:rsidRDefault="003E0D5B">
      <w:pPr>
        <w:tabs>
          <w:tab w:val="left" w:pos="5812"/>
        </w:tabs>
        <w:spacing w:before="240" w:after="240" w:line="360" w:lineRule="auto"/>
        <w:jc w:val="both"/>
        <w:rPr>
          <w:rFonts w:ascii="Palatino Linotype" w:eastAsia="Palatino Linotype" w:hAnsi="Palatino Linotype" w:cs="Palatino Linotype"/>
          <w:sz w:val="22"/>
          <w:szCs w:val="22"/>
        </w:rPr>
      </w:pPr>
      <w:bookmarkStart w:id="1" w:name="_heading=h.daj3j2xo6q66" w:colFirst="0" w:colLast="0"/>
      <w:bookmarkEnd w:id="1"/>
      <w:r>
        <w:rPr>
          <w:rFonts w:ascii="Palatino Linotype" w:eastAsia="Palatino Linotype" w:hAnsi="Palatino Linotype" w:cs="Palatino Linotype"/>
          <w:b/>
          <w:bCs/>
          <w:sz w:val="22"/>
          <w:szCs w:val="22"/>
        </w:rPr>
        <w:t>VISTO</w:t>
      </w:r>
      <w:r>
        <w:rPr>
          <w:rFonts w:ascii="Palatino Linotype" w:eastAsia="Palatino Linotype" w:hAnsi="Palatino Linotype" w:cs="Palatino Linotype"/>
          <w:sz w:val="22"/>
          <w:szCs w:val="22"/>
        </w:rPr>
        <w:t xml:space="preserve"> el expediente formado con motivo del recurso de revisión </w:t>
      </w:r>
      <w:r>
        <w:rPr>
          <w:rFonts w:ascii="Palatino Linotype" w:eastAsia="Palatino Linotype" w:hAnsi="Palatino Linotype" w:cs="Palatino Linotype"/>
          <w:b/>
          <w:bCs/>
          <w:sz w:val="22"/>
          <w:szCs w:val="22"/>
        </w:rPr>
        <w:t>08339/INFOEM/IP/RR/2025</w:t>
      </w:r>
      <w:r>
        <w:rPr>
          <w:rFonts w:ascii="Palatino Linotype" w:eastAsia="Palatino Linotype" w:hAnsi="Palatino Linotype" w:cs="Palatino Linotype"/>
          <w:sz w:val="22"/>
          <w:szCs w:val="22"/>
        </w:rPr>
        <w:t>, interpuesto por</w:t>
      </w:r>
      <w:r>
        <w:rPr>
          <w:rFonts w:ascii="Palatino Linotype" w:eastAsia="Palatino Linotype" w:hAnsi="Palatino Linotype" w:cs="Palatino Linotype"/>
          <w:b/>
          <w:bCs/>
          <w:sz w:val="22"/>
          <w:szCs w:val="22"/>
        </w:rPr>
        <w:t xml:space="preserve"> </w:t>
      </w:r>
      <w:r w:rsidRPr="003E0D5B">
        <w:rPr>
          <w:rFonts w:ascii="Palatino Linotype" w:eastAsia="Palatino Linotype" w:hAnsi="Palatino Linotype" w:cs="Palatino Linotype"/>
          <w:b/>
          <w:bCs/>
          <w:sz w:val="22"/>
          <w:szCs w:val="22"/>
        </w:rPr>
        <w:t>XXXXX XXXX XXXXXXXX XXXXXX</w:t>
      </w:r>
      <w:r w:rsidRPr="003E0D5B">
        <w:rPr>
          <w:rFonts w:ascii="Palatino Linotype" w:eastAsia="Palatino Linotype" w:hAnsi="Palatino Linotype" w:cs="Palatino Linotype"/>
          <w:b/>
          <w:bCs/>
          <w:sz w:val="22"/>
          <w:szCs w:val="22"/>
        </w:rPr>
        <w:t>,</w:t>
      </w:r>
      <w:r>
        <w:rPr>
          <w:rFonts w:ascii="Palatino Linotype" w:eastAsia="Palatino Linotype" w:hAnsi="Palatino Linotype" w:cs="Palatino Linotype"/>
          <w:sz w:val="22"/>
          <w:szCs w:val="22"/>
        </w:rPr>
        <w:t xml:space="preserve"> en lo sucesivo</w:t>
      </w:r>
      <w:r>
        <w:rPr>
          <w:rFonts w:ascii="Palatino Linotype" w:eastAsia="Palatino Linotype" w:hAnsi="Palatino Linotype" w:cs="Palatino Linotype"/>
          <w:b/>
          <w:bCs/>
          <w:sz w:val="22"/>
          <w:szCs w:val="22"/>
        </w:rPr>
        <w:t xml:space="preserve"> </w:t>
      </w:r>
      <w:r>
        <w:rPr>
          <w:rFonts w:ascii="Palatino Linotype" w:eastAsia="Palatino Linotype" w:hAnsi="Palatino Linotype" w:cs="Palatino Linotype"/>
          <w:sz w:val="22"/>
          <w:szCs w:val="22"/>
        </w:rPr>
        <w:t xml:space="preserve">la parte </w:t>
      </w:r>
      <w:r>
        <w:rPr>
          <w:rFonts w:ascii="Palatino Linotype" w:eastAsia="Palatino Linotype" w:hAnsi="Palatino Linotype" w:cs="Palatino Linotype"/>
          <w:b/>
          <w:bCs/>
          <w:sz w:val="22"/>
          <w:szCs w:val="22"/>
        </w:rPr>
        <w:t>Recurrente,</w:t>
      </w:r>
      <w:r>
        <w:rPr>
          <w:rFonts w:ascii="Palatino Linotype" w:eastAsia="Palatino Linotype" w:hAnsi="Palatino Linotype" w:cs="Palatino Linotype"/>
          <w:sz w:val="22"/>
          <w:szCs w:val="22"/>
        </w:rPr>
        <w:t xml:space="preserve"> en contra de la respuesta a la solicitud de información con número de folio</w:t>
      </w:r>
      <w:r>
        <w:rPr>
          <w:rFonts w:ascii="Palatino Linotype" w:eastAsia="Palatino Linotype" w:hAnsi="Palatino Linotype" w:cs="Palatino Linotype"/>
          <w:b/>
          <w:bCs/>
          <w:sz w:val="22"/>
          <w:szCs w:val="22"/>
        </w:rPr>
        <w:t xml:space="preserve"> 00133/TEXCOCO/IP</w:t>
      </w:r>
      <w:r>
        <w:rPr>
          <w:rFonts w:ascii="Palatino Linotype" w:eastAsia="Palatino Linotype" w:hAnsi="Palatino Linotype" w:cs="Palatino Linotype"/>
          <w:b/>
          <w:bCs/>
          <w:sz w:val="22"/>
          <w:szCs w:val="22"/>
        </w:rPr>
        <w:t xml:space="preserve">/2025, </w:t>
      </w:r>
      <w:r>
        <w:rPr>
          <w:rFonts w:ascii="Palatino Linotype" w:eastAsia="Palatino Linotype" w:hAnsi="Palatino Linotype" w:cs="Palatino Linotype"/>
          <w:sz w:val="22"/>
          <w:szCs w:val="22"/>
        </w:rPr>
        <w:t xml:space="preserve">por parte de la </w:t>
      </w:r>
      <w:r>
        <w:rPr>
          <w:rFonts w:ascii="Palatino Linotype" w:eastAsia="Palatino Linotype" w:hAnsi="Palatino Linotype" w:cs="Palatino Linotype"/>
          <w:b/>
          <w:bCs/>
          <w:sz w:val="22"/>
          <w:szCs w:val="22"/>
        </w:rPr>
        <w:t xml:space="preserve">Ayuntamiento de Texcoco, </w:t>
      </w:r>
      <w:r>
        <w:rPr>
          <w:rFonts w:ascii="Palatino Linotype" w:eastAsia="Palatino Linotype" w:hAnsi="Palatino Linotype" w:cs="Palatino Linotype"/>
          <w:sz w:val="22"/>
          <w:szCs w:val="22"/>
        </w:rPr>
        <w:t xml:space="preserve">en lo sucesivo el </w:t>
      </w:r>
      <w:r>
        <w:rPr>
          <w:rFonts w:ascii="Palatino Linotype" w:eastAsia="Palatino Linotype" w:hAnsi="Palatino Linotype" w:cs="Palatino Linotype"/>
          <w:b/>
          <w:bCs/>
          <w:sz w:val="22"/>
          <w:szCs w:val="22"/>
        </w:rPr>
        <w:t xml:space="preserve">Sujeto Obligado, </w:t>
      </w:r>
      <w:r>
        <w:rPr>
          <w:rFonts w:ascii="Palatino Linotype" w:eastAsia="Palatino Linotype" w:hAnsi="Palatino Linotype" w:cs="Palatino Linotype"/>
          <w:sz w:val="22"/>
          <w:szCs w:val="22"/>
        </w:rPr>
        <w:t xml:space="preserve">se procede a dictar la presente resolución con base en los siguientes: </w:t>
      </w:r>
    </w:p>
    <w:p w:rsidR="00A208B1" w:rsidRDefault="003E0D5B">
      <w:pPr>
        <w:spacing w:before="240" w:after="240" w:line="360" w:lineRule="auto"/>
        <w:jc w:val="cente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I. A N T E C E D E N T E S</w:t>
      </w:r>
    </w:p>
    <w:p w:rsidR="00A208B1" w:rsidRDefault="003E0D5B">
      <w:pPr>
        <w:spacing w:before="240" w:after="240" w:line="360" w:lineRule="auto"/>
        <w:jc w:val="both"/>
        <w:rPr>
          <w:rFonts w:ascii="Palatino Linotype" w:eastAsia="Palatino Linotype" w:hAnsi="Palatino Linotype" w:cs="Palatino Linotype"/>
          <w:sz w:val="22"/>
          <w:szCs w:val="22"/>
        </w:rPr>
      </w:pPr>
      <w:bookmarkStart w:id="2" w:name="_heading=h.gjdgxs" w:colFirst="0" w:colLast="0"/>
      <w:bookmarkEnd w:id="2"/>
      <w:r>
        <w:rPr>
          <w:rFonts w:ascii="Palatino Linotype" w:eastAsia="Palatino Linotype" w:hAnsi="Palatino Linotype" w:cs="Palatino Linotype"/>
          <w:b/>
          <w:bCs/>
          <w:sz w:val="22"/>
          <w:szCs w:val="22"/>
        </w:rPr>
        <w:t>1. Solicitud de acceso a la información.</w:t>
      </w:r>
      <w:r>
        <w:rPr>
          <w:rFonts w:ascii="Palatino Linotype" w:eastAsia="Palatino Linotype" w:hAnsi="Palatino Linotype" w:cs="Palatino Linotype"/>
          <w:sz w:val="22"/>
          <w:szCs w:val="22"/>
        </w:rPr>
        <w:t xml:space="preserve"> El </w:t>
      </w:r>
      <w:r>
        <w:rPr>
          <w:rFonts w:ascii="Palatino Linotype" w:eastAsia="Palatino Linotype" w:hAnsi="Palatino Linotype" w:cs="Palatino Linotype"/>
          <w:b/>
          <w:bCs/>
          <w:sz w:val="22"/>
          <w:szCs w:val="22"/>
        </w:rPr>
        <w:t>nueve de junio de dos mil vein</w:t>
      </w:r>
      <w:r>
        <w:rPr>
          <w:rFonts w:ascii="Palatino Linotype" w:eastAsia="Palatino Linotype" w:hAnsi="Palatino Linotype" w:cs="Palatino Linotype"/>
          <w:b/>
          <w:bCs/>
          <w:sz w:val="22"/>
          <w:szCs w:val="22"/>
        </w:rPr>
        <w:t>ticinco,</w:t>
      </w:r>
      <w:r>
        <w:rPr>
          <w:rFonts w:ascii="Palatino Linotype" w:eastAsia="Palatino Linotype" w:hAnsi="Palatino Linotype" w:cs="Palatino Linotype"/>
          <w:sz w:val="22"/>
          <w:szCs w:val="22"/>
        </w:rPr>
        <w:t xml:space="preserve"> la parte </w:t>
      </w:r>
      <w:r>
        <w:rPr>
          <w:rFonts w:ascii="Palatino Linotype" w:eastAsia="Palatino Linotype" w:hAnsi="Palatino Linotype" w:cs="Palatino Linotype"/>
          <w:b/>
          <w:bCs/>
          <w:sz w:val="22"/>
          <w:szCs w:val="22"/>
        </w:rPr>
        <w:t xml:space="preserve">Recurrente </w:t>
      </w:r>
      <w:r>
        <w:rPr>
          <w:rFonts w:ascii="Palatino Linotype" w:eastAsia="Palatino Linotype" w:hAnsi="Palatino Linotype" w:cs="Palatino Linotype"/>
          <w:sz w:val="22"/>
          <w:szCs w:val="22"/>
        </w:rPr>
        <w:t xml:space="preserve">presentó la solicitud de acceso a la información pública ante el </w:t>
      </w:r>
      <w:r>
        <w:rPr>
          <w:rFonts w:ascii="Palatino Linotype" w:eastAsia="Palatino Linotype" w:hAnsi="Palatino Linotype" w:cs="Palatino Linotype"/>
          <w:b/>
          <w:bCs/>
          <w:sz w:val="22"/>
          <w:szCs w:val="22"/>
        </w:rPr>
        <w:t>Sujeto Obligado</w:t>
      </w:r>
      <w:r>
        <w:rPr>
          <w:rFonts w:ascii="Palatino Linotype" w:eastAsia="Palatino Linotype" w:hAnsi="Palatino Linotype" w:cs="Palatino Linotype"/>
          <w:sz w:val="22"/>
          <w:szCs w:val="22"/>
        </w:rPr>
        <w:t xml:space="preserve">, a través del Sistema de Acceso a la Información Mexiquense, en lo subsecuente el </w:t>
      </w:r>
      <w:r>
        <w:rPr>
          <w:rFonts w:ascii="Palatino Linotype" w:eastAsia="Palatino Linotype" w:hAnsi="Palatino Linotype" w:cs="Palatino Linotype"/>
          <w:b/>
          <w:bCs/>
          <w:sz w:val="22"/>
          <w:szCs w:val="22"/>
        </w:rPr>
        <w:t>SAIMEX,</w:t>
      </w:r>
      <w:r>
        <w:rPr>
          <w:rFonts w:ascii="Palatino Linotype" w:eastAsia="Palatino Linotype" w:hAnsi="Palatino Linotype" w:cs="Palatino Linotype"/>
          <w:sz w:val="22"/>
          <w:szCs w:val="22"/>
        </w:rPr>
        <w:t xml:space="preserve"> mediante la cual requirió lo siguiente:</w:t>
      </w:r>
    </w:p>
    <w:p w:rsidR="00A208B1" w:rsidRDefault="003E0D5B">
      <w:pPr>
        <w:spacing w:before="120" w:after="120"/>
        <w:ind w:left="851" w:right="902"/>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i/>
          <w:iCs/>
          <w:sz w:val="22"/>
          <w:szCs w:val="22"/>
        </w:rPr>
        <w:t xml:space="preserve"> “Solicito de ma</w:t>
      </w:r>
      <w:r>
        <w:rPr>
          <w:rFonts w:ascii="Palatino Linotype" w:eastAsia="Palatino Linotype" w:hAnsi="Palatino Linotype" w:cs="Palatino Linotype"/>
          <w:i/>
          <w:iCs/>
          <w:sz w:val="22"/>
          <w:szCs w:val="22"/>
        </w:rPr>
        <w:t>nera amplia, clara y detallada: Relación completa de todas las unidades vehiculares adquiridas y entregadas por el municipio de Texcoco en el periodo comprendido entre [indicar año o periodo, por ejemplo: enero 2023 a junio 2025], incluyendo patrullas, cam</w:t>
      </w:r>
      <w:r>
        <w:rPr>
          <w:rFonts w:ascii="Palatino Linotype" w:eastAsia="Palatino Linotype" w:hAnsi="Palatino Linotype" w:cs="Palatino Linotype"/>
          <w:i/>
          <w:iCs/>
          <w:sz w:val="22"/>
          <w:szCs w:val="22"/>
        </w:rPr>
        <w:t>ionetas, motocicletas, automóviles y cualquier otro tipo de vehículo destinado a servicios públicos. Monto total invertido en dichas unidades, desglosado por tipo, marca, modelo, número de unidades, año de adquisición y proveedor. Procedimiento de adquisic</w:t>
      </w:r>
      <w:r>
        <w:rPr>
          <w:rFonts w:ascii="Palatino Linotype" w:eastAsia="Palatino Linotype" w:hAnsi="Palatino Linotype" w:cs="Palatino Linotype"/>
          <w:i/>
          <w:iCs/>
          <w:sz w:val="22"/>
          <w:szCs w:val="22"/>
        </w:rPr>
        <w:t>ión: licitación pública, adjudicación directa u otra modalidad. Indicar número de expediente y actas correspondientes. Fuente de financiamiento utilizada (presupuesto municipal, estatal, federal, FORTAMUN, FASP, etc.). Fecha de entrega de cada unidad y dep</w:t>
      </w:r>
      <w:r>
        <w:rPr>
          <w:rFonts w:ascii="Palatino Linotype" w:eastAsia="Palatino Linotype" w:hAnsi="Palatino Linotype" w:cs="Palatino Linotype"/>
          <w:i/>
          <w:iCs/>
          <w:sz w:val="22"/>
          <w:szCs w:val="22"/>
        </w:rPr>
        <w:t xml:space="preserve">endencia municipal que las recibió (por ejemplo, Seguridad Pública, Protección Civil, etc.). Nombre del servidor público responsable de la administración y uso de las unidades. Documentación de respaldo (contratos, </w:t>
      </w:r>
      <w:r>
        <w:rPr>
          <w:rFonts w:ascii="Palatino Linotype" w:eastAsia="Palatino Linotype" w:hAnsi="Palatino Linotype" w:cs="Palatino Linotype"/>
          <w:i/>
          <w:iCs/>
          <w:sz w:val="22"/>
          <w:szCs w:val="22"/>
        </w:rPr>
        <w:lastRenderedPageBreak/>
        <w:t>facturas, convenios, actas, informes de e</w:t>
      </w:r>
      <w:r>
        <w:rPr>
          <w:rFonts w:ascii="Palatino Linotype" w:eastAsia="Palatino Linotype" w:hAnsi="Palatino Linotype" w:cs="Palatino Linotype"/>
          <w:i/>
          <w:iCs/>
          <w:sz w:val="22"/>
          <w:szCs w:val="22"/>
        </w:rPr>
        <w:t>valuación, etc.). Esta solicitud se realiza conforme al artículo 6º de la Constitución y las leyes de transparencia aplicables, en ejercicio del derecho de acceso a la información.</w:t>
      </w:r>
      <w:r>
        <w:rPr>
          <w:rFonts w:ascii="Palatino Linotype" w:eastAsia="Palatino Linotype" w:hAnsi="Palatino Linotype" w:cs="Palatino Linotype"/>
          <w:b/>
          <w:bCs/>
          <w:i/>
          <w:iCs/>
          <w:sz w:val="22"/>
          <w:szCs w:val="22"/>
        </w:rPr>
        <w:t>”</w:t>
      </w:r>
      <w:r>
        <w:rPr>
          <w:rFonts w:ascii="Palatino Linotype" w:eastAsia="Palatino Linotype" w:hAnsi="Palatino Linotype" w:cs="Palatino Linotype"/>
          <w:i/>
          <w:iCs/>
          <w:sz w:val="22"/>
          <w:szCs w:val="22"/>
        </w:rPr>
        <w:t xml:space="preserve"> (sic) </w:t>
      </w:r>
    </w:p>
    <w:p w:rsidR="00A208B1" w:rsidRDefault="003E0D5B">
      <w:pPr>
        <w:spacing w:before="240" w:after="240" w:line="360" w:lineRule="auto"/>
        <w:jc w:val="both"/>
        <w:rPr>
          <w:rFonts w:ascii="Palatino Linotype" w:eastAsia="Palatino Linotype" w:hAnsi="Palatino Linotype" w:cs="Palatino Linotype"/>
          <w:sz w:val="22"/>
          <w:szCs w:val="22"/>
        </w:rPr>
      </w:pPr>
      <w:bookmarkStart w:id="3" w:name="_heading=h.3dy6vkm" w:colFirst="0" w:colLast="0"/>
      <w:bookmarkEnd w:id="3"/>
      <w:r>
        <w:rPr>
          <w:rFonts w:ascii="Palatino Linotype" w:eastAsia="Palatino Linotype" w:hAnsi="Palatino Linotype" w:cs="Palatino Linotype"/>
          <w:b/>
          <w:bCs/>
          <w:sz w:val="22"/>
          <w:szCs w:val="22"/>
        </w:rPr>
        <w:t>Modalidad de Entrega:</w:t>
      </w:r>
      <w:r>
        <w:rPr>
          <w:rFonts w:ascii="Palatino Linotype" w:eastAsia="Palatino Linotype" w:hAnsi="Palatino Linotype" w:cs="Palatino Linotype"/>
          <w:sz w:val="22"/>
          <w:szCs w:val="22"/>
        </w:rPr>
        <w:t xml:space="preserve"> a través del</w:t>
      </w:r>
      <w:r>
        <w:rPr>
          <w:rFonts w:ascii="Palatino Linotype" w:eastAsia="Palatino Linotype" w:hAnsi="Palatino Linotype" w:cs="Palatino Linotype"/>
          <w:b/>
          <w:bCs/>
          <w:sz w:val="22"/>
          <w:szCs w:val="22"/>
        </w:rPr>
        <w:t xml:space="preserve"> SAIMEX.</w:t>
      </w:r>
    </w:p>
    <w:p w:rsidR="00A208B1" w:rsidRDefault="003E0D5B">
      <w:pPr>
        <w:pBdr>
          <w:top w:val="nil"/>
          <w:left w:val="nil"/>
          <w:bottom w:val="nil"/>
          <w:right w:val="nil"/>
          <w:between w:val="nil"/>
        </w:pBdr>
        <w:tabs>
          <w:tab w:val="left" w:pos="3119"/>
        </w:tabs>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2. Prorroga. </w:t>
      </w:r>
      <w:r>
        <w:rPr>
          <w:rFonts w:ascii="Palatino Linotype" w:eastAsia="Palatino Linotype" w:hAnsi="Palatino Linotype" w:cs="Palatino Linotype"/>
          <w:sz w:val="22"/>
          <w:szCs w:val="22"/>
        </w:rPr>
        <w:t xml:space="preserve">El </w:t>
      </w:r>
      <w:r>
        <w:rPr>
          <w:rFonts w:ascii="Palatino Linotype" w:eastAsia="Palatino Linotype" w:hAnsi="Palatino Linotype" w:cs="Palatino Linotype"/>
          <w:b/>
          <w:bCs/>
          <w:sz w:val="22"/>
          <w:szCs w:val="22"/>
        </w:rPr>
        <w:t xml:space="preserve">treinta </w:t>
      </w:r>
      <w:r>
        <w:rPr>
          <w:rFonts w:ascii="Palatino Linotype" w:eastAsia="Palatino Linotype" w:hAnsi="Palatino Linotype" w:cs="Palatino Linotype"/>
          <w:b/>
          <w:bCs/>
          <w:sz w:val="22"/>
          <w:szCs w:val="22"/>
        </w:rPr>
        <w:t xml:space="preserve">de junio de dos mil veinticinco, </w:t>
      </w:r>
      <w:r>
        <w:rPr>
          <w:rFonts w:ascii="Palatino Linotype" w:eastAsia="Palatino Linotype" w:hAnsi="Palatino Linotype" w:cs="Palatino Linotype"/>
          <w:sz w:val="22"/>
          <w:szCs w:val="22"/>
        </w:rPr>
        <w:t xml:space="preserve">el </w:t>
      </w:r>
      <w:r>
        <w:rPr>
          <w:rFonts w:ascii="Palatino Linotype" w:eastAsia="Palatino Linotype" w:hAnsi="Palatino Linotype" w:cs="Palatino Linotype"/>
          <w:b/>
          <w:bCs/>
          <w:sz w:val="22"/>
          <w:szCs w:val="22"/>
        </w:rPr>
        <w:t xml:space="preserve">Sujeto Obligado </w:t>
      </w:r>
      <w:r>
        <w:rPr>
          <w:rFonts w:ascii="Palatino Linotype" w:eastAsia="Palatino Linotype" w:hAnsi="Palatino Linotype" w:cs="Palatino Linotype"/>
          <w:sz w:val="22"/>
          <w:szCs w:val="22"/>
        </w:rPr>
        <w:t>notificó a la persona solicitante la prórroga para dar respuesta a la solicitud</w:t>
      </w:r>
      <w:r>
        <w:rPr>
          <w:rFonts w:ascii="Palatino Linotype" w:eastAsia="Palatino Linotype" w:hAnsi="Palatino Linotype" w:cs="Palatino Linotype"/>
          <w:b/>
          <w:bCs/>
          <w:sz w:val="22"/>
          <w:szCs w:val="22"/>
        </w:rPr>
        <w:t>,</w:t>
      </w:r>
      <w:r>
        <w:rPr>
          <w:rFonts w:ascii="Palatino Linotype" w:eastAsia="Palatino Linotype" w:hAnsi="Palatino Linotype" w:cs="Palatino Linotype"/>
          <w:sz w:val="22"/>
          <w:szCs w:val="22"/>
        </w:rPr>
        <w:t xml:space="preserve"> medularmente en los siguientes términos:</w:t>
      </w:r>
    </w:p>
    <w:p w:rsidR="00A208B1" w:rsidRDefault="003E0D5B">
      <w:pPr>
        <w:spacing w:before="240" w:after="240"/>
        <w:ind w:left="851" w:right="90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“Con fundamento en el artículo 163 de la Ley de Transparencia y Acceso a la Información Pública del Estado de México y Municipios, se le hace de su conocimiento que el plazo de 15 días hábiles para atender su s</w:t>
      </w:r>
      <w:bookmarkStart w:id="4" w:name="_GoBack"/>
      <w:bookmarkEnd w:id="4"/>
      <w:r>
        <w:rPr>
          <w:rFonts w:ascii="Palatino Linotype" w:eastAsia="Palatino Linotype" w:hAnsi="Palatino Linotype" w:cs="Palatino Linotype"/>
          <w:i/>
          <w:iCs/>
          <w:sz w:val="22"/>
          <w:szCs w:val="22"/>
        </w:rPr>
        <w:t>olicitud de información ha sido prorrogado por</w:t>
      </w:r>
      <w:r>
        <w:rPr>
          <w:rFonts w:ascii="Palatino Linotype" w:eastAsia="Palatino Linotype" w:hAnsi="Palatino Linotype" w:cs="Palatino Linotype"/>
          <w:i/>
          <w:iCs/>
          <w:sz w:val="22"/>
          <w:szCs w:val="22"/>
        </w:rPr>
        <w:t xml:space="preserve"> 7 días en virtud de las siguientes razones:</w:t>
      </w:r>
    </w:p>
    <w:p w:rsidR="00A208B1" w:rsidRDefault="003E0D5B">
      <w:pPr>
        <w:spacing w:before="240" w:after="240"/>
        <w:ind w:left="851" w:right="900"/>
        <w:jc w:val="both"/>
        <w:rPr>
          <w:rFonts w:ascii="Palatino Linotype" w:eastAsia="Palatino Linotype" w:hAnsi="Palatino Linotype" w:cs="Palatino Linotype"/>
          <w:b/>
          <w:bCs/>
          <w:sz w:val="22"/>
          <w:szCs w:val="22"/>
        </w:rPr>
      </w:pPr>
      <w:r>
        <w:rPr>
          <w:rFonts w:ascii="Palatino Linotype" w:eastAsia="Palatino Linotype" w:hAnsi="Palatino Linotype" w:cs="Palatino Linotype"/>
          <w:i/>
          <w:iCs/>
          <w:sz w:val="22"/>
          <w:szCs w:val="22"/>
        </w:rPr>
        <w:t>En espera de información para dar atención a su solicitud.” (sic)</w:t>
      </w:r>
    </w:p>
    <w:p w:rsidR="00A208B1" w:rsidRDefault="003E0D5B">
      <w:pPr>
        <w:spacing w:before="240" w:after="240"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sz w:val="22"/>
          <w:szCs w:val="22"/>
        </w:rPr>
        <w:t>Como refiere el Sujeto Obligado la Ley de Transparencia y Acceso a la Información Pública del Estado de México y Municipios, contempla la potesta</w:t>
      </w:r>
      <w:r>
        <w:rPr>
          <w:rFonts w:ascii="Palatino Linotype" w:eastAsia="Palatino Linotype" w:hAnsi="Palatino Linotype" w:cs="Palatino Linotype"/>
          <w:sz w:val="22"/>
          <w:szCs w:val="22"/>
        </w:rPr>
        <w:t>d de ampliar el plazo hasta por siete días, en términos del párrafo segundo del artículo 163 de la Ley de Transparencia y Acceso a la Información Pública del Estado de México y Municipios, siempre y cuando existan razones fundadas y motivadas para hacerlo,</w:t>
      </w:r>
      <w:r>
        <w:rPr>
          <w:rFonts w:ascii="Palatino Linotype" w:eastAsia="Palatino Linotype" w:hAnsi="Palatino Linotype" w:cs="Palatino Linotype"/>
          <w:sz w:val="22"/>
          <w:szCs w:val="22"/>
        </w:rPr>
        <w:t xml:space="preserve"> y que estas sean aprobadas por el Comité de Transparencia, mediante la emisión de una resolución; en el caso particular que nos ocupa y derivado de las constancias que obran en el expediente, se advierte que no se observaron las formalidades que establece</w:t>
      </w:r>
      <w:r>
        <w:rPr>
          <w:rFonts w:ascii="Palatino Linotype" w:eastAsia="Palatino Linotype" w:hAnsi="Palatino Linotype" w:cs="Palatino Linotype"/>
          <w:sz w:val="22"/>
          <w:szCs w:val="22"/>
        </w:rPr>
        <w:t xml:space="preserve"> la Ley de la materia, pues no se anexó la resolución mediante la cual el Comité de Transparencia aprobó la ampliación del plazo</w:t>
      </w:r>
    </w:p>
    <w:p w:rsidR="00A208B1" w:rsidRDefault="003E0D5B">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3. Respuesta. </w:t>
      </w:r>
      <w:r>
        <w:rPr>
          <w:rFonts w:ascii="Palatino Linotype" w:eastAsia="Palatino Linotype" w:hAnsi="Palatino Linotype" w:cs="Palatino Linotype"/>
          <w:sz w:val="22"/>
          <w:szCs w:val="22"/>
        </w:rPr>
        <w:t xml:space="preserve">El </w:t>
      </w:r>
      <w:r>
        <w:rPr>
          <w:rFonts w:ascii="Palatino Linotype" w:eastAsia="Palatino Linotype" w:hAnsi="Palatino Linotype" w:cs="Palatino Linotype"/>
          <w:b/>
          <w:bCs/>
          <w:sz w:val="22"/>
          <w:szCs w:val="22"/>
        </w:rPr>
        <w:t>nueve de julio de dos mil veinticinco,</w:t>
      </w:r>
      <w:r>
        <w:rPr>
          <w:rFonts w:ascii="Palatino Linotype" w:eastAsia="Palatino Linotype" w:hAnsi="Palatino Linotype" w:cs="Palatino Linotype"/>
          <w:sz w:val="22"/>
          <w:szCs w:val="22"/>
        </w:rPr>
        <w:t xml:space="preserve"> el </w:t>
      </w:r>
      <w:r>
        <w:rPr>
          <w:rFonts w:ascii="Palatino Linotype" w:eastAsia="Palatino Linotype" w:hAnsi="Palatino Linotype" w:cs="Palatino Linotype"/>
          <w:b/>
          <w:bCs/>
          <w:sz w:val="22"/>
          <w:szCs w:val="22"/>
        </w:rPr>
        <w:t xml:space="preserve">Sujeto Obligado </w:t>
      </w:r>
      <w:r>
        <w:rPr>
          <w:rFonts w:ascii="Palatino Linotype" w:eastAsia="Palatino Linotype" w:hAnsi="Palatino Linotype" w:cs="Palatino Linotype"/>
          <w:sz w:val="22"/>
          <w:szCs w:val="22"/>
        </w:rPr>
        <w:t>envió su respuesta a la solicitud de acceso a la inf</w:t>
      </w:r>
      <w:r>
        <w:rPr>
          <w:rFonts w:ascii="Palatino Linotype" w:eastAsia="Palatino Linotype" w:hAnsi="Palatino Linotype" w:cs="Palatino Linotype"/>
          <w:sz w:val="22"/>
          <w:szCs w:val="22"/>
        </w:rPr>
        <w:t xml:space="preserve">ormación a través del SAIMEX, sustancialmente en los términos siguientes:   </w:t>
      </w:r>
    </w:p>
    <w:p w:rsidR="00A208B1" w:rsidRDefault="003E0D5B">
      <w:pPr>
        <w:spacing w:before="240" w:after="24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“…SOLICITUD: 00133/TEXCOCO/IP/2025 Texcoco, Estado de México a 07 de julio del 2025 C. XXXXXXXXXXX</w:t>
      </w:r>
      <w:r>
        <w:rPr>
          <w:rFonts w:ascii="Palatino Linotype" w:eastAsia="Palatino Linotype" w:hAnsi="Palatino Linotype" w:cs="Palatino Linotype"/>
          <w:i/>
          <w:iCs/>
          <w:sz w:val="22"/>
          <w:szCs w:val="22"/>
        </w:rPr>
        <w:t xml:space="preserve"> P R E S E N T E En respuesta a su solicitud </w:t>
      </w:r>
      <w:r>
        <w:rPr>
          <w:rFonts w:ascii="Palatino Linotype" w:eastAsia="Palatino Linotype" w:hAnsi="Palatino Linotype" w:cs="Palatino Linotype"/>
          <w:i/>
          <w:iCs/>
          <w:sz w:val="22"/>
          <w:szCs w:val="22"/>
        </w:rPr>
        <w:lastRenderedPageBreak/>
        <w:t>recibida, nos permitimos hacer de su</w:t>
      </w:r>
      <w:r>
        <w:rPr>
          <w:rFonts w:ascii="Palatino Linotype" w:eastAsia="Palatino Linotype" w:hAnsi="Palatino Linotype" w:cs="Palatino Linotype"/>
          <w:i/>
          <w:iCs/>
          <w:sz w:val="22"/>
          <w:szCs w:val="22"/>
        </w:rPr>
        <w:t xml:space="preserve"> conocimiento que con fundamento en el articulo 53, fracciones: II, V y VI de la Ley de Transparencia y Acceso a la Información Publica del Estado de México y Municipios, le contestamos que: SE ADJUNTA EN ARCHIVO PDF, LA RESPUESTA A SU SOLICITUD DE INFORMA</w:t>
      </w:r>
      <w:r>
        <w:rPr>
          <w:rFonts w:ascii="Palatino Linotype" w:eastAsia="Palatino Linotype" w:hAnsi="Palatino Linotype" w:cs="Palatino Linotype"/>
          <w:i/>
          <w:iCs/>
          <w:sz w:val="22"/>
          <w:szCs w:val="22"/>
        </w:rPr>
        <w:t>CION...” (sic)</w:t>
      </w:r>
    </w:p>
    <w:p w:rsidR="00A208B1" w:rsidRDefault="003E0D5B">
      <w:pPr>
        <w:spacing w:before="240" w:after="240"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El </w:t>
      </w:r>
      <w:r>
        <w:rPr>
          <w:rFonts w:ascii="Palatino Linotype" w:eastAsia="Palatino Linotype" w:hAnsi="Palatino Linotype" w:cs="Palatino Linotype"/>
          <w:b/>
          <w:bCs/>
          <w:sz w:val="22"/>
          <w:szCs w:val="22"/>
        </w:rPr>
        <w:t xml:space="preserve">Sujeto Obligado </w:t>
      </w:r>
      <w:r>
        <w:rPr>
          <w:rFonts w:ascii="Palatino Linotype" w:eastAsia="Palatino Linotype" w:hAnsi="Palatino Linotype" w:cs="Palatino Linotype"/>
          <w:sz w:val="22"/>
          <w:szCs w:val="22"/>
        </w:rPr>
        <w:t>adjuntó el escrito mediante el cual el Titular de la Unidad de Transparencia, por conducto de la Dirección General de Administración manifestó que después de una búsqueda exhaustiva y razonable en los archivos de esta área, la información motivo del requer</w:t>
      </w:r>
      <w:r>
        <w:rPr>
          <w:rFonts w:ascii="Palatino Linotype" w:eastAsia="Palatino Linotype" w:hAnsi="Palatino Linotype" w:cs="Palatino Linotype"/>
          <w:sz w:val="22"/>
          <w:szCs w:val="22"/>
        </w:rPr>
        <w:t>imiento, es parte de las obligaciones en materia de transparencia contenidas en el artículo 92, 93 y 94, por lo que la información se encuentra disponible en el apartado de Transparencia, en el siguiente enlace electrónico que lo conducirá a la Página de I</w:t>
      </w:r>
      <w:r>
        <w:rPr>
          <w:rFonts w:ascii="Palatino Linotype" w:eastAsia="Palatino Linotype" w:hAnsi="Palatino Linotype" w:cs="Palatino Linotype"/>
          <w:sz w:val="22"/>
          <w:szCs w:val="22"/>
        </w:rPr>
        <w:t xml:space="preserve">pomex 4.0 Publicada en la página del ayuntamiento: https://www.texcocoedomex.gob.mx/ y </w:t>
      </w:r>
      <w:hyperlink r:id="rId8" w:anchor="/info-fraccion/108/190/1">
        <w:r>
          <w:rPr>
            <w:rFonts w:ascii="Palatino Linotype" w:eastAsia="Palatino Linotype" w:hAnsi="Palatino Linotype" w:cs="Palatino Linotype"/>
            <w:color w:val="000000"/>
            <w:sz w:val="22"/>
            <w:szCs w:val="22"/>
            <w:u w:val="single"/>
          </w:rPr>
          <w:t>https://infoem2.ipomex.org.mx/ipomex/#/info-fraccion/108/190/1</w:t>
        </w:r>
      </w:hyperlink>
      <w:r>
        <w:rPr>
          <w:rFonts w:ascii="Palatino Linotype" w:eastAsia="Palatino Linotype" w:hAnsi="Palatino Linotype" w:cs="Palatino Linotype"/>
          <w:sz w:val="22"/>
          <w:szCs w:val="22"/>
        </w:rPr>
        <w:t xml:space="preserve">, asimismo, precisó </w:t>
      </w:r>
      <w:r>
        <w:rPr>
          <w:rFonts w:ascii="Palatino Linotype" w:eastAsia="Palatino Linotype" w:hAnsi="Palatino Linotype" w:cs="Palatino Linotype"/>
          <w:sz w:val="22"/>
          <w:szCs w:val="22"/>
        </w:rPr>
        <w:t>que  la información es actualizada trimestralmente de acuerdo a la ley en la materia.</w:t>
      </w:r>
    </w:p>
    <w:p w:rsidR="00A208B1" w:rsidRDefault="003E0D5B">
      <w:pPr>
        <w:spacing w:before="240" w:after="240"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4. Interposición del recurso de revisión. </w:t>
      </w:r>
      <w:r>
        <w:rPr>
          <w:rFonts w:ascii="Palatino Linotype" w:eastAsia="Palatino Linotype" w:hAnsi="Palatino Linotype" w:cs="Palatino Linotype"/>
          <w:sz w:val="22"/>
          <w:szCs w:val="22"/>
        </w:rPr>
        <w:t xml:space="preserve">Inconforme con los términos de la respuesta emitida por parte del </w:t>
      </w:r>
      <w:r>
        <w:rPr>
          <w:rFonts w:ascii="Palatino Linotype" w:eastAsia="Palatino Linotype" w:hAnsi="Palatino Linotype" w:cs="Palatino Linotype"/>
          <w:b/>
          <w:bCs/>
          <w:sz w:val="22"/>
          <w:szCs w:val="22"/>
        </w:rPr>
        <w:t>Sujeto Obligado</w:t>
      </w:r>
      <w:r>
        <w:rPr>
          <w:rFonts w:ascii="Palatino Linotype" w:eastAsia="Palatino Linotype" w:hAnsi="Palatino Linotype" w:cs="Palatino Linotype"/>
          <w:sz w:val="22"/>
          <w:szCs w:val="22"/>
        </w:rPr>
        <w:t xml:space="preserve">, el </w:t>
      </w:r>
      <w:r>
        <w:rPr>
          <w:rFonts w:ascii="Palatino Linotype" w:eastAsia="Palatino Linotype" w:hAnsi="Palatino Linotype" w:cs="Palatino Linotype"/>
          <w:b/>
          <w:bCs/>
          <w:sz w:val="22"/>
          <w:szCs w:val="22"/>
        </w:rPr>
        <w:t>nueve de julio de dos mil veinticinco,</w:t>
      </w:r>
      <w:r>
        <w:rPr>
          <w:rFonts w:ascii="Palatino Linotype" w:eastAsia="Palatino Linotype" w:hAnsi="Palatino Linotype" w:cs="Palatino Linotype"/>
          <w:sz w:val="22"/>
          <w:szCs w:val="22"/>
        </w:rPr>
        <w:t xml:space="preserve"> la </w:t>
      </w:r>
      <w:r>
        <w:rPr>
          <w:rFonts w:ascii="Palatino Linotype" w:eastAsia="Palatino Linotype" w:hAnsi="Palatino Linotype" w:cs="Palatino Linotype"/>
          <w:sz w:val="22"/>
          <w:szCs w:val="22"/>
        </w:rPr>
        <w:t xml:space="preserve">parte </w:t>
      </w:r>
      <w:r>
        <w:rPr>
          <w:rFonts w:ascii="Palatino Linotype" w:eastAsia="Palatino Linotype" w:hAnsi="Palatino Linotype" w:cs="Palatino Linotype"/>
          <w:b/>
          <w:bCs/>
          <w:sz w:val="22"/>
          <w:szCs w:val="22"/>
        </w:rPr>
        <w:t>Recurrente</w:t>
      </w:r>
      <w:r>
        <w:rPr>
          <w:rFonts w:ascii="Palatino Linotype" w:eastAsia="Palatino Linotype" w:hAnsi="Palatino Linotype" w:cs="Palatino Linotype"/>
          <w:sz w:val="22"/>
          <w:szCs w:val="22"/>
        </w:rPr>
        <w:t xml:space="preserve"> interpuso el recurso de revisión a través de </w:t>
      </w:r>
      <w:r>
        <w:rPr>
          <w:rFonts w:ascii="Palatino Linotype" w:eastAsia="Palatino Linotype" w:hAnsi="Palatino Linotype" w:cs="Palatino Linotype"/>
          <w:b/>
          <w:bCs/>
          <w:sz w:val="22"/>
          <w:szCs w:val="22"/>
        </w:rPr>
        <w:t xml:space="preserve">SAIMEX, </w:t>
      </w:r>
      <w:r>
        <w:rPr>
          <w:rFonts w:ascii="Palatino Linotype" w:eastAsia="Palatino Linotype" w:hAnsi="Palatino Linotype" w:cs="Palatino Linotype"/>
          <w:sz w:val="22"/>
          <w:szCs w:val="22"/>
        </w:rPr>
        <w:t>en donde se manifestó de la siguiente manera:</w:t>
      </w:r>
    </w:p>
    <w:p w:rsidR="00A208B1" w:rsidRDefault="003E0D5B">
      <w:pPr>
        <w:spacing w:before="240" w:after="240" w:line="360" w:lineRule="auto"/>
        <w:ind w:right="49"/>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Acto impugnado: </w:t>
      </w:r>
    </w:p>
    <w:p w:rsidR="00A208B1" w:rsidRDefault="003E0D5B">
      <w:pPr>
        <w:ind w:left="851" w:right="90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“Solicito de manera amplia, clara y detallada: Relación completa de todas las unidades vehiculares adquiridas y entregadas </w:t>
      </w:r>
      <w:r>
        <w:rPr>
          <w:rFonts w:ascii="Palatino Linotype" w:eastAsia="Palatino Linotype" w:hAnsi="Palatino Linotype" w:cs="Palatino Linotype"/>
          <w:i/>
          <w:iCs/>
          <w:sz w:val="22"/>
          <w:szCs w:val="22"/>
        </w:rPr>
        <w:t>por el municipio de Texcoco en el periodo comprendido entre [indicar año o periodo, por ejemplo: enero 2023 a junio 2025], incluyendo patrullas, camionetas, motocicletas, automóviles y cualquier otro tipo de vehículo destinado a servicios públicos. Monto t</w:t>
      </w:r>
      <w:r>
        <w:rPr>
          <w:rFonts w:ascii="Palatino Linotype" w:eastAsia="Palatino Linotype" w:hAnsi="Palatino Linotype" w:cs="Palatino Linotype"/>
          <w:i/>
          <w:iCs/>
          <w:sz w:val="22"/>
          <w:szCs w:val="22"/>
        </w:rPr>
        <w:t>otal invertido en dichas unidades, desglosado por tipo, marca, modelo, número de unidades, año de adquisición y proveedor. Procedimiento de adquisición: licitación pública, adjudicación directa u otra modalidad. Indicar número de expediente y actas corresp</w:t>
      </w:r>
      <w:r>
        <w:rPr>
          <w:rFonts w:ascii="Palatino Linotype" w:eastAsia="Palatino Linotype" w:hAnsi="Palatino Linotype" w:cs="Palatino Linotype"/>
          <w:i/>
          <w:iCs/>
          <w:sz w:val="22"/>
          <w:szCs w:val="22"/>
        </w:rPr>
        <w:t>ondientes. Fuente de financiamiento utilizada (presupuesto municipal, estatal, federal, FORTAMUN, FASP, etc.). Fecha de entrega de cada unidad y dependencia municipal que las recibió (por ejemplo, Seguridad Pública, Protección Civil, etc.). Nombre del serv</w:t>
      </w:r>
      <w:r>
        <w:rPr>
          <w:rFonts w:ascii="Palatino Linotype" w:eastAsia="Palatino Linotype" w:hAnsi="Palatino Linotype" w:cs="Palatino Linotype"/>
          <w:i/>
          <w:iCs/>
          <w:sz w:val="22"/>
          <w:szCs w:val="22"/>
        </w:rPr>
        <w:t>idor público responsable de la administración y uso de las unidades. Documentación de respaldo (contratos, facturas, convenios, actas, informes de evaluación, etc.). Esta solicitud se realiza conforme al artículo 6º de la Constitución y las leyes de transp</w:t>
      </w:r>
      <w:r>
        <w:rPr>
          <w:rFonts w:ascii="Palatino Linotype" w:eastAsia="Palatino Linotype" w:hAnsi="Palatino Linotype" w:cs="Palatino Linotype"/>
          <w:i/>
          <w:iCs/>
          <w:sz w:val="22"/>
          <w:szCs w:val="22"/>
        </w:rPr>
        <w:t>arencia aplicables, en ejercicio del derecho de acceso a la información.” (sic)</w:t>
      </w:r>
    </w:p>
    <w:p w:rsidR="00A208B1" w:rsidRDefault="00A208B1">
      <w:pPr>
        <w:ind w:left="851" w:right="900"/>
        <w:jc w:val="both"/>
        <w:rPr>
          <w:rFonts w:ascii="Palatino Linotype" w:eastAsia="Palatino Linotype" w:hAnsi="Palatino Linotype" w:cs="Palatino Linotype"/>
          <w:i/>
          <w:iCs/>
          <w:sz w:val="22"/>
          <w:szCs w:val="22"/>
        </w:rPr>
      </w:pPr>
    </w:p>
    <w:p w:rsidR="00A208B1" w:rsidRDefault="003E0D5B">
      <w:pPr>
        <w:spacing w:line="360" w:lineRule="auto"/>
        <w:jc w:val="both"/>
        <w:rPr>
          <w:rFonts w:ascii="Palatino Linotype" w:eastAsia="Palatino Linotype" w:hAnsi="Palatino Linotype" w:cs="Palatino Linotype"/>
          <w:sz w:val="22"/>
          <w:szCs w:val="22"/>
        </w:rPr>
      </w:pPr>
      <w:bookmarkStart w:id="5" w:name="_heading=h.30j0zll" w:colFirst="0" w:colLast="0"/>
      <w:bookmarkEnd w:id="5"/>
      <w:r>
        <w:rPr>
          <w:rFonts w:ascii="Palatino Linotype" w:eastAsia="Palatino Linotype" w:hAnsi="Palatino Linotype" w:cs="Palatino Linotype"/>
          <w:b/>
          <w:bCs/>
          <w:sz w:val="22"/>
          <w:szCs w:val="22"/>
        </w:rPr>
        <w:t>Y, Razones o motivos de inconformidad</w:t>
      </w:r>
      <w:r>
        <w:rPr>
          <w:rFonts w:ascii="Palatino Linotype" w:eastAsia="Palatino Linotype" w:hAnsi="Palatino Linotype" w:cs="Palatino Linotype"/>
          <w:sz w:val="22"/>
          <w:szCs w:val="22"/>
        </w:rPr>
        <w:t>:</w:t>
      </w:r>
    </w:p>
    <w:p w:rsidR="00A208B1" w:rsidRDefault="003E0D5B">
      <w:pPr>
        <w:tabs>
          <w:tab w:val="left" w:pos="2745"/>
        </w:tabs>
        <w:spacing w:before="240" w:after="240"/>
        <w:ind w:left="851" w:right="90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“Con fundamento en los artículos 6° de la Constitución Política de los Estados Unidos Mexicanos, así como en los artículos 4, 12, 92, 93</w:t>
      </w:r>
      <w:r>
        <w:rPr>
          <w:rFonts w:ascii="Palatino Linotype" w:eastAsia="Palatino Linotype" w:hAnsi="Palatino Linotype" w:cs="Palatino Linotype"/>
          <w:i/>
          <w:iCs/>
          <w:sz w:val="22"/>
          <w:szCs w:val="22"/>
        </w:rPr>
        <w:t>, 94, 142 a 144 y 176 a 178 de la Ley de Transparencia y Acceso a la Información Pública del Estado de México y Municipios, me permito expresar lo siguiente: I. SOBRE LA RESPUESTA PROPORCIONADA El oficio recibido en respuesta a la solicitud número 000133/T</w:t>
      </w:r>
      <w:r>
        <w:rPr>
          <w:rFonts w:ascii="Palatino Linotype" w:eastAsia="Palatino Linotype" w:hAnsi="Palatino Linotype" w:cs="Palatino Linotype"/>
          <w:i/>
          <w:iCs/>
          <w:sz w:val="22"/>
          <w:szCs w:val="22"/>
        </w:rPr>
        <w:t>EXCOCO/IP/2025 refiere que: “La información solicitada se encuentra publicada en el portal institucional y en IPOMEX. Asimismo, se señala que no se está obligado a generar, resumir, efectuar cálculos o practicar investigaciones”. Si bien se reconoce la exi</w:t>
      </w:r>
      <w:r>
        <w:rPr>
          <w:rFonts w:ascii="Palatino Linotype" w:eastAsia="Palatino Linotype" w:hAnsi="Palatino Linotype" w:cs="Palatino Linotype"/>
          <w:i/>
          <w:iCs/>
          <w:sz w:val="22"/>
          <w:szCs w:val="22"/>
        </w:rPr>
        <w:t>stencia de obligaciones de transparencia proactiva en los artículos 92, 93 y 94 de la ley local, la respuesta resulta insuficiente, evasiva y no cumple con el principio constitucional de Máxima Publicidad establecido en el artículo 6° de la Carta Magna, el</w:t>
      </w:r>
      <w:r>
        <w:rPr>
          <w:rFonts w:ascii="Palatino Linotype" w:eastAsia="Palatino Linotype" w:hAnsi="Palatino Linotype" w:cs="Palatino Linotype"/>
          <w:i/>
          <w:iCs/>
          <w:sz w:val="22"/>
          <w:szCs w:val="22"/>
        </w:rPr>
        <w:t xml:space="preserve"> cual señala que: “Toda la información en posesión de cualquier autoridad... es pública y sólo podrá ser reservada temporalmente por razones de interés público... La ley establecerá los mecanismos para el acceso a la información, los procedimientos y los p</w:t>
      </w:r>
      <w:r>
        <w:rPr>
          <w:rFonts w:ascii="Palatino Linotype" w:eastAsia="Palatino Linotype" w:hAnsi="Palatino Linotype" w:cs="Palatino Linotype"/>
          <w:i/>
          <w:iCs/>
          <w:sz w:val="22"/>
          <w:szCs w:val="22"/>
        </w:rPr>
        <w:t>lazos para su entrega, y las condiciones bajo las cuales se deben entregar los datos personales”. II. FALTA DE ENTREGA ESPECÍFICA Y ACCESIBLE El sujeto obligado omite proporcionar de manera puntual y estructurada la información requerida, amparándose en el</w:t>
      </w:r>
      <w:r>
        <w:rPr>
          <w:rFonts w:ascii="Palatino Linotype" w:eastAsia="Palatino Linotype" w:hAnsi="Palatino Linotype" w:cs="Palatino Linotype"/>
          <w:i/>
          <w:iCs/>
          <w:sz w:val="22"/>
          <w:szCs w:val="22"/>
        </w:rPr>
        <w:t xml:space="preserve"> artículo 12, segundo párrafo de la Ley estatal. Sin embargo: El hecho de que cierta información se encuentre publicada en un portal digital no exime al sujeto obligado de entregarla directamente cuando ha sido requerida, según ha establecido el Pleno del </w:t>
      </w:r>
      <w:r>
        <w:rPr>
          <w:rFonts w:ascii="Palatino Linotype" w:eastAsia="Palatino Linotype" w:hAnsi="Palatino Linotype" w:cs="Palatino Linotype"/>
          <w:i/>
          <w:iCs/>
          <w:sz w:val="22"/>
          <w:szCs w:val="22"/>
        </w:rPr>
        <w:t xml:space="preserve">INAI y el INFOEM en múltiples precedentes. Además, la localización y segmentación de datos específicos en plataformas como IPOMEX puede representar una barrera práctica al acceso efectivo a la información, lo que contradice los principios de accesibilidad </w:t>
      </w:r>
      <w:r>
        <w:rPr>
          <w:rFonts w:ascii="Palatino Linotype" w:eastAsia="Palatino Linotype" w:hAnsi="Palatino Linotype" w:cs="Palatino Linotype"/>
          <w:i/>
          <w:iCs/>
          <w:sz w:val="22"/>
          <w:szCs w:val="22"/>
        </w:rPr>
        <w:t>y facilitación que deben regir el actuar de los sujetos obligados (art. 5 Ley General de Transparencia). III. EXISTE OBLIGACIÓN DE ENTREGAR INFORMACIÓN SOLICITADA La solicitud presentada contiene información claramente identificable, generada por el munici</w:t>
      </w:r>
      <w:r>
        <w:rPr>
          <w:rFonts w:ascii="Palatino Linotype" w:eastAsia="Palatino Linotype" w:hAnsi="Palatino Linotype" w:cs="Palatino Linotype"/>
          <w:i/>
          <w:iCs/>
          <w:sz w:val="22"/>
          <w:szCs w:val="22"/>
        </w:rPr>
        <w:t>pio en el curso ordinario de sus funciones administrativas, como lo son adquisiciones de vehículos, montos invertidos, expedientes de licitación y responsables de su uso, todo lo cual es información pública de carácter administrativo, sujeta a transparenci</w:t>
      </w:r>
      <w:r>
        <w:rPr>
          <w:rFonts w:ascii="Palatino Linotype" w:eastAsia="Palatino Linotype" w:hAnsi="Palatino Linotype" w:cs="Palatino Linotype"/>
          <w:i/>
          <w:iCs/>
          <w:sz w:val="22"/>
          <w:szCs w:val="22"/>
        </w:rPr>
        <w:t>a bajo los artículos 92 y 93 de la ley estatal. De este modo, se contraviene el principio de exhaustividad si no se entrega la información detallada, bajo el argumento de que se encuentra disponible en enlaces electrónicos sin indicar exactamente en qué se</w:t>
      </w:r>
      <w:r>
        <w:rPr>
          <w:rFonts w:ascii="Palatino Linotype" w:eastAsia="Palatino Linotype" w:hAnsi="Palatino Linotype" w:cs="Palatino Linotype"/>
          <w:i/>
          <w:iCs/>
          <w:sz w:val="22"/>
          <w:szCs w:val="22"/>
        </w:rPr>
        <w:t>cción ni facilitar su acceso en un solo documento. PETICIÓN Por lo anterior, con fundamento en el artículo 144 de la Ley de Transparencia del Estado de México, se solicita: La entrega directa, clara y desglosada de la información solicitada en el formato r</w:t>
      </w:r>
      <w:r>
        <w:rPr>
          <w:rFonts w:ascii="Palatino Linotype" w:eastAsia="Palatino Linotype" w:hAnsi="Palatino Linotype" w:cs="Palatino Linotype"/>
          <w:i/>
          <w:iCs/>
          <w:sz w:val="22"/>
          <w:szCs w:val="22"/>
        </w:rPr>
        <w:t>equerido, sin remisiones genéricas a portales. Que se respeten los principios de legalidad, máxima publicidad, accesibilidad, veracidad y exhaustividad, conforme lo establecen la Constitución y la Ley estatal. Que, en caso de negativa o insuficiencia, se i</w:t>
      </w:r>
      <w:r>
        <w:rPr>
          <w:rFonts w:ascii="Palatino Linotype" w:eastAsia="Palatino Linotype" w:hAnsi="Palatino Linotype" w:cs="Palatino Linotype"/>
          <w:i/>
          <w:iCs/>
          <w:sz w:val="22"/>
          <w:szCs w:val="22"/>
        </w:rPr>
        <w:t>nicie un Recurso de Revisión ante el INFOEM conforme a los artículos 176 y 177 de la Ley local. FUNDAMENTO CONSTITUCIONAL Artículo 6º Constitucional: establece el derecho humano al acceso a la información pública como garantía individual y colectiva. Artíc</w:t>
      </w:r>
      <w:r>
        <w:rPr>
          <w:rFonts w:ascii="Palatino Linotype" w:eastAsia="Palatino Linotype" w:hAnsi="Palatino Linotype" w:cs="Palatino Linotype"/>
          <w:i/>
          <w:iCs/>
          <w:sz w:val="22"/>
          <w:szCs w:val="22"/>
        </w:rPr>
        <w:t>ulo 8º Constitucional: consagra el derecho de petición en términos respetuosos, lo cual abarca la solicitud de información. Artículo 1º Constitucional: establece que todas las autoridades tienen la obligación de promover, respetar, proteger y garantizar lo</w:t>
      </w:r>
      <w:r>
        <w:rPr>
          <w:rFonts w:ascii="Palatino Linotype" w:eastAsia="Palatino Linotype" w:hAnsi="Palatino Linotype" w:cs="Palatino Linotype"/>
          <w:i/>
          <w:iCs/>
          <w:sz w:val="22"/>
          <w:szCs w:val="22"/>
        </w:rPr>
        <w:t>s derechos humanos, incluidos los de acceso a la información.” (sic)</w:t>
      </w:r>
    </w:p>
    <w:p w:rsidR="00A208B1" w:rsidRDefault="003E0D5B">
      <w:pPr>
        <w:spacing w:before="120" w:after="12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La parte </w:t>
      </w:r>
      <w:r>
        <w:rPr>
          <w:rFonts w:ascii="Palatino Linotype" w:eastAsia="Palatino Linotype" w:hAnsi="Palatino Linotype" w:cs="Palatino Linotype"/>
          <w:b/>
          <w:bCs/>
          <w:sz w:val="22"/>
          <w:szCs w:val="22"/>
        </w:rPr>
        <w:t>Recurrente</w:t>
      </w:r>
      <w:r>
        <w:rPr>
          <w:rFonts w:ascii="Palatino Linotype" w:eastAsia="Palatino Linotype" w:hAnsi="Palatino Linotype" w:cs="Palatino Linotype"/>
          <w:sz w:val="22"/>
          <w:szCs w:val="22"/>
        </w:rPr>
        <w:t xml:space="preserve"> adjuntó el archivo mediante el cual el </w:t>
      </w:r>
      <w:r>
        <w:rPr>
          <w:rFonts w:ascii="Palatino Linotype" w:eastAsia="Palatino Linotype" w:hAnsi="Palatino Linotype" w:cs="Palatino Linotype"/>
          <w:b/>
          <w:bCs/>
          <w:sz w:val="22"/>
          <w:szCs w:val="22"/>
        </w:rPr>
        <w:t xml:space="preserve">Sujeto Obligado </w:t>
      </w:r>
      <w:r>
        <w:rPr>
          <w:rFonts w:ascii="Palatino Linotype" w:eastAsia="Palatino Linotype" w:hAnsi="Palatino Linotype" w:cs="Palatino Linotype"/>
          <w:sz w:val="22"/>
          <w:szCs w:val="22"/>
        </w:rPr>
        <w:t xml:space="preserve">dio respuesta a la solicitud. </w:t>
      </w:r>
    </w:p>
    <w:p w:rsidR="00A208B1" w:rsidRDefault="003E0D5B">
      <w:pPr>
        <w:spacing w:before="120" w:after="12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5. Turno. </w:t>
      </w:r>
      <w:r>
        <w:rPr>
          <w:rFonts w:ascii="Palatino Linotype" w:eastAsia="Palatino Linotype" w:hAnsi="Palatino Linotype" w:cs="Palatino Linotype"/>
          <w:sz w:val="22"/>
          <w:szCs w:val="22"/>
        </w:rPr>
        <w:t>De conformidad con el artículo 185 fracción I de la Ley de Transparencia y Acceso a la Información Pública del Estado de México y Municipios vigente, el presente recurso de revisión se turnó por el sistema electrónico del Instituto de Transparencia, Acceso</w:t>
      </w:r>
      <w:r>
        <w:rPr>
          <w:rFonts w:ascii="Palatino Linotype" w:eastAsia="Palatino Linotype" w:hAnsi="Palatino Linotype" w:cs="Palatino Linotype"/>
          <w:sz w:val="22"/>
          <w:szCs w:val="22"/>
        </w:rPr>
        <w:t xml:space="preserve"> a la Información Pública y Protección de Datos Personales del Estado de México y Municipios, a la Comisionada </w:t>
      </w:r>
      <w:r>
        <w:rPr>
          <w:rFonts w:ascii="Palatino Linotype" w:eastAsia="Palatino Linotype" w:hAnsi="Palatino Linotype" w:cs="Palatino Linotype"/>
          <w:b/>
          <w:bCs/>
          <w:sz w:val="22"/>
          <w:szCs w:val="22"/>
        </w:rPr>
        <w:t xml:space="preserve">Guadalupe Ramírez Peña, </w:t>
      </w:r>
      <w:r>
        <w:rPr>
          <w:rFonts w:ascii="Palatino Linotype" w:eastAsia="Palatino Linotype" w:hAnsi="Palatino Linotype" w:cs="Palatino Linotype"/>
          <w:sz w:val="22"/>
          <w:szCs w:val="22"/>
        </w:rPr>
        <w:t>a efecto de que analizara sobre su admisión o su desechamiento.</w:t>
      </w:r>
    </w:p>
    <w:p w:rsidR="00A208B1" w:rsidRDefault="003E0D5B">
      <w:pPr>
        <w:spacing w:before="240" w:after="240"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6. Admisión del Recurso de revisión.</w:t>
      </w:r>
      <w:r>
        <w:rPr>
          <w:rFonts w:ascii="Palatino Linotype" w:eastAsia="Palatino Linotype" w:hAnsi="Palatino Linotype" w:cs="Palatino Linotype"/>
          <w:sz w:val="22"/>
          <w:szCs w:val="22"/>
        </w:rPr>
        <w:t xml:space="preserve"> El</w:t>
      </w:r>
      <w:r>
        <w:rPr>
          <w:rFonts w:ascii="Palatino Linotype" w:eastAsia="Palatino Linotype" w:hAnsi="Palatino Linotype" w:cs="Palatino Linotype"/>
          <w:b/>
          <w:bCs/>
          <w:sz w:val="22"/>
          <w:szCs w:val="22"/>
        </w:rPr>
        <w:t xml:space="preserve"> catorce de julio </w:t>
      </w:r>
      <w:r>
        <w:rPr>
          <w:rFonts w:ascii="Palatino Linotype" w:eastAsia="Palatino Linotype" w:hAnsi="Palatino Linotype" w:cs="Palatino Linotype"/>
          <w:b/>
          <w:bCs/>
          <w:sz w:val="22"/>
          <w:szCs w:val="22"/>
        </w:rPr>
        <w:t xml:space="preserve">de dos mil veinticinco, </w:t>
      </w:r>
      <w:r>
        <w:rPr>
          <w:rFonts w:ascii="Palatino Linotype" w:eastAsia="Palatino Linotype" w:hAnsi="Palatino Linotype" w:cs="Palatino Linotype"/>
          <w:sz w:val="22"/>
          <w:szCs w:val="22"/>
        </w:rPr>
        <w:t>este Instituto de Transparencia, Acceso a la Información Pública y Protección de Datos Personales del Estado de México y Municipios, admitió a trámite el recurso de revisión que ahora se resuelve, dando un plazo máximo de siete días</w:t>
      </w:r>
      <w:r>
        <w:rPr>
          <w:rFonts w:ascii="Palatino Linotype" w:eastAsia="Palatino Linotype" w:hAnsi="Palatino Linotype" w:cs="Palatino Linotype"/>
          <w:sz w:val="22"/>
          <w:szCs w:val="22"/>
        </w:rPr>
        <w:t xml:space="preserve"> hábiles para que las partes manifestaran lo que a su derecho resultara conveniente, ofrecieran pruebas, formularan alegatos y el </w:t>
      </w:r>
      <w:r>
        <w:rPr>
          <w:rFonts w:ascii="Palatino Linotype" w:eastAsia="Palatino Linotype" w:hAnsi="Palatino Linotype" w:cs="Palatino Linotype"/>
          <w:b/>
          <w:bCs/>
          <w:sz w:val="22"/>
          <w:szCs w:val="22"/>
        </w:rPr>
        <w:t xml:space="preserve">Sujeto Obligado </w:t>
      </w:r>
      <w:r>
        <w:rPr>
          <w:rFonts w:ascii="Palatino Linotype" w:eastAsia="Palatino Linotype" w:hAnsi="Palatino Linotype" w:cs="Palatino Linotype"/>
          <w:sz w:val="22"/>
          <w:szCs w:val="22"/>
        </w:rPr>
        <w:t>presentara su informe justificado.</w:t>
      </w:r>
    </w:p>
    <w:p w:rsidR="00A208B1" w:rsidRDefault="003E0D5B">
      <w:pPr>
        <w:spacing w:before="240" w:after="240" w:line="360" w:lineRule="auto"/>
        <w:jc w:val="both"/>
        <w:rPr>
          <w:rFonts w:ascii="Palatino Linotype" w:eastAsia="Palatino Linotype" w:hAnsi="Palatino Linotype" w:cs="Palatino Linotype"/>
          <w:sz w:val="22"/>
          <w:szCs w:val="22"/>
        </w:rPr>
      </w:pPr>
      <w:bookmarkStart w:id="6" w:name="_heading=h.2s8eyo1" w:colFirst="0" w:colLast="0"/>
      <w:bookmarkEnd w:id="6"/>
      <w:r>
        <w:rPr>
          <w:rFonts w:ascii="Palatino Linotype" w:eastAsia="Palatino Linotype" w:hAnsi="Palatino Linotype" w:cs="Palatino Linotype"/>
          <w:b/>
          <w:bCs/>
          <w:sz w:val="22"/>
          <w:szCs w:val="22"/>
        </w:rPr>
        <w:t>7. Manifestaciones</w:t>
      </w:r>
      <w:r>
        <w:rPr>
          <w:rFonts w:ascii="Palatino Linotype" w:eastAsia="Palatino Linotype" w:hAnsi="Palatino Linotype" w:cs="Palatino Linotype"/>
          <w:sz w:val="22"/>
          <w:szCs w:val="22"/>
        </w:rPr>
        <w:t>. De las constancias que obran en el expediente electróni</w:t>
      </w:r>
      <w:r>
        <w:rPr>
          <w:rFonts w:ascii="Palatino Linotype" w:eastAsia="Palatino Linotype" w:hAnsi="Palatino Linotype" w:cs="Palatino Linotype"/>
          <w:sz w:val="22"/>
          <w:szCs w:val="22"/>
        </w:rPr>
        <w:t>co del SAIMEX se desprende que</w:t>
      </w:r>
      <w:r>
        <w:rPr>
          <w:rFonts w:ascii="Palatino Linotype" w:eastAsia="Palatino Linotype" w:hAnsi="Palatino Linotype" w:cs="Palatino Linotype"/>
          <w:b/>
          <w:bCs/>
          <w:sz w:val="22"/>
          <w:szCs w:val="22"/>
        </w:rPr>
        <w:t xml:space="preserve"> </w:t>
      </w:r>
      <w:r>
        <w:rPr>
          <w:rFonts w:ascii="Palatino Linotype" w:eastAsia="Palatino Linotype" w:hAnsi="Palatino Linotype" w:cs="Palatino Linotype"/>
          <w:sz w:val="22"/>
          <w:szCs w:val="22"/>
        </w:rPr>
        <w:t xml:space="preserve">el </w:t>
      </w:r>
      <w:r>
        <w:rPr>
          <w:rFonts w:ascii="Palatino Linotype" w:eastAsia="Palatino Linotype" w:hAnsi="Palatino Linotype" w:cs="Palatino Linotype"/>
          <w:b/>
          <w:bCs/>
          <w:sz w:val="22"/>
          <w:szCs w:val="22"/>
        </w:rPr>
        <w:t>Sujeto Obligado</w:t>
      </w:r>
      <w:r>
        <w:rPr>
          <w:rFonts w:ascii="Palatino Linotype" w:eastAsia="Palatino Linotype" w:hAnsi="Palatino Linotype" w:cs="Palatino Linotype"/>
          <w:sz w:val="22"/>
          <w:szCs w:val="22"/>
        </w:rPr>
        <w:t xml:space="preserve"> no rindió su informe justificado, mientras que la parte </w:t>
      </w:r>
      <w:r>
        <w:rPr>
          <w:rFonts w:ascii="Palatino Linotype" w:eastAsia="Palatino Linotype" w:hAnsi="Palatino Linotype" w:cs="Palatino Linotype"/>
          <w:b/>
          <w:bCs/>
          <w:sz w:val="22"/>
          <w:szCs w:val="22"/>
        </w:rPr>
        <w:t xml:space="preserve">Recurrente </w:t>
      </w:r>
      <w:r>
        <w:rPr>
          <w:rFonts w:ascii="Palatino Linotype" w:eastAsia="Palatino Linotype" w:hAnsi="Palatino Linotype" w:cs="Palatino Linotype"/>
          <w:sz w:val="22"/>
          <w:szCs w:val="22"/>
        </w:rPr>
        <w:t xml:space="preserve">adjuntó los archivos </w:t>
      </w:r>
      <w:r>
        <w:rPr>
          <w:rFonts w:ascii="Palatino Linotype" w:eastAsia="Palatino Linotype" w:hAnsi="Palatino Linotype" w:cs="Palatino Linotype"/>
          <w:i/>
          <w:iCs/>
          <w:sz w:val="22"/>
          <w:szCs w:val="22"/>
        </w:rPr>
        <w:t>“ALEGATO.docx”, “manifestaciones .docx”, “1000036909 (1).png</w:t>
      </w:r>
      <w:r>
        <w:rPr>
          <w:rFonts w:ascii="Palatino Linotype" w:eastAsia="Palatino Linotype" w:hAnsi="Palatino Linotype" w:cs="Palatino Linotype"/>
          <w:i/>
          <w:iCs/>
          <w:sz w:val="22"/>
          <w:szCs w:val="22"/>
        </w:rPr>
        <w:tab/>
        <w:t>“, “imagen patrullas 1.docx”, “1000037232 (4).png”, “MANI</w:t>
      </w:r>
      <w:r>
        <w:rPr>
          <w:rFonts w:ascii="Palatino Linotype" w:eastAsia="Palatino Linotype" w:hAnsi="Palatino Linotype" w:cs="Palatino Linotype"/>
          <w:i/>
          <w:iCs/>
          <w:sz w:val="22"/>
          <w:szCs w:val="22"/>
        </w:rPr>
        <w:t>FESTACIÓN CON FUNDAMENTO EN DOCUMENTACIÓN OFICIAL Y MEDIOS DE COMUNICACIÓN.docx”</w:t>
      </w:r>
      <w:r>
        <w:rPr>
          <w:rFonts w:ascii="Palatino Linotype" w:eastAsia="Palatino Linotype" w:hAnsi="Palatino Linotype" w:cs="Palatino Linotype"/>
          <w:sz w:val="22"/>
          <w:szCs w:val="22"/>
        </w:rPr>
        <w:t xml:space="preserve"> y </w:t>
      </w:r>
      <w:r>
        <w:rPr>
          <w:rFonts w:ascii="Palatino Linotype" w:eastAsia="Palatino Linotype" w:hAnsi="Palatino Linotype" w:cs="Palatino Linotype"/>
          <w:i/>
          <w:iCs/>
          <w:sz w:val="22"/>
          <w:szCs w:val="22"/>
        </w:rPr>
        <w:t xml:space="preserve">“fundamento.docx”, </w:t>
      </w:r>
      <w:r>
        <w:rPr>
          <w:rFonts w:ascii="Palatino Linotype" w:eastAsia="Palatino Linotype" w:hAnsi="Palatino Linotype" w:cs="Palatino Linotype"/>
          <w:sz w:val="22"/>
          <w:szCs w:val="22"/>
        </w:rPr>
        <w:t>como se observa a continuación:</w:t>
      </w:r>
    </w:p>
    <w:p w:rsidR="00A208B1" w:rsidRDefault="003E0D5B">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drawing>
          <wp:inline distT="0" distB="0" distL="0" distR="0">
            <wp:extent cx="5612130" cy="2419985"/>
            <wp:effectExtent l="0" t="0" r="0" b="0"/>
            <wp:docPr id="2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5612130" cy="2419985"/>
                    </a:xfrm>
                    <a:prstGeom prst="rect">
                      <a:avLst/>
                    </a:prstGeom>
                    <a:ln/>
                  </pic:spPr>
                </pic:pic>
              </a:graphicData>
            </a:graphic>
          </wp:inline>
        </w:drawing>
      </w:r>
    </w:p>
    <w:p w:rsidR="00A208B1" w:rsidRDefault="003E0D5B">
      <w:pPr>
        <w:widowControl w:val="0"/>
        <w:spacing w:before="240"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7. Cierre de instrucción. </w:t>
      </w:r>
      <w:r>
        <w:rPr>
          <w:rFonts w:ascii="Palatino Linotype" w:eastAsia="Palatino Linotype" w:hAnsi="Palatino Linotype" w:cs="Palatino Linotype"/>
          <w:sz w:val="22"/>
          <w:szCs w:val="22"/>
        </w:rPr>
        <w:t>Una vez transcurrido el periodo otorgado a las partes para realizar sus manifestaciones y n</w:t>
      </w:r>
      <w:r>
        <w:rPr>
          <w:rFonts w:ascii="Palatino Linotype" w:eastAsia="Palatino Linotype" w:hAnsi="Palatino Linotype" w:cs="Palatino Linotype"/>
          <w:sz w:val="22"/>
          <w:szCs w:val="22"/>
        </w:rPr>
        <w:t xml:space="preserve">o habiendo documentos que integrar al expediente, el </w:t>
      </w:r>
      <w:r>
        <w:rPr>
          <w:rFonts w:ascii="Palatino Linotype" w:eastAsia="Palatino Linotype" w:hAnsi="Palatino Linotype" w:cs="Palatino Linotype"/>
          <w:b/>
          <w:bCs/>
          <w:sz w:val="22"/>
          <w:szCs w:val="22"/>
        </w:rPr>
        <w:t>veinticuatro de septiembre de dos mil veinticinco</w:t>
      </w:r>
      <w:r>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w:t>
      </w:r>
      <w:r>
        <w:rPr>
          <w:rFonts w:ascii="Palatino Linotype" w:eastAsia="Palatino Linotype" w:hAnsi="Palatino Linotype" w:cs="Palatino Linotype"/>
          <w:sz w:val="22"/>
          <w:szCs w:val="22"/>
        </w:rPr>
        <w:t>ación Pública del Estado de México y Municipios.</w:t>
      </w:r>
    </w:p>
    <w:p w:rsidR="00A208B1" w:rsidRDefault="003E0D5B">
      <w:pPr>
        <w:widowControl w:val="0"/>
        <w:spacing w:before="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8. Ampliación del término para resolver</w:t>
      </w:r>
      <w:r>
        <w:rPr>
          <w:rFonts w:ascii="Palatino Linotype" w:eastAsia="Palatino Linotype" w:hAnsi="Palatino Linotype" w:cs="Palatino Linotype"/>
          <w:sz w:val="22"/>
          <w:szCs w:val="22"/>
        </w:rPr>
        <w:t xml:space="preserve">. El </w:t>
      </w:r>
      <w:r>
        <w:rPr>
          <w:rFonts w:ascii="Palatino Linotype" w:eastAsia="Palatino Linotype" w:hAnsi="Palatino Linotype" w:cs="Palatino Linotype"/>
          <w:b/>
          <w:bCs/>
          <w:sz w:val="22"/>
          <w:szCs w:val="22"/>
        </w:rPr>
        <w:t>veinticinco de marzo de dos mil veinticinco</w:t>
      </w:r>
      <w:r>
        <w:rPr>
          <w:rFonts w:ascii="Palatino Linotype" w:eastAsia="Palatino Linotype" w:hAnsi="Palatino Linotype" w:cs="Palatino Linotype"/>
          <w:sz w:val="22"/>
          <w:szCs w:val="22"/>
        </w:rPr>
        <w:t>, se amplió el término para resolver el recurso de revisión en términos del artículo 181 párrafo tercero de la Ley de Tr</w:t>
      </w:r>
      <w:r>
        <w:rPr>
          <w:rFonts w:ascii="Palatino Linotype" w:eastAsia="Palatino Linotype" w:hAnsi="Palatino Linotype" w:cs="Palatino Linotype"/>
          <w:sz w:val="22"/>
          <w:szCs w:val="22"/>
        </w:rPr>
        <w:t>ansparencia y Acceso a la Información Pública del Estado de México y Municipios.</w:t>
      </w:r>
    </w:p>
    <w:p w:rsidR="00A208B1" w:rsidRDefault="003E0D5B">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w:t>
      </w:r>
      <w:r>
        <w:rPr>
          <w:rFonts w:ascii="Palatino Linotype" w:eastAsia="Palatino Linotype" w:hAnsi="Palatino Linotype" w:cs="Palatino Linotype"/>
          <w:sz w:val="22"/>
          <w:szCs w:val="22"/>
        </w:rPr>
        <w:t>ión recibidos, circunstancia atípica que ha rebasado las capacidades técnicas y humanas del personal encargado de la proyección de las resoluciones a dichos medios de impugnación.</w:t>
      </w:r>
    </w:p>
    <w:p w:rsidR="00A208B1" w:rsidRDefault="003E0D5B">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ello, es menester precisar que, si bien se ha excedido el plazo para res</w:t>
      </w:r>
      <w:r>
        <w:rPr>
          <w:rFonts w:ascii="Palatino Linotype" w:eastAsia="Palatino Linotype" w:hAnsi="Palatino Linotype" w:cs="Palatino Linotype"/>
          <w:sz w:val="22"/>
          <w:szCs w:val="22"/>
        </w:rPr>
        <w:t>olver el presente medio de impugnación, de conformidad con la ley de la materia, el plazo para emitir la resolución se encuentra justificado en los elementos para medir la razonabilidad de asuntos conforme a los parámetros establecidos por diversos órganos</w:t>
      </w:r>
      <w:r>
        <w:rPr>
          <w:rFonts w:ascii="Palatino Linotype" w:eastAsia="Palatino Linotype" w:hAnsi="Palatino Linotype" w:cs="Palatino Linotype"/>
          <w:sz w:val="22"/>
          <w:szCs w:val="22"/>
        </w:rPr>
        <w:t xml:space="preserve"> jurisdiccionales federales, aplicables también en procedimientos análogos, como el que nos ocupa.</w:t>
      </w:r>
    </w:p>
    <w:p w:rsidR="00A208B1" w:rsidRDefault="003E0D5B">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w:t>
      </w:r>
      <w:r>
        <w:rPr>
          <w:rFonts w:ascii="Palatino Linotype" w:eastAsia="Palatino Linotype" w:hAnsi="Palatino Linotype" w:cs="Palatino Linotype"/>
          <w:sz w:val="22"/>
          <w:szCs w:val="22"/>
        </w:rPr>
        <w:t xml:space="preserve"> en el menor tiempo posible, tomando en consideración la dilación total del procedimiento; esto es, en un plazo razonable.</w:t>
      </w:r>
    </w:p>
    <w:p w:rsidR="00A208B1" w:rsidRDefault="003E0D5B">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sentido, el legislador fijó los términos procesales en las leyes, de manera general, sin que pudiera prever la variada gama de</w:t>
      </w:r>
      <w:r>
        <w:rPr>
          <w:rFonts w:ascii="Palatino Linotype" w:eastAsia="Palatino Linotype" w:hAnsi="Palatino Linotype" w:cs="Palatino Linotype"/>
          <w:sz w:val="22"/>
          <w:szCs w:val="22"/>
        </w:rPr>
        <w:t xml:space="preserve"> casos que son resueltos por los órganos jurisdiccionales o cuasi jurisdiccionales, tanto por la complejidad de los hechos, como por el número de casos que conocen. </w:t>
      </w:r>
    </w:p>
    <w:p w:rsidR="00A208B1" w:rsidRDefault="003E0D5B">
      <w:pPr>
        <w:spacing w:before="240" w:after="240" w:line="360" w:lineRule="auto"/>
        <w:jc w:val="both"/>
        <w:rPr>
          <w:rFonts w:ascii="Palatino Linotype" w:eastAsia="Palatino Linotype" w:hAnsi="Palatino Linotype" w:cs="Palatino Linotype"/>
          <w:strike/>
          <w:sz w:val="22"/>
          <w:szCs w:val="22"/>
        </w:rPr>
      </w:pPr>
      <w:r>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rsidR="00A208B1" w:rsidRDefault="003E0D5B">
      <w:pPr>
        <w:numPr>
          <w:ilvl w:val="0"/>
          <w:numId w:val="5"/>
        </w:numPr>
        <w:tabs>
          <w:tab w:val="left" w:pos="567"/>
        </w:tabs>
        <w:spacing w:before="240" w:after="240" w:line="360" w:lineRule="auto"/>
        <w:ind w:left="284"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Complejidad del Asunto: La complejidad</w:t>
      </w:r>
      <w:r>
        <w:rPr>
          <w:rFonts w:ascii="Palatino Linotype" w:eastAsia="Palatino Linotype" w:hAnsi="Palatino Linotype" w:cs="Palatino Linotype"/>
          <w:sz w:val="22"/>
          <w:szCs w:val="22"/>
        </w:rPr>
        <w:t xml:space="preserve"> de la prueba, la pluralidad de sujetos procesales, el tiempo transcurrido, las características y contexto del recurso. </w:t>
      </w:r>
    </w:p>
    <w:p w:rsidR="00A208B1" w:rsidRDefault="003E0D5B">
      <w:pPr>
        <w:numPr>
          <w:ilvl w:val="0"/>
          <w:numId w:val="5"/>
        </w:numPr>
        <w:tabs>
          <w:tab w:val="left" w:pos="567"/>
        </w:tabs>
        <w:spacing w:before="240" w:after="240" w:line="360" w:lineRule="auto"/>
        <w:ind w:left="284"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Actividad Procesal del interesado. Acciones u omisiones del interesado.</w:t>
      </w:r>
    </w:p>
    <w:p w:rsidR="00A208B1" w:rsidRDefault="003E0D5B">
      <w:pPr>
        <w:numPr>
          <w:ilvl w:val="0"/>
          <w:numId w:val="5"/>
        </w:numPr>
        <w:tabs>
          <w:tab w:val="left" w:pos="567"/>
        </w:tabs>
        <w:spacing w:before="240" w:after="240" w:line="360" w:lineRule="auto"/>
        <w:ind w:left="284"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Conducta de la Autoridad: Las Acciones u omisiones realizadas en el procedimiento. Así como si la autoridad actuó con la debida diligencia.</w:t>
      </w:r>
    </w:p>
    <w:p w:rsidR="00A208B1" w:rsidRDefault="003E0D5B">
      <w:pPr>
        <w:tabs>
          <w:tab w:val="left" w:pos="567"/>
        </w:tabs>
        <w:spacing w:before="240" w:after="240" w:line="360" w:lineRule="auto"/>
        <w:ind w:left="284"/>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 La afectación generada en la situación jurídica de la persona involucrada en el proceso: Violación a sus derechos</w:t>
      </w:r>
      <w:r>
        <w:rPr>
          <w:rFonts w:ascii="Palatino Linotype" w:eastAsia="Palatino Linotype" w:hAnsi="Palatino Linotype" w:cs="Palatino Linotype"/>
          <w:sz w:val="22"/>
          <w:szCs w:val="22"/>
        </w:rPr>
        <w:t xml:space="preserve"> humanos.</w:t>
      </w:r>
    </w:p>
    <w:p w:rsidR="00A208B1" w:rsidRDefault="003E0D5B">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w:t>
      </w:r>
      <w:r>
        <w:rPr>
          <w:rFonts w:ascii="Palatino Linotype" w:eastAsia="Palatino Linotype" w:hAnsi="Palatino Linotype" w:cs="Palatino Linotype"/>
          <w:sz w:val="22"/>
          <w:szCs w:val="22"/>
        </w:rPr>
        <w:t>rse normal, debe concluirse que es una excluyente de responsabilidad en relación con la actuación del funcionario, como ha acontecido en el caso que nos ocupa.</w:t>
      </w:r>
    </w:p>
    <w:p w:rsidR="00A208B1" w:rsidRDefault="003E0D5B">
      <w:pPr>
        <w:spacing w:before="240" w:after="240"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sz w:val="22"/>
          <w:szCs w:val="22"/>
        </w:rPr>
        <w:t>Argumento que encuentra sustento en la jurisprudencia P./J. 32/92 emitida por el Pleno de la Sup</w:t>
      </w:r>
      <w:r>
        <w:rPr>
          <w:rFonts w:ascii="Palatino Linotype" w:eastAsia="Palatino Linotype" w:hAnsi="Palatino Linotype" w:cs="Palatino Linotype"/>
          <w:sz w:val="22"/>
          <w:szCs w:val="22"/>
        </w:rPr>
        <w:t xml:space="preserve">rema Corte de Justicia de la Nación de rubro </w:t>
      </w:r>
      <w:r>
        <w:rPr>
          <w:rFonts w:ascii="Palatino Linotype" w:eastAsia="Palatino Linotype" w:hAnsi="Palatino Linotype" w:cs="Palatino Linotype"/>
          <w:i/>
          <w:iCs/>
          <w:sz w:val="22"/>
          <w:szCs w:val="22"/>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sz w:val="22"/>
          <w:szCs w:val="22"/>
        </w:rPr>
        <w:t>, vi</w:t>
      </w:r>
      <w:r>
        <w:rPr>
          <w:rFonts w:ascii="Palatino Linotype" w:eastAsia="Palatino Linotype" w:hAnsi="Palatino Linotype" w:cs="Palatino Linotype"/>
          <w:sz w:val="22"/>
          <w:szCs w:val="22"/>
        </w:rPr>
        <w:t>sible en la Gaceta del Seminario Judicial de la Federación con el registro digital 205635.</w:t>
      </w:r>
    </w:p>
    <w:p w:rsidR="00A208B1" w:rsidRDefault="003E0D5B">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w:t>
      </w:r>
      <w:r>
        <w:rPr>
          <w:rFonts w:ascii="Palatino Linotype" w:eastAsia="Palatino Linotype" w:hAnsi="Palatino Linotype" w:cs="Palatino Linotype"/>
          <w:sz w:val="22"/>
          <w:szCs w:val="22"/>
        </w:rPr>
        <w:t>proporción a la capacidad de los recursos materiales y humanos con que cuenta este Instituto para atender la enorme demanda de usuarios que acuden para que se les garantice su Derecho de acceso a la información Pública y Protección de Datos Personales, aun</w:t>
      </w:r>
      <w:r>
        <w:rPr>
          <w:rFonts w:ascii="Palatino Linotype" w:eastAsia="Palatino Linotype" w:hAnsi="Palatino Linotype" w:cs="Palatino Linotype"/>
          <w:sz w:val="22"/>
          <w:szCs w:val="22"/>
        </w:rPr>
        <w:t>ado a la complejidad de los hechos a los que se refieren, así como al volumen del expediente, la extensión de los escritos y pruebas aportadas y desahogadas por las partes; lo que impide la tramitación de los recursos dentro de los términos legales previam</w:t>
      </w:r>
      <w:r>
        <w:rPr>
          <w:rFonts w:ascii="Palatino Linotype" w:eastAsia="Palatino Linotype" w:hAnsi="Palatino Linotype" w:cs="Palatino Linotype"/>
          <w:sz w:val="22"/>
          <w:szCs w:val="22"/>
        </w:rPr>
        <w:t>ente establecidos por la Ley, por tratarse de causas de fuerza mayor.</w:t>
      </w:r>
    </w:p>
    <w:p w:rsidR="00A208B1" w:rsidRDefault="003E0D5B">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w:t>
      </w:r>
      <w:r>
        <w:rPr>
          <w:rFonts w:ascii="Palatino Linotype" w:eastAsia="Palatino Linotype" w:hAnsi="Palatino Linotype" w:cs="Palatino Linotype"/>
          <w:sz w:val="22"/>
          <w:szCs w:val="22"/>
        </w:rPr>
        <w:t xml:space="preserve"> los siguientes:</w:t>
      </w:r>
    </w:p>
    <w:p w:rsidR="00A208B1" w:rsidRDefault="003E0D5B">
      <w:pPr>
        <w:spacing w:before="120" w:after="120"/>
        <w:ind w:left="851" w:right="902"/>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i/>
          <w:iCs/>
          <w:sz w:val="22"/>
          <w:szCs w:val="22"/>
        </w:rPr>
        <w:t>“</w:t>
      </w:r>
      <w:r>
        <w:rPr>
          <w:rFonts w:ascii="Palatino Linotype" w:eastAsia="Palatino Linotype" w:hAnsi="Palatino Linotype" w:cs="Palatino Linotype"/>
          <w:b/>
          <w:bCs/>
          <w:i/>
          <w:iCs/>
          <w:sz w:val="22"/>
          <w:szCs w:val="22"/>
        </w:rPr>
        <w:t>PLAZO RAZONABLE PARA RESOLVER. DIMENSIÓN Y EFECTOS DE ESTE CONCEPTO CUANDO SE ADUCE EXCESIVA CARGA DE TRABAJO</w:t>
      </w:r>
      <w:r>
        <w:rPr>
          <w:rFonts w:ascii="Palatino Linotype" w:eastAsia="Palatino Linotype" w:hAnsi="Palatino Linotype" w:cs="Palatino Linotype"/>
          <w:i/>
          <w:iCs/>
          <w:sz w:val="22"/>
          <w:szCs w:val="22"/>
        </w:rPr>
        <w:t>.”</w:t>
      </w:r>
      <w:r>
        <w:rPr>
          <w:rFonts w:ascii="Palatino Linotype" w:eastAsia="Palatino Linotype" w:hAnsi="Palatino Linotype" w:cs="Palatino Linotype"/>
          <w:sz w:val="22"/>
          <w:szCs w:val="22"/>
        </w:rPr>
        <w:t xml:space="preserve"> consultable en el Seminario Judicial de la Federación y su gaceta, con el registro digital 2002351.</w:t>
      </w:r>
    </w:p>
    <w:p w:rsidR="00A208B1" w:rsidRDefault="003E0D5B">
      <w:pPr>
        <w:spacing w:before="120" w:after="120"/>
        <w:ind w:left="851" w:right="902"/>
        <w:jc w:val="both"/>
        <w:rPr>
          <w:rFonts w:ascii="Palatino Linotype" w:eastAsia="Palatino Linotype" w:hAnsi="Palatino Linotype" w:cs="Palatino Linotype"/>
          <w:sz w:val="22"/>
          <w:szCs w:val="22"/>
        </w:rPr>
      </w:pPr>
      <w:r>
        <w:rPr>
          <w:rFonts w:ascii="Palatino Linotype" w:eastAsia="Palatino Linotype" w:hAnsi="Palatino Linotype" w:cs="Palatino Linotype"/>
          <w:i/>
          <w:iCs/>
          <w:sz w:val="22"/>
          <w:szCs w:val="22"/>
        </w:rPr>
        <w:t>“</w:t>
      </w:r>
      <w:r>
        <w:rPr>
          <w:rFonts w:ascii="Palatino Linotype" w:eastAsia="Palatino Linotype" w:hAnsi="Palatino Linotype" w:cs="Palatino Linotype"/>
          <w:b/>
          <w:bCs/>
          <w:i/>
          <w:iCs/>
          <w:sz w:val="22"/>
          <w:szCs w:val="22"/>
        </w:rPr>
        <w:t>PLAZO RAZONABLE PARA RES</w:t>
      </w:r>
      <w:r>
        <w:rPr>
          <w:rFonts w:ascii="Palatino Linotype" w:eastAsia="Palatino Linotype" w:hAnsi="Palatino Linotype" w:cs="Palatino Linotype"/>
          <w:b/>
          <w:bCs/>
          <w:i/>
          <w:iCs/>
          <w:sz w:val="22"/>
          <w:szCs w:val="22"/>
        </w:rPr>
        <w:t>OLVER. CONCEPTO Y ELEMENTOS QUE LO INTEGRAN A LA LUZ DEL DERECHO INTERNACIONAL DE LOS DERECHOS HUMANOS</w:t>
      </w:r>
      <w:r>
        <w:rPr>
          <w:rFonts w:ascii="Palatino Linotype" w:eastAsia="Palatino Linotype" w:hAnsi="Palatino Linotype" w:cs="Palatino Linotype"/>
          <w:i/>
          <w:iCs/>
          <w:sz w:val="22"/>
          <w:szCs w:val="22"/>
        </w:rPr>
        <w:t>.”</w:t>
      </w:r>
      <w:r>
        <w:rPr>
          <w:rFonts w:ascii="Palatino Linotype" w:eastAsia="Palatino Linotype" w:hAnsi="Palatino Linotype" w:cs="Palatino Linotype"/>
          <w:sz w:val="22"/>
          <w:szCs w:val="22"/>
        </w:rPr>
        <w:t>, visible en el Seminario Judicial de la Federación y su gaceta, con el registro digital 2002350.</w:t>
      </w:r>
    </w:p>
    <w:p w:rsidR="00A208B1" w:rsidRDefault="003E0D5B">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ello, este Organismo Garante comprometido con la t</w:t>
      </w:r>
      <w:r>
        <w:rPr>
          <w:rFonts w:ascii="Palatino Linotype" w:eastAsia="Palatino Linotype" w:hAnsi="Palatino Linotype" w:cs="Palatino Linotype"/>
          <w:sz w:val="22"/>
          <w:szCs w:val="22"/>
        </w:rPr>
        <w:t>utela de los derechos humanos confiados, señala que este exceso del plazo legal para resolver el presente asunto, resulta de carácter excepcional.</w:t>
      </w:r>
    </w:p>
    <w:p w:rsidR="00A208B1" w:rsidRDefault="003E0D5B">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razón de que fue debidamente sustanciado el expediente electrónico y no existe diligencia pendiente de des</w:t>
      </w:r>
      <w:r>
        <w:rPr>
          <w:rFonts w:ascii="Palatino Linotype" w:eastAsia="Palatino Linotype" w:hAnsi="Palatino Linotype" w:cs="Palatino Linotype"/>
          <w:sz w:val="22"/>
          <w:szCs w:val="22"/>
        </w:rPr>
        <w:t xml:space="preserve">ahogo, se emite la Resolución que conforme a Derecho proceda, de acuerdo con los siguientes: </w:t>
      </w:r>
    </w:p>
    <w:p w:rsidR="00A208B1" w:rsidRDefault="003E0D5B">
      <w:pPr>
        <w:widowControl w:val="0"/>
        <w:spacing w:before="240" w:after="240" w:line="360" w:lineRule="auto"/>
        <w:jc w:val="cente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II. C O N S I D E R A N D O S</w:t>
      </w:r>
    </w:p>
    <w:p w:rsidR="00A208B1" w:rsidRDefault="003E0D5B">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Primero. Competencia.</w:t>
      </w:r>
      <w:r>
        <w:rPr>
          <w:rFonts w:ascii="Palatino Linotype" w:eastAsia="Palatino Linotype" w:hAnsi="Palatino Linotype" w:cs="Palatino Linotype"/>
          <w:sz w:val="22"/>
          <w:szCs w:val="22"/>
        </w:rPr>
        <w:t xml:space="preserve"> El Instituto de Transparencia, Acceso a la Información Pública y Protección de Datos Personales del Estado de </w:t>
      </w:r>
      <w:r>
        <w:rPr>
          <w:rFonts w:ascii="Palatino Linotype" w:eastAsia="Palatino Linotype" w:hAnsi="Palatino Linotype" w:cs="Palatino Linotype"/>
          <w:sz w:val="22"/>
          <w:szCs w:val="22"/>
        </w:rPr>
        <w:t xml:space="preserve">México y Municipios, es competente para conocer y resolver el presente recurso de revisión interpuesto por la parte recurrente, conforme a lo dispuesto en los artículos 6, apartado A de la Constitución Política de los Estados Unidos Mexicanos; 5, párrafos </w:t>
      </w:r>
      <w:r>
        <w:rPr>
          <w:rFonts w:ascii="Palatino Linotype" w:eastAsia="Palatino Linotype" w:hAnsi="Palatino Linotype" w:cs="Palatino Linotype"/>
          <w:sz w:val="22"/>
          <w:szCs w:val="22"/>
        </w:rPr>
        <w:t>cuadragésimo cuarto, cuadragésimo quinto cuadragésimo sexto, fracciones IV y V de la Constitución Política del Estado Libre y Soberano de México; Transitorio Cuarto, párrafo segundo del Decreto número 198 de la “LXII” Legislatura del Estado de México; 2, f</w:t>
      </w:r>
      <w:r>
        <w:rPr>
          <w:rFonts w:ascii="Palatino Linotype" w:eastAsia="Palatino Linotype" w:hAnsi="Palatino Linotype" w:cs="Palatino Linotype"/>
          <w:sz w:val="22"/>
          <w:szCs w:val="22"/>
        </w:rPr>
        <w:t>racción II; 29, 36 fracciones I y II; 176, 178, 181, 185, fracción I, 186 y 188 de la Ley Transparencia y Acceso a la Información Pública del Estado de México y Municipios; 9, fracciones I y XXIII y 11 del Reglamento Interior del Instituto de Transparencia</w:t>
      </w:r>
      <w:r>
        <w:rPr>
          <w:rFonts w:ascii="Palatino Linotype" w:eastAsia="Palatino Linotype" w:hAnsi="Palatino Linotype" w:cs="Palatino Linotype"/>
          <w:sz w:val="22"/>
          <w:szCs w:val="22"/>
        </w:rPr>
        <w:t>, Acceso a la Información Pública y Protección de Datos Personales del Estado de México y Municipios.</w:t>
      </w:r>
    </w:p>
    <w:p w:rsidR="00A208B1" w:rsidRDefault="003E0D5B">
      <w:pPr>
        <w:spacing w:before="240" w:after="240" w:line="360" w:lineRule="auto"/>
        <w:jc w:val="both"/>
        <w:rPr>
          <w:rFonts w:ascii="Palatino Linotype" w:eastAsia="Palatino Linotype" w:hAnsi="Palatino Linotype" w:cs="Palatino Linotype"/>
          <w:sz w:val="22"/>
          <w:szCs w:val="22"/>
        </w:rPr>
      </w:pPr>
      <w:bookmarkStart w:id="7" w:name="_heading=h.tyjcwt" w:colFirst="0" w:colLast="0"/>
      <w:bookmarkEnd w:id="7"/>
      <w:r>
        <w:rPr>
          <w:rFonts w:ascii="Palatino Linotype" w:eastAsia="Palatino Linotype" w:hAnsi="Palatino Linotype" w:cs="Palatino Linotype"/>
          <w:b/>
          <w:bCs/>
          <w:sz w:val="22"/>
          <w:szCs w:val="22"/>
        </w:rPr>
        <w:t>Segundo. Oportunidad y Procedibilidad del Recurso de Revisión</w:t>
      </w:r>
      <w:r>
        <w:rPr>
          <w:rFonts w:ascii="Palatino Linotype" w:eastAsia="Palatino Linotype" w:hAnsi="Palatino Linotype" w:cs="Palatino Linotype"/>
          <w:sz w:val="22"/>
          <w:szCs w:val="22"/>
        </w:rPr>
        <w:t>. Previo al estudio del fondo del asunto, se procede a analizar los requisitos de oportunidad</w:t>
      </w:r>
      <w:r>
        <w:rPr>
          <w:rFonts w:ascii="Palatino Linotype" w:eastAsia="Palatino Linotype" w:hAnsi="Palatino Linotype" w:cs="Palatino Linotype"/>
          <w:sz w:val="22"/>
          <w:szCs w:val="22"/>
        </w:rPr>
        <w:t xml:space="preserve"> y procedibilidad que debe reunir el recurso de revisión interpuesto, previstos en los artículos 178 y 180 de la Ley de Transparencia y Acceso a la Información Pública del Estado de México y Municipios.</w:t>
      </w:r>
    </w:p>
    <w:p w:rsidR="00A208B1" w:rsidRDefault="003E0D5B">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recurso de revisión fue interpuesto dentro del pla</w:t>
      </w:r>
      <w:r>
        <w:rPr>
          <w:rFonts w:ascii="Palatino Linotype" w:eastAsia="Palatino Linotype" w:hAnsi="Palatino Linotype" w:cs="Palatino Linotype"/>
          <w:sz w:val="22"/>
          <w:szCs w:val="22"/>
        </w:rPr>
        <w:t xml:space="preserve">zo de quince días hábiles, previsto en el artículo 178 de la Ley de Transparencia y Acceso a la Información Pública del Estado de México y Municipios, toda vez que el </w:t>
      </w:r>
      <w:r>
        <w:rPr>
          <w:rFonts w:ascii="Palatino Linotype" w:eastAsia="Palatino Linotype" w:hAnsi="Palatino Linotype" w:cs="Palatino Linotype"/>
          <w:b/>
          <w:bCs/>
          <w:sz w:val="22"/>
          <w:szCs w:val="22"/>
        </w:rPr>
        <w:t xml:space="preserve">Sujeto Obligado </w:t>
      </w:r>
      <w:r>
        <w:rPr>
          <w:rFonts w:ascii="Palatino Linotype" w:eastAsia="Palatino Linotype" w:hAnsi="Palatino Linotype" w:cs="Palatino Linotype"/>
          <w:sz w:val="22"/>
          <w:szCs w:val="22"/>
        </w:rPr>
        <w:t xml:space="preserve">remitió la respuesta a la solicitud de información el día </w:t>
      </w:r>
      <w:r>
        <w:rPr>
          <w:rFonts w:ascii="Palatino Linotype" w:eastAsia="Palatino Linotype" w:hAnsi="Palatino Linotype" w:cs="Palatino Linotype"/>
          <w:b/>
          <w:bCs/>
          <w:sz w:val="22"/>
          <w:szCs w:val="22"/>
        </w:rPr>
        <w:t xml:space="preserve">nueve de julio </w:t>
      </w:r>
      <w:r>
        <w:rPr>
          <w:rFonts w:ascii="Palatino Linotype" w:eastAsia="Palatino Linotype" w:hAnsi="Palatino Linotype" w:cs="Palatino Linotype"/>
          <w:b/>
          <w:bCs/>
          <w:sz w:val="22"/>
          <w:szCs w:val="22"/>
        </w:rPr>
        <w:t xml:space="preserve">de dos mil veinticinco, </w:t>
      </w:r>
      <w:r>
        <w:rPr>
          <w:rFonts w:ascii="Palatino Linotype" w:eastAsia="Palatino Linotype" w:hAnsi="Palatino Linotype" w:cs="Palatino Linotype"/>
          <w:sz w:val="22"/>
          <w:szCs w:val="22"/>
        </w:rPr>
        <w:t xml:space="preserve">mientras que el recurso de revisión interpuesto por la parte </w:t>
      </w:r>
      <w:r>
        <w:rPr>
          <w:rFonts w:ascii="Palatino Linotype" w:eastAsia="Palatino Linotype" w:hAnsi="Palatino Linotype" w:cs="Palatino Linotype"/>
          <w:b/>
          <w:bCs/>
          <w:sz w:val="22"/>
          <w:szCs w:val="22"/>
        </w:rPr>
        <w:t xml:space="preserve">Recurrente, </w:t>
      </w:r>
      <w:r>
        <w:rPr>
          <w:rFonts w:ascii="Palatino Linotype" w:eastAsia="Palatino Linotype" w:hAnsi="Palatino Linotype" w:cs="Palatino Linotype"/>
          <w:sz w:val="22"/>
          <w:szCs w:val="22"/>
        </w:rPr>
        <w:t>se tuvo por presentado el día</w:t>
      </w:r>
      <w:r>
        <w:rPr>
          <w:rFonts w:ascii="Palatino Linotype" w:eastAsia="Palatino Linotype" w:hAnsi="Palatino Linotype" w:cs="Palatino Linotype"/>
          <w:b/>
          <w:bCs/>
          <w:sz w:val="22"/>
          <w:szCs w:val="22"/>
        </w:rPr>
        <w:t xml:space="preserve"> nueve de julio de dos mil veinticinco, </w:t>
      </w:r>
      <w:r>
        <w:rPr>
          <w:rFonts w:ascii="Palatino Linotype" w:eastAsia="Palatino Linotype" w:hAnsi="Palatino Linotype" w:cs="Palatino Linotype"/>
          <w:sz w:val="22"/>
          <w:szCs w:val="22"/>
        </w:rPr>
        <w:t>esto es, el mismo día en el que tuvo conocimiento de la respuesta impugnada. En este senti</w:t>
      </w:r>
      <w:r>
        <w:rPr>
          <w:rFonts w:ascii="Palatino Linotype" w:eastAsia="Palatino Linotype" w:hAnsi="Palatino Linotype" w:cs="Palatino Linotype"/>
          <w:sz w:val="22"/>
          <w:szCs w:val="22"/>
        </w:rPr>
        <w:t>do, se concluye que el presente recurso de revisión se encuentra dentro de los márgenes temporales previstos en las disposiciones legales referidas.</w:t>
      </w:r>
    </w:p>
    <w:p w:rsidR="00A208B1" w:rsidRDefault="003E0D5B">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Sin que contraríe a lo anterior, el artículo 178 en análisis, refiere que el plazo de quince días hábiles s</w:t>
      </w:r>
      <w:r>
        <w:rPr>
          <w:rFonts w:ascii="Palatino Linotype" w:eastAsia="Palatino Linotype" w:hAnsi="Palatino Linotype" w:cs="Palatino Linotype"/>
          <w:sz w:val="22"/>
          <w:szCs w:val="22"/>
        </w:rPr>
        <w:t>e contará a partir del día siguiente de la fecha en que el afectado tuvo conocimiento de la resolución materia de impugnación, ya que ello debe entenderse para el efecto de que transcurrido dicho plazo ya no podrá presentarse el medio de impugnación o si e</w:t>
      </w:r>
      <w:r>
        <w:rPr>
          <w:rFonts w:ascii="Palatino Linotype" w:eastAsia="Palatino Linotype" w:hAnsi="Palatino Linotype" w:cs="Palatino Linotype"/>
          <w:sz w:val="22"/>
          <w:szCs w:val="22"/>
        </w:rPr>
        <w:t>s que se presenta, el mismo se considerará extemporáneo, no así cuando el medio de defensa se interponga antes de que comience a correr el plazo legal; tiene aplicación por analogía, la jurisprudencia 1ª. /J.41/2015, publicada en el Semanario Judicial de l</w:t>
      </w:r>
      <w:r>
        <w:rPr>
          <w:rFonts w:ascii="Palatino Linotype" w:eastAsia="Palatino Linotype" w:hAnsi="Palatino Linotype" w:cs="Palatino Linotype"/>
          <w:sz w:val="22"/>
          <w:szCs w:val="22"/>
        </w:rPr>
        <w:t>a Federación y su Gaceta, Libro 19, Junio de 2015, Tomo I, página 569 de la Décima época que lleva por rubro y texto los siguientes:</w:t>
      </w:r>
    </w:p>
    <w:p w:rsidR="00A208B1" w:rsidRDefault="003E0D5B">
      <w:pPr>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“RECURSO DE RECLAMACIÓN. SU INTERPOSICIÓN NO ES EXTEMPORÁNEA SI SE REALIZA ANTES DE QUE INICIE EL PLAZO PARA HACERLO</w:t>
      </w:r>
      <w:r>
        <w:rPr>
          <w:rFonts w:ascii="Palatino Linotype" w:eastAsia="Palatino Linotype" w:hAnsi="Palatino Linotype" w:cs="Palatino Linotype"/>
          <w:i/>
          <w:iCs/>
          <w:sz w:val="22"/>
          <w:szCs w:val="22"/>
        </w:rPr>
        <w:t>. Confo</w:t>
      </w:r>
      <w:r>
        <w:rPr>
          <w:rFonts w:ascii="Palatino Linotype" w:eastAsia="Palatino Linotype" w:hAnsi="Palatino Linotype" w:cs="Palatino Linotype"/>
          <w:i/>
          <w:iCs/>
          <w:sz w:val="22"/>
          <w:szCs w:val="22"/>
        </w:rPr>
        <w:t>rme al artículo 104, párrafo segundo, de la Ley de Amparo, el recurso de reclamación podrá interponerse por cualquiera de las partes, por escrito, dentro del término de tres días siguientes al en que surta efectos la notificación de la resolución impugnada</w:t>
      </w:r>
      <w:r>
        <w:rPr>
          <w:rFonts w:ascii="Palatino Linotype" w:eastAsia="Palatino Linotype" w:hAnsi="Palatino Linotype" w:cs="Palatino Linotype"/>
          <w:i/>
          <w:iCs/>
          <w:sz w:val="22"/>
          <w:szCs w:val="22"/>
        </w:rPr>
        <w:t>. Ahora bien, dicho numeral sólo refiere que el aludido medio de defensa no puede hacerse valer después de tres días, por tanto, no impide que el escrito correspondiente se presente antes de iniciado ese término. De ahí que si dicho recurso se interpone an</w:t>
      </w:r>
      <w:r>
        <w:rPr>
          <w:rFonts w:ascii="Palatino Linotype" w:eastAsia="Palatino Linotype" w:hAnsi="Palatino Linotype" w:cs="Palatino Linotype"/>
          <w:i/>
          <w:iCs/>
          <w:sz w:val="22"/>
          <w:szCs w:val="22"/>
        </w:rPr>
        <w:t>tes de que inicie el plazo para hacerlo, su presentación no es extemporánea.”</w:t>
      </w:r>
    </w:p>
    <w:p w:rsidR="00A208B1" w:rsidRDefault="003E0D5B">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Al mismo tiempo, por cuanto hace a la procedibilidad de los recursos de revisión, una vez realizado el análisis de los formatos de interposición de los recursos, se concluye la acreditación plena de los elementos formales precisados por el artículo 180 de </w:t>
      </w:r>
      <w:r>
        <w:rPr>
          <w:rFonts w:ascii="Palatino Linotype" w:eastAsia="Palatino Linotype" w:hAnsi="Palatino Linotype" w:cs="Palatino Linotype"/>
          <w:sz w:val="22"/>
          <w:szCs w:val="22"/>
        </w:rPr>
        <w:t>la Ley de Transparencia y Acceso a la Información Pública del Estado de México y Municipios, en atención a que fueron presentados mediante el formato visible en el SAIMEX.</w:t>
      </w:r>
    </w:p>
    <w:p w:rsidR="00A208B1" w:rsidRDefault="003E0D5B">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Finalmente, se advierte que resulta procedente la interposición del recurso, según l</w:t>
      </w:r>
      <w:r>
        <w:rPr>
          <w:rFonts w:ascii="Palatino Linotype" w:eastAsia="Palatino Linotype" w:hAnsi="Palatino Linotype" w:cs="Palatino Linotype"/>
          <w:sz w:val="22"/>
          <w:szCs w:val="22"/>
        </w:rPr>
        <w:t xml:space="preserve">o manifestado por la parte </w:t>
      </w:r>
      <w:r>
        <w:rPr>
          <w:rFonts w:ascii="Palatino Linotype" w:eastAsia="Palatino Linotype" w:hAnsi="Palatino Linotype" w:cs="Palatino Linotype"/>
          <w:b/>
          <w:bCs/>
          <w:sz w:val="22"/>
          <w:szCs w:val="22"/>
        </w:rPr>
        <w:t>Recurrente</w:t>
      </w:r>
      <w:r>
        <w:rPr>
          <w:rFonts w:ascii="Palatino Linotype" w:eastAsia="Palatino Linotype" w:hAnsi="Palatino Linotype" w:cs="Palatino Linotype"/>
          <w:sz w:val="22"/>
          <w:szCs w:val="22"/>
        </w:rPr>
        <w:t xml:space="preserve"> en sus motivos de inconformidad, de acuerdo al artículo 179, fracción I del ordenamiento legal citado, que a la letra dice: </w:t>
      </w:r>
    </w:p>
    <w:p w:rsidR="00A208B1" w:rsidRDefault="003E0D5B">
      <w:pPr>
        <w:tabs>
          <w:tab w:val="left" w:pos="7938"/>
        </w:tabs>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r>
        <w:rPr>
          <w:rFonts w:ascii="Palatino Linotype" w:eastAsia="Palatino Linotype" w:hAnsi="Palatino Linotype" w:cs="Palatino Linotype"/>
          <w:b/>
          <w:bCs/>
          <w:i/>
          <w:iCs/>
          <w:sz w:val="22"/>
          <w:szCs w:val="22"/>
        </w:rPr>
        <w:t>Artículo 179.</w:t>
      </w:r>
      <w:r>
        <w:rPr>
          <w:rFonts w:ascii="Palatino Linotype" w:eastAsia="Palatino Linotype" w:hAnsi="Palatino Linotype" w:cs="Palatino Linotype"/>
          <w:i/>
          <w:iCs/>
          <w:sz w:val="22"/>
          <w:szCs w:val="22"/>
        </w:rPr>
        <w:t xml:space="preserve"> El recurso de revisión es un medio de protección que la Ley otorga a los parti</w:t>
      </w:r>
      <w:r>
        <w:rPr>
          <w:rFonts w:ascii="Palatino Linotype" w:eastAsia="Palatino Linotype" w:hAnsi="Palatino Linotype" w:cs="Palatino Linotype"/>
          <w:i/>
          <w:iCs/>
          <w:sz w:val="22"/>
          <w:szCs w:val="22"/>
        </w:rPr>
        <w:t>culares, para hacer valer su derecho de acceso a la información pública, y procederá en contra de las siguientes causas:</w:t>
      </w:r>
    </w:p>
    <w:p w:rsidR="00A208B1" w:rsidRDefault="003E0D5B">
      <w:pPr>
        <w:tabs>
          <w:tab w:val="left" w:pos="7938"/>
        </w:tabs>
        <w:spacing w:before="120" w:after="120"/>
        <w:ind w:left="851" w:right="900"/>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w:t>
      </w:r>
      <w:r>
        <w:rPr>
          <w:rFonts w:ascii="Palatino Linotype" w:eastAsia="Palatino Linotype" w:hAnsi="Palatino Linotype" w:cs="Palatino Linotype"/>
          <w:i/>
          <w:iCs/>
          <w:sz w:val="22"/>
          <w:szCs w:val="22"/>
        </w:rPr>
        <w:t xml:space="preserve"> La negativa a la información solicitada;</w:t>
      </w:r>
    </w:p>
    <w:p w:rsidR="00A208B1" w:rsidRDefault="003E0D5B">
      <w:pPr>
        <w:tabs>
          <w:tab w:val="left" w:pos="7938"/>
        </w:tabs>
        <w:spacing w:before="120" w:after="120"/>
        <w:ind w:left="851" w:right="90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A208B1" w:rsidRDefault="003E0D5B">
      <w:pPr>
        <w:spacing w:before="240" w:after="240"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Tercero. Materia de la revisión. </w:t>
      </w:r>
      <w:r>
        <w:rPr>
          <w:rFonts w:ascii="Palatino Linotype" w:eastAsia="Palatino Linotype" w:hAnsi="Palatino Linotype" w:cs="Palatino Linotype"/>
          <w:sz w:val="22"/>
          <w:szCs w:val="22"/>
        </w:rPr>
        <w:t>De la revisión a las constancias y documentos que obr</w:t>
      </w:r>
      <w:r>
        <w:rPr>
          <w:rFonts w:ascii="Palatino Linotype" w:eastAsia="Palatino Linotype" w:hAnsi="Palatino Linotype" w:cs="Palatino Linotype"/>
          <w:sz w:val="22"/>
          <w:szCs w:val="22"/>
        </w:rPr>
        <w:t xml:space="preserve">an en el expediente electrónico se advierte, que el tema sobre el que este Organismo Garante de Transparencia y Acceso a la Información se pronunciará será: </w:t>
      </w:r>
      <w:r>
        <w:rPr>
          <w:rFonts w:ascii="Palatino Linotype" w:eastAsia="Palatino Linotype" w:hAnsi="Palatino Linotype" w:cs="Palatino Linotype"/>
          <w:b/>
          <w:bCs/>
          <w:sz w:val="22"/>
          <w:szCs w:val="22"/>
        </w:rPr>
        <w:t>verificar si la información proporcionada por el Sujeto Obligado es adecuada y suficiente para sati</w:t>
      </w:r>
      <w:r>
        <w:rPr>
          <w:rFonts w:ascii="Palatino Linotype" w:eastAsia="Palatino Linotype" w:hAnsi="Palatino Linotype" w:cs="Palatino Linotype"/>
          <w:b/>
          <w:bCs/>
          <w:sz w:val="22"/>
          <w:szCs w:val="22"/>
        </w:rPr>
        <w:t xml:space="preserve">sfacer el derecho de acceso a la información pública </w:t>
      </w:r>
      <w:r>
        <w:rPr>
          <w:rFonts w:ascii="Palatino Linotype" w:eastAsia="Palatino Linotype" w:hAnsi="Palatino Linotype" w:cs="Palatino Linotype"/>
          <w:sz w:val="22"/>
          <w:szCs w:val="22"/>
        </w:rPr>
        <w:t xml:space="preserve">de la parte </w:t>
      </w:r>
      <w:r>
        <w:rPr>
          <w:rFonts w:ascii="Palatino Linotype" w:eastAsia="Palatino Linotype" w:hAnsi="Palatino Linotype" w:cs="Palatino Linotype"/>
          <w:b/>
          <w:bCs/>
          <w:sz w:val="22"/>
          <w:szCs w:val="22"/>
        </w:rPr>
        <w:t>Recurrente</w:t>
      </w:r>
      <w:r>
        <w:rPr>
          <w:rFonts w:ascii="Palatino Linotype" w:eastAsia="Palatino Linotype" w:hAnsi="Palatino Linotype" w:cs="Palatino Linotype"/>
          <w:sz w:val="22"/>
          <w:szCs w:val="22"/>
        </w:rPr>
        <w:t>, o en su defecto, en caso de ser procedente, ordenar la entrega de información.</w:t>
      </w:r>
    </w:p>
    <w:p w:rsidR="00A208B1" w:rsidRDefault="003E0D5B">
      <w:pPr>
        <w:spacing w:before="240" w:after="240" w:line="360" w:lineRule="auto"/>
        <w:jc w:val="both"/>
        <w:rPr>
          <w:rFonts w:ascii="Palatino Linotype" w:eastAsia="Palatino Linotype" w:hAnsi="Palatino Linotype" w:cs="Palatino Linotype"/>
          <w:sz w:val="22"/>
          <w:szCs w:val="22"/>
        </w:rPr>
      </w:pPr>
      <w:bookmarkStart w:id="8" w:name="_heading=h.2et92p0" w:colFirst="0" w:colLast="0"/>
      <w:bookmarkEnd w:id="8"/>
      <w:r>
        <w:rPr>
          <w:rFonts w:ascii="Palatino Linotype" w:eastAsia="Palatino Linotype" w:hAnsi="Palatino Linotype" w:cs="Palatino Linotype"/>
          <w:b/>
          <w:bCs/>
          <w:sz w:val="22"/>
          <w:szCs w:val="22"/>
        </w:rPr>
        <w:t xml:space="preserve">Cuarto. Estudio del asunto. </w:t>
      </w:r>
      <w:r>
        <w:rPr>
          <w:rFonts w:ascii="Palatino Linotype" w:eastAsia="Palatino Linotype" w:hAnsi="Palatino Linotype" w:cs="Palatino Linotype"/>
          <w:sz w:val="22"/>
          <w:szCs w:val="22"/>
        </w:rPr>
        <w:t>En primer lugar, es conveniente mencionar que de conformidad con el artí</w:t>
      </w:r>
      <w:r>
        <w:rPr>
          <w:rFonts w:ascii="Palatino Linotype" w:eastAsia="Palatino Linotype" w:hAnsi="Palatino Linotype" w:cs="Palatino Linotype"/>
          <w:sz w:val="22"/>
          <w:szCs w:val="22"/>
        </w:rPr>
        <w:t>culo 4 de la Ley de Transparencia y Acceso a la Información Pública del Estado de México y Municipios toda la información generada, obtenida, adquirida, transformada, administrada o en posesión de los sujetos obligados es pública y accesible de manera perm</w:t>
      </w:r>
      <w:r>
        <w:rPr>
          <w:rFonts w:ascii="Palatino Linotype" w:eastAsia="Palatino Linotype" w:hAnsi="Palatino Linotype" w:cs="Palatino Linotype"/>
          <w:sz w:val="22"/>
          <w:szCs w:val="22"/>
        </w:rPr>
        <w:t>anente a cualquier persona, privilegiando el principio de máxima publicidad, como así lo establece dicha determinación, que a continuación se transcribe para un mejor entendimiento:</w:t>
      </w:r>
    </w:p>
    <w:p w:rsidR="00A208B1" w:rsidRDefault="003E0D5B">
      <w:pPr>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r>
        <w:rPr>
          <w:rFonts w:ascii="Palatino Linotype" w:eastAsia="Palatino Linotype" w:hAnsi="Palatino Linotype" w:cs="Palatino Linotype"/>
          <w:b/>
          <w:bCs/>
          <w:i/>
          <w:iCs/>
          <w:sz w:val="22"/>
          <w:szCs w:val="22"/>
        </w:rPr>
        <w:t>Artículo 4</w:t>
      </w:r>
      <w:r>
        <w:rPr>
          <w:rFonts w:ascii="Palatino Linotype" w:eastAsia="Palatino Linotype" w:hAnsi="Palatino Linotype" w:cs="Palatino Linotype"/>
          <w:i/>
          <w:iCs/>
          <w:sz w:val="22"/>
          <w:szCs w:val="22"/>
        </w:rPr>
        <w:t>. El derecho humano de acceso a la información pública es la pr</w:t>
      </w:r>
      <w:r>
        <w:rPr>
          <w:rFonts w:ascii="Palatino Linotype" w:eastAsia="Palatino Linotype" w:hAnsi="Palatino Linotype" w:cs="Palatino Linotype"/>
          <w:i/>
          <w:iCs/>
          <w:sz w:val="22"/>
          <w:szCs w:val="22"/>
        </w:rPr>
        <w:t xml:space="preserve">errogativa de las personas para buscar, difundir, investigar, recabar, recibir y solicitar información pública, sin necesidad de acreditar personalidad ni interés jurídico. </w:t>
      </w:r>
    </w:p>
    <w:p w:rsidR="00A208B1" w:rsidRDefault="003E0D5B">
      <w:pPr>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Toda la información generada, obtenida, adquirida, transformada, administrada o en</w:t>
      </w:r>
      <w:r>
        <w:rPr>
          <w:rFonts w:ascii="Palatino Linotype" w:eastAsia="Palatino Linotype" w:hAnsi="Palatino Linotype" w:cs="Palatino Linotype"/>
          <w:b/>
          <w:bCs/>
          <w:i/>
          <w:iCs/>
          <w:sz w:val="22"/>
          <w:szCs w:val="22"/>
        </w:rPr>
        <w:t xml:space="preserve"> posesión de los sujetos obligados es pública y accesible de manera permanente a cualquier persona</w:t>
      </w:r>
      <w:r>
        <w:rPr>
          <w:rFonts w:ascii="Palatino Linotype" w:eastAsia="Palatino Linotype" w:hAnsi="Palatino Linotype" w:cs="Palatino Linotype"/>
          <w:i/>
          <w:iCs/>
          <w:sz w:val="22"/>
          <w:szCs w:val="22"/>
        </w:rPr>
        <w:t>, en los términos y condiciones que se establezcan en los tratados internacionales de los que el Estado mexicano sea parte, en la Ley General, la presente Ley</w:t>
      </w:r>
      <w:r>
        <w:rPr>
          <w:rFonts w:ascii="Palatino Linotype" w:eastAsia="Palatino Linotype" w:hAnsi="Palatino Linotype" w:cs="Palatino Linotype"/>
          <w:i/>
          <w:iCs/>
          <w:sz w:val="22"/>
          <w:szCs w:val="22"/>
        </w:rPr>
        <w:t xml:space="preserve"> y demás disposiciones de la materia, privilegiando el principio de máxima publicidad de la información. Solo podrá ser clasificada excepcionalmente Ley de Transparencia y Acceso a la Información Pública del Estado de México y Municipios 29 como reservada </w:t>
      </w:r>
      <w:r>
        <w:rPr>
          <w:rFonts w:ascii="Palatino Linotype" w:eastAsia="Palatino Linotype" w:hAnsi="Palatino Linotype" w:cs="Palatino Linotype"/>
          <w:i/>
          <w:iCs/>
          <w:sz w:val="22"/>
          <w:szCs w:val="22"/>
        </w:rPr>
        <w:t>temporalmente por razones de interés público, en los términos de las causas legítimas y estrictamente necesarias previstas por esta Ley.</w:t>
      </w:r>
    </w:p>
    <w:p w:rsidR="00A208B1" w:rsidRDefault="003E0D5B">
      <w:pPr>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Los sujetos obligados deben poner en práctica, políticas y programas de acceso a la información que se apeguen a criter</w:t>
      </w:r>
      <w:r>
        <w:rPr>
          <w:rFonts w:ascii="Palatino Linotype" w:eastAsia="Palatino Linotype" w:hAnsi="Palatino Linotype" w:cs="Palatino Linotype"/>
          <w:b/>
          <w:bCs/>
          <w:i/>
          <w:iCs/>
          <w:sz w:val="22"/>
          <w:szCs w:val="22"/>
        </w:rPr>
        <w:t>ios de publicidad, veracidad, oportunidad, precisión y suficiencia en beneficio de los solicitantes</w:t>
      </w:r>
      <w:r>
        <w:rPr>
          <w:rFonts w:ascii="Palatino Linotype" w:eastAsia="Palatino Linotype" w:hAnsi="Palatino Linotype" w:cs="Palatino Linotype"/>
          <w:i/>
          <w:iCs/>
          <w:sz w:val="22"/>
          <w:szCs w:val="22"/>
        </w:rPr>
        <w:t>.”</w:t>
      </w:r>
    </w:p>
    <w:p w:rsidR="00A208B1" w:rsidRDefault="003E0D5B">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w:t>
      </w:r>
      <w:r>
        <w:rPr>
          <w:rFonts w:ascii="Palatino Linotype" w:eastAsia="Palatino Linotype" w:hAnsi="Palatino Linotype" w:cs="Palatino Linotype"/>
          <w:sz w:val="22"/>
          <w:szCs w:val="22"/>
        </w:rPr>
        <w:t>miento y proporcionar la información pública que obren en su poder conforme el estado que se encuentra y no hacer un procesamiento de la misma, ni presentarla conforme al interés del solicitante; como así lo establece el artículo 12 de la Ley de Transparen</w:t>
      </w:r>
      <w:r>
        <w:rPr>
          <w:rFonts w:ascii="Palatino Linotype" w:eastAsia="Palatino Linotype" w:hAnsi="Palatino Linotype" w:cs="Palatino Linotype"/>
          <w:sz w:val="22"/>
          <w:szCs w:val="22"/>
        </w:rPr>
        <w:t>cia y Acceso a la Información Pública del Estado de México y Municipios, que a la letra dice:</w:t>
      </w:r>
    </w:p>
    <w:p w:rsidR="00A208B1" w:rsidRDefault="003E0D5B">
      <w:pPr>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“Artículo 12.-</w:t>
      </w:r>
      <w:r>
        <w:rPr>
          <w:rFonts w:ascii="Palatino Linotype" w:eastAsia="Palatino Linotype" w:hAnsi="Palatino Linotype" w:cs="Palatino Linotype"/>
          <w:i/>
          <w:iCs/>
          <w:sz w:val="22"/>
          <w:szCs w:val="22"/>
        </w:rPr>
        <w:t xml:space="preserve"> Quienes generen, recopilen, administren, manejen, procesen, archiven o conserven información pública serán responsables de la misma en los términos</w:t>
      </w:r>
      <w:r>
        <w:rPr>
          <w:rFonts w:ascii="Palatino Linotype" w:eastAsia="Palatino Linotype" w:hAnsi="Palatino Linotype" w:cs="Palatino Linotype"/>
          <w:i/>
          <w:iCs/>
          <w:sz w:val="22"/>
          <w:szCs w:val="22"/>
        </w:rPr>
        <w:t xml:space="preserve"> de las disposiciones jurídicas aplicables. </w:t>
      </w:r>
    </w:p>
    <w:p w:rsidR="00A208B1" w:rsidRDefault="003E0D5B">
      <w:pPr>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b/>
          <w:bCs/>
          <w:i/>
          <w:iCs/>
          <w:sz w:val="22"/>
          <w:szCs w:val="22"/>
        </w:rPr>
        <w:t xml:space="preserve">La obligación de proporcionar información no comprende el </w:t>
      </w:r>
      <w:r>
        <w:rPr>
          <w:rFonts w:ascii="Palatino Linotype" w:eastAsia="Palatino Linotype" w:hAnsi="Palatino Linotype" w:cs="Palatino Linotype"/>
          <w:b/>
          <w:bCs/>
          <w:i/>
          <w:iCs/>
          <w:sz w:val="22"/>
          <w:szCs w:val="22"/>
        </w:rPr>
        <w:t>procesamiento de la misma, ni el presentarla conforme al interés del solicitante; no estarán obligados a generarla, resumirla, efectuar cálculos o practicar investigaciones.”</w:t>
      </w:r>
    </w:p>
    <w:p w:rsidR="00A208B1" w:rsidRDefault="003E0D5B">
      <w:pPr>
        <w:spacing w:before="240" w:after="240" w:line="360" w:lineRule="auto"/>
        <w:ind w:right="-9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Es decir, que todo sujeto obligado que genere, recopile, administre, procese, arc</w:t>
      </w:r>
      <w:r>
        <w:rPr>
          <w:rFonts w:ascii="Palatino Linotype" w:eastAsia="Palatino Linotype" w:hAnsi="Palatino Linotype" w:cs="Palatino Linotype"/>
          <w:sz w:val="22"/>
          <w:szCs w:val="22"/>
        </w:rPr>
        <w:t>hive, posea o conserven, son responsables de la misma teniendo a su vez la obligación de proporcionar la información que se les requiera sin necesidad de resumirla, efectuar procedimientos para obtenerla, calcular y practicar investigaciones; en otras pala</w:t>
      </w:r>
      <w:r>
        <w:rPr>
          <w:rFonts w:ascii="Palatino Linotype" w:eastAsia="Palatino Linotype" w:hAnsi="Palatino Linotype" w:cs="Palatino Linotype"/>
          <w:sz w:val="22"/>
          <w:szCs w:val="22"/>
        </w:rPr>
        <w:t>bras, que los Sujetos Obligados sólo se concretaran a proporcionar la información solicitada que tengan en su poder en el estado que se encuentran, sin necesidad de concretarse al interés o términos específicos del solicitante.</w:t>
      </w:r>
    </w:p>
    <w:p w:rsidR="00A208B1" w:rsidRDefault="003E0D5B">
      <w:pPr>
        <w:spacing w:before="240" w:after="240"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sz w:val="22"/>
          <w:szCs w:val="22"/>
        </w:rPr>
        <w:t>Sirve de apoyo a lo anterior</w:t>
      </w:r>
      <w:r>
        <w:rPr>
          <w:rFonts w:ascii="Palatino Linotype" w:eastAsia="Palatino Linotype" w:hAnsi="Palatino Linotype" w:cs="Palatino Linotype"/>
          <w:sz w:val="22"/>
          <w:szCs w:val="22"/>
        </w:rPr>
        <w:t>, el criterio orientador con clave de control SO/003/2017, emitido por el entonces Instituto Nacional de Transparencia, Acceso a la Información y Protección de Datos Personales, que por rubro y texto, dispone lo siguiente:</w:t>
      </w:r>
      <w:r>
        <w:rPr>
          <w:rFonts w:ascii="Palatino Linotype" w:eastAsia="Palatino Linotype" w:hAnsi="Palatino Linotype" w:cs="Palatino Linotype"/>
          <w:b/>
          <w:bCs/>
          <w:sz w:val="22"/>
          <w:szCs w:val="22"/>
        </w:rPr>
        <w:t xml:space="preserve"> </w:t>
      </w:r>
    </w:p>
    <w:p w:rsidR="00A208B1" w:rsidRDefault="003E0D5B">
      <w:pPr>
        <w:spacing w:before="120" w:after="120"/>
        <w:ind w:left="1134"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b/>
          <w:bCs/>
          <w:i/>
          <w:iCs/>
          <w:sz w:val="22"/>
          <w:szCs w:val="22"/>
        </w:rPr>
        <w:t>No existe obligación de elabor</w:t>
      </w:r>
      <w:r>
        <w:rPr>
          <w:rFonts w:ascii="Palatino Linotype" w:eastAsia="Palatino Linotype" w:hAnsi="Palatino Linotype" w:cs="Palatino Linotype"/>
          <w:b/>
          <w:bCs/>
          <w:i/>
          <w:iCs/>
          <w:sz w:val="22"/>
          <w:szCs w:val="22"/>
        </w:rPr>
        <w:t>ar documentos ad hoc para atender las solicitudes de acceso a la información.</w:t>
      </w:r>
      <w:r>
        <w:rPr>
          <w:rFonts w:ascii="Palatino Linotype" w:eastAsia="Palatino Linotype" w:hAnsi="Palatino Linotype" w:cs="Palatino Linotype"/>
          <w:i/>
          <w:iCs/>
          <w:sz w:val="22"/>
          <w:szCs w:val="22"/>
        </w:rPr>
        <w:t xml:space="preserve"> Los artículos 129 de la Ley General de Transparencia y Acceso a la Información Pública y 130, párrafo cuarto, de la Ley Federal de Transparencia y Acceso a la Información Pública</w:t>
      </w:r>
      <w:r>
        <w:rPr>
          <w:rFonts w:ascii="Palatino Linotype" w:eastAsia="Palatino Linotype" w:hAnsi="Palatino Linotype" w:cs="Palatino Linotype"/>
          <w:i/>
          <w:iCs/>
          <w:sz w:val="22"/>
          <w:szCs w:val="22"/>
        </w:rPr>
        <w:t>, señalan que los sujetos obligados deberán otorgar acceso a los documentos que se encuentren en sus archivos o que estén obligados a documentar, de acuerdo con sus facultades, competencias o funciones, conforme a las características físicas de la informac</w:t>
      </w:r>
      <w:r>
        <w:rPr>
          <w:rFonts w:ascii="Palatino Linotype" w:eastAsia="Palatino Linotype" w:hAnsi="Palatino Linotype" w:cs="Palatino Linotype"/>
          <w:i/>
          <w:iCs/>
          <w:sz w:val="22"/>
          <w:szCs w:val="22"/>
        </w:rPr>
        <w:t>ión o del lugar donde se encuentre. Por lo anterior, los sujetos obligados deben garantizar el derecho de acceso a la información del particular, proporcionando la información con la que cuentan en el formato en que la misma obre en sus archivos; sin neces</w:t>
      </w:r>
      <w:r>
        <w:rPr>
          <w:rFonts w:ascii="Palatino Linotype" w:eastAsia="Palatino Linotype" w:hAnsi="Palatino Linotype" w:cs="Palatino Linotype"/>
          <w:i/>
          <w:iCs/>
          <w:sz w:val="22"/>
          <w:szCs w:val="22"/>
        </w:rPr>
        <w:t xml:space="preserve">idad de elaborar documentos ad hoc para atender las solicitudes de información.” </w:t>
      </w:r>
    </w:p>
    <w:p w:rsidR="00A208B1" w:rsidRDefault="003E0D5B">
      <w:pPr>
        <w:spacing w:before="120" w:after="12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w:t>
      </w:r>
      <w:r>
        <w:rPr>
          <w:rFonts w:ascii="Palatino Linotype" w:eastAsia="Palatino Linotype" w:hAnsi="Palatino Linotype" w:cs="Palatino Linotype"/>
          <w:sz w:val="22"/>
          <w:szCs w:val="22"/>
        </w:rPr>
        <w:t>ón pública se encuentra a disposición de cualquier persona, lo que implica que es deber de los Sujetos Obligados, garantizar el Derecho de Acceso a la Información Pública.</w:t>
      </w:r>
    </w:p>
    <w:p w:rsidR="00A208B1" w:rsidRDefault="003E0D5B">
      <w:pPr>
        <w:spacing w:before="120" w:after="12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conclusión, el derecho de acceso a la información pública, consiste en que la inf</w:t>
      </w:r>
      <w:r>
        <w:rPr>
          <w:rFonts w:ascii="Palatino Linotype" w:eastAsia="Palatino Linotype" w:hAnsi="Palatino Linotype" w:cs="Palatino Linotype"/>
          <w:sz w:val="22"/>
          <w:szCs w:val="22"/>
        </w:rPr>
        <w:t>ormación solicitada conste en un documento en cualquiera de sus formas, a saber: expedientes, reportes, estudios, actas, resoluciones, oficios, correspondencia, acuerdos, directivas, directrices, circulares, contratos, convenios, instructivos, notas, memor</w:t>
      </w:r>
      <w:r>
        <w:rPr>
          <w:rFonts w:ascii="Palatino Linotype" w:eastAsia="Palatino Linotype" w:hAnsi="Palatino Linotype" w:cs="Palatino Linotype"/>
          <w:sz w:val="22"/>
          <w:szCs w:val="22"/>
        </w:rPr>
        <w:t xml:space="preserve">andos, estadísticas o bien, cualquier otro registro que documente el ejercicio de las facultades, funciones y competencias de los Sujetos Obligados; los que, podrán estar en cualquier medio, sea escrito, impreso, sonoro, visual, electrónico, informático u </w:t>
      </w:r>
      <w:r>
        <w:rPr>
          <w:rFonts w:ascii="Palatino Linotype" w:eastAsia="Palatino Linotype" w:hAnsi="Palatino Linotype" w:cs="Palatino Linotype"/>
          <w:sz w:val="22"/>
          <w:szCs w:val="22"/>
        </w:rPr>
        <w:t xml:space="preserve">holográfico de conformidad con el artículo 3, fracción XI de la Ley de la materia, el cual señala lo siguiente: </w:t>
      </w:r>
    </w:p>
    <w:p w:rsidR="00A208B1" w:rsidRDefault="003E0D5B">
      <w:pPr>
        <w:tabs>
          <w:tab w:val="left" w:pos="993"/>
        </w:tabs>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r>
        <w:rPr>
          <w:rFonts w:ascii="Palatino Linotype" w:eastAsia="Palatino Linotype" w:hAnsi="Palatino Linotype" w:cs="Palatino Linotype"/>
          <w:b/>
          <w:bCs/>
          <w:i/>
          <w:iCs/>
          <w:sz w:val="22"/>
          <w:szCs w:val="22"/>
        </w:rPr>
        <w:t xml:space="preserve">Artículo 3. </w:t>
      </w:r>
      <w:r>
        <w:rPr>
          <w:rFonts w:ascii="Palatino Linotype" w:eastAsia="Palatino Linotype" w:hAnsi="Palatino Linotype" w:cs="Palatino Linotype"/>
          <w:i/>
          <w:iCs/>
          <w:sz w:val="22"/>
          <w:szCs w:val="22"/>
        </w:rPr>
        <w:t>Para los efectos de la presente Ley se entenderá por:</w:t>
      </w:r>
    </w:p>
    <w:p w:rsidR="00A208B1" w:rsidRDefault="003E0D5B">
      <w:pPr>
        <w:tabs>
          <w:tab w:val="left" w:pos="993"/>
        </w:tabs>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A208B1" w:rsidRDefault="003E0D5B">
      <w:pPr>
        <w:tabs>
          <w:tab w:val="left" w:pos="993"/>
        </w:tabs>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XI. Documento:</w:t>
      </w:r>
      <w:r>
        <w:rPr>
          <w:rFonts w:ascii="Palatino Linotype" w:eastAsia="Palatino Linotype" w:hAnsi="Palatino Linotype" w:cs="Palatino Linotype"/>
          <w:i/>
          <w:iCs/>
          <w:sz w:val="22"/>
          <w:szCs w:val="22"/>
        </w:rPr>
        <w:t xml:space="preserve"> Los expedientes, reportes, estudios, actas</w:t>
      </w:r>
      <w:r>
        <w:rPr>
          <w:rFonts w:ascii="Palatino Linotype" w:eastAsia="Palatino Linotype" w:hAnsi="Palatino Linotype" w:cs="Palatino Linotype"/>
          <w:b/>
          <w:bCs/>
          <w:i/>
          <w:iCs/>
          <w:sz w:val="22"/>
          <w:szCs w:val="22"/>
        </w:rPr>
        <w:t>,</w:t>
      </w:r>
      <w:r>
        <w:rPr>
          <w:rFonts w:ascii="Palatino Linotype" w:eastAsia="Palatino Linotype" w:hAnsi="Palatino Linotype" w:cs="Palatino Linotype"/>
          <w:i/>
          <w:iCs/>
          <w:sz w:val="22"/>
          <w:szCs w:val="22"/>
        </w:rPr>
        <w:t xml:space="preserve"> resoluciones, o</w:t>
      </w:r>
      <w:r>
        <w:rPr>
          <w:rFonts w:ascii="Palatino Linotype" w:eastAsia="Palatino Linotype" w:hAnsi="Palatino Linotype" w:cs="Palatino Linotype"/>
          <w:i/>
          <w:iCs/>
          <w:sz w:val="22"/>
          <w:szCs w:val="22"/>
        </w:rPr>
        <w:t>ficios, correspondencia, acuerdos, directivas, directrices, circulares, contratos, convenios, instructivos, notas, memorandos, estadísticas o bien, cualquier otro registro que documente el ejercicio de las facultades, funciones y competencias de los sujeto</w:t>
      </w:r>
      <w:r>
        <w:rPr>
          <w:rFonts w:ascii="Palatino Linotype" w:eastAsia="Palatino Linotype" w:hAnsi="Palatino Linotype" w:cs="Palatino Linotype"/>
          <w:i/>
          <w:iCs/>
          <w:sz w:val="22"/>
          <w:szCs w:val="22"/>
        </w:rPr>
        <w:t xml:space="preserve">s obligados, sus servidores públicos e integrantes, sin importar su fuente o fecha de elaboración. Los documentos podrán estar en cualquier medio, sea escrito, impreso, sonoro, visual, electrónico, informático u holográfico…” </w:t>
      </w:r>
    </w:p>
    <w:p w:rsidR="00A208B1" w:rsidRDefault="003E0D5B">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Es aplicable, el criterio de </w:t>
      </w:r>
      <w:r>
        <w:rPr>
          <w:rFonts w:ascii="Palatino Linotype" w:eastAsia="Palatino Linotype" w:hAnsi="Palatino Linotype" w:cs="Palatino Linotype"/>
          <w:sz w:val="22"/>
          <w:szCs w:val="22"/>
        </w:rPr>
        <w:t>interpretación en el orden administrativo número 0002-11, emitido por Acuerdo del Pleno del Instituto de Transparencia y Acceso a la Información Pública del Estado de México y Municipios; publicado en el Periódico Oficial del Gobierno del Estado Libre y So</w:t>
      </w:r>
      <w:r>
        <w:rPr>
          <w:rFonts w:ascii="Palatino Linotype" w:eastAsia="Palatino Linotype" w:hAnsi="Palatino Linotype" w:cs="Palatino Linotype"/>
          <w:sz w:val="22"/>
          <w:szCs w:val="22"/>
        </w:rPr>
        <w:t>berano de México “Gaceta del Gobierno”, el diecinueve de octubre de dos mil once, cuyo rubro y texto refieren lo siguiente:</w:t>
      </w:r>
    </w:p>
    <w:p w:rsidR="00A208B1" w:rsidRDefault="003E0D5B">
      <w:pPr>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sz w:val="22"/>
          <w:szCs w:val="22"/>
        </w:rPr>
        <w:t>“</w:t>
      </w:r>
      <w:r>
        <w:rPr>
          <w:rFonts w:ascii="Palatino Linotype" w:eastAsia="Palatino Linotype" w:hAnsi="Palatino Linotype" w:cs="Palatino Linotype"/>
          <w:b/>
          <w:bCs/>
          <w:i/>
          <w:iCs/>
          <w:sz w:val="22"/>
          <w:szCs w:val="22"/>
        </w:rPr>
        <w:t>INFORMACIÓN PÚBLICA, CONCEPTO DE, EN MATERIA DE TRANSPARENCIA. INTERPRETACIÓN SISTEMÁTICA DE LOS ARTÍCULOS 2°, FRACCIÓN V, XV, Y XV</w:t>
      </w:r>
      <w:r>
        <w:rPr>
          <w:rFonts w:ascii="Palatino Linotype" w:eastAsia="Palatino Linotype" w:hAnsi="Palatino Linotype" w:cs="Palatino Linotype"/>
          <w:b/>
          <w:bCs/>
          <w:i/>
          <w:iCs/>
          <w:sz w:val="22"/>
          <w:szCs w:val="22"/>
        </w:rPr>
        <w:t>I, 3°, 4°, 11 Y 41.</w:t>
      </w:r>
      <w:r>
        <w:rPr>
          <w:rFonts w:ascii="Palatino Linotype" w:eastAsia="Palatino Linotype" w:hAnsi="Palatino Linotype" w:cs="Palatino Linotype"/>
          <w:i/>
          <w:iCs/>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w:t>
      </w:r>
      <w:r>
        <w:rPr>
          <w:rFonts w:ascii="Palatino Linotype" w:eastAsia="Palatino Linotype" w:hAnsi="Palatino Linotype" w:cs="Palatino Linotype"/>
          <w:i/>
          <w:iCs/>
          <w:sz w:val="22"/>
          <w:szCs w:val="22"/>
        </w:rPr>
        <w:t>o en posesión de los órganos u organismos públicos, en virtud del ejercicio de sus funciones de derecho público, sin importar su fuente, soporte o fecha de elaboración.</w:t>
      </w:r>
    </w:p>
    <w:p w:rsidR="00A208B1" w:rsidRDefault="003E0D5B">
      <w:pPr>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En consecuencia el acceso a la información se refiere a que se cumplan cualquiera de lo</w:t>
      </w:r>
      <w:r>
        <w:rPr>
          <w:rFonts w:ascii="Palatino Linotype" w:eastAsia="Palatino Linotype" w:hAnsi="Palatino Linotype" w:cs="Palatino Linotype"/>
          <w:i/>
          <w:iCs/>
          <w:sz w:val="22"/>
          <w:szCs w:val="22"/>
        </w:rPr>
        <w:t>s siguientes tres supuestos:</w:t>
      </w:r>
    </w:p>
    <w:p w:rsidR="00A208B1" w:rsidRDefault="003E0D5B">
      <w:pPr>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1) Que se trate de información registrada en cualquier soporte documental, que en ejercicio de las atribuciones conferidas, sea generada por los Sujetos Obligados;</w:t>
      </w:r>
    </w:p>
    <w:p w:rsidR="00A208B1" w:rsidRDefault="003E0D5B">
      <w:pPr>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2) Que se trate de información registrada en cualquier soporte </w:t>
      </w:r>
      <w:r>
        <w:rPr>
          <w:rFonts w:ascii="Palatino Linotype" w:eastAsia="Palatino Linotype" w:hAnsi="Palatino Linotype" w:cs="Palatino Linotype"/>
          <w:i/>
          <w:iCs/>
          <w:sz w:val="22"/>
          <w:szCs w:val="22"/>
        </w:rPr>
        <w:t>documental, que en ejercicio de las atribuciones conferidas, sea administrada por los Sujetos Obligados, y</w:t>
      </w:r>
    </w:p>
    <w:p w:rsidR="00A208B1" w:rsidRDefault="003E0D5B">
      <w:pPr>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3) Que se trate de información registrada en cualquier soporte documental, que en ejercicio de las atribuciones conferidas, se encuentre en posesión </w:t>
      </w:r>
      <w:r>
        <w:rPr>
          <w:rFonts w:ascii="Palatino Linotype" w:eastAsia="Palatino Linotype" w:hAnsi="Palatino Linotype" w:cs="Palatino Linotype"/>
          <w:i/>
          <w:iCs/>
          <w:sz w:val="22"/>
          <w:szCs w:val="22"/>
        </w:rPr>
        <w:t>de los Sujetos Obligados.”</w:t>
      </w:r>
    </w:p>
    <w:p w:rsidR="00A208B1" w:rsidRDefault="003E0D5B">
      <w:pPr>
        <w:spacing w:before="240" w:after="240" w:line="360" w:lineRule="auto"/>
        <w:ind w:right="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Lo anterior, siempre y cuando no se trate de información clasificada como reservada o confidencial, cuya difusión pueda lesionar el interés jurídicamente protegido por la Ley, producir un daño mayor que el interés de conocerse, o</w:t>
      </w:r>
      <w:r>
        <w:rPr>
          <w:rFonts w:ascii="Palatino Linotype" w:eastAsia="Palatino Linotype" w:hAnsi="Palatino Linotype" w:cs="Palatino Linotype"/>
          <w:sz w:val="22"/>
          <w:szCs w:val="22"/>
        </w:rPr>
        <w:t xml:space="preserve"> bien, generar un daño en los derechos de las personas, debiendo tener audacia los Sujetos Obligados para cuidar esta información a través del acuerdo clasificatorio del comité de transparencia y la versión pública que emita el servidor público habilitado </w:t>
      </w:r>
      <w:r>
        <w:rPr>
          <w:rFonts w:ascii="Palatino Linotype" w:eastAsia="Palatino Linotype" w:hAnsi="Palatino Linotype" w:cs="Palatino Linotype"/>
          <w:sz w:val="22"/>
          <w:szCs w:val="22"/>
        </w:rPr>
        <w:t>de cada Sujeto Obligado; como así se establece en la Ley de Transparencia y Acceso a la Información Pública del Estado de México y Municipios.</w:t>
      </w:r>
    </w:p>
    <w:p w:rsidR="00A208B1" w:rsidRDefault="003E0D5B">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el mismo tenor, los artículos 6, apartado A, fracción I, de la Constitución Política de los Estados Unidos Mex</w:t>
      </w:r>
      <w:r>
        <w:rPr>
          <w:rFonts w:ascii="Palatino Linotype" w:eastAsia="Palatino Linotype" w:hAnsi="Palatino Linotype" w:cs="Palatino Linotype"/>
          <w:sz w:val="22"/>
          <w:szCs w:val="22"/>
        </w:rPr>
        <w:t>icanos y 5, párrafo cuadragésimo sexto, fracción I, de la Constitución Política del Estado Libre y Soberano de México, establecen que toda la información en posesión de cualquier autoridad, entidad, órgano y organismos de los Poderes Ejecutivo, Legislativo</w:t>
      </w:r>
      <w:r>
        <w:rPr>
          <w:rFonts w:ascii="Palatino Linotype" w:eastAsia="Palatino Linotype" w:hAnsi="Palatino Linotype" w:cs="Palatino Linotype"/>
          <w:sz w:val="22"/>
          <w:szCs w:val="22"/>
        </w:rPr>
        <w:t xml:space="preserve"> y Judicial, órganos autónomos, partidos políticos, fideicomisos y fondos públicos estatales y municipales, así como del gobierno y de la administración pública municipal y sus organismos descentralizados, asimismo de cualquier persona física, jurídica col</w:t>
      </w:r>
      <w:r>
        <w:rPr>
          <w:rFonts w:ascii="Palatino Linotype" w:eastAsia="Palatino Linotype" w:hAnsi="Palatino Linotype" w:cs="Palatino Linotype"/>
          <w:sz w:val="22"/>
          <w:szCs w:val="22"/>
        </w:rPr>
        <w:t>ectiva o sindicato que reciba y ejerza recursos públicos o realice actos de autoridad en el ámbito estatal y municipal, es pública y sólo podrá ser reservada temporalmente por las razones previstas en la Constitución Federal por interés público y seguridad</w:t>
      </w:r>
      <w:r>
        <w:rPr>
          <w:rFonts w:ascii="Palatino Linotype" w:eastAsia="Palatino Linotype" w:hAnsi="Palatino Linotype" w:cs="Palatino Linotype"/>
          <w:sz w:val="22"/>
          <w:szCs w:val="22"/>
        </w:rPr>
        <w:t>, en los términos que fijen las leyes de la materia.</w:t>
      </w:r>
    </w:p>
    <w:p w:rsidR="00A208B1" w:rsidRDefault="003E0D5B">
      <w:pPr>
        <w:spacing w:before="240" w:after="240" w:line="360" w:lineRule="auto"/>
        <w:ind w:right="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Ahora bien, del análisis de la solicitud de información, motivo del recurso de revisión que ahora se resuelve, se advierte que la parte </w:t>
      </w:r>
      <w:r>
        <w:rPr>
          <w:rFonts w:ascii="Palatino Linotype" w:eastAsia="Palatino Linotype" w:hAnsi="Palatino Linotype" w:cs="Palatino Linotype"/>
          <w:b/>
          <w:bCs/>
          <w:sz w:val="22"/>
          <w:szCs w:val="22"/>
        </w:rPr>
        <w:t>Recurrente</w:t>
      </w:r>
      <w:r>
        <w:rPr>
          <w:rFonts w:ascii="Palatino Linotype" w:eastAsia="Palatino Linotype" w:hAnsi="Palatino Linotype" w:cs="Palatino Linotype"/>
          <w:sz w:val="22"/>
          <w:szCs w:val="22"/>
        </w:rPr>
        <w:t xml:space="preserve"> requirió al </w:t>
      </w:r>
      <w:r>
        <w:rPr>
          <w:rFonts w:ascii="Palatino Linotype" w:eastAsia="Palatino Linotype" w:hAnsi="Palatino Linotype" w:cs="Palatino Linotype"/>
          <w:b/>
          <w:bCs/>
          <w:sz w:val="22"/>
          <w:szCs w:val="22"/>
        </w:rPr>
        <w:t xml:space="preserve">Sujeto Obligado </w:t>
      </w:r>
      <w:r>
        <w:rPr>
          <w:rFonts w:ascii="Palatino Linotype" w:eastAsia="Palatino Linotype" w:hAnsi="Palatino Linotype" w:cs="Palatino Linotype"/>
          <w:sz w:val="22"/>
          <w:szCs w:val="22"/>
        </w:rPr>
        <w:t xml:space="preserve">le proporcione, información </w:t>
      </w:r>
      <w:r>
        <w:rPr>
          <w:rFonts w:ascii="Palatino Linotype" w:eastAsia="Palatino Linotype" w:hAnsi="Palatino Linotype" w:cs="Palatino Linotype"/>
          <w:sz w:val="22"/>
          <w:szCs w:val="22"/>
        </w:rPr>
        <w:t>consistente en lo siguiente:</w:t>
      </w:r>
    </w:p>
    <w:p w:rsidR="00A208B1" w:rsidRDefault="003E0D5B">
      <w:pPr>
        <w:spacing w:before="240" w:after="240" w:line="360" w:lineRule="auto"/>
        <w:ind w:left="284" w:right="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1. Relación completa de todas las unidades vehiculares adquiridas y entregadas por el municipio de Texcoco entre enero de 2023 y junio de 2025, (indicar año o periodo), incluyendo patrullas, camionetas, motocicletas, automóvile</w:t>
      </w:r>
      <w:r>
        <w:rPr>
          <w:rFonts w:ascii="Palatino Linotype" w:eastAsia="Palatino Linotype" w:hAnsi="Palatino Linotype" w:cs="Palatino Linotype"/>
          <w:sz w:val="22"/>
          <w:szCs w:val="22"/>
        </w:rPr>
        <w:t xml:space="preserve">s y cualquier otro tipo de vehículo destinado a servicios públicos. </w:t>
      </w:r>
    </w:p>
    <w:p w:rsidR="00A208B1" w:rsidRDefault="003E0D5B">
      <w:pPr>
        <w:spacing w:before="240" w:after="240" w:line="360" w:lineRule="auto"/>
        <w:ind w:left="284" w:right="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2. Monto total invertido en dichas unidades, desglosado por tipo, marca, modelo, número de unidades, año de adquisición y proveedor. </w:t>
      </w:r>
    </w:p>
    <w:p w:rsidR="00A208B1" w:rsidRDefault="003E0D5B">
      <w:pPr>
        <w:spacing w:before="240" w:after="240" w:line="360" w:lineRule="auto"/>
        <w:ind w:left="284" w:right="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3. Procedimiento de adquisición: licitación pública, </w:t>
      </w:r>
      <w:r>
        <w:rPr>
          <w:rFonts w:ascii="Palatino Linotype" w:eastAsia="Palatino Linotype" w:hAnsi="Palatino Linotype" w:cs="Palatino Linotype"/>
          <w:sz w:val="22"/>
          <w:szCs w:val="22"/>
        </w:rPr>
        <w:t xml:space="preserve">adjudicación directa u otra modalidad. Indicar número de expediente y actas correspondientes. </w:t>
      </w:r>
    </w:p>
    <w:p w:rsidR="00A208B1" w:rsidRDefault="003E0D5B">
      <w:pPr>
        <w:spacing w:before="240" w:after="240" w:line="360" w:lineRule="auto"/>
        <w:ind w:left="284" w:right="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4. Fuente de financiamiento utilizada (presupuesto municipal, estatal, federal, FORTAMUN, FASP, etc.).</w:t>
      </w:r>
    </w:p>
    <w:p w:rsidR="00A208B1" w:rsidRDefault="003E0D5B">
      <w:pPr>
        <w:spacing w:before="240" w:after="240" w:line="360" w:lineRule="auto"/>
        <w:ind w:left="284" w:right="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5. Fecha de entrega de cada unidad y dependencia municipal que las recibió (por ejemplo, Seguridad Pública, Protección Civil, etc.). </w:t>
      </w:r>
    </w:p>
    <w:p w:rsidR="00A208B1" w:rsidRDefault="003E0D5B">
      <w:pPr>
        <w:spacing w:before="240" w:after="240" w:line="360" w:lineRule="auto"/>
        <w:ind w:left="284" w:right="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6. Nombre del servidor público responsable de la administración y uso de las unidades. Documentación de respaldo (contrato</w:t>
      </w:r>
      <w:r>
        <w:rPr>
          <w:rFonts w:ascii="Palatino Linotype" w:eastAsia="Palatino Linotype" w:hAnsi="Palatino Linotype" w:cs="Palatino Linotype"/>
          <w:sz w:val="22"/>
          <w:szCs w:val="22"/>
        </w:rPr>
        <w:t>s, facturas, convenios, actas, informes de evaluación, etc.).</w:t>
      </w:r>
    </w:p>
    <w:p w:rsidR="00A208B1" w:rsidRDefault="003E0D5B">
      <w:pPr>
        <w:spacing w:before="240" w:after="240"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El </w:t>
      </w:r>
      <w:r>
        <w:rPr>
          <w:rFonts w:ascii="Palatino Linotype" w:eastAsia="Palatino Linotype" w:hAnsi="Palatino Linotype" w:cs="Palatino Linotype"/>
          <w:b/>
          <w:bCs/>
          <w:sz w:val="22"/>
          <w:szCs w:val="22"/>
        </w:rPr>
        <w:t xml:space="preserve">Sujeto Obligado, </w:t>
      </w:r>
      <w:r>
        <w:rPr>
          <w:rFonts w:ascii="Palatino Linotype" w:eastAsia="Palatino Linotype" w:hAnsi="Palatino Linotype" w:cs="Palatino Linotype"/>
          <w:sz w:val="22"/>
          <w:szCs w:val="22"/>
        </w:rPr>
        <w:t>por conducto de la Dirección General de Administración manifestó que la información motivo del requerimiento, es parte de las obligaciones en materia de transparencia conteni</w:t>
      </w:r>
      <w:r>
        <w:rPr>
          <w:rFonts w:ascii="Palatino Linotype" w:eastAsia="Palatino Linotype" w:hAnsi="Palatino Linotype" w:cs="Palatino Linotype"/>
          <w:sz w:val="22"/>
          <w:szCs w:val="22"/>
        </w:rPr>
        <w:t xml:space="preserve">das en los artículos 92, 93 y 94, de la Ley de Transparencia y Acceso a la Información Pública del Estado de México y Municipios, por lo que la información se encuentra disponible en el apartado de Transparencia, en la Página de Ipomex 4.0, proporcionando </w:t>
      </w:r>
      <w:r>
        <w:rPr>
          <w:rFonts w:ascii="Palatino Linotype" w:eastAsia="Palatino Linotype" w:hAnsi="Palatino Linotype" w:cs="Palatino Linotype"/>
          <w:sz w:val="22"/>
          <w:szCs w:val="22"/>
        </w:rPr>
        <w:t>dos direcciones electrónicas para efectos de la consulta, y precisó que la información es actualizada trimestralmente de acuerdo a la ley en la materia.</w:t>
      </w:r>
    </w:p>
    <w:p w:rsidR="00A208B1" w:rsidRDefault="003E0D5B">
      <w:pPr>
        <w:spacing w:before="240" w:after="240"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Sin embargo, al no estar conforme con los términos de la respuesta proporcionada, la persona solicitan</w:t>
      </w:r>
      <w:r>
        <w:rPr>
          <w:rFonts w:ascii="Palatino Linotype" w:eastAsia="Palatino Linotype" w:hAnsi="Palatino Linotype" w:cs="Palatino Linotype"/>
          <w:sz w:val="22"/>
          <w:szCs w:val="22"/>
        </w:rPr>
        <w:t>te interpuso el recurso de revisión que nos ocupa, donde señaló como motivos de inconformidad que la respuesta resulta insuficiente, evasiva y no cumple con el principio constitucional de Máxima Publicidad establecido en el artículo 6° de la Carta Magna, a</w:t>
      </w:r>
      <w:r>
        <w:rPr>
          <w:rFonts w:ascii="Palatino Linotype" w:eastAsia="Palatino Linotype" w:hAnsi="Palatino Linotype" w:cs="Palatino Linotype"/>
          <w:sz w:val="22"/>
          <w:szCs w:val="22"/>
        </w:rPr>
        <w:t>simismo, que omitió proporcionar de manera puntual y estructurada la información requerida, ya que el hecho de que cierta información se encuentre publicada en un portal digital no exime al sujeto obligado de entregarla directamente, sobre todo cuando se t</w:t>
      </w:r>
      <w:r>
        <w:rPr>
          <w:rFonts w:ascii="Palatino Linotype" w:eastAsia="Palatino Linotype" w:hAnsi="Palatino Linotype" w:cs="Palatino Linotype"/>
          <w:sz w:val="22"/>
          <w:szCs w:val="22"/>
        </w:rPr>
        <w:t>rata de información generada por el municipio en el curso ordinario de sus funciones administrativas, como lo son adquisiciones de vehículos, montos invertidos, expedientes de licitación y responsables de su uso, todo lo cual es información pública de cará</w:t>
      </w:r>
      <w:r>
        <w:rPr>
          <w:rFonts w:ascii="Palatino Linotype" w:eastAsia="Palatino Linotype" w:hAnsi="Palatino Linotype" w:cs="Palatino Linotype"/>
          <w:sz w:val="22"/>
          <w:szCs w:val="22"/>
        </w:rPr>
        <w:t>cter administrativo, reiterando la entrega directa, clara y desglosada de la información solicitada en el formato requerido, sin remisiones genéricas a portales.</w:t>
      </w:r>
    </w:p>
    <w:p w:rsidR="00A208B1" w:rsidRDefault="003E0D5B">
      <w:pPr>
        <w:spacing w:before="240" w:after="240"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la etapa de manifestaciones el </w:t>
      </w:r>
      <w:r>
        <w:rPr>
          <w:rFonts w:ascii="Palatino Linotype" w:eastAsia="Palatino Linotype" w:hAnsi="Palatino Linotype" w:cs="Palatino Linotype"/>
          <w:b/>
          <w:bCs/>
          <w:sz w:val="22"/>
          <w:szCs w:val="22"/>
        </w:rPr>
        <w:t xml:space="preserve">Sujeto Obligado </w:t>
      </w:r>
      <w:r>
        <w:rPr>
          <w:rFonts w:ascii="Palatino Linotype" w:eastAsia="Palatino Linotype" w:hAnsi="Palatino Linotype" w:cs="Palatino Linotype"/>
          <w:sz w:val="22"/>
          <w:szCs w:val="22"/>
        </w:rPr>
        <w:t xml:space="preserve">fue omiso en rendir su informe justificado, mientras que la parte </w:t>
      </w:r>
      <w:r>
        <w:rPr>
          <w:rFonts w:ascii="Palatino Linotype" w:eastAsia="Palatino Linotype" w:hAnsi="Palatino Linotype" w:cs="Palatino Linotype"/>
          <w:b/>
          <w:bCs/>
          <w:sz w:val="22"/>
          <w:szCs w:val="22"/>
        </w:rPr>
        <w:t xml:space="preserve">Recurrente </w:t>
      </w:r>
      <w:r>
        <w:rPr>
          <w:rFonts w:ascii="Palatino Linotype" w:eastAsia="Palatino Linotype" w:hAnsi="Palatino Linotype" w:cs="Palatino Linotype"/>
          <w:sz w:val="22"/>
          <w:szCs w:val="22"/>
        </w:rPr>
        <w:t>remitió diversos archivos mediante los cuales reiteró en lo medular sus motivos de inconformidad, alegando que se omitió proporcionar la información de manera clara, directa y esp</w:t>
      </w:r>
      <w:r>
        <w:rPr>
          <w:rFonts w:ascii="Palatino Linotype" w:eastAsia="Palatino Linotype" w:hAnsi="Palatino Linotype" w:cs="Palatino Linotype"/>
          <w:sz w:val="22"/>
          <w:szCs w:val="22"/>
        </w:rPr>
        <w:t xml:space="preserve">ecífica, tal como fue requerida, sino que le remitió a enlaces genéricos del portal de transparencia IPOMEX, sin especificar el contenido, asimismo, requirió la imposición de medidas de apremio y responsabilidad que correspondan por la obstaculización del </w:t>
      </w:r>
      <w:r>
        <w:rPr>
          <w:rFonts w:ascii="Palatino Linotype" w:eastAsia="Palatino Linotype" w:hAnsi="Palatino Linotype" w:cs="Palatino Linotype"/>
          <w:sz w:val="22"/>
          <w:szCs w:val="22"/>
        </w:rPr>
        <w:t>derecho de acceso a la información.</w:t>
      </w:r>
    </w:p>
    <w:p w:rsidR="00A208B1" w:rsidRDefault="003E0D5B">
      <w:pPr>
        <w:spacing w:before="240" w:after="240"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manera posterior, además de referir que la respuesta omite de forma injustificada los datos específicos requeridos, como lo son:</w:t>
      </w:r>
    </w:p>
    <w:p w:rsidR="00A208B1" w:rsidRDefault="003E0D5B">
      <w:pPr>
        <w:spacing w:before="120" w:after="120"/>
        <w:ind w:left="284" w:right="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w:t>
      </w:r>
      <w:r>
        <w:rPr>
          <w:rFonts w:ascii="Palatino Linotype" w:eastAsia="Palatino Linotype" w:hAnsi="Palatino Linotype" w:cs="Palatino Linotype"/>
          <w:sz w:val="22"/>
          <w:szCs w:val="22"/>
        </w:rPr>
        <w:tab/>
        <w:t>Número total de unidades entregadas.</w:t>
      </w:r>
    </w:p>
    <w:p w:rsidR="00A208B1" w:rsidRDefault="003E0D5B">
      <w:pPr>
        <w:spacing w:before="120" w:after="120"/>
        <w:ind w:left="284" w:right="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w:t>
      </w:r>
      <w:r>
        <w:rPr>
          <w:rFonts w:ascii="Palatino Linotype" w:eastAsia="Palatino Linotype" w:hAnsi="Palatino Linotype" w:cs="Palatino Linotype"/>
          <w:sz w:val="22"/>
          <w:szCs w:val="22"/>
        </w:rPr>
        <w:tab/>
        <w:t>Fecha exacta de adquisición.</w:t>
      </w:r>
    </w:p>
    <w:p w:rsidR="00A208B1" w:rsidRDefault="003E0D5B">
      <w:pPr>
        <w:spacing w:before="120" w:after="120"/>
        <w:ind w:left="284" w:right="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w:t>
      </w:r>
      <w:r>
        <w:rPr>
          <w:rFonts w:ascii="Palatino Linotype" w:eastAsia="Palatino Linotype" w:hAnsi="Palatino Linotype" w:cs="Palatino Linotype"/>
          <w:sz w:val="22"/>
          <w:szCs w:val="22"/>
        </w:rPr>
        <w:tab/>
        <w:t>Costo total desg</w:t>
      </w:r>
      <w:r>
        <w:rPr>
          <w:rFonts w:ascii="Palatino Linotype" w:eastAsia="Palatino Linotype" w:hAnsi="Palatino Linotype" w:cs="Palatino Linotype"/>
          <w:sz w:val="22"/>
          <w:szCs w:val="22"/>
        </w:rPr>
        <w:t>losado por unidad.</w:t>
      </w:r>
    </w:p>
    <w:p w:rsidR="00A208B1" w:rsidRDefault="003E0D5B">
      <w:pPr>
        <w:spacing w:before="120" w:after="120"/>
        <w:ind w:left="284" w:right="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w:t>
      </w:r>
      <w:r>
        <w:rPr>
          <w:rFonts w:ascii="Palatino Linotype" w:eastAsia="Palatino Linotype" w:hAnsi="Palatino Linotype" w:cs="Palatino Linotype"/>
          <w:sz w:val="22"/>
          <w:szCs w:val="22"/>
        </w:rPr>
        <w:tab/>
        <w:t>Tipo de procedimiento de adquisición.</w:t>
      </w:r>
    </w:p>
    <w:p w:rsidR="00A208B1" w:rsidRDefault="003E0D5B">
      <w:pPr>
        <w:spacing w:before="120" w:after="120"/>
        <w:ind w:left="284" w:right="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w:t>
      </w:r>
      <w:r>
        <w:rPr>
          <w:rFonts w:ascii="Palatino Linotype" w:eastAsia="Palatino Linotype" w:hAnsi="Palatino Linotype" w:cs="Palatino Linotype"/>
          <w:sz w:val="22"/>
          <w:szCs w:val="22"/>
        </w:rPr>
        <w:tab/>
        <w:t>Nombre del proveedor.</w:t>
      </w:r>
    </w:p>
    <w:p w:rsidR="00A208B1" w:rsidRDefault="003E0D5B">
      <w:pPr>
        <w:spacing w:before="120" w:after="120"/>
        <w:ind w:left="284" w:right="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w:t>
      </w:r>
      <w:r>
        <w:rPr>
          <w:rFonts w:ascii="Palatino Linotype" w:eastAsia="Palatino Linotype" w:hAnsi="Palatino Linotype" w:cs="Palatino Linotype"/>
          <w:sz w:val="22"/>
          <w:szCs w:val="22"/>
        </w:rPr>
        <w:tab/>
        <w:t>Dependencias receptoras y responsables del uso de dichas unidades.</w:t>
      </w:r>
    </w:p>
    <w:p w:rsidR="00A208B1" w:rsidRDefault="003E0D5B">
      <w:pPr>
        <w:spacing w:before="120" w:after="120"/>
        <w:ind w:left="284" w:right="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w:t>
      </w:r>
      <w:r>
        <w:rPr>
          <w:rFonts w:ascii="Palatino Linotype" w:eastAsia="Palatino Linotype" w:hAnsi="Palatino Linotype" w:cs="Palatino Linotype"/>
          <w:sz w:val="22"/>
          <w:szCs w:val="22"/>
        </w:rPr>
        <w:tab/>
        <w:t>Documentación de respaldo como contratos, actas, facturas o convenios.</w:t>
      </w:r>
    </w:p>
    <w:p w:rsidR="00A208B1" w:rsidRDefault="003E0D5B">
      <w:pPr>
        <w:spacing w:before="240" w:after="240"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Señaló que existen pruebas públ</w:t>
      </w:r>
      <w:r>
        <w:rPr>
          <w:rFonts w:ascii="Palatino Linotype" w:eastAsia="Palatino Linotype" w:hAnsi="Palatino Linotype" w:cs="Palatino Linotype"/>
          <w:sz w:val="22"/>
          <w:szCs w:val="22"/>
        </w:rPr>
        <w:t>icas y verificables que contradicen la negativa de proporcionar la información, como lo son:</w:t>
      </w:r>
    </w:p>
    <w:p w:rsidR="00A208B1" w:rsidRDefault="003E0D5B">
      <w:pPr>
        <w:tabs>
          <w:tab w:val="left" w:pos="567"/>
        </w:tabs>
        <w:spacing w:before="240" w:after="240" w:line="360" w:lineRule="auto"/>
        <w:ind w:left="284"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1.</w:t>
      </w:r>
      <w:r>
        <w:rPr>
          <w:rFonts w:ascii="Palatino Linotype" w:eastAsia="Palatino Linotype" w:hAnsi="Palatino Linotype" w:cs="Palatino Linotype"/>
          <w:sz w:val="22"/>
          <w:szCs w:val="22"/>
        </w:rPr>
        <w:tab/>
      </w:r>
      <w:r>
        <w:rPr>
          <w:rFonts w:ascii="Palatino Linotype" w:eastAsia="Palatino Linotype" w:hAnsi="Palatino Linotype" w:cs="Palatino Linotype"/>
          <w:b/>
          <w:bCs/>
          <w:sz w:val="22"/>
          <w:szCs w:val="22"/>
        </w:rPr>
        <w:t>Video transmitido en vivo por el perfil oficial del Ayuntamiento de Texcoco</w:t>
      </w:r>
      <w:r>
        <w:rPr>
          <w:rFonts w:ascii="Palatino Linotype" w:eastAsia="Palatino Linotype" w:hAnsi="Palatino Linotype" w:cs="Palatino Linotype"/>
          <w:sz w:val="22"/>
          <w:szCs w:val="22"/>
        </w:rPr>
        <w:t xml:space="preserve"> en la red social Facebook, con fecha reciente, donde se documenta el acto oficial de</w:t>
      </w:r>
      <w:r>
        <w:rPr>
          <w:rFonts w:ascii="Palatino Linotype" w:eastAsia="Palatino Linotype" w:hAnsi="Palatino Linotype" w:cs="Palatino Linotype"/>
          <w:sz w:val="22"/>
          <w:szCs w:val="22"/>
        </w:rPr>
        <w:t xml:space="preserve"> entrega de patrullas a las direcciones de Seguridad Pública y Protección Civil. Se observa claramente la participación de funcionarios y la circulación de unidades rotuladas (evidencia visual directa).</w:t>
      </w:r>
    </w:p>
    <w:p w:rsidR="00A208B1" w:rsidRDefault="003E0D5B">
      <w:pPr>
        <w:tabs>
          <w:tab w:val="left" w:pos="567"/>
        </w:tabs>
        <w:spacing w:before="240" w:after="240" w:line="360" w:lineRule="auto"/>
        <w:ind w:left="284"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2.</w:t>
      </w:r>
      <w:r>
        <w:rPr>
          <w:rFonts w:ascii="Palatino Linotype" w:eastAsia="Palatino Linotype" w:hAnsi="Palatino Linotype" w:cs="Palatino Linotype"/>
          <w:sz w:val="22"/>
          <w:szCs w:val="22"/>
        </w:rPr>
        <w:tab/>
      </w:r>
      <w:r>
        <w:rPr>
          <w:rFonts w:ascii="Palatino Linotype" w:eastAsia="Palatino Linotype" w:hAnsi="Palatino Linotype" w:cs="Palatino Linotype"/>
          <w:b/>
          <w:bCs/>
          <w:sz w:val="22"/>
          <w:szCs w:val="22"/>
        </w:rPr>
        <w:t xml:space="preserve">Nota informativa publicada por el portal “Texcoco </w:t>
      </w:r>
      <w:r>
        <w:rPr>
          <w:rFonts w:ascii="Palatino Linotype" w:eastAsia="Palatino Linotype" w:hAnsi="Palatino Linotype" w:cs="Palatino Linotype"/>
          <w:b/>
          <w:bCs/>
          <w:sz w:val="22"/>
          <w:szCs w:val="22"/>
        </w:rPr>
        <w:t>en la Noticia</w:t>
      </w:r>
      <w:r>
        <w:rPr>
          <w:rFonts w:ascii="Palatino Linotype" w:eastAsia="Palatino Linotype" w:hAnsi="Palatino Linotype" w:cs="Palatino Linotype"/>
          <w:sz w:val="22"/>
          <w:szCs w:val="22"/>
        </w:rPr>
        <w:t xml:space="preserve">”, fechada el </w:t>
      </w:r>
      <w:r>
        <w:rPr>
          <w:rFonts w:ascii="Palatino Linotype" w:eastAsia="Palatino Linotype" w:hAnsi="Palatino Linotype" w:cs="Palatino Linotype"/>
          <w:b/>
          <w:bCs/>
          <w:sz w:val="22"/>
          <w:szCs w:val="22"/>
        </w:rPr>
        <w:t>9 de junio de 2025,</w:t>
      </w:r>
      <w:r>
        <w:rPr>
          <w:rFonts w:ascii="Palatino Linotype" w:eastAsia="Palatino Linotype" w:hAnsi="Palatino Linotype" w:cs="Palatino Linotype"/>
          <w:sz w:val="22"/>
          <w:szCs w:val="22"/>
        </w:rPr>
        <w:t xml:space="preserve"> en la que se detalla que la entonces gobernadora </w:t>
      </w:r>
      <w:r>
        <w:rPr>
          <w:rFonts w:ascii="Palatino Linotype" w:eastAsia="Palatino Linotype" w:hAnsi="Palatino Linotype" w:cs="Palatino Linotype"/>
          <w:b/>
          <w:bCs/>
          <w:sz w:val="22"/>
          <w:szCs w:val="22"/>
        </w:rPr>
        <w:t>Delfina Gómez Álvarez</w:t>
      </w:r>
      <w:r>
        <w:rPr>
          <w:rFonts w:ascii="Palatino Linotype" w:eastAsia="Palatino Linotype" w:hAnsi="Palatino Linotype" w:cs="Palatino Linotype"/>
          <w:sz w:val="22"/>
          <w:szCs w:val="22"/>
        </w:rPr>
        <w:t xml:space="preserve"> realizó la entrega de </w:t>
      </w:r>
      <w:r>
        <w:rPr>
          <w:rFonts w:ascii="Palatino Linotype" w:eastAsia="Palatino Linotype" w:hAnsi="Palatino Linotype" w:cs="Palatino Linotype"/>
          <w:b/>
          <w:bCs/>
          <w:sz w:val="22"/>
          <w:szCs w:val="22"/>
        </w:rPr>
        <w:t>40 unidades</w:t>
      </w:r>
      <w:r>
        <w:rPr>
          <w:rFonts w:ascii="Palatino Linotype" w:eastAsia="Palatino Linotype" w:hAnsi="Palatino Linotype" w:cs="Palatino Linotype"/>
          <w:sz w:val="22"/>
          <w:szCs w:val="22"/>
        </w:rPr>
        <w:t xml:space="preserve"> destinadas a funciones de seguridad pública y protección civil, en el marco de una Mesa de Seguridad. </w:t>
      </w:r>
    </w:p>
    <w:p w:rsidR="00A208B1" w:rsidRDefault="003E0D5B">
      <w:pPr>
        <w:spacing w:before="240" w:after="240"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sz w:val="22"/>
          <w:szCs w:val="22"/>
        </w:rPr>
        <w:t>Como sustento a lo anterior remitió dos imágenes en las que se advierte la entrega de unidades a las direcciones de Seguridad Pública y Protección Civil de Texcoco:</w:t>
      </w:r>
    </w:p>
    <w:tbl>
      <w:tblPr>
        <w:tblStyle w:val="a"/>
        <w:tblW w:w="883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433"/>
        <w:gridCol w:w="4405"/>
      </w:tblGrid>
      <w:tr w:rsidR="00A208B1">
        <w:tc>
          <w:tcPr>
            <w:tcW w:w="4433" w:type="dxa"/>
          </w:tcPr>
          <w:p w:rsidR="00A208B1" w:rsidRDefault="003E0D5B">
            <w:pPr>
              <w:spacing w:before="240" w:after="240"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drawing>
                <wp:inline distT="0" distB="0" distL="0" distR="0">
                  <wp:extent cx="2781688" cy="4867954"/>
                  <wp:effectExtent l="0" t="0" r="0" b="0"/>
                  <wp:docPr id="2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srcRect/>
                          <a:stretch>
                            <a:fillRect/>
                          </a:stretch>
                        </pic:blipFill>
                        <pic:spPr>
                          <a:xfrm>
                            <a:off x="0" y="0"/>
                            <a:ext cx="2781688" cy="4867954"/>
                          </a:xfrm>
                          <a:prstGeom prst="rect">
                            <a:avLst/>
                          </a:prstGeom>
                          <a:ln/>
                        </pic:spPr>
                      </pic:pic>
                    </a:graphicData>
                  </a:graphic>
                </wp:inline>
              </w:drawing>
            </w:r>
          </w:p>
        </w:tc>
        <w:tc>
          <w:tcPr>
            <w:tcW w:w="4405" w:type="dxa"/>
          </w:tcPr>
          <w:p w:rsidR="00A208B1" w:rsidRDefault="003E0D5B">
            <w:pPr>
              <w:spacing w:before="240" w:after="240"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drawing>
                <wp:inline distT="0" distB="0" distL="0" distR="0">
                  <wp:extent cx="2753109" cy="3077004"/>
                  <wp:effectExtent l="0" t="0" r="0" b="0"/>
                  <wp:docPr id="2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2753109" cy="3077004"/>
                          </a:xfrm>
                          <a:prstGeom prst="rect">
                            <a:avLst/>
                          </a:prstGeom>
                          <a:ln/>
                        </pic:spPr>
                      </pic:pic>
                    </a:graphicData>
                  </a:graphic>
                </wp:inline>
              </w:drawing>
            </w:r>
          </w:p>
        </w:tc>
      </w:tr>
    </w:tbl>
    <w:p w:rsidR="00A208B1" w:rsidRDefault="003E0D5B">
      <w:pPr>
        <w:spacing w:before="240" w:after="240"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Una vez establecidas las posturas de las partes, se procede al análisis de los requerimientos de información, así como la información proporcionada por el </w:t>
      </w:r>
      <w:r>
        <w:rPr>
          <w:rFonts w:ascii="Palatino Linotype" w:eastAsia="Palatino Linotype" w:hAnsi="Palatino Linotype" w:cs="Palatino Linotype"/>
          <w:b/>
          <w:bCs/>
          <w:sz w:val="22"/>
          <w:szCs w:val="22"/>
        </w:rPr>
        <w:t xml:space="preserve">Sujeto Obligado, </w:t>
      </w:r>
      <w:r>
        <w:rPr>
          <w:rFonts w:ascii="Palatino Linotype" w:eastAsia="Palatino Linotype" w:hAnsi="Palatino Linotype" w:cs="Palatino Linotype"/>
          <w:sz w:val="22"/>
          <w:szCs w:val="22"/>
        </w:rPr>
        <w:t xml:space="preserve">en contraposición con el motivo de inconformidad alegado por la parte </w:t>
      </w:r>
      <w:r>
        <w:rPr>
          <w:rFonts w:ascii="Palatino Linotype" w:eastAsia="Palatino Linotype" w:hAnsi="Palatino Linotype" w:cs="Palatino Linotype"/>
          <w:b/>
          <w:bCs/>
          <w:sz w:val="22"/>
          <w:szCs w:val="22"/>
        </w:rPr>
        <w:t xml:space="preserve">Recurrente, </w:t>
      </w:r>
      <w:r>
        <w:rPr>
          <w:rFonts w:ascii="Palatino Linotype" w:eastAsia="Palatino Linotype" w:hAnsi="Palatino Linotype" w:cs="Palatino Linotype"/>
          <w:sz w:val="22"/>
          <w:szCs w:val="22"/>
        </w:rPr>
        <w:t>co</w:t>
      </w:r>
      <w:r>
        <w:rPr>
          <w:rFonts w:ascii="Palatino Linotype" w:eastAsia="Palatino Linotype" w:hAnsi="Palatino Linotype" w:cs="Palatino Linotype"/>
          <w:sz w:val="22"/>
          <w:szCs w:val="22"/>
        </w:rPr>
        <w:t>n la finalidad de determinar si el Derecho de acceso de esta se satisfizo, o en su defecto, señalar los documentos que en el ejercicio de sus atribuciones pudo haber generado, y que, de manera enunciativa más no limitativa, pudieran colmar dicho derecho, e</w:t>
      </w:r>
      <w:r>
        <w:rPr>
          <w:rFonts w:ascii="Palatino Linotype" w:eastAsia="Palatino Linotype" w:hAnsi="Palatino Linotype" w:cs="Palatino Linotype"/>
          <w:sz w:val="22"/>
          <w:szCs w:val="22"/>
        </w:rPr>
        <w:t>n caso de ser procedente.</w:t>
      </w:r>
    </w:p>
    <w:p w:rsidR="00A208B1" w:rsidRDefault="003E0D5B">
      <w:pPr>
        <w:spacing w:before="240" w:after="240"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este tenor, es imprescindible mencionar que las Unidades de Transparencia, son el área responsable en cada Sujeto Obligado para dar atención a las solicitudes de información que se realicen al amparo de la Ley, el responsable d</w:t>
      </w:r>
      <w:r>
        <w:rPr>
          <w:rFonts w:ascii="Palatino Linotype" w:eastAsia="Palatino Linotype" w:hAnsi="Palatino Linotype" w:cs="Palatino Linotype"/>
          <w:sz w:val="22"/>
          <w:szCs w:val="22"/>
        </w:rPr>
        <w:t>e dicha área funge como enlace entre el Sujeto Obligado y los solicitantes, y tiene bajo su responsabilidad el tramitar internamente la solicitud de información.</w:t>
      </w:r>
    </w:p>
    <w:p w:rsidR="00A208B1" w:rsidRDefault="003E0D5B">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tal manera que, si bien el Titular de la Unidad de Transparencia no tiene bajo su resguardo</w:t>
      </w:r>
      <w:r>
        <w:rPr>
          <w:rFonts w:ascii="Palatino Linotype" w:eastAsia="Palatino Linotype" w:hAnsi="Palatino Linotype" w:cs="Palatino Linotype"/>
          <w:sz w:val="22"/>
          <w:szCs w:val="22"/>
        </w:rPr>
        <w:t xml:space="preserve"> el archivo que contiene la documentación en donde consta la información solicitada, esta puede obrar en las distintas áreas que conforman la estructura orgánica del Sujeto Obligado, es por ello que debe turnar la solicitud al servidor público habilitado q</w:t>
      </w:r>
      <w:r>
        <w:rPr>
          <w:rFonts w:ascii="Palatino Linotype" w:eastAsia="Palatino Linotype" w:hAnsi="Palatino Linotype" w:cs="Palatino Linotype"/>
          <w:sz w:val="22"/>
          <w:szCs w:val="22"/>
        </w:rPr>
        <w:t>ue tiene bajo su resguardo la misma, de conformidad con los artículos 53, fracciones II y IV y 162 de la Ley de Transparencia y Acceso a la Información Pública del Estado de México y Municipios.</w:t>
      </w:r>
    </w:p>
    <w:p w:rsidR="00A208B1" w:rsidRDefault="003E0D5B">
      <w:pPr>
        <w:spacing w:before="240" w:after="240" w:line="360" w:lineRule="auto"/>
        <w:ind w:right="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su parte, los servidores públicos habilitados, quienes so</w:t>
      </w:r>
      <w:r>
        <w:rPr>
          <w:rFonts w:ascii="Palatino Linotype" w:eastAsia="Palatino Linotype" w:hAnsi="Palatino Linotype" w:cs="Palatino Linotype"/>
          <w:sz w:val="22"/>
          <w:szCs w:val="22"/>
        </w:rPr>
        <w:t>n designados por el titular de cada Sujeto Obligado derivado de la propuesta del responsable de la Unidad de Transparencia, son las personas encargadas dentro de las diversas unidades administrativas o áreas de los Sujeto Obligado, de apoyar, gestionar y e</w:t>
      </w:r>
      <w:r>
        <w:rPr>
          <w:rFonts w:ascii="Palatino Linotype" w:eastAsia="Palatino Linotype" w:hAnsi="Palatino Linotype" w:cs="Palatino Linotype"/>
          <w:sz w:val="22"/>
          <w:szCs w:val="22"/>
        </w:rPr>
        <w:t>ntregar la información o datos personales que se ubiquen en la misma, a sus respectivas unidades de transparencia; respecto de las solicitudes presentadas, y aportar en primera instancia el fundamento y motivación de la clasificación de la información, ten</w:t>
      </w:r>
      <w:r>
        <w:rPr>
          <w:rFonts w:ascii="Palatino Linotype" w:eastAsia="Palatino Linotype" w:hAnsi="Palatino Linotype" w:cs="Palatino Linotype"/>
          <w:sz w:val="22"/>
          <w:szCs w:val="22"/>
        </w:rPr>
        <w:t>iendo como función buscar, localizar y en su caso entregar la información solicitada, así como integrar y presentar al responsable de la Unidad de Transparencia la propuesta de clasificación de información, la cual tendrá los fundamentos y argumentos en qu</w:t>
      </w:r>
      <w:r>
        <w:rPr>
          <w:rFonts w:ascii="Palatino Linotype" w:eastAsia="Palatino Linotype" w:hAnsi="Palatino Linotype" w:cs="Palatino Linotype"/>
          <w:sz w:val="22"/>
          <w:szCs w:val="22"/>
        </w:rPr>
        <w:t xml:space="preserve">e se basa dicha propuesta y verificar, una vez analizado el contenido de la información, que no se encuentre en los supuestos de información clasificada, de conformidad con los artículos 3, fracción XXXIX, 58 y 59, de la Ley de Transparencia y Acceso a la </w:t>
      </w:r>
      <w:r>
        <w:rPr>
          <w:rFonts w:ascii="Palatino Linotype" w:eastAsia="Palatino Linotype" w:hAnsi="Palatino Linotype" w:cs="Palatino Linotype"/>
          <w:sz w:val="22"/>
          <w:szCs w:val="22"/>
        </w:rPr>
        <w:t>Información Pública del Estado de México y Municipios.</w:t>
      </w:r>
    </w:p>
    <w:p w:rsidR="00A208B1" w:rsidRDefault="003E0D5B">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lo manifestado con antelación se advierte que la persona Titular de la Unidad de Transparencia debe garantizar que las solicitudes se turnen a todas las áreas competentes que puedan contar con la in</w:t>
      </w:r>
      <w:r>
        <w:rPr>
          <w:rFonts w:ascii="Palatino Linotype" w:eastAsia="Palatino Linotype" w:hAnsi="Palatino Linotype" w:cs="Palatino Linotype"/>
          <w:sz w:val="22"/>
          <w:szCs w:val="22"/>
        </w:rPr>
        <w:t>formación, con el objeto de que los servidores públicos habilitados realicen la búsqueda exhaustiva y razonable de la información solicitada, y que una vez localizada, la misma sea proporcionada a las personas solicitantes atendiendo a la naturaleza jurídi</w:t>
      </w:r>
      <w:r>
        <w:rPr>
          <w:rFonts w:ascii="Palatino Linotype" w:eastAsia="Palatino Linotype" w:hAnsi="Palatino Linotype" w:cs="Palatino Linotype"/>
          <w:sz w:val="22"/>
          <w:szCs w:val="22"/>
        </w:rPr>
        <w:t>ca de la misma.</w:t>
      </w:r>
    </w:p>
    <w:p w:rsidR="00A208B1" w:rsidRDefault="003E0D5B">
      <w:pPr>
        <w:spacing w:before="240" w:after="240"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esta línea de pensamiento, derivado del análisis de las constancias que obran en el expediente electrónico en el que se actúa, se advirtió que la Unidad de Transparencia turnó la solicitud de información a la Dirección General de Adminis</w:t>
      </w:r>
      <w:r>
        <w:rPr>
          <w:rFonts w:ascii="Palatino Linotype" w:eastAsia="Palatino Linotype" w:hAnsi="Palatino Linotype" w:cs="Palatino Linotype"/>
          <w:sz w:val="22"/>
          <w:szCs w:val="22"/>
        </w:rPr>
        <w:t>tración, como el área competente para conocer de la información que es del interés de la persona solicitante.</w:t>
      </w:r>
    </w:p>
    <w:p w:rsidR="00A208B1" w:rsidRDefault="003E0D5B">
      <w:pPr>
        <w:spacing w:before="240" w:after="240"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Es oportuno mencionar que de conformidad con el artículo 83 del Bando Municipal de Texcoco vigente, la Dirección General de Administración es la d</w:t>
      </w:r>
      <w:r>
        <w:rPr>
          <w:rFonts w:ascii="Palatino Linotype" w:eastAsia="Palatino Linotype" w:hAnsi="Palatino Linotype" w:cs="Palatino Linotype"/>
          <w:sz w:val="22"/>
          <w:szCs w:val="22"/>
        </w:rPr>
        <w:t>ependencia encargada de brindar el soporte material, técnico, humano, administrativo y organizacional, a las diferentes áreas que conforman la Administración Pública Municipal, en apego a los procedimientos legales en la materia y en congruencia con las po</w:t>
      </w:r>
      <w:r>
        <w:rPr>
          <w:rFonts w:ascii="Palatino Linotype" w:eastAsia="Palatino Linotype" w:hAnsi="Palatino Linotype" w:cs="Palatino Linotype"/>
          <w:sz w:val="22"/>
          <w:szCs w:val="22"/>
        </w:rPr>
        <w:t>líticas públicas establecidas en el Plan de Desarrollo Municipal.</w:t>
      </w:r>
    </w:p>
    <w:p w:rsidR="00A208B1" w:rsidRDefault="003E0D5B">
      <w:pPr>
        <w:spacing w:before="240" w:after="240"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igual forma, bajo la conducción de disciplina presupuestal, difundirá entre las dependencias la adecuada planeación, programación y obtención de bienes muebles y servicios que requiera el</w:t>
      </w:r>
      <w:r>
        <w:rPr>
          <w:rFonts w:ascii="Palatino Linotype" w:eastAsia="Palatino Linotype" w:hAnsi="Palatino Linotype" w:cs="Palatino Linotype"/>
          <w:sz w:val="22"/>
          <w:szCs w:val="22"/>
        </w:rPr>
        <w:t xml:space="preserve"> Ayuntamiento y las diversas áreas, </w:t>
      </w:r>
      <w:r>
        <w:rPr>
          <w:rFonts w:ascii="Palatino Linotype" w:eastAsia="Palatino Linotype" w:hAnsi="Palatino Linotype" w:cs="Palatino Linotype"/>
          <w:b/>
          <w:bCs/>
          <w:sz w:val="22"/>
          <w:szCs w:val="22"/>
          <w:u w:val="single"/>
        </w:rPr>
        <w:t>debiendo vigilar el cumplimiento respecto a los procedimientos conducentes de las adquisiciones, los arrendamientos y las contrataciones de servicios que resulten aplicables</w:t>
      </w:r>
      <w:r>
        <w:rPr>
          <w:rFonts w:ascii="Palatino Linotype" w:eastAsia="Palatino Linotype" w:hAnsi="Palatino Linotype" w:cs="Palatino Linotype"/>
          <w:sz w:val="22"/>
          <w:szCs w:val="22"/>
        </w:rPr>
        <w:t>.</w:t>
      </w:r>
    </w:p>
    <w:p w:rsidR="00A208B1" w:rsidRDefault="003E0D5B">
      <w:pPr>
        <w:spacing w:before="240" w:after="240"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Asimismo, el artículo 84 del referido ordenamiento, dispone que la Dirección General de Administración se auxilia de las siguientes áreas:</w:t>
      </w:r>
    </w:p>
    <w:p w:rsidR="00A208B1" w:rsidRDefault="003E0D5B">
      <w:pPr>
        <w:spacing w:before="240" w:after="240" w:line="360" w:lineRule="auto"/>
        <w:ind w:left="284"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I. Subdirección de Recursos Humanos y Nómina;</w:t>
      </w:r>
    </w:p>
    <w:p w:rsidR="00A208B1" w:rsidRDefault="003E0D5B">
      <w:pPr>
        <w:spacing w:before="240" w:after="240" w:line="360" w:lineRule="auto"/>
        <w:ind w:left="284"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II. Subdirección de Licitaciones y Adquisiciones; </w:t>
      </w:r>
    </w:p>
    <w:p w:rsidR="00A208B1" w:rsidRDefault="003E0D5B">
      <w:pPr>
        <w:spacing w:before="240" w:after="240" w:line="360" w:lineRule="auto"/>
        <w:ind w:left="284"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III. Subdirección de Servicios Generales; </w:t>
      </w:r>
    </w:p>
    <w:p w:rsidR="00A208B1" w:rsidRDefault="003E0D5B">
      <w:pPr>
        <w:spacing w:before="240" w:after="240" w:line="360" w:lineRule="auto"/>
        <w:ind w:left="284"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IV. Coordinación de Sistemas y Soporte Técnico; y, </w:t>
      </w:r>
    </w:p>
    <w:p w:rsidR="00A208B1" w:rsidRDefault="003E0D5B">
      <w:pPr>
        <w:spacing w:before="240" w:after="240" w:line="360" w:lineRule="auto"/>
        <w:ind w:left="284"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V. Combustibles y parque vehicular.</w:t>
      </w:r>
    </w:p>
    <w:p w:rsidR="00A208B1" w:rsidRDefault="003E0D5B">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No obstante, no se puede determinar que en el presente asunto se haya garantizado o no el procedimiento de búsqueda, el cual </w:t>
      </w:r>
      <w:r>
        <w:rPr>
          <w:rFonts w:ascii="Palatino Linotype" w:eastAsia="Palatino Linotype" w:hAnsi="Palatino Linotype" w:cs="Palatino Linotype"/>
          <w:sz w:val="22"/>
          <w:szCs w:val="22"/>
        </w:rPr>
        <w:t>se constituye como la garantía primaria del derecho humano de acceso a la información pública, y se rige por los principios de simplicidad, rapidez, gratuidad del procedimiento, auxilio y orientación a los particulares con el fin de otorgar la protección m</w:t>
      </w:r>
      <w:r>
        <w:rPr>
          <w:rFonts w:ascii="Palatino Linotype" w:eastAsia="Palatino Linotype" w:hAnsi="Palatino Linotype" w:cs="Palatino Linotype"/>
          <w:sz w:val="22"/>
          <w:szCs w:val="22"/>
        </w:rPr>
        <w:t xml:space="preserve">ás amplia de este derecho, vulnerando con ello el Derecho de acceso dela persona solicitante, al advertir que la solicitud no se turnó a todas las áreas competentes, como lo es la Tesorería Municipal, la Dirección General de Seguridad Pública y Movilidad, </w:t>
      </w:r>
      <w:r>
        <w:rPr>
          <w:rFonts w:ascii="Palatino Linotype" w:eastAsia="Palatino Linotype" w:hAnsi="Palatino Linotype" w:cs="Palatino Linotype"/>
          <w:sz w:val="22"/>
          <w:szCs w:val="22"/>
        </w:rPr>
        <w:t xml:space="preserve">la Dirección de Protección Civil y Gestión Integral del Riesgo, Bomberos y Atención Médica Prehospitalaria, entre otras. </w:t>
      </w:r>
    </w:p>
    <w:p w:rsidR="00A208B1" w:rsidRDefault="003E0D5B">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Como sustento a lo anterior se menciona que la Tesorería Municipal es el órgano encargado de la recaudación de los ingresos municipale</w:t>
      </w:r>
      <w:r>
        <w:rPr>
          <w:rFonts w:ascii="Palatino Linotype" w:eastAsia="Palatino Linotype" w:hAnsi="Palatino Linotype" w:cs="Palatino Linotype"/>
          <w:sz w:val="22"/>
          <w:szCs w:val="22"/>
        </w:rPr>
        <w:t xml:space="preserve">s y </w:t>
      </w:r>
      <w:r>
        <w:rPr>
          <w:rFonts w:ascii="Palatino Linotype" w:eastAsia="Palatino Linotype" w:hAnsi="Palatino Linotype" w:cs="Palatino Linotype"/>
          <w:b/>
          <w:bCs/>
          <w:sz w:val="22"/>
          <w:szCs w:val="22"/>
        </w:rPr>
        <w:t>responsable de realizar las erogaciones</w:t>
      </w:r>
      <w:r>
        <w:rPr>
          <w:rFonts w:ascii="Palatino Linotype" w:eastAsia="Palatino Linotype" w:hAnsi="Palatino Linotype" w:cs="Palatino Linotype"/>
          <w:sz w:val="22"/>
          <w:szCs w:val="22"/>
        </w:rPr>
        <w:t xml:space="preserve"> que haga el ayuntamiento </w:t>
      </w:r>
      <w:r>
        <w:rPr>
          <w:rFonts w:ascii="Palatino Linotype" w:eastAsia="Palatino Linotype" w:hAnsi="Palatino Linotype" w:cs="Palatino Linotype"/>
          <w:b/>
          <w:bCs/>
          <w:sz w:val="22"/>
          <w:szCs w:val="22"/>
        </w:rPr>
        <w:t>a través de los registros contables, financieros y administrativos</w:t>
      </w:r>
      <w:r>
        <w:rPr>
          <w:rFonts w:ascii="Palatino Linotype" w:eastAsia="Palatino Linotype" w:hAnsi="Palatino Linotype" w:cs="Palatino Linotype"/>
          <w:sz w:val="22"/>
          <w:szCs w:val="22"/>
        </w:rPr>
        <w:t xml:space="preserve"> de los ingresos, </w:t>
      </w:r>
      <w:r>
        <w:rPr>
          <w:rFonts w:ascii="Palatino Linotype" w:eastAsia="Palatino Linotype" w:hAnsi="Palatino Linotype" w:cs="Palatino Linotype"/>
          <w:b/>
          <w:bCs/>
          <w:sz w:val="22"/>
          <w:szCs w:val="22"/>
        </w:rPr>
        <w:t>egresos</w:t>
      </w:r>
      <w:r>
        <w:rPr>
          <w:rFonts w:ascii="Palatino Linotype" w:eastAsia="Palatino Linotype" w:hAnsi="Palatino Linotype" w:cs="Palatino Linotype"/>
          <w:sz w:val="22"/>
          <w:szCs w:val="22"/>
        </w:rPr>
        <w:t xml:space="preserve"> e inventarios; entre otras atribuciones, de conformidad con lo establecido en los artículos 93 </w:t>
      </w:r>
      <w:r>
        <w:rPr>
          <w:rFonts w:ascii="Palatino Linotype" w:eastAsia="Palatino Linotype" w:hAnsi="Palatino Linotype" w:cs="Palatino Linotype"/>
          <w:sz w:val="22"/>
          <w:szCs w:val="22"/>
        </w:rPr>
        <w:t>y 95, fracciones I y IV de la Ley Orgánica Municipal del Estado de México, a saber:</w:t>
      </w:r>
    </w:p>
    <w:p w:rsidR="00A208B1" w:rsidRDefault="003E0D5B">
      <w:pPr>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r>
        <w:rPr>
          <w:rFonts w:ascii="Palatino Linotype" w:eastAsia="Palatino Linotype" w:hAnsi="Palatino Linotype" w:cs="Palatino Linotype"/>
          <w:b/>
          <w:bCs/>
          <w:i/>
          <w:iCs/>
          <w:sz w:val="22"/>
          <w:szCs w:val="22"/>
        </w:rPr>
        <w:t>Artículo 93</w:t>
      </w:r>
      <w:r>
        <w:rPr>
          <w:rFonts w:ascii="Palatino Linotype" w:eastAsia="Palatino Linotype" w:hAnsi="Palatino Linotype" w:cs="Palatino Linotype"/>
          <w:i/>
          <w:iCs/>
          <w:sz w:val="22"/>
          <w:szCs w:val="22"/>
        </w:rPr>
        <w:t>.- La tesorería municipal es el órgano encargado de la recaudación de los ingresos municipales y responsable de realizar las erogaciones que haga el ayuntamient</w:t>
      </w:r>
      <w:r>
        <w:rPr>
          <w:rFonts w:ascii="Palatino Linotype" w:eastAsia="Palatino Linotype" w:hAnsi="Palatino Linotype" w:cs="Palatino Linotype"/>
          <w:i/>
          <w:iCs/>
          <w:sz w:val="22"/>
          <w:szCs w:val="22"/>
        </w:rPr>
        <w:t>o.</w:t>
      </w:r>
    </w:p>
    <w:p w:rsidR="00A208B1" w:rsidRDefault="003E0D5B">
      <w:pPr>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A208B1" w:rsidRDefault="003E0D5B">
      <w:pPr>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Artículo 95</w:t>
      </w:r>
      <w:r>
        <w:rPr>
          <w:rFonts w:ascii="Palatino Linotype" w:eastAsia="Palatino Linotype" w:hAnsi="Palatino Linotype" w:cs="Palatino Linotype"/>
          <w:i/>
          <w:iCs/>
          <w:sz w:val="22"/>
          <w:szCs w:val="22"/>
        </w:rPr>
        <w:t xml:space="preserve">.- Son atribuciones del tesorero municipal: </w:t>
      </w:r>
    </w:p>
    <w:p w:rsidR="00A208B1" w:rsidRDefault="003E0D5B">
      <w:pPr>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w:t>
      </w: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b/>
          <w:bCs/>
          <w:i/>
          <w:iCs/>
          <w:sz w:val="22"/>
          <w:szCs w:val="22"/>
        </w:rPr>
        <w:t>Administrar la hacienda pública municipal</w:t>
      </w:r>
      <w:r>
        <w:rPr>
          <w:rFonts w:ascii="Palatino Linotype" w:eastAsia="Palatino Linotype" w:hAnsi="Palatino Linotype" w:cs="Palatino Linotype"/>
          <w:i/>
          <w:iCs/>
          <w:sz w:val="22"/>
          <w:szCs w:val="22"/>
        </w:rPr>
        <w:t>, de conformidad con las disposiciones legales aplicables;</w:t>
      </w:r>
    </w:p>
    <w:p w:rsidR="00A208B1" w:rsidRDefault="003E0D5B">
      <w:pPr>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A208B1" w:rsidRDefault="003E0D5B">
      <w:pPr>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IV.</w:t>
      </w: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b/>
          <w:bCs/>
          <w:i/>
          <w:iCs/>
          <w:sz w:val="22"/>
          <w:szCs w:val="22"/>
          <w:u w:val="single"/>
        </w:rPr>
        <w:t>Llevar los registros contables, financieros y administrativos</w:t>
      </w:r>
      <w:r>
        <w:rPr>
          <w:rFonts w:ascii="Palatino Linotype" w:eastAsia="Palatino Linotype" w:hAnsi="Palatino Linotype" w:cs="Palatino Linotype"/>
          <w:b/>
          <w:bCs/>
          <w:i/>
          <w:iCs/>
          <w:sz w:val="22"/>
          <w:szCs w:val="22"/>
        </w:rPr>
        <w:t xml:space="preserve"> de los ingresos, egresos</w:t>
      </w:r>
      <w:r>
        <w:rPr>
          <w:rFonts w:ascii="Palatino Linotype" w:eastAsia="Palatino Linotype" w:hAnsi="Palatino Linotype" w:cs="Palatino Linotype"/>
          <w:i/>
          <w:iCs/>
          <w:sz w:val="22"/>
          <w:szCs w:val="22"/>
        </w:rPr>
        <w:t>, e inventarios;…”</w:t>
      </w:r>
    </w:p>
    <w:p w:rsidR="00A208B1" w:rsidRDefault="003E0D5B">
      <w:pPr>
        <w:spacing w:before="240" w:after="240" w:line="360" w:lineRule="auto"/>
        <w:ind w:right="49"/>
        <w:jc w:val="both"/>
        <w:rPr>
          <w:sz w:val="22"/>
          <w:szCs w:val="22"/>
        </w:rPr>
      </w:pPr>
      <w:r>
        <w:rPr>
          <w:rFonts w:ascii="Palatino Linotype" w:eastAsia="Palatino Linotype" w:hAnsi="Palatino Linotype" w:cs="Palatino Linotype"/>
          <w:sz w:val="22"/>
          <w:szCs w:val="22"/>
        </w:rPr>
        <w:t xml:space="preserve">Por otro lado, el artículo 55 del Bando Municipal de Texcoco establece que las </w:t>
      </w:r>
      <w:r>
        <w:rPr>
          <w:sz w:val="22"/>
          <w:szCs w:val="22"/>
        </w:rPr>
        <w:t>funciones de seguridad pública y movilidad serán ejercidas por el Ayuntamiento, a través de la Dirección General de Seguridad Pública y Movilidad, quién ejerc</w:t>
      </w:r>
      <w:r>
        <w:rPr>
          <w:sz w:val="22"/>
          <w:szCs w:val="22"/>
        </w:rPr>
        <w:t xml:space="preserve">erá su función en el Municipio, de conformidad con lo mandatado en los siguientes ordenamientos: Constitución Federal, Constitución Local, Ley General del Sistema Nacional de Seguridad Pública, Ley General de Justicia Cívica e Itinerante, Ley de Seguridad </w:t>
      </w:r>
      <w:r>
        <w:rPr>
          <w:sz w:val="22"/>
          <w:szCs w:val="22"/>
        </w:rPr>
        <w:t>del Estado de México, Código Administrativo, Código de Procedimientos Administrativos, Ley Orgánica, Ley de Justicia Cívica del Estado de México y sus Municipios, Reglamento de Tránsito del Estado de México, el presente Bando, el Reglamento en materia de S</w:t>
      </w:r>
      <w:r>
        <w:rPr>
          <w:sz w:val="22"/>
          <w:szCs w:val="22"/>
        </w:rPr>
        <w:t>eguridad Pública Municipal vigente y demás ordenamientos legales en la materia.</w:t>
      </w:r>
    </w:p>
    <w:p w:rsidR="00A208B1" w:rsidRDefault="003E0D5B">
      <w:pPr>
        <w:spacing w:before="240" w:after="240"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Y, finalmente el artículo 130 del Bando Municipal dispone que La Dirección de Protección Civil y Gestión Integral del Riesgo, Bomberos y Atención Médica Prehospitalaria ejercerá las atribuciones que le son conferidas al Municipio en la Ley General de Prote</w:t>
      </w:r>
      <w:r>
        <w:rPr>
          <w:rFonts w:ascii="Palatino Linotype" w:eastAsia="Palatino Linotype" w:hAnsi="Palatino Linotype" w:cs="Palatino Linotype"/>
          <w:sz w:val="22"/>
          <w:szCs w:val="22"/>
        </w:rPr>
        <w:t xml:space="preserve">cción Civil, en el Libro Sexto del Código Administrativo del Estado de México, Código Administrativo, el Reglamento Municipal de Protección Civil y demás disposiciones jurídicas aplicables, como primera instancia de actuación local en los casos de riesgo, </w:t>
      </w:r>
      <w:r>
        <w:rPr>
          <w:rFonts w:ascii="Palatino Linotype" w:eastAsia="Palatino Linotype" w:hAnsi="Palatino Linotype" w:cs="Palatino Linotype"/>
          <w:sz w:val="22"/>
          <w:szCs w:val="22"/>
        </w:rPr>
        <w:t>siniestro o desastre; aplicará la planeación estratégica y coordinará las acciones de prevención, auxilio y restablecimiento por conducto de la instancia especializada de Protección Civil, para salvaguardar a la población, sus bienes y entorno donde habita</w:t>
      </w:r>
      <w:r>
        <w:rPr>
          <w:rFonts w:ascii="Palatino Linotype" w:eastAsia="Palatino Linotype" w:hAnsi="Palatino Linotype" w:cs="Palatino Linotype"/>
          <w:sz w:val="22"/>
          <w:szCs w:val="22"/>
        </w:rPr>
        <w:t>n; así como en todos aquellos casos en que se presente algún siniestro o desastre, para lo cual dictará y ejecutará las medidas de seguridad en los casos previstos en dichos ordenamientos jurídicos y en su caso, impondrá las sanciones correspondientes de a</w:t>
      </w:r>
      <w:r>
        <w:rPr>
          <w:rFonts w:ascii="Palatino Linotype" w:eastAsia="Palatino Linotype" w:hAnsi="Palatino Linotype" w:cs="Palatino Linotype"/>
          <w:sz w:val="22"/>
          <w:szCs w:val="22"/>
        </w:rPr>
        <w:t xml:space="preserve">cuerdo con el procedimiento administrativo. </w:t>
      </w:r>
    </w:p>
    <w:p w:rsidR="00A208B1" w:rsidRDefault="003E0D5B">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Ahora bien, tomando en consideración la respuesta proporcionada por la Dirección General de Administración es oportuno traer a colación el artículo 161 de la Ley de Transparencia y Acceso a la Información Públic</w:t>
      </w:r>
      <w:r>
        <w:rPr>
          <w:rFonts w:ascii="Palatino Linotype" w:eastAsia="Palatino Linotype" w:hAnsi="Palatino Linotype" w:cs="Palatino Linotype"/>
          <w:sz w:val="22"/>
          <w:szCs w:val="22"/>
        </w:rPr>
        <w:t>a del Estado de México y Municipios</w:t>
      </w: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sz w:val="22"/>
          <w:szCs w:val="22"/>
        </w:rPr>
        <w:t>el cual establece las características que debe tener la información desde el momento en el que se genera, su publicación y entrega; así como el procedimiento a seguir por los Sujetos Obligados para informar a los solici</w:t>
      </w:r>
      <w:r>
        <w:rPr>
          <w:rFonts w:ascii="Palatino Linotype" w:eastAsia="Palatino Linotype" w:hAnsi="Palatino Linotype" w:cs="Palatino Linotype"/>
          <w:sz w:val="22"/>
          <w:szCs w:val="22"/>
        </w:rPr>
        <w:t>tantes sobre información que se encuentre disponible en libros, compendios, formatos electrónicos, entre otros, haciéndole saber al solicitante como podrá consultar, reproducir o adquirir la información, en un plazo no mayor a cinco días hábiles, comprendi</w:t>
      </w:r>
      <w:r>
        <w:rPr>
          <w:rFonts w:ascii="Palatino Linotype" w:eastAsia="Palatino Linotype" w:hAnsi="Palatino Linotype" w:cs="Palatino Linotype"/>
          <w:sz w:val="22"/>
          <w:szCs w:val="22"/>
        </w:rPr>
        <w:t>endo:</w:t>
      </w:r>
    </w:p>
    <w:p w:rsidR="00A208B1" w:rsidRDefault="003E0D5B">
      <w:pPr>
        <w:spacing w:before="120" w:after="120" w:line="276" w:lineRule="auto"/>
        <w:ind w:left="284" w:right="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 La fuente</w:t>
      </w:r>
    </w:p>
    <w:p w:rsidR="00A208B1" w:rsidRDefault="003E0D5B">
      <w:pPr>
        <w:spacing w:before="120" w:after="120" w:line="276" w:lineRule="auto"/>
        <w:ind w:left="284" w:right="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b) El lugar y</w:t>
      </w:r>
    </w:p>
    <w:p w:rsidR="00A208B1" w:rsidRDefault="003E0D5B">
      <w:pPr>
        <w:spacing w:before="120" w:after="120" w:line="276" w:lineRule="auto"/>
        <w:ind w:left="284" w:right="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 La forma</w:t>
      </w:r>
    </w:p>
    <w:p w:rsidR="00A208B1" w:rsidRDefault="003E0D5B">
      <w:pPr>
        <w:spacing w:before="240" w:after="240"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Asimismo, se establece que la fuente de la información deberá ser:</w:t>
      </w:r>
    </w:p>
    <w:p w:rsidR="00A208B1" w:rsidRDefault="003E0D5B">
      <w:pPr>
        <w:spacing w:before="120" w:after="120" w:line="276" w:lineRule="auto"/>
        <w:ind w:left="284" w:right="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 Precisa</w:t>
      </w:r>
    </w:p>
    <w:p w:rsidR="00A208B1" w:rsidRDefault="003E0D5B">
      <w:pPr>
        <w:spacing w:before="120" w:after="120" w:line="276" w:lineRule="auto"/>
        <w:ind w:left="284" w:right="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b) Concreta</w:t>
      </w:r>
    </w:p>
    <w:p w:rsidR="00A208B1" w:rsidRDefault="003E0D5B">
      <w:pPr>
        <w:spacing w:before="120" w:after="120" w:line="276" w:lineRule="auto"/>
        <w:ind w:left="284" w:right="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 Y no debe implicar que el solicitante realice una búsqueda en toda la información que se encuentre disponible.</w:t>
      </w:r>
    </w:p>
    <w:p w:rsidR="00A208B1" w:rsidRDefault="003E0D5B">
      <w:pPr>
        <w:spacing w:before="240" w:after="240"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Imperativos legales que establecen el procedimiento que deben seguir los Sujetos Obligados para que pueda tomarse como válida su orientación sobre la forma en que puede consultar la información requerida.</w:t>
      </w:r>
    </w:p>
    <w:p w:rsidR="00A208B1" w:rsidRDefault="003E0D5B">
      <w:pPr>
        <w:tabs>
          <w:tab w:val="left" w:pos="975"/>
        </w:tabs>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 base en lo anterior, este Organismo Garante pro</w:t>
      </w:r>
      <w:r>
        <w:rPr>
          <w:rFonts w:ascii="Palatino Linotype" w:eastAsia="Palatino Linotype" w:hAnsi="Palatino Linotype" w:cs="Palatino Linotype"/>
          <w:sz w:val="22"/>
          <w:szCs w:val="22"/>
        </w:rPr>
        <w:t xml:space="preserve">cedió a la consulta de la información contenida en las ligas electrónicas proporcionadas por el </w:t>
      </w:r>
      <w:r>
        <w:rPr>
          <w:rFonts w:ascii="Palatino Linotype" w:eastAsia="Palatino Linotype" w:hAnsi="Palatino Linotype" w:cs="Palatino Linotype"/>
          <w:b/>
          <w:bCs/>
          <w:sz w:val="22"/>
          <w:szCs w:val="22"/>
        </w:rPr>
        <w:t xml:space="preserve">Sujeto Obligado, </w:t>
      </w:r>
      <w:r>
        <w:rPr>
          <w:rFonts w:ascii="Palatino Linotype" w:eastAsia="Palatino Linotype" w:hAnsi="Palatino Linotype" w:cs="Palatino Linotype"/>
          <w:sz w:val="22"/>
          <w:szCs w:val="22"/>
        </w:rPr>
        <w:t xml:space="preserve">observando lo siguiente: </w:t>
      </w:r>
    </w:p>
    <w:p w:rsidR="00A208B1" w:rsidRDefault="003E0D5B">
      <w:pPr>
        <w:tabs>
          <w:tab w:val="left" w:pos="975"/>
        </w:tabs>
        <w:spacing w:before="240" w:after="240" w:line="360" w:lineRule="auto"/>
        <w:jc w:val="both"/>
        <w:rPr>
          <w:rFonts w:ascii="Palatino Linotype" w:eastAsia="Palatino Linotype" w:hAnsi="Palatino Linotype" w:cs="Palatino Linotype"/>
          <w:sz w:val="22"/>
          <w:szCs w:val="22"/>
        </w:rPr>
      </w:pPr>
      <w:hyperlink r:id="rId12">
        <w:r>
          <w:rPr>
            <w:rFonts w:ascii="Palatino Linotype" w:eastAsia="Palatino Linotype" w:hAnsi="Palatino Linotype" w:cs="Palatino Linotype"/>
            <w:color w:val="000000"/>
            <w:sz w:val="22"/>
            <w:szCs w:val="22"/>
            <w:u w:val="single"/>
          </w:rPr>
          <w:t>https://www.texcocoedomex.gob.mx/</w:t>
        </w:r>
      </w:hyperlink>
    </w:p>
    <w:p w:rsidR="00A208B1" w:rsidRDefault="003E0D5B">
      <w:pPr>
        <w:tabs>
          <w:tab w:val="left" w:pos="975"/>
        </w:tabs>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drawing>
          <wp:inline distT="0" distB="0" distL="0" distR="0">
            <wp:extent cx="5612130" cy="2543175"/>
            <wp:effectExtent l="0" t="0" r="0" b="0"/>
            <wp:docPr id="3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t="1" b="30383"/>
                    <a:stretch>
                      <a:fillRect/>
                    </a:stretch>
                  </pic:blipFill>
                  <pic:spPr>
                    <a:xfrm>
                      <a:off x="0" y="0"/>
                      <a:ext cx="5612130" cy="2543175"/>
                    </a:xfrm>
                    <a:prstGeom prst="rect">
                      <a:avLst/>
                    </a:prstGeom>
                    <a:ln/>
                  </pic:spPr>
                </pic:pic>
              </a:graphicData>
            </a:graphic>
          </wp:inline>
        </w:drawing>
      </w:r>
    </w:p>
    <w:p w:rsidR="00A208B1" w:rsidRDefault="003E0D5B">
      <w:pPr>
        <w:tabs>
          <w:tab w:val="left" w:pos="975"/>
        </w:tabs>
        <w:spacing w:before="240" w:after="240" w:line="360" w:lineRule="auto"/>
        <w:jc w:val="both"/>
        <w:rPr>
          <w:rFonts w:ascii="Palatino Linotype" w:eastAsia="Palatino Linotype" w:hAnsi="Palatino Linotype" w:cs="Palatino Linotype"/>
          <w:sz w:val="22"/>
          <w:szCs w:val="22"/>
        </w:rPr>
      </w:pPr>
      <w:hyperlink r:id="rId14" w:anchor="/info-fraccion/108/190/1">
        <w:r>
          <w:rPr>
            <w:rFonts w:ascii="Palatino Linotype" w:eastAsia="Palatino Linotype" w:hAnsi="Palatino Linotype" w:cs="Palatino Linotype"/>
            <w:color w:val="000000"/>
            <w:sz w:val="22"/>
            <w:szCs w:val="22"/>
            <w:u w:val="single"/>
          </w:rPr>
          <w:t>https://infoem2.ipomex.org.mx/ipomex/#/info-fraccion/108/190/1</w:t>
        </w:r>
      </w:hyperlink>
      <w:r>
        <w:rPr>
          <w:rFonts w:ascii="Palatino Linotype" w:eastAsia="Palatino Linotype" w:hAnsi="Palatino Linotype" w:cs="Palatino Linotype"/>
          <w:sz w:val="22"/>
          <w:szCs w:val="22"/>
        </w:rPr>
        <w:t xml:space="preserve"> </w:t>
      </w:r>
    </w:p>
    <w:p w:rsidR="00A208B1" w:rsidRDefault="003E0D5B">
      <w:pPr>
        <w:tabs>
          <w:tab w:val="left" w:pos="975"/>
        </w:tabs>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drawing>
          <wp:inline distT="0" distB="0" distL="0" distR="0">
            <wp:extent cx="5612130" cy="2919730"/>
            <wp:effectExtent l="0" t="0" r="0" b="0"/>
            <wp:docPr id="3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5612130" cy="2919730"/>
                    </a:xfrm>
                    <a:prstGeom prst="rect">
                      <a:avLst/>
                    </a:prstGeom>
                    <a:ln/>
                  </pic:spPr>
                </pic:pic>
              </a:graphicData>
            </a:graphic>
          </wp:inline>
        </w:drawing>
      </w:r>
    </w:p>
    <w:p w:rsidR="00A208B1" w:rsidRDefault="003E0D5B">
      <w:pPr>
        <w:tabs>
          <w:tab w:val="left" w:pos="975"/>
        </w:tabs>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Como se advierte, la primera dirección proporcionada corresponde a la página oficial del </w:t>
      </w:r>
      <w:r>
        <w:rPr>
          <w:rFonts w:ascii="Palatino Linotype" w:eastAsia="Palatino Linotype" w:hAnsi="Palatino Linotype" w:cs="Palatino Linotype"/>
          <w:b/>
          <w:bCs/>
          <w:sz w:val="22"/>
          <w:szCs w:val="22"/>
        </w:rPr>
        <w:t xml:space="preserve">Sujeto Obligado, </w:t>
      </w:r>
      <w:r>
        <w:rPr>
          <w:rFonts w:ascii="Palatino Linotype" w:eastAsia="Palatino Linotype" w:hAnsi="Palatino Linotype" w:cs="Palatino Linotype"/>
          <w:sz w:val="22"/>
          <w:szCs w:val="22"/>
        </w:rPr>
        <w:t>mientras que la segunda d</w:t>
      </w:r>
      <w:r>
        <w:rPr>
          <w:rFonts w:ascii="Palatino Linotype" w:eastAsia="Palatino Linotype" w:hAnsi="Palatino Linotype" w:cs="Palatino Linotype"/>
          <w:sz w:val="22"/>
          <w:szCs w:val="22"/>
        </w:rPr>
        <w:t>irige al portal de Información Pública de Oficio Mexiquense, IPOMEX, concretamente al apartado de Licencias de construcción, de conformidad con la obligación de transparencia prevista en el artículo 94, fracción I, inciso F de la Ley de Transparencia y Acc</w:t>
      </w:r>
      <w:r>
        <w:rPr>
          <w:rFonts w:ascii="Palatino Linotype" w:eastAsia="Palatino Linotype" w:hAnsi="Palatino Linotype" w:cs="Palatino Linotype"/>
          <w:sz w:val="22"/>
          <w:szCs w:val="22"/>
        </w:rPr>
        <w:t>eso a la Información Pública del Estado de México y Municipios.</w:t>
      </w:r>
    </w:p>
    <w:p w:rsidR="00A208B1" w:rsidRDefault="003E0D5B">
      <w:pPr>
        <w:spacing w:before="240" w:after="240"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Por consiguiente, la orientación proporcionada por la persona servidora pública habilitada no cumple con los parámetros necesarios para realizar la consulta de la información, toda vez que la </w:t>
      </w:r>
      <w:r>
        <w:rPr>
          <w:rFonts w:ascii="Palatino Linotype" w:eastAsia="Palatino Linotype" w:hAnsi="Palatino Linotype" w:cs="Palatino Linotype"/>
          <w:sz w:val="22"/>
          <w:szCs w:val="22"/>
        </w:rPr>
        <w:t>fuente proporcionada no es precisa ni concreta, asimismo, tampoco se proporcionaron los pasos a seguir para realizar la consulta, por lo que no puede tenerse por válida.</w:t>
      </w:r>
    </w:p>
    <w:p w:rsidR="00A208B1" w:rsidRDefault="003E0D5B">
      <w:pPr>
        <w:spacing w:before="240" w:after="240"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este orden de ideas, dado que el Derecho de acceso de la parte </w:t>
      </w:r>
      <w:r>
        <w:rPr>
          <w:rFonts w:ascii="Palatino Linotype" w:eastAsia="Palatino Linotype" w:hAnsi="Palatino Linotype" w:cs="Palatino Linotype"/>
          <w:b/>
          <w:bCs/>
          <w:sz w:val="22"/>
          <w:szCs w:val="22"/>
        </w:rPr>
        <w:t xml:space="preserve">Recurrente </w:t>
      </w:r>
      <w:r>
        <w:rPr>
          <w:rFonts w:ascii="Palatino Linotype" w:eastAsia="Palatino Linotype" w:hAnsi="Palatino Linotype" w:cs="Palatino Linotype"/>
          <w:sz w:val="22"/>
          <w:szCs w:val="22"/>
        </w:rPr>
        <w:t>no ha que</w:t>
      </w:r>
      <w:r>
        <w:rPr>
          <w:rFonts w:ascii="Palatino Linotype" w:eastAsia="Palatino Linotype" w:hAnsi="Palatino Linotype" w:cs="Palatino Linotype"/>
          <w:sz w:val="22"/>
          <w:szCs w:val="22"/>
        </w:rPr>
        <w:t>dado satisfecho, se estima necesario ordenar se haga entrega del o los documentos que colmen lo solicitado en versión pública de ser procedente, previa búsqueda exhaustiva y razonable en las áreas competentes.</w:t>
      </w:r>
    </w:p>
    <w:p w:rsidR="00A208B1" w:rsidRDefault="003E0D5B">
      <w:pPr>
        <w:spacing w:before="240" w:after="240"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Para efectos de lo anterior, conviene hacer al</w:t>
      </w:r>
      <w:r>
        <w:rPr>
          <w:rFonts w:ascii="Palatino Linotype" w:eastAsia="Palatino Linotype" w:hAnsi="Palatino Linotype" w:cs="Palatino Linotype"/>
          <w:sz w:val="22"/>
          <w:szCs w:val="22"/>
        </w:rPr>
        <w:t xml:space="preserve">usión a lo dispuesto en la Ley de Contratación Pública del Estado de México y Municipios, la cual tiene por objeto regular los actos relativos a la </w:t>
      </w:r>
      <w:r>
        <w:rPr>
          <w:rFonts w:ascii="Palatino Linotype" w:eastAsia="Palatino Linotype" w:hAnsi="Palatino Linotype" w:cs="Palatino Linotype"/>
          <w:b/>
          <w:bCs/>
          <w:sz w:val="22"/>
          <w:szCs w:val="22"/>
          <w:u w:val="single"/>
        </w:rPr>
        <w:t>planeación, programación, presupuestación</w:t>
      </w:r>
      <w:r>
        <w:rPr>
          <w:rFonts w:ascii="Palatino Linotype" w:eastAsia="Palatino Linotype" w:hAnsi="Palatino Linotype" w:cs="Palatino Linotype"/>
          <w:sz w:val="22"/>
          <w:szCs w:val="22"/>
        </w:rPr>
        <w:t xml:space="preserve">, ejecución y control de la </w:t>
      </w:r>
      <w:r>
        <w:rPr>
          <w:rFonts w:ascii="Palatino Linotype" w:eastAsia="Palatino Linotype" w:hAnsi="Palatino Linotype" w:cs="Palatino Linotype"/>
          <w:b/>
          <w:bCs/>
          <w:sz w:val="22"/>
          <w:szCs w:val="22"/>
          <w:u w:val="single"/>
        </w:rPr>
        <w:t>adquisición</w:t>
      </w:r>
      <w:r>
        <w:rPr>
          <w:rFonts w:ascii="Palatino Linotype" w:eastAsia="Palatino Linotype" w:hAnsi="Palatino Linotype" w:cs="Palatino Linotype"/>
          <w:sz w:val="22"/>
          <w:szCs w:val="22"/>
        </w:rPr>
        <w:t xml:space="preserve">, enajenación y arrendamiento de bienes, y la </w:t>
      </w:r>
      <w:r>
        <w:rPr>
          <w:rFonts w:ascii="Palatino Linotype" w:eastAsia="Palatino Linotype" w:hAnsi="Palatino Linotype" w:cs="Palatino Linotype"/>
          <w:b/>
          <w:bCs/>
          <w:sz w:val="22"/>
          <w:szCs w:val="22"/>
          <w:u w:val="single"/>
        </w:rPr>
        <w:t>contratación de servicios de cualquier naturaleza, que realicen los Ayuntamientos del Estado</w:t>
      </w:r>
      <w:r>
        <w:rPr>
          <w:rFonts w:ascii="Palatino Linotype" w:eastAsia="Palatino Linotype" w:hAnsi="Palatino Linotype" w:cs="Palatino Linotype"/>
          <w:sz w:val="22"/>
          <w:szCs w:val="22"/>
        </w:rPr>
        <w:t>; entre ellos el Sujeto Obligado, los cuales se adjudicarán a través de licitación pública, invitación restringida o a</w:t>
      </w:r>
      <w:r>
        <w:rPr>
          <w:rFonts w:ascii="Palatino Linotype" w:eastAsia="Palatino Linotype" w:hAnsi="Palatino Linotype" w:cs="Palatino Linotype"/>
          <w:sz w:val="22"/>
          <w:szCs w:val="22"/>
        </w:rPr>
        <w:t>djudicación directa, mediante convocatoria pública, tal y como lo establecen los artículos 4, 26 y 27 de dicha Ley, los cuales son del tenor siguiente:</w:t>
      </w:r>
    </w:p>
    <w:p w:rsidR="00A208B1" w:rsidRDefault="003E0D5B">
      <w:pPr>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“Artículo 4.-</w:t>
      </w:r>
      <w:r>
        <w:rPr>
          <w:rFonts w:ascii="Palatino Linotype" w:eastAsia="Palatino Linotype" w:hAnsi="Palatino Linotype" w:cs="Palatino Linotype"/>
          <w:i/>
          <w:iCs/>
          <w:sz w:val="22"/>
          <w:szCs w:val="22"/>
        </w:rPr>
        <w:t xml:space="preserve"> Para los efectos de esta Ley, </w:t>
      </w:r>
      <w:r>
        <w:rPr>
          <w:rFonts w:ascii="Palatino Linotype" w:eastAsia="Palatino Linotype" w:hAnsi="Palatino Linotype" w:cs="Palatino Linotype"/>
          <w:b/>
          <w:bCs/>
          <w:i/>
          <w:iCs/>
          <w:sz w:val="22"/>
          <w:szCs w:val="22"/>
        </w:rPr>
        <w:t>en las adquisiciones, enajenaciones, arrendamientos y servic</w:t>
      </w:r>
      <w:r>
        <w:rPr>
          <w:rFonts w:ascii="Palatino Linotype" w:eastAsia="Palatino Linotype" w:hAnsi="Palatino Linotype" w:cs="Palatino Linotype"/>
          <w:b/>
          <w:bCs/>
          <w:i/>
          <w:iCs/>
          <w:sz w:val="22"/>
          <w:szCs w:val="22"/>
        </w:rPr>
        <w:t>ios, quedan comprendidos</w:t>
      </w:r>
      <w:r>
        <w:rPr>
          <w:rFonts w:ascii="Palatino Linotype" w:eastAsia="Palatino Linotype" w:hAnsi="Palatino Linotype" w:cs="Palatino Linotype"/>
          <w:i/>
          <w:iCs/>
          <w:sz w:val="22"/>
          <w:szCs w:val="22"/>
        </w:rPr>
        <w:t>:</w:t>
      </w:r>
    </w:p>
    <w:p w:rsidR="00A208B1" w:rsidRDefault="003E0D5B">
      <w:pPr>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w:t>
      </w:r>
      <w:r>
        <w:rPr>
          <w:rFonts w:ascii="Palatino Linotype" w:eastAsia="Palatino Linotype" w:hAnsi="Palatino Linotype" w:cs="Palatino Linotype"/>
          <w:i/>
          <w:iCs/>
          <w:sz w:val="22"/>
          <w:szCs w:val="22"/>
        </w:rPr>
        <w:t xml:space="preserve"> La adquisición de bienes muebles.</w:t>
      </w:r>
    </w:p>
    <w:p w:rsidR="00A208B1" w:rsidRDefault="003E0D5B">
      <w:pPr>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II</w:t>
      </w:r>
      <w:r>
        <w:rPr>
          <w:rFonts w:ascii="Palatino Linotype" w:eastAsia="Palatino Linotype" w:hAnsi="Palatino Linotype" w:cs="Palatino Linotype"/>
          <w:i/>
          <w:iCs/>
          <w:sz w:val="22"/>
          <w:szCs w:val="22"/>
        </w:rPr>
        <w:t>. La adquisición de bienes inmuebles, a través de compraventa.</w:t>
      </w:r>
    </w:p>
    <w:p w:rsidR="00A208B1" w:rsidRDefault="003E0D5B">
      <w:pPr>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III.</w:t>
      </w:r>
      <w:r>
        <w:rPr>
          <w:rFonts w:ascii="Palatino Linotype" w:eastAsia="Palatino Linotype" w:hAnsi="Palatino Linotype" w:cs="Palatino Linotype"/>
          <w:i/>
          <w:iCs/>
          <w:sz w:val="22"/>
          <w:szCs w:val="22"/>
        </w:rPr>
        <w:t xml:space="preserve"> La enajenación de bienes muebles e inmuebles.</w:t>
      </w:r>
    </w:p>
    <w:p w:rsidR="00A208B1" w:rsidRDefault="003E0D5B">
      <w:pPr>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IV.</w:t>
      </w:r>
      <w:r>
        <w:rPr>
          <w:rFonts w:ascii="Palatino Linotype" w:eastAsia="Palatino Linotype" w:hAnsi="Palatino Linotype" w:cs="Palatino Linotype"/>
          <w:i/>
          <w:iCs/>
          <w:sz w:val="22"/>
          <w:szCs w:val="22"/>
        </w:rPr>
        <w:t xml:space="preserve"> El arrendamiento de bienes muebles e inmuebles. </w:t>
      </w:r>
    </w:p>
    <w:p w:rsidR="00A208B1" w:rsidRDefault="003E0D5B">
      <w:pPr>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V</w:t>
      </w:r>
      <w:r>
        <w:rPr>
          <w:rFonts w:ascii="Palatino Linotype" w:eastAsia="Palatino Linotype" w:hAnsi="Palatino Linotype" w:cs="Palatino Linotype"/>
          <w:i/>
          <w:iCs/>
          <w:sz w:val="22"/>
          <w:szCs w:val="22"/>
        </w:rPr>
        <w:t>. La contratación de lo</w:t>
      </w:r>
      <w:r>
        <w:rPr>
          <w:rFonts w:ascii="Palatino Linotype" w:eastAsia="Palatino Linotype" w:hAnsi="Palatino Linotype" w:cs="Palatino Linotype"/>
          <w:i/>
          <w:iCs/>
          <w:sz w:val="22"/>
          <w:szCs w:val="22"/>
        </w:rPr>
        <w:t>s servicios, relacionados con bienes muebles que se encuentran incorporados o adheridos a bienes inmuebles, cuya instalación o mantenimiento no implique modificación al bien inmueble.</w:t>
      </w:r>
    </w:p>
    <w:p w:rsidR="00A208B1" w:rsidRDefault="003E0D5B">
      <w:pPr>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VI.</w:t>
      </w:r>
      <w:r>
        <w:rPr>
          <w:rFonts w:ascii="Palatino Linotype" w:eastAsia="Palatino Linotype" w:hAnsi="Palatino Linotype" w:cs="Palatino Linotype"/>
          <w:i/>
          <w:iCs/>
          <w:sz w:val="22"/>
          <w:szCs w:val="22"/>
        </w:rPr>
        <w:t xml:space="preserve"> La contratación de los servicios de reconstrucción y mantenimiento d</w:t>
      </w:r>
      <w:r>
        <w:rPr>
          <w:rFonts w:ascii="Palatino Linotype" w:eastAsia="Palatino Linotype" w:hAnsi="Palatino Linotype" w:cs="Palatino Linotype"/>
          <w:i/>
          <w:iCs/>
          <w:sz w:val="22"/>
          <w:szCs w:val="22"/>
        </w:rPr>
        <w:t xml:space="preserve">e bienes muebles. </w:t>
      </w:r>
    </w:p>
    <w:p w:rsidR="00A208B1" w:rsidRDefault="003E0D5B">
      <w:pPr>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VII.</w:t>
      </w:r>
      <w:r>
        <w:rPr>
          <w:rFonts w:ascii="Palatino Linotype" w:eastAsia="Palatino Linotype" w:hAnsi="Palatino Linotype" w:cs="Palatino Linotype"/>
          <w:i/>
          <w:iCs/>
          <w:sz w:val="22"/>
          <w:szCs w:val="22"/>
        </w:rPr>
        <w:t xml:space="preserve"> La contratación de los servicios de maquila, seguros y transportación, así como de los de limpieza y vigilancia de bienes inmuebles. </w:t>
      </w:r>
    </w:p>
    <w:p w:rsidR="00A208B1" w:rsidRDefault="003E0D5B">
      <w:pPr>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VIII.</w:t>
      </w:r>
      <w:r>
        <w:rPr>
          <w:rFonts w:ascii="Palatino Linotype" w:eastAsia="Palatino Linotype" w:hAnsi="Palatino Linotype" w:cs="Palatino Linotype"/>
          <w:i/>
          <w:iCs/>
          <w:sz w:val="22"/>
          <w:szCs w:val="22"/>
        </w:rPr>
        <w:t xml:space="preserve"> La prestación de servicios profesionales, la contratación de consultorías, asesorías y estudios e investigaciones, excepto la contratación de servicios personales de personas físicas bajo el régimen de honorarios. </w:t>
      </w:r>
    </w:p>
    <w:p w:rsidR="00A208B1" w:rsidRDefault="003E0D5B">
      <w:pPr>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En general, otros actos que impliquen la</w:t>
      </w:r>
      <w:r>
        <w:rPr>
          <w:rFonts w:ascii="Palatino Linotype" w:eastAsia="Palatino Linotype" w:hAnsi="Palatino Linotype" w:cs="Palatino Linotype"/>
          <w:i/>
          <w:iCs/>
          <w:sz w:val="22"/>
          <w:szCs w:val="22"/>
        </w:rPr>
        <w:t xml:space="preserve"> contratación de servicios de cualquier naturaleza</w:t>
      </w:r>
    </w:p>
    <w:p w:rsidR="00A208B1" w:rsidRDefault="003E0D5B">
      <w:pPr>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Artículo 26.-</w:t>
      </w: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b/>
          <w:bCs/>
          <w:i/>
          <w:iCs/>
          <w:sz w:val="22"/>
          <w:szCs w:val="22"/>
        </w:rPr>
        <w:t>Las adquisiciones, arrendamientos y servicios se adjudicarán a través de licitaciones públicas</w:t>
      </w:r>
      <w:r>
        <w:rPr>
          <w:rFonts w:ascii="Palatino Linotype" w:eastAsia="Palatino Linotype" w:hAnsi="Palatino Linotype" w:cs="Palatino Linotype"/>
          <w:i/>
          <w:iCs/>
          <w:sz w:val="22"/>
          <w:szCs w:val="22"/>
        </w:rPr>
        <w:t xml:space="preserve">, mediante convocatoria pública. </w:t>
      </w:r>
    </w:p>
    <w:p w:rsidR="00A208B1" w:rsidRDefault="003E0D5B">
      <w:pPr>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Artículo 27.</w:t>
      </w:r>
      <w:r>
        <w:rPr>
          <w:rFonts w:ascii="Palatino Linotype" w:eastAsia="Palatino Linotype" w:hAnsi="Palatino Linotype" w:cs="Palatino Linotype"/>
          <w:i/>
          <w:iCs/>
          <w:sz w:val="22"/>
          <w:szCs w:val="22"/>
        </w:rPr>
        <w:t>- La Secretaría, las entidades, los tribunales admi</w:t>
      </w:r>
      <w:r>
        <w:rPr>
          <w:rFonts w:ascii="Palatino Linotype" w:eastAsia="Palatino Linotype" w:hAnsi="Palatino Linotype" w:cs="Palatino Linotype"/>
          <w:i/>
          <w:iCs/>
          <w:sz w:val="22"/>
          <w:szCs w:val="22"/>
        </w:rPr>
        <w:t xml:space="preserve">nistrativos y los ayuntamientos podrán </w:t>
      </w:r>
      <w:r>
        <w:rPr>
          <w:rFonts w:ascii="Palatino Linotype" w:eastAsia="Palatino Linotype" w:hAnsi="Palatino Linotype" w:cs="Palatino Linotype"/>
          <w:b/>
          <w:bCs/>
          <w:i/>
          <w:iCs/>
          <w:sz w:val="22"/>
          <w:szCs w:val="22"/>
        </w:rPr>
        <w:t>adjudicar adquisiciones, arrendamientos y servicios, mediante las excepciones al procedimiento de licitación</w:t>
      </w:r>
      <w:r>
        <w:rPr>
          <w:rFonts w:ascii="Palatino Linotype" w:eastAsia="Palatino Linotype" w:hAnsi="Palatino Linotype" w:cs="Palatino Linotype"/>
          <w:i/>
          <w:iCs/>
          <w:sz w:val="22"/>
          <w:szCs w:val="22"/>
        </w:rPr>
        <w:t xml:space="preserve"> que a continuación se señalan:</w:t>
      </w:r>
    </w:p>
    <w:p w:rsidR="00A208B1" w:rsidRDefault="003E0D5B">
      <w:pPr>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w:t>
      </w:r>
      <w:r>
        <w:rPr>
          <w:rFonts w:ascii="Palatino Linotype" w:eastAsia="Palatino Linotype" w:hAnsi="Palatino Linotype" w:cs="Palatino Linotype"/>
          <w:i/>
          <w:iCs/>
          <w:sz w:val="22"/>
          <w:szCs w:val="22"/>
        </w:rPr>
        <w:t>. Invitación restringida.</w:t>
      </w:r>
    </w:p>
    <w:p w:rsidR="00A208B1" w:rsidRDefault="003E0D5B">
      <w:pPr>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II. </w:t>
      </w:r>
      <w:r>
        <w:rPr>
          <w:rFonts w:ascii="Palatino Linotype" w:eastAsia="Palatino Linotype" w:hAnsi="Palatino Linotype" w:cs="Palatino Linotype"/>
          <w:i/>
          <w:iCs/>
          <w:sz w:val="22"/>
          <w:szCs w:val="22"/>
        </w:rPr>
        <w:t>Adjudicación directa.”</w:t>
      </w:r>
    </w:p>
    <w:p w:rsidR="00A208B1" w:rsidRDefault="003E0D5B">
      <w:pPr>
        <w:spacing w:before="240" w:after="240"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efecto, con base en </w:t>
      </w:r>
      <w:r>
        <w:rPr>
          <w:rFonts w:ascii="Palatino Linotype" w:eastAsia="Palatino Linotype" w:hAnsi="Palatino Linotype" w:cs="Palatino Linotype"/>
          <w:sz w:val="22"/>
          <w:szCs w:val="22"/>
        </w:rPr>
        <w:t>los preceptos citados se advierte que, por regla general, las adquisiciones, enajenaciones, arrendamientos y servicios, que celebren los entes públicos, deben adjudicarse mediante licitación pública, sin embargo, también se contemplan como excepciones a di</w:t>
      </w:r>
      <w:r>
        <w:rPr>
          <w:rFonts w:ascii="Palatino Linotype" w:eastAsia="Palatino Linotype" w:hAnsi="Palatino Linotype" w:cs="Palatino Linotype"/>
          <w:sz w:val="22"/>
          <w:szCs w:val="22"/>
        </w:rPr>
        <w:t>cho proceso, la invitación restringida y la adjudicación directa.</w:t>
      </w:r>
    </w:p>
    <w:p w:rsidR="00A208B1" w:rsidRDefault="003E0D5B">
      <w:pPr>
        <w:spacing w:before="240" w:after="240"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efecto, con base en los preceptos citados se advierte que, por regla general, las adquisiciones, enajenaciones, arrendamientos y servicios, que celebren los entes públicos, deben adjudica</w:t>
      </w:r>
      <w:r>
        <w:rPr>
          <w:rFonts w:ascii="Palatino Linotype" w:eastAsia="Palatino Linotype" w:hAnsi="Palatino Linotype" w:cs="Palatino Linotype"/>
          <w:sz w:val="22"/>
          <w:szCs w:val="22"/>
        </w:rPr>
        <w:t>rse mediante licitación pública, sin embargo, también se contemplan como excepciones a dicho proceso, la invitación restringida y la adjudicación directa.</w:t>
      </w:r>
    </w:p>
    <w:p w:rsidR="00A208B1" w:rsidRDefault="003E0D5B">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ello, de acuerdo con el artículo 44 de la Ley de Contratación Pública del Estado de México y Muni</w:t>
      </w:r>
      <w:r>
        <w:rPr>
          <w:rFonts w:ascii="Palatino Linotype" w:eastAsia="Palatino Linotype" w:hAnsi="Palatino Linotype" w:cs="Palatino Linotype"/>
          <w:sz w:val="22"/>
          <w:szCs w:val="22"/>
        </w:rPr>
        <w:t xml:space="preserve">cipios, las entidades públicas podrán adquirir y contratar servicios mediante invitación restringida en los siguientes casos: </w:t>
      </w:r>
    </w:p>
    <w:p w:rsidR="00A208B1" w:rsidRDefault="003E0D5B">
      <w:pPr>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“Artículo 44.-</w:t>
      </w:r>
      <w:r>
        <w:rPr>
          <w:rFonts w:ascii="Palatino Linotype" w:eastAsia="Palatino Linotype" w:hAnsi="Palatino Linotype" w:cs="Palatino Linotype"/>
          <w:i/>
          <w:iCs/>
          <w:sz w:val="22"/>
          <w:szCs w:val="22"/>
        </w:rPr>
        <w:t xml:space="preserve"> La Secretaría, las entidades, los tribunales administrativos y los ayuntamientos podrán adquirir y contratar servicios mediante invitación restringida, cuando:</w:t>
      </w:r>
    </w:p>
    <w:p w:rsidR="00A208B1" w:rsidRDefault="003E0D5B">
      <w:pPr>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w:t>
      </w:r>
      <w:r>
        <w:rPr>
          <w:rFonts w:ascii="Palatino Linotype" w:eastAsia="Palatino Linotype" w:hAnsi="Palatino Linotype" w:cs="Palatino Linotype"/>
          <w:i/>
          <w:iCs/>
          <w:sz w:val="22"/>
          <w:szCs w:val="22"/>
        </w:rPr>
        <w:t xml:space="preserve"> Se hubiere declarado desierto un procedimiento de licitación, o</w:t>
      </w:r>
    </w:p>
    <w:p w:rsidR="00A208B1" w:rsidRDefault="003E0D5B">
      <w:pPr>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II</w:t>
      </w:r>
      <w:r>
        <w:rPr>
          <w:rFonts w:ascii="Palatino Linotype" w:eastAsia="Palatino Linotype" w:hAnsi="Palatino Linotype" w:cs="Palatino Linotype"/>
          <w:i/>
          <w:iCs/>
          <w:sz w:val="22"/>
          <w:szCs w:val="22"/>
        </w:rPr>
        <w:t>. El importe de la operaci</w:t>
      </w:r>
      <w:r>
        <w:rPr>
          <w:rFonts w:ascii="Palatino Linotype" w:eastAsia="Palatino Linotype" w:hAnsi="Palatino Linotype" w:cs="Palatino Linotype"/>
          <w:i/>
          <w:iCs/>
          <w:sz w:val="22"/>
          <w:szCs w:val="22"/>
        </w:rPr>
        <w:t>ón no exceda de los montos establecidos por el Presupuesto de Egresos del Gobierno del Estado de México del ejercicio correspondiente.</w:t>
      </w:r>
    </w:p>
    <w:p w:rsidR="00A208B1" w:rsidRDefault="003E0D5B">
      <w:pPr>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 La Secretaría, las entidades, los tribunales administrativos y los ayuntamientos se abstendrán de fraccionar el importe </w:t>
      </w:r>
      <w:r>
        <w:rPr>
          <w:rFonts w:ascii="Palatino Linotype" w:eastAsia="Palatino Linotype" w:hAnsi="Palatino Linotype" w:cs="Palatino Linotype"/>
          <w:i/>
          <w:iCs/>
          <w:sz w:val="22"/>
          <w:szCs w:val="22"/>
        </w:rPr>
        <w:t>de las operaciones, con el propósito de quedar comprendidos en este supuesto de excepción. La Secretaría de la Contraloría y los órganos de control interno, en el ámbito de su competencia, vigilarán el cumplimiento de esta disposición.</w:t>
      </w:r>
    </w:p>
    <w:p w:rsidR="00A208B1" w:rsidRDefault="003E0D5B">
      <w:pPr>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En la invitación deb</w:t>
      </w:r>
      <w:r>
        <w:rPr>
          <w:rFonts w:ascii="Palatino Linotype" w:eastAsia="Palatino Linotype" w:hAnsi="Palatino Linotype" w:cs="Palatino Linotype"/>
          <w:i/>
          <w:iCs/>
          <w:sz w:val="22"/>
          <w:szCs w:val="22"/>
        </w:rPr>
        <w:t>erá especificarse si en el proceso de asignación aplicará la modalidad de subasta inversa.”</w:t>
      </w:r>
    </w:p>
    <w:p w:rsidR="00A208B1" w:rsidRDefault="003E0D5B">
      <w:pPr>
        <w:spacing w:before="240" w:after="240"/>
        <w:ind w:right="49"/>
        <w:jc w:val="both"/>
        <w:rPr>
          <w:rFonts w:ascii="Palatino Linotype" w:eastAsia="Palatino Linotype" w:hAnsi="Palatino Linotype" w:cs="Palatino Linotype"/>
          <w:i/>
          <w:iCs/>
          <w:sz w:val="22"/>
          <w:szCs w:val="22"/>
        </w:rPr>
      </w:pPr>
      <w:r>
        <w:rPr>
          <w:rFonts w:ascii="Palatino Linotype" w:eastAsia="Palatino Linotype" w:hAnsi="Palatino Linotype" w:cs="Palatino Linotype"/>
          <w:sz w:val="22"/>
          <w:szCs w:val="22"/>
        </w:rPr>
        <w:t>Asimismo, el artículo 46 de la Ley referida, menciona que:</w:t>
      </w:r>
    </w:p>
    <w:p w:rsidR="00A208B1" w:rsidRDefault="003E0D5B">
      <w:pPr>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bCs/>
          <w:i/>
          <w:iCs/>
          <w:sz w:val="22"/>
          <w:szCs w:val="22"/>
        </w:rPr>
        <w:t>Artículo 46.-</w:t>
      </w:r>
      <w:r>
        <w:rPr>
          <w:rFonts w:ascii="Palatino Linotype" w:eastAsia="Palatino Linotype" w:hAnsi="Palatino Linotype" w:cs="Palatino Linotype"/>
          <w:i/>
          <w:iCs/>
          <w:sz w:val="22"/>
          <w:szCs w:val="22"/>
        </w:rPr>
        <w:t xml:space="preserve"> El procedimiento de invitación restringida se desarrollará en los términos de la licitaci</w:t>
      </w:r>
      <w:r>
        <w:rPr>
          <w:rFonts w:ascii="Palatino Linotype" w:eastAsia="Palatino Linotype" w:hAnsi="Palatino Linotype" w:cs="Palatino Linotype"/>
          <w:i/>
          <w:iCs/>
          <w:sz w:val="22"/>
          <w:szCs w:val="22"/>
        </w:rPr>
        <w:t>ón pública, a excepción de la publicación de la convocatoria.”</w:t>
      </w:r>
    </w:p>
    <w:p w:rsidR="00A208B1" w:rsidRDefault="003E0D5B">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otra parte, el artículo 48 de la Ley en cita precisa que, respecto a los procedimientos de Adjudicación Directa, las entidades públicas podrán adquirir bienes, arrendar bienes muebles e inm</w:t>
      </w:r>
      <w:r>
        <w:rPr>
          <w:rFonts w:ascii="Palatino Linotype" w:eastAsia="Palatino Linotype" w:hAnsi="Palatino Linotype" w:cs="Palatino Linotype"/>
          <w:sz w:val="22"/>
          <w:szCs w:val="22"/>
        </w:rPr>
        <w:t xml:space="preserve">uebles y contratar servicios mediante adjudicación directa cuando: </w:t>
      </w:r>
    </w:p>
    <w:p w:rsidR="00A208B1" w:rsidRDefault="003E0D5B">
      <w:pPr>
        <w:tabs>
          <w:tab w:val="left" w:pos="7938"/>
        </w:tabs>
        <w:spacing w:before="120" w:after="120"/>
        <w:ind w:left="851" w:right="900"/>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“Artículo 48.-</w:t>
      </w:r>
      <w:r>
        <w:rPr>
          <w:rFonts w:ascii="Palatino Linotype" w:eastAsia="Palatino Linotype" w:hAnsi="Palatino Linotype" w:cs="Palatino Linotype"/>
          <w:i/>
          <w:iCs/>
          <w:sz w:val="22"/>
          <w:szCs w:val="22"/>
        </w:rPr>
        <w:t xml:space="preserve"> La Secretaría, las entidades, los tribunales administrativos y los ayuntamientos podrán adquirir bienes, arrendar bienes muebles e inmuebles y contratar servicios, mediante </w:t>
      </w:r>
      <w:r>
        <w:rPr>
          <w:rFonts w:ascii="Palatino Linotype" w:eastAsia="Palatino Linotype" w:hAnsi="Palatino Linotype" w:cs="Palatino Linotype"/>
          <w:i/>
          <w:iCs/>
          <w:sz w:val="22"/>
          <w:szCs w:val="22"/>
        </w:rPr>
        <w:t>adjudicación directa, cuando:</w:t>
      </w:r>
    </w:p>
    <w:p w:rsidR="00A208B1" w:rsidRDefault="003E0D5B">
      <w:pPr>
        <w:tabs>
          <w:tab w:val="left" w:pos="7938"/>
        </w:tabs>
        <w:spacing w:before="120" w:after="120"/>
        <w:ind w:left="851" w:right="900"/>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w:t>
      </w:r>
      <w:r>
        <w:rPr>
          <w:rFonts w:ascii="Palatino Linotype" w:eastAsia="Palatino Linotype" w:hAnsi="Palatino Linotype" w:cs="Palatino Linotype"/>
          <w:i/>
          <w:iCs/>
          <w:sz w:val="22"/>
          <w:szCs w:val="22"/>
        </w:rPr>
        <w:t>. La adquisición o el servicio sólo puedan realizarse con una determinada persona, por tratarse de obras de arte, titularidad de patentes, registros, marcas específicas, derechos de autor u otros derechos exclusivos.</w:t>
      </w:r>
    </w:p>
    <w:p w:rsidR="00A208B1" w:rsidRDefault="003E0D5B">
      <w:pPr>
        <w:tabs>
          <w:tab w:val="left" w:pos="7938"/>
        </w:tabs>
        <w:spacing w:before="120" w:after="120"/>
        <w:ind w:left="851" w:right="900"/>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II</w:t>
      </w:r>
      <w:r>
        <w:rPr>
          <w:rFonts w:ascii="Palatino Linotype" w:eastAsia="Palatino Linotype" w:hAnsi="Palatino Linotype" w:cs="Palatino Linotype"/>
          <w:i/>
          <w:iCs/>
          <w:sz w:val="22"/>
          <w:szCs w:val="22"/>
        </w:rPr>
        <w:t>. La adquisición o el arrendamiento de algún inmueble sólo puedan realizarse con determinada persona, por ser el único bien disponible en el mercado inmobiliario que reúna las características de dimensión, ubicación, servicios y otras que requieran las dep</w:t>
      </w:r>
      <w:r>
        <w:rPr>
          <w:rFonts w:ascii="Palatino Linotype" w:eastAsia="Palatino Linotype" w:hAnsi="Palatino Linotype" w:cs="Palatino Linotype"/>
          <w:i/>
          <w:iCs/>
          <w:sz w:val="22"/>
          <w:szCs w:val="22"/>
        </w:rPr>
        <w:t>endencias, las entidades, los tribunales administrativos o los ayuntamientos para su buen funcionamiento o para la adecuada prestación de los servicios públicos a su cargo.</w:t>
      </w:r>
    </w:p>
    <w:p w:rsidR="00A208B1" w:rsidRDefault="003E0D5B">
      <w:pPr>
        <w:tabs>
          <w:tab w:val="left" w:pos="7938"/>
        </w:tabs>
        <w:spacing w:before="120" w:after="120"/>
        <w:ind w:left="851" w:right="900"/>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III.</w:t>
      </w:r>
      <w:r>
        <w:rPr>
          <w:rFonts w:ascii="Palatino Linotype" w:eastAsia="Palatino Linotype" w:hAnsi="Palatino Linotype" w:cs="Palatino Linotype"/>
          <w:i/>
          <w:iCs/>
          <w:sz w:val="22"/>
          <w:szCs w:val="22"/>
        </w:rPr>
        <w:t xml:space="preserve"> Se trate de servicios que requieran de experiencia, técnicas o equipos especia</w:t>
      </w:r>
      <w:r>
        <w:rPr>
          <w:rFonts w:ascii="Palatino Linotype" w:eastAsia="Palatino Linotype" w:hAnsi="Palatino Linotype" w:cs="Palatino Linotype"/>
          <w:i/>
          <w:iCs/>
          <w:sz w:val="22"/>
          <w:szCs w:val="22"/>
        </w:rPr>
        <w:t>les, o se trate de la adquisición de bienes usados o de características especiales que solamente puedan ser prestados o suministrados por una sola persona.</w:t>
      </w:r>
    </w:p>
    <w:p w:rsidR="00A208B1" w:rsidRDefault="003E0D5B">
      <w:pPr>
        <w:tabs>
          <w:tab w:val="left" w:pos="7938"/>
        </w:tabs>
        <w:spacing w:before="120" w:after="120"/>
        <w:ind w:left="851" w:right="900"/>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IV.</w:t>
      </w:r>
      <w:r>
        <w:rPr>
          <w:rFonts w:ascii="Palatino Linotype" w:eastAsia="Palatino Linotype" w:hAnsi="Palatino Linotype" w:cs="Palatino Linotype"/>
          <w:i/>
          <w:iCs/>
          <w:sz w:val="22"/>
          <w:szCs w:val="22"/>
        </w:rPr>
        <w:t xml:space="preserve"> Sea urgente la adquisición de bienes, arrendamientos o servicios por estar en riesgo el orden so</w:t>
      </w:r>
      <w:r>
        <w:rPr>
          <w:rFonts w:ascii="Palatino Linotype" w:eastAsia="Palatino Linotype" w:hAnsi="Palatino Linotype" w:cs="Palatino Linotype"/>
          <w:i/>
          <w:iCs/>
          <w:sz w:val="22"/>
          <w:szCs w:val="22"/>
        </w:rPr>
        <w:t>cial, la salubridad, la seguridad pública o el ambiente, de alguna zona o región del Estado; se paralicen los servicios públicos; se trate de programas o acciones de apoyo a la población para atender necesidades apremiantes, o concurra alguna causa similar</w:t>
      </w:r>
      <w:r>
        <w:rPr>
          <w:rFonts w:ascii="Palatino Linotype" w:eastAsia="Palatino Linotype" w:hAnsi="Palatino Linotype" w:cs="Palatino Linotype"/>
          <w:i/>
          <w:iCs/>
          <w:sz w:val="22"/>
          <w:szCs w:val="22"/>
        </w:rPr>
        <w:t xml:space="preserve"> de interés público.</w:t>
      </w:r>
    </w:p>
    <w:p w:rsidR="00A208B1" w:rsidRDefault="003E0D5B">
      <w:pPr>
        <w:tabs>
          <w:tab w:val="left" w:pos="7938"/>
        </w:tabs>
        <w:spacing w:before="120" w:after="120"/>
        <w:ind w:left="851" w:right="900"/>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V</w:t>
      </w:r>
      <w:r>
        <w:rPr>
          <w:rFonts w:ascii="Palatino Linotype" w:eastAsia="Palatino Linotype" w:hAnsi="Palatino Linotype" w:cs="Palatino Linotype"/>
          <w:i/>
          <w:iCs/>
          <w:sz w:val="22"/>
          <w:szCs w:val="22"/>
        </w:rPr>
        <w:t>. Existan circunstancias que puedan provocar pérdidas o costos adicionales importantes al erario.</w:t>
      </w:r>
    </w:p>
    <w:p w:rsidR="00A208B1" w:rsidRDefault="003E0D5B">
      <w:pPr>
        <w:tabs>
          <w:tab w:val="left" w:pos="7938"/>
        </w:tabs>
        <w:spacing w:before="120" w:after="120"/>
        <w:ind w:left="851" w:right="900"/>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VI</w:t>
      </w:r>
      <w:r>
        <w:rPr>
          <w:rFonts w:ascii="Palatino Linotype" w:eastAsia="Palatino Linotype" w:hAnsi="Palatino Linotype" w:cs="Palatino Linotype"/>
          <w:i/>
          <w:iCs/>
          <w:sz w:val="22"/>
          <w:szCs w:val="22"/>
        </w:rPr>
        <w:t>. Pueda comprometerse información de naturaleza confidencial para el Estado o municipios, por razones de seguridad pública.</w:t>
      </w:r>
    </w:p>
    <w:p w:rsidR="00A208B1" w:rsidRDefault="003E0D5B">
      <w:pPr>
        <w:tabs>
          <w:tab w:val="left" w:pos="7938"/>
        </w:tabs>
        <w:spacing w:before="120" w:after="120"/>
        <w:ind w:left="851" w:right="900"/>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VII</w:t>
      </w:r>
      <w:r>
        <w:rPr>
          <w:rFonts w:ascii="Palatino Linotype" w:eastAsia="Palatino Linotype" w:hAnsi="Palatino Linotype" w:cs="Palatino Linotype"/>
          <w:i/>
          <w:iCs/>
          <w:sz w:val="22"/>
          <w:szCs w:val="22"/>
        </w:rPr>
        <w:t>. Exist</w:t>
      </w:r>
      <w:r>
        <w:rPr>
          <w:rFonts w:ascii="Palatino Linotype" w:eastAsia="Palatino Linotype" w:hAnsi="Palatino Linotype" w:cs="Palatino Linotype"/>
          <w:i/>
          <w:iCs/>
          <w:sz w:val="22"/>
          <w:szCs w:val="22"/>
        </w:rPr>
        <w:t>an circunstancias extraordinarias o imprevisibles derivadas de riesgo o desastre. En este supuesto, la adquisición, arrendamiento y servicio deberá limitarse a lo estrictamente necesario para enfrentar tal eventualidad.</w:t>
      </w:r>
    </w:p>
    <w:p w:rsidR="00A208B1" w:rsidRDefault="003E0D5B">
      <w:pPr>
        <w:tabs>
          <w:tab w:val="left" w:pos="7938"/>
        </w:tabs>
        <w:spacing w:before="120" w:after="120"/>
        <w:ind w:left="851" w:right="900"/>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VIII</w:t>
      </w:r>
      <w:r>
        <w:rPr>
          <w:rFonts w:ascii="Palatino Linotype" w:eastAsia="Palatino Linotype" w:hAnsi="Palatino Linotype" w:cs="Palatino Linotype"/>
          <w:i/>
          <w:iCs/>
          <w:sz w:val="22"/>
          <w:szCs w:val="22"/>
        </w:rPr>
        <w:t>. Se hubiere rescindido un contr</w:t>
      </w:r>
      <w:r>
        <w:rPr>
          <w:rFonts w:ascii="Palatino Linotype" w:eastAsia="Palatino Linotype" w:hAnsi="Palatino Linotype" w:cs="Palatino Linotype"/>
          <w:i/>
          <w:iCs/>
          <w:sz w:val="22"/>
          <w:szCs w:val="22"/>
        </w:rPr>
        <w:t>ato, por causas imputables al proveedor o que la persona que habiendo resultado ganadora en una licitación, no concurra a la suscripción del contrato dentro del plazo establecido en esta Ley. En estos supuestos, la Secretaría, la entidad, el tribunal admin</w:t>
      </w:r>
      <w:r>
        <w:rPr>
          <w:rFonts w:ascii="Palatino Linotype" w:eastAsia="Palatino Linotype" w:hAnsi="Palatino Linotype" w:cs="Palatino Linotype"/>
          <w:i/>
          <w:iCs/>
          <w:sz w:val="22"/>
          <w:szCs w:val="22"/>
        </w:rPr>
        <w:t>istrativo o el ayuntamiento podrá adjudicar el contrato al licitante que haya presentado la propuesta solvente más cercana a la ganadora y así, sucesivamente. En todo caso, la diferencia de precio no deberá de ser superior al diez por ciento, respecto de l</w:t>
      </w:r>
      <w:r>
        <w:rPr>
          <w:rFonts w:ascii="Palatino Linotype" w:eastAsia="Palatino Linotype" w:hAnsi="Palatino Linotype" w:cs="Palatino Linotype"/>
          <w:i/>
          <w:iCs/>
          <w:sz w:val="22"/>
          <w:szCs w:val="22"/>
        </w:rPr>
        <w:t>a propuesta ganadora.</w:t>
      </w:r>
    </w:p>
    <w:p w:rsidR="00A208B1" w:rsidRDefault="003E0D5B">
      <w:pPr>
        <w:tabs>
          <w:tab w:val="left" w:pos="7938"/>
        </w:tabs>
        <w:spacing w:before="120" w:after="120"/>
        <w:ind w:left="851" w:right="900"/>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IX</w:t>
      </w:r>
      <w:r>
        <w:rPr>
          <w:rFonts w:ascii="Palatino Linotype" w:eastAsia="Palatino Linotype" w:hAnsi="Palatino Linotype" w:cs="Palatino Linotype"/>
          <w:i/>
          <w:iCs/>
          <w:sz w:val="22"/>
          <w:szCs w:val="22"/>
        </w:rPr>
        <w:t>. Se hubiere declarado desierto un procedimiento de invitación restringida.</w:t>
      </w:r>
    </w:p>
    <w:p w:rsidR="00A208B1" w:rsidRDefault="003E0D5B">
      <w:pPr>
        <w:tabs>
          <w:tab w:val="left" w:pos="7938"/>
        </w:tabs>
        <w:spacing w:before="120" w:after="120"/>
        <w:ind w:left="851" w:right="900"/>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X</w:t>
      </w:r>
      <w:r>
        <w:rPr>
          <w:rFonts w:ascii="Palatino Linotype" w:eastAsia="Palatino Linotype" w:hAnsi="Palatino Linotype" w:cs="Palatino Linotype"/>
          <w:i/>
          <w:iCs/>
          <w:sz w:val="22"/>
          <w:szCs w:val="22"/>
        </w:rPr>
        <w:t>. Cuando se aseguren condiciones financieras que permitan al Estado o a los municipios cumplir con la obligación de pago de manera diferida, sin que ello i</w:t>
      </w:r>
      <w:r>
        <w:rPr>
          <w:rFonts w:ascii="Palatino Linotype" w:eastAsia="Palatino Linotype" w:hAnsi="Palatino Linotype" w:cs="Palatino Linotype"/>
          <w:i/>
          <w:iCs/>
          <w:sz w:val="22"/>
          <w:szCs w:val="22"/>
        </w:rPr>
        <w:t>mplique un costo financiero adicional o que habiéndolo, sea inferior al del mercado, o</w:t>
      </w:r>
    </w:p>
    <w:p w:rsidR="00A208B1" w:rsidRDefault="003E0D5B">
      <w:pPr>
        <w:tabs>
          <w:tab w:val="left" w:pos="7938"/>
        </w:tabs>
        <w:spacing w:before="120" w:after="120"/>
        <w:ind w:left="851" w:right="900"/>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XI</w:t>
      </w:r>
      <w:r>
        <w:rPr>
          <w:rFonts w:ascii="Palatino Linotype" w:eastAsia="Palatino Linotype" w:hAnsi="Palatino Linotype" w:cs="Palatino Linotype"/>
          <w:i/>
          <w:iCs/>
          <w:sz w:val="22"/>
          <w:szCs w:val="22"/>
        </w:rPr>
        <w:t>. El importe de la operación no rebase los montos establecidos en el Presupuesto de Egresos del Gobierno del Estado del ejercicio correspondiente. Tratándose de arrend</w:t>
      </w:r>
      <w:r>
        <w:rPr>
          <w:rFonts w:ascii="Palatino Linotype" w:eastAsia="Palatino Linotype" w:hAnsi="Palatino Linotype" w:cs="Palatino Linotype"/>
          <w:i/>
          <w:iCs/>
          <w:sz w:val="22"/>
          <w:szCs w:val="22"/>
        </w:rPr>
        <w:t xml:space="preserve">amientos de inmuebles se entenderá por importe de la operación el monto mensual de la renta. Las dependencias, las entidades, los tribunales administrativos y los ayuntamientos se abstendrán de fraccionar el importe de las operaciones, con el propósito de </w:t>
      </w:r>
      <w:r>
        <w:rPr>
          <w:rFonts w:ascii="Palatino Linotype" w:eastAsia="Palatino Linotype" w:hAnsi="Palatino Linotype" w:cs="Palatino Linotype"/>
          <w:i/>
          <w:iCs/>
          <w:sz w:val="22"/>
          <w:szCs w:val="22"/>
        </w:rPr>
        <w:t>quedar comprendidos en este supuesto de excepción. La Secretaría de la Contraloría y los órganos de control interno, en el ámbito de su competencia, vigilarán el cumplimiento de esta disposición.</w:t>
      </w:r>
    </w:p>
    <w:p w:rsidR="00A208B1" w:rsidRDefault="003E0D5B">
      <w:pPr>
        <w:tabs>
          <w:tab w:val="left" w:pos="7938"/>
        </w:tabs>
        <w:spacing w:before="120" w:after="120"/>
        <w:ind w:left="851" w:right="900"/>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XII</w:t>
      </w:r>
      <w:r>
        <w:rPr>
          <w:rFonts w:ascii="Palatino Linotype" w:eastAsia="Palatino Linotype" w:hAnsi="Palatino Linotype" w:cs="Palatino Linotype"/>
          <w:i/>
          <w:iCs/>
          <w:sz w:val="22"/>
          <w:szCs w:val="22"/>
        </w:rPr>
        <w:t>. Se trate de bienes producidos por sociedades cooperativ</w:t>
      </w:r>
      <w:r>
        <w:rPr>
          <w:rFonts w:ascii="Palatino Linotype" w:eastAsia="Palatino Linotype" w:hAnsi="Palatino Linotype" w:cs="Palatino Linotype"/>
          <w:i/>
          <w:iCs/>
          <w:sz w:val="22"/>
          <w:szCs w:val="22"/>
        </w:rPr>
        <w:t>as, de producción rural, de interés colectivo, de solidaridad social, sociedades y asociaciones de fin social, cuyo objeto no sea preponderantemente lucrativo, producidos en el Estado de México y adquiridos directamente a éstas.</w:t>
      </w:r>
    </w:p>
    <w:p w:rsidR="00A208B1" w:rsidRDefault="003E0D5B">
      <w:pPr>
        <w:tabs>
          <w:tab w:val="left" w:pos="7938"/>
        </w:tabs>
        <w:spacing w:before="120" w:after="120"/>
        <w:ind w:left="851" w:right="900"/>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Artículo 49.-</w:t>
      </w:r>
      <w:r>
        <w:rPr>
          <w:rFonts w:ascii="Palatino Linotype" w:eastAsia="Palatino Linotype" w:hAnsi="Palatino Linotype" w:cs="Palatino Linotype"/>
          <w:i/>
          <w:iCs/>
          <w:sz w:val="22"/>
          <w:szCs w:val="22"/>
        </w:rPr>
        <w:t xml:space="preserve"> El procedimie</w:t>
      </w:r>
      <w:r>
        <w:rPr>
          <w:rFonts w:ascii="Palatino Linotype" w:eastAsia="Palatino Linotype" w:hAnsi="Palatino Linotype" w:cs="Palatino Linotype"/>
          <w:i/>
          <w:iCs/>
          <w:sz w:val="22"/>
          <w:szCs w:val="22"/>
        </w:rPr>
        <w:t>nto de adjudicación directa se substanciará con arreglo a el reglamento de esta Ley.”</w:t>
      </w:r>
    </w:p>
    <w:p w:rsidR="00A208B1" w:rsidRDefault="003E0D5B">
      <w:pPr>
        <w:tabs>
          <w:tab w:val="left" w:pos="3544"/>
        </w:tabs>
        <w:spacing w:before="240" w:after="240"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Asimismo, es de mencionar que de conformidad con el artículo 92, fracción XXIX de la Ley de Transparencia y Acceso a la Información Pública del Estado de México y Municip</w:t>
      </w:r>
      <w:r>
        <w:rPr>
          <w:rFonts w:ascii="Palatino Linotype" w:eastAsia="Palatino Linotype" w:hAnsi="Palatino Linotype" w:cs="Palatino Linotype"/>
          <w:sz w:val="22"/>
          <w:szCs w:val="22"/>
        </w:rPr>
        <w:t>ios, los Sujetos Obligados se encuentran constreñidos a poner a disposición del público, de manera permanente y actualizada en los respectivos medios electrónicos, información sobre los procesos y resultados sobre procedimientos de adjudicación directa, in</w:t>
      </w:r>
      <w:r>
        <w:rPr>
          <w:rFonts w:ascii="Palatino Linotype" w:eastAsia="Palatino Linotype" w:hAnsi="Palatino Linotype" w:cs="Palatino Linotype"/>
          <w:sz w:val="22"/>
          <w:szCs w:val="22"/>
        </w:rPr>
        <w:t xml:space="preserve">vitación restringida y licitación de cualquier naturaleza, </w:t>
      </w:r>
      <w:r>
        <w:rPr>
          <w:rFonts w:ascii="Palatino Linotype" w:eastAsia="Palatino Linotype" w:hAnsi="Palatino Linotype" w:cs="Palatino Linotype"/>
          <w:b/>
          <w:bCs/>
          <w:sz w:val="22"/>
          <w:szCs w:val="22"/>
        </w:rPr>
        <w:t>incluyendo la versión pública</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bCs/>
          <w:sz w:val="22"/>
          <w:szCs w:val="22"/>
        </w:rPr>
        <w:t>del expediente respectivo</w:t>
      </w:r>
      <w:r>
        <w:rPr>
          <w:rFonts w:ascii="Palatino Linotype" w:eastAsia="Palatino Linotype" w:hAnsi="Palatino Linotype" w:cs="Palatino Linotype"/>
          <w:sz w:val="22"/>
          <w:szCs w:val="22"/>
        </w:rPr>
        <w:t xml:space="preserve"> y </w:t>
      </w:r>
      <w:r>
        <w:rPr>
          <w:rFonts w:ascii="Palatino Linotype" w:eastAsia="Palatino Linotype" w:hAnsi="Palatino Linotype" w:cs="Palatino Linotype"/>
          <w:b/>
          <w:bCs/>
          <w:sz w:val="22"/>
          <w:szCs w:val="22"/>
        </w:rPr>
        <w:t>de los contratos celebrados;</w:t>
      </w:r>
      <w:r>
        <w:rPr>
          <w:rFonts w:ascii="Palatino Linotype" w:eastAsia="Palatino Linotype" w:hAnsi="Palatino Linotype" w:cs="Palatino Linotype"/>
          <w:sz w:val="22"/>
          <w:szCs w:val="22"/>
        </w:rPr>
        <w:t xml:space="preserve"> a saber:</w:t>
      </w:r>
    </w:p>
    <w:p w:rsidR="00A208B1" w:rsidRDefault="003E0D5B">
      <w:pPr>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r>
        <w:rPr>
          <w:rFonts w:ascii="Palatino Linotype" w:eastAsia="Palatino Linotype" w:hAnsi="Palatino Linotype" w:cs="Palatino Linotype"/>
          <w:b/>
          <w:bCs/>
          <w:i/>
          <w:iCs/>
          <w:sz w:val="22"/>
          <w:szCs w:val="22"/>
        </w:rPr>
        <w:t>Artículo 92</w:t>
      </w:r>
      <w:r>
        <w:rPr>
          <w:rFonts w:ascii="Palatino Linotype" w:eastAsia="Palatino Linotype" w:hAnsi="Palatino Linotype" w:cs="Palatino Linotype"/>
          <w:i/>
          <w:iCs/>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w:t>
      </w:r>
      <w:r>
        <w:rPr>
          <w:rFonts w:ascii="Palatino Linotype" w:eastAsia="Palatino Linotype" w:hAnsi="Palatino Linotype" w:cs="Palatino Linotype"/>
          <w:i/>
          <w:iCs/>
          <w:sz w:val="22"/>
          <w:szCs w:val="22"/>
        </w:rPr>
        <w:t>n corresponda, la información, por lo menos, de los temas, documentos y políticas que a continuación se señalan:</w:t>
      </w:r>
    </w:p>
    <w:p w:rsidR="00A208B1" w:rsidRDefault="003E0D5B">
      <w:pPr>
        <w:tabs>
          <w:tab w:val="left" w:pos="426"/>
          <w:tab w:val="left" w:pos="2145"/>
        </w:tabs>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r>
        <w:rPr>
          <w:rFonts w:ascii="Palatino Linotype" w:eastAsia="Palatino Linotype" w:hAnsi="Palatino Linotype" w:cs="Palatino Linotype"/>
          <w:i/>
          <w:iCs/>
          <w:sz w:val="22"/>
          <w:szCs w:val="22"/>
        </w:rPr>
        <w:tab/>
      </w:r>
    </w:p>
    <w:p w:rsidR="00A208B1" w:rsidRDefault="003E0D5B">
      <w:pPr>
        <w:tabs>
          <w:tab w:val="left" w:pos="426"/>
        </w:tabs>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XXIX.</w:t>
      </w:r>
      <w:r>
        <w:rPr>
          <w:rFonts w:ascii="Palatino Linotype" w:eastAsia="Palatino Linotype" w:hAnsi="Palatino Linotype" w:cs="Palatino Linotype"/>
          <w:i/>
          <w:iCs/>
          <w:sz w:val="22"/>
          <w:szCs w:val="22"/>
        </w:rPr>
        <w:t xml:space="preserve"> La </w:t>
      </w:r>
      <w:r>
        <w:rPr>
          <w:rFonts w:ascii="Palatino Linotype" w:eastAsia="Palatino Linotype" w:hAnsi="Palatino Linotype" w:cs="Palatino Linotype"/>
          <w:b/>
          <w:bCs/>
          <w:i/>
          <w:iCs/>
          <w:sz w:val="22"/>
          <w:szCs w:val="22"/>
        </w:rPr>
        <w:t xml:space="preserve">información sobre los procesos y resultados </w:t>
      </w:r>
      <w:r>
        <w:rPr>
          <w:rFonts w:ascii="Palatino Linotype" w:eastAsia="Palatino Linotype" w:hAnsi="Palatino Linotype" w:cs="Palatino Linotype"/>
          <w:b/>
          <w:bCs/>
          <w:i/>
          <w:iCs/>
          <w:sz w:val="22"/>
          <w:szCs w:val="22"/>
          <w:u w:val="single"/>
        </w:rPr>
        <w:t xml:space="preserve">sobre procedimientos de adjudicación directa, invitación restringida y licitación de </w:t>
      </w:r>
      <w:r>
        <w:rPr>
          <w:rFonts w:ascii="Palatino Linotype" w:eastAsia="Palatino Linotype" w:hAnsi="Palatino Linotype" w:cs="Palatino Linotype"/>
          <w:b/>
          <w:bCs/>
          <w:i/>
          <w:iCs/>
          <w:sz w:val="22"/>
          <w:szCs w:val="22"/>
          <w:u w:val="single"/>
        </w:rPr>
        <w:t>cualquier naturaleza</w:t>
      </w:r>
      <w:r>
        <w:rPr>
          <w:rFonts w:ascii="Palatino Linotype" w:eastAsia="Palatino Linotype" w:hAnsi="Palatino Linotype" w:cs="Palatino Linotype"/>
          <w:i/>
          <w:iCs/>
          <w:sz w:val="22"/>
          <w:szCs w:val="22"/>
          <w:u w:val="single"/>
        </w:rPr>
        <w:t xml:space="preserve">, </w:t>
      </w:r>
      <w:r>
        <w:rPr>
          <w:rFonts w:ascii="Palatino Linotype" w:eastAsia="Palatino Linotype" w:hAnsi="Palatino Linotype" w:cs="Palatino Linotype"/>
          <w:b/>
          <w:bCs/>
          <w:i/>
          <w:iCs/>
          <w:sz w:val="22"/>
          <w:szCs w:val="22"/>
        </w:rPr>
        <w:t>incluyendo la versión pública</w:t>
      </w:r>
      <w:r>
        <w:rPr>
          <w:rFonts w:ascii="Palatino Linotype" w:eastAsia="Palatino Linotype" w:hAnsi="Palatino Linotype" w:cs="Palatino Linotype"/>
          <w:i/>
          <w:iCs/>
          <w:sz w:val="22"/>
          <w:szCs w:val="22"/>
        </w:rPr>
        <w:t xml:space="preserve"> del expediente respectivo y </w:t>
      </w:r>
      <w:r>
        <w:rPr>
          <w:rFonts w:ascii="Palatino Linotype" w:eastAsia="Palatino Linotype" w:hAnsi="Palatino Linotype" w:cs="Palatino Linotype"/>
          <w:b/>
          <w:bCs/>
          <w:i/>
          <w:iCs/>
          <w:sz w:val="22"/>
          <w:szCs w:val="22"/>
        </w:rPr>
        <w:t>de los contratos celebrados</w:t>
      </w:r>
      <w:r>
        <w:rPr>
          <w:rFonts w:ascii="Palatino Linotype" w:eastAsia="Palatino Linotype" w:hAnsi="Palatino Linotype" w:cs="Palatino Linotype"/>
          <w:i/>
          <w:iCs/>
          <w:sz w:val="22"/>
          <w:szCs w:val="22"/>
        </w:rPr>
        <w:t>, que deberán contener, por los menos, lo siguiente:</w:t>
      </w:r>
    </w:p>
    <w:p w:rsidR="00A208B1" w:rsidRDefault="003E0D5B">
      <w:pPr>
        <w:tabs>
          <w:tab w:val="left" w:pos="426"/>
        </w:tabs>
        <w:spacing w:before="120" w:after="120"/>
        <w:ind w:left="851" w:right="902"/>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a) De licitaciones públicas o procedimientos de invitación restringida:</w:t>
      </w:r>
    </w:p>
    <w:p w:rsidR="00A208B1" w:rsidRDefault="003E0D5B">
      <w:pPr>
        <w:tabs>
          <w:tab w:val="left" w:pos="426"/>
        </w:tabs>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1)</w:t>
      </w:r>
      <w:r>
        <w:rPr>
          <w:rFonts w:ascii="Palatino Linotype" w:eastAsia="Palatino Linotype" w:hAnsi="Palatino Linotype" w:cs="Palatino Linotype"/>
          <w:i/>
          <w:iCs/>
          <w:sz w:val="22"/>
          <w:szCs w:val="22"/>
        </w:rPr>
        <w:t xml:space="preserve"> La convocatoria o invitación emitida, así como los fundamentos legales aplicados para llevarla a cabo;</w:t>
      </w:r>
    </w:p>
    <w:p w:rsidR="00A208B1" w:rsidRDefault="003E0D5B">
      <w:pPr>
        <w:tabs>
          <w:tab w:val="left" w:pos="426"/>
        </w:tabs>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2)</w:t>
      </w:r>
      <w:r>
        <w:rPr>
          <w:rFonts w:ascii="Palatino Linotype" w:eastAsia="Palatino Linotype" w:hAnsi="Palatino Linotype" w:cs="Palatino Linotype"/>
          <w:i/>
          <w:iCs/>
          <w:sz w:val="22"/>
          <w:szCs w:val="22"/>
        </w:rPr>
        <w:t xml:space="preserve"> Los nombres de los participantes o invitados;</w:t>
      </w:r>
    </w:p>
    <w:p w:rsidR="00A208B1" w:rsidRDefault="003E0D5B">
      <w:pPr>
        <w:tabs>
          <w:tab w:val="left" w:pos="426"/>
        </w:tabs>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3)</w:t>
      </w:r>
      <w:r>
        <w:rPr>
          <w:rFonts w:ascii="Palatino Linotype" w:eastAsia="Palatino Linotype" w:hAnsi="Palatino Linotype" w:cs="Palatino Linotype"/>
          <w:i/>
          <w:iCs/>
          <w:sz w:val="22"/>
          <w:szCs w:val="22"/>
        </w:rPr>
        <w:t xml:space="preserve"> El nombre del ganador y las razones que lo justifican;</w:t>
      </w:r>
    </w:p>
    <w:p w:rsidR="00A208B1" w:rsidRDefault="003E0D5B">
      <w:pPr>
        <w:tabs>
          <w:tab w:val="left" w:pos="426"/>
        </w:tabs>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4)</w:t>
      </w:r>
      <w:r>
        <w:rPr>
          <w:rFonts w:ascii="Palatino Linotype" w:eastAsia="Palatino Linotype" w:hAnsi="Palatino Linotype" w:cs="Palatino Linotype"/>
          <w:i/>
          <w:iCs/>
          <w:sz w:val="22"/>
          <w:szCs w:val="22"/>
        </w:rPr>
        <w:t xml:space="preserve"> El área solicitante y la responsable de su</w:t>
      </w:r>
      <w:r>
        <w:rPr>
          <w:rFonts w:ascii="Palatino Linotype" w:eastAsia="Palatino Linotype" w:hAnsi="Palatino Linotype" w:cs="Palatino Linotype"/>
          <w:i/>
          <w:iCs/>
          <w:sz w:val="22"/>
          <w:szCs w:val="22"/>
        </w:rPr>
        <w:t xml:space="preserve"> ejecución;</w:t>
      </w:r>
    </w:p>
    <w:p w:rsidR="00A208B1" w:rsidRDefault="003E0D5B">
      <w:pPr>
        <w:tabs>
          <w:tab w:val="left" w:pos="426"/>
        </w:tabs>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5)</w:t>
      </w:r>
      <w:r>
        <w:rPr>
          <w:rFonts w:ascii="Palatino Linotype" w:eastAsia="Palatino Linotype" w:hAnsi="Palatino Linotype" w:cs="Palatino Linotype"/>
          <w:i/>
          <w:iCs/>
          <w:sz w:val="22"/>
          <w:szCs w:val="22"/>
        </w:rPr>
        <w:t xml:space="preserve"> Las convocatorias e invitaciones emitidas; </w:t>
      </w:r>
    </w:p>
    <w:p w:rsidR="00A208B1" w:rsidRDefault="003E0D5B">
      <w:pPr>
        <w:tabs>
          <w:tab w:val="left" w:pos="426"/>
        </w:tabs>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6)</w:t>
      </w:r>
      <w:r>
        <w:rPr>
          <w:rFonts w:ascii="Palatino Linotype" w:eastAsia="Palatino Linotype" w:hAnsi="Palatino Linotype" w:cs="Palatino Linotype"/>
          <w:i/>
          <w:iCs/>
          <w:sz w:val="22"/>
          <w:szCs w:val="22"/>
        </w:rPr>
        <w:t xml:space="preserve"> Los dictámenes y fallo de adjudicación;</w:t>
      </w:r>
    </w:p>
    <w:p w:rsidR="00A208B1" w:rsidRDefault="003E0D5B">
      <w:pPr>
        <w:tabs>
          <w:tab w:val="left" w:pos="426"/>
        </w:tabs>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7) </w:t>
      </w:r>
      <w:r>
        <w:rPr>
          <w:rFonts w:ascii="Palatino Linotype" w:eastAsia="Palatino Linotype" w:hAnsi="Palatino Linotype" w:cs="Palatino Linotype"/>
          <w:i/>
          <w:iCs/>
          <w:sz w:val="22"/>
          <w:szCs w:val="22"/>
        </w:rPr>
        <w:t xml:space="preserve">El contrato y, en su caso, sus anexos; </w:t>
      </w:r>
    </w:p>
    <w:p w:rsidR="00A208B1" w:rsidRDefault="003E0D5B">
      <w:pPr>
        <w:tabs>
          <w:tab w:val="left" w:pos="426"/>
        </w:tabs>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8)</w:t>
      </w:r>
      <w:r>
        <w:rPr>
          <w:rFonts w:ascii="Palatino Linotype" w:eastAsia="Palatino Linotype" w:hAnsi="Palatino Linotype" w:cs="Palatino Linotype"/>
          <w:i/>
          <w:iCs/>
          <w:sz w:val="22"/>
          <w:szCs w:val="22"/>
        </w:rPr>
        <w:t xml:space="preserve"> Los mecanismos de vigilancia y supervisión, incluyendo en su caso, los estudios de impacto urbano y ambiental, según corresponda;</w:t>
      </w:r>
    </w:p>
    <w:p w:rsidR="00A208B1" w:rsidRDefault="003E0D5B">
      <w:pPr>
        <w:tabs>
          <w:tab w:val="left" w:pos="426"/>
        </w:tabs>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9)</w:t>
      </w:r>
      <w:r>
        <w:rPr>
          <w:rFonts w:ascii="Palatino Linotype" w:eastAsia="Palatino Linotype" w:hAnsi="Palatino Linotype" w:cs="Palatino Linotype"/>
          <w:i/>
          <w:iCs/>
          <w:sz w:val="22"/>
          <w:szCs w:val="22"/>
        </w:rPr>
        <w:t xml:space="preserve"> La partida presupuestal, de conformidad con el clasificador por objeto del gasto, en el caso de ser aplicable; </w:t>
      </w:r>
    </w:p>
    <w:p w:rsidR="00A208B1" w:rsidRDefault="003E0D5B">
      <w:pPr>
        <w:tabs>
          <w:tab w:val="left" w:pos="426"/>
        </w:tabs>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10)</w:t>
      </w:r>
      <w:r>
        <w:rPr>
          <w:rFonts w:ascii="Palatino Linotype" w:eastAsia="Palatino Linotype" w:hAnsi="Palatino Linotype" w:cs="Palatino Linotype"/>
          <w:i/>
          <w:iCs/>
          <w:sz w:val="22"/>
          <w:szCs w:val="22"/>
        </w:rPr>
        <w:t xml:space="preserve"> Origen</w:t>
      </w:r>
      <w:r>
        <w:rPr>
          <w:rFonts w:ascii="Palatino Linotype" w:eastAsia="Palatino Linotype" w:hAnsi="Palatino Linotype" w:cs="Palatino Linotype"/>
          <w:i/>
          <w:iCs/>
          <w:sz w:val="22"/>
          <w:szCs w:val="22"/>
        </w:rPr>
        <w:t xml:space="preserve"> de los recursos especificando si son federales, estatales o municipales, así como el tipo de fondo de participación o aportación respectiva;</w:t>
      </w:r>
    </w:p>
    <w:p w:rsidR="00A208B1" w:rsidRDefault="003E0D5B">
      <w:pPr>
        <w:tabs>
          <w:tab w:val="left" w:pos="426"/>
        </w:tabs>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11)</w:t>
      </w:r>
      <w:r>
        <w:rPr>
          <w:rFonts w:ascii="Palatino Linotype" w:eastAsia="Palatino Linotype" w:hAnsi="Palatino Linotype" w:cs="Palatino Linotype"/>
          <w:i/>
          <w:iCs/>
          <w:sz w:val="22"/>
          <w:szCs w:val="22"/>
        </w:rPr>
        <w:t xml:space="preserve"> Los convenios modificatorios que, en su caso, sean firmados, precisando el objeto y la fecha de celebración;</w:t>
      </w:r>
    </w:p>
    <w:p w:rsidR="00A208B1" w:rsidRDefault="003E0D5B">
      <w:pPr>
        <w:tabs>
          <w:tab w:val="left" w:pos="426"/>
        </w:tabs>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1</w:t>
      </w:r>
      <w:r>
        <w:rPr>
          <w:rFonts w:ascii="Palatino Linotype" w:eastAsia="Palatino Linotype" w:hAnsi="Palatino Linotype" w:cs="Palatino Linotype"/>
          <w:b/>
          <w:bCs/>
          <w:i/>
          <w:iCs/>
          <w:sz w:val="22"/>
          <w:szCs w:val="22"/>
        </w:rPr>
        <w:t>2)</w:t>
      </w:r>
      <w:r>
        <w:rPr>
          <w:rFonts w:ascii="Palatino Linotype" w:eastAsia="Palatino Linotype" w:hAnsi="Palatino Linotype" w:cs="Palatino Linotype"/>
          <w:i/>
          <w:iCs/>
          <w:sz w:val="22"/>
          <w:szCs w:val="22"/>
        </w:rPr>
        <w:t xml:space="preserve"> Los informes de avance físico y financiero sobre las obras o servicios contratados; </w:t>
      </w:r>
    </w:p>
    <w:p w:rsidR="00A208B1" w:rsidRDefault="003E0D5B">
      <w:pPr>
        <w:tabs>
          <w:tab w:val="left" w:pos="426"/>
        </w:tabs>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13)</w:t>
      </w:r>
      <w:r>
        <w:rPr>
          <w:rFonts w:ascii="Palatino Linotype" w:eastAsia="Palatino Linotype" w:hAnsi="Palatino Linotype" w:cs="Palatino Linotype"/>
          <w:i/>
          <w:iCs/>
          <w:sz w:val="22"/>
          <w:szCs w:val="22"/>
        </w:rPr>
        <w:t xml:space="preserve"> El convenio de terminación; </w:t>
      </w:r>
    </w:p>
    <w:p w:rsidR="00A208B1" w:rsidRDefault="003E0D5B">
      <w:pPr>
        <w:tabs>
          <w:tab w:val="left" w:pos="426"/>
        </w:tabs>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14)</w:t>
      </w:r>
      <w:r>
        <w:rPr>
          <w:rFonts w:ascii="Palatino Linotype" w:eastAsia="Palatino Linotype" w:hAnsi="Palatino Linotype" w:cs="Palatino Linotype"/>
          <w:i/>
          <w:iCs/>
          <w:sz w:val="22"/>
          <w:szCs w:val="22"/>
        </w:rPr>
        <w:t xml:space="preserve"> El finiquito.</w:t>
      </w:r>
    </w:p>
    <w:p w:rsidR="00A208B1" w:rsidRDefault="003E0D5B">
      <w:pPr>
        <w:tabs>
          <w:tab w:val="left" w:pos="426"/>
        </w:tabs>
        <w:spacing w:before="120" w:after="120"/>
        <w:ind w:left="851" w:right="902"/>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 xml:space="preserve">b) De las adjudicaciones directas: </w:t>
      </w:r>
    </w:p>
    <w:p w:rsidR="00A208B1" w:rsidRDefault="003E0D5B">
      <w:pPr>
        <w:tabs>
          <w:tab w:val="left" w:pos="426"/>
        </w:tabs>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1)</w:t>
      </w:r>
      <w:r>
        <w:rPr>
          <w:rFonts w:ascii="Palatino Linotype" w:eastAsia="Palatino Linotype" w:hAnsi="Palatino Linotype" w:cs="Palatino Linotype"/>
          <w:i/>
          <w:iCs/>
          <w:sz w:val="22"/>
          <w:szCs w:val="22"/>
        </w:rPr>
        <w:t xml:space="preserve"> La propuesta enviada por el participante; </w:t>
      </w:r>
    </w:p>
    <w:p w:rsidR="00A208B1" w:rsidRDefault="003E0D5B">
      <w:pPr>
        <w:tabs>
          <w:tab w:val="left" w:pos="426"/>
        </w:tabs>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2)</w:t>
      </w:r>
      <w:r>
        <w:rPr>
          <w:rFonts w:ascii="Palatino Linotype" w:eastAsia="Palatino Linotype" w:hAnsi="Palatino Linotype" w:cs="Palatino Linotype"/>
          <w:i/>
          <w:iCs/>
          <w:sz w:val="22"/>
          <w:szCs w:val="22"/>
        </w:rPr>
        <w:t xml:space="preserve"> Los motivos y fundamentos legale</w:t>
      </w:r>
      <w:r>
        <w:rPr>
          <w:rFonts w:ascii="Palatino Linotype" w:eastAsia="Palatino Linotype" w:hAnsi="Palatino Linotype" w:cs="Palatino Linotype"/>
          <w:i/>
          <w:iCs/>
          <w:sz w:val="22"/>
          <w:szCs w:val="22"/>
        </w:rPr>
        <w:t>s aplicados para llevarla a cabo;</w:t>
      </w:r>
    </w:p>
    <w:p w:rsidR="00A208B1" w:rsidRDefault="003E0D5B">
      <w:pPr>
        <w:tabs>
          <w:tab w:val="left" w:pos="426"/>
        </w:tabs>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3)</w:t>
      </w:r>
      <w:r>
        <w:rPr>
          <w:rFonts w:ascii="Palatino Linotype" w:eastAsia="Palatino Linotype" w:hAnsi="Palatino Linotype" w:cs="Palatino Linotype"/>
          <w:i/>
          <w:iCs/>
          <w:sz w:val="22"/>
          <w:szCs w:val="22"/>
        </w:rPr>
        <w:t xml:space="preserve"> La autorización del ejercicio de la opción; </w:t>
      </w:r>
    </w:p>
    <w:p w:rsidR="00A208B1" w:rsidRDefault="003E0D5B">
      <w:pPr>
        <w:tabs>
          <w:tab w:val="left" w:pos="426"/>
        </w:tabs>
        <w:spacing w:before="120" w:after="120"/>
        <w:ind w:left="851" w:right="902"/>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 xml:space="preserve">4) </w:t>
      </w:r>
      <w:r>
        <w:rPr>
          <w:rFonts w:ascii="Palatino Linotype" w:eastAsia="Palatino Linotype" w:hAnsi="Palatino Linotype" w:cs="Palatino Linotype"/>
          <w:i/>
          <w:iCs/>
          <w:sz w:val="22"/>
          <w:szCs w:val="22"/>
        </w:rPr>
        <w:t>En su caso, las cotizaciones consideradas, especificando los nombres de los proveedores y sus montos;</w:t>
      </w:r>
      <w:r>
        <w:rPr>
          <w:rFonts w:ascii="Palatino Linotype" w:eastAsia="Palatino Linotype" w:hAnsi="Palatino Linotype" w:cs="Palatino Linotype"/>
          <w:b/>
          <w:bCs/>
          <w:i/>
          <w:iCs/>
          <w:sz w:val="22"/>
          <w:szCs w:val="22"/>
        </w:rPr>
        <w:t xml:space="preserve"> </w:t>
      </w:r>
    </w:p>
    <w:p w:rsidR="00A208B1" w:rsidRDefault="003E0D5B">
      <w:pPr>
        <w:tabs>
          <w:tab w:val="left" w:pos="426"/>
        </w:tabs>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5)</w:t>
      </w:r>
      <w:r>
        <w:rPr>
          <w:rFonts w:ascii="Palatino Linotype" w:eastAsia="Palatino Linotype" w:hAnsi="Palatino Linotype" w:cs="Palatino Linotype"/>
          <w:i/>
          <w:iCs/>
          <w:sz w:val="22"/>
          <w:szCs w:val="22"/>
        </w:rPr>
        <w:t xml:space="preserve"> El nombre de la persona física o jurídica colectiva adjudicada; </w:t>
      </w:r>
    </w:p>
    <w:p w:rsidR="00A208B1" w:rsidRDefault="003E0D5B">
      <w:pPr>
        <w:tabs>
          <w:tab w:val="left" w:pos="426"/>
        </w:tabs>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6)</w:t>
      </w:r>
      <w:r>
        <w:rPr>
          <w:rFonts w:ascii="Palatino Linotype" w:eastAsia="Palatino Linotype" w:hAnsi="Palatino Linotype" w:cs="Palatino Linotype"/>
          <w:i/>
          <w:iCs/>
          <w:sz w:val="22"/>
          <w:szCs w:val="22"/>
        </w:rPr>
        <w:t xml:space="preserve"> La unidad administrativa solicitante y la responsable de su ejecución; </w:t>
      </w:r>
    </w:p>
    <w:p w:rsidR="00A208B1" w:rsidRDefault="003E0D5B">
      <w:pPr>
        <w:tabs>
          <w:tab w:val="left" w:pos="426"/>
        </w:tabs>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7) </w:t>
      </w:r>
      <w:r>
        <w:rPr>
          <w:rFonts w:ascii="Palatino Linotype" w:eastAsia="Palatino Linotype" w:hAnsi="Palatino Linotype" w:cs="Palatino Linotype"/>
          <w:i/>
          <w:iCs/>
          <w:sz w:val="22"/>
          <w:szCs w:val="22"/>
        </w:rPr>
        <w:t xml:space="preserve">El número, fecha, el monto del contrato y el plazo de entrega o de ejecución de los servicios u obra; </w:t>
      </w:r>
    </w:p>
    <w:p w:rsidR="00A208B1" w:rsidRDefault="003E0D5B">
      <w:pPr>
        <w:tabs>
          <w:tab w:val="left" w:pos="426"/>
        </w:tabs>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8)</w:t>
      </w:r>
      <w:r>
        <w:rPr>
          <w:rFonts w:ascii="Palatino Linotype" w:eastAsia="Palatino Linotype" w:hAnsi="Palatino Linotype" w:cs="Palatino Linotype"/>
          <w:i/>
          <w:iCs/>
          <w:sz w:val="22"/>
          <w:szCs w:val="22"/>
        </w:rPr>
        <w:t xml:space="preserve"> Los mecanismos de vigilancia y supervisión, incluyendo, en su caso, los </w:t>
      </w:r>
      <w:r>
        <w:rPr>
          <w:rFonts w:ascii="Palatino Linotype" w:eastAsia="Palatino Linotype" w:hAnsi="Palatino Linotype" w:cs="Palatino Linotype"/>
          <w:i/>
          <w:iCs/>
          <w:sz w:val="22"/>
          <w:szCs w:val="22"/>
        </w:rPr>
        <w:t xml:space="preserve">estudios de impacto urbano y ambiental, según corresponda; </w:t>
      </w:r>
    </w:p>
    <w:p w:rsidR="00A208B1" w:rsidRDefault="003E0D5B">
      <w:pPr>
        <w:tabs>
          <w:tab w:val="left" w:pos="426"/>
        </w:tabs>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9)</w:t>
      </w:r>
      <w:r>
        <w:rPr>
          <w:rFonts w:ascii="Palatino Linotype" w:eastAsia="Palatino Linotype" w:hAnsi="Palatino Linotype" w:cs="Palatino Linotype"/>
          <w:i/>
          <w:iCs/>
          <w:sz w:val="22"/>
          <w:szCs w:val="22"/>
        </w:rPr>
        <w:t xml:space="preserve"> Los informes de avance sobre las obras o servicios contratados; </w:t>
      </w:r>
    </w:p>
    <w:p w:rsidR="00A208B1" w:rsidRDefault="003E0D5B">
      <w:pPr>
        <w:tabs>
          <w:tab w:val="left" w:pos="426"/>
        </w:tabs>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10)</w:t>
      </w:r>
      <w:r>
        <w:rPr>
          <w:rFonts w:ascii="Palatino Linotype" w:eastAsia="Palatino Linotype" w:hAnsi="Palatino Linotype" w:cs="Palatino Linotype"/>
          <w:i/>
          <w:iCs/>
          <w:sz w:val="22"/>
          <w:szCs w:val="22"/>
        </w:rPr>
        <w:t xml:space="preserve"> El convenio de terminación; y </w:t>
      </w:r>
    </w:p>
    <w:p w:rsidR="00A208B1" w:rsidRDefault="003E0D5B">
      <w:pPr>
        <w:tabs>
          <w:tab w:val="left" w:pos="426"/>
        </w:tabs>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11)</w:t>
      </w:r>
      <w:r>
        <w:rPr>
          <w:rFonts w:ascii="Palatino Linotype" w:eastAsia="Palatino Linotype" w:hAnsi="Palatino Linotype" w:cs="Palatino Linotype"/>
          <w:i/>
          <w:iCs/>
          <w:sz w:val="22"/>
          <w:szCs w:val="22"/>
        </w:rPr>
        <w:t xml:space="preserve"> El finiquito;”</w:t>
      </w:r>
    </w:p>
    <w:p w:rsidR="00A208B1" w:rsidRDefault="003E0D5B">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esto, se advierte que, los Sujetos Obligados deberán poner a disposición del público la información relativa a procesos y resultados sobre procedimientos de adjudicación directa, invitación restringida y licitación de cualquier naturaleza, donde se incl</w:t>
      </w:r>
      <w:r>
        <w:rPr>
          <w:rFonts w:ascii="Palatino Linotype" w:eastAsia="Palatino Linotype" w:hAnsi="Palatino Linotype" w:cs="Palatino Linotype"/>
          <w:sz w:val="22"/>
          <w:szCs w:val="22"/>
        </w:rPr>
        <w:t>uya, en versión pública, el expediente respectivo y los contratos celebrados que, para el caso en particular, los expedientes deberán contener:</w:t>
      </w:r>
    </w:p>
    <w:p w:rsidR="00A208B1" w:rsidRDefault="003E0D5B">
      <w:pPr>
        <w:tabs>
          <w:tab w:val="left" w:pos="709"/>
        </w:tabs>
        <w:spacing w:before="240" w:after="240" w:line="360" w:lineRule="auto"/>
        <w:ind w:left="284"/>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bCs/>
          <w:sz w:val="22"/>
          <w:szCs w:val="22"/>
        </w:rPr>
        <w:t xml:space="preserve">Licitación pública: </w:t>
      </w:r>
      <w:r>
        <w:rPr>
          <w:rFonts w:ascii="Palatino Linotype" w:eastAsia="Palatino Linotype" w:hAnsi="Palatino Linotype" w:cs="Palatino Linotype"/>
          <w:sz w:val="22"/>
          <w:szCs w:val="22"/>
        </w:rPr>
        <w:t>convocatoria y fundamentos legales aplicables para llevarla a cabo, nombre de los participantes, nombre del ganador y razones, área solicitante y responsable de su ejecución, convocatorias emitidas, dictámenes y fallo de adjudicación, contrato y anexos, me</w:t>
      </w:r>
      <w:r>
        <w:rPr>
          <w:rFonts w:ascii="Palatino Linotype" w:eastAsia="Palatino Linotype" w:hAnsi="Palatino Linotype" w:cs="Palatino Linotype"/>
          <w:sz w:val="22"/>
          <w:szCs w:val="22"/>
        </w:rPr>
        <w:t>canismos de vigilancia y supervisión, de ser el caso, con los estudios de impacto urbano y ambiental, partida presupuestal de conformidad con el clasificador por objeto del gasto, origen de los recursos especificando si son federales, estatales o municipal</w:t>
      </w:r>
      <w:r>
        <w:rPr>
          <w:rFonts w:ascii="Palatino Linotype" w:eastAsia="Palatino Linotype" w:hAnsi="Palatino Linotype" w:cs="Palatino Linotype"/>
          <w:sz w:val="22"/>
          <w:szCs w:val="22"/>
        </w:rPr>
        <w:t>es, tipo de fondo de participación o aportación respectiva, convenios modificatorios, informes de avances, convenio de terminación y finiquito.</w:t>
      </w:r>
    </w:p>
    <w:p w:rsidR="00A208B1" w:rsidRDefault="003E0D5B">
      <w:pPr>
        <w:tabs>
          <w:tab w:val="left" w:pos="709"/>
        </w:tabs>
        <w:spacing w:before="240" w:after="240" w:line="360" w:lineRule="auto"/>
        <w:ind w:left="284"/>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bCs/>
          <w:sz w:val="22"/>
          <w:szCs w:val="22"/>
        </w:rPr>
        <w:t xml:space="preserve">Invitación restringida: </w:t>
      </w:r>
      <w:r>
        <w:rPr>
          <w:rFonts w:ascii="Palatino Linotype" w:eastAsia="Palatino Linotype" w:hAnsi="Palatino Linotype" w:cs="Palatino Linotype"/>
          <w:sz w:val="22"/>
          <w:szCs w:val="22"/>
        </w:rPr>
        <w:t>invitación emitida y fundamentos legales aplicables para llevarla a cabo, nombre de lo</w:t>
      </w:r>
      <w:r>
        <w:rPr>
          <w:rFonts w:ascii="Palatino Linotype" w:eastAsia="Palatino Linotype" w:hAnsi="Palatino Linotype" w:cs="Palatino Linotype"/>
          <w:sz w:val="22"/>
          <w:szCs w:val="22"/>
        </w:rPr>
        <w:t>s participantes o invitados, nombre del ganador y razones, área solicitante y responsable de su ejecución, invitaciones emitidas, dictámenes y fallo de adjudicación, contrato y anexos, mecanismos de vigilancia y supervisión, de ser el caso, con los estudio</w:t>
      </w:r>
      <w:r>
        <w:rPr>
          <w:rFonts w:ascii="Palatino Linotype" w:eastAsia="Palatino Linotype" w:hAnsi="Palatino Linotype" w:cs="Palatino Linotype"/>
          <w:sz w:val="22"/>
          <w:szCs w:val="22"/>
        </w:rPr>
        <w:t>s de impacto urbano y ambiental, partida presupuestal de conformidad con el clasificador por objeto del gasto, origen de los recursos especificando si son federales, estatales o municipales, tipo de fondo de participación o aportación respectiva, convenios</w:t>
      </w:r>
      <w:r>
        <w:rPr>
          <w:rFonts w:ascii="Palatino Linotype" w:eastAsia="Palatino Linotype" w:hAnsi="Palatino Linotype" w:cs="Palatino Linotype"/>
          <w:sz w:val="22"/>
          <w:szCs w:val="22"/>
        </w:rPr>
        <w:t xml:space="preserve"> modificatorios, informes de avances, convenio de terminación y finiquito.</w:t>
      </w:r>
    </w:p>
    <w:p w:rsidR="00A208B1" w:rsidRDefault="003E0D5B">
      <w:pPr>
        <w:tabs>
          <w:tab w:val="left" w:pos="709"/>
        </w:tabs>
        <w:spacing w:before="240" w:after="240" w:line="360" w:lineRule="auto"/>
        <w:ind w:left="284"/>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bCs/>
          <w:sz w:val="22"/>
          <w:szCs w:val="22"/>
        </w:rPr>
        <w:t xml:space="preserve">Adjudicaciones directas: </w:t>
      </w:r>
      <w:r>
        <w:rPr>
          <w:rFonts w:ascii="Palatino Linotype" w:eastAsia="Palatino Linotype" w:hAnsi="Palatino Linotype" w:cs="Palatino Linotype"/>
          <w:sz w:val="22"/>
          <w:szCs w:val="22"/>
        </w:rPr>
        <w:t>Propuestas enviadas por el participante, motivos y fundamentos legales, autorización del ejercicio de la opción, cotizaciones consideradas, nombre de pers</w:t>
      </w:r>
      <w:r>
        <w:rPr>
          <w:rFonts w:ascii="Palatino Linotype" w:eastAsia="Palatino Linotype" w:hAnsi="Palatino Linotype" w:cs="Palatino Linotype"/>
          <w:sz w:val="22"/>
          <w:szCs w:val="22"/>
        </w:rPr>
        <w:t xml:space="preserve">ona física o jurídica adjudicada, número, fecha, monto del contrato, plazo de entrega o ejecución, mecanismos de vigilancia y supervisión, informes de avance sobre las obras o servicios, convenio de terminación y finiquito. </w:t>
      </w:r>
    </w:p>
    <w:p w:rsidR="00A208B1" w:rsidRDefault="003E0D5B">
      <w:pPr>
        <w:spacing w:before="240" w:after="240" w:line="360" w:lineRule="auto"/>
        <w:ind w:right="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ende, de acuerdo a los Line</w:t>
      </w:r>
      <w:r>
        <w:rPr>
          <w:rFonts w:ascii="Palatino Linotype" w:eastAsia="Palatino Linotype" w:hAnsi="Palatino Linotype" w:cs="Palatino Linotype"/>
          <w:sz w:val="22"/>
          <w:szCs w:val="22"/>
        </w:rPr>
        <w:t>amientos Técnicos Generales para la publicación, homologación y estandarización de la información de las obligaciones establecidas en el título quinto y en la fracción IV del artículo 31 de la Ley General de Transparencia y Acceso a la Información Pública,</w:t>
      </w:r>
      <w:r>
        <w:rPr>
          <w:rFonts w:ascii="Palatino Linotype" w:eastAsia="Palatino Linotype" w:hAnsi="Palatino Linotype" w:cs="Palatino Linotype"/>
          <w:sz w:val="22"/>
          <w:szCs w:val="22"/>
        </w:rPr>
        <w:t xml:space="preserve"> que deben de difundir los sujetos obligados en los portales de Internet y en la Plataforma Nacional de Transparencia, para el cumplimiento de la obligación de transparencia señalada en el artículo 70  fracción XXVIII de la Ley General de Transparencia y A</w:t>
      </w:r>
      <w:r>
        <w:rPr>
          <w:rFonts w:ascii="Palatino Linotype" w:eastAsia="Palatino Linotype" w:hAnsi="Palatino Linotype" w:cs="Palatino Linotype"/>
          <w:sz w:val="22"/>
          <w:szCs w:val="22"/>
        </w:rPr>
        <w:t xml:space="preserve">cceso a la Información Pública, vigentes a la fecha de la solicitud, los sujetos obligados deben publicar información sobre los actos, contratos y convenios celebrados, misma que </w:t>
      </w:r>
      <w:r>
        <w:rPr>
          <w:rFonts w:ascii="Palatino Linotype" w:eastAsia="Palatino Linotype" w:hAnsi="Palatino Linotype" w:cs="Palatino Linotype"/>
          <w:b/>
          <w:bCs/>
          <w:sz w:val="22"/>
          <w:szCs w:val="22"/>
        </w:rPr>
        <w:t>debe presentarse en una base de datos en la que cada registro se hará por tip</w:t>
      </w:r>
      <w:r>
        <w:rPr>
          <w:rFonts w:ascii="Palatino Linotype" w:eastAsia="Palatino Linotype" w:hAnsi="Palatino Linotype" w:cs="Palatino Linotype"/>
          <w:b/>
          <w:bCs/>
          <w:sz w:val="22"/>
          <w:szCs w:val="22"/>
        </w:rPr>
        <w:t>o de procedimiento, ya sea licitación pública, invitación restringida o adjudicación directa,</w:t>
      </w:r>
      <w:r>
        <w:rPr>
          <w:rFonts w:ascii="Palatino Linotype" w:eastAsia="Palatino Linotype" w:hAnsi="Palatino Linotype" w:cs="Palatino Linotype"/>
          <w:sz w:val="22"/>
          <w:szCs w:val="22"/>
        </w:rPr>
        <w:t xml:space="preserve"> especificando para cada tipo de procedimiento la materia, pudiendo ser obra pública, servicios relacionados con obra pública, arrendamiento, adquisiciones, o serv</w:t>
      </w:r>
      <w:r>
        <w:rPr>
          <w:rFonts w:ascii="Palatino Linotype" w:eastAsia="Palatino Linotype" w:hAnsi="Palatino Linotype" w:cs="Palatino Linotype"/>
          <w:sz w:val="22"/>
          <w:szCs w:val="22"/>
        </w:rPr>
        <w:t xml:space="preserve">icios, así como el carácter de cada uno, es decir, nacional o internacional, </w:t>
      </w:r>
      <w:r>
        <w:rPr>
          <w:rFonts w:ascii="Palatino Linotype" w:eastAsia="Palatino Linotype" w:hAnsi="Palatino Linotype" w:cs="Palatino Linotype"/>
          <w:b/>
          <w:bCs/>
          <w:sz w:val="22"/>
          <w:szCs w:val="22"/>
        </w:rPr>
        <w:t>además se debe elaborar versión pública los documentos fuente que deban ser publicados</w:t>
      </w:r>
      <w:r>
        <w:rPr>
          <w:rFonts w:ascii="Palatino Linotype" w:eastAsia="Palatino Linotype" w:hAnsi="Palatino Linotype" w:cs="Palatino Linotype"/>
          <w:sz w:val="22"/>
          <w:szCs w:val="22"/>
        </w:rPr>
        <w:t xml:space="preserve"> en este apartado, </w:t>
      </w:r>
      <w:r>
        <w:rPr>
          <w:rFonts w:ascii="Palatino Linotype" w:eastAsia="Palatino Linotype" w:hAnsi="Palatino Linotype" w:cs="Palatino Linotype"/>
          <w:b/>
          <w:bCs/>
          <w:sz w:val="22"/>
          <w:szCs w:val="22"/>
        </w:rPr>
        <w:t xml:space="preserve">tales como </w:t>
      </w:r>
      <w:r>
        <w:rPr>
          <w:rFonts w:ascii="Palatino Linotype" w:eastAsia="Palatino Linotype" w:hAnsi="Palatino Linotype" w:cs="Palatino Linotype"/>
          <w:b/>
          <w:bCs/>
          <w:sz w:val="22"/>
          <w:szCs w:val="22"/>
          <w:u w:val="single"/>
        </w:rPr>
        <w:t>contratos,</w:t>
      </w:r>
      <w:r>
        <w:rPr>
          <w:rFonts w:ascii="Palatino Linotype" w:eastAsia="Palatino Linotype" w:hAnsi="Palatino Linotype" w:cs="Palatino Linotype"/>
          <w:sz w:val="22"/>
          <w:szCs w:val="22"/>
        </w:rPr>
        <w:t xml:space="preserve"> convenios, actas, dictámenes, fallos, convenios modi</w:t>
      </w:r>
      <w:r>
        <w:rPr>
          <w:rFonts w:ascii="Palatino Linotype" w:eastAsia="Palatino Linotype" w:hAnsi="Palatino Linotype" w:cs="Palatino Linotype"/>
          <w:sz w:val="22"/>
          <w:szCs w:val="22"/>
        </w:rPr>
        <w:t>ficatorios, informes, entre otros, incluyendo sus anexos correspondientes, información que debe ser actualizada de manera trimestral, y conservarse la generada en el ejercicio en curso y la correspondiente a dos ejercicios anteriores.</w:t>
      </w:r>
    </w:p>
    <w:p w:rsidR="00A208B1" w:rsidRDefault="003E0D5B">
      <w:pPr>
        <w:spacing w:before="240" w:after="240" w:line="360" w:lineRule="auto"/>
        <w:ind w:right="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 manera que con la </w:t>
      </w:r>
      <w:r>
        <w:rPr>
          <w:rFonts w:ascii="Palatino Linotype" w:eastAsia="Palatino Linotype" w:hAnsi="Palatino Linotype" w:cs="Palatino Linotype"/>
          <w:sz w:val="22"/>
          <w:szCs w:val="22"/>
        </w:rPr>
        <w:t>entrega de los contratos o convenios celebrados la persona solicitante podrá, previo análisis conocer, entre otros datos, el número de unidades, la fecha de adquisición, el costo por cada unidad, el tipo de procedimiento de adquisición y el nombre del prov</w:t>
      </w:r>
      <w:r>
        <w:rPr>
          <w:rFonts w:ascii="Palatino Linotype" w:eastAsia="Palatino Linotype" w:hAnsi="Palatino Linotype" w:cs="Palatino Linotype"/>
          <w:sz w:val="22"/>
          <w:szCs w:val="22"/>
        </w:rPr>
        <w:t xml:space="preserve">eedor. </w:t>
      </w:r>
    </w:p>
    <w:p w:rsidR="00A208B1" w:rsidRDefault="003E0D5B">
      <w:pPr>
        <w:spacing w:before="240" w:after="240" w:line="360" w:lineRule="auto"/>
        <w:ind w:right="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Asimismo, la Ley de Transparencia y Acceso a la Información Pública del Estado de México y Municipios considera como obligación de trasparencia la relativa al inventario de bienes muebles, según lo previsto en el artículo 92, fracción XXXVIII, a sa</w:t>
      </w:r>
      <w:r>
        <w:rPr>
          <w:rFonts w:ascii="Palatino Linotype" w:eastAsia="Palatino Linotype" w:hAnsi="Palatino Linotype" w:cs="Palatino Linotype"/>
          <w:sz w:val="22"/>
          <w:szCs w:val="22"/>
        </w:rPr>
        <w:t>ber:</w:t>
      </w:r>
    </w:p>
    <w:p w:rsidR="00A208B1" w:rsidRDefault="003E0D5B">
      <w:pPr>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“Artículo 92. </w:t>
      </w:r>
      <w:r>
        <w:rPr>
          <w:rFonts w:ascii="Palatino Linotype" w:eastAsia="Palatino Linotype" w:hAnsi="Palatino Linotype" w:cs="Palatino Linotype"/>
          <w:i/>
          <w:iCs/>
          <w:sz w:val="22"/>
          <w:szCs w:val="22"/>
        </w:rPr>
        <w:t>Los sujetos obligados deberán poner a disposición del público de manera permanente y actualizada de forma sencilla, precisa y entendible, en los respectivos medios electrónicos, de acuerdo con sus facultades, atribuciones, funciones u ob</w:t>
      </w:r>
      <w:r>
        <w:rPr>
          <w:rFonts w:ascii="Palatino Linotype" w:eastAsia="Palatino Linotype" w:hAnsi="Palatino Linotype" w:cs="Palatino Linotype"/>
          <w:i/>
          <w:iCs/>
          <w:sz w:val="22"/>
          <w:szCs w:val="22"/>
        </w:rPr>
        <w:t>jeto social, según corresponda, la información, por lo menos, de los temas, documentos y políticas que a continuación se señalan:</w:t>
      </w:r>
    </w:p>
    <w:p w:rsidR="00A208B1" w:rsidRDefault="003E0D5B">
      <w:pPr>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A208B1" w:rsidRDefault="003E0D5B">
      <w:pPr>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XXXVIII.</w:t>
      </w:r>
      <w:r>
        <w:rPr>
          <w:rFonts w:ascii="Palatino Linotype" w:eastAsia="Palatino Linotype" w:hAnsi="Palatino Linotype" w:cs="Palatino Linotype"/>
          <w:i/>
          <w:iCs/>
          <w:sz w:val="22"/>
          <w:szCs w:val="22"/>
        </w:rPr>
        <w:t xml:space="preserve"> El inventario de bienes muebles e inmuebles en posesión y propiedad;”</w:t>
      </w:r>
    </w:p>
    <w:p w:rsidR="00A208B1" w:rsidRDefault="003E0D5B">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inventario de bienes muebles e inmuebles</w:t>
      </w:r>
      <w:r>
        <w:rPr>
          <w:rFonts w:ascii="Palatino Linotype" w:eastAsia="Palatino Linotype" w:hAnsi="Palatino Linotype" w:cs="Palatino Linotype"/>
          <w:sz w:val="22"/>
          <w:szCs w:val="22"/>
        </w:rPr>
        <w:t xml:space="preserve">  deberá ser publicado en atención a los “Lineamientos Técnicos Generales para la Publicación, Homologación y Estandarización de la Información de las Obligaciones establecidas en el Título Quinto y en la Fracción IV, del artículo 31, de la Ley General de </w:t>
      </w:r>
      <w:r>
        <w:rPr>
          <w:rFonts w:ascii="Palatino Linotype" w:eastAsia="Palatino Linotype" w:hAnsi="Palatino Linotype" w:cs="Palatino Linotype"/>
          <w:sz w:val="22"/>
          <w:szCs w:val="22"/>
        </w:rPr>
        <w:t>Transparencia y Acceso a la Información Pública, que deberán difundir los Sujetos Obligados en los Portales de Internet y en la Plataforma Nacional de Transparencia”</w:t>
      </w: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sz w:val="22"/>
          <w:szCs w:val="22"/>
        </w:rPr>
        <w:t>los cuales establecen lo siguiente en su parte conducente:</w:t>
      </w:r>
    </w:p>
    <w:p w:rsidR="00A208B1" w:rsidRDefault="003E0D5B">
      <w:pPr>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“Los sujetos obligados publicar</w:t>
      </w:r>
      <w:r>
        <w:rPr>
          <w:rFonts w:ascii="Palatino Linotype" w:eastAsia="Palatino Linotype" w:hAnsi="Palatino Linotype" w:cs="Palatino Linotype"/>
          <w:i/>
          <w:iCs/>
          <w:sz w:val="22"/>
          <w:szCs w:val="22"/>
        </w:rPr>
        <w:t>án el inventario de bienes muebles e inmuebles que utilicen, tengan a su cargo y/o les hayan sido asignados para el ejercicio de sus funciones; que destinen a un servicio público conforme a la normatividad aplicable o por cualquier concepto, tanto si son p</w:t>
      </w:r>
      <w:r>
        <w:rPr>
          <w:rFonts w:ascii="Palatino Linotype" w:eastAsia="Palatino Linotype" w:hAnsi="Palatino Linotype" w:cs="Palatino Linotype"/>
          <w:i/>
          <w:iCs/>
          <w:sz w:val="22"/>
          <w:szCs w:val="22"/>
        </w:rPr>
        <w:t xml:space="preserve">ropiedad del sujeto obligado como que se encuentren en posesión de éstos. </w:t>
      </w:r>
    </w:p>
    <w:p w:rsidR="00A208B1" w:rsidRDefault="003E0D5B">
      <w:pPr>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Respecto de los bienes muebles se registrará tanto el mobiliario y equipo –incluido el de cómputo– como los vehículos y demás bienes muebles al servicio de los sujetos obligados, de</w:t>
      </w:r>
      <w:r>
        <w:rPr>
          <w:rFonts w:ascii="Palatino Linotype" w:eastAsia="Palatino Linotype" w:hAnsi="Palatino Linotype" w:cs="Palatino Linotype"/>
          <w:i/>
          <w:iCs/>
          <w:sz w:val="22"/>
          <w:szCs w:val="22"/>
        </w:rPr>
        <w:t xml:space="preserve"> conformidad con la Ley General de Contabilidad Gubernamental.</w:t>
      </w:r>
    </w:p>
    <w:p w:rsidR="00A208B1" w:rsidRDefault="003E0D5B">
      <w:pPr>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El inventario se organizará de conformidad con lo establecido en la normatividad emitida por el Consejo Nacional de Armonización Contable como lo son los Lineamientos para la elaboración del Ca</w:t>
      </w:r>
      <w:r>
        <w:rPr>
          <w:rFonts w:ascii="Palatino Linotype" w:eastAsia="Palatino Linotype" w:hAnsi="Palatino Linotype" w:cs="Palatino Linotype"/>
          <w:i/>
          <w:iCs/>
          <w:sz w:val="22"/>
          <w:szCs w:val="22"/>
        </w:rPr>
        <w:t>tálogo de Bienes Inmuebles que permita la interrelación automática con el Clasificador por Objeto del Gasto y la Lista de Cuentas, publicados el 13 de diciembre de 2011, y en los Lineamientos mínimos relativos al diseño e integración del registro en los Li</w:t>
      </w:r>
      <w:r>
        <w:rPr>
          <w:rFonts w:ascii="Palatino Linotype" w:eastAsia="Palatino Linotype" w:hAnsi="Palatino Linotype" w:cs="Palatino Linotype"/>
          <w:i/>
          <w:iCs/>
          <w:sz w:val="22"/>
          <w:szCs w:val="22"/>
        </w:rPr>
        <w:t>bros Diario, Mayor e Inventarios y Balances (Registro Electrónico), publicados el 7 de julio de 2011, y el Acuerdo por el que se determina la norma para establecer la estructura del formato de la relación de bienes que componen el patrimonio del ente públi</w:t>
      </w:r>
      <w:r>
        <w:rPr>
          <w:rFonts w:ascii="Palatino Linotype" w:eastAsia="Palatino Linotype" w:hAnsi="Palatino Linotype" w:cs="Palatino Linotype"/>
          <w:i/>
          <w:iCs/>
          <w:sz w:val="22"/>
          <w:szCs w:val="22"/>
        </w:rPr>
        <w:t>co, publicado el 8 de agosto de 2013. Asimismo, el inventario contará con algunos de los elementos establecidos en el Acuerdo por el cual se emiten las Normas y Procedimientos para la Integración y Actualización del Sistema de Información Inmobiliaria Fede</w:t>
      </w:r>
      <w:r>
        <w:rPr>
          <w:rFonts w:ascii="Palatino Linotype" w:eastAsia="Palatino Linotype" w:hAnsi="Palatino Linotype" w:cs="Palatino Linotype"/>
          <w:i/>
          <w:iCs/>
          <w:sz w:val="22"/>
          <w:szCs w:val="22"/>
        </w:rPr>
        <w:t>ral y Paraestatal, así como en la Ley General de Contabilidad Gubernamental publicado en el Diario Oficial de la Federación el 26 de julio de 2012.</w:t>
      </w:r>
    </w:p>
    <w:p w:rsidR="00A208B1" w:rsidRDefault="003E0D5B">
      <w:pPr>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También se registrarán los bienes muebles o inmuebles que, por su naturaleza sean inalienables e imprescript</w:t>
      </w:r>
      <w:r>
        <w:rPr>
          <w:rFonts w:ascii="Palatino Linotype" w:eastAsia="Palatino Linotype" w:hAnsi="Palatino Linotype" w:cs="Palatino Linotype"/>
          <w:i/>
          <w:iCs/>
          <w:sz w:val="22"/>
          <w:szCs w:val="22"/>
        </w:rPr>
        <w:t>ibles, como pueden serlo los monumentos arqueológicos, históricos y artísticos de acuerdo con el registro auxiliar correspondiente.</w:t>
      </w:r>
    </w:p>
    <w:p w:rsidR="00A208B1" w:rsidRDefault="003E0D5B">
      <w:pPr>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A208B1" w:rsidRDefault="003E0D5B">
      <w:pPr>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Adicionalmente </w:t>
      </w:r>
      <w:r>
        <w:rPr>
          <w:rFonts w:ascii="Palatino Linotype" w:eastAsia="Palatino Linotype" w:hAnsi="Palatino Linotype" w:cs="Palatino Linotype"/>
          <w:b/>
          <w:bCs/>
          <w:i/>
          <w:iCs/>
          <w:sz w:val="22"/>
          <w:szCs w:val="22"/>
        </w:rPr>
        <w:t xml:space="preserve">se incluirá un inventario de altas, </w:t>
      </w:r>
      <w:r>
        <w:rPr>
          <w:rFonts w:ascii="Palatino Linotype" w:eastAsia="Palatino Linotype" w:hAnsi="Palatino Linotype" w:cs="Palatino Linotype"/>
          <w:b/>
          <w:bCs/>
          <w:i/>
          <w:iCs/>
          <w:sz w:val="22"/>
          <w:szCs w:val="22"/>
          <w:u w:val="single"/>
        </w:rPr>
        <w:t>bajas</w:t>
      </w:r>
      <w:r>
        <w:rPr>
          <w:rFonts w:ascii="Palatino Linotype" w:eastAsia="Palatino Linotype" w:hAnsi="Palatino Linotype" w:cs="Palatino Linotype"/>
          <w:b/>
          <w:bCs/>
          <w:i/>
          <w:iCs/>
          <w:sz w:val="22"/>
          <w:szCs w:val="22"/>
        </w:rPr>
        <w:t xml:space="preserve"> y donaciones</w:t>
      </w:r>
      <w:r>
        <w:rPr>
          <w:rFonts w:ascii="Palatino Linotype" w:eastAsia="Palatino Linotype" w:hAnsi="Palatino Linotype" w:cs="Palatino Linotype"/>
          <w:i/>
          <w:iCs/>
          <w:sz w:val="22"/>
          <w:szCs w:val="22"/>
        </w:rPr>
        <w:t xml:space="preserve"> que se hagan al sujeto obligado de bienes muebles e inmuebles, en caso de haberlas. También se dará a conocer el nombre de la persona servidora pública y/o toda persona que desempeñe un empleo, cargo o comisión y/o ejerza actos de autoridad, que funge com</w:t>
      </w:r>
      <w:r>
        <w:rPr>
          <w:rFonts w:ascii="Palatino Linotype" w:eastAsia="Palatino Linotype" w:hAnsi="Palatino Linotype" w:cs="Palatino Linotype"/>
          <w:i/>
          <w:iCs/>
          <w:sz w:val="22"/>
          <w:szCs w:val="22"/>
        </w:rPr>
        <w:t>o responsable inmobiliario, es decir, la persona encargada de la administración de los recursos materiales de las dependencias.</w:t>
      </w:r>
    </w:p>
    <w:p w:rsidR="00A208B1" w:rsidRDefault="003E0D5B">
      <w:pPr>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En caso de que algún sujeto obligado utilice o tenga a su cargo bienes muebles o inmuebles sobre los cuales reportar su tenencia</w:t>
      </w:r>
      <w:r>
        <w:rPr>
          <w:rFonts w:ascii="Palatino Linotype" w:eastAsia="Palatino Linotype" w:hAnsi="Palatino Linotype" w:cs="Palatino Linotype"/>
          <w:i/>
          <w:iCs/>
          <w:sz w:val="22"/>
          <w:szCs w:val="22"/>
        </w:rPr>
        <w:t xml:space="preserve"> y se encuentren reservados por motivos de Seguridad Nacional, Seguridad Pública o de interés público, en la "Descripción del bien" o "Denominación del inmueble", según corresponda, se especificará mediante una nota en la que se refiera el “bien número #”,</w:t>
      </w:r>
      <w:r>
        <w:rPr>
          <w:rFonts w:ascii="Palatino Linotype" w:eastAsia="Palatino Linotype" w:hAnsi="Palatino Linotype" w:cs="Palatino Linotype"/>
          <w:i/>
          <w:iCs/>
          <w:sz w:val="22"/>
          <w:szCs w:val="22"/>
        </w:rPr>
        <w:t xml:space="preserve"> indicando el número que se le asigne cronológicamente a cada bien, el cual no podrá ser el mismo para ningún otro del sujeto obligado por motivos de identificación única de éstos. A continuación, se registrará en el criterio adjetivo "Nota", la fundamenta</w:t>
      </w:r>
      <w:r>
        <w:rPr>
          <w:rFonts w:ascii="Palatino Linotype" w:eastAsia="Palatino Linotype" w:hAnsi="Palatino Linotype" w:cs="Palatino Linotype"/>
          <w:i/>
          <w:iCs/>
          <w:sz w:val="22"/>
          <w:szCs w:val="22"/>
        </w:rPr>
        <w:t>ción y motivación de la reserva de dicha información, acompañada de la resolución del Comité de Transparencia en la que se hubiera aprobado la clasificación de información. Cuando la clasificación de información se haya realizado para más de un bien mueble</w:t>
      </w:r>
      <w:r>
        <w:rPr>
          <w:rFonts w:ascii="Palatino Linotype" w:eastAsia="Palatino Linotype" w:hAnsi="Palatino Linotype" w:cs="Palatino Linotype"/>
          <w:i/>
          <w:iCs/>
          <w:sz w:val="22"/>
          <w:szCs w:val="22"/>
        </w:rPr>
        <w:t xml:space="preserve"> y/o inmueble, se incluirá una nota en cada registro que así corresponda, con la respectiva resolución del Comité de Transparencia.”</w:t>
      </w:r>
    </w:p>
    <w:p w:rsidR="00A208B1" w:rsidRDefault="003E0D5B">
      <w:pPr>
        <w:spacing w:before="240" w:line="360" w:lineRule="auto"/>
        <w:ind w:right="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Para el cumplimiento de dicha obligación, por lo que se refiere al inventario de bienes muebles, se emplean los formatos: </w:t>
      </w:r>
      <w:r>
        <w:rPr>
          <w:noProof/>
        </w:rPr>
        <w:drawing>
          <wp:anchor distT="0" distB="0" distL="114300" distR="114300" simplePos="0" relativeHeight="251658240" behindDoc="0" locked="0" layoutInCell="1" hidden="0" allowOverlap="1">
            <wp:simplePos x="0" y="0"/>
            <wp:positionH relativeFrom="column">
              <wp:posOffset>-3809</wp:posOffset>
            </wp:positionH>
            <wp:positionV relativeFrom="paragraph">
              <wp:posOffset>1116965</wp:posOffset>
            </wp:positionV>
            <wp:extent cx="5612130" cy="3230880"/>
            <wp:effectExtent l="0" t="0" r="0" b="0"/>
            <wp:wrapSquare wrapText="bothSides" distT="0" distB="0" distL="114300" distR="114300"/>
            <wp:docPr id="2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t="1166"/>
                    <a:stretch>
                      <a:fillRect/>
                    </a:stretch>
                  </pic:blipFill>
                  <pic:spPr>
                    <a:xfrm>
                      <a:off x="0" y="0"/>
                      <a:ext cx="5612130" cy="3230880"/>
                    </a:xfrm>
                    <a:prstGeom prst="rect">
                      <a:avLst/>
                    </a:prstGeom>
                    <a:ln/>
                  </pic:spPr>
                </pic:pic>
              </a:graphicData>
            </a:graphic>
          </wp:anchor>
        </w:drawing>
      </w:r>
    </w:p>
    <w:p w:rsidR="00A208B1" w:rsidRDefault="003E0D5B">
      <w:pPr>
        <w:spacing w:before="240" w:after="240" w:line="360" w:lineRule="auto"/>
        <w:ind w:right="51"/>
        <w:jc w:val="both"/>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drawing>
          <wp:inline distT="0" distB="0" distL="0" distR="0">
            <wp:extent cx="5612130" cy="666750"/>
            <wp:effectExtent l="0" t="0" r="0" b="0"/>
            <wp:docPr id="3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7"/>
                    <a:srcRect b="90359"/>
                    <a:stretch>
                      <a:fillRect/>
                    </a:stretch>
                  </pic:blipFill>
                  <pic:spPr>
                    <a:xfrm>
                      <a:off x="0" y="0"/>
                      <a:ext cx="5612130" cy="666750"/>
                    </a:xfrm>
                    <a:prstGeom prst="rect">
                      <a:avLst/>
                    </a:prstGeom>
                    <a:ln/>
                  </pic:spPr>
                </pic:pic>
              </a:graphicData>
            </a:graphic>
          </wp:inline>
        </w:drawing>
      </w:r>
      <w:r>
        <w:rPr>
          <w:noProof/>
        </w:rPr>
        <mc:AlternateContent>
          <mc:Choice Requires="wpg">
            <w:drawing>
              <wp:anchor distT="0" distB="0" distL="114300" distR="114300" simplePos="0" relativeHeight="251659264" behindDoc="0" locked="0" layoutInCell="1" hidden="0" allowOverlap="1">
                <wp:simplePos x="0" y="0"/>
                <wp:positionH relativeFrom="column">
                  <wp:posOffset>2244090</wp:posOffset>
                </wp:positionH>
                <wp:positionV relativeFrom="paragraph">
                  <wp:posOffset>903605</wp:posOffset>
                </wp:positionV>
                <wp:extent cx="2619375" cy="685800"/>
                <wp:effectExtent l="0" t="0" r="0" b="0"/>
                <wp:wrapNone/>
                <wp:docPr id="8" name=""/>
                <wp:cNvGraphicFramePr/>
                <a:graphic xmlns:a="http://schemas.openxmlformats.org/drawingml/2006/main">
                  <a:graphicData uri="http://schemas.microsoft.com/office/word/2010/wordprocessingShape">
                    <wps:wsp>
                      <wps:cNvSpPr/>
                      <wps:spPr>
                        <a:xfrm>
                          <a:off x="4055363" y="3456150"/>
                          <a:ext cx="2581275" cy="647700"/>
                        </a:xfrm>
                        <a:prstGeom prst="rect">
                          <a:avLst/>
                        </a:prstGeom>
                        <a:noFill/>
                        <a:ln w="38100" cap="flat" cmpd="sng">
                          <a:solidFill>
                            <a:srgbClr val="C00000"/>
                          </a:solidFill>
                          <a:prstDash val="solid"/>
                          <a:round/>
                          <a:headEnd type="none" w="sm" len="sm"/>
                          <a:tailEnd type="none" w="sm" len="sm"/>
                        </a:ln>
                      </wps:spPr>
                      <wps:txbx>
                        <w:txbxContent>
                          <w:p w:rsidR="00A208B1" w:rsidRDefault="00A208B1">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2244090</wp:posOffset>
                </wp:positionH>
                <wp:positionV relativeFrom="paragraph">
                  <wp:posOffset>903605</wp:posOffset>
                </wp:positionV>
                <wp:extent cx="2619375" cy="685800"/>
                <wp:effectExtent b="0" l="0" r="0" t="0"/>
                <wp:wrapNone/>
                <wp:docPr id="8" name="image27.png"/>
                <a:graphic>
                  <a:graphicData uri="http://schemas.openxmlformats.org/drawingml/2006/picture">
                    <pic:pic>
                      <pic:nvPicPr>
                        <pic:cNvPr id="0" name="image27.png"/>
                        <pic:cNvPicPr preferRelativeResize="0"/>
                      </pic:nvPicPr>
                      <pic:blipFill>
                        <a:blip r:embed="rId18"/>
                        <a:srcRect/>
                        <a:stretch>
                          <a:fillRect/>
                        </a:stretch>
                      </pic:blipFill>
                      <pic:spPr>
                        <a:xfrm>
                          <a:off x="0" y="0"/>
                          <a:ext cx="2619375" cy="685800"/>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simplePos x="0" y="0"/>
                <wp:positionH relativeFrom="column">
                  <wp:posOffset>-19049</wp:posOffset>
                </wp:positionH>
                <wp:positionV relativeFrom="paragraph">
                  <wp:posOffset>1665605</wp:posOffset>
                </wp:positionV>
                <wp:extent cx="1524000" cy="771525"/>
                <wp:effectExtent l="0" t="0" r="0" b="0"/>
                <wp:wrapNone/>
                <wp:docPr id="2" name=""/>
                <wp:cNvGraphicFramePr/>
                <a:graphic xmlns:a="http://schemas.openxmlformats.org/drawingml/2006/main">
                  <a:graphicData uri="http://schemas.microsoft.com/office/word/2010/wordprocessingShape">
                    <wps:wsp>
                      <wps:cNvSpPr/>
                      <wps:spPr>
                        <a:xfrm>
                          <a:off x="4603050" y="3413288"/>
                          <a:ext cx="1485900" cy="733425"/>
                        </a:xfrm>
                        <a:prstGeom prst="rect">
                          <a:avLst/>
                        </a:prstGeom>
                        <a:noFill/>
                        <a:ln w="38100" cap="flat" cmpd="sng">
                          <a:solidFill>
                            <a:srgbClr val="C00000"/>
                          </a:solidFill>
                          <a:prstDash val="solid"/>
                          <a:round/>
                          <a:headEnd type="none" w="sm" len="sm"/>
                          <a:tailEnd type="none" w="sm" len="sm"/>
                        </a:ln>
                      </wps:spPr>
                      <wps:txbx>
                        <w:txbxContent>
                          <w:p w:rsidR="00A208B1" w:rsidRDefault="00A208B1">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-19049</wp:posOffset>
                </wp:positionH>
                <wp:positionV relativeFrom="paragraph">
                  <wp:posOffset>1665605</wp:posOffset>
                </wp:positionV>
                <wp:extent cx="1524000" cy="771525"/>
                <wp:effectExtent b="0" l="0" r="0" t="0"/>
                <wp:wrapNone/>
                <wp:docPr id="2" name="image20.png"/>
                <a:graphic>
                  <a:graphicData uri="http://schemas.openxmlformats.org/drawingml/2006/picture">
                    <pic:pic>
                      <pic:nvPicPr>
                        <pic:cNvPr id="0" name="image20.png"/>
                        <pic:cNvPicPr preferRelativeResize="0"/>
                      </pic:nvPicPr>
                      <pic:blipFill>
                        <a:blip r:embed="rId18"/>
                        <a:srcRect/>
                        <a:stretch>
                          <a:fillRect/>
                        </a:stretch>
                      </pic:blipFill>
                      <pic:spPr>
                        <a:xfrm>
                          <a:off x="0" y="0"/>
                          <a:ext cx="1524000" cy="771525"/>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simplePos x="0" y="0"/>
                <wp:positionH relativeFrom="column">
                  <wp:posOffset>2101214</wp:posOffset>
                </wp:positionH>
                <wp:positionV relativeFrom="paragraph">
                  <wp:posOffset>2980054</wp:posOffset>
                </wp:positionV>
                <wp:extent cx="3438525" cy="744855"/>
                <wp:effectExtent l="0" t="0" r="0" b="0"/>
                <wp:wrapNone/>
                <wp:docPr id="12" name=""/>
                <wp:cNvGraphicFramePr/>
                <a:graphic xmlns:a="http://schemas.openxmlformats.org/drawingml/2006/main">
                  <a:graphicData uri="http://schemas.microsoft.com/office/word/2010/wordprocessingShape">
                    <wps:wsp>
                      <wps:cNvSpPr/>
                      <wps:spPr>
                        <a:xfrm>
                          <a:off x="3645788" y="3426623"/>
                          <a:ext cx="3400425" cy="706755"/>
                        </a:xfrm>
                        <a:prstGeom prst="rect">
                          <a:avLst/>
                        </a:prstGeom>
                        <a:noFill/>
                        <a:ln w="38100" cap="flat" cmpd="sng">
                          <a:solidFill>
                            <a:srgbClr val="C00000"/>
                          </a:solidFill>
                          <a:prstDash val="solid"/>
                          <a:round/>
                          <a:headEnd type="none" w="sm" len="sm"/>
                          <a:tailEnd type="none" w="sm" len="sm"/>
                        </a:ln>
                      </wps:spPr>
                      <wps:txbx>
                        <w:txbxContent>
                          <w:p w:rsidR="00A208B1" w:rsidRDefault="00A208B1">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2101214</wp:posOffset>
                </wp:positionH>
                <wp:positionV relativeFrom="paragraph">
                  <wp:posOffset>2980054</wp:posOffset>
                </wp:positionV>
                <wp:extent cx="3438525" cy="744855"/>
                <wp:effectExtent b="0" l="0" r="0" t="0"/>
                <wp:wrapNone/>
                <wp:docPr id="12" name="image38.png"/>
                <a:graphic>
                  <a:graphicData uri="http://schemas.openxmlformats.org/drawingml/2006/picture">
                    <pic:pic>
                      <pic:nvPicPr>
                        <pic:cNvPr id="0" name="image38.png"/>
                        <pic:cNvPicPr preferRelativeResize="0"/>
                      </pic:nvPicPr>
                      <pic:blipFill>
                        <a:blip r:embed="rId18"/>
                        <a:srcRect/>
                        <a:stretch>
                          <a:fillRect/>
                        </a:stretch>
                      </pic:blipFill>
                      <pic:spPr>
                        <a:xfrm>
                          <a:off x="0" y="0"/>
                          <a:ext cx="3438525" cy="744855"/>
                        </a:xfrm>
                        <a:prstGeom prst="rect"/>
                        <a:ln/>
                      </pic:spPr>
                    </pic:pic>
                  </a:graphicData>
                </a:graphic>
              </wp:anchor>
            </w:drawing>
          </mc:Fallback>
        </mc:AlternateContent>
      </w:r>
    </w:p>
    <w:p w:rsidR="00A208B1" w:rsidRDefault="003E0D5B">
      <w:pPr>
        <w:spacing w:before="240" w:after="240" w:line="360" w:lineRule="auto"/>
        <w:ind w:right="51"/>
        <w:jc w:val="both"/>
        <w:rPr>
          <w:rFonts w:ascii="Palatino Linotype" w:eastAsia="Palatino Linotype" w:hAnsi="Palatino Linotype" w:cs="Palatino Linotype"/>
          <w:sz w:val="22"/>
          <w:szCs w:val="22"/>
        </w:rPr>
      </w:pPr>
      <w:r>
        <w:rPr>
          <w:noProof/>
        </w:rPr>
        <mc:AlternateContent>
          <mc:Choice Requires="wpg">
            <w:drawing>
              <wp:anchor distT="0" distB="0" distL="114300" distR="114300" simplePos="0" relativeHeight="251662336" behindDoc="0" locked="0" layoutInCell="1" hidden="0" allowOverlap="1">
                <wp:simplePos x="0" y="0"/>
                <wp:positionH relativeFrom="column">
                  <wp:posOffset>84457</wp:posOffset>
                </wp:positionH>
                <wp:positionV relativeFrom="paragraph">
                  <wp:posOffset>26670</wp:posOffset>
                </wp:positionV>
                <wp:extent cx="5540375" cy="1616075"/>
                <wp:effectExtent l="0" t="0" r="0" b="0"/>
                <wp:wrapNone/>
                <wp:docPr id="5" name=""/>
                <wp:cNvGraphicFramePr/>
                <a:graphic xmlns:a="http://schemas.openxmlformats.org/drawingml/2006/main">
                  <a:graphicData uri="http://schemas.microsoft.com/office/word/2010/wordprocessingShape">
                    <wps:wsp>
                      <wps:cNvCnPr/>
                      <wps:spPr>
                        <a:xfrm>
                          <a:off x="2588513" y="2984663"/>
                          <a:ext cx="5514975" cy="1590675"/>
                        </a:xfrm>
                        <a:prstGeom prst="straightConnector1">
                          <a:avLst/>
                        </a:prstGeom>
                        <a:noFill/>
                        <a:ln w="25400" cap="flat" cmpd="sng">
                          <a:solidFill>
                            <a:schemeClr val="dk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84457</wp:posOffset>
                </wp:positionH>
                <wp:positionV relativeFrom="paragraph">
                  <wp:posOffset>26670</wp:posOffset>
                </wp:positionV>
                <wp:extent cx="5540375" cy="1616075"/>
                <wp:effectExtent b="0" l="0" r="0" t="0"/>
                <wp:wrapNone/>
                <wp:docPr id="5" name="image24.png"/>
                <a:graphic>
                  <a:graphicData uri="http://schemas.openxmlformats.org/drawingml/2006/picture">
                    <pic:pic>
                      <pic:nvPicPr>
                        <pic:cNvPr id="0" name="image24.png"/>
                        <pic:cNvPicPr preferRelativeResize="0"/>
                      </pic:nvPicPr>
                      <pic:blipFill>
                        <a:blip r:embed="rId18"/>
                        <a:srcRect/>
                        <a:stretch>
                          <a:fillRect/>
                        </a:stretch>
                      </pic:blipFill>
                      <pic:spPr>
                        <a:xfrm>
                          <a:off x="0" y="0"/>
                          <a:ext cx="5540375" cy="1616075"/>
                        </a:xfrm>
                        <a:prstGeom prst="rect"/>
                        <a:ln/>
                      </pic:spPr>
                    </pic:pic>
                  </a:graphicData>
                </a:graphic>
              </wp:anchor>
            </w:drawing>
          </mc:Fallback>
        </mc:AlternateContent>
      </w:r>
    </w:p>
    <w:p w:rsidR="00A208B1" w:rsidRDefault="003E0D5B">
      <w:pPr>
        <w:spacing w:before="240" w:after="240" w:line="360" w:lineRule="auto"/>
        <w:ind w:right="51"/>
        <w:jc w:val="both"/>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drawing>
          <wp:inline distT="0" distB="0" distL="0" distR="0">
            <wp:extent cx="5612130" cy="3916680"/>
            <wp:effectExtent l="0" t="0" r="0" b="0"/>
            <wp:docPr id="3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9"/>
                    <a:srcRect/>
                    <a:stretch>
                      <a:fillRect/>
                    </a:stretch>
                  </pic:blipFill>
                  <pic:spPr>
                    <a:xfrm>
                      <a:off x="0" y="0"/>
                      <a:ext cx="5612130" cy="3916680"/>
                    </a:xfrm>
                    <a:prstGeom prst="rect">
                      <a:avLst/>
                    </a:prstGeom>
                    <a:ln/>
                  </pic:spPr>
                </pic:pic>
              </a:graphicData>
            </a:graphic>
          </wp:inline>
        </w:drawing>
      </w:r>
      <w:r>
        <w:rPr>
          <w:noProof/>
        </w:rPr>
        <mc:AlternateContent>
          <mc:Choice Requires="wpg">
            <w:drawing>
              <wp:anchor distT="0" distB="0" distL="114300" distR="114300" simplePos="0" relativeHeight="251663360" behindDoc="0" locked="0" layoutInCell="1" hidden="0" allowOverlap="1">
                <wp:simplePos x="0" y="0"/>
                <wp:positionH relativeFrom="column">
                  <wp:posOffset>2811780</wp:posOffset>
                </wp:positionH>
                <wp:positionV relativeFrom="paragraph">
                  <wp:posOffset>455930</wp:posOffset>
                </wp:positionV>
                <wp:extent cx="2819400" cy="638175"/>
                <wp:effectExtent l="0" t="0" r="0" b="0"/>
                <wp:wrapNone/>
                <wp:docPr id="10" name=""/>
                <wp:cNvGraphicFramePr/>
                <a:graphic xmlns:a="http://schemas.openxmlformats.org/drawingml/2006/main">
                  <a:graphicData uri="http://schemas.microsoft.com/office/word/2010/wordprocessingShape">
                    <wps:wsp>
                      <wps:cNvSpPr/>
                      <wps:spPr>
                        <a:xfrm>
                          <a:off x="3955350" y="3479963"/>
                          <a:ext cx="2781300" cy="600075"/>
                        </a:xfrm>
                        <a:prstGeom prst="rect">
                          <a:avLst/>
                        </a:prstGeom>
                        <a:noFill/>
                        <a:ln w="38100" cap="flat" cmpd="sng">
                          <a:solidFill>
                            <a:srgbClr val="C00000"/>
                          </a:solidFill>
                          <a:prstDash val="solid"/>
                          <a:round/>
                          <a:headEnd type="none" w="sm" len="sm"/>
                          <a:tailEnd type="none" w="sm" len="sm"/>
                        </a:ln>
                      </wps:spPr>
                      <wps:txbx>
                        <w:txbxContent>
                          <w:p w:rsidR="00A208B1" w:rsidRDefault="00A208B1">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2811780</wp:posOffset>
                </wp:positionH>
                <wp:positionV relativeFrom="paragraph">
                  <wp:posOffset>455930</wp:posOffset>
                </wp:positionV>
                <wp:extent cx="2819400" cy="638175"/>
                <wp:effectExtent b="0" l="0" r="0" t="0"/>
                <wp:wrapNone/>
                <wp:docPr id="10" name="image30.png"/>
                <a:graphic>
                  <a:graphicData uri="http://schemas.openxmlformats.org/drawingml/2006/picture">
                    <pic:pic>
                      <pic:nvPicPr>
                        <pic:cNvPr id="0" name="image30.png"/>
                        <pic:cNvPicPr preferRelativeResize="0"/>
                      </pic:nvPicPr>
                      <pic:blipFill>
                        <a:blip r:embed="rId18"/>
                        <a:srcRect/>
                        <a:stretch>
                          <a:fillRect/>
                        </a:stretch>
                      </pic:blipFill>
                      <pic:spPr>
                        <a:xfrm>
                          <a:off x="0" y="0"/>
                          <a:ext cx="2819400" cy="638175"/>
                        </a:xfrm>
                        <a:prstGeom prst="rect"/>
                        <a:ln/>
                      </pic:spPr>
                    </pic:pic>
                  </a:graphicData>
                </a:graphic>
              </wp:anchor>
            </w:drawing>
          </mc:Fallback>
        </mc:AlternateContent>
      </w:r>
      <w:r>
        <w:rPr>
          <w:noProof/>
        </w:rPr>
        <mc:AlternateContent>
          <mc:Choice Requires="wpg">
            <w:drawing>
              <wp:anchor distT="0" distB="0" distL="114300" distR="114300" simplePos="0" relativeHeight="251664384" behindDoc="0" locked="0" layoutInCell="1" hidden="0" allowOverlap="1">
                <wp:simplePos x="0" y="0"/>
                <wp:positionH relativeFrom="column">
                  <wp:posOffset>106681</wp:posOffset>
                </wp:positionH>
                <wp:positionV relativeFrom="paragraph">
                  <wp:posOffset>1389380</wp:posOffset>
                </wp:positionV>
                <wp:extent cx="5524500" cy="752475"/>
                <wp:effectExtent l="0" t="0" r="0" b="0"/>
                <wp:wrapNone/>
                <wp:docPr id="9" name=""/>
                <wp:cNvGraphicFramePr/>
                <a:graphic xmlns:a="http://schemas.openxmlformats.org/drawingml/2006/main">
                  <a:graphicData uri="http://schemas.microsoft.com/office/word/2010/wordprocessingShape">
                    <wps:wsp>
                      <wps:cNvSpPr/>
                      <wps:spPr>
                        <a:xfrm>
                          <a:off x="2602800" y="3422813"/>
                          <a:ext cx="5486400" cy="714375"/>
                        </a:xfrm>
                        <a:prstGeom prst="rect">
                          <a:avLst/>
                        </a:prstGeom>
                        <a:noFill/>
                        <a:ln w="38100" cap="flat" cmpd="sng">
                          <a:solidFill>
                            <a:srgbClr val="C00000"/>
                          </a:solidFill>
                          <a:prstDash val="solid"/>
                          <a:round/>
                          <a:headEnd type="none" w="sm" len="sm"/>
                          <a:tailEnd type="none" w="sm" len="sm"/>
                        </a:ln>
                      </wps:spPr>
                      <wps:txbx>
                        <w:txbxContent>
                          <w:p w:rsidR="00A208B1" w:rsidRDefault="00A208B1">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106681</wp:posOffset>
                </wp:positionH>
                <wp:positionV relativeFrom="paragraph">
                  <wp:posOffset>1389380</wp:posOffset>
                </wp:positionV>
                <wp:extent cx="5524500" cy="752475"/>
                <wp:effectExtent b="0" l="0" r="0" t="0"/>
                <wp:wrapNone/>
                <wp:docPr id="9" name="image28.png"/>
                <a:graphic>
                  <a:graphicData uri="http://schemas.openxmlformats.org/drawingml/2006/picture">
                    <pic:pic>
                      <pic:nvPicPr>
                        <pic:cNvPr id="0" name="image28.png"/>
                        <pic:cNvPicPr preferRelativeResize="0"/>
                      </pic:nvPicPr>
                      <pic:blipFill>
                        <a:blip r:embed="rId18"/>
                        <a:srcRect/>
                        <a:stretch>
                          <a:fillRect/>
                        </a:stretch>
                      </pic:blipFill>
                      <pic:spPr>
                        <a:xfrm>
                          <a:off x="0" y="0"/>
                          <a:ext cx="5524500" cy="752475"/>
                        </a:xfrm>
                        <a:prstGeom prst="rect"/>
                        <a:ln/>
                      </pic:spPr>
                    </pic:pic>
                  </a:graphicData>
                </a:graphic>
              </wp:anchor>
            </w:drawing>
          </mc:Fallback>
        </mc:AlternateContent>
      </w:r>
      <w:r>
        <w:rPr>
          <w:noProof/>
        </w:rPr>
        <mc:AlternateContent>
          <mc:Choice Requires="wpg">
            <w:drawing>
              <wp:anchor distT="0" distB="0" distL="114300" distR="114300" simplePos="0" relativeHeight="251665408" behindDoc="0" locked="0" layoutInCell="1" hidden="0" allowOverlap="1">
                <wp:simplePos x="0" y="0"/>
                <wp:positionH relativeFrom="column">
                  <wp:posOffset>106681</wp:posOffset>
                </wp:positionH>
                <wp:positionV relativeFrom="paragraph">
                  <wp:posOffset>2303780</wp:posOffset>
                </wp:positionV>
                <wp:extent cx="5524500" cy="800100"/>
                <wp:effectExtent l="0" t="0" r="0" b="0"/>
                <wp:wrapNone/>
                <wp:docPr id="4" name=""/>
                <wp:cNvGraphicFramePr/>
                <a:graphic xmlns:a="http://schemas.openxmlformats.org/drawingml/2006/main">
                  <a:graphicData uri="http://schemas.microsoft.com/office/word/2010/wordprocessingShape">
                    <wps:wsp>
                      <wps:cNvSpPr/>
                      <wps:spPr>
                        <a:xfrm>
                          <a:off x="2602800" y="3399000"/>
                          <a:ext cx="5486400" cy="762000"/>
                        </a:xfrm>
                        <a:prstGeom prst="rect">
                          <a:avLst/>
                        </a:prstGeom>
                        <a:noFill/>
                        <a:ln w="38100" cap="flat" cmpd="sng">
                          <a:solidFill>
                            <a:srgbClr val="C00000"/>
                          </a:solidFill>
                          <a:prstDash val="solid"/>
                          <a:round/>
                          <a:headEnd type="none" w="sm" len="sm"/>
                          <a:tailEnd type="none" w="sm" len="sm"/>
                        </a:ln>
                      </wps:spPr>
                      <wps:txbx>
                        <w:txbxContent>
                          <w:p w:rsidR="00A208B1" w:rsidRDefault="00A208B1">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106681</wp:posOffset>
                </wp:positionH>
                <wp:positionV relativeFrom="paragraph">
                  <wp:posOffset>2303780</wp:posOffset>
                </wp:positionV>
                <wp:extent cx="5524500" cy="800100"/>
                <wp:effectExtent b="0" l="0" r="0" t="0"/>
                <wp:wrapNone/>
                <wp:docPr id="4" name="image23.png"/>
                <a:graphic>
                  <a:graphicData uri="http://schemas.openxmlformats.org/drawingml/2006/picture">
                    <pic:pic>
                      <pic:nvPicPr>
                        <pic:cNvPr id="0" name="image23.png"/>
                        <pic:cNvPicPr preferRelativeResize="0"/>
                      </pic:nvPicPr>
                      <pic:blipFill>
                        <a:blip r:embed="rId18"/>
                        <a:srcRect/>
                        <a:stretch>
                          <a:fillRect/>
                        </a:stretch>
                      </pic:blipFill>
                      <pic:spPr>
                        <a:xfrm>
                          <a:off x="0" y="0"/>
                          <a:ext cx="5524500" cy="800100"/>
                        </a:xfrm>
                        <a:prstGeom prst="rect"/>
                        <a:ln/>
                      </pic:spPr>
                    </pic:pic>
                  </a:graphicData>
                </a:graphic>
              </wp:anchor>
            </w:drawing>
          </mc:Fallback>
        </mc:AlternateContent>
      </w:r>
    </w:p>
    <w:p w:rsidR="00A208B1" w:rsidRDefault="003E0D5B">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Además, el </w:t>
      </w:r>
      <w:r>
        <w:rPr>
          <w:rFonts w:ascii="Palatino Linotype" w:eastAsia="Palatino Linotype" w:hAnsi="Palatino Linotype" w:cs="Palatino Linotype"/>
          <w:b/>
          <w:bCs/>
          <w:sz w:val="22"/>
          <w:szCs w:val="22"/>
        </w:rPr>
        <w:t xml:space="preserve">Sujeto Obligado </w:t>
      </w:r>
      <w:r>
        <w:rPr>
          <w:rFonts w:ascii="Palatino Linotype" w:eastAsia="Palatino Linotype" w:hAnsi="Palatino Linotype" w:cs="Palatino Linotype"/>
          <w:sz w:val="22"/>
          <w:szCs w:val="22"/>
        </w:rPr>
        <w:t xml:space="preserve">se encuentra constreñido a entregar al Órgano Superior de Fiscalización del Estado de México, como parte de los informes trimestrales, los reportes de movimientos de bienes muebles e inmuebles </w:t>
      </w:r>
      <w:r>
        <w:rPr>
          <w:rFonts w:ascii="Palatino Linotype" w:eastAsia="Palatino Linotype" w:hAnsi="Palatino Linotype" w:cs="Palatino Linotype"/>
          <w:i/>
          <w:iCs/>
          <w:sz w:val="22"/>
          <w:szCs w:val="22"/>
        </w:rPr>
        <w:t>de forma trimestral,</w:t>
      </w:r>
      <w:r>
        <w:rPr>
          <w:rFonts w:ascii="Palatino Linotype" w:eastAsia="Palatino Linotype" w:hAnsi="Palatino Linotype" w:cs="Palatino Linotype"/>
          <w:sz w:val="22"/>
          <w:szCs w:val="22"/>
        </w:rPr>
        <w:t xml:space="preserve"> así como los inventarios de bienes muebles e inmuebles </w:t>
      </w:r>
      <w:r>
        <w:rPr>
          <w:rFonts w:ascii="Palatino Linotype" w:eastAsia="Palatino Linotype" w:hAnsi="Palatino Linotype" w:cs="Palatino Linotype"/>
          <w:i/>
          <w:iCs/>
          <w:sz w:val="22"/>
          <w:szCs w:val="22"/>
        </w:rPr>
        <w:t>de forma semestral</w:t>
      </w:r>
      <w:r>
        <w:rPr>
          <w:rFonts w:ascii="Palatino Linotype" w:eastAsia="Palatino Linotype" w:hAnsi="Palatino Linotype" w:cs="Palatino Linotype"/>
          <w:sz w:val="22"/>
          <w:szCs w:val="22"/>
        </w:rPr>
        <w:t xml:space="preserve">, como se desprende de los Lineamientos para la integración y presentación de los Informes Trimestrales Estatales y Municipales del Ejercicio Fiscal 2025, los cuales establecen el formato mediante el cual debe presentarse la información que integra dichos </w:t>
      </w:r>
      <w:r>
        <w:rPr>
          <w:rFonts w:ascii="Palatino Linotype" w:eastAsia="Palatino Linotype" w:hAnsi="Palatino Linotype" w:cs="Palatino Linotype"/>
          <w:sz w:val="22"/>
          <w:szCs w:val="22"/>
        </w:rPr>
        <w:t>informes y los instructivos de llenado correspondientes.</w:t>
      </w:r>
    </w:p>
    <w:p w:rsidR="00A208B1" w:rsidRDefault="003E0D5B">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conformidad con los Lineamientos del ejercicio 2025, la información que generan los entes fiscalizables de carácter municipal con motivo del inventario de bienes inmuebles se encuentra contenida e</w:t>
      </w:r>
      <w:r>
        <w:rPr>
          <w:rFonts w:ascii="Palatino Linotype" w:eastAsia="Palatino Linotype" w:hAnsi="Palatino Linotype" w:cs="Palatino Linotype"/>
          <w:sz w:val="22"/>
          <w:szCs w:val="22"/>
        </w:rPr>
        <w:t>n el Módulo 4 Información Administrativa, Submódulo Información de Bienes Muebles e Inmuebles, (Plataforma Digital), como se muestra a continuación:</w:t>
      </w:r>
    </w:p>
    <w:p w:rsidR="00A208B1" w:rsidRDefault="003E0D5B">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drawing>
          <wp:inline distT="0" distB="0" distL="0" distR="0">
            <wp:extent cx="5612130" cy="2810510"/>
            <wp:effectExtent l="0" t="0" r="0" b="0"/>
            <wp:docPr id="3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0"/>
                    <a:srcRect/>
                    <a:stretch>
                      <a:fillRect/>
                    </a:stretch>
                  </pic:blipFill>
                  <pic:spPr>
                    <a:xfrm>
                      <a:off x="0" y="0"/>
                      <a:ext cx="5612130" cy="2810510"/>
                    </a:xfrm>
                    <a:prstGeom prst="rect">
                      <a:avLst/>
                    </a:prstGeom>
                    <a:ln/>
                  </pic:spPr>
                </pic:pic>
              </a:graphicData>
            </a:graphic>
          </wp:inline>
        </w:drawing>
      </w:r>
    </w:p>
    <w:p w:rsidR="00A208B1" w:rsidRDefault="003E0D5B">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drawing>
          <wp:inline distT="0" distB="0" distL="0" distR="0">
            <wp:extent cx="5612130" cy="1713865"/>
            <wp:effectExtent l="0" t="0" r="0" b="0"/>
            <wp:docPr id="3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1"/>
                    <a:srcRect/>
                    <a:stretch>
                      <a:fillRect/>
                    </a:stretch>
                  </pic:blipFill>
                  <pic:spPr>
                    <a:xfrm>
                      <a:off x="0" y="0"/>
                      <a:ext cx="5612130" cy="1713865"/>
                    </a:xfrm>
                    <a:prstGeom prst="rect">
                      <a:avLst/>
                    </a:prstGeom>
                    <a:ln/>
                  </pic:spPr>
                </pic:pic>
              </a:graphicData>
            </a:graphic>
          </wp:inline>
        </w:drawing>
      </w:r>
    </w:p>
    <w:p w:rsidR="00A208B1" w:rsidRDefault="003E0D5B">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drawing>
          <wp:inline distT="0" distB="0" distL="0" distR="0">
            <wp:extent cx="5612130" cy="1917065"/>
            <wp:effectExtent l="0" t="0" r="0" b="0"/>
            <wp:docPr id="3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2"/>
                    <a:srcRect/>
                    <a:stretch>
                      <a:fillRect/>
                    </a:stretch>
                  </pic:blipFill>
                  <pic:spPr>
                    <a:xfrm>
                      <a:off x="0" y="0"/>
                      <a:ext cx="5612130" cy="1917065"/>
                    </a:xfrm>
                    <a:prstGeom prst="rect">
                      <a:avLst/>
                    </a:prstGeom>
                    <a:ln/>
                  </pic:spPr>
                </pic:pic>
              </a:graphicData>
            </a:graphic>
          </wp:inline>
        </w:drawing>
      </w:r>
      <w:r>
        <w:rPr>
          <w:noProof/>
        </w:rPr>
        <mc:AlternateContent>
          <mc:Choice Requires="wpg">
            <w:drawing>
              <wp:anchor distT="0" distB="0" distL="114300" distR="114300" simplePos="0" relativeHeight="251666432" behindDoc="0" locked="0" layoutInCell="1" hidden="0" allowOverlap="1">
                <wp:simplePos x="0" y="0"/>
                <wp:positionH relativeFrom="column">
                  <wp:posOffset>481965</wp:posOffset>
                </wp:positionH>
                <wp:positionV relativeFrom="paragraph">
                  <wp:posOffset>636</wp:posOffset>
                </wp:positionV>
                <wp:extent cx="5133975" cy="1619250"/>
                <wp:effectExtent l="0" t="0" r="0" b="0"/>
                <wp:wrapNone/>
                <wp:docPr id="13" name=""/>
                <wp:cNvGraphicFramePr/>
                <a:graphic xmlns:a="http://schemas.openxmlformats.org/drawingml/2006/main">
                  <a:graphicData uri="http://schemas.microsoft.com/office/word/2010/wordprocessingShape">
                    <wps:wsp>
                      <wps:cNvSpPr/>
                      <wps:spPr>
                        <a:xfrm>
                          <a:off x="2798063" y="2989425"/>
                          <a:ext cx="5095875" cy="1581150"/>
                        </a:xfrm>
                        <a:prstGeom prst="rect">
                          <a:avLst/>
                        </a:prstGeom>
                        <a:noFill/>
                        <a:ln w="38100" cap="flat" cmpd="sng">
                          <a:solidFill>
                            <a:srgbClr val="C00000"/>
                          </a:solidFill>
                          <a:prstDash val="solid"/>
                          <a:miter lim="800000"/>
                          <a:headEnd type="none" w="sm" len="sm"/>
                          <a:tailEnd type="none" w="sm" len="sm"/>
                        </a:ln>
                      </wps:spPr>
                      <wps:txbx>
                        <w:txbxContent>
                          <w:p w:rsidR="00A208B1" w:rsidRDefault="00A208B1">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481965</wp:posOffset>
                </wp:positionH>
                <wp:positionV relativeFrom="paragraph">
                  <wp:posOffset>636</wp:posOffset>
                </wp:positionV>
                <wp:extent cx="5133975" cy="1619250"/>
                <wp:effectExtent b="0" l="0" r="0" t="0"/>
                <wp:wrapNone/>
                <wp:docPr id="13" name="image39.png"/>
                <a:graphic>
                  <a:graphicData uri="http://schemas.openxmlformats.org/drawingml/2006/picture">
                    <pic:pic>
                      <pic:nvPicPr>
                        <pic:cNvPr id="0" name="image39.png"/>
                        <pic:cNvPicPr preferRelativeResize="0"/>
                      </pic:nvPicPr>
                      <pic:blipFill>
                        <a:blip r:embed="rId18"/>
                        <a:srcRect/>
                        <a:stretch>
                          <a:fillRect/>
                        </a:stretch>
                      </pic:blipFill>
                      <pic:spPr>
                        <a:xfrm>
                          <a:off x="0" y="0"/>
                          <a:ext cx="5133975" cy="1619250"/>
                        </a:xfrm>
                        <a:prstGeom prst="rect"/>
                        <a:ln/>
                      </pic:spPr>
                    </pic:pic>
                  </a:graphicData>
                </a:graphic>
              </wp:anchor>
            </w:drawing>
          </mc:Fallback>
        </mc:AlternateContent>
      </w:r>
    </w:p>
    <w:p w:rsidR="00A208B1" w:rsidRDefault="003E0D5B">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La finalidad del Reporte de Movimientos de Bienes Inmuebles consiste en registrar las adquisiciones y/o bajas de bienes inmuebles realizadas durante el trimestre ordenado, mientras que la finalidad del Reporte de Movimientos de Bienes Muebles consiste en r</w:t>
      </w:r>
      <w:r>
        <w:rPr>
          <w:rFonts w:ascii="Palatino Linotype" w:eastAsia="Palatino Linotype" w:hAnsi="Palatino Linotype" w:cs="Palatino Linotype"/>
          <w:sz w:val="22"/>
          <w:szCs w:val="22"/>
        </w:rPr>
        <w:t>egistrar las adquisiciones y/o bajas de bienes muebles realizadas durante el trimestre ordenado progresivamente por fecha.</w:t>
      </w:r>
    </w:p>
    <w:p w:rsidR="00A208B1" w:rsidRDefault="003E0D5B">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otro lado, la finalidad del Inventario de Bienes Inmuebles consiste en registrar los bienes inmuebles con los que cuenta la entid</w:t>
      </w:r>
      <w:r>
        <w:rPr>
          <w:rFonts w:ascii="Palatino Linotype" w:eastAsia="Palatino Linotype" w:hAnsi="Palatino Linotype" w:cs="Palatino Linotype"/>
          <w:sz w:val="22"/>
          <w:szCs w:val="22"/>
        </w:rPr>
        <w:t>ad municipal, mientras que la finalidad del Inventario de Bienes Muebles consiste en registrar los bienes muebles con los que cuenta la entidad municipal, y se presentan a través de los siguientes formatos, por lo que se refiere a los bienes muebles:</w:t>
      </w:r>
    </w:p>
    <w:p w:rsidR="00A208B1" w:rsidRDefault="003E0D5B">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Dicha</w:t>
      </w:r>
      <w:r>
        <w:rPr>
          <w:rFonts w:ascii="Palatino Linotype" w:eastAsia="Palatino Linotype" w:hAnsi="Palatino Linotype" w:cs="Palatino Linotype"/>
          <w:sz w:val="22"/>
          <w:szCs w:val="22"/>
        </w:rPr>
        <w:t xml:space="preserve"> información y se presenta a través de los siguientes formatos, por lo que se refiere a los bienes muebles:</w:t>
      </w:r>
    </w:p>
    <w:p w:rsidR="00A208B1" w:rsidRDefault="003E0D5B">
      <w:pPr>
        <w:spacing w:before="240" w:after="240" w:line="360"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drawing>
          <wp:inline distT="0" distB="0" distL="0" distR="0">
            <wp:extent cx="4860000" cy="3475351"/>
            <wp:effectExtent l="0" t="0" r="0" b="0"/>
            <wp:docPr id="36"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3"/>
                    <a:srcRect/>
                    <a:stretch>
                      <a:fillRect/>
                    </a:stretch>
                  </pic:blipFill>
                  <pic:spPr>
                    <a:xfrm>
                      <a:off x="0" y="0"/>
                      <a:ext cx="4860000" cy="3475351"/>
                    </a:xfrm>
                    <a:prstGeom prst="rect">
                      <a:avLst/>
                    </a:prstGeom>
                    <a:ln/>
                  </pic:spPr>
                </pic:pic>
              </a:graphicData>
            </a:graphic>
          </wp:inline>
        </w:drawing>
      </w:r>
    </w:p>
    <w:p w:rsidR="00A208B1" w:rsidRDefault="003E0D5B">
      <w:pPr>
        <w:spacing w:before="240" w:after="240" w:line="360"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drawing>
          <wp:inline distT="0" distB="0" distL="0" distR="0">
            <wp:extent cx="4860000" cy="2938108"/>
            <wp:effectExtent l="0" t="0" r="0" b="0"/>
            <wp:docPr id="38"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4"/>
                    <a:srcRect/>
                    <a:stretch>
                      <a:fillRect/>
                    </a:stretch>
                  </pic:blipFill>
                  <pic:spPr>
                    <a:xfrm>
                      <a:off x="0" y="0"/>
                      <a:ext cx="4860000" cy="2938108"/>
                    </a:xfrm>
                    <a:prstGeom prst="rect">
                      <a:avLst/>
                    </a:prstGeom>
                    <a:ln/>
                  </pic:spPr>
                </pic:pic>
              </a:graphicData>
            </a:graphic>
          </wp:inline>
        </w:drawing>
      </w:r>
    </w:p>
    <w:p w:rsidR="00A208B1" w:rsidRDefault="003E0D5B">
      <w:pPr>
        <w:spacing w:before="240" w:after="240"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Para el llenado se deben observar las siguientes especificaciones:</w:t>
      </w:r>
    </w:p>
    <w:p w:rsidR="00A208B1" w:rsidRDefault="003E0D5B">
      <w:pPr>
        <w:spacing w:before="240" w:after="240" w:line="360"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drawing>
          <wp:inline distT="0" distB="0" distL="0" distR="0">
            <wp:extent cx="4860000" cy="3959817"/>
            <wp:effectExtent l="0" t="0" r="0" b="0"/>
            <wp:docPr id="39"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5"/>
                    <a:srcRect/>
                    <a:stretch>
                      <a:fillRect/>
                    </a:stretch>
                  </pic:blipFill>
                  <pic:spPr>
                    <a:xfrm>
                      <a:off x="0" y="0"/>
                      <a:ext cx="4860000" cy="3959817"/>
                    </a:xfrm>
                    <a:prstGeom prst="rect">
                      <a:avLst/>
                    </a:prstGeom>
                    <a:ln/>
                  </pic:spPr>
                </pic:pic>
              </a:graphicData>
            </a:graphic>
          </wp:inline>
        </w:drawing>
      </w:r>
      <w:r>
        <w:rPr>
          <w:noProof/>
        </w:rPr>
        <mc:AlternateContent>
          <mc:Choice Requires="wpg">
            <w:drawing>
              <wp:anchor distT="0" distB="0" distL="114300" distR="114300" simplePos="0" relativeHeight="251667456" behindDoc="0" locked="0" layoutInCell="1" hidden="0" allowOverlap="1">
                <wp:simplePos x="0" y="0"/>
                <wp:positionH relativeFrom="column">
                  <wp:posOffset>358140</wp:posOffset>
                </wp:positionH>
                <wp:positionV relativeFrom="paragraph">
                  <wp:posOffset>1779905</wp:posOffset>
                </wp:positionV>
                <wp:extent cx="4924425" cy="752475"/>
                <wp:effectExtent l="0" t="0" r="0" b="0"/>
                <wp:wrapNone/>
                <wp:docPr id="3" name=""/>
                <wp:cNvGraphicFramePr/>
                <a:graphic xmlns:a="http://schemas.openxmlformats.org/drawingml/2006/main">
                  <a:graphicData uri="http://schemas.microsoft.com/office/word/2010/wordprocessingShape">
                    <wps:wsp>
                      <wps:cNvSpPr/>
                      <wps:spPr>
                        <a:xfrm>
                          <a:off x="2902838" y="3422813"/>
                          <a:ext cx="4886325" cy="714375"/>
                        </a:xfrm>
                        <a:prstGeom prst="rect">
                          <a:avLst/>
                        </a:prstGeom>
                        <a:noFill/>
                        <a:ln w="38100" cap="flat" cmpd="sng">
                          <a:solidFill>
                            <a:srgbClr val="C00000"/>
                          </a:solidFill>
                          <a:prstDash val="solid"/>
                          <a:round/>
                          <a:headEnd type="none" w="sm" len="sm"/>
                          <a:tailEnd type="none" w="sm" len="sm"/>
                        </a:ln>
                      </wps:spPr>
                      <wps:txbx>
                        <w:txbxContent>
                          <w:p w:rsidR="00A208B1" w:rsidRDefault="00A208B1">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358140</wp:posOffset>
                </wp:positionH>
                <wp:positionV relativeFrom="paragraph">
                  <wp:posOffset>1779905</wp:posOffset>
                </wp:positionV>
                <wp:extent cx="4924425" cy="752475"/>
                <wp:effectExtent b="0" l="0" r="0" t="0"/>
                <wp:wrapNone/>
                <wp:docPr id="3" name="image22.png"/>
                <a:graphic>
                  <a:graphicData uri="http://schemas.openxmlformats.org/drawingml/2006/picture">
                    <pic:pic>
                      <pic:nvPicPr>
                        <pic:cNvPr id="0" name="image22.png"/>
                        <pic:cNvPicPr preferRelativeResize="0"/>
                      </pic:nvPicPr>
                      <pic:blipFill>
                        <a:blip r:embed="rId18"/>
                        <a:srcRect/>
                        <a:stretch>
                          <a:fillRect/>
                        </a:stretch>
                      </pic:blipFill>
                      <pic:spPr>
                        <a:xfrm>
                          <a:off x="0" y="0"/>
                          <a:ext cx="4924425" cy="752475"/>
                        </a:xfrm>
                        <a:prstGeom prst="rect"/>
                        <a:ln/>
                      </pic:spPr>
                    </pic:pic>
                  </a:graphicData>
                </a:graphic>
              </wp:anchor>
            </w:drawing>
          </mc:Fallback>
        </mc:AlternateContent>
      </w:r>
      <w:r>
        <w:rPr>
          <w:noProof/>
        </w:rPr>
        <mc:AlternateContent>
          <mc:Choice Requires="wpg">
            <w:drawing>
              <wp:anchor distT="0" distB="0" distL="114300" distR="114300" simplePos="0" relativeHeight="251668480" behindDoc="0" locked="0" layoutInCell="1" hidden="0" allowOverlap="1">
                <wp:simplePos x="0" y="0"/>
                <wp:positionH relativeFrom="column">
                  <wp:posOffset>358140</wp:posOffset>
                </wp:positionH>
                <wp:positionV relativeFrom="paragraph">
                  <wp:posOffset>2818130</wp:posOffset>
                </wp:positionV>
                <wp:extent cx="4897755" cy="790575"/>
                <wp:effectExtent l="0" t="0" r="0" b="0"/>
                <wp:wrapNone/>
                <wp:docPr id="1" name=""/>
                <wp:cNvGraphicFramePr/>
                <a:graphic xmlns:a="http://schemas.openxmlformats.org/drawingml/2006/main">
                  <a:graphicData uri="http://schemas.microsoft.com/office/word/2010/wordprocessingShape">
                    <wps:wsp>
                      <wps:cNvSpPr/>
                      <wps:spPr>
                        <a:xfrm>
                          <a:off x="2916173" y="3403763"/>
                          <a:ext cx="4859655" cy="752475"/>
                        </a:xfrm>
                        <a:prstGeom prst="rect">
                          <a:avLst/>
                        </a:prstGeom>
                        <a:noFill/>
                        <a:ln w="38100" cap="flat" cmpd="sng">
                          <a:solidFill>
                            <a:srgbClr val="C00000"/>
                          </a:solidFill>
                          <a:prstDash val="solid"/>
                          <a:round/>
                          <a:headEnd type="none" w="sm" len="sm"/>
                          <a:tailEnd type="none" w="sm" len="sm"/>
                        </a:ln>
                      </wps:spPr>
                      <wps:txbx>
                        <w:txbxContent>
                          <w:p w:rsidR="00A208B1" w:rsidRDefault="00A208B1">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358140</wp:posOffset>
                </wp:positionH>
                <wp:positionV relativeFrom="paragraph">
                  <wp:posOffset>2818130</wp:posOffset>
                </wp:positionV>
                <wp:extent cx="4897755" cy="790575"/>
                <wp:effectExtent b="0" l="0" r="0" t="0"/>
                <wp:wrapNone/>
                <wp:docPr id="1" name="image16.png"/>
                <a:graphic>
                  <a:graphicData uri="http://schemas.openxmlformats.org/drawingml/2006/picture">
                    <pic:pic>
                      <pic:nvPicPr>
                        <pic:cNvPr id="0" name="image16.png"/>
                        <pic:cNvPicPr preferRelativeResize="0"/>
                      </pic:nvPicPr>
                      <pic:blipFill>
                        <a:blip r:embed="rId18"/>
                        <a:srcRect/>
                        <a:stretch>
                          <a:fillRect/>
                        </a:stretch>
                      </pic:blipFill>
                      <pic:spPr>
                        <a:xfrm>
                          <a:off x="0" y="0"/>
                          <a:ext cx="4897755" cy="790575"/>
                        </a:xfrm>
                        <a:prstGeom prst="rect"/>
                        <a:ln/>
                      </pic:spPr>
                    </pic:pic>
                  </a:graphicData>
                </a:graphic>
              </wp:anchor>
            </w:drawing>
          </mc:Fallback>
        </mc:AlternateContent>
      </w:r>
    </w:p>
    <w:p w:rsidR="00A208B1" w:rsidRDefault="003E0D5B">
      <w:pPr>
        <w:spacing w:before="240" w:after="240" w:line="360"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drawing>
          <wp:inline distT="0" distB="0" distL="0" distR="0">
            <wp:extent cx="5220000" cy="4855578"/>
            <wp:effectExtent l="0" t="0" r="0" b="0"/>
            <wp:docPr id="40"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6"/>
                    <a:srcRect/>
                    <a:stretch>
                      <a:fillRect/>
                    </a:stretch>
                  </pic:blipFill>
                  <pic:spPr>
                    <a:xfrm>
                      <a:off x="0" y="0"/>
                      <a:ext cx="5220000" cy="4855578"/>
                    </a:xfrm>
                    <a:prstGeom prst="rect">
                      <a:avLst/>
                    </a:prstGeom>
                    <a:ln/>
                  </pic:spPr>
                </pic:pic>
              </a:graphicData>
            </a:graphic>
          </wp:inline>
        </w:drawing>
      </w:r>
      <w:r>
        <w:rPr>
          <w:noProof/>
        </w:rPr>
        <mc:AlternateContent>
          <mc:Choice Requires="wpg">
            <w:drawing>
              <wp:anchor distT="0" distB="0" distL="114300" distR="114300" simplePos="0" relativeHeight="251669504" behindDoc="0" locked="0" layoutInCell="1" hidden="0" allowOverlap="1">
                <wp:simplePos x="0" y="0"/>
                <wp:positionH relativeFrom="column">
                  <wp:posOffset>154305</wp:posOffset>
                </wp:positionH>
                <wp:positionV relativeFrom="paragraph">
                  <wp:posOffset>1665605</wp:posOffset>
                </wp:positionV>
                <wp:extent cx="5381625" cy="1028700"/>
                <wp:effectExtent l="0" t="0" r="0" b="0"/>
                <wp:wrapNone/>
                <wp:docPr id="6" name=""/>
                <wp:cNvGraphicFramePr/>
                <a:graphic xmlns:a="http://schemas.openxmlformats.org/drawingml/2006/main">
                  <a:graphicData uri="http://schemas.microsoft.com/office/word/2010/wordprocessingShape">
                    <wps:wsp>
                      <wps:cNvSpPr/>
                      <wps:spPr>
                        <a:xfrm>
                          <a:off x="2674238" y="3284700"/>
                          <a:ext cx="5343525" cy="990600"/>
                        </a:xfrm>
                        <a:prstGeom prst="rect">
                          <a:avLst/>
                        </a:prstGeom>
                        <a:noFill/>
                        <a:ln w="38100" cap="flat" cmpd="sng">
                          <a:solidFill>
                            <a:srgbClr val="C00000"/>
                          </a:solidFill>
                          <a:prstDash val="solid"/>
                          <a:round/>
                          <a:headEnd type="none" w="sm" len="sm"/>
                          <a:tailEnd type="none" w="sm" len="sm"/>
                        </a:ln>
                      </wps:spPr>
                      <wps:txbx>
                        <w:txbxContent>
                          <w:p w:rsidR="00A208B1" w:rsidRDefault="00A208B1">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154305</wp:posOffset>
                </wp:positionH>
                <wp:positionV relativeFrom="paragraph">
                  <wp:posOffset>1665605</wp:posOffset>
                </wp:positionV>
                <wp:extent cx="5381625" cy="1028700"/>
                <wp:effectExtent b="0" l="0" r="0" t="0"/>
                <wp:wrapNone/>
                <wp:docPr id="6" name="image25.png"/>
                <a:graphic>
                  <a:graphicData uri="http://schemas.openxmlformats.org/drawingml/2006/picture">
                    <pic:pic>
                      <pic:nvPicPr>
                        <pic:cNvPr id="0" name="image25.png"/>
                        <pic:cNvPicPr preferRelativeResize="0"/>
                      </pic:nvPicPr>
                      <pic:blipFill>
                        <a:blip r:embed="rId18"/>
                        <a:srcRect/>
                        <a:stretch>
                          <a:fillRect/>
                        </a:stretch>
                      </pic:blipFill>
                      <pic:spPr>
                        <a:xfrm>
                          <a:off x="0" y="0"/>
                          <a:ext cx="5381625" cy="1028700"/>
                        </a:xfrm>
                        <a:prstGeom prst="rect"/>
                        <a:ln/>
                      </pic:spPr>
                    </pic:pic>
                  </a:graphicData>
                </a:graphic>
              </wp:anchor>
            </w:drawing>
          </mc:Fallback>
        </mc:AlternateContent>
      </w:r>
      <w:r>
        <w:rPr>
          <w:noProof/>
        </w:rPr>
        <mc:AlternateContent>
          <mc:Choice Requires="wpg">
            <w:drawing>
              <wp:anchor distT="0" distB="0" distL="114300" distR="114300" simplePos="0" relativeHeight="251670528" behindDoc="0" locked="0" layoutInCell="1" hidden="0" allowOverlap="1">
                <wp:simplePos x="0" y="0"/>
                <wp:positionH relativeFrom="column">
                  <wp:posOffset>268605</wp:posOffset>
                </wp:positionH>
                <wp:positionV relativeFrom="paragraph">
                  <wp:posOffset>3408679</wp:posOffset>
                </wp:positionV>
                <wp:extent cx="5362575" cy="819150"/>
                <wp:effectExtent l="0" t="0" r="0" b="0"/>
                <wp:wrapNone/>
                <wp:docPr id="11" name=""/>
                <wp:cNvGraphicFramePr/>
                <a:graphic xmlns:a="http://schemas.openxmlformats.org/drawingml/2006/main">
                  <a:graphicData uri="http://schemas.microsoft.com/office/word/2010/wordprocessingShape">
                    <wps:wsp>
                      <wps:cNvSpPr/>
                      <wps:spPr>
                        <a:xfrm>
                          <a:off x="2683763" y="3389475"/>
                          <a:ext cx="5324475" cy="781050"/>
                        </a:xfrm>
                        <a:prstGeom prst="rect">
                          <a:avLst/>
                        </a:prstGeom>
                        <a:noFill/>
                        <a:ln w="38100" cap="flat" cmpd="sng">
                          <a:solidFill>
                            <a:srgbClr val="C00000"/>
                          </a:solidFill>
                          <a:prstDash val="solid"/>
                          <a:round/>
                          <a:headEnd type="none" w="sm" len="sm"/>
                          <a:tailEnd type="none" w="sm" len="sm"/>
                        </a:ln>
                      </wps:spPr>
                      <wps:txbx>
                        <w:txbxContent>
                          <w:p w:rsidR="00A208B1" w:rsidRDefault="00A208B1">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268605</wp:posOffset>
                </wp:positionH>
                <wp:positionV relativeFrom="paragraph">
                  <wp:posOffset>3408679</wp:posOffset>
                </wp:positionV>
                <wp:extent cx="5362575" cy="819150"/>
                <wp:effectExtent b="0" l="0" r="0" t="0"/>
                <wp:wrapNone/>
                <wp:docPr id="11" name="image31.png"/>
                <a:graphic>
                  <a:graphicData uri="http://schemas.openxmlformats.org/drawingml/2006/picture">
                    <pic:pic>
                      <pic:nvPicPr>
                        <pic:cNvPr id="0" name="image31.png"/>
                        <pic:cNvPicPr preferRelativeResize="0"/>
                      </pic:nvPicPr>
                      <pic:blipFill>
                        <a:blip r:embed="rId18"/>
                        <a:srcRect/>
                        <a:stretch>
                          <a:fillRect/>
                        </a:stretch>
                      </pic:blipFill>
                      <pic:spPr>
                        <a:xfrm>
                          <a:off x="0" y="0"/>
                          <a:ext cx="5362575" cy="819150"/>
                        </a:xfrm>
                        <a:prstGeom prst="rect"/>
                        <a:ln/>
                      </pic:spPr>
                    </pic:pic>
                  </a:graphicData>
                </a:graphic>
              </wp:anchor>
            </w:drawing>
          </mc:Fallback>
        </mc:AlternateContent>
      </w:r>
    </w:p>
    <w:p w:rsidR="00A208B1" w:rsidRDefault="003E0D5B">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Como se advierte, a través del inventario de bienes muebles, previo análisis, la persona solicitante podrá conocer el número total de unidades, la fecha de adquisición, el costo de cada unidad, así como el nombre de las dependencias receptoras y responsabl</w:t>
      </w:r>
      <w:r>
        <w:rPr>
          <w:rFonts w:ascii="Palatino Linotype" w:eastAsia="Palatino Linotype" w:hAnsi="Palatino Linotype" w:cs="Palatino Linotype"/>
          <w:sz w:val="22"/>
          <w:szCs w:val="22"/>
        </w:rPr>
        <w:t>es de las unidades.</w:t>
      </w:r>
    </w:p>
    <w:p w:rsidR="00A208B1" w:rsidRDefault="003E0D5B">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este sentido, se colige que la información requerida por la persona solicitante versa sobre una obligación de transparencia de oficio, y que por tal motivo el </w:t>
      </w:r>
      <w:r>
        <w:rPr>
          <w:rFonts w:ascii="Palatino Linotype" w:eastAsia="Palatino Linotype" w:hAnsi="Palatino Linotype" w:cs="Palatino Linotype"/>
          <w:b/>
          <w:bCs/>
          <w:sz w:val="22"/>
          <w:szCs w:val="22"/>
        </w:rPr>
        <w:t>Sujeto Obligado</w:t>
      </w:r>
      <w:r>
        <w:rPr>
          <w:rFonts w:ascii="Palatino Linotype" w:eastAsia="Palatino Linotype" w:hAnsi="Palatino Linotype" w:cs="Palatino Linotype"/>
          <w:sz w:val="22"/>
          <w:szCs w:val="22"/>
        </w:rPr>
        <w:t xml:space="preserve"> se encuentra constreñido a poner a disposición del público</w:t>
      </w:r>
      <w:r>
        <w:rPr>
          <w:rFonts w:ascii="Palatino Linotype" w:eastAsia="Palatino Linotype" w:hAnsi="Palatino Linotype" w:cs="Palatino Linotype"/>
          <w:sz w:val="22"/>
          <w:szCs w:val="22"/>
        </w:rPr>
        <w:t xml:space="preserve"> dicha información, de manera permanente y actualizada a través de los portales de internet y en la Plataforma Nacional de Transparencia, no obstante, si bien ha quedado claro que la información que es hoy tema de estudio, por su naturaleza debe encontrars</w:t>
      </w:r>
      <w:r>
        <w:rPr>
          <w:rFonts w:ascii="Palatino Linotype" w:eastAsia="Palatino Linotype" w:hAnsi="Palatino Linotype" w:cs="Palatino Linotype"/>
          <w:sz w:val="22"/>
          <w:szCs w:val="22"/>
        </w:rPr>
        <w:t>e pública a través del portal referido,  no es óbice para que éste sea el único medio por el cual la solicitud pueda ser atendida, en virtud de que los sujetos obligados se encuentran constreñidos a documentar todo acto que derive del ejercicio de sus facu</w:t>
      </w:r>
      <w:r>
        <w:rPr>
          <w:rFonts w:ascii="Palatino Linotype" w:eastAsia="Palatino Linotype" w:hAnsi="Palatino Linotype" w:cs="Palatino Linotype"/>
          <w:sz w:val="22"/>
          <w:szCs w:val="22"/>
        </w:rPr>
        <w:t>ltades, competencias o funciones considerando su eventual publicación, en términos de los artículos 18 y 24 fracción XXII de la Ley de la Materia, que a la letra señalan lo siguiente:</w:t>
      </w:r>
    </w:p>
    <w:p w:rsidR="00A208B1" w:rsidRDefault="003E0D5B">
      <w:pPr>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r>
        <w:rPr>
          <w:rFonts w:ascii="Palatino Linotype" w:eastAsia="Palatino Linotype" w:hAnsi="Palatino Linotype" w:cs="Palatino Linotype"/>
          <w:b/>
          <w:bCs/>
          <w:i/>
          <w:iCs/>
          <w:sz w:val="22"/>
          <w:szCs w:val="22"/>
        </w:rPr>
        <w:t>Artículo 18.</w:t>
      </w:r>
      <w:r>
        <w:rPr>
          <w:rFonts w:ascii="Palatino Linotype" w:eastAsia="Palatino Linotype" w:hAnsi="Palatino Linotype" w:cs="Palatino Linotype"/>
          <w:i/>
          <w:iCs/>
          <w:sz w:val="22"/>
          <w:szCs w:val="22"/>
        </w:rPr>
        <w:t xml:space="preserve"> Los sujetos obligados </w:t>
      </w:r>
      <w:r>
        <w:rPr>
          <w:rFonts w:ascii="Palatino Linotype" w:eastAsia="Palatino Linotype" w:hAnsi="Palatino Linotype" w:cs="Palatino Linotype"/>
          <w:b/>
          <w:bCs/>
          <w:i/>
          <w:iCs/>
          <w:sz w:val="22"/>
          <w:szCs w:val="22"/>
        </w:rPr>
        <w:t>deberán documentar todo acto</w:t>
      </w: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b/>
          <w:bCs/>
          <w:i/>
          <w:iCs/>
          <w:sz w:val="22"/>
          <w:szCs w:val="22"/>
        </w:rPr>
        <w:t>que derive del ejercicio de sus facultades, competencias o funciones</w:t>
      </w:r>
      <w:r>
        <w:rPr>
          <w:rFonts w:ascii="Palatino Linotype" w:eastAsia="Palatino Linotype" w:hAnsi="Palatino Linotype" w:cs="Palatino Linotype"/>
          <w:i/>
          <w:iCs/>
          <w:sz w:val="22"/>
          <w:szCs w:val="22"/>
        </w:rPr>
        <w:t>, considerando desde su origen la eventual publicidad y reutilización de la información que generen.</w:t>
      </w:r>
    </w:p>
    <w:p w:rsidR="00A208B1" w:rsidRDefault="003E0D5B">
      <w:pPr>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A208B1" w:rsidRDefault="003E0D5B">
      <w:pPr>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Artículo 24.</w:t>
      </w:r>
      <w:r>
        <w:rPr>
          <w:rFonts w:ascii="Palatino Linotype" w:eastAsia="Palatino Linotype" w:hAnsi="Palatino Linotype" w:cs="Palatino Linotype"/>
          <w:i/>
          <w:iCs/>
          <w:sz w:val="22"/>
          <w:szCs w:val="22"/>
        </w:rPr>
        <w:t xml:space="preserve"> Para el cumplimiento de los objetivos de esta Ley</w:t>
      </w:r>
      <w:r>
        <w:rPr>
          <w:rFonts w:ascii="Palatino Linotype" w:eastAsia="Palatino Linotype" w:hAnsi="Palatino Linotype" w:cs="Palatino Linotype"/>
          <w:b/>
          <w:bCs/>
          <w:i/>
          <w:iCs/>
          <w:sz w:val="22"/>
          <w:szCs w:val="22"/>
        </w:rPr>
        <w:t>, los sujetos obligados</w:t>
      </w:r>
      <w:r>
        <w:rPr>
          <w:rFonts w:ascii="Palatino Linotype" w:eastAsia="Palatino Linotype" w:hAnsi="Palatino Linotype" w:cs="Palatino Linotype"/>
          <w:b/>
          <w:bCs/>
          <w:i/>
          <w:iCs/>
          <w:sz w:val="22"/>
          <w:szCs w:val="22"/>
        </w:rPr>
        <w:t xml:space="preserve"> deberán cumplir con las siguientes obligaciones</w:t>
      </w:r>
      <w:r>
        <w:rPr>
          <w:rFonts w:ascii="Palatino Linotype" w:eastAsia="Palatino Linotype" w:hAnsi="Palatino Linotype" w:cs="Palatino Linotype"/>
          <w:i/>
          <w:iCs/>
          <w:sz w:val="22"/>
          <w:szCs w:val="22"/>
        </w:rPr>
        <w:t>, según corresponda, de acuerdo a su naturaleza:</w:t>
      </w:r>
    </w:p>
    <w:p w:rsidR="00A208B1" w:rsidRDefault="003E0D5B">
      <w:pPr>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A208B1" w:rsidRDefault="003E0D5B">
      <w:pPr>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XXII.</w:t>
      </w: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b/>
          <w:bCs/>
          <w:i/>
          <w:iCs/>
          <w:sz w:val="22"/>
          <w:szCs w:val="22"/>
        </w:rPr>
        <w:t>Documentar todo acto que derive del ejercicio de sus facultades, competencias o funciones</w:t>
      </w:r>
      <w:r>
        <w:rPr>
          <w:rFonts w:ascii="Palatino Linotype" w:eastAsia="Palatino Linotype" w:hAnsi="Palatino Linotype" w:cs="Palatino Linotype"/>
          <w:i/>
          <w:iCs/>
          <w:sz w:val="22"/>
          <w:szCs w:val="22"/>
        </w:rPr>
        <w:t xml:space="preserve"> y abstenerse de destruirlos u ocultarlos, dentro de los que d</w:t>
      </w:r>
      <w:r>
        <w:rPr>
          <w:rFonts w:ascii="Palatino Linotype" w:eastAsia="Palatino Linotype" w:hAnsi="Palatino Linotype" w:cs="Palatino Linotype"/>
          <w:i/>
          <w:iCs/>
          <w:sz w:val="22"/>
          <w:szCs w:val="22"/>
        </w:rPr>
        <w:t>estacan los procesos deliberativos y de decisión definitiva;”</w:t>
      </w:r>
    </w:p>
    <w:p w:rsidR="00A208B1" w:rsidRDefault="003E0D5B">
      <w:pPr>
        <w:spacing w:before="240" w:after="240"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otro lado, con relación a  las facturas, se debe partir de lo dispuesto en los artículos 342, 343, 344 y 345 del Código Financiero del Estado de México y Municipios, los cuales disponen el s</w:t>
      </w:r>
      <w:r>
        <w:rPr>
          <w:rFonts w:ascii="Palatino Linotype" w:eastAsia="Palatino Linotype" w:hAnsi="Palatino Linotype" w:cs="Palatino Linotype"/>
          <w:sz w:val="22"/>
          <w:szCs w:val="22"/>
        </w:rPr>
        <w:t>istema y las políticas que deben seguirse para llevar el registro contable y presupuestal de las operaciones financieras, en los siguientes términos:</w:t>
      </w:r>
    </w:p>
    <w:p w:rsidR="00A208B1" w:rsidRDefault="003E0D5B">
      <w:pPr>
        <w:spacing w:before="120" w:after="120"/>
        <w:ind w:left="862" w:right="862"/>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r>
        <w:rPr>
          <w:rFonts w:ascii="Palatino Linotype" w:eastAsia="Palatino Linotype" w:hAnsi="Palatino Linotype" w:cs="Palatino Linotype"/>
          <w:b/>
          <w:bCs/>
          <w:i/>
          <w:iCs/>
          <w:sz w:val="22"/>
          <w:szCs w:val="22"/>
        </w:rPr>
        <w:t>Artículo 342.-</w:t>
      </w:r>
      <w:r>
        <w:rPr>
          <w:rFonts w:ascii="Palatino Linotype" w:eastAsia="Palatino Linotype" w:hAnsi="Palatino Linotype" w:cs="Palatino Linotype"/>
          <w:i/>
          <w:iCs/>
          <w:sz w:val="22"/>
          <w:szCs w:val="22"/>
        </w:rPr>
        <w:t xml:space="preserve"> El registro contable del efecto patrimonial y presupuestal de las operaciones financieras,</w:t>
      </w:r>
      <w:r>
        <w:rPr>
          <w:rFonts w:ascii="Palatino Linotype" w:eastAsia="Palatino Linotype" w:hAnsi="Palatino Linotype" w:cs="Palatino Linotype"/>
          <w:i/>
          <w:iCs/>
          <w:sz w:val="22"/>
          <w:szCs w:val="22"/>
        </w:rPr>
        <w:t xml:space="preserve"> se realizará conforme al sistema y a las disposiciones que se aprueben en materia de planeación, programación, presupuestación, evaluación y contabilidad gubernamental.</w:t>
      </w:r>
    </w:p>
    <w:p w:rsidR="00A208B1" w:rsidRDefault="003E0D5B">
      <w:pPr>
        <w:spacing w:before="120" w:after="120"/>
        <w:ind w:left="862" w:right="86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En el caso de los municipios,</w:t>
      </w:r>
      <w:r>
        <w:rPr>
          <w:rFonts w:ascii="Palatino Linotype" w:eastAsia="Palatino Linotype" w:hAnsi="Palatino Linotype" w:cs="Palatino Linotype"/>
          <w:i/>
          <w:iCs/>
          <w:sz w:val="22"/>
          <w:szCs w:val="22"/>
        </w:rPr>
        <w:t xml:space="preserve"> el registro a que se refiere el párrafo anterior, se rea</w:t>
      </w:r>
      <w:r>
        <w:rPr>
          <w:rFonts w:ascii="Palatino Linotype" w:eastAsia="Palatino Linotype" w:hAnsi="Palatino Linotype" w:cs="Palatino Linotype"/>
          <w:i/>
          <w:iCs/>
          <w:sz w:val="22"/>
          <w:szCs w:val="22"/>
        </w:rPr>
        <w:t xml:space="preserve">lizará conforme al sistema y a las disposiciones en materia de </w:t>
      </w:r>
      <w:r>
        <w:rPr>
          <w:rFonts w:ascii="Palatino Linotype" w:eastAsia="Palatino Linotype" w:hAnsi="Palatino Linotype" w:cs="Palatino Linotype"/>
          <w:b/>
          <w:bCs/>
          <w:i/>
          <w:iCs/>
          <w:sz w:val="22"/>
          <w:szCs w:val="22"/>
        </w:rPr>
        <w:t>planeación, programación, presupuestación, evaluación y contabilidad gubernamental</w:t>
      </w:r>
      <w:r>
        <w:rPr>
          <w:rFonts w:ascii="Palatino Linotype" w:eastAsia="Palatino Linotype" w:hAnsi="Palatino Linotype" w:cs="Palatino Linotype"/>
          <w:i/>
          <w:iCs/>
          <w:sz w:val="22"/>
          <w:szCs w:val="22"/>
        </w:rPr>
        <w:t>, que se aprueben en el marco del Sistema de Coordinación Hacendaria del Estado de México.</w:t>
      </w:r>
    </w:p>
    <w:p w:rsidR="00A208B1" w:rsidRDefault="003E0D5B">
      <w:pPr>
        <w:spacing w:before="120" w:after="120"/>
        <w:ind w:left="862" w:right="86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Artículo 343.-</w:t>
      </w:r>
      <w:r>
        <w:rPr>
          <w:rFonts w:ascii="Palatino Linotype" w:eastAsia="Palatino Linotype" w:hAnsi="Palatino Linotype" w:cs="Palatino Linotype"/>
          <w:i/>
          <w:iCs/>
          <w:sz w:val="22"/>
          <w:szCs w:val="22"/>
        </w:rPr>
        <w:t xml:space="preserve"> El si</w:t>
      </w:r>
      <w:r>
        <w:rPr>
          <w:rFonts w:ascii="Palatino Linotype" w:eastAsia="Palatino Linotype" w:hAnsi="Palatino Linotype" w:cs="Palatino Linotype"/>
          <w:i/>
          <w:iCs/>
          <w:sz w:val="22"/>
          <w:szCs w:val="22"/>
        </w:rPr>
        <w:t>stema de contabilidad debe diseñarse sobre base acumulativa total y operarse en forma que facilite la fiscalización de los activos, pasivos, ingresos, egresos y, en general, que posibilite medir la eficacia del gasto público, y contener las medidas de cont</w:t>
      </w:r>
      <w:r>
        <w:rPr>
          <w:rFonts w:ascii="Palatino Linotype" w:eastAsia="Palatino Linotype" w:hAnsi="Palatino Linotype" w:cs="Palatino Linotype"/>
          <w:i/>
          <w:iCs/>
          <w:sz w:val="22"/>
          <w:szCs w:val="22"/>
        </w:rPr>
        <w:t>rol interno que permitan verificar el registro de la totalidad de las operaciones financieras.</w:t>
      </w:r>
    </w:p>
    <w:p w:rsidR="00A208B1" w:rsidRDefault="003E0D5B">
      <w:pPr>
        <w:spacing w:before="120" w:after="120"/>
        <w:ind w:left="862" w:right="862"/>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El sistema de contabilidad sobre base acumulativa total, se sustentará en las normas emitidas por el Consejo Nacional de Armonización Contable.</w:t>
      </w:r>
    </w:p>
    <w:p w:rsidR="00A208B1" w:rsidRDefault="003E0D5B">
      <w:pPr>
        <w:spacing w:before="120" w:after="120"/>
        <w:ind w:left="862" w:right="862"/>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Artículo 344.- Lo</w:t>
      </w:r>
      <w:r>
        <w:rPr>
          <w:rFonts w:ascii="Palatino Linotype" w:eastAsia="Palatino Linotype" w:hAnsi="Palatino Linotype" w:cs="Palatino Linotype"/>
          <w:b/>
          <w:bCs/>
          <w:i/>
          <w:iCs/>
          <w:sz w:val="22"/>
          <w:szCs w:val="22"/>
        </w:rPr>
        <w:t xml:space="preserve">s Entes Públicos, a través de cualquiera de sus unidades administrativas, de acuerdo con su naturaleza jurídica y según corresponda, </w:t>
      </w:r>
      <w:r>
        <w:rPr>
          <w:rFonts w:ascii="Palatino Linotype" w:eastAsia="Palatino Linotype" w:hAnsi="Palatino Linotype" w:cs="Palatino Linotype"/>
          <w:b/>
          <w:bCs/>
          <w:i/>
          <w:iCs/>
          <w:sz w:val="22"/>
          <w:szCs w:val="22"/>
          <w:u w:val="single"/>
        </w:rPr>
        <w:t>registrarán contablemente el efecto patrimonial y presupuestal de las operaciones financieras que realicen, en el momento e</w:t>
      </w:r>
      <w:r>
        <w:rPr>
          <w:rFonts w:ascii="Palatino Linotype" w:eastAsia="Palatino Linotype" w:hAnsi="Palatino Linotype" w:cs="Palatino Linotype"/>
          <w:b/>
          <w:bCs/>
          <w:i/>
          <w:iCs/>
          <w:sz w:val="22"/>
          <w:szCs w:val="22"/>
          <w:u w:val="single"/>
        </w:rPr>
        <w:t>n que ocurran, con base en el sistema y políticas de registro establecidas, en el caso de los Municipios, se hará por la Tesorería</w:t>
      </w:r>
      <w:r>
        <w:rPr>
          <w:rFonts w:ascii="Palatino Linotype" w:eastAsia="Palatino Linotype" w:hAnsi="Palatino Linotype" w:cs="Palatino Linotype"/>
          <w:b/>
          <w:bCs/>
          <w:i/>
          <w:iCs/>
          <w:sz w:val="22"/>
          <w:szCs w:val="22"/>
        </w:rPr>
        <w:t>.</w:t>
      </w:r>
    </w:p>
    <w:p w:rsidR="00A208B1" w:rsidRDefault="003E0D5B">
      <w:pPr>
        <w:spacing w:before="120" w:after="120"/>
        <w:ind w:left="862" w:right="86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Todo registro contable y presupuestal </w:t>
      </w:r>
      <w:r>
        <w:rPr>
          <w:rFonts w:ascii="Palatino Linotype" w:eastAsia="Palatino Linotype" w:hAnsi="Palatino Linotype" w:cs="Palatino Linotype"/>
          <w:b/>
          <w:bCs/>
          <w:i/>
          <w:iCs/>
          <w:sz w:val="22"/>
          <w:szCs w:val="22"/>
          <w:u w:val="single"/>
        </w:rPr>
        <w:t>deberá estar soportado con los documentos de registro, justificativos y comprobatorios</w:t>
      </w:r>
      <w:r>
        <w:rPr>
          <w:rFonts w:ascii="Palatino Linotype" w:eastAsia="Palatino Linotype" w:hAnsi="Palatino Linotype" w:cs="Palatino Linotype"/>
          <w:b/>
          <w:bCs/>
          <w:i/>
          <w:iCs/>
          <w:sz w:val="22"/>
          <w:szCs w:val="22"/>
          <w:u w:val="single"/>
        </w:rPr>
        <w:t xml:space="preserve"> originales, en copias certificadas o en medios electrónicos, según corresponda</w:t>
      </w:r>
      <w:r>
        <w:rPr>
          <w:rFonts w:ascii="Palatino Linotype" w:eastAsia="Palatino Linotype" w:hAnsi="Palatino Linotype" w:cs="Palatino Linotype"/>
          <w:b/>
          <w:bCs/>
          <w:i/>
          <w:iCs/>
          <w:sz w:val="22"/>
          <w:szCs w:val="22"/>
        </w:rPr>
        <w:t xml:space="preserve">, los que deberán </w:t>
      </w:r>
      <w:r>
        <w:rPr>
          <w:rFonts w:ascii="Palatino Linotype" w:eastAsia="Palatino Linotype" w:hAnsi="Palatino Linotype" w:cs="Palatino Linotype"/>
          <w:b/>
          <w:bCs/>
          <w:i/>
          <w:iCs/>
          <w:sz w:val="22"/>
          <w:szCs w:val="22"/>
          <w:u w:val="single"/>
        </w:rPr>
        <w:t>permanecer en custodia y conservación</w:t>
      </w:r>
      <w:r>
        <w:rPr>
          <w:rFonts w:ascii="Palatino Linotype" w:eastAsia="Palatino Linotype" w:hAnsi="Palatino Linotype" w:cs="Palatino Linotype"/>
          <w:b/>
          <w:bCs/>
          <w:i/>
          <w:iCs/>
          <w:sz w:val="22"/>
          <w:szCs w:val="22"/>
        </w:rPr>
        <w:t xml:space="preserve"> de los Entes Públicos ejecutores del gasto a </w:t>
      </w:r>
      <w:r>
        <w:rPr>
          <w:rFonts w:ascii="Palatino Linotype" w:eastAsia="Palatino Linotype" w:hAnsi="Palatino Linotype" w:cs="Palatino Linotype"/>
          <w:b/>
          <w:bCs/>
          <w:i/>
          <w:iCs/>
          <w:sz w:val="22"/>
          <w:szCs w:val="22"/>
          <w:u w:val="single"/>
        </w:rPr>
        <w:t>través de las unidades administrativas correspondientes de conformidad con l</w:t>
      </w:r>
      <w:r>
        <w:rPr>
          <w:rFonts w:ascii="Palatino Linotype" w:eastAsia="Palatino Linotype" w:hAnsi="Palatino Linotype" w:cs="Palatino Linotype"/>
          <w:b/>
          <w:bCs/>
          <w:i/>
          <w:iCs/>
          <w:sz w:val="22"/>
          <w:szCs w:val="22"/>
          <w:u w:val="single"/>
        </w:rPr>
        <w:t>as disposiciones aplicables y a disposición de los Órganos de Fiscalización locales y federales</w:t>
      </w:r>
      <w:r>
        <w:rPr>
          <w:rFonts w:ascii="Palatino Linotype" w:eastAsia="Palatino Linotype" w:hAnsi="Palatino Linotype" w:cs="Palatino Linotype"/>
          <w:b/>
          <w:bCs/>
          <w:i/>
          <w:iCs/>
          <w:sz w:val="22"/>
          <w:szCs w:val="22"/>
        </w:rPr>
        <w:t xml:space="preserve">, de acuerdo a su naturaleza, </w:t>
      </w:r>
      <w:r>
        <w:rPr>
          <w:rFonts w:ascii="Palatino Linotype" w:eastAsia="Palatino Linotype" w:hAnsi="Palatino Linotype" w:cs="Palatino Linotype"/>
          <w:b/>
          <w:bCs/>
          <w:i/>
          <w:iCs/>
          <w:sz w:val="22"/>
          <w:szCs w:val="22"/>
          <w:u w:val="single"/>
        </w:rPr>
        <w:t>así como de los órganos internos de control</w:t>
      </w:r>
      <w:r>
        <w:rPr>
          <w:rFonts w:ascii="Palatino Linotype" w:eastAsia="Palatino Linotype" w:hAnsi="Palatino Linotype" w:cs="Palatino Linotype"/>
          <w:b/>
          <w:bCs/>
          <w:i/>
          <w:iCs/>
          <w:sz w:val="22"/>
          <w:szCs w:val="22"/>
        </w:rPr>
        <w:t>;</w:t>
      </w: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b/>
          <w:bCs/>
          <w:i/>
          <w:iCs/>
          <w:sz w:val="22"/>
          <w:szCs w:val="22"/>
          <w:u w:val="single"/>
        </w:rPr>
        <w:t>por un término de 6 años</w:t>
      </w:r>
      <w:r>
        <w:rPr>
          <w:rFonts w:ascii="Palatino Linotype" w:eastAsia="Palatino Linotype" w:hAnsi="Palatino Linotype" w:cs="Palatino Linotype"/>
          <w:b/>
          <w:bCs/>
          <w:i/>
          <w:iCs/>
          <w:sz w:val="22"/>
          <w:szCs w:val="22"/>
        </w:rPr>
        <w:t>,</w:t>
      </w: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b/>
          <w:bCs/>
          <w:i/>
          <w:iCs/>
          <w:sz w:val="22"/>
          <w:szCs w:val="22"/>
          <w:u w:val="single"/>
        </w:rPr>
        <w:t>contados a partir del ejercicio presupuestal siguiente al que corresponda</w:t>
      </w:r>
      <w:r>
        <w:rPr>
          <w:rFonts w:ascii="Palatino Linotype" w:eastAsia="Palatino Linotype" w:hAnsi="Palatino Linotype" w:cs="Palatino Linotype"/>
          <w:i/>
          <w:iCs/>
          <w:sz w:val="22"/>
          <w:szCs w:val="22"/>
        </w:rPr>
        <w:t>,</w:t>
      </w:r>
      <w:r>
        <w:rPr>
          <w:rFonts w:ascii="Palatino Linotype" w:eastAsia="Palatino Linotype" w:hAnsi="Palatino Linotype" w:cs="Palatino Linotype"/>
          <w:b/>
          <w:bCs/>
          <w:i/>
          <w:iCs/>
          <w:sz w:val="22"/>
          <w:szCs w:val="22"/>
        </w:rPr>
        <w:t xml:space="preserve"> </w:t>
      </w:r>
      <w:r>
        <w:rPr>
          <w:rFonts w:ascii="Palatino Linotype" w:eastAsia="Palatino Linotype" w:hAnsi="Palatino Linotype" w:cs="Palatino Linotype"/>
          <w:i/>
          <w:iCs/>
          <w:sz w:val="22"/>
          <w:szCs w:val="22"/>
        </w:rPr>
        <w:t>en el caso de los Municipios, dicha obligación corresponderá a la Tesorería.</w:t>
      </w:r>
    </w:p>
    <w:p w:rsidR="00A208B1" w:rsidRDefault="003E0D5B">
      <w:pPr>
        <w:spacing w:before="120" w:after="120"/>
        <w:ind w:left="862" w:right="862"/>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Tratándose de documentos de carácter histórico, se estará a lo dispuesto por la legislación de la materi</w:t>
      </w:r>
      <w:r>
        <w:rPr>
          <w:rFonts w:ascii="Palatino Linotype" w:eastAsia="Palatino Linotype" w:hAnsi="Palatino Linotype" w:cs="Palatino Linotype"/>
          <w:i/>
          <w:iCs/>
          <w:sz w:val="22"/>
          <w:szCs w:val="22"/>
        </w:rPr>
        <w:t>a.</w:t>
      </w:r>
    </w:p>
    <w:p w:rsidR="00A208B1" w:rsidRDefault="003E0D5B">
      <w:pPr>
        <w:spacing w:before="120" w:after="120"/>
        <w:ind w:left="862" w:right="862"/>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A208B1" w:rsidRDefault="003E0D5B">
      <w:pPr>
        <w:spacing w:before="120" w:after="120"/>
        <w:ind w:left="862" w:right="862"/>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Artículo 345.-</w:t>
      </w: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b/>
          <w:bCs/>
          <w:i/>
          <w:iCs/>
          <w:sz w:val="22"/>
          <w:szCs w:val="22"/>
        </w:rPr>
        <w:t>Las Dependencias y sus unidades administrativas; deberán conservar la documentación contable del año en curso y la de ejercicios anteriores, cuyas cuentas públicas hayan sido revisadas y fiscalizadas y la remitirán al Archivo Contable G</w:t>
      </w:r>
      <w:r>
        <w:rPr>
          <w:rFonts w:ascii="Palatino Linotype" w:eastAsia="Palatino Linotype" w:hAnsi="Palatino Linotype" w:cs="Palatino Linotype"/>
          <w:b/>
          <w:bCs/>
          <w:i/>
          <w:iCs/>
          <w:sz w:val="22"/>
          <w:szCs w:val="22"/>
        </w:rPr>
        <w:t>ubernamental en un plazo que no excederá de seis meses. Tratándose de los comprobantes fiscales digitales, estos deberán estar agregados en forma electrónica a cada póliza de registro contable.</w:t>
      </w:r>
    </w:p>
    <w:p w:rsidR="00A208B1" w:rsidRDefault="003E0D5B">
      <w:pPr>
        <w:spacing w:before="120" w:after="120"/>
        <w:ind w:left="862" w:right="862"/>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Los poderes Legislativo y Judicial, los Organismos Autónomos y</w:t>
      </w:r>
      <w:r>
        <w:rPr>
          <w:rFonts w:ascii="Palatino Linotype" w:eastAsia="Palatino Linotype" w:hAnsi="Palatino Linotype" w:cs="Palatino Linotype"/>
          <w:i/>
          <w:iCs/>
          <w:sz w:val="22"/>
          <w:szCs w:val="22"/>
        </w:rPr>
        <w:t xml:space="preserve"> las Entidades Públicas, de acuerdo con su naturaleza jurídica y según corresponda, deberán conservar la documentación contable del año en curso y la de ejercicios anteriores, cuyas cuentas públicas hayan sido revisadas y fiscalizadas, en sus propios Archi</w:t>
      </w:r>
      <w:r>
        <w:rPr>
          <w:rFonts w:ascii="Palatino Linotype" w:eastAsia="Palatino Linotype" w:hAnsi="Palatino Linotype" w:cs="Palatino Linotype"/>
          <w:i/>
          <w:iCs/>
          <w:sz w:val="22"/>
          <w:szCs w:val="22"/>
        </w:rPr>
        <w:t xml:space="preserve">vos Contables. Tratándose de los comprobantes fiscales digitales, estos </w:t>
      </w:r>
      <w:r>
        <w:rPr>
          <w:rFonts w:ascii="Palatino Linotype" w:eastAsia="Palatino Linotype" w:hAnsi="Palatino Linotype" w:cs="Palatino Linotype"/>
          <w:b/>
          <w:bCs/>
          <w:i/>
          <w:iCs/>
          <w:sz w:val="22"/>
          <w:szCs w:val="22"/>
        </w:rPr>
        <w:t>deberán estar agregados en forma electrónica a cada póliza de registro contable</w:t>
      </w:r>
      <w:r>
        <w:rPr>
          <w:rFonts w:ascii="Palatino Linotype" w:eastAsia="Palatino Linotype" w:hAnsi="Palatino Linotype" w:cs="Palatino Linotype"/>
          <w:i/>
          <w:iCs/>
          <w:sz w:val="22"/>
          <w:szCs w:val="22"/>
        </w:rPr>
        <w:t>.</w:t>
      </w:r>
    </w:p>
    <w:p w:rsidR="00A208B1" w:rsidRDefault="003E0D5B">
      <w:pPr>
        <w:spacing w:before="120" w:after="120"/>
        <w:ind w:left="862" w:right="862"/>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i/>
          <w:iCs/>
          <w:sz w:val="22"/>
          <w:szCs w:val="22"/>
        </w:rPr>
        <w:t>El plazo señalado en este artículo empezará a contar a partir de la publicación en el Periódico Oficial</w:t>
      </w:r>
      <w:r>
        <w:rPr>
          <w:rFonts w:ascii="Palatino Linotype" w:eastAsia="Palatino Linotype" w:hAnsi="Palatino Linotype" w:cs="Palatino Linotype"/>
          <w:i/>
          <w:iCs/>
          <w:sz w:val="22"/>
          <w:szCs w:val="22"/>
        </w:rPr>
        <w:t>, del decreto correspondiente.</w:t>
      </w:r>
      <w:r>
        <w:rPr>
          <w:rFonts w:ascii="Palatino Linotype" w:eastAsia="Palatino Linotype" w:hAnsi="Palatino Linotype" w:cs="Palatino Linotype"/>
          <w:b/>
          <w:bCs/>
          <w:i/>
          <w:iCs/>
          <w:sz w:val="22"/>
          <w:szCs w:val="22"/>
        </w:rPr>
        <w:t>”</w:t>
      </w:r>
    </w:p>
    <w:p w:rsidR="00A208B1" w:rsidRDefault="003E0D5B">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una interpretación sistemática de los artículos transcritos, se desprende, primeramente, que el registro contable del efecto patrimonial y presupuestal de las operaciones financieras se realizará conforme al sistema y a l</w:t>
      </w:r>
      <w:r>
        <w:rPr>
          <w:rFonts w:ascii="Palatino Linotype" w:eastAsia="Palatino Linotype" w:hAnsi="Palatino Linotype" w:cs="Palatino Linotype"/>
          <w:sz w:val="22"/>
          <w:szCs w:val="22"/>
        </w:rPr>
        <w:t>as disposiciones que se aprueben en materia de planeación, programación, presupuestación, evaluación y contabilidad gubernamental.</w:t>
      </w:r>
    </w:p>
    <w:p w:rsidR="00A208B1" w:rsidRDefault="003E0D5B">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Asimismo, que los entes públicos tiene la obligación de registrarán contablemente el efecto patrimonial y presupuestal de las</w:t>
      </w:r>
      <w:r>
        <w:rPr>
          <w:rFonts w:ascii="Palatino Linotype" w:eastAsia="Palatino Linotype" w:hAnsi="Palatino Linotype" w:cs="Palatino Linotype"/>
          <w:sz w:val="22"/>
          <w:szCs w:val="22"/>
        </w:rPr>
        <w:t xml:space="preserve"> operaciones financieras que realicen, en el momento en que ocurran, por lo que </w:t>
      </w:r>
      <w:r>
        <w:rPr>
          <w:rFonts w:ascii="Palatino Linotype" w:eastAsia="Palatino Linotype" w:hAnsi="Palatino Linotype" w:cs="Palatino Linotype"/>
          <w:b/>
          <w:bCs/>
          <w:sz w:val="22"/>
          <w:szCs w:val="22"/>
        </w:rPr>
        <w:t>todo registro contable y presupuestal deberá estar soportado con los documentos comprobatorios originales o en medios electrónicos</w:t>
      </w:r>
      <w:r>
        <w:rPr>
          <w:rFonts w:ascii="Palatino Linotype" w:eastAsia="Palatino Linotype" w:hAnsi="Palatino Linotype" w:cs="Palatino Linotype"/>
          <w:sz w:val="22"/>
          <w:szCs w:val="22"/>
        </w:rPr>
        <w:t xml:space="preserve">, los que </w:t>
      </w:r>
      <w:r>
        <w:rPr>
          <w:rFonts w:ascii="Palatino Linotype" w:eastAsia="Palatino Linotype" w:hAnsi="Palatino Linotype" w:cs="Palatino Linotype"/>
          <w:b/>
          <w:bCs/>
          <w:sz w:val="22"/>
          <w:szCs w:val="22"/>
          <w:u w:val="single"/>
        </w:rPr>
        <w:t>deberán permanecer en custodia y con</w:t>
      </w:r>
      <w:r>
        <w:rPr>
          <w:rFonts w:ascii="Palatino Linotype" w:eastAsia="Palatino Linotype" w:hAnsi="Palatino Linotype" w:cs="Palatino Linotype"/>
          <w:b/>
          <w:bCs/>
          <w:sz w:val="22"/>
          <w:szCs w:val="22"/>
          <w:u w:val="single"/>
        </w:rPr>
        <w:t>servación</w:t>
      </w:r>
      <w:r>
        <w:rPr>
          <w:rFonts w:ascii="Palatino Linotype" w:eastAsia="Palatino Linotype" w:hAnsi="Palatino Linotype" w:cs="Palatino Linotype"/>
          <w:sz w:val="22"/>
          <w:szCs w:val="22"/>
        </w:rPr>
        <w:t xml:space="preserve"> de los Entes Públicos a través de las unidades administrativas que ejercieron el gasto y a disposición de los Órganos de Fiscalización y de los órganos internos de control </w:t>
      </w:r>
      <w:r>
        <w:rPr>
          <w:rFonts w:ascii="Palatino Linotype" w:eastAsia="Palatino Linotype" w:hAnsi="Palatino Linotype" w:cs="Palatino Linotype"/>
          <w:b/>
          <w:bCs/>
          <w:sz w:val="22"/>
          <w:szCs w:val="22"/>
          <w:u w:val="single"/>
        </w:rPr>
        <w:t>por un término de seis años</w:t>
      </w:r>
      <w:r>
        <w:rPr>
          <w:rFonts w:ascii="Palatino Linotype" w:eastAsia="Palatino Linotype" w:hAnsi="Palatino Linotype" w:cs="Palatino Linotype"/>
          <w:sz w:val="22"/>
          <w:szCs w:val="22"/>
        </w:rPr>
        <w:t xml:space="preserve">, los cuales se cuentan a partir del ejercicio </w:t>
      </w:r>
      <w:r>
        <w:rPr>
          <w:rFonts w:ascii="Palatino Linotype" w:eastAsia="Palatino Linotype" w:hAnsi="Palatino Linotype" w:cs="Palatino Linotype"/>
          <w:sz w:val="22"/>
          <w:szCs w:val="22"/>
        </w:rPr>
        <w:t>presupuestal siguiente al que corresponda. Dicha obligación corresponde a las tesorerías o a las áreas equivalentes.</w:t>
      </w:r>
    </w:p>
    <w:p w:rsidR="00A208B1" w:rsidRDefault="003E0D5B">
      <w:pPr>
        <w:spacing w:before="240" w:after="240" w:line="360" w:lineRule="auto"/>
        <w:ind w:right="-232"/>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Debe decirse que las facturas emitidas en favor de los proveedores, contratistas o prestadores de servicios, la cual se encuentra definida en el Glosario de Términos Hacendarios que emite el Instituto Hacendario del Estado de México, como:</w:t>
      </w:r>
    </w:p>
    <w:p w:rsidR="00A208B1" w:rsidRDefault="003E0D5B">
      <w:pPr>
        <w:spacing w:before="120" w:after="120"/>
        <w:ind w:left="851" w:right="902"/>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i/>
          <w:iCs/>
          <w:sz w:val="22"/>
          <w:szCs w:val="22"/>
        </w:rPr>
        <w:t>“</w:t>
      </w:r>
      <w:r>
        <w:rPr>
          <w:rFonts w:ascii="Palatino Linotype" w:eastAsia="Palatino Linotype" w:hAnsi="Palatino Linotype" w:cs="Palatino Linotype"/>
          <w:b/>
          <w:bCs/>
          <w:i/>
          <w:iCs/>
          <w:sz w:val="22"/>
          <w:szCs w:val="22"/>
        </w:rPr>
        <w:t>FACTURA</w:t>
      </w:r>
    </w:p>
    <w:p w:rsidR="00A208B1" w:rsidRDefault="003E0D5B">
      <w:pPr>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Es el d</w:t>
      </w:r>
      <w:r>
        <w:rPr>
          <w:rFonts w:ascii="Palatino Linotype" w:eastAsia="Palatino Linotype" w:hAnsi="Palatino Linotype" w:cs="Palatino Linotype"/>
          <w:i/>
          <w:iCs/>
          <w:sz w:val="22"/>
          <w:szCs w:val="22"/>
        </w:rPr>
        <w:t>ocumento fiscal que emite la persona física o moral para comprobar la venta o adquisición de un bien y/o servicio.” (Sic)</w:t>
      </w:r>
    </w:p>
    <w:p w:rsidR="00A208B1" w:rsidRDefault="003E0D5B">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Luego entonces las facturas son comprobantes que amparan las erogaciones que se realizan con erario público tienen naturaleza pública </w:t>
      </w:r>
      <w:r>
        <w:rPr>
          <w:rFonts w:ascii="Palatino Linotype" w:eastAsia="Palatino Linotype" w:hAnsi="Palatino Linotype" w:cs="Palatino Linotype"/>
          <w:sz w:val="22"/>
          <w:szCs w:val="22"/>
        </w:rPr>
        <w:t>pues, constituyen los medios idóneos de evidencia del gasto realizado con recursos públicos, de ahí que convenga precisar que la Constitución Política del Estado Libre y Soberano de México en su artículo 129 señala que los recursos económicos del Estado, d</w:t>
      </w:r>
      <w:r>
        <w:rPr>
          <w:rFonts w:ascii="Palatino Linotype" w:eastAsia="Palatino Linotype" w:hAnsi="Palatino Linotype" w:cs="Palatino Linotype"/>
          <w:sz w:val="22"/>
          <w:szCs w:val="22"/>
        </w:rPr>
        <w:t xml:space="preserve">e los Municipios, así como de los Organismos Autónomos, se administrarán con eficiencia, eficacia y honradez, para cumplir con los objetivos y programas a los que estén destinados. </w:t>
      </w:r>
    </w:p>
    <w:p w:rsidR="00A208B1" w:rsidRDefault="003E0D5B">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Al respecto, si bien es cierto que el Código Financiero del Estado de Méxi</w:t>
      </w:r>
      <w:r>
        <w:rPr>
          <w:rFonts w:ascii="Palatino Linotype" w:eastAsia="Palatino Linotype" w:hAnsi="Palatino Linotype" w:cs="Palatino Linotype"/>
          <w:sz w:val="22"/>
          <w:szCs w:val="22"/>
        </w:rPr>
        <w:t>co y Municipios establece la obligación de los Municipios para llevar los registros contables y presupuestales; también lo es que, dicho ordenamiento jurídico no establece que debemos entender por registro contable y presupuestal; sin embargo, el “Glosario</w:t>
      </w:r>
      <w:r>
        <w:rPr>
          <w:rFonts w:ascii="Palatino Linotype" w:eastAsia="Palatino Linotype" w:hAnsi="Palatino Linotype" w:cs="Palatino Linotype"/>
          <w:sz w:val="22"/>
          <w:szCs w:val="22"/>
        </w:rPr>
        <w:t xml:space="preserve"> de Términos para el Proceso de Planeación, Programación, Presupuestación y Evaluación en la Administración Pública”</w:t>
      </w:r>
      <w:r>
        <w:rPr>
          <w:rFonts w:ascii="Palatino Linotype" w:eastAsia="Palatino Linotype" w:hAnsi="Palatino Linotype" w:cs="Palatino Linotype"/>
          <w:sz w:val="22"/>
          <w:szCs w:val="22"/>
          <w:vertAlign w:val="superscript"/>
        </w:rPr>
        <w:footnoteReference w:id="1"/>
      </w:r>
      <w:r>
        <w:rPr>
          <w:rFonts w:ascii="Palatino Linotype" w:eastAsia="Palatino Linotype" w:hAnsi="Palatino Linotype" w:cs="Palatino Linotype"/>
          <w:sz w:val="22"/>
          <w:szCs w:val="22"/>
        </w:rPr>
        <w:t>, elaborado por el Grupo de Trabajo de Sistemas de Información Financiera, Contable y Presupuestal de la Comisión Permanente de Funcionario</w:t>
      </w:r>
      <w:r>
        <w:rPr>
          <w:rFonts w:ascii="Palatino Linotype" w:eastAsia="Palatino Linotype" w:hAnsi="Palatino Linotype" w:cs="Palatino Linotype"/>
          <w:sz w:val="22"/>
          <w:szCs w:val="22"/>
        </w:rPr>
        <w:t>s Fiscales del Instituto para el Desarrollo Técnico de las Haciendas Públicas, INDETEC, señalan las siguientes definiciones de las palabras registro contable y registro presupuestario:</w:t>
      </w:r>
    </w:p>
    <w:p w:rsidR="00A208B1" w:rsidRDefault="003E0D5B">
      <w:pPr>
        <w:spacing w:before="120" w:after="120"/>
        <w:ind w:left="850" w:right="902" w:hanging="10"/>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“REGISTRO CONTABLE</w:t>
      </w:r>
    </w:p>
    <w:p w:rsidR="00A208B1" w:rsidRDefault="003E0D5B">
      <w:pPr>
        <w:spacing w:before="120" w:after="120"/>
        <w:ind w:left="850" w:right="902" w:hanging="1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Asiento que se realiza en los libros de contabilidad</w:t>
      </w:r>
      <w:r>
        <w:rPr>
          <w:rFonts w:ascii="Palatino Linotype" w:eastAsia="Palatino Linotype" w:hAnsi="Palatino Linotype" w:cs="Palatino Linotype"/>
          <w:i/>
          <w:iCs/>
          <w:sz w:val="22"/>
          <w:szCs w:val="22"/>
        </w:rPr>
        <w:t xml:space="preserve"> de las actividades relacionadas con el ingreso y egresos de un ente económico.”</w:t>
      </w:r>
    </w:p>
    <w:p w:rsidR="00A208B1" w:rsidRDefault="003E0D5B">
      <w:pPr>
        <w:spacing w:before="120" w:after="120"/>
        <w:ind w:left="850" w:right="902" w:hanging="10"/>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“REGISTRO PRESUPUESTARIO</w:t>
      </w:r>
    </w:p>
    <w:p w:rsidR="00A208B1" w:rsidRDefault="003E0D5B">
      <w:pPr>
        <w:spacing w:before="120" w:after="120"/>
        <w:ind w:left="850" w:right="902" w:hanging="1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Asiento contable de las erogaciones realizadas por las dependencias y entidades con relación a la asignación, modificación y ejercicio de los recursos</w:t>
      </w:r>
      <w:r>
        <w:rPr>
          <w:rFonts w:ascii="Palatino Linotype" w:eastAsia="Palatino Linotype" w:hAnsi="Palatino Linotype" w:cs="Palatino Linotype"/>
          <w:i/>
          <w:iCs/>
          <w:sz w:val="22"/>
          <w:szCs w:val="22"/>
        </w:rPr>
        <w:t xml:space="preserve"> presupuestarios que se les hayan autorizado.”</w:t>
      </w:r>
    </w:p>
    <w:p w:rsidR="00A208B1" w:rsidRDefault="003E0D5B">
      <w:pPr>
        <w:spacing w:before="240" w:after="240" w:line="360" w:lineRule="auto"/>
        <w:ind w:right="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Como bien se desprende de las definiciones, los registros contables y presupuestarios son asientos o anotaciones contables que se realizan tanto de los ingresos como de los egresos, a decir se trata de un cont</w:t>
      </w:r>
      <w:r>
        <w:rPr>
          <w:rFonts w:ascii="Palatino Linotype" w:eastAsia="Palatino Linotype" w:hAnsi="Palatino Linotype" w:cs="Palatino Linotype"/>
          <w:sz w:val="22"/>
          <w:szCs w:val="22"/>
        </w:rPr>
        <w:t>rol financiero en el que se reconoce la obligación del Tesorero de llevar dicho registro.</w:t>
      </w:r>
    </w:p>
    <w:p w:rsidR="00A208B1" w:rsidRDefault="003E0D5B">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otra parte, se establece que el sistema de contabilidad sobre base acumulativa total se sustentará en los principios de contabilidad gubernamental.</w:t>
      </w:r>
    </w:p>
    <w:p w:rsidR="00A208B1" w:rsidRDefault="003E0D5B">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Igualmente, lo</w:t>
      </w:r>
      <w:r>
        <w:rPr>
          <w:rFonts w:ascii="Palatino Linotype" w:eastAsia="Palatino Linotype" w:hAnsi="Palatino Linotype" w:cs="Palatino Linotype"/>
          <w:sz w:val="22"/>
          <w:szCs w:val="22"/>
        </w:rPr>
        <w:t xml:space="preserve">s preceptos legales citados señalan que los Sujetos Obligados deben contar con una unidad administrativa que registra contablemente el efecto patrimonial y presupuestal de las operaciones financieras que realizan, en el momento en que ocurran, con base en </w:t>
      </w:r>
      <w:r>
        <w:rPr>
          <w:rFonts w:ascii="Palatino Linotype" w:eastAsia="Palatino Linotype" w:hAnsi="Palatino Linotype" w:cs="Palatino Linotype"/>
          <w:sz w:val="22"/>
          <w:szCs w:val="22"/>
        </w:rPr>
        <w:t>el sistema y políticas de registro establecidas.</w:t>
      </w:r>
    </w:p>
    <w:p w:rsidR="00A208B1" w:rsidRDefault="003E0D5B">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Correlativo a lo anterior, es preciso referir una definición de </w:t>
      </w:r>
      <w:r>
        <w:rPr>
          <w:rFonts w:ascii="Palatino Linotype" w:eastAsia="Palatino Linotype" w:hAnsi="Palatino Linotype" w:cs="Palatino Linotype"/>
          <w:i/>
          <w:iCs/>
          <w:sz w:val="22"/>
          <w:szCs w:val="22"/>
        </w:rPr>
        <w:t>póliza contable</w:t>
      </w:r>
      <w:r>
        <w:rPr>
          <w:rFonts w:ascii="Palatino Linotype" w:eastAsia="Palatino Linotype" w:hAnsi="Palatino Linotype" w:cs="Palatino Linotype"/>
          <w:sz w:val="22"/>
          <w:szCs w:val="22"/>
        </w:rPr>
        <w:t>, la cual, primeramente, no está definida en el Código Financiero del Estado de México y Municipios; no obstante, el ya menciona</w:t>
      </w:r>
      <w:r>
        <w:rPr>
          <w:rFonts w:ascii="Palatino Linotype" w:eastAsia="Palatino Linotype" w:hAnsi="Palatino Linotype" w:cs="Palatino Linotype"/>
          <w:sz w:val="22"/>
          <w:szCs w:val="22"/>
        </w:rPr>
        <w:t>do Glosario la define como:</w:t>
      </w:r>
    </w:p>
    <w:p w:rsidR="00A208B1" w:rsidRDefault="003E0D5B">
      <w:pPr>
        <w:spacing w:before="120" w:after="120"/>
        <w:ind w:left="862" w:right="902"/>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i/>
          <w:iCs/>
          <w:sz w:val="22"/>
          <w:szCs w:val="22"/>
        </w:rPr>
        <w:t>“</w:t>
      </w:r>
      <w:r>
        <w:rPr>
          <w:rFonts w:ascii="Palatino Linotype" w:eastAsia="Palatino Linotype" w:hAnsi="Palatino Linotype" w:cs="Palatino Linotype"/>
          <w:b/>
          <w:bCs/>
          <w:i/>
          <w:iCs/>
          <w:sz w:val="22"/>
          <w:szCs w:val="22"/>
        </w:rPr>
        <w:t>PÓLIZA CONTABLE</w:t>
      </w:r>
    </w:p>
    <w:p w:rsidR="00A208B1" w:rsidRDefault="003E0D5B">
      <w:pPr>
        <w:spacing w:before="120" w:after="120"/>
        <w:ind w:left="862"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Documento en el cual se asientan en forma individual todas y cada una de las operaciones desarrolladas por una institución, así como la información necesaria para la identificación de dichas operaciones.” </w:t>
      </w:r>
    </w:p>
    <w:p w:rsidR="00A208B1" w:rsidRDefault="003E0D5B">
      <w:pPr>
        <w:spacing w:before="240" w:after="240" w:line="360" w:lineRule="auto"/>
        <w:jc w:val="both"/>
        <w:rPr>
          <w:rFonts w:ascii="Palatino Linotype" w:eastAsia="Palatino Linotype" w:hAnsi="Palatino Linotype" w:cs="Palatino Linotype"/>
          <w:i/>
          <w:iCs/>
          <w:sz w:val="22"/>
          <w:szCs w:val="22"/>
        </w:rPr>
      </w:pPr>
      <w:r>
        <w:rPr>
          <w:rFonts w:ascii="Palatino Linotype" w:eastAsia="Palatino Linotype" w:hAnsi="Palatino Linotype" w:cs="Palatino Linotype"/>
          <w:sz w:val="22"/>
          <w:szCs w:val="22"/>
        </w:rPr>
        <w:t xml:space="preserve">Así, </w:t>
      </w:r>
      <w:r>
        <w:rPr>
          <w:rFonts w:ascii="Palatino Linotype" w:eastAsia="Palatino Linotype" w:hAnsi="Palatino Linotype" w:cs="Palatino Linotype"/>
          <w:sz w:val="22"/>
          <w:szCs w:val="22"/>
        </w:rPr>
        <w:t xml:space="preserve">se advierte que la </w:t>
      </w:r>
      <w:r>
        <w:rPr>
          <w:rFonts w:ascii="Palatino Linotype" w:eastAsia="Palatino Linotype" w:hAnsi="Palatino Linotype" w:cs="Palatino Linotype"/>
          <w:i/>
          <w:iCs/>
          <w:sz w:val="22"/>
          <w:szCs w:val="22"/>
        </w:rPr>
        <w:t>póliza contable</w:t>
      </w:r>
      <w:r>
        <w:rPr>
          <w:rFonts w:ascii="Palatino Linotype" w:eastAsia="Palatino Linotype" w:hAnsi="Palatino Linotype" w:cs="Palatino Linotype"/>
          <w:sz w:val="22"/>
          <w:szCs w:val="22"/>
        </w:rPr>
        <w:t xml:space="preserve"> constituye un registro contable y presupuestal con el que cuentan los Municipios para el registro de operaciones relacionadas con </w:t>
      </w:r>
      <w:r>
        <w:rPr>
          <w:rFonts w:ascii="Palatino Linotype" w:eastAsia="Palatino Linotype" w:hAnsi="Palatino Linotype" w:cs="Palatino Linotype"/>
          <w:sz w:val="22"/>
          <w:szCs w:val="22"/>
          <w:u w:val="single"/>
        </w:rPr>
        <w:t>ingresos y egresos</w:t>
      </w:r>
      <w:r>
        <w:rPr>
          <w:rFonts w:ascii="Palatino Linotype" w:eastAsia="Palatino Linotype" w:hAnsi="Palatino Linotype" w:cs="Palatino Linotype"/>
          <w:sz w:val="22"/>
          <w:szCs w:val="22"/>
        </w:rPr>
        <w:t xml:space="preserve"> y se anexan los documentos o comprobantes que justifiquen las anotacione</w:t>
      </w:r>
      <w:r>
        <w:rPr>
          <w:rFonts w:ascii="Palatino Linotype" w:eastAsia="Palatino Linotype" w:hAnsi="Palatino Linotype" w:cs="Palatino Linotype"/>
          <w:sz w:val="22"/>
          <w:szCs w:val="22"/>
        </w:rPr>
        <w:t>s y cantidades en ellas registradas, lo que permite la identificación plena de dichas operaciones.</w:t>
      </w:r>
    </w:p>
    <w:p w:rsidR="00A208B1" w:rsidRDefault="003E0D5B">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este sentido, existen diversos tipos de pólizas contables de acuerdo a las operaciones realizadas, dentro de las cuales, encontramos las </w:t>
      </w:r>
      <w:r>
        <w:rPr>
          <w:rFonts w:ascii="Palatino Linotype" w:eastAsia="Palatino Linotype" w:hAnsi="Palatino Linotype" w:cs="Palatino Linotype"/>
          <w:i/>
          <w:iCs/>
          <w:sz w:val="22"/>
          <w:szCs w:val="22"/>
        </w:rPr>
        <w:t>pólizas de ingres</w:t>
      </w:r>
      <w:r>
        <w:rPr>
          <w:rFonts w:ascii="Palatino Linotype" w:eastAsia="Palatino Linotype" w:hAnsi="Palatino Linotype" w:cs="Palatino Linotype"/>
          <w:i/>
          <w:iCs/>
          <w:sz w:val="22"/>
          <w:szCs w:val="22"/>
        </w:rPr>
        <w:t xml:space="preserve">os y egresos. </w:t>
      </w:r>
      <w:r>
        <w:rPr>
          <w:rFonts w:ascii="Palatino Linotype" w:eastAsia="Palatino Linotype" w:hAnsi="Palatino Linotype" w:cs="Palatino Linotype"/>
          <w:b/>
          <w:bCs/>
          <w:sz w:val="22"/>
          <w:szCs w:val="22"/>
          <w:u w:val="single"/>
        </w:rPr>
        <w:t>Las primeras</w:t>
      </w:r>
      <w:r>
        <w:rPr>
          <w:rFonts w:ascii="Palatino Linotype" w:eastAsia="Palatino Linotype" w:hAnsi="Palatino Linotype" w:cs="Palatino Linotype"/>
          <w:b/>
          <w:bCs/>
          <w:sz w:val="22"/>
          <w:szCs w:val="22"/>
        </w:rPr>
        <w:t xml:space="preserve"> registran todas las entradas de dinero, </w:t>
      </w:r>
      <w:r>
        <w:rPr>
          <w:rFonts w:ascii="Palatino Linotype" w:eastAsia="Palatino Linotype" w:hAnsi="Palatino Linotype" w:cs="Palatino Linotype"/>
          <w:sz w:val="22"/>
          <w:szCs w:val="22"/>
        </w:rPr>
        <w:t xml:space="preserve">mientras que </w:t>
      </w:r>
      <w:r>
        <w:rPr>
          <w:rFonts w:ascii="Palatino Linotype" w:eastAsia="Palatino Linotype" w:hAnsi="Palatino Linotype" w:cs="Palatino Linotype"/>
          <w:b/>
          <w:bCs/>
          <w:sz w:val="22"/>
          <w:szCs w:val="22"/>
          <w:u w:val="single"/>
        </w:rPr>
        <w:t>las segundas</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bCs/>
          <w:sz w:val="22"/>
          <w:szCs w:val="22"/>
        </w:rPr>
        <w:t>son aquellas en las cuales se anotan diariamente las operaciones que representan gastos, es decir, salidas de dinero</w:t>
      </w:r>
      <w:r>
        <w:rPr>
          <w:rFonts w:ascii="Palatino Linotype" w:eastAsia="Palatino Linotype" w:hAnsi="Palatino Linotype" w:cs="Palatino Linotype"/>
          <w:sz w:val="22"/>
          <w:szCs w:val="22"/>
        </w:rPr>
        <w:t xml:space="preserve"> las que, además, </w:t>
      </w:r>
      <w:r>
        <w:rPr>
          <w:rFonts w:ascii="Palatino Linotype" w:eastAsia="Palatino Linotype" w:hAnsi="Palatino Linotype" w:cs="Palatino Linotype"/>
          <w:b/>
          <w:bCs/>
          <w:sz w:val="22"/>
          <w:szCs w:val="22"/>
        </w:rPr>
        <w:t xml:space="preserve">deben encontrarse acompañadas de las documentales que sirven de soporte de dicho movimiento; </w:t>
      </w:r>
      <w:r>
        <w:rPr>
          <w:rFonts w:ascii="Palatino Linotype" w:eastAsia="Palatino Linotype" w:hAnsi="Palatino Linotype" w:cs="Palatino Linotype"/>
          <w:sz w:val="22"/>
          <w:szCs w:val="22"/>
        </w:rPr>
        <w:t xml:space="preserve">lo anterior </w:t>
      </w:r>
      <w:r>
        <w:rPr>
          <w:rFonts w:ascii="Palatino Linotype" w:eastAsia="Palatino Linotype" w:hAnsi="Palatino Linotype" w:cs="Palatino Linotype"/>
          <w:b/>
          <w:bCs/>
          <w:sz w:val="22"/>
          <w:szCs w:val="22"/>
        </w:rPr>
        <w:t>independientemente de la modalidad</w:t>
      </w:r>
      <w:r>
        <w:rPr>
          <w:rFonts w:ascii="Palatino Linotype" w:eastAsia="Palatino Linotype" w:hAnsi="Palatino Linotype" w:cs="Palatino Linotype"/>
          <w:sz w:val="22"/>
          <w:szCs w:val="22"/>
        </w:rPr>
        <w:t xml:space="preserve"> ya sea en efectivo, transferencia, cheque o pagaré, mediante la expedición de facturas.</w:t>
      </w:r>
    </w:p>
    <w:p w:rsidR="00A208B1" w:rsidRDefault="003E0D5B">
      <w:pPr>
        <w:spacing w:before="240" w:after="240" w:line="360" w:lineRule="auto"/>
        <w:ind w:right="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Atento a lo anterior, como y</w:t>
      </w:r>
      <w:r>
        <w:rPr>
          <w:rFonts w:ascii="Palatino Linotype" w:eastAsia="Palatino Linotype" w:hAnsi="Palatino Linotype" w:cs="Palatino Linotype"/>
          <w:sz w:val="22"/>
          <w:szCs w:val="22"/>
        </w:rPr>
        <w:t>a ha sido mencionado en la normatividad antes citada, todo registro contable y presupuestal deberá estar soportado con los documentos comprobatorios originales, como lo son las facturas o pagos fiscales digitales por internet, mismos que deberán permanecer</w:t>
      </w:r>
      <w:r>
        <w:rPr>
          <w:rFonts w:ascii="Palatino Linotype" w:eastAsia="Palatino Linotype" w:hAnsi="Palatino Linotype" w:cs="Palatino Linotype"/>
          <w:sz w:val="22"/>
          <w:szCs w:val="22"/>
        </w:rPr>
        <w:t xml:space="preserve"> en custodia y conservación de la Unidad Administrativa correspondiente y a disposición del Órgano Superior de Fiscalización del Estado de México; por un término de seis años contados a partir del ejercicio presupuestal siguiente al que corresponda, tal y </w:t>
      </w:r>
      <w:r>
        <w:rPr>
          <w:rFonts w:ascii="Palatino Linotype" w:eastAsia="Palatino Linotype" w:hAnsi="Palatino Linotype" w:cs="Palatino Linotype"/>
          <w:sz w:val="22"/>
          <w:szCs w:val="22"/>
        </w:rPr>
        <w:t xml:space="preserve">como se establece en el Código Financiero del Estado de México. </w:t>
      </w:r>
    </w:p>
    <w:p w:rsidR="00A208B1" w:rsidRDefault="003E0D5B">
      <w:pPr>
        <w:spacing w:before="240" w:after="240" w:line="360" w:lineRule="auto"/>
        <w:ind w:right="-232"/>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Aunado a lo anterior, conviene referir que de conformidad con los Lineamientos para la integración y presentación de los Informes Trimestrales Estatales y Municipales del Ejercicio Fiscal 2025, emitidos por el Órgano Superior de Fiscalización del Estado de</w:t>
      </w:r>
      <w:r>
        <w:rPr>
          <w:rFonts w:ascii="Palatino Linotype" w:eastAsia="Palatino Linotype" w:hAnsi="Palatino Linotype" w:cs="Palatino Linotype"/>
          <w:sz w:val="22"/>
          <w:szCs w:val="22"/>
        </w:rPr>
        <w:t xml:space="preserve"> México, OSFEM, el </w:t>
      </w:r>
      <w:r>
        <w:rPr>
          <w:rFonts w:ascii="Palatino Linotype" w:eastAsia="Palatino Linotype" w:hAnsi="Palatino Linotype" w:cs="Palatino Linotype"/>
          <w:b/>
          <w:bCs/>
          <w:sz w:val="22"/>
          <w:szCs w:val="22"/>
        </w:rPr>
        <w:t xml:space="preserve">Sujeto Obligado, </w:t>
      </w:r>
      <w:r>
        <w:rPr>
          <w:rFonts w:ascii="Palatino Linotype" w:eastAsia="Palatino Linotype" w:hAnsi="Palatino Linotype" w:cs="Palatino Linotype"/>
          <w:sz w:val="22"/>
          <w:szCs w:val="22"/>
        </w:rPr>
        <w:t xml:space="preserve">como ente fiscalizable cuenta con la obligación de remitir a dicho Órgano, para su revisión la </w:t>
      </w:r>
      <w:r>
        <w:rPr>
          <w:rFonts w:ascii="Palatino Linotype" w:eastAsia="Palatino Linotype" w:hAnsi="Palatino Linotype" w:cs="Palatino Linotype"/>
          <w:b/>
          <w:bCs/>
          <w:sz w:val="22"/>
          <w:szCs w:val="22"/>
        </w:rPr>
        <w:t>pólizas con documentos comprobatorios</w:t>
      </w:r>
      <w:r>
        <w:rPr>
          <w:rFonts w:ascii="Palatino Linotype" w:eastAsia="Palatino Linotype" w:hAnsi="Palatino Linotype" w:cs="Palatino Linotype"/>
          <w:sz w:val="22"/>
          <w:szCs w:val="22"/>
        </w:rPr>
        <w:t>, como parte de los informes trimestrales, específicamente, en el Módulo 1 Información C</w:t>
      </w:r>
      <w:r>
        <w:rPr>
          <w:rFonts w:ascii="Palatino Linotype" w:eastAsia="Palatino Linotype" w:hAnsi="Palatino Linotype" w:cs="Palatino Linotype"/>
          <w:sz w:val="22"/>
          <w:szCs w:val="22"/>
        </w:rPr>
        <w:t>ontable y Financiera:</w:t>
      </w:r>
    </w:p>
    <w:p w:rsidR="00A208B1" w:rsidRDefault="003E0D5B">
      <w:pPr>
        <w:spacing w:before="240" w:after="240" w:line="360" w:lineRule="auto"/>
        <w:ind w:right="-232"/>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drawing>
          <wp:inline distT="0" distB="0" distL="0" distR="0">
            <wp:extent cx="4140000" cy="1136414"/>
            <wp:effectExtent l="0" t="0" r="0" b="0"/>
            <wp:docPr id="4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7"/>
                    <a:srcRect/>
                    <a:stretch>
                      <a:fillRect/>
                    </a:stretch>
                  </pic:blipFill>
                  <pic:spPr>
                    <a:xfrm>
                      <a:off x="0" y="0"/>
                      <a:ext cx="4140000" cy="1136414"/>
                    </a:xfrm>
                    <a:prstGeom prst="rect">
                      <a:avLst/>
                    </a:prstGeom>
                    <a:ln/>
                  </pic:spPr>
                </pic:pic>
              </a:graphicData>
            </a:graphic>
          </wp:inline>
        </w:drawing>
      </w:r>
    </w:p>
    <w:p w:rsidR="00A208B1" w:rsidRDefault="003E0D5B">
      <w:pPr>
        <w:spacing w:before="240" w:after="240" w:line="360" w:lineRule="auto"/>
        <w:ind w:right="-232"/>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drawing>
          <wp:inline distT="0" distB="0" distL="0" distR="0">
            <wp:extent cx="5612130" cy="359410"/>
            <wp:effectExtent l="0" t="0" r="0" b="0"/>
            <wp:docPr id="42"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8"/>
                    <a:srcRect/>
                    <a:stretch>
                      <a:fillRect/>
                    </a:stretch>
                  </pic:blipFill>
                  <pic:spPr>
                    <a:xfrm>
                      <a:off x="0" y="0"/>
                      <a:ext cx="5612130" cy="359410"/>
                    </a:xfrm>
                    <a:prstGeom prst="rect">
                      <a:avLst/>
                    </a:prstGeom>
                    <a:ln/>
                  </pic:spPr>
                </pic:pic>
              </a:graphicData>
            </a:graphic>
          </wp:inline>
        </w:drawing>
      </w:r>
      <w:r>
        <w:rPr>
          <w:rFonts w:ascii="Palatino Linotype" w:eastAsia="Palatino Linotype" w:hAnsi="Palatino Linotype" w:cs="Palatino Linotype"/>
          <w:noProof/>
          <w:sz w:val="22"/>
          <w:szCs w:val="22"/>
        </w:rPr>
        <w:drawing>
          <wp:inline distT="0" distB="0" distL="0" distR="0">
            <wp:extent cx="4140000" cy="1084414"/>
            <wp:effectExtent l="0" t="0" r="0" b="0"/>
            <wp:docPr id="4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9"/>
                    <a:srcRect/>
                    <a:stretch>
                      <a:fillRect/>
                    </a:stretch>
                  </pic:blipFill>
                  <pic:spPr>
                    <a:xfrm>
                      <a:off x="0" y="0"/>
                      <a:ext cx="4140000" cy="1084414"/>
                    </a:xfrm>
                    <a:prstGeom prst="rect">
                      <a:avLst/>
                    </a:prstGeom>
                    <a:ln/>
                  </pic:spPr>
                </pic:pic>
              </a:graphicData>
            </a:graphic>
          </wp:inline>
        </w:drawing>
      </w:r>
    </w:p>
    <w:p w:rsidR="00A208B1" w:rsidRDefault="003E0D5B">
      <w:pPr>
        <w:spacing w:before="240" w:after="240" w:line="360" w:lineRule="auto"/>
        <w:ind w:right="-232"/>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Para el cumplimiento de dicha obligación la información debe ser entregada a través de los siguientes formatos:</w:t>
      </w:r>
    </w:p>
    <w:p w:rsidR="00A208B1" w:rsidRDefault="003E0D5B">
      <w:pPr>
        <w:spacing w:before="240" w:after="240" w:line="360" w:lineRule="auto"/>
        <w:ind w:right="-232"/>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drawing>
          <wp:inline distT="0" distB="0" distL="0" distR="0">
            <wp:extent cx="4140000" cy="3840710"/>
            <wp:effectExtent l="0" t="0" r="0" b="0"/>
            <wp:docPr id="44"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0"/>
                    <a:srcRect t="-1" b="17031"/>
                    <a:stretch>
                      <a:fillRect/>
                    </a:stretch>
                  </pic:blipFill>
                  <pic:spPr>
                    <a:xfrm>
                      <a:off x="0" y="0"/>
                      <a:ext cx="4140000" cy="3840710"/>
                    </a:xfrm>
                    <a:prstGeom prst="rect">
                      <a:avLst/>
                    </a:prstGeom>
                    <a:ln/>
                  </pic:spPr>
                </pic:pic>
              </a:graphicData>
            </a:graphic>
          </wp:inline>
        </w:drawing>
      </w:r>
    </w:p>
    <w:p w:rsidR="00A208B1" w:rsidRDefault="003E0D5B">
      <w:pPr>
        <w:spacing w:before="240" w:after="240" w:line="360" w:lineRule="auto"/>
        <w:ind w:right="-232"/>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drawing>
          <wp:inline distT="0" distB="0" distL="0" distR="0">
            <wp:extent cx="4859655" cy="892999"/>
            <wp:effectExtent l="0" t="0" r="0" b="0"/>
            <wp:docPr id="45"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0"/>
                    <a:srcRect t="84339" b="-773"/>
                    <a:stretch>
                      <a:fillRect/>
                    </a:stretch>
                  </pic:blipFill>
                  <pic:spPr>
                    <a:xfrm>
                      <a:off x="0" y="0"/>
                      <a:ext cx="4859655" cy="892999"/>
                    </a:xfrm>
                    <a:prstGeom prst="rect">
                      <a:avLst/>
                    </a:prstGeom>
                    <a:ln/>
                  </pic:spPr>
                </pic:pic>
              </a:graphicData>
            </a:graphic>
          </wp:inline>
        </w:drawing>
      </w:r>
      <w:r>
        <w:rPr>
          <w:rFonts w:ascii="Palatino Linotype" w:eastAsia="Palatino Linotype" w:hAnsi="Palatino Linotype" w:cs="Palatino Linotype"/>
          <w:noProof/>
          <w:sz w:val="22"/>
          <w:szCs w:val="22"/>
        </w:rPr>
        <w:drawing>
          <wp:inline distT="0" distB="0" distL="0" distR="0">
            <wp:extent cx="4860000" cy="3222403"/>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4860000" cy="3222403"/>
                    </a:xfrm>
                    <a:prstGeom prst="rect">
                      <a:avLst/>
                    </a:prstGeom>
                    <a:ln/>
                  </pic:spPr>
                </pic:pic>
              </a:graphicData>
            </a:graphic>
          </wp:inline>
        </w:drawing>
      </w:r>
    </w:p>
    <w:p w:rsidR="00A208B1" w:rsidRDefault="003E0D5B">
      <w:pPr>
        <w:spacing w:before="240" w:after="240" w:line="360" w:lineRule="auto"/>
        <w:ind w:right="-232"/>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drawing>
          <wp:inline distT="0" distB="0" distL="0" distR="0">
            <wp:extent cx="4860000" cy="2021753"/>
            <wp:effectExtent l="0" t="0" r="0" b="0"/>
            <wp:docPr id="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2"/>
                    <a:srcRect b="62720"/>
                    <a:stretch>
                      <a:fillRect/>
                    </a:stretch>
                  </pic:blipFill>
                  <pic:spPr>
                    <a:xfrm>
                      <a:off x="0" y="0"/>
                      <a:ext cx="4860000" cy="2021753"/>
                    </a:xfrm>
                    <a:prstGeom prst="rect">
                      <a:avLst/>
                    </a:prstGeom>
                    <a:ln/>
                  </pic:spPr>
                </pic:pic>
              </a:graphicData>
            </a:graphic>
          </wp:inline>
        </w:drawing>
      </w:r>
    </w:p>
    <w:p w:rsidR="00A208B1" w:rsidRDefault="003E0D5B">
      <w:pPr>
        <w:spacing w:before="240" w:after="240" w:line="360" w:lineRule="auto"/>
        <w:ind w:right="-232"/>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drawing>
          <wp:inline distT="0" distB="0" distL="0" distR="0">
            <wp:extent cx="4860000" cy="3350799"/>
            <wp:effectExtent l="0" t="0" r="0" b="0"/>
            <wp:docPr id="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2"/>
                    <a:srcRect t="38212"/>
                    <a:stretch>
                      <a:fillRect/>
                    </a:stretch>
                  </pic:blipFill>
                  <pic:spPr>
                    <a:xfrm>
                      <a:off x="0" y="0"/>
                      <a:ext cx="4860000" cy="3350799"/>
                    </a:xfrm>
                    <a:prstGeom prst="rect">
                      <a:avLst/>
                    </a:prstGeom>
                    <a:ln/>
                  </pic:spPr>
                </pic:pic>
              </a:graphicData>
            </a:graphic>
          </wp:inline>
        </w:drawing>
      </w:r>
    </w:p>
    <w:p w:rsidR="00A208B1" w:rsidRDefault="003E0D5B">
      <w:pPr>
        <w:spacing w:before="240" w:after="240" w:line="360" w:lineRule="auto"/>
        <w:ind w:right="-232"/>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drawing>
          <wp:inline distT="0" distB="0" distL="0" distR="0">
            <wp:extent cx="4860000" cy="2426496"/>
            <wp:effectExtent l="0" t="0" r="0" b="0"/>
            <wp:docPr id="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3"/>
                    <a:srcRect b="23921"/>
                    <a:stretch>
                      <a:fillRect/>
                    </a:stretch>
                  </pic:blipFill>
                  <pic:spPr>
                    <a:xfrm>
                      <a:off x="0" y="0"/>
                      <a:ext cx="4860000" cy="2426496"/>
                    </a:xfrm>
                    <a:prstGeom prst="rect">
                      <a:avLst/>
                    </a:prstGeom>
                    <a:ln/>
                  </pic:spPr>
                </pic:pic>
              </a:graphicData>
            </a:graphic>
          </wp:inline>
        </w:drawing>
      </w:r>
      <w:r>
        <w:rPr>
          <w:rFonts w:ascii="Palatino Linotype" w:eastAsia="Palatino Linotype" w:hAnsi="Palatino Linotype" w:cs="Palatino Linotype"/>
          <w:noProof/>
          <w:sz w:val="22"/>
          <w:szCs w:val="22"/>
        </w:rPr>
        <w:drawing>
          <wp:inline distT="0" distB="0" distL="0" distR="0">
            <wp:extent cx="4860000" cy="771730"/>
            <wp:effectExtent l="0" t="0" r="0" b="0"/>
            <wp:docPr id="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3"/>
                    <a:srcRect t="75803"/>
                    <a:stretch>
                      <a:fillRect/>
                    </a:stretch>
                  </pic:blipFill>
                  <pic:spPr>
                    <a:xfrm>
                      <a:off x="0" y="0"/>
                      <a:ext cx="4860000" cy="771730"/>
                    </a:xfrm>
                    <a:prstGeom prst="rect">
                      <a:avLst/>
                    </a:prstGeom>
                    <a:ln/>
                  </pic:spPr>
                </pic:pic>
              </a:graphicData>
            </a:graphic>
          </wp:inline>
        </w:drawing>
      </w:r>
    </w:p>
    <w:p w:rsidR="00A208B1" w:rsidRDefault="003E0D5B">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Además, resulta pertinente señalar que el Manual para la Planeación, Programación y Presupuesto de Egreso</w:t>
      </w:r>
      <w:r>
        <w:rPr>
          <w:rFonts w:ascii="Palatino Linotype" w:eastAsia="Palatino Linotype" w:hAnsi="Palatino Linotype" w:cs="Palatino Linotype"/>
          <w:sz w:val="22"/>
          <w:szCs w:val="22"/>
        </w:rPr>
        <w:t>s Municipal, para el Ejercicio Fiscal 2025, integra como anexo el “Clasificador por objeto del gasto”,  el cual se constituye un elemento fundamental del sistema general de cuentas donde cada componente destaca aspectos concretos del presupuesto y suminist</w:t>
      </w:r>
      <w:r>
        <w:rPr>
          <w:rFonts w:ascii="Palatino Linotype" w:eastAsia="Palatino Linotype" w:hAnsi="Palatino Linotype" w:cs="Palatino Linotype"/>
          <w:sz w:val="22"/>
          <w:szCs w:val="22"/>
        </w:rPr>
        <w:t>ra información que atiende a necesidades diferentes pero enlazadas, permitiendo el vínculo con la contabilidad, es decir, que se trata de un instrumento que permite la obtención de información para el análisis y seguimiento de la gestión financiera guberna</w:t>
      </w:r>
      <w:r>
        <w:rPr>
          <w:rFonts w:ascii="Palatino Linotype" w:eastAsia="Palatino Linotype" w:hAnsi="Palatino Linotype" w:cs="Palatino Linotype"/>
          <w:sz w:val="22"/>
          <w:szCs w:val="22"/>
        </w:rPr>
        <w:t>mental, por lo cual permite conocer en qué se gasta y cuantificar la demanda de bienes o servicios.</w:t>
      </w:r>
    </w:p>
    <w:p w:rsidR="00A208B1" w:rsidRDefault="003E0D5B">
      <w:pPr>
        <w:spacing w:before="280" w:after="28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La estructura del Clasificador, según lo previsto en el anexo, fue diseñada con un nivel de desagregación que permite que sus cuentas faciliten el registro </w:t>
      </w:r>
      <w:r>
        <w:rPr>
          <w:rFonts w:ascii="Palatino Linotype" w:eastAsia="Palatino Linotype" w:hAnsi="Palatino Linotype" w:cs="Palatino Linotype"/>
          <w:sz w:val="22"/>
          <w:szCs w:val="22"/>
        </w:rPr>
        <w:t xml:space="preserve">único de todas las transacciones con incidencia económica – financiera, es por ello que la armonización se realiza a tercer digito que corresponde a la partida genérica, dejando en poder de las entidades federativas la desagregación e identificación de la </w:t>
      </w:r>
      <w:r>
        <w:rPr>
          <w:rFonts w:ascii="Palatino Linotype" w:eastAsia="Palatino Linotype" w:hAnsi="Palatino Linotype" w:cs="Palatino Linotype"/>
          <w:sz w:val="22"/>
          <w:szCs w:val="22"/>
        </w:rPr>
        <w:t>partida específica, dando origen a la siguiente estructura:</w:t>
      </w:r>
    </w:p>
    <w:p w:rsidR="00A208B1" w:rsidRDefault="003E0D5B">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drawing>
          <wp:inline distT="0" distB="0" distL="0" distR="0">
            <wp:extent cx="5610225" cy="933450"/>
            <wp:effectExtent l="0" t="0" r="0" b="0"/>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4"/>
                    <a:srcRect/>
                    <a:stretch>
                      <a:fillRect/>
                    </a:stretch>
                  </pic:blipFill>
                  <pic:spPr>
                    <a:xfrm>
                      <a:off x="0" y="0"/>
                      <a:ext cx="5610225" cy="933450"/>
                    </a:xfrm>
                    <a:prstGeom prst="rect">
                      <a:avLst/>
                    </a:prstGeom>
                    <a:ln/>
                  </pic:spPr>
                </pic:pic>
              </a:graphicData>
            </a:graphic>
          </wp:inline>
        </w:drawing>
      </w:r>
    </w:p>
    <w:p w:rsidR="00A208B1" w:rsidRDefault="003E0D5B">
      <w:pPr>
        <w:spacing w:before="280" w:after="28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Debiendo definir cada una de las partes que lo integran como sigue:</w:t>
      </w:r>
    </w:p>
    <w:p w:rsidR="00A208B1" w:rsidRDefault="003E0D5B">
      <w:pPr>
        <w:numPr>
          <w:ilvl w:val="0"/>
          <w:numId w:val="1"/>
        </w:numPr>
        <w:pBdr>
          <w:top w:val="nil"/>
          <w:left w:val="nil"/>
          <w:bottom w:val="nil"/>
          <w:right w:val="nil"/>
          <w:between w:val="nil"/>
        </w:pBdr>
        <w:spacing w:before="120" w:after="120" w:line="276" w:lineRule="auto"/>
        <w:ind w:hanging="357"/>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Capítulo:</w:t>
      </w:r>
      <w:r>
        <w:rPr>
          <w:rFonts w:ascii="Palatino Linotype" w:eastAsia="Palatino Linotype" w:hAnsi="Palatino Linotype" w:cs="Palatino Linotype"/>
          <w:sz w:val="22"/>
          <w:szCs w:val="22"/>
        </w:rPr>
        <w:t xml:space="preserve"> Es el mayor nivel de agregación que identifica el conjunto homogéneo y ordenado de los bienes y servicios requeridos</w:t>
      </w:r>
      <w:r>
        <w:rPr>
          <w:rFonts w:ascii="Palatino Linotype" w:eastAsia="Palatino Linotype" w:hAnsi="Palatino Linotype" w:cs="Palatino Linotype"/>
          <w:sz w:val="22"/>
          <w:szCs w:val="22"/>
        </w:rPr>
        <w:t xml:space="preserve"> por los entes públicos. </w:t>
      </w:r>
    </w:p>
    <w:p w:rsidR="00A208B1" w:rsidRDefault="003E0D5B">
      <w:pPr>
        <w:numPr>
          <w:ilvl w:val="0"/>
          <w:numId w:val="1"/>
        </w:numPr>
        <w:pBdr>
          <w:top w:val="nil"/>
          <w:left w:val="nil"/>
          <w:bottom w:val="nil"/>
          <w:right w:val="nil"/>
          <w:between w:val="nil"/>
        </w:pBdr>
        <w:spacing w:before="120" w:after="120" w:line="276" w:lineRule="auto"/>
        <w:ind w:hanging="357"/>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Concepto:</w:t>
      </w:r>
      <w:r>
        <w:rPr>
          <w:rFonts w:ascii="Palatino Linotype" w:eastAsia="Palatino Linotype" w:hAnsi="Palatino Linotype" w:cs="Palatino Linotype"/>
          <w:sz w:val="22"/>
          <w:szCs w:val="22"/>
        </w:rPr>
        <w:t xml:space="preserve"> Son subconjuntos homogéneos y ordenados en forma específica, producto de la desagregación de los bienes y servicios, incluidos en cada capítulo. </w:t>
      </w:r>
    </w:p>
    <w:p w:rsidR="00A208B1" w:rsidRDefault="003E0D5B">
      <w:pPr>
        <w:numPr>
          <w:ilvl w:val="0"/>
          <w:numId w:val="1"/>
        </w:numPr>
        <w:pBdr>
          <w:top w:val="nil"/>
          <w:left w:val="nil"/>
          <w:bottom w:val="nil"/>
          <w:right w:val="nil"/>
          <w:between w:val="nil"/>
        </w:pBdr>
        <w:spacing w:before="120" w:after="120" w:line="276" w:lineRule="auto"/>
        <w:ind w:hanging="357"/>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Partida:</w:t>
      </w:r>
      <w:r>
        <w:rPr>
          <w:rFonts w:ascii="Palatino Linotype" w:eastAsia="Palatino Linotype" w:hAnsi="Palatino Linotype" w:cs="Palatino Linotype"/>
          <w:sz w:val="22"/>
          <w:szCs w:val="22"/>
        </w:rPr>
        <w:t xml:space="preserve"> Es el nivel de agregación más específico en el cual se describen las expresiones concretas y detalladas de los bienes y servicios que se adquieren y se compone de: </w:t>
      </w:r>
    </w:p>
    <w:p w:rsidR="00A208B1" w:rsidRDefault="003E0D5B">
      <w:pPr>
        <w:numPr>
          <w:ilvl w:val="0"/>
          <w:numId w:val="2"/>
        </w:numPr>
        <w:pBdr>
          <w:top w:val="nil"/>
          <w:left w:val="nil"/>
          <w:bottom w:val="nil"/>
          <w:right w:val="nil"/>
          <w:between w:val="nil"/>
        </w:pBdr>
        <w:spacing w:before="120" w:line="276"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La Partida Genérica</w:t>
      </w:r>
      <w:r>
        <w:rPr>
          <w:rFonts w:ascii="Palatino Linotype" w:eastAsia="Palatino Linotype" w:hAnsi="Palatino Linotype" w:cs="Palatino Linotype"/>
          <w:sz w:val="22"/>
          <w:szCs w:val="22"/>
        </w:rPr>
        <w:t xml:space="preserve"> se refiere al tercer dígito, el cual logrará la armonización a todos l</w:t>
      </w:r>
      <w:r>
        <w:rPr>
          <w:rFonts w:ascii="Palatino Linotype" w:eastAsia="Palatino Linotype" w:hAnsi="Palatino Linotype" w:cs="Palatino Linotype"/>
          <w:sz w:val="22"/>
          <w:szCs w:val="22"/>
        </w:rPr>
        <w:t>os niveles de gobierno.</w:t>
      </w:r>
    </w:p>
    <w:p w:rsidR="00A208B1" w:rsidRDefault="003E0D5B">
      <w:pPr>
        <w:numPr>
          <w:ilvl w:val="0"/>
          <w:numId w:val="2"/>
        </w:numPr>
        <w:pBdr>
          <w:top w:val="nil"/>
          <w:left w:val="nil"/>
          <w:bottom w:val="nil"/>
          <w:right w:val="nil"/>
          <w:between w:val="nil"/>
        </w:pBdr>
        <w:spacing w:after="120" w:line="276" w:lineRule="auto"/>
        <w:ind w:hanging="357"/>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La Partida Específica</w:t>
      </w:r>
      <w:r>
        <w:rPr>
          <w:rFonts w:ascii="Palatino Linotype" w:eastAsia="Palatino Linotype" w:hAnsi="Palatino Linotype" w:cs="Palatino Linotype"/>
          <w:sz w:val="22"/>
          <w:szCs w:val="22"/>
        </w:rPr>
        <w:t xml:space="preserve"> corresponde al cuarto dígito, el cual permitirá que las unidades administrativas o instancias competentes en materia de Contabilidad Gubernamental y de Presupuesto de cada orden de gobierno, con base en sus nec</w:t>
      </w:r>
      <w:r>
        <w:rPr>
          <w:rFonts w:ascii="Palatino Linotype" w:eastAsia="Palatino Linotype" w:hAnsi="Palatino Linotype" w:cs="Palatino Linotype"/>
          <w:sz w:val="22"/>
          <w:szCs w:val="22"/>
        </w:rPr>
        <w:t>esidades, generen su apertura, conservando la estructura básica (capítulo, concepto y partida genérica), con el fin de mantener la armonización con el Plan de Cuenta.</w:t>
      </w:r>
    </w:p>
    <w:p w:rsidR="00A208B1" w:rsidRDefault="003E0D5B">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 acuerdo con este nivel de desagregación del Clasificador por Objeto del Gasto Estatal </w:t>
      </w:r>
      <w:r>
        <w:rPr>
          <w:rFonts w:ascii="Palatino Linotype" w:eastAsia="Palatino Linotype" w:hAnsi="Palatino Linotype" w:cs="Palatino Linotype"/>
          <w:sz w:val="22"/>
          <w:szCs w:val="22"/>
        </w:rPr>
        <w:t xml:space="preserve">y Municipal, la definición de los Capítulos de gasto es la siguiente: </w:t>
      </w:r>
    </w:p>
    <w:p w:rsidR="00A208B1" w:rsidRDefault="003E0D5B">
      <w:pPr>
        <w:spacing w:before="240" w:after="240"/>
        <w:ind w:left="426" w:right="49"/>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1000 SERVICIOS PERSONALES.</w:t>
      </w:r>
      <w:r>
        <w:rPr>
          <w:rFonts w:ascii="Palatino Linotype" w:eastAsia="Palatino Linotype" w:hAnsi="Palatino Linotype" w:cs="Palatino Linotype"/>
          <w:sz w:val="22"/>
          <w:szCs w:val="22"/>
        </w:rPr>
        <w:t xml:space="preserve"> Agrupa las remuneraciones del personal al servicio de los entes públicos, tales como: sueldos, salarios, dietas, honorarios asimilables al salario, prestacion</w:t>
      </w:r>
      <w:r>
        <w:rPr>
          <w:rFonts w:ascii="Palatino Linotype" w:eastAsia="Palatino Linotype" w:hAnsi="Palatino Linotype" w:cs="Palatino Linotype"/>
          <w:sz w:val="22"/>
          <w:szCs w:val="22"/>
        </w:rPr>
        <w:t>es y gastos de seguridad social, obligaciones laborables y otras prestaciones derivadas de una relación laboral; pudiendo ser de carácter permanente o transitorio.</w:t>
      </w:r>
    </w:p>
    <w:p w:rsidR="00A208B1" w:rsidRDefault="003E0D5B">
      <w:pPr>
        <w:spacing w:before="240" w:after="240"/>
        <w:ind w:left="426" w:right="49"/>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2000 MATERIALES Y SUMINISTROS</w:t>
      </w:r>
      <w:r>
        <w:rPr>
          <w:rFonts w:ascii="Palatino Linotype" w:eastAsia="Palatino Linotype" w:hAnsi="Palatino Linotype" w:cs="Palatino Linotype"/>
          <w:sz w:val="22"/>
          <w:szCs w:val="22"/>
        </w:rPr>
        <w:t xml:space="preserve">. Agrupa las asignaciones destinadas a la adquisición de toda clase de insumos y suministros requeridos para la prestación de bienes y servicios públicos y para el desempeño de las actividades administrativas. </w:t>
      </w:r>
    </w:p>
    <w:p w:rsidR="00A208B1" w:rsidRDefault="003E0D5B">
      <w:pPr>
        <w:spacing w:before="240" w:after="240"/>
        <w:ind w:left="426" w:right="49"/>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sz w:val="22"/>
          <w:szCs w:val="22"/>
        </w:rPr>
        <w:t>3000 SERVICIOS GENERALES</w:t>
      </w:r>
      <w:r>
        <w:rPr>
          <w:rFonts w:ascii="Palatino Linotype" w:eastAsia="Palatino Linotype" w:hAnsi="Palatino Linotype" w:cs="Palatino Linotype"/>
          <w:b/>
          <w:bCs/>
          <w:i/>
          <w:iCs/>
          <w:sz w:val="22"/>
          <w:szCs w:val="22"/>
        </w:rPr>
        <w:t xml:space="preserve">. </w:t>
      </w:r>
      <w:r>
        <w:rPr>
          <w:rFonts w:ascii="Palatino Linotype" w:eastAsia="Palatino Linotype" w:hAnsi="Palatino Linotype" w:cs="Palatino Linotype"/>
          <w:sz w:val="22"/>
          <w:szCs w:val="22"/>
        </w:rPr>
        <w:t>Asignaciones destinadas a cubrir el costo de todo tipo de servicios que se contraten con particulares o instituciones del propio sector público; así como los servicios oficiales requeridos para el desempeño de actividades vinculadas con la función pública</w:t>
      </w:r>
      <w:r>
        <w:rPr>
          <w:rFonts w:ascii="Palatino Linotype" w:eastAsia="Palatino Linotype" w:hAnsi="Palatino Linotype" w:cs="Palatino Linotype"/>
          <w:b/>
          <w:bCs/>
          <w:i/>
          <w:iCs/>
          <w:sz w:val="22"/>
          <w:szCs w:val="22"/>
        </w:rPr>
        <w:t>.</w:t>
      </w:r>
      <w:r>
        <w:rPr>
          <w:rFonts w:ascii="Palatino Linotype" w:eastAsia="Palatino Linotype" w:hAnsi="Palatino Linotype" w:cs="Palatino Linotype"/>
          <w:b/>
          <w:bCs/>
          <w:i/>
          <w:iCs/>
          <w:sz w:val="22"/>
          <w:szCs w:val="22"/>
        </w:rPr>
        <w:t xml:space="preserve"> </w:t>
      </w:r>
    </w:p>
    <w:p w:rsidR="00A208B1" w:rsidRDefault="003E0D5B">
      <w:pPr>
        <w:spacing w:before="240" w:after="240"/>
        <w:ind w:left="426" w:right="49"/>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4000 TRANSFERENCIAS, ASIGNACIONES, SUBSIDIOS Y OTRAS AYUDAS</w:t>
      </w:r>
      <w:r>
        <w:rPr>
          <w:rFonts w:ascii="Palatino Linotype" w:eastAsia="Palatino Linotype" w:hAnsi="Palatino Linotype" w:cs="Palatino Linotype"/>
          <w:sz w:val="22"/>
          <w:szCs w:val="22"/>
        </w:rPr>
        <w:t>. Asignaciones destinadas en forma directa o indirecta a los sectores público, privado y externo, organismos y empresas paraestatales y apoyos como parte de su política económica y social, de acu</w:t>
      </w:r>
      <w:r>
        <w:rPr>
          <w:rFonts w:ascii="Palatino Linotype" w:eastAsia="Palatino Linotype" w:hAnsi="Palatino Linotype" w:cs="Palatino Linotype"/>
          <w:sz w:val="22"/>
          <w:szCs w:val="22"/>
        </w:rPr>
        <w:t>erdo a las estrategias y prioridades de desarrollo para el sostenimiento y desempeño de sus actividades.</w:t>
      </w:r>
    </w:p>
    <w:p w:rsidR="00A208B1" w:rsidRDefault="003E0D5B">
      <w:pPr>
        <w:spacing w:before="240" w:after="240"/>
        <w:ind w:left="426" w:right="49"/>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5000 BIENES MUEBLES, INMUEBLES E INTANGIBLES</w:t>
      </w:r>
      <w:r>
        <w:rPr>
          <w:rFonts w:ascii="Palatino Linotype" w:eastAsia="Palatino Linotype" w:hAnsi="Palatino Linotype" w:cs="Palatino Linotype"/>
          <w:i/>
          <w:iCs/>
          <w:sz w:val="22"/>
          <w:szCs w:val="22"/>
        </w:rPr>
        <w:t>. Agrupa las asignaciones destinadas a la adquisición de toda clase de bienes muebles e inmuebles requerido</w:t>
      </w:r>
      <w:r>
        <w:rPr>
          <w:rFonts w:ascii="Palatino Linotype" w:eastAsia="Palatino Linotype" w:hAnsi="Palatino Linotype" w:cs="Palatino Linotype"/>
          <w:i/>
          <w:iCs/>
          <w:sz w:val="22"/>
          <w:szCs w:val="22"/>
        </w:rPr>
        <w:t xml:space="preserve">s en el desempeño de las actividades de los entes públicos. Incluye los pagos por adjudicación, expropiación e indemnización de bienes muebles e inmuebles a favor del Gobierno. </w:t>
      </w:r>
    </w:p>
    <w:p w:rsidR="00A208B1" w:rsidRDefault="003E0D5B">
      <w:pPr>
        <w:spacing w:before="240" w:after="240"/>
        <w:ind w:left="426" w:right="49"/>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6000 INVERSIÓN PÚBLICA.</w:t>
      </w:r>
      <w:r>
        <w:rPr>
          <w:rFonts w:ascii="Palatino Linotype" w:eastAsia="Palatino Linotype" w:hAnsi="Palatino Linotype" w:cs="Palatino Linotype"/>
          <w:sz w:val="22"/>
          <w:szCs w:val="22"/>
        </w:rPr>
        <w:t xml:space="preserve"> Asignaciones destinadas a obras por contrato y proyect</w:t>
      </w:r>
      <w:r>
        <w:rPr>
          <w:rFonts w:ascii="Palatino Linotype" w:eastAsia="Palatino Linotype" w:hAnsi="Palatino Linotype" w:cs="Palatino Linotype"/>
          <w:sz w:val="22"/>
          <w:szCs w:val="22"/>
        </w:rPr>
        <w:t xml:space="preserve">os productivos y acciones de fomento. Incluye los gastos en estudios de pre‐inversión y preparación del proyecto. </w:t>
      </w:r>
    </w:p>
    <w:p w:rsidR="00A208B1" w:rsidRDefault="003E0D5B">
      <w:pPr>
        <w:spacing w:before="240" w:after="240"/>
        <w:ind w:left="426" w:right="49"/>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7000 INVERSIONES FINANCIERAS Y OTRAS PROVISIONES</w:t>
      </w:r>
      <w:r>
        <w:rPr>
          <w:rFonts w:ascii="Palatino Linotype" w:eastAsia="Palatino Linotype" w:hAnsi="Palatino Linotype" w:cs="Palatino Linotype"/>
          <w:sz w:val="22"/>
          <w:szCs w:val="22"/>
        </w:rPr>
        <w:t>. Erogaciones que realiza la administración pública en la adquisición de acciones, bonos y ot</w:t>
      </w:r>
      <w:r>
        <w:rPr>
          <w:rFonts w:ascii="Palatino Linotype" w:eastAsia="Palatino Linotype" w:hAnsi="Palatino Linotype" w:cs="Palatino Linotype"/>
          <w:sz w:val="22"/>
          <w:szCs w:val="22"/>
        </w:rPr>
        <w:t xml:space="preserve">ros títulos y valores; así como en préstamos otorgados a diversos agentes económicos. Se incluyen las aportaciones de capital a las entidades públicas; así como las erogaciones contingentes e imprevistas para el cumplimiento de obligaciones del Gobierno. </w:t>
      </w:r>
    </w:p>
    <w:p w:rsidR="00A208B1" w:rsidRDefault="003E0D5B">
      <w:pPr>
        <w:spacing w:before="240" w:after="240"/>
        <w:ind w:left="426" w:right="49"/>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8000 PARTICIPACIONES Y APORTACIONES.</w:t>
      </w:r>
      <w:r>
        <w:rPr>
          <w:rFonts w:ascii="Palatino Linotype" w:eastAsia="Palatino Linotype" w:hAnsi="Palatino Linotype" w:cs="Palatino Linotype"/>
          <w:sz w:val="22"/>
          <w:szCs w:val="22"/>
        </w:rPr>
        <w:t xml:space="preserve"> Agrupa el importe de los recursos federales y estatales para cubrir las participaciones en ingresos federales a Municipios provenientes de la recaudación federal, así como las asignaciones destinadas a los Municipios de</w:t>
      </w:r>
      <w:r>
        <w:rPr>
          <w:rFonts w:ascii="Palatino Linotype" w:eastAsia="Palatino Linotype" w:hAnsi="Palatino Linotype" w:cs="Palatino Linotype"/>
          <w:sz w:val="22"/>
          <w:szCs w:val="22"/>
        </w:rPr>
        <w:t xml:space="preserve"> acuerdo a los convenios de coordinación fiscal que celebre el Gobierno Federal con el Estado. Incluye las asignaciones a cubrir las aportaciones federales provenientes del Ramo General 33 Aportaciones Federales para Entidades Federativas y Municipios a fa</w:t>
      </w:r>
      <w:r>
        <w:rPr>
          <w:rFonts w:ascii="Palatino Linotype" w:eastAsia="Palatino Linotype" w:hAnsi="Palatino Linotype" w:cs="Palatino Linotype"/>
          <w:sz w:val="22"/>
          <w:szCs w:val="22"/>
        </w:rPr>
        <w:t xml:space="preserve">vor de los Municipios. </w:t>
      </w:r>
    </w:p>
    <w:p w:rsidR="00A208B1" w:rsidRDefault="003E0D5B">
      <w:pPr>
        <w:spacing w:before="240" w:after="240"/>
        <w:ind w:left="426" w:right="49"/>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9000 DEUDA PÚBLICA</w:t>
      </w:r>
      <w:r>
        <w:rPr>
          <w:rFonts w:ascii="Palatino Linotype" w:eastAsia="Palatino Linotype" w:hAnsi="Palatino Linotype" w:cs="Palatino Linotype"/>
          <w:sz w:val="22"/>
          <w:szCs w:val="22"/>
        </w:rPr>
        <w:t>. Asignaciones destinadas a cubrir obligaciones por concepto de deuda pública interna y externa derivada de la contratación de empréstitos; incluye la amortización, los intereses, gastos y comisiones de la deuda pú</w:t>
      </w:r>
      <w:r>
        <w:rPr>
          <w:rFonts w:ascii="Palatino Linotype" w:eastAsia="Palatino Linotype" w:hAnsi="Palatino Linotype" w:cs="Palatino Linotype"/>
          <w:sz w:val="22"/>
          <w:szCs w:val="22"/>
        </w:rPr>
        <w:t xml:space="preserve">blica, así como las erogaciones relacionadas con la emisión y/o contratación de deuda. Asimismo, incluye los adeudos de ejercicios fiscales anteriores (ADEFAS). </w:t>
      </w:r>
    </w:p>
    <w:p w:rsidR="00A208B1" w:rsidRDefault="003E0D5B">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este tenor, el Capítulo 5000 contempla el siguiente concepto o subcapítulo, partida genéric</w:t>
      </w:r>
      <w:r>
        <w:rPr>
          <w:rFonts w:ascii="Palatino Linotype" w:eastAsia="Palatino Linotype" w:hAnsi="Palatino Linotype" w:cs="Palatino Linotype"/>
          <w:sz w:val="22"/>
          <w:szCs w:val="22"/>
        </w:rPr>
        <w:t>a y partida específica atinente con el tema que nos ocupa:</w:t>
      </w:r>
    </w:p>
    <w:p w:rsidR="00A208B1" w:rsidRDefault="003E0D5B">
      <w:pPr>
        <w:tabs>
          <w:tab w:val="left" w:pos="975"/>
        </w:tabs>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drawing>
          <wp:inline distT="0" distB="0" distL="0" distR="0">
            <wp:extent cx="5612130" cy="386715"/>
            <wp:effectExtent l="0" t="0" r="0" b="0"/>
            <wp:docPr id="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5"/>
                    <a:srcRect/>
                    <a:stretch>
                      <a:fillRect/>
                    </a:stretch>
                  </pic:blipFill>
                  <pic:spPr>
                    <a:xfrm>
                      <a:off x="0" y="0"/>
                      <a:ext cx="5612130" cy="386715"/>
                    </a:xfrm>
                    <a:prstGeom prst="rect">
                      <a:avLst/>
                    </a:prstGeom>
                    <a:ln/>
                  </pic:spPr>
                </pic:pic>
              </a:graphicData>
            </a:graphic>
          </wp:inline>
        </w:drawing>
      </w:r>
      <w:r>
        <w:rPr>
          <w:rFonts w:ascii="Palatino Linotype" w:eastAsia="Palatino Linotype" w:hAnsi="Palatino Linotype" w:cs="Palatino Linotype"/>
          <w:noProof/>
          <w:sz w:val="22"/>
          <w:szCs w:val="22"/>
        </w:rPr>
        <w:drawing>
          <wp:inline distT="0" distB="0" distL="0" distR="0">
            <wp:extent cx="5612130" cy="1299845"/>
            <wp:effectExtent l="0" t="0" r="0" b="0"/>
            <wp:docPr id="2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6"/>
                    <a:srcRect/>
                    <a:stretch>
                      <a:fillRect/>
                    </a:stretch>
                  </pic:blipFill>
                  <pic:spPr>
                    <a:xfrm>
                      <a:off x="0" y="0"/>
                      <a:ext cx="5612130" cy="1299845"/>
                    </a:xfrm>
                    <a:prstGeom prst="rect">
                      <a:avLst/>
                    </a:prstGeom>
                    <a:ln/>
                  </pic:spPr>
                </pic:pic>
              </a:graphicData>
            </a:graphic>
          </wp:inline>
        </w:drawing>
      </w:r>
    </w:p>
    <w:p w:rsidR="00A208B1" w:rsidRDefault="003E0D5B">
      <w:pPr>
        <w:spacing w:before="240" w:after="240" w:line="360" w:lineRule="auto"/>
        <w:jc w:val="both"/>
        <w:rPr>
          <w:rFonts w:ascii="Palatino Linotype" w:eastAsia="Palatino Linotype" w:hAnsi="Palatino Linotype" w:cs="Palatino Linotype"/>
          <w:sz w:val="22"/>
          <w:szCs w:val="22"/>
        </w:rPr>
      </w:pPr>
      <w:bookmarkStart w:id="9" w:name="_heading=h.gjvu1srw2ls" w:colFirst="0" w:colLast="0"/>
      <w:bookmarkEnd w:id="9"/>
      <w:r>
        <w:rPr>
          <w:rFonts w:ascii="Palatino Linotype" w:eastAsia="Palatino Linotype" w:hAnsi="Palatino Linotype" w:cs="Palatino Linotype"/>
          <w:sz w:val="22"/>
          <w:szCs w:val="22"/>
        </w:rPr>
        <w:t xml:space="preserve">Asimismo, no debe perderse de vista que el </w:t>
      </w:r>
      <w:r>
        <w:rPr>
          <w:rFonts w:ascii="Palatino Linotype" w:eastAsia="Palatino Linotype" w:hAnsi="Palatino Linotype" w:cs="Palatino Linotype"/>
          <w:b/>
          <w:bCs/>
          <w:sz w:val="22"/>
          <w:szCs w:val="22"/>
        </w:rPr>
        <w:t xml:space="preserve">Sujeto Obligado </w:t>
      </w:r>
      <w:r>
        <w:rPr>
          <w:rFonts w:ascii="Palatino Linotype" w:eastAsia="Palatino Linotype" w:hAnsi="Palatino Linotype" w:cs="Palatino Linotype"/>
          <w:sz w:val="22"/>
          <w:szCs w:val="22"/>
        </w:rPr>
        <w:t>como ente fiscalizable se encuentra constreñido a rendir informes del ejercicio del presupuesto ante las autoridades fiscalizadoras, po</w:t>
      </w:r>
      <w:r>
        <w:rPr>
          <w:rFonts w:ascii="Palatino Linotype" w:eastAsia="Palatino Linotype" w:hAnsi="Palatino Linotype" w:cs="Palatino Linotype"/>
          <w:sz w:val="22"/>
          <w:szCs w:val="22"/>
        </w:rPr>
        <w:t>r lo que se estima que se encuentra en posibilidad de proporcionar las facturas derivadas de la adquisición de vehículos utilitarios del ayuntamiento, del uno de enero de dos mil veintitrés al seis de junio de dos mil veinticinco, información que deberá pr</w:t>
      </w:r>
      <w:r>
        <w:rPr>
          <w:rFonts w:ascii="Palatino Linotype" w:eastAsia="Palatino Linotype" w:hAnsi="Palatino Linotype" w:cs="Palatino Linotype"/>
          <w:sz w:val="22"/>
          <w:szCs w:val="22"/>
        </w:rPr>
        <w:t>oporcionarse en versión pública de ser procedente, de conformidad con el considerando siguiente, para tener por satisfecho el Derecho de acceso de la persona solicitante.</w:t>
      </w:r>
    </w:p>
    <w:p w:rsidR="00A208B1" w:rsidRDefault="003E0D5B">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Finalmente, derivado de la consulta realizada en diversos medios de comunicación -com</w:t>
      </w:r>
      <w:r>
        <w:rPr>
          <w:rFonts w:ascii="Palatino Linotype" w:eastAsia="Palatino Linotype" w:hAnsi="Palatino Linotype" w:cs="Palatino Linotype"/>
          <w:sz w:val="22"/>
          <w:szCs w:val="22"/>
        </w:rPr>
        <w:t>o lo refirió la persona solicitante-, se localizaron diversas notas periodísticas, las cuales refieren que el Gobierno del Estado de México hizo entrega de 40 patrullas a Texcoco, de las cuales cinco unidades estarían destinadas a labores de protección civ</w:t>
      </w:r>
      <w:r>
        <w:rPr>
          <w:rFonts w:ascii="Palatino Linotype" w:eastAsia="Palatino Linotype" w:hAnsi="Palatino Linotype" w:cs="Palatino Linotype"/>
          <w:sz w:val="22"/>
          <w:szCs w:val="22"/>
        </w:rPr>
        <w:t>il, como se lee en seguida:</w:t>
      </w:r>
      <w:r>
        <w:rPr>
          <w:noProof/>
        </w:rPr>
        <mc:AlternateContent>
          <mc:Choice Requires="wpg">
            <w:drawing>
              <wp:anchor distT="0" distB="0" distL="114300" distR="114300" simplePos="0" relativeHeight="251671552" behindDoc="0" locked="0" layoutInCell="1" hidden="0" allowOverlap="1">
                <wp:simplePos x="0" y="0"/>
                <wp:positionH relativeFrom="column">
                  <wp:posOffset>-6984</wp:posOffset>
                </wp:positionH>
                <wp:positionV relativeFrom="paragraph">
                  <wp:posOffset>1540510</wp:posOffset>
                </wp:positionV>
                <wp:extent cx="5521325" cy="3987800"/>
                <wp:effectExtent l="0" t="0" r="0" b="0"/>
                <wp:wrapNone/>
                <wp:docPr id="7" name=""/>
                <wp:cNvGraphicFramePr/>
                <a:graphic xmlns:a="http://schemas.openxmlformats.org/drawingml/2006/main">
                  <a:graphicData uri="http://schemas.microsoft.com/office/word/2010/wordprocessingShape">
                    <wps:wsp>
                      <wps:cNvCnPr/>
                      <wps:spPr>
                        <a:xfrm>
                          <a:off x="2598038" y="1798800"/>
                          <a:ext cx="5495925" cy="3962400"/>
                        </a:xfrm>
                        <a:prstGeom prst="straightConnector1">
                          <a:avLst/>
                        </a:prstGeom>
                        <a:noFill/>
                        <a:ln w="25400" cap="flat" cmpd="sng">
                          <a:solidFill>
                            <a:schemeClr val="dk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-6984</wp:posOffset>
                </wp:positionH>
                <wp:positionV relativeFrom="paragraph">
                  <wp:posOffset>1540510</wp:posOffset>
                </wp:positionV>
                <wp:extent cx="5521325" cy="3987800"/>
                <wp:effectExtent b="0" l="0" r="0" t="0"/>
                <wp:wrapNone/>
                <wp:docPr id="7" name="image26.png"/>
                <a:graphic>
                  <a:graphicData uri="http://schemas.openxmlformats.org/drawingml/2006/picture">
                    <pic:pic>
                      <pic:nvPicPr>
                        <pic:cNvPr id="0" name="image26.png"/>
                        <pic:cNvPicPr preferRelativeResize="0"/>
                      </pic:nvPicPr>
                      <pic:blipFill>
                        <a:blip r:embed="rId18"/>
                        <a:srcRect/>
                        <a:stretch>
                          <a:fillRect/>
                        </a:stretch>
                      </pic:blipFill>
                      <pic:spPr>
                        <a:xfrm>
                          <a:off x="0" y="0"/>
                          <a:ext cx="5521325" cy="3987800"/>
                        </a:xfrm>
                        <a:prstGeom prst="rect"/>
                        <a:ln/>
                      </pic:spPr>
                    </pic:pic>
                  </a:graphicData>
                </a:graphic>
              </wp:anchor>
            </w:drawing>
          </mc:Fallback>
        </mc:AlternateContent>
      </w:r>
    </w:p>
    <w:p w:rsidR="00A208B1" w:rsidRDefault="00A208B1">
      <w:pPr>
        <w:spacing w:before="240" w:after="240" w:line="360" w:lineRule="auto"/>
        <w:jc w:val="both"/>
        <w:rPr>
          <w:rFonts w:ascii="Palatino Linotype" w:eastAsia="Palatino Linotype" w:hAnsi="Palatino Linotype" w:cs="Palatino Linotype"/>
          <w:sz w:val="22"/>
          <w:szCs w:val="22"/>
        </w:rPr>
      </w:pPr>
    </w:p>
    <w:tbl>
      <w:tblPr>
        <w:tblStyle w:val="a0"/>
        <w:tblW w:w="882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414"/>
        <w:gridCol w:w="4414"/>
      </w:tblGrid>
      <w:tr w:rsidR="00A208B1">
        <w:tc>
          <w:tcPr>
            <w:tcW w:w="4414" w:type="dxa"/>
          </w:tcPr>
          <w:p w:rsidR="00A208B1" w:rsidRDefault="003E0D5B">
            <w:pPr>
              <w:spacing w:before="240" w:after="240" w:line="360"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drawing>
                <wp:inline distT="0" distB="0" distL="0" distR="0">
                  <wp:extent cx="2160000" cy="3734962"/>
                  <wp:effectExtent l="0" t="0" r="0" b="0"/>
                  <wp:docPr id="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7"/>
                          <a:srcRect t="1" b="39278"/>
                          <a:stretch>
                            <a:fillRect/>
                          </a:stretch>
                        </pic:blipFill>
                        <pic:spPr>
                          <a:xfrm>
                            <a:off x="0" y="0"/>
                            <a:ext cx="2160000" cy="3734962"/>
                          </a:xfrm>
                          <a:prstGeom prst="rect">
                            <a:avLst/>
                          </a:prstGeom>
                          <a:ln/>
                        </pic:spPr>
                      </pic:pic>
                    </a:graphicData>
                  </a:graphic>
                </wp:inline>
              </w:drawing>
            </w:r>
          </w:p>
        </w:tc>
        <w:tc>
          <w:tcPr>
            <w:tcW w:w="4414" w:type="dxa"/>
          </w:tcPr>
          <w:p w:rsidR="00A208B1" w:rsidRDefault="003E0D5B">
            <w:pPr>
              <w:spacing w:before="240" w:after="240" w:line="360"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drawing>
                <wp:inline distT="0" distB="0" distL="0" distR="0">
                  <wp:extent cx="2160000" cy="3303947"/>
                  <wp:effectExtent l="0" t="0" r="0" b="0"/>
                  <wp:docPr id="2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8"/>
                          <a:srcRect/>
                          <a:stretch>
                            <a:fillRect/>
                          </a:stretch>
                        </pic:blipFill>
                        <pic:spPr>
                          <a:xfrm>
                            <a:off x="0" y="0"/>
                            <a:ext cx="2160000" cy="3303947"/>
                          </a:xfrm>
                          <a:prstGeom prst="rect">
                            <a:avLst/>
                          </a:prstGeom>
                          <a:ln/>
                        </pic:spPr>
                      </pic:pic>
                    </a:graphicData>
                  </a:graphic>
                </wp:inline>
              </w:drawing>
            </w:r>
          </w:p>
          <w:p w:rsidR="00A208B1" w:rsidRDefault="003E0D5B">
            <w:pPr>
              <w:spacing w:before="120" w:after="120"/>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Consultado en: https://www.planamayor.com.mx/entrega-gobierno-edomex-40-patrullas-a-texcoco-para-reforzar-estrategia-operativa-oriente/</w:t>
            </w:r>
          </w:p>
        </w:tc>
      </w:tr>
    </w:tbl>
    <w:p w:rsidR="00A208B1" w:rsidRDefault="003E0D5B">
      <w:pPr>
        <w:spacing w:before="240" w:after="240"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sz w:val="22"/>
          <w:szCs w:val="22"/>
        </w:rPr>
        <w:t>Sobre el valor probatorio de las notas periodísticas, cabe traer a colación la tesis aislada número I.4o.T.4 K, emitida por el Cuatro Tribunal Colegiado en Materia de Trabajo del Primer Circuito, publicada en el Semanario Judicial de la Federación y su Gac</w:t>
      </w:r>
      <w:r>
        <w:rPr>
          <w:rFonts w:ascii="Palatino Linotype" w:eastAsia="Palatino Linotype" w:hAnsi="Palatino Linotype" w:cs="Palatino Linotype"/>
          <w:sz w:val="22"/>
          <w:szCs w:val="22"/>
        </w:rPr>
        <w:t xml:space="preserve">eta, en el Tomo II, página 541, en Diciembre de mil novecientos noventa y cinco, de la Novena Época, titulada </w:t>
      </w:r>
      <w:r>
        <w:rPr>
          <w:rFonts w:ascii="Palatino Linotype" w:eastAsia="Palatino Linotype" w:hAnsi="Palatino Linotype" w:cs="Palatino Linotype"/>
          <w:b/>
          <w:bCs/>
          <w:i/>
          <w:iCs/>
          <w:sz w:val="22"/>
          <w:szCs w:val="22"/>
        </w:rPr>
        <w:t>“NOTAS PERIODISTICAS, EL CONOCIMIENTO QUE DE ELLAS SE OBTIENE NO CONSTITUYE ‘UN HECHO PUBLICO Y NOTORIO”</w:t>
      </w:r>
      <w:r>
        <w:rPr>
          <w:rFonts w:ascii="Palatino Linotype" w:eastAsia="Palatino Linotype" w:hAnsi="Palatino Linotype" w:cs="Palatino Linotype"/>
          <w:sz w:val="22"/>
          <w:szCs w:val="22"/>
        </w:rPr>
        <w:t xml:space="preserve"> en la que se señala que el hecho de que e</w:t>
      </w:r>
      <w:r>
        <w:rPr>
          <w:rFonts w:ascii="Palatino Linotype" w:eastAsia="Palatino Linotype" w:hAnsi="Palatino Linotype" w:cs="Palatino Linotype"/>
          <w:sz w:val="22"/>
          <w:szCs w:val="22"/>
        </w:rPr>
        <w:t xml:space="preserve">l público lector adquiera conocimiento de algún hecho consignado en periódicos o revistas, no implica por esa sola circunstancia que la noticia se convierta en un hecho “público y notorio”, toda vez que se entiende por “notorio” lo que es público y sabido </w:t>
      </w:r>
      <w:r>
        <w:rPr>
          <w:rFonts w:ascii="Palatino Linotype" w:eastAsia="Palatino Linotype" w:hAnsi="Palatino Linotype" w:cs="Palatino Linotype"/>
          <w:sz w:val="22"/>
          <w:szCs w:val="22"/>
        </w:rPr>
        <w:t>de todos, o un hecho cuyo conocimiento forme parte de la cultura propia de un círculo social determinado, en el tiempo de su realización. De tal situación, lo consignado en las notas periodísticas no constituye un hecho público o notorio, sino que es una o</w:t>
      </w:r>
      <w:r>
        <w:rPr>
          <w:rFonts w:ascii="Palatino Linotype" w:eastAsia="Palatino Linotype" w:hAnsi="Palatino Linotype" w:cs="Palatino Linotype"/>
          <w:sz w:val="22"/>
          <w:szCs w:val="22"/>
        </w:rPr>
        <w:t xml:space="preserve">pinión de su autor, por lo que </w:t>
      </w:r>
      <w:r>
        <w:rPr>
          <w:rFonts w:ascii="Palatino Linotype" w:eastAsia="Palatino Linotype" w:hAnsi="Palatino Linotype" w:cs="Palatino Linotype"/>
          <w:b/>
          <w:bCs/>
          <w:sz w:val="22"/>
          <w:szCs w:val="22"/>
        </w:rPr>
        <w:t xml:space="preserve">sólo se pueden tomar como </w:t>
      </w:r>
      <w:r>
        <w:rPr>
          <w:rFonts w:ascii="Palatino Linotype" w:eastAsia="Palatino Linotype" w:hAnsi="Palatino Linotype" w:cs="Palatino Linotype"/>
          <w:b/>
          <w:bCs/>
          <w:sz w:val="22"/>
          <w:szCs w:val="22"/>
          <w:u w:val="single"/>
        </w:rPr>
        <w:t>indicios.</w:t>
      </w:r>
    </w:p>
    <w:p w:rsidR="00A208B1" w:rsidRDefault="003E0D5B">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Y, por otro lado, respecto de las manifestaciones realizadas por la parte </w:t>
      </w:r>
      <w:r>
        <w:rPr>
          <w:rFonts w:ascii="Palatino Linotype" w:eastAsia="Palatino Linotype" w:hAnsi="Palatino Linotype" w:cs="Palatino Linotype"/>
          <w:b/>
          <w:bCs/>
          <w:sz w:val="22"/>
          <w:szCs w:val="22"/>
        </w:rPr>
        <w:t>Recurrente</w:t>
      </w:r>
      <w:r>
        <w:rPr>
          <w:rFonts w:ascii="Palatino Linotype" w:eastAsia="Palatino Linotype" w:hAnsi="Palatino Linotype" w:cs="Palatino Linotype"/>
          <w:sz w:val="22"/>
          <w:szCs w:val="22"/>
        </w:rPr>
        <w:t xml:space="preserve"> como razones o motivos de inconformidad, consistentes en “…</w:t>
      </w:r>
      <w:r>
        <w:rPr>
          <w:rFonts w:ascii="Palatino Linotype" w:eastAsia="Palatino Linotype" w:hAnsi="Palatino Linotype" w:cs="Palatino Linotype"/>
          <w:i/>
          <w:iCs/>
          <w:sz w:val="22"/>
          <w:szCs w:val="22"/>
        </w:rPr>
        <w:t>3.</w:t>
      </w:r>
      <w:r>
        <w:rPr>
          <w:rFonts w:ascii="Palatino Linotype" w:eastAsia="Palatino Linotype" w:hAnsi="Palatino Linotype" w:cs="Palatino Linotype"/>
          <w:i/>
          <w:iCs/>
          <w:sz w:val="22"/>
          <w:szCs w:val="22"/>
        </w:rPr>
        <w:tab/>
        <w:t>Se impongan las medidas de apremio y respo</w:t>
      </w:r>
      <w:r>
        <w:rPr>
          <w:rFonts w:ascii="Palatino Linotype" w:eastAsia="Palatino Linotype" w:hAnsi="Palatino Linotype" w:cs="Palatino Linotype"/>
          <w:i/>
          <w:iCs/>
          <w:sz w:val="22"/>
          <w:szCs w:val="22"/>
        </w:rPr>
        <w:t>nsabilidades que en derecho correspondan, por la obstaculización del derecho de acceso a la información</w:t>
      </w:r>
      <w:r>
        <w:rPr>
          <w:rFonts w:ascii="Palatino Linotype" w:eastAsia="Palatino Linotype" w:hAnsi="Palatino Linotype" w:cs="Palatino Linotype"/>
          <w:sz w:val="22"/>
          <w:szCs w:val="22"/>
        </w:rPr>
        <w:t>…” (sic); y derivado que el Recurso de Revisión no es el medio para sancionar, este Organismo Garante sugiere a la persona solicitante, interponer su que</w:t>
      </w:r>
      <w:r>
        <w:rPr>
          <w:rFonts w:ascii="Palatino Linotype" w:eastAsia="Palatino Linotype" w:hAnsi="Palatino Linotype" w:cs="Palatino Linotype"/>
          <w:sz w:val="22"/>
          <w:szCs w:val="22"/>
        </w:rPr>
        <w:t>ja o denuncia ante la autoridad competente</w:t>
      </w:r>
    </w:p>
    <w:p w:rsidR="00A208B1" w:rsidRDefault="003E0D5B">
      <w:pPr>
        <w:tabs>
          <w:tab w:val="left" w:pos="975"/>
        </w:tabs>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 lo hasta aquí expuesto, se concluye que los motivos de inconformidad de la parte </w:t>
      </w:r>
      <w:r>
        <w:rPr>
          <w:rFonts w:ascii="Palatino Linotype" w:eastAsia="Palatino Linotype" w:hAnsi="Palatino Linotype" w:cs="Palatino Linotype"/>
          <w:b/>
          <w:bCs/>
          <w:sz w:val="22"/>
          <w:szCs w:val="22"/>
        </w:rPr>
        <w:t xml:space="preserve">Recurrente </w:t>
      </w:r>
      <w:r>
        <w:rPr>
          <w:rFonts w:ascii="Palatino Linotype" w:eastAsia="Palatino Linotype" w:hAnsi="Palatino Linotype" w:cs="Palatino Linotype"/>
          <w:sz w:val="22"/>
          <w:szCs w:val="22"/>
        </w:rPr>
        <w:t xml:space="preserve">devienen fundados, siendo procedente </w:t>
      </w:r>
      <w:r>
        <w:rPr>
          <w:rFonts w:ascii="Palatino Linotype" w:eastAsia="Palatino Linotype" w:hAnsi="Palatino Linotype" w:cs="Palatino Linotype"/>
          <w:i/>
          <w:iCs/>
          <w:sz w:val="22"/>
          <w:szCs w:val="22"/>
        </w:rPr>
        <w:t xml:space="preserve">Revocar </w:t>
      </w:r>
      <w:r>
        <w:rPr>
          <w:rFonts w:ascii="Palatino Linotype" w:eastAsia="Palatino Linotype" w:hAnsi="Palatino Linotype" w:cs="Palatino Linotype"/>
          <w:sz w:val="22"/>
          <w:szCs w:val="22"/>
        </w:rPr>
        <w:t xml:space="preserve">la respuesta proporcionada por el </w:t>
      </w:r>
      <w:r>
        <w:rPr>
          <w:rFonts w:ascii="Palatino Linotype" w:eastAsia="Palatino Linotype" w:hAnsi="Palatino Linotype" w:cs="Palatino Linotype"/>
          <w:b/>
          <w:bCs/>
          <w:sz w:val="22"/>
          <w:szCs w:val="22"/>
        </w:rPr>
        <w:t xml:space="preserve">Sujeto Obligado </w:t>
      </w:r>
      <w:r>
        <w:rPr>
          <w:rFonts w:ascii="Palatino Linotype" w:eastAsia="Palatino Linotype" w:hAnsi="Palatino Linotype" w:cs="Palatino Linotype"/>
          <w:sz w:val="22"/>
          <w:szCs w:val="22"/>
        </w:rPr>
        <w:t>en términos del artícul</w:t>
      </w:r>
      <w:r>
        <w:rPr>
          <w:rFonts w:ascii="Palatino Linotype" w:eastAsia="Palatino Linotype" w:hAnsi="Palatino Linotype" w:cs="Palatino Linotype"/>
          <w:sz w:val="22"/>
          <w:szCs w:val="22"/>
        </w:rPr>
        <w:t>o 186 fracción III de la Ley de Transparencia y Acceso a la Información Pública del Estado de México y Municipios.</w:t>
      </w:r>
    </w:p>
    <w:p w:rsidR="00A208B1" w:rsidRDefault="003E0D5B">
      <w:pPr>
        <w:spacing w:before="240" w:after="240" w:line="360" w:lineRule="auto"/>
        <w:ind w:right="51"/>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Quinto. Versión Pública. </w:t>
      </w:r>
      <w:r>
        <w:rPr>
          <w:rFonts w:ascii="Palatino Linotype" w:eastAsia="Palatino Linotype" w:hAnsi="Palatino Linotype" w:cs="Palatino Linotype"/>
          <w:sz w:val="22"/>
          <w:szCs w:val="22"/>
        </w:rPr>
        <w:t>Como fue debidamente apuntado, el </w:t>
      </w:r>
      <w:r>
        <w:rPr>
          <w:rFonts w:ascii="Palatino Linotype" w:eastAsia="Palatino Linotype" w:hAnsi="Palatino Linotype" w:cs="Palatino Linotype"/>
          <w:b/>
          <w:bCs/>
          <w:sz w:val="22"/>
          <w:szCs w:val="22"/>
        </w:rPr>
        <w:t>Sujeto Obligado</w:t>
      </w:r>
      <w:r>
        <w:rPr>
          <w:rFonts w:ascii="Palatino Linotype" w:eastAsia="Palatino Linotype" w:hAnsi="Palatino Linotype" w:cs="Palatino Linotype"/>
          <w:sz w:val="22"/>
          <w:szCs w:val="22"/>
        </w:rPr>
        <w:t> debe satisfacer la solicitud de acceso a la información; sin embar</w:t>
      </w:r>
      <w:r>
        <w:rPr>
          <w:rFonts w:ascii="Palatino Linotype" w:eastAsia="Palatino Linotype" w:hAnsi="Palatino Linotype" w:cs="Palatino Linotype"/>
          <w:sz w:val="22"/>
          <w:szCs w:val="22"/>
        </w:rPr>
        <w:t>go, dada la naturaleza de la información de la cual se ordena su entrega, deberá hacerse en versión pública, toda vez que en los documentos que se ordenan, existe la posibilidad de que obren datos que son considerados confidenciales, cuyo acceso debe ser r</w:t>
      </w:r>
      <w:r>
        <w:rPr>
          <w:rFonts w:ascii="Palatino Linotype" w:eastAsia="Palatino Linotype" w:hAnsi="Palatino Linotype" w:cs="Palatino Linotype"/>
          <w:sz w:val="22"/>
          <w:szCs w:val="22"/>
        </w:rPr>
        <w:t>estringido que deben testarse al momento de la versión pública, atento a lo siguiente:</w:t>
      </w:r>
    </w:p>
    <w:p w:rsidR="00A208B1" w:rsidRDefault="003E0D5B">
      <w:pPr>
        <w:spacing w:before="240" w:after="240"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derecho de acceso a la información pública tiene como limitante el respeto a la intimidad y a la vida privada de las personas, es por ello que este Instituto debe cui</w:t>
      </w:r>
      <w:r>
        <w:rPr>
          <w:rFonts w:ascii="Palatino Linotype" w:eastAsia="Palatino Linotype" w:hAnsi="Palatino Linotype" w:cs="Palatino Linotype"/>
          <w:sz w:val="22"/>
          <w:szCs w:val="22"/>
        </w:rPr>
        <w:t>dar que los datos personales que obren en poder de los Sujetos Obligados sean protegidos y únicamente se den a conocer aquéllos que garanticen la rendición de cuentas y la transparencia en el ejercicio de las atribuciones que tienen conferidas.</w:t>
      </w:r>
    </w:p>
    <w:p w:rsidR="00A208B1" w:rsidRDefault="003E0D5B">
      <w:pPr>
        <w:spacing w:before="240" w:after="240"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este mod</w:t>
      </w:r>
      <w:r>
        <w:rPr>
          <w:rFonts w:ascii="Palatino Linotype" w:eastAsia="Palatino Linotype" w:hAnsi="Palatino Linotype" w:cs="Palatino Linotype"/>
          <w:sz w:val="22"/>
          <w:szCs w:val="22"/>
        </w:rPr>
        <w:t>o, en armonía entre los principios constitucionales de máxima publicidad y de protección de datos personales, la ley permite la elaboración de versiones públicas en las que se suprima aquella información relacionada con la vida privada de las personas.</w:t>
      </w:r>
    </w:p>
    <w:p w:rsidR="00A208B1" w:rsidRDefault="003E0D5B">
      <w:pPr>
        <w:spacing w:before="240" w:after="240"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Al </w:t>
      </w:r>
      <w:r>
        <w:rPr>
          <w:rFonts w:ascii="Palatino Linotype" w:eastAsia="Palatino Linotype" w:hAnsi="Palatino Linotype" w:cs="Palatino Linotype"/>
          <w:sz w:val="22"/>
          <w:szCs w:val="22"/>
        </w:rPr>
        <w:t>respecto, los artículos 3, fracciones IX, XX, XXI, XXXII, XLV; 6, 91, 132, 137, 143, fracción I, de la Ley de Transparencia y Acceso a la Información Pública del Estado de México y Municipios establecen:</w:t>
      </w:r>
    </w:p>
    <w:p w:rsidR="00A208B1" w:rsidRDefault="003E0D5B">
      <w:pPr>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sz w:val="22"/>
          <w:szCs w:val="22"/>
        </w:rPr>
        <w:t> </w:t>
      </w:r>
      <w:r>
        <w:rPr>
          <w:rFonts w:ascii="Palatino Linotype" w:eastAsia="Palatino Linotype" w:hAnsi="Palatino Linotype" w:cs="Palatino Linotype"/>
          <w:i/>
          <w:iCs/>
          <w:sz w:val="22"/>
          <w:szCs w:val="22"/>
        </w:rPr>
        <w:t>“</w:t>
      </w:r>
      <w:r>
        <w:rPr>
          <w:rFonts w:ascii="Palatino Linotype" w:eastAsia="Palatino Linotype" w:hAnsi="Palatino Linotype" w:cs="Palatino Linotype"/>
          <w:b/>
          <w:bCs/>
          <w:i/>
          <w:iCs/>
          <w:sz w:val="22"/>
          <w:szCs w:val="22"/>
        </w:rPr>
        <w:t>Artículo 3.</w:t>
      </w:r>
      <w:r>
        <w:rPr>
          <w:rFonts w:ascii="Palatino Linotype" w:eastAsia="Palatino Linotype" w:hAnsi="Palatino Linotype" w:cs="Palatino Linotype"/>
          <w:i/>
          <w:iCs/>
          <w:sz w:val="22"/>
          <w:szCs w:val="22"/>
        </w:rPr>
        <w:t xml:space="preserve"> Para los efectos de la presente Ley se entenderá por:</w:t>
      </w:r>
    </w:p>
    <w:p w:rsidR="00A208B1" w:rsidRDefault="003E0D5B">
      <w:pPr>
        <w:tabs>
          <w:tab w:val="left" w:pos="1276"/>
        </w:tabs>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A208B1" w:rsidRDefault="003E0D5B">
      <w:pPr>
        <w:tabs>
          <w:tab w:val="left" w:pos="1276"/>
        </w:tabs>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IX. Datos personales</w:t>
      </w:r>
      <w:r>
        <w:rPr>
          <w:rFonts w:ascii="Palatino Linotype" w:eastAsia="Palatino Linotype" w:hAnsi="Palatino Linotype" w:cs="Palatino Linotype"/>
          <w:i/>
          <w:iCs/>
          <w:sz w:val="22"/>
          <w:szCs w:val="22"/>
        </w:rPr>
        <w:t>: La información concerniente a una persona, identificada o identificable según lo dispuesto por la Ley de Protección de Datos Personales del Estado de México;</w:t>
      </w:r>
    </w:p>
    <w:p w:rsidR="00A208B1" w:rsidRDefault="003E0D5B">
      <w:pPr>
        <w:tabs>
          <w:tab w:val="left" w:pos="1276"/>
        </w:tabs>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A208B1" w:rsidRDefault="003E0D5B">
      <w:pPr>
        <w:tabs>
          <w:tab w:val="left" w:pos="1276"/>
        </w:tabs>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XX. Información clasificada</w:t>
      </w:r>
      <w:r>
        <w:rPr>
          <w:rFonts w:ascii="Palatino Linotype" w:eastAsia="Palatino Linotype" w:hAnsi="Palatino Linotype" w:cs="Palatino Linotype"/>
          <w:i/>
          <w:iCs/>
          <w:sz w:val="22"/>
          <w:szCs w:val="22"/>
        </w:rPr>
        <w:t>: Aquella considerada por la presente Ley como reservada o confidencial;</w:t>
      </w:r>
    </w:p>
    <w:p w:rsidR="00A208B1" w:rsidRDefault="003E0D5B">
      <w:pPr>
        <w:tabs>
          <w:tab w:val="left" w:pos="1276"/>
        </w:tabs>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XXI. Información confidencial</w:t>
      </w:r>
      <w:r>
        <w:rPr>
          <w:rFonts w:ascii="Palatino Linotype" w:eastAsia="Palatino Linotype" w:hAnsi="Palatino Linotype" w:cs="Palatino Linotype"/>
          <w:i/>
          <w:iCs/>
          <w:sz w:val="22"/>
          <w:szCs w:val="22"/>
        </w:rPr>
        <w:t>: Se considera como información confidencial los secretos bancario, fiduciario, industrial, comercial, fiscal, bursátil y posta</w:t>
      </w:r>
      <w:r>
        <w:rPr>
          <w:rFonts w:ascii="Palatino Linotype" w:eastAsia="Palatino Linotype" w:hAnsi="Palatino Linotype" w:cs="Palatino Linotype"/>
          <w:i/>
          <w:iCs/>
          <w:sz w:val="22"/>
          <w:szCs w:val="22"/>
        </w:rPr>
        <w:t>l, cuya titularidad corresponda a particulares, sujetos de derecho internacional o a sujetos obligados cuando no involucren el ejercicio de recursos públicos;</w:t>
      </w:r>
    </w:p>
    <w:p w:rsidR="00A208B1" w:rsidRDefault="003E0D5B">
      <w:pPr>
        <w:tabs>
          <w:tab w:val="left" w:pos="1276"/>
        </w:tabs>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A208B1" w:rsidRDefault="003E0D5B">
      <w:pPr>
        <w:tabs>
          <w:tab w:val="left" w:pos="1276"/>
        </w:tabs>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XXXII. Protección de Datos Personales</w:t>
      </w:r>
      <w:r>
        <w:rPr>
          <w:rFonts w:ascii="Palatino Linotype" w:eastAsia="Palatino Linotype" w:hAnsi="Palatino Linotype" w:cs="Palatino Linotype"/>
          <w:i/>
          <w:iCs/>
          <w:sz w:val="22"/>
          <w:szCs w:val="22"/>
        </w:rPr>
        <w:t>: Derecho humano que tutela la privacidad de datos persona</w:t>
      </w:r>
      <w:r>
        <w:rPr>
          <w:rFonts w:ascii="Palatino Linotype" w:eastAsia="Palatino Linotype" w:hAnsi="Palatino Linotype" w:cs="Palatino Linotype"/>
          <w:i/>
          <w:iCs/>
          <w:sz w:val="22"/>
          <w:szCs w:val="22"/>
        </w:rPr>
        <w:t>les en poder de los sujetos obligados y sujetos particulares;</w:t>
      </w:r>
    </w:p>
    <w:p w:rsidR="00A208B1" w:rsidRDefault="003E0D5B">
      <w:pPr>
        <w:tabs>
          <w:tab w:val="left" w:pos="1276"/>
        </w:tabs>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A208B1" w:rsidRDefault="003E0D5B">
      <w:pPr>
        <w:tabs>
          <w:tab w:val="left" w:pos="1276"/>
        </w:tabs>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XLV. Versión pública</w:t>
      </w:r>
      <w:r>
        <w:rPr>
          <w:rFonts w:ascii="Palatino Linotype" w:eastAsia="Palatino Linotype" w:hAnsi="Palatino Linotype" w:cs="Palatino Linotype"/>
          <w:i/>
          <w:iCs/>
          <w:sz w:val="22"/>
          <w:szCs w:val="22"/>
        </w:rPr>
        <w:t>: Documento en el que se elimine, suprime o borra la información clasificada como reservada o confidencial para permitir su acceso.</w:t>
      </w:r>
    </w:p>
    <w:p w:rsidR="00A208B1" w:rsidRDefault="003E0D5B">
      <w:pPr>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Artículo 6</w:t>
      </w:r>
      <w:r>
        <w:rPr>
          <w:rFonts w:ascii="Palatino Linotype" w:eastAsia="Palatino Linotype" w:hAnsi="Palatino Linotype" w:cs="Palatino Linotype"/>
          <w:i/>
          <w:iCs/>
          <w:sz w:val="22"/>
          <w:szCs w:val="22"/>
        </w:rPr>
        <w:t>. Los datos personales son ir</w:t>
      </w:r>
      <w:r>
        <w:rPr>
          <w:rFonts w:ascii="Palatino Linotype" w:eastAsia="Palatino Linotype" w:hAnsi="Palatino Linotype" w:cs="Palatino Linotype"/>
          <w:i/>
          <w:iCs/>
          <w:sz w:val="22"/>
          <w:szCs w:val="22"/>
        </w:rPr>
        <w:t>renunciables, intransferibles e indelegables, por lo que los sujetos obligados no deberán proporcionar o hacer pública la información que contenga, con excepción de aquellos casos en que deban hacerlo en observancia de las disposiciones aplicables. En el c</w:t>
      </w:r>
      <w:r>
        <w:rPr>
          <w:rFonts w:ascii="Palatino Linotype" w:eastAsia="Palatino Linotype" w:hAnsi="Palatino Linotype" w:cs="Palatino Linotype"/>
          <w:i/>
          <w:iCs/>
          <w:sz w:val="22"/>
          <w:szCs w:val="22"/>
        </w:rPr>
        <w:t>aso de los derechos de acceso, rectificación, cancelación u oposición; los principios, procedimientos, medidas de seguridad en el tratamiento y demás disposiciones en materia de datos personales, se deberá estar a lo dispuesto en las leyes de la materia.</w:t>
      </w:r>
    </w:p>
    <w:p w:rsidR="00A208B1" w:rsidRDefault="003E0D5B">
      <w:pPr>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r>
        <w:rPr>
          <w:rFonts w:ascii="Palatino Linotype" w:eastAsia="Palatino Linotype" w:hAnsi="Palatino Linotype" w:cs="Palatino Linotype"/>
          <w:i/>
          <w:iCs/>
          <w:sz w:val="22"/>
          <w:szCs w:val="22"/>
        </w:rPr>
        <w:t>…</w:t>
      </w:r>
    </w:p>
    <w:p w:rsidR="00A208B1" w:rsidRDefault="003E0D5B">
      <w:pPr>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Artículo 91.</w:t>
      </w:r>
      <w:r>
        <w:rPr>
          <w:rFonts w:ascii="Palatino Linotype" w:eastAsia="Palatino Linotype" w:hAnsi="Palatino Linotype" w:cs="Palatino Linotype"/>
          <w:i/>
          <w:iCs/>
          <w:sz w:val="22"/>
          <w:szCs w:val="22"/>
        </w:rPr>
        <w:t xml:space="preserve"> El acceso a la información pública será restringido excepcionalmente, cuando ésta sea clasificada como reservada o confidencial.</w:t>
      </w:r>
      <w:r>
        <w:rPr>
          <w:rFonts w:ascii="Palatino Linotype" w:eastAsia="Palatino Linotype" w:hAnsi="Palatino Linotype" w:cs="Palatino Linotype"/>
          <w:i/>
          <w:iCs/>
          <w:sz w:val="22"/>
          <w:szCs w:val="22"/>
        </w:rPr>
        <w:br/>
        <w:t>…</w:t>
      </w:r>
    </w:p>
    <w:p w:rsidR="00A208B1" w:rsidRDefault="003E0D5B">
      <w:pPr>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Artículo 132.</w:t>
      </w:r>
      <w:r>
        <w:rPr>
          <w:rFonts w:ascii="Palatino Linotype" w:eastAsia="Palatino Linotype" w:hAnsi="Palatino Linotype" w:cs="Palatino Linotype"/>
          <w:i/>
          <w:iCs/>
          <w:sz w:val="22"/>
          <w:szCs w:val="22"/>
        </w:rPr>
        <w:t xml:space="preserve"> La clasificación de la información se llevará a cabo en el momento en que:</w:t>
      </w:r>
    </w:p>
    <w:p w:rsidR="00A208B1" w:rsidRDefault="003E0D5B">
      <w:pPr>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w:t>
      </w:r>
      <w:r>
        <w:rPr>
          <w:rFonts w:ascii="Palatino Linotype" w:eastAsia="Palatino Linotype" w:hAnsi="Palatino Linotype" w:cs="Palatino Linotype"/>
          <w:i/>
          <w:iCs/>
          <w:sz w:val="22"/>
          <w:szCs w:val="22"/>
        </w:rPr>
        <w:t>. Se reciba una soli</w:t>
      </w:r>
      <w:r>
        <w:rPr>
          <w:rFonts w:ascii="Palatino Linotype" w:eastAsia="Palatino Linotype" w:hAnsi="Palatino Linotype" w:cs="Palatino Linotype"/>
          <w:i/>
          <w:iCs/>
          <w:sz w:val="22"/>
          <w:szCs w:val="22"/>
        </w:rPr>
        <w:t>citud de acceso a la información;</w:t>
      </w:r>
    </w:p>
    <w:p w:rsidR="00A208B1" w:rsidRDefault="003E0D5B">
      <w:pPr>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II.</w:t>
      </w:r>
      <w:r>
        <w:rPr>
          <w:rFonts w:ascii="Palatino Linotype" w:eastAsia="Palatino Linotype" w:hAnsi="Palatino Linotype" w:cs="Palatino Linotype"/>
          <w:i/>
          <w:iCs/>
          <w:sz w:val="22"/>
          <w:szCs w:val="22"/>
        </w:rPr>
        <w:t xml:space="preserve"> Se determine mediante resolución de autoridad competente; o</w:t>
      </w:r>
    </w:p>
    <w:p w:rsidR="00A208B1" w:rsidRDefault="003E0D5B">
      <w:pPr>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III.</w:t>
      </w:r>
      <w:r>
        <w:rPr>
          <w:rFonts w:ascii="Palatino Linotype" w:eastAsia="Palatino Linotype" w:hAnsi="Palatino Linotype" w:cs="Palatino Linotype"/>
          <w:i/>
          <w:iCs/>
          <w:sz w:val="22"/>
          <w:szCs w:val="22"/>
        </w:rPr>
        <w:t xml:space="preserve"> Se generen versiones públicas para dar cumplimiento a las obligaciones de transparencia previstas en esta Ley.</w:t>
      </w:r>
    </w:p>
    <w:p w:rsidR="00A208B1" w:rsidRDefault="003E0D5B">
      <w:pPr>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w:t>
      </w:r>
    </w:p>
    <w:p w:rsidR="00A208B1" w:rsidRDefault="003E0D5B">
      <w:pPr>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Artículo 137.</w:t>
      </w:r>
      <w:r>
        <w:rPr>
          <w:rFonts w:ascii="Palatino Linotype" w:eastAsia="Palatino Linotype" w:hAnsi="Palatino Linotype" w:cs="Palatino Linotype"/>
          <w:i/>
          <w:iCs/>
          <w:sz w:val="22"/>
          <w:szCs w:val="22"/>
        </w:rPr>
        <w:t xml:space="preserve"> Cuando un mismo medio, imp</w:t>
      </w:r>
      <w:r>
        <w:rPr>
          <w:rFonts w:ascii="Palatino Linotype" w:eastAsia="Palatino Linotype" w:hAnsi="Palatino Linotype" w:cs="Palatino Linotype"/>
          <w:i/>
          <w:iCs/>
          <w:sz w:val="22"/>
          <w:szCs w:val="22"/>
        </w:rPr>
        <w:t>reso o electrónico, contenga información pública y reservada o confidencial, la Unidad de Transparencia para efectos de atender una solicitud de información, deberán elaborar una versión pública en la que se testen las partes o secciones clasificadas, indi</w:t>
      </w:r>
      <w:r>
        <w:rPr>
          <w:rFonts w:ascii="Palatino Linotype" w:eastAsia="Palatino Linotype" w:hAnsi="Palatino Linotype" w:cs="Palatino Linotype"/>
          <w:i/>
          <w:iCs/>
          <w:sz w:val="22"/>
          <w:szCs w:val="22"/>
        </w:rPr>
        <w:t>cando su contenido de manera genérica y fundando y motivando su clasificación.</w:t>
      </w:r>
    </w:p>
    <w:p w:rsidR="00A208B1" w:rsidRDefault="003E0D5B">
      <w:pPr>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Artículo 143.</w:t>
      </w:r>
      <w:r>
        <w:rPr>
          <w:rFonts w:ascii="Palatino Linotype" w:eastAsia="Palatino Linotype" w:hAnsi="Palatino Linotype" w:cs="Palatino Linotype"/>
          <w:i/>
          <w:iCs/>
          <w:sz w:val="22"/>
          <w:szCs w:val="22"/>
        </w:rPr>
        <w:t xml:space="preserve"> Para los efectos de esta Ley se considera información confidencial, la clasificada como tal, de manera permanente, por su naturaleza, cuando:</w:t>
      </w:r>
    </w:p>
    <w:p w:rsidR="00A208B1" w:rsidRDefault="003E0D5B">
      <w:pPr>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w:t>
      </w:r>
      <w:r>
        <w:rPr>
          <w:rFonts w:ascii="Palatino Linotype" w:eastAsia="Palatino Linotype" w:hAnsi="Palatino Linotype" w:cs="Palatino Linotype"/>
          <w:i/>
          <w:iCs/>
          <w:sz w:val="22"/>
          <w:szCs w:val="22"/>
        </w:rPr>
        <w:t xml:space="preserve"> Se refiera a la i</w:t>
      </w:r>
      <w:r>
        <w:rPr>
          <w:rFonts w:ascii="Palatino Linotype" w:eastAsia="Palatino Linotype" w:hAnsi="Palatino Linotype" w:cs="Palatino Linotype"/>
          <w:i/>
          <w:iCs/>
          <w:sz w:val="22"/>
          <w:szCs w:val="22"/>
        </w:rPr>
        <w:t>nformación privada y los datos personales concernientes a una persona física o jurídico colectiva identificada o identificable...”</w:t>
      </w:r>
    </w:p>
    <w:p w:rsidR="00A208B1" w:rsidRDefault="003E0D5B">
      <w:pPr>
        <w:spacing w:before="240" w:after="240" w:line="360" w:lineRule="auto"/>
        <w:ind w:right="5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los preceptos anteriores se desprende que cuando un documento que vaya a ser entregado vía acceso a la información pública</w:t>
      </w:r>
      <w:r>
        <w:rPr>
          <w:rFonts w:ascii="Palatino Linotype" w:eastAsia="Palatino Linotype" w:hAnsi="Palatino Linotype" w:cs="Palatino Linotype"/>
          <w:sz w:val="22"/>
          <w:szCs w:val="22"/>
        </w:rPr>
        <w:t xml:space="preserve">, contenga tanto información de interés público como información que debe ser clasificada, se hará la entrega del mismo, testando las secciones o datos que deban ser clasificados; por ende el </w:t>
      </w:r>
      <w:r>
        <w:rPr>
          <w:rFonts w:ascii="Palatino Linotype" w:eastAsia="Palatino Linotype" w:hAnsi="Palatino Linotype" w:cs="Palatino Linotype"/>
          <w:b/>
          <w:bCs/>
          <w:sz w:val="22"/>
          <w:szCs w:val="22"/>
        </w:rPr>
        <w:t>Sujeto Obligado</w:t>
      </w:r>
      <w:r>
        <w:rPr>
          <w:rFonts w:ascii="Palatino Linotype" w:eastAsia="Palatino Linotype" w:hAnsi="Palatino Linotype" w:cs="Palatino Linotype"/>
          <w:sz w:val="22"/>
          <w:szCs w:val="22"/>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w:t>
      </w:r>
      <w:r>
        <w:rPr>
          <w:rFonts w:ascii="Palatino Linotype" w:eastAsia="Palatino Linotype" w:hAnsi="Palatino Linotype" w:cs="Palatino Linotype"/>
          <w:sz w:val="22"/>
          <w:szCs w:val="22"/>
        </w:rPr>
        <w:t>tificable, o aquellos datos que tengan el carácter de sensibles, es decir los que afectan  la esfera más íntima de su titular o cuya utilización indebida pueda dar origen a discriminación o conlleven un riesgo grave para aquel de acuerdo a los que señala l</w:t>
      </w:r>
      <w:r>
        <w:rPr>
          <w:rFonts w:ascii="Palatino Linotype" w:eastAsia="Palatino Linotype" w:hAnsi="Palatino Linotype" w:cs="Palatino Linotype"/>
          <w:sz w:val="22"/>
          <w:szCs w:val="22"/>
        </w:rPr>
        <w:t>a fracción XII del artículo 4 de la Ley de Protección de Datos Personales en posesión de Sujeto Obligados del Estado de México.</w:t>
      </w:r>
    </w:p>
    <w:p w:rsidR="00A208B1" w:rsidRDefault="003E0D5B">
      <w:pPr>
        <w:spacing w:before="240" w:after="240" w:line="360" w:lineRule="auto"/>
        <w:ind w:right="5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Datos que deberá clasificar como confidenciales por tratarse precisamente de información privada, puesto que los datos personale</w:t>
      </w:r>
      <w:r>
        <w:rPr>
          <w:rFonts w:ascii="Palatino Linotype" w:eastAsia="Palatino Linotype" w:hAnsi="Palatino Linotype" w:cs="Palatino Linotype"/>
          <w:sz w:val="22"/>
          <w:szCs w:val="22"/>
        </w:rPr>
        <w:t>s son irrenunciables, intransferibles e indelegables y los Sujetos Obligados no deberán hacer entrega de los mismos a personas ajenas a su titular.</w:t>
      </w:r>
    </w:p>
    <w:p w:rsidR="00A208B1" w:rsidRDefault="003E0D5B">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el caso específico, la información solicitada puede contener datos susceptibles de clasificarse, que de h</w:t>
      </w:r>
      <w:r>
        <w:rPr>
          <w:rFonts w:ascii="Palatino Linotype" w:eastAsia="Palatino Linotype" w:hAnsi="Palatino Linotype" w:cs="Palatino Linotype"/>
          <w:sz w:val="22"/>
          <w:szCs w:val="22"/>
        </w:rPr>
        <w:t>acerse públicos afectarían la intimidad y vida privada de particulares; que se ha reiterado en las resoluciones de este Pleno que además de los datos especificados en la Ley de Transparencia y Acceso a la Información Pública del Estado de México y Municipi</w:t>
      </w:r>
      <w:r>
        <w:rPr>
          <w:rFonts w:ascii="Palatino Linotype" w:eastAsia="Palatino Linotype" w:hAnsi="Palatino Linotype" w:cs="Palatino Linotype"/>
          <w:sz w:val="22"/>
          <w:szCs w:val="22"/>
        </w:rPr>
        <w:t>os, se consideran confidenciales cuyo acceso debe ser restringido, los cuales deben testarse al momento de la elaboración de versiones públicas, como pudieran ser de manera enunciativa más no limitativa, clave de elector, numero de OCR, CURP, domicilio par</w:t>
      </w:r>
      <w:r>
        <w:rPr>
          <w:rFonts w:ascii="Palatino Linotype" w:eastAsia="Palatino Linotype" w:hAnsi="Palatino Linotype" w:cs="Palatino Linotype"/>
          <w:sz w:val="22"/>
          <w:szCs w:val="22"/>
        </w:rPr>
        <w:t>ticular, el número de cuenta bancaria exclusivamente de particulares, entre otros.</w:t>
      </w:r>
    </w:p>
    <w:p w:rsidR="00A208B1" w:rsidRDefault="003E0D5B">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La </w:t>
      </w:r>
      <w:r>
        <w:rPr>
          <w:rFonts w:ascii="Palatino Linotype" w:eastAsia="Palatino Linotype" w:hAnsi="Palatino Linotype" w:cs="Palatino Linotype"/>
          <w:b/>
          <w:bCs/>
          <w:sz w:val="22"/>
          <w:szCs w:val="22"/>
        </w:rPr>
        <w:t>clave de elector</w:t>
      </w:r>
      <w:r>
        <w:rPr>
          <w:rFonts w:ascii="Palatino Linotype" w:eastAsia="Palatino Linotype" w:hAnsi="Palatino Linotype" w:cs="Palatino Linotype"/>
          <w:sz w:val="22"/>
          <w:szCs w:val="22"/>
        </w:rPr>
        <w:t xml:space="preserve">, es la composición alfanumérica compuesta de 18 caracteres, mismos que hacen identificable a una persona física, que se conforma por las primeras letras </w:t>
      </w:r>
      <w:r>
        <w:rPr>
          <w:rFonts w:ascii="Palatino Linotype" w:eastAsia="Palatino Linotype" w:hAnsi="Palatino Linotype" w:cs="Palatino Linotype"/>
          <w:sz w:val="22"/>
          <w:szCs w:val="22"/>
        </w:rPr>
        <w:t>de los apellidos, año, mes, día, sexo, clave del estado en donde nació su titular, así como una homoclave que distingue a su titular de cualquier otro homónimo, por lo tanto, se trata de un dato personal que debe ser protegido.</w:t>
      </w:r>
    </w:p>
    <w:p w:rsidR="00A208B1" w:rsidRDefault="003E0D5B">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El </w:t>
      </w:r>
      <w:r>
        <w:rPr>
          <w:rFonts w:ascii="Palatino Linotype" w:eastAsia="Palatino Linotype" w:hAnsi="Palatino Linotype" w:cs="Palatino Linotype"/>
          <w:b/>
          <w:bCs/>
          <w:sz w:val="22"/>
          <w:szCs w:val="22"/>
        </w:rPr>
        <w:t>número de OCR,</w:t>
      </w:r>
      <w:r>
        <w:rPr>
          <w:rFonts w:ascii="Palatino Linotype" w:eastAsia="Palatino Linotype" w:hAnsi="Palatino Linotype" w:cs="Palatino Linotype"/>
          <w:sz w:val="22"/>
          <w:szCs w:val="22"/>
        </w:rPr>
        <w:t xml:space="preserve"> denominado Reconocimiento Óptico de Caracteres (OCR), contiene el número de la sección electoral en donde vota el ciudadano titular de dicho documento, por lo que constituye un dato personal en razón de que revela información concerniente a una persona fí</w:t>
      </w:r>
      <w:r>
        <w:rPr>
          <w:rFonts w:ascii="Palatino Linotype" w:eastAsia="Palatino Linotype" w:hAnsi="Palatino Linotype" w:cs="Palatino Linotype"/>
          <w:sz w:val="22"/>
          <w:szCs w:val="22"/>
        </w:rPr>
        <w:t>sica identificada o identificable en función de la información geoelectoral ahí contenida, por lo que es susceptible de resguardarse.</w:t>
      </w:r>
    </w:p>
    <w:p w:rsidR="00A208B1" w:rsidRDefault="003E0D5B">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La </w:t>
      </w:r>
      <w:r>
        <w:rPr>
          <w:rFonts w:ascii="Palatino Linotype" w:eastAsia="Palatino Linotype" w:hAnsi="Palatino Linotype" w:cs="Palatino Linotype"/>
          <w:b/>
          <w:bCs/>
          <w:sz w:val="22"/>
          <w:szCs w:val="22"/>
        </w:rPr>
        <w:t>clave única del registro de población,</w:t>
      </w: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sz w:val="22"/>
          <w:szCs w:val="22"/>
        </w:rPr>
        <w:t xml:space="preserve">se integra por datos personales que sólo conciernen al particular titular de la </w:t>
      </w:r>
      <w:r>
        <w:rPr>
          <w:rFonts w:ascii="Palatino Linotype" w:eastAsia="Palatino Linotype" w:hAnsi="Palatino Linotype" w:cs="Palatino Linotype"/>
          <w:sz w:val="22"/>
          <w:szCs w:val="22"/>
        </w:rPr>
        <w:t>misma, como lo son su nombre, apellidos, fecha de nacimiento, lugar de nacimiento y sexo. Dichos datos, constituyen información que distingue plenamente a una persona física del resto de los habitantes del país, por lo está considerada como información con</w:t>
      </w:r>
      <w:r>
        <w:rPr>
          <w:rFonts w:ascii="Palatino Linotype" w:eastAsia="Palatino Linotype" w:hAnsi="Palatino Linotype" w:cs="Palatino Linotype"/>
          <w:sz w:val="22"/>
          <w:szCs w:val="22"/>
        </w:rPr>
        <w:t>fidencial.</w:t>
      </w:r>
    </w:p>
    <w:p w:rsidR="00A208B1" w:rsidRDefault="003E0D5B">
      <w:pPr>
        <w:spacing w:before="240" w:after="240" w:line="360" w:lineRule="auto"/>
        <w:ind w:right="5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Por cuanto hace al </w:t>
      </w:r>
      <w:r>
        <w:rPr>
          <w:rFonts w:ascii="Palatino Linotype" w:eastAsia="Palatino Linotype" w:hAnsi="Palatino Linotype" w:cs="Palatino Linotype"/>
          <w:b/>
          <w:bCs/>
          <w:sz w:val="22"/>
          <w:szCs w:val="22"/>
        </w:rPr>
        <w:t xml:space="preserve">Registro Federal de Contribuyentes (RFC) </w:t>
      </w:r>
      <w:r>
        <w:rPr>
          <w:rFonts w:ascii="Palatino Linotype" w:eastAsia="Palatino Linotype" w:hAnsi="Palatino Linotype" w:cs="Palatino Linotype"/>
          <w:sz w:val="22"/>
          <w:szCs w:val="22"/>
        </w:rPr>
        <w:t>y</w:t>
      </w:r>
      <w:r>
        <w:rPr>
          <w:rFonts w:ascii="Palatino Linotype" w:eastAsia="Palatino Linotype" w:hAnsi="Palatino Linotype" w:cs="Palatino Linotype"/>
          <w:b/>
          <w:bCs/>
          <w:sz w:val="22"/>
          <w:szCs w:val="22"/>
        </w:rPr>
        <w:t xml:space="preserve"> el domicilio fiscal </w:t>
      </w:r>
      <w:r>
        <w:rPr>
          <w:rFonts w:ascii="Palatino Linotype" w:eastAsia="Palatino Linotype" w:hAnsi="Palatino Linotype" w:cs="Palatino Linotype"/>
          <w:sz w:val="22"/>
          <w:szCs w:val="22"/>
        </w:rPr>
        <w:t>si bien este Instituto ha sostenido que el RFC y domicilio de las personas físicas debe ser testado por los Sujetos Obligados, en las versiones públicas de los doc</w:t>
      </w:r>
      <w:r>
        <w:rPr>
          <w:rFonts w:ascii="Palatino Linotype" w:eastAsia="Palatino Linotype" w:hAnsi="Palatino Linotype" w:cs="Palatino Linotype"/>
          <w:sz w:val="22"/>
          <w:szCs w:val="22"/>
        </w:rPr>
        <w:t>umentos que elaboren para atender las solicitudes de información pública, lo cierto es que, tratándose de proveedores, prestadores de servicios o contratistas, dichos datos no deben ser suprimidos de las facturas y contratos que vayan a ser entregados.</w:t>
      </w:r>
    </w:p>
    <w:p w:rsidR="00A208B1" w:rsidRDefault="003E0D5B">
      <w:pPr>
        <w:spacing w:before="240" w:after="240" w:line="360" w:lineRule="auto"/>
        <w:ind w:right="5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Ell</w:t>
      </w:r>
      <w:r>
        <w:rPr>
          <w:rFonts w:ascii="Palatino Linotype" w:eastAsia="Palatino Linotype" w:hAnsi="Palatino Linotype" w:cs="Palatino Linotype"/>
          <w:sz w:val="22"/>
          <w:szCs w:val="22"/>
        </w:rPr>
        <w:t>o se debe a que, del ejercicio de ponderación entre el derecho a la protección de datos personales con el derecho de acceso a la información pública, es de mayor trascendencia el que cualquier persona pueda conocer en qué se gastan los recursos públicos, p</w:t>
      </w:r>
      <w:r>
        <w:rPr>
          <w:rFonts w:ascii="Palatino Linotype" w:eastAsia="Palatino Linotype" w:hAnsi="Palatino Linotype" w:cs="Palatino Linotype"/>
          <w:sz w:val="22"/>
          <w:szCs w:val="22"/>
        </w:rPr>
        <w:t>uesto que se trata de erogaciones que realiza un órgano del Estado con base en los recursos que encuentran su origen en mayor medida en las contribuciones aportados por los gobernados, por lo que debe transparentarse su ejercicio.</w:t>
      </w:r>
    </w:p>
    <w:p w:rsidR="00A208B1" w:rsidRDefault="003E0D5B">
      <w:pPr>
        <w:spacing w:before="240" w:after="240" w:line="360" w:lineRule="auto"/>
        <w:ind w:right="5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Además, las personas físi</w:t>
      </w:r>
      <w:r>
        <w:rPr>
          <w:rFonts w:ascii="Palatino Linotype" w:eastAsia="Palatino Linotype" w:hAnsi="Palatino Linotype" w:cs="Palatino Linotype"/>
          <w:sz w:val="22"/>
          <w:szCs w:val="22"/>
        </w:rPr>
        <w:t xml:space="preserve">cas que realicen las actividades contratadas por las instituciones, renuncian implícitamente a una parte de su derecho a la intimidad al obtener beneficios y lucros de los recursos públicos por dicha contratación, por lo que </w:t>
      </w:r>
      <w:r>
        <w:rPr>
          <w:rFonts w:ascii="Palatino Linotype" w:eastAsia="Palatino Linotype" w:hAnsi="Palatino Linotype" w:cs="Palatino Linotype"/>
          <w:b/>
          <w:bCs/>
          <w:sz w:val="22"/>
          <w:szCs w:val="22"/>
        </w:rPr>
        <w:t>no puede considerarse como info</w:t>
      </w:r>
      <w:r>
        <w:rPr>
          <w:rFonts w:ascii="Palatino Linotype" w:eastAsia="Palatino Linotype" w:hAnsi="Palatino Linotype" w:cs="Palatino Linotype"/>
          <w:b/>
          <w:bCs/>
          <w:sz w:val="22"/>
          <w:szCs w:val="22"/>
        </w:rPr>
        <w:t>rmación clasificada lo relativo a su nombre, registro federal de contribuyentes y domicilio fiscal</w:t>
      </w:r>
      <w:r>
        <w:rPr>
          <w:rFonts w:ascii="Palatino Linotype" w:eastAsia="Palatino Linotype" w:hAnsi="Palatino Linotype" w:cs="Palatino Linotype"/>
          <w:sz w:val="22"/>
          <w:szCs w:val="22"/>
        </w:rPr>
        <w:t>, atento a que dicha información es la que puede generar certeza en los gobernados en que se está ejerciendo debidamente el presupuesto.</w:t>
      </w:r>
    </w:p>
    <w:p w:rsidR="00A208B1" w:rsidRDefault="003E0D5B">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Robustece lo anterior</w:t>
      </w:r>
      <w:r>
        <w:rPr>
          <w:rFonts w:ascii="Palatino Linotype" w:eastAsia="Palatino Linotype" w:hAnsi="Palatino Linotype" w:cs="Palatino Linotype"/>
          <w:sz w:val="22"/>
          <w:szCs w:val="22"/>
        </w:rPr>
        <w:t xml:space="preserve"> el criterio orientador 04/21 emitido por el Instituto Nacional de Transparencia, Acceso a la Información y Protección de Datos Personales, INAI, el cual refiere:</w:t>
      </w:r>
    </w:p>
    <w:p w:rsidR="00A208B1" w:rsidRDefault="003E0D5B">
      <w:pPr>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“Registro Federal de Contribuyentes (RFC) de personas físicas proveedoras o contratistas. </w:t>
      </w:r>
      <w:r>
        <w:rPr>
          <w:rFonts w:ascii="Palatino Linotype" w:eastAsia="Palatino Linotype" w:hAnsi="Palatino Linotype" w:cs="Palatino Linotype"/>
          <w:i/>
          <w:iCs/>
          <w:sz w:val="22"/>
          <w:szCs w:val="22"/>
        </w:rPr>
        <w:t xml:space="preserve">El </w:t>
      </w:r>
      <w:r>
        <w:rPr>
          <w:rFonts w:ascii="Palatino Linotype" w:eastAsia="Palatino Linotype" w:hAnsi="Palatino Linotype" w:cs="Palatino Linotype"/>
          <w:i/>
          <w:iCs/>
          <w:sz w:val="22"/>
          <w:szCs w:val="22"/>
        </w:rPr>
        <w:t>RFC de contratistas o proveedores de los sujetos obligados debe ser público, ya que al tratarse de personas con contrataciones públicas, su difusión favorece la transparencia con la que deben administrarse los recursos públicos, en términos del artículo 13</w:t>
      </w:r>
      <w:r>
        <w:rPr>
          <w:rFonts w:ascii="Palatino Linotype" w:eastAsia="Palatino Linotype" w:hAnsi="Palatino Linotype" w:cs="Palatino Linotype"/>
          <w:i/>
          <w:iCs/>
          <w:sz w:val="22"/>
          <w:szCs w:val="22"/>
        </w:rPr>
        <w:t>4 de la Constitución Política de los Estados Unidos Mexicanos.”</w:t>
      </w:r>
    </w:p>
    <w:p w:rsidR="00A208B1" w:rsidRDefault="003E0D5B">
      <w:pPr>
        <w:widowControl w:val="0"/>
        <w:pBdr>
          <w:top w:val="nil"/>
          <w:left w:val="nil"/>
          <w:bottom w:val="nil"/>
          <w:right w:val="nil"/>
          <w:between w:val="nil"/>
        </w:pBdr>
        <w:tabs>
          <w:tab w:val="left" w:pos="284"/>
        </w:tabs>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El </w:t>
      </w:r>
      <w:r>
        <w:rPr>
          <w:rFonts w:ascii="Palatino Linotype" w:eastAsia="Palatino Linotype" w:hAnsi="Palatino Linotype" w:cs="Palatino Linotype"/>
          <w:b/>
          <w:bCs/>
          <w:sz w:val="22"/>
          <w:szCs w:val="22"/>
        </w:rPr>
        <w:t>domicilio particular</w:t>
      </w:r>
      <w:r>
        <w:rPr>
          <w:rFonts w:ascii="Palatino Linotype" w:eastAsia="Palatino Linotype" w:hAnsi="Palatino Linotype" w:cs="Palatino Linotype"/>
          <w:sz w:val="22"/>
          <w:szCs w:val="22"/>
        </w:rPr>
        <w:t>, de acuerdo con lo señalado en los artículos 2.3 y 2.5 del Código Civil del Estado de México, el domicilio es un atributo de la personalidad y un derecho de las persona</w:t>
      </w:r>
      <w:r>
        <w:rPr>
          <w:rFonts w:ascii="Palatino Linotype" w:eastAsia="Palatino Linotype" w:hAnsi="Palatino Linotype" w:cs="Palatino Linotype"/>
          <w:sz w:val="22"/>
          <w:szCs w:val="22"/>
        </w:rPr>
        <w:t xml:space="preserve">s; además que tiene como propósito que una persona pueda establecerse temporal o permanentemente en un lugar determinado, para habitar, establecer su centro de trabajo o negocios. </w:t>
      </w:r>
    </w:p>
    <w:p w:rsidR="00A208B1" w:rsidRDefault="003E0D5B">
      <w:pPr>
        <w:widowControl w:val="0"/>
        <w:pBdr>
          <w:top w:val="nil"/>
          <w:left w:val="nil"/>
          <w:bottom w:val="nil"/>
          <w:right w:val="nil"/>
          <w:between w:val="nil"/>
        </w:pBdr>
        <w:tabs>
          <w:tab w:val="left" w:pos="284"/>
        </w:tabs>
        <w:spacing w:before="240" w:after="240"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sz w:val="22"/>
          <w:szCs w:val="22"/>
        </w:rPr>
        <w:t>De la misma manera, lo establece el artículo 29 del Código Civil Federal, a</w:t>
      </w:r>
      <w:r>
        <w:rPr>
          <w:rFonts w:ascii="Palatino Linotype" w:eastAsia="Palatino Linotype" w:hAnsi="Palatino Linotype" w:cs="Palatino Linotype"/>
          <w:sz w:val="22"/>
          <w:szCs w:val="22"/>
        </w:rPr>
        <w:t>l precisar que el domicilio de personas físicas</w:t>
      </w:r>
      <w:r>
        <w:rPr>
          <w:rFonts w:ascii="Palatino Linotype" w:eastAsia="Palatino Linotype" w:hAnsi="Palatino Linotype" w:cs="Palatino Linotype"/>
          <w:b/>
          <w:bCs/>
          <w:sz w:val="22"/>
          <w:szCs w:val="22"/>
        </w:rPr>
        <w:t xml:space="preserve">, </w:t>
      </w:r>
      <w:r>
        <w:rPr>
          <w:rFonts w:ascii="Palatino Linotype" w:eastAsia="Palatino Linotype" w:hAnsi="Palatino Linotype" w:cs="Palatino Linotype"/>
          <w:sz w:val="22"/>
          <w:szCs w:val="22"/>
        </w:rPr>
        <w:t>es el lugar donde residen habitualmente, el lugar del centro principal de sus negocios, donde residan o el lugar donde se encuentren.</w:t>
      </w:r>
    </w:p>
    <w:p w:rsidR="00A208B1" w:rsidRDefault="003E0D5B">
      <w:pPr>
        <w:spacing w:before="240" w:after="240" w:line="360" w:lineRule="auto"/>
        <w:ind w:right="-9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contexto, la dirección o domicilio es el lugar en donde reside hab</w:t>
      </w:r>
      <w:r>
        <w:rPr>
          <w:rFonts w:ascii="Palatino Linotype" w:eastAsia="Palatino Linotype" w:hAnsi="Palatino Linotype" w:cs="Palatino Linotype"/>
          <w:sz w:val="22"/>
          <w:szCs w:val="22"/>
        </w:rPr>
        <w:t>itualmente una persona física, por lo que, permite hacerlo identificable y ubicable, propiciando que pueda ser molestado en su casa o negocio, de este modo, los datos que permiten a cualquier individuo con esfuerzos mínimos identificar el lugar de residenc</w:t>
      </w:r>
      <w:r>
        <w:rPr>
          <w:rFonts w:ascii="Palatino Linotype" w:eastAsia="Palatino Linotype" w:hAnsi="Palatino Linotype" w:cs="Palatino Linotype"/>
          <w:sz w:val="22"/>
          <w:szCs w:val="22"/>
        </w:rPr>
        <w:t xml:space="preserve">ia o de trabajo constituye un dato personal y, por ende, confidencial, ya que incide directamente en la privacidad de personas físicas identificadas y su difusión podría afectar la esfera privada de las mismas. </w:t>
      </w:r>
    </w:p>
    <w:p w:rsidR="00A208B1" w:rsidRDefault="003E0D5B">
      <w:pPr>
        <w:spacing w:before="240" w:after="240" w:line="360" w:lineRule="auto"/>
        <w:ind w:right="-9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Por lo tanto, se actualiza la clasificación </w:t>
      </w:r>
      <w:r>
        <w:rPr>
          <w:rFonts w:ascii="Palatino Linotype" w:eastAsia="Palatino Linotype" w:hAnsi="Palatino Linotype" w:cs="Palatino Linotype"/>
          <w:sz w:val="22"/>
          <w:szCs w:val="22"/>
        </w:rPr>
        <w:t>del domicilio y su comprobante, de conformidad con la fracción I, del artículo 143 de la Ley de Transparencia y Acceso a la Información Pública del Estado de México y Municipios.</w:t>
      </w:r>
    </w:p>
    <w:p w:rsidR="00A208B1" w:rsidRDefault="003E0D5B">
      <w:pPr>
        <w:spacing w:before="240" w:after="240" w:line="360" w:lineRule="auto"/>
        <w:ind w:right="-9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El </w:t>
      </w:r>
      <w:r>
        <w:rPr>
          <w:rFonts w:ascii="Palatino Linotype" w:eastAsia="Palatino Linotype" w:hAnsi="Palatino Linotype" w:cs="Palatino Linotype"/>
          <w:b/>
          <w:bCs/>
          <w:sz w:val="22"/>
          <w:szCs w:val="22"/>
        </w:rPr>
        <w:t>teléfono particular</w:t>
      </w:r>
      <w:r>
        <w:rPr>
          <w:rFonts w:ascii="Palatino Linotype" w:eastAsia="Palatino Linotype" w:hAnsi="Palatino Linotype" w:cs="Palatino Linotype"/>
          <w:sz w:val="22"/>
          <w:szCs w:val="22"/>
        </w:rPr>
        <w:t>, debido a que se trata de información que le compete ú</w:t>
      </w:r>
      <w:r>
        <w:rPr>
          <w:rFonts w:ascii="Palatino Linotype" w:eastAsia="Palatino Linotype" w:hAnsi="Palatino Linotype" w:cs="Palatino Linotype"/>
          <w:sz w:val="22"/>
          <w:szCs w:val="22"/>
        </w:rPr>
        <w:t>nicamente al servidor público, pues es un medio mediante el cual puede ser ubicado, es susceptible de ser clasificado como confidencial de conformidad con la fracción I, del artículo 143 de la Ley de Transparencia y Acceso a la Información Pública del Esta</w:t>
      </w:r>
      <w:r>
        <w:rPr>
          <w:rFonts w:ascii="Palatino Linotype" w:eastAsia="Palatino Linotype" w:hAnsi="Palatino Linotype" w:cs="Palatino Linotype"/>
          <w:sz w:val="22"/>
          <w:szCs w:val="22"/>
        </w:rPr>
        <w:t>do de México y Municipios.</w:t>
      </w:r>
    </w:p>
    <w:p w:rsidR="00A208B1" w:rsidRDefault="003E0D5B">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El </w:t>
      </w:r>
      <w:r>
        <w:rPr>
          <w:rFonts w:ascii="Palatino Linotype" w:eastAsia="Palatino Linotype" w:hAnsi="Palatino Linotype" w:cs="Palatino Linotype"/>
          <w:b/>
          <w:bCs/>
          <w:sz w:val="22"/>
          <w:szCs w:val="22"/>
        </w:rPr>
        <w:t xml:space="preserve">correo electrónico particular, </w:t>
      </w:r>
      <w:r>
        <w:rPr>
          <w:rFonts w:ascii="Palatino Linotype" w:eastAsia="Palatino Linotype" w:hAnsi="Palatino Linotype" w:cs="Palatino Linotype"/>
          <w:sz w:val="22"/>
          <w:szCs w:val="22"/>
        </w:rPr>
        <w:t>al ser un sistema de transmisión de mensajes por computadora a través de redes informáticas. Dicho dato se puede asimilar al teléfono o domicilio particular, cuya nomenclatura, se considera como un dato personal, toda vez que es un medio para comunicarse c</w:t>
      </w:r>
      <w:r>
        <w:rPr>
          <w:rFonts w:ascii="Palatino Linotype" w:eastAsia="Palatino Linotype" w:hAnsi="Palatino Linotype" w:cs="Palatino Linotype"/>
          <w:sz w:val="22"/>
          <w:szCs w:val="22"/>
        </w:rPr>
        <w:t>on la persona titular del mismo, la hace localizable e incluso identificable, al poder estar conformado por parte de su nombre o bien, fecha de nacimiento. En ese sentido la titularidad de dicho dato corresponde a la persona física y no así en su calidad d</w:t>
      </w:r>
      <w:r>
        <w:rPr>
          <w:rFonts w:ascii="Palatino Linotype" w:eastAsia="Palatino Linotype" w:hAnsi="Palatino Linotype" w:cs="Palatino Linotype"/>
          <w:sz w:val="22"/>
          <w:szCs w:val="22"/>
        </w:rPr>
        <w:t>e trabajador del Gobierno; por lo que corresponde a un dato personal que actualiza la causal de clasificación establecida en el artículo 143, fracción I de la Ley de Transparencia y Acceso a la Información Pública del Estado de México y Municipios.</w:t>
      </w:r>
    </w:p>
    <w:p w:rsidR="00A208B1" w:rsidRDefault="003E0D5B">
      <w:pPr>
        <w:tabs>
          <w:tab w:val="left" w:pos="4962"/>
        </w:tabs>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cua</w:t>
      </w:r>
      <w:r>
        <w:rPr>
          <w:rFonts w:ascii="Palatino Linotype" w:eastAsia="Palatino Linotype" w:hAnsi="Palatino Linotype" w:cs="Palatino Linotype"/>
          <w:sz w:val="22"/>
          <w:szCs w:val="22"/>
        </w:rPr>
        <w:t xml:space="preserve">nto hace a las </w:t>
      </w:r>
      <w:r>
        <w:rPr>
          <w:rFonts w:ascii="Palatino Linotype" w:eastAsia="Palatino Linotype" w:hAnsi="Palatino Linotype" w:cs="Palatino Linotype"/>
          <w:b/>
          <w:bCs/>
          <w:sz w:val="22"/>
          <w:szCs w:val="22"/>
        </w:rPr>
        <w:t>identificaciones oficiales con fotografía de particulares</w:t>
      </w:r>
      <w:r>
        <w:rPr>
          <w:rFonts w:ascii="Palatino Linotype" w:eastAsia="Palatino Linotype" w:hAnsi="Palatino Linotype" w:cs="Palatino Linotype"/>
          <w:sz w:val="22"/>
          <w:szCs w:val="22"/>
        </w:rPr>
        <w:t>, como credencial para votar o pasaporte, entre otras, es de señalar que dichos documentos guardan la naturaleza de información confidencial en su totalidad, al conformarse de datos pe</w:t>
      </w:r>
      <w:r>
        <w:rPr>
          <w:rFonts w:ascii="Palatino Linotype" w:eastAsia="Palatino Linotype" w:hAnsi="Palatino Linotype" w:cs="Palatino Linotype"/>
          <w:sz w:val="22"/>
          <w:szCs w:val="22"/>
        </w:rPr>
        <w:t>rsonales como fecha de nacimiento, domicilio, así como la reproducción fiel de las características físicas de una persona en un momento determinado, por tanto, es información que se considerada por regla general, como un dato personal confidencial suscepti</w:t>
      </w:r>
      <w:r>
        <w:rPr>
          <w:rFonts w:ascii="Palatino Linotype" w:eastAsia="Palatino Linotype" w:hAnsi="Palatino Linotype" w:cs="Palatino Linotype"/>
          <w:sz w:val="22"/>
          <w:szCs w:val="22"/>
        </w:rPr>
        <w:t xml:space="preserve">ble de protegerse en términos de los artículos 3, fracción IX, 143, fracción I de la Ley de Transparencia y Acceso a la Información Pública del Estado de México y Municipios, en relación con el 4, fracción XI de La Ley de Protección de Datos Personales en </w:t>
      </w:r>
      <w:r>
        <w:rPr>
          <w:rFonts w:ascii="Palatino Linotype" w:eastAsia="Palatino Linotype" w:hAnsi="Palatino Linotype" w:cs="Palatino Linotype"/>
          <w:sz w:val="22"/>
          <w:szCs w:val="22"/>
        </w:rPr>
        <w:t>Posesión de Sujetos Obligados del Estado de México y Municipios.</w:t>
      </w:r>
    </w:p>
    <w:p w:rsidR="00A208B1" w:rsidRDefault="003E0D5B">
      <w:pPr>
        <w:spacing w:before="240" w:after="240" w:line="360" w:lineRule="auto"/>
        <w:ind w:right="5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El </w:t>
      </w:r>
      <w:r>
        <w:rPr>
          <w:rFonts w:ascii="Palatino Linotype" w:eastAsia="Palatino Linotype" w:hAnsi="Palatino Linotype" w:cs="Palatino Linotype"/>
          <w:b/>
          <w:bCs/>
          <w:sz w:val="22"/>
          <w:szCs w:val="22"/>
        </w:rPr>
        <w:t>número de cuenta bancaria</w:t>
      </w:r>
      <w:r>
        <w:rPr>
          <w:rFonts w:ascii="Palatino Linotype" w:eastAsia="Palatino Linotype" w:hAnsi="Palatino Linotype" w:cs="Palatino Linotype"/>
          <w:sz w:val="22"/>
          <w:szCs w:val="22"/>
        </w:rPr>
        <w:t xml:space="preserve"> de las personas físicas es información que sólo su titular o personas autorizadas poseen para el acceso o consulta de información patrimonial, o para la realizaci</w:t>
      </w:r>
      <w:r>
        <w:rPr>
          <w:rFonts w:ascii="Palatino Linotype" w:eastAsia="Palatino Linotype" w:hAnsi="Palatino Linotype" w:cs="Palatino Linotype"/>
          <w:sz w:val="22"/>
          <w:szCs w:val="22"/>
        </w:rPr>
        <w:t>ón de operaciones bancarias de diversa naturaleza, por lo que la difusión pública del mismo facilitaría la afectación al patrimonio del titular de la cuenta.</w:t>
      </w:r>
    </w:p>
    <w:p w:rsidR="00A208B1" w:rsidRDefault="003E0D5B">
      <w:pPr>
        <w:spacing w:before="240" w:after="240" w:line="360" w:lineRule="auto"/>
        <w:ind w:right="5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lo anterior, el número de cuenta bancaria debe ser clasificado como confidencial con fundament</w:t>
      </w:r>
      <w:r>
        <w:rPr>
          <w:rFonts w:ascii="Palatino Linotype" w:eastAsia="Palatino Linotype" w:hAnsi="Palatino Linotype" w:cs="Palatino Linotype"/>
          <w:sz w:val="22"/>
          <w:szCs w:val="22"/>
        </w:rPr>
        <w:t>o en las fracciones I y II del artículo 143 de la Ley de la Materia de la Entidad; en razón de que, con su difusión se estaría poniendo en riesgo la seguridad de su titular.</w:t>
      </w:r>
    </w:p>
    <w:p w:rsidR="00A208B1" w:rsidRDefault="003E0D5B">
      <w:pPr>
        <w:spacing w:before="240" w:after="240" w:line="360" w:lineRule="auto"/>
        <w:ind w:right="5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Además de que, la publicidad de los números de cuenta bancaria de los particulares</w:t>
      </w:r>
      <w:r>
        <w:rPr>
          <w:rFonts w:ascii="Palatino Linotype" w:eastAsia="Palatino Linotype" w:hAnsi="Palatino Linotype" w:cs="Palatino Linotype"/>
          <w:sz w:val="22"/>
          <w:szCs w:val="22"/>
        </w:rPr>
        <w:t xml:space="preserve"> en nada contribuye a la rendición de cuentas, sino por el contrario, dar a conocer los números de las cuentas bancarias hace vulnerable a las personas físicas, al abrir la posibilidad de que terceros que cuenten con las posibilidades tecnológicas y/o econ</w:t>
      </w:r>
      <w:r>
        <w:rPr>
          <w:rFonts w:ascii="Palatino Linotype" w:eastAsia="Palatino Linotype" w:hAnsi="Palatino Linotype" w:cs="Palatino Linotype"/>
          <w:sz w:val="22"/>
          <w:szCs w:val="22"/>
        </w:rPr>
        <w:t>ómicas puedan realizar actos ilícitos mediante operaciones cibernéticas; en esa virtud, este Instituto determina que dicha información no puede ser del dominio público, toda vez que se podría dar un uso inadecuado a la misma o cometer algún ilícito o fraud</w:t>
      </w:r>
      <w:r>
        <w:rPr>
          <w:rFonts w:ascii="Palatino Linotype" w:eastAsia="Palatino Linotype" w:hAnsi="Palatino Linotype" w:cs="Palatino Linotype"/>
          <w:sz w:val="22"/>
          <w:szCs w:val="22"/>
        </w:rPr>
        <w:t xml:space="preserve">e en contra del patrimonio de los particulares. </w:t>
      </w:r>
    </w:p>
    <w:p w:rsidR="00A208B1" w:rsidRDefault="003E0D5B">
      <w:pPr>
        <w:spacing w:before="240" w:after="240" w:line="360" w:lineRule="auto"/>
        <w:ind w:right="5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esa virtud, este Pleno determina que dicha información no puede ser del dominio público, toda vez que se podría dar un uso inadecuado a la misma o cometer algún ilícito o fraude como ya ha sido expuesto. </w:t>
      </w:r>
    </w:p>
    <w:p w:rsidR="00A208B1" w:rsidRDefault="003E0D5B">
      <w:pPr>
        <w:spacing w:before="240" w:after="240" w:line="360" w:lineRule="auto"/>
        <w:ind w:right="5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Es por esta razón que se debe omitir el o los números de cuentas bancarias de particulares en las versiones públicas que se hagan para ser entregadas.</w:t>
      </w:r>
    </w:p>
    <w:p w:rsidR="00A208B1" w:rsidRDefault="003E0D5B">
      <w:pPr>
        <w:spacing w:before="240" w:after="240" w:line="360" w:lineRule="auto"/>
        <w:ind w:right="5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Lo anterior, </w:t>
      </w:r>
      <w:r>
        <w:rPr>
          <w:rFonts w:ascii="Palatino Linotype" w:eastAsia="Palatino Linotype" w:hAnsi="Palatino Linotype" w:cs="Palatino Linotype"/>
          <w:b/>
          <w:bCs/>
          <w:sz w:val="22"/>
          <w:szCs w:val="22"/>
        </w:rPr>
        <w:t>no es así tratándose de las cuentas bancarias o claves interbancarias de los Sujetos Obliga</w:t>
      </w:r>
      <w:r>
        <w:rPr>
          <w:rFonts w:ascii="Palatino Linotype" w:eastAsia="Palatino Linotype" w:hAnsi="Palatino Linotype" w:cs="Palatino Linotype"/>
          <w:b/>
          <w:bCs/>
          <w:sz w:val="22"/>
          <w:szCs w:val="22"/>
        </w:rPr>
        <w:t xml:space="preserve">dos </w:t>
      </w:r>
      <w:r>
        <w:rPr>
          <w:rFonts w:ascii="Palatino Linotype" w:eastAsia="Palatino Linotype" w:hAnsi="Palatino Linotype" w:cs="Palatino Linotype"/>
          <w:sz w:val="22"/>
          <w:szCs w:val="22"/>
        </w:rPr>
        <w:t>ya que su publicidad cede a la rendición de cuentas al transparentar la forma en que son administrados los recursos públicos.</w:t>
      </w:r>
    </w:p>
    <w:p w:rsidR="00A208B1" w:rsidRDefault="003E0D5B">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Lo argumentado encuentra sustento en los Criterios orientadores con  Claves de control SO/010/2017 y SO/011/2017, emitidos por</w:t>
      </w:r>
      <w:r>
        <w:rPr>
          <w:rFonts w:ascii="Palatino Linotype" w:eastAsia="Palatino Linotype" w:hAnsi="Palatino Linotype" w:cs="Palatino Linotype"/>
          <w:sz w:val="22"/>
          <w:szCs w:val="22"/>
        </w:rPr>
        <w:t xml:space="preserve"> el entonces Instituto Nacional de Transparencia, Acceso a la Información y Protección de Datos Personales, INAI, que llevan por rubro y texto los siguientes:</w:t>
      </w:r>
    </w:p>
    <w:p w:rsidR="00A208B1" w:rsidRDefault="003E0D5B">
      <w:pPr>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r>
        <w:rPr>
          <w:rFonts w:ascii="Palatino Linotype" w:eastAsia="Palatino Linotype" w:hAnsi="Palatino Linotype" w:cs="Palatino Linotype"/>
          <w:b/>
          <w:bCs/>
          <w:i/>
          <w:iCs/>
          <w:sz w:val="22"/>
          <w:szCs w:val="22"/>
        </w:rPr>
        <w:t>Cuentas bancarias y/o CLABE interbancaria de personas físicas y morales privadas.</w:t>
      </w:r>
      <w:r>
        <w:rPr>
          <w:rFonts w:ascii="Palatino Linotype" w:eastAsia="Palatino Linotype" w:hAnsi="Palatino Linotype" w:cs="Palatino Linotype"/>
          <w:i/>
          <w:iCs/>
          <w:sz w:val="22"/>
          <w:szCs w:val="22"/>
        </w:rPr>
        <w:t> El número de c</w:t>
      </w:r>
      <w:r>
        <w:rPr>
          <w:rFonts w:ascii="Palatino Linotype" w:eastAsia="Palatino Linotype" w:hAnsi="Palatino Linotype" w:cs="Palatino Linotype"/>
          <w:i/>
          <w:iCs/>
          <w:sz w:val="22"/>
          <w:szCs w:val="22"/>
        </w:rPr>
        <w:t>uenta bancaria y/o CLABE interbancaria de particulares es información confidencial, al tratarse de un conjunto de caracteres numéricos utilizados por los grupos financieros para identificar las cuentas de sus clientes, a través de los cuales se puede acced</w:t>
      </w:r>
      <w:r>
        <w:rPr>
          <w:rFonts w:ascii="Palatino Linotype" w:eastAsia="Palatino Linotype" w:hAnsi="Palatino Linotype" w:cs="Palatino Linotype"/>
          <w:i/>
          <w:iCs/>
          <w:sz w:val="22"/>
          <w:szCs w:val="22"/>
        </w:rPr>
        <w:t>er a información relacionada con su patrimonio y realizar diversas transacciones; por tanto, constituye información clasificada con fundamento en los artículos 116 de la Ley General de Transparencia y Acceso a la Información Pública y 113 de la Ley Federal</w:t>
      </w:r>
      <w:r>
        <w:rPr>
          <w:rFonts w:ascii="Palatino Linotype" w:eastAsia="Palatino Linotype" w:hAnsi="Palatino Linotype" w:cs="Palatino Linotype"/>
          <w:i/>
          <w:iCs/>
          <w:sz w:val="22"/>
          <w:szCs w:val="22"/>
        </w:rPr>
        <w:t xml:space="preserve"> de Transparencia y Acceso a la Información Pública.”</w:t>
      </w:r>
    </w:p>
    <w:p w:rsidR="00A208B1" w:rsidRDefault="003E0D5B">
      <w:pPr>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“Cuentas bancarias y/o CLABE interbancaria de sujetos obligados que reciben y/o transfieren recursos públicos, son información pública.</w:t>
      </w:r>
      <w:r>
        <w:rPr>
          <w:rFonts w:ascii="Palatino Linotype" w:eastAsia="Palatino Linotype" w:hAnsi="Palatino Linotype" w:cs="Palatino Linotype"/>
          <w:i/>
          <w:iCs/>
          <w:sz w:val="22"/>
          <w:szCs w:val="22"/>
        </w:rPr>
        <w:t xml:space="preserve"> La difusión de las cuentas bancarias y claves interbancarias perte</w:t>
      </w:r>
      <w:r>
        <w:rPr>
          <w:rFonts w:ascii="Palatino Linotype" w:eastAsia="Palatino Linotype" w:hAnsi="Palatino Linotype" w:cs="Palatino Linotype"/>
          <w:i/>
          <w:iCs/>
          <w:sz w:val="22"/>
          <w:szCs w:val="22"/>
        </w:rPr>
        <w:t>necientes a un sujeto obligado favorece la rendición de cuentas al transparentar la forma en que se administran los recursos públicos, razón por la cual no pueden considerarse como información clasificada.”</w:t>
      </w:r>
    </w:p>
    <w:p w:rsidR="00A208B1" w:rsidRDefault="003E0D5B">
      <w:pPr>
        <w:spacing w:before="240" w:after="240" w:line="360" w:lineRule="auto"/>
        <w:ind w:right="5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Relacionado con lo anterior, el </w:t>
      </w:r>
      <w:r>
        <w:rPr>
          <w:rFonts w:ascii="Palatino Linotype" w:eastAsia="Palatino Linotype" w:hAnsi="Palatino Linotype" w:cs="Palatino Linotype"/>
          <w:b/>
          <w:bCs/>
          <w:sz w:val="22"/>
          <w:szCs w:val="22"/>
        </w:rPr>
        <w:t>nombre de las per</w:t>
      </w:r>
      <w:r>
        <w:rPr>
          <w:rFonts w:ascii="Palatino Linotype" w:eastAsia="Palatino Linotype" w:hAnsi="Palatino Linotype" w:cs="Palatino Linotype"/>
          <w:b/>
          <w:bCs/>
          <w:sz w:val="22"/>
          <w:szCs w:val="22"/>
        </w:rPr>
        <w:t>sonas físicas</w:t>
      </w:r>
      <w:r>
        <w:rPr>
          <w:rFonts w:ascii="Palatino Linotype" w:eastAsia="Palatino Linotype" w:hAnsi="Palatino Linotype" w:cs="Palatino Linotype"/>
          <w:sz w:val="22"/>
          <w:szCs w:val="22"/>
        </w:rPr>
        <w:t xml:space="preserve"> o los </w:t>
      </w:r>
      <w:r>
        <w:rPr>
          <w:rFonts w:ascii="Palatino Linotype" w:eastAsia="Palatino Linotype" w:hAnsi="Palatino Linotype" w:cs="Palatino Linotype"/>
          <w:b/>
          <w:bCs/>
          <w:sz w:val="22"/>
          <w:szCs w:val="22"/>
        </w:rPr>
        <w:t>representantes legales de las personas morales</w:t>
      </w:r>
      <w:r>
        <w:rPr>
          <w:rFonts w:ascii="Palatino Linotype" w:eastAsia="Palatino Linotype" w:hAnsi="Palatino Linotype" w:cs="Palatino Linotype"/>
          <w:sz w:val="22"/>
          <w:szCs w:val="22"/>
        </w:rPr>
        <w:t>, en su calidad de proveedores, contratistas o prestadores de servicios, y la firma y rúbrica de estos, que participen en algún  proceso de adjudicación en cualquiera de sus modalidades, deb</w:t>
      </w:r>
      <w:r>
        <w:rPr>
          <w:rFonts w:ascii="Palatino Linotype" w:eastAsia="Palatino Linotype" w:hAnsi="Palatino Linotype" w:cs="Palatino Linotype"/>
          <w:sz w:val="22"/>
          <w:szCs w:val="22"/>
        </w:rPr>
        <w:t>e mencionarse que con base en el artículo 23 párrafo segundo y 24 fracción XVIII  de la Ley de Transparencia y Acceso a la Información Pública del Estado de México y Municipios, los entes públicos tienen la obligación de difundir toda aquella información r</w:t>
      </w:r>
      <w:r>
        <w:rPr>
          <w:rFonts w:ascii="Palatino Linotype" w:eastAsia="Palatino Linotype" w:hAnsi="Palatino Linotype" w:cs="Palatino Linotype"/>
          <w:sz w:val="22"/>
          <w:szCs w:val="22"/>
        </w:rPr>
        <w:t>elativa a los montos y las personas a quienes entreguen, por cualquier motivo, recursos públicos, así como los informes que dichas personas entreguen sobre el uso y destino de dichos recursos, motivo por el cual los datos del representante legal de la pers</w:t>
      </w:r>
      <w:r>
        <w:rPr>
          <w:rFonts w:ascii="Palatino Linotype" w:eastAsia="Palatino Linotype" w:hAnsi="Palatino Linotype" w:cs="Palatino Linotype"/>
          <w:sz w:val="22"/>
          <w:szCs w:val="22"/>
        </w:rPr>
        <w:t>ona moral que resultó favorecida con el procedimiento de licitación no conservan el carácter de confidencial y por tanto no deben ser testados.</w:t>
      </w:r>
    </w:p>
    <w:p w:rsidR="00A208B1" w:rsidRDefault="003E0D5B">
      <w:pPr>
        <w:spacing w:before="240" w:after="240" w:line="360" w:lineRule="auto"/>
        <w:ind w:right="5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Argumentación que guarda sustento en lo estipulado por el artículo 23 de la Ley de Transparencia y Acceso a la I</w:t>
      </w:r>
      <w:r>
        <w:rPr>
          <w:rFonts w:ascii="Palatino Linotype" w:eastAsia="Palatino Linotype" w:hAnsi="Palatino Linotype" w:cs="Palatino Linotype"/>
          <w:sz w:val="22"/>
          <w:szCs w:val="22"/>
        </w:rPr>
        <w:t>nformación Pública del Estado de México y Municipios en su penúltimo párrafo, mismo que es del tenor literal siguiente:</w:t>
      </w:r>
    </w:p>
    <w:p w:rsidR="00A208B1" w:rsidRDefault="003E0D5B">
      <w:pPr>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r>
        <w:rPr>
          <w:rFonts w:ascii="Palatino Linotype" w:eastAsia="Palatino Linotype" w:hAnsi="Palatino Linotype" w:cs="Palatino Linotype"/>
          <w:b/>
          <w:bCs/>
          <w:i/>
          <w:iCs/>
          <w:sz w:val="22"/>
          <w:szCs w:val="22"/>
        </w:rPr>
        <w:t>Artículo 23.</w:t>
      </w:r>
      <w:r>
        <w:rPr>
          <w:rFonts w:ascii="Palatino Linotype" w:eastAsia="Palatino Linotype" w:hAnsi="Palatino Linotype" w:cs="Palatino Linotype"/>
          <w:i/>
          <w:iCs/>
          <w:sz w:val="22"/>
          <w:szCs w:val="22"/>
        </w:rPr>
        <w:t xml:space="preserve"> (…)</w:t>
      </w:r>
    </w:p>
    <w:p w:rsidR="00A208B1" w:rsidRDefault="003E0D5B">
      <w:pPr>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Los sujetos obligados deberán hacer pública toda aquella información relativa a los montos y las personas a quienes en</w:t>
      </w:r>
      <w:r>
        <w:rPr>
          <w:rFonts w:ascii="Palatino Linotype" w:eastAsia="Palatino Linotype" w:hAnsi="Palatino Linotype" w:cs="Palatino Linotype"/>
          <w:i/>
          <w:iCs/>
          <w:sz w:val="22"/>
          <w:szCs w:val="22"/>
        </w:rPr>
        <w:t>treguen, por cualquier motivo, recursos públicos, así como los informes que dichas personas les entreguen sobre el uso y destino de dichos recursos.”</w:t>
      </w:r>
    </w:p>
    <w:p w:rsidR="00A208B1" w:rsidRDefault="003E0D5B">
      <w:pPr>
        <w:spacing w:before="280" w:after="28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Asimismo, resulta aplicable el contenido del criterio de interpretación 01/19 emitido por el Instituto Nacional de Transparencia, Acceso a la Información, y Protección de Datos Personales, INAI, que lleva por rubro y texto los siguientes;</w:t>
      </w:r>
    </w:p>
    <w:p w:rsidR="00A208B1" w:rsidRDefault="003E0D5B">
      <w:pPr>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“Datos de identif</w:t>
      </w:r>
      <w:r>
        <w:rPr>
          <w:rFonts w:ascii="Palatino Linotype" w:eastAsia="Palatino Linotype" w:hAnsi="Palatino Linotype" w:cs="Palatino Linotype"/>
          <w:b/>
          <w:bCs/>
          <w:i/>
          <w:iCs/>
          <w:sz w:val="22"/>
          <w:szCs w:val="22"/>
        </w:rPr>
        <w:t>icación del representante o apoderado legal.</w:t>
      </w: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b/>
          <w:bCs/>
          <w:i/>
          <w:iCs/>
          <w:sz w:val="22"/>
          <w:szCs w:val="22"/>
        </w:rPr>
        <w:t xml:space="preserve">Naturaleza jurídica. </w:t>
      </w:r>
      <w:r>
        <w:rPr>
          <w:rFonts w:ascii="Palatino Linotype" w:eastAsia="Palatino Linotype" w:hAnsi="Palatino Linotype" w:cs="Palatino Linotype"/>
          <w:i/>
          <w:iCs/>
          <w:sz w:val="22"/>
          <w:szCs w:val="22"/>
        </w:rPr>
        <w:t xml:space="preserve">El nombre, la firma y la rúbrica de una persona física, que actúe como representante o apoderado legal de un tercero que haya celebrado un acto jurídico, con algún sujeto obligado, </w:t>
      </w:r>
      <w:r>
        <w:rPr>
          <w:rFonts w:ascii="Palatino Linotype" w:eastAsia="Palatino Linotype" w:hAnsi="Palatino Linotype" w:cs="Palatino Linotype"/>
          <w:b/>
          <w:bCs/>
          <w:i/>
          <w:iCs/>
          <w:sz w:val="22"/>
          <w:szCs w:val="22"/>
        </w:rPr>
        <w:t>es inform</w:t>
      </w:r>
      <w:r>
        <w:rPr>
          <w:rFonts w:ascii="Palatino Linotype" w:eastAsia="Palatino Linotype" w:hAnsi="Palatino Linotype" w:cs="Palatino Linotype"/>
          <w:b/>
          <w:bCs/>
          <w:i/>
          <w:iCs/>
          <w:sz w:val="22"/>
          <w:szCs w:val="22"/>
        </w:rPr>
        <w:t>ación pública, en razón de que tales datos fueron proporcionados con el objeto de expresar el consentimiento obligacional del tercero y otorgar validez a dicho instrumento jurídico</w:t>
      </w:r>
      <w:r>
        <w:rPr>
          <w:rFonts w:ascii="Palatino Linotype" w:eastAsia="Palatino Linotype" w:hAnsi="Palatino Linotype" w:cs="Palatino Linotype"/>
          <w:i/>
          <w:iCs/>
          <w:sz w:val="22"/>
          <w:szCs w:val="22"/>
        </w:rPr>
        <w:t>.”</w:t>
      </w:r>
    </w:p>
    <w:p w:rsidR="00A208B1" w:rsidRDefault="003E0D5B">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cuanto hace a las patrullas municipales, se considera que el Ayuntami</w:t>
      </w:r>
      <w:r>
        <w:rPr>
          <w:rFonts w:ascii="Palatino Linotype" w:eastAsia="Palatino Linotype" w:hAnsi="Palatino Linotype" w:cs="Palatino Linotype"/>
          <w:sz w:val="22"/>
          <w:szCs w:val="22"/>
        </w:rPr>
        <w:t>ento, deberá entregar el acuerdo de clasificación emitido por el Comité de Transparencia, en donde de manera fundada y motivada, a través de una prueba de daño, confirme la clasificación como reservada, en términos del artículo 140, fracción I de la Ley de</w:t>
      </w:r>
      <w:r>
        <w:rPr>
          <w:rFonts w:ascii="Palatino Linotype" w:eastAsia="Palatino Linotype" w:hAnsi="Palatino Linotype" w:cs="Palatino Linotype"/>
          <w:sz w:val="22"/>
          <w:szCs w:val="22"/>
        </w:rPr>
        <w:t xml:space="preserve"> Transparencia y Acceso a la Información Pública del Estado de México y Municipios, para el caso de que el soporte documental mediante el cual se dará cumplimiento a la presente resolución incluya </w:t>
      </w:r>
      <w:r>
        <w:rPr>
          <w:rFonts w:ascii="Palatino Linotype" w:eastAsia="Palatino Linotype" w:hAnsi="Palatino Linotype" w:cs="Palatino Linotype"/>
          <w:b/>
          <w:bCs/>
          <w:sz w:val="22"/>
          <w:szCs w:val="22"/>
          <w:u w:val="single"/>
        </w:rPr>
        <w:t>las especificaciones técnicas y equipamiento de dichos vehí</w:t>
      </w:r>
      <w:r>
        <w:rPr>
          <w:rFonts w:ascii="Palatino Linotype" w:eastAsia="Palatino Linotype" w:hAnsi="Palatino Linotype" w:cs="Palatino Linotype"/>
          <w:b/>
          <w:bCs/>
          <w:sz w:val="22"/>
          <w:szCs w:val="22"/>
          <w:u w:val="single"/>
        </w:rPr>
        <w:t>culos,</w:t>
      </w:r>
      <w:r>
        <w:rPr>
          <w:rFonts w:ascii="Palatino Linotype" w:eastAsia="Palatino Linotype" w:hAnsi="Palatino Linotype" w:cs="Palatino Linotype"/>
          <w:sz w:val="22"/>
          <w:szCs w:val="22"/>
        </w:rPr>
        <w:t xml:space="preserve"> a través de la versión pública que entregue.</w:t>
      </w:r>
    </w:p>
    <w:p w:rsidR="00A208B1" w:rsidRDefault="003E0D5B">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Lo anterior, sin perder de vista que la Constitución Política de los Estados Unidos Mexicanos le otorga a todos los documentos en posesión de las autoridades la calidad de públicos y únicamente pueden ser reservados temporalmente por razones de interés púb</w:t>
      </w:r>
      <w:r>
        <w:rPr>
          <w:rFonts w:ascii="Palatino Linotype" w:eastAsia="Palatino Linotype" w:hAnsi="Palatino Linotype" w:cs="Palatino Linotype"/>
          <w:sz w:val="22"/>
          <w:szCs w:val="22"/>
        </w:rPr>
        <w:t>lico y en los términos expresamente señalados en la Ley, es decir, el derecho de acceso a la información pública no es absoluto pero su restricción debe estar sujeta a un sistema rígido de excepciones, en el que los Sujetos Obligados deben fundamentar y ar</w:t>
      </w:r>
      <w:r>
        <w:rPr>
          <w:rFonts w:ascii="Palatino Linotype" w:eastAsia="Palatino Linotype" w:hAnsi="Palatino Linotype" w:cs="Palatino Linotype"/>
          <w:sz w:val="22"/>
          <w:szCs w:val="22"/>
        </w:rPr>
        <w:t>gumentar las causas de interés público que se ponen en riesgo al liberarse la información, señalando un plazo justificado para la reserva de la información.</w:t>
      </w:r>
    </w:p>
    <w:p w:rsidR="00A208B1" w:rsidRDefault="003E0D5B">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Asimismo, es pertinente aclarar que, la información que se clasifica bajo la premisa de reservada, </w:t>
      </w:r>
      <w:r>
        <w:rPr>
          <w:rFonts w:ascii="Palatino Linotype" w:eastAsia="Palatino Linotype" w:hAnsi="Palatino Linotype" w:cs="Palatino Linotype"/>
          <w:sz w:val="22"/>
          <w:szCs w:val="22"/>
        </w:rPr>
        <w:t>no pierde el carácter de pública, sino que se reserva temporalmente del conocimiento público, es decir, que, por un tiempo determinado, se conservará y custodiará la información de manera especial, y una vez transcurrido el plazo de reserva, el documento p</w:t>
      </w:r>
      <w:r>
        <w:rPr>
          <w:rFonts w:ascii="Palatino Linotype" w:eastAsia="Palatino Linotype" w:hAnsi="Palatino Linotype" w:cs="Palatino Linotype"/>
          <w:sz w:val="22"/>
          <w:szCs w:val="22"/>
        </w:rPr>
        <w:t>odrá divulgarse.</w:t>
      </w:r>
    </w:p>
    <w:p w:rsidR="00A208B1" w:rsidRDefault="003E0D5B">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tal manera, las limitaciones al acceso a la información deben sustentarse en una adecuada clasificación que debe distinguir y tomar en cuenta qué información puede generar un daño desproporcionado o innecesario a valores jurídicamente p</w:t>
      </w:r>
      <w:r>
        <w:rPr>
          <w:rFonts w:ascii="Palatino Linotype" w:eastAsia="Palatino Linotype" w:hAnsi="Palatino Linotype" w:cs="Palatino Linotype"/>
          <w:sz w:val="22"/>
          <w:szCs w:val="22"/>
        </w:rPr>
        <w:t>rotegidos. Lo anterior encuentra sustento en la Tesis de la Décima Época, publicada en la Gaceta del Semanario Judicial de la Federación, sección Tribunales Colegiados de Circuito, Libro 5, de fecha abril de 2014, pág. 1523, Registro, 2,006,299. I.1o.A.E.3</w:t>
      </w:r>
      <w:r>
        <w:rPr>
          <w:rFonts w:ascii="Palatino Linotype" w:eastAsia="Palatino Linotype" w:hAnsi="Palatino Linotype" w:cs="Palatino Linotype"/>
          <w:sz w:val="22"/>
          <w:szCs w:val="22"/>
        </w:rPr>
        <w:t xml:space="preserve"> K (10a.), que literalmente señala:</w:t>
      </w:r>
    </w:p>
    <w:p w:rsidR="00A208B1" w:rsidRDefault="003E0D5B">
      <w:pPr>
        <w:tabs>
          <w:tab w:val="left" w:pos="7938"/>
        </w:tabs>
        <w:ind w:left="851" w:right="90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r>
        <w:rPr>
          <w:rFonts w:ascii="Palatino Linotype" w:eastAsia="Palatino Linotype" w:hAnsi="Palatino Linotype" w:cs="Palatino Linotype"/>
          <w:b/>
          <w:bCs/>
          <w:i/>
          <w:iCs/>
          <w:sz w:val="22"/>
          <w:szCs w:val="22"/>
        </w:rPr>
        <w:t>INFORMACIÓN RESERVADA. APLICACIÓN DE LA "PRUEBA DE DAÑO E INTERÉS PÚBLICO" PARA DETERMINAR LO ADECUADO DE LA APORTADA CON ESA CLASIFICACIÓN EN EL JUICIO DE AMPARO POR LA AUTORIDAD RESPONSABLE, A EFECTO DE HACER VIABLE L</w:t>
      </w:r>
      <w:r>
        <w:rPr>
          <w:rFonts w:ascii="Palatino Linotype" w:eastAsia="Palatino Linotype" w:hAnsi="Palatino Linotype" w:cs="Palatino Linotype"/>
          <w:b/>
          <w:bCs/>
          <w:i/>
          <w:iCs/>
          <w:sz w:val="22"/>
          <w:szCs w:val="22"/>
        </w:rPr>
        <w:t>A DEFENSA EFECTIVA DEL QUEJOSO.</w:t>
      </w:r>
      <w:r>
        <w:rPr>
          <w:rFonts w:ascii="Palatino Linotype" w:eastAsia="Palatino Linotype" w:hAnsi="Palatino Linotype" w:cs="Palatino Linotype"/>
          <w:i/>
          <w:iCs/>
          <w:sz w:val="22"/>
          <w:szCs w:val="22"/>
        </w:rPr>
        <w:t xml:space="preserve"> Una adecuada clasificación de la información pública debe tomar en cuenta y distinguir, en el contexto general de un documento, cuál es la específica y precisa, cuya divulgación puede generar un daño desproporcionado o innec</w:t>
      </w:r>
      <w:r>
        <w:rPr>
          <w:rFonts w:ascii="Palatino Linotype" w:eastAsia="Palatino Linotype" w:hAnsi="Palatino Linotype" w:cs="Palatino Linotype"/>
          <w:i/>
          <w:iCs/>
          <w:sz w:val="22"/>
          <w:szCs w:val="22"/>
        </w:rPr>
        <w:t>esario a valores jurídicamente protegidos, lo cual debe evitarse, en la medida de lo posible, frente a aquella que debe ser accesible al quejoso en el amparo para hacer viable su defensa efectiva y cuestionar violaciones a derechos fundamentales, lo que im</w:t>
      </w:r>
      <w:r>
        <w:rPr>
          <w:rFonts w:ascii="Palatino Linotype" w:eastAsia="Palatino Linotype" w:hAnsi="Palatino Linotype" w:cs="Palatino Linotype"/>
          <w:i/>
          <w:iCs/>
          <w:sz w:val="22"/>
          <w:szCs w:val="22"/>
        </w:rPr>
        <w:t>plica un interés público en abrir o desclasificar la información necesaria para ese efecto, cuando la autoridad responsable que la aporta al juicio la clasifica como reservada. Por tanto, es necesario distinguir esas diferencias y formular una idónea y ade</w:t>
      </w:r>
      <w:r>
        <w:rPr>
          <w:rFonts w:ascii="Palatino Linotype" w:eastAsia="Palatino Linotype" w:hAnsi="Palatino Linotype" w:cs="Palatino Linotype"/>
          <w:i/>
          <w:iCs/>
          <w:sz w:val="22"/>
          <w:szCs w:val="22"/>
        </w:rPr>
        <w:t>cuada clasificación de la información, generando así una regla individualizada y pertinente para el caso, a través de aplicar la "prueba de daño e interés público" ex officio, con el propósito de obtener una versión que sea pública para la parte interesada</w:t>
      </w:r>
      <w:r>
        <w:rPr>
          <w:rFonts w:ascii="Palatino Linotype" w:eastAsia="Palatino Linotype" w:hAnsi="Palatino Linotype" w:cs="Palatino Linotype"/>
          <w:i/>
          <w:iCs/>
          <w:sz w:val="22"/>
          <w:szCs w:val="22"/>
        </w:rPr>
        <w:t>.” (sic)</w:t>
      </w:r>
    </w:p>
    <w:p w:rsidR="00A208B1" w:rsidRDefault="003E0D5B">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todo lo anterior, la reserva de la información implica una clasificación, la cual debe entenderse como el proceso mediante el cual el</w:t>
      </w:r>
      <w:r>
        <w:rPr>
          <w:rFonts w:ascii="Palatino Linotype" w:eastAsia="Palatino Linotype" w:hAnsi="Palatino Linotype" w:cs="Palatino Linotype"/>
          <w:b/>
          <w:bCs/>
          <w:sz w:val="22"/>
          <w:szCs w:val="22"/>
        </w:rPr>
        <w:t xml:space="preserve"> Sujeto Obligado</w:t>
      </w:r>
      <w:r>
        <w:rPr>
          <w:rFonts w:ascii="Palatino Linotype" w:eastAsia="Palatino Linotype" w:hAnsi="Palatino Linotype" w:cs="Palatino Linotype"/>
          <w:sz w:val="22"/>
          <w:szCs w:val="22"/>
        </w:rPr>
        <w:t xml:space="preserve"> determina que la información en su poder actualiza alguno de los supuestos conforme a las nor</w:t>
      </w:r>
      <w:r>
        <w:rPr>
          <w:rFonts w:ascii="Palatino Linotype" w:eastAsia="Palatino Linotype" w:hAnsi="Palatino Linotype" w:cs="Palatino Linotype"/>
          <w:sz w:val="22"/>
          <w:szCs w:val="22"/>
        </w:rPr>
        <w:t>mas aplicables.</w:t>
      </w:r>
    </w:p>
    <w:p w:rsidR="00A208B1" w:rsidRDefault="003E0D5B">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tal virtud, conforme al artículo 49, fracción VIII de la Ley de Transparencia y Acceso a la Información Pública del Estado de México y Municipios, los Comités de Transparencia tienen la atribución de aprobar, modificar o revocar la clasi</w:t>
      </w:r>
      <w:r>
        <w:rPr>
          <w:rFonts w:ascii="Palatino Linotype" w:eastAsia="Palatino Linotype" w:hAnsi="Palatino Linotype" w:cs="Palatino Linotype"/>
          <w:sz w:val="22"/>
          <w:szCs w:val="22"/>
        </w:rPr>
        <w:t>ficación de la información, mientras que, el artículo 128 de la misma Ley, indica que, en los casos en que se niegue el acceso a la información, por actualizarse alguno de los supuestos de clasificación, el Comité de Transparencia debe confirmar, modificar</w:t>
      </w:r>
      <w:r>
        <w:rPr>
          <w:rFonts w:ascii="Palatino Linotype" w:eastAsia="Palatino Linotype" w:hAnsi="Palatino Linotype" w:cs="Palatino Linotype"/>
          <w:sz w:val="22"/>
          <w:szCs w:val="22"/>
        </w:rPr>
        <w:t xml:space="preserve"> o revocar la decisión, que para motivar la clasificación de la información y la ampliación del plazo de reserva, se deberán de señalar las razones, motivos o circunstancias especiales que llevaron al </w:t>
      </w:r>
      <w:r>
        <w:rPr>
          <w:rFonts w:ascii="Palatino Linotype" w:eastAsia="Palatino Linotype" w:hAnsi="Palatino Linotype" w:cs="Palatino Linotype"/>
          <w:b/>
          <w:bCs/>
          <w:sz w:val="22"/>
          <w:szCs w:val="22"/>
        </w:rPr>
        <w:t>Sujeto Obligado</w:t>
      </w:r>
      <w:r>
        <w:rPr>
          <w:rFonts w:ascii="Palatino Linotype" w:eastAsia="Palatino Linotype" w:hAnsi="Palatino Linotype" w:cs="Palatino Linotype"/>
          <w:sz w:val="22"/>
          <w:szCs w:val="22"/>
        </w:rPr>
        <w:t xml:space="preserve"> a concluir que el caso particular se aj</w:t>
      </w:r>
      <w:r>
        <w:rPr>
          <w:rFonts w:ascii="Palatino Linotype" w:eastAsia="Palatino Linotype" w:hAnsi="Palatino Linotype" w:cs="Palatino Linotype"/>
          <w:sz w:val="22"/>
          <w:szCs w:val="22"/>
        </w:rPr>
        <w:t>usta al supuesto previsto por la norma legal invocada como fundamento; siendo que, además, el</w:t>
      </w:r>
      <w:r>
        <w:rPr>
          <w:rFonts w:ascii="Palatino Linotype" w:eastAsia="Palatino Linotype" w:hAnsi="Palatino Linotype" w:cs="Palatino Linotype"/>
          <w:b/>
          <w:bCs/>
          <w:sz w:val="22"/>
          <w:szCs w:val="22"/>
        </w:rPr>
        <w:t xml:space="preserve"> Sujeto Obligado</w:t>
      </w:r>
      <w:r>
        <w:rPr>
          <w:rFonts w:ascii="Palatino Linotype" w:eastAsia="Palatino Linotype" w:hAnsi="Palatino Linotype" w:cs="Palatino Linotype"/>
          <w:sz w:val="22"/>
          <w:szCs w:val="22"/>
        </w:rPr>
        <w:t xml:space="preserve"> debe, en todo momento, aplicar una prueba de daño.</w:t>
      </w:r>
    </w:p>
    <w:p w:rsidR="00A208B1" w:rsidRDefault="003E0D5B">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Dicho lo anterior, es necesario definir a la prueba de daño como la responsabilidad de los Suje</w:t>
      </w:r>
      <w:r>
        <w:rPr>
          <w:rFonts w:ascii="Palatino Linotype" w:eastAsia="Palatino Linotype" w:hAnsi="Palatino Linotype" w:cs="Palatino Linotype"/>
          <w:sz w:val="22"/>
          <w:szCs w:val="22"/>
        </w:rPr>
        <w:t>tos Obligados de demostrar, de manera fundada y motivada, que la divulgación de la información lesiona el interés debidamente protegido por la Ley y que el menoscabo o daño que puede producirse con la publicidad de la información, es mayor que el interés d</w:t>
      </w:r>
      <w:r>
        <w:rPr>
          <w:rFonts w:ascii="Palatino Linotype" w:eastAsia="Palatino Linotype" w:hAnsi="Palatino Linotype" w:cs="Palatino Linotype"/>
          <w:sz w:val="22"/>
          <w:szCs w:val="22"/>
        </w:rPr>
        <w:t>e conocerla; por lo que, debe clasificarse como reservada.</w:t>
      </w:r>
    </w:p>
    <w:p w:rsidR="00A208B1" w:rsidRDefault="003E0D5B">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este modo, conforme al artículo 132 en correlación con el 49, fracción II de la Ley de Transparencia y Acceso a la Información Pública del Estado de México y Municipios, para clasificar la infor</w:t>
      </w:r>
      <w:r>
        <w:rPr>
          <w:rFonts w:ascii="Palatino Linotype" w:eastAsia="Palatino Linotype" w:hAnsi="Palatino Linotype" w:cs="Palatino Linotype"/>
          <w:sz w:val="22"/>
          <w:szCs w:val="22"/>
        </w:rPr>
        <w:t>mación se debe de atender a lo dispuesto por la normativa y aplicar, de manera estricta, las excepciones del derecho de acceso a la información y sólo podrán invocarlas cuando acrediten su procedencia, debiendo clasificar la información en el momento en qu</w:t>
      </w:r>
      <w:r>
        <w:rPr>
          <w:rFonts w:ascii="Palatino Linotype" w:eastAsia="Palatino Linotype" w:hAnsi="Palatino Linotype" w:cs="Palatino Linotype"/>
          <w:sz w:val="22"/>
          <w:szCs w:val="22"/>
        </w:rPr>
        <w:t>e:</w:t>
      </w:r>
    </w:p>
    <w:p w:rsidR="00A208B1" w:rsidRDefault="003E0D5B">
      <w:pPr>
        <w:numPr>
          <w:ilvl w:val="0"/>
          <w:numId w:val="4"/>
        </w:numPr>
        <w:tabs>
          <w:tab w:val="left" w:pos="709"/>
          <w:tab w:val="left" w:pos="851"/>
        </w:tabs>
        <w:spacing w:before="240" w:after="240" w:line="360" w:lineRule="auto"/>
        <w:ind w:left="284"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Se reciba una solicitud de acceso a la información;</w:t>
      </w:r>
    </w:p>
    <w:p w:rsidR="00A208B1" w:rsidRDefault="003E0D5B">
      <w:pPr>
        <w:numPr>
          <w:ilvl w:val="0"/>
          <w:numId w:val="4"/>
        </w:numPr>
        <w:tabs>
          <w:tab w:val="left" w:pos="709"/>
          <w:tab w:val="left" w:pos="851"/>
        </w:tabs>
        <w:spacing w:before="240" w:after="240" w:line="360" w:lineRule="auto"/>
        <w:ind w:left="284"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Se determine mediante resolución de autoridad competente; y/o</w:t>
      </w:r>
    </w:p>
    <w:p w:rsidR="00A208B1" w:rsidRDefault="003E0D5B">
      <w:pPr>
        <w:numPr>
          <w:ilvl w:val="0"/>
          <w:numId w:val="4"/>
        </w:numPr>
        <w:tabs>
          <w:tab w:val="left" w:pos="709"/>
          <w:tab w:val="left" w:pos="851"/>
        </w:tabs>
        <w:spacing w:before="240" w:after="240" w:line="360" w:lineRule="auto"/>
        <w:ind w:left="284"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Se generen versiones públicas para dar cumplimiento a las obligaciones de transparencia previstas en la Ley.</w:t>
      </w:r>
    </w:p>
    <w:p w:rsidR="00A208B1" w:rsidRDefault="003E0D5B">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Situación que se robustece con</w:t>
      </w:r>
      <w:r>
        <w:rPr>
          <w:rFonts w:ascii="Palatino Linotype" w:eastAsia="Palatino Linotype" w:hAnsi="Palatino Linotype" w:cs="Palatino Linotype"/>
          <w:sz w:val="22"/>
          <w:szCs w:val="22"/>
        </w:rPr>
        <w:t xml:space="preserve"> el artículo 141 de la misma Ley, que señala que las causales de reserva previstas, se deberán fundar y motivar, a través de la aplicación de la prueba de daño.</w:t>
      </w:r>
    </w:p>
    <w:p w:rsidR="00A208B1" w:rsidRDefault="003E0D5B">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Igualmente, la clasificación de la información debe estar sustentada en el Acuerdo de Clasifica</w:t>
      </w:r>
      <w:r>
        <w:rPr>
          <w:rFonts w:ascii="Palatino Linotype" w:eastAsia="Palatino Linotype" w:hAnsi="Palatino Linotype" w:cs="Palatino Linotype"/>
          <w:sz w:val="22"/>
          <w:szCs w:val="22"/>
        </w:rPr>
        <w:t>ción correspondiente, en el que, de manera fundada y motivada, se establezcan las hipótesis normativas aplicables al caso concreto y se analice la prueba de daño que prevé el artículo 129 de la Ley de Transparencia de mérito, para lo cual, los Sujetos Obli</w:t>
      </w:r>
      <w:r>
        <w:rPr>
          <w:rFonts w:ascii="Palatino Linotype" w:eastAsia="Palatino Linotype" w:hAnsi="Palatino Linotype" w:cs="Palatino Linotype"/>
          <w:sz w:val="22"/>
          <w:szCs w:val="22"/>
        </w:rPr>
        <w:t xml:space="preserve">gados deberán considerar que: </w:t>
      </w:r>
    </w:p>
    <w:p w:rsidR="00A208B1" w:rsidRDefault="003E0D5B">
      <w:pPr>
        <w:numPr>
          <w:ilvl w:val="0"/>
          <w:numId w:val="3"/>
        </w:numPr>
        <w:spacing w:before="240" w:after="240" w:line="360" w:lineRule="auto"/>
        <w:ind w:left="284"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La divulgación de la información representa un </w:t>
      </w:r>
      <w:r>
        <w:rPr>
          <w:rFonts w:ascii="Palatino Linotype" w:eastAsia="Palatino Linotype" w:hAnsi="Palatino Linotype" w:cs="Palatino Linotype"/>
          <w:b/>
          <w:bCs/>
          <w:sz w:val="22"/>
          <w:szCs w:val="22"/>
        </w:rPr>
        <w:t>riesgo real, demostrable e identificable del perjuicio significativo al interés público o a la seguridad pública</w:t>
      </w:r>
      <w:r>
        <w:rPr>
          <w:rFonts w:ascii="Palatino Linotype" w:eastAsia="Palatino Linotype" w:hAnsi="Palatino Linotype" w:cs="Palatino Linotype"/>
          <w:sz w:val="22"/>
          <w:szCs w:val="22"/>
        </w:rPr>
        <w:t>;</w:t>
      </w:r>
    </w:p>
    <w:p w:rsidR="00A208B1" w:rsidRDefault="003E0D5B">
      <w:pPr>
        <w:numPr>
          <w:ilvl w:val="0"/>
          <w:numId w:val="3"/>
        </w:numPr>
        <w:spacing w:before="240" w:after="240" w:line="360" w:lineRule="auto"/>
        <w:ind w:left="284"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riesgo de perjuicio que supondría la divulgación supera el interés público general de que se difunda; y,</w:t>
      </w:r>
    </w:p>
    <w:p w:rsidR="00A208B1" w:rsidRDefault="003E0D5B">
      <w:pPr>
        <w:numPr>
          <w:ilvl w:val="0"/>
          <w:numId w:val="3"/>
        </w:numPr>
        <w:spacing w:before="240" w:after="240" w:line="360" w:lineRule="auto"/>
        <w:ind w:left="284"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La limitación se adecua al principio de proporcionalidad y representa el medio menos restrictivo disponible para evitar el perjuicio. </w:t>
      </w:r>
    </w:p>
    <w:p w:rsidR="00A208B1" w:rsidRDefault="003E0D5B">
      <w:pPr>
        <w:widowControl w:val="0"/>
        <w:tabs>
          <w:tab w:val="left" w:pos="1276"/>
          <w:tab w:val="left" w:pos="1701"/>
          <w:tab w:val="left" w:pos="1843"/>
        </w:tabs>
        <w:spacing w:before="240" w:after="240"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Atento a lo a</w:t>
      </w:r>
      <w:r>
        <w:rPr>
          <w:rFonts w:ascii="Palatino Linotype" w:eastAsia="Palatino Linotype" w:hAnsi="Palatino Linotype" w:cs="Palatino Linotype"/>
          <w:sz w:val="22"/>
          <w:szCs w:val="22"/>
        </w:rPr>
        <w:t>nterior, es necesario hacer hincapié que para el caso de que existan causas presentes que impiden la publicidad de la información durante cierto periodo de tiempo, debe clasificar la información como reservada, precisar las razones objetivas por las que la</w:t>
      </w:r>
      <w:r>
        <w:rPr>
          <w:rFonts w:ascii="Palatino Linotype" w:eastAsia="Palatino Linotype" w:hAnsi="Palatino Linotype" w:cs="Palatino Linotype"/>
          <w:sz w:val="22"/>
          <w:szCs w:val="22"/>
        </w:rPr>
        <w:t xml:space="preserve"> apertura de la información generaría una afectación, asimismo es claro que los mismos deben aplicar de manera restrictiva y limitada las hipótesis de clasificación y no hacerlas valer de manera general.</w:t>
      </w:r>
    </w:p>
    <w:p w:rsidR="00A208B1" w:rsidRDefault="003E0D5B">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Ahora bien, respecto a la información que habrá de s</w:t>
      </w:r>
      <w:r>
        <w:rPr>
          <w:rFonts w:ascii="Palatino Linotype" w:eastAsia="Palatino Linotype" w:hAnsi="Palatino Linotype" w:cs="Palatino Linotype"/>
          <w:sz w:val="22"/>
          <w:szCs w:val="22"/>
        </w:rPr>
        <w:t>er reservada, resulta necesario señalar que de conformidad con el artículo 3, fracciones XXIV de la Ley de Transparencia y Acceso a la Información Pública del Estado de México y Municipios, se define de la siguiente manera:</w:t>
      </w:r>
    </w:p>
    <w:p w:rsidR="00A208B1" w:rsidRDefault="003E0D5B">
      <w:pPr>
        <w:ind w:left="851" w:right="567"/>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w:t>
      </w:r>
    </w:p>
    <w:p w:rsidR="00A208B1" w:rsidRDefault="003E0D5B">
      <w:pPr>
        <w:ind w:left="851" w:right="567"/>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XXIV. Información reservada:</w:t>
      </w:r>
      <w:r>
        <w:rPr>
          <w:rFonts w:ascii="Palatino Linotype" w:eastAsia="Palatino Linotype" w:hAnsi="Palatino Linotype" w:cs="Palatino Linotype"/>
          <w:i/>
          <w:iCs/>
          <w:sz w:val="22"/>
          <w:szCs w:val="22"/>
        </w:rPr>
        <w:t xml:space="preserve"> La clasificada con este carácter de manera temporal por las disposiciones de esta Ley, cuya divulgación puede causar daño en términos de lo establecido por esta Ley…”</w:t>
      </w:r>
    </w:p>
    <w:p w:rsidR="00A208B1" w:rsidRDefault="003E0D5B">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síntesis, se determina que, excepcionalmente la información pública podrá ser clasifi</w:t>
      </w:r>
      <w:r>
        <w:rPr>
          <w:rFonts w:ascii="Palatino Linotype" w:eastAsia="Palatino Linotype" w:hAnsi="Palatino Linotype" w:cs="Palatino Linotype"/>
          <w:sz w:val="22"/>
          <w:szCs w:val="22"/>
        </w:rPr>
        <w:t>cada como reservada temporalmente por razones de interés público, en los términos de las causas legítimas y estrictamente necesarias previstas por la Ley de Transparencia, por lo que los Sujetos Obligados deben garantizar el derecho de acceso a la informac</w:t>
      </w:r>
      <w:r>
        <w:rPr>
          <w:rFonts w:ascii="Palatino Linotype" w:eastAsia="Palatino Linotype" w:hAnsi="Palatino Linotype" w:cs="Palatino Linotype"/>
          <w:sz w:val="22"/>
          <w:szCs w:val="22"/>
        </w:rPr>
        <w:t xml:space="preserve">ión pública, pero también tienen </w:t>
      </w:r>
      <w:r>
        <w:rPr>
          <w:rFonts w:ascii="Palatino Linotype" w:eastAsia="Palatino Linotype" w:hAnsi="Palatino Linotype" w:cs="Palatino Linotype"/>
          <w:b/>
          <w:bCs/>
          <w:sz w:val="22"/>
          <w:szCs w:val="22"/>
        </w:rPr>
        <w:t>la obligación de proteger los datos personales contenidos en la información en su poder</w:t>
      </w:r>
      <w:r>
        <w:rPr>
          <w:rFonts w:ascii="Palatino Linotype" w:eastAsia="Palatino Linotype" w:hAnsi="Palatino Linotype" w:cs="Palatino Linotype"/>
          <w:sz w:val="22"/>
          <w:szCs w:val="22"/>
        </w:rPr>
        <w:t xml:space="preserve">, así como </w:t>
      </w:r>
      <w:r>
        <w:rPr>
          <w:rFonts w:ascii="Palatino Linotype" w:eastAsia="Palatino Linotype" w:hAnsi="Palatino Linotype" w:cs="Palatino Linotype"/>
          <w:b/>
          <w:bCs/>
          <w:sz w:val="22"/>
          <w:szCs w:val="22"/>
        </w:rPr>
        <w:t>aquella que recaiga en alguna causal de reserva que señale la Ley</w:t>
      </w:r>
      <w:r>
        <w:rPr>
          <w:rFonts w:ascii="Palatino Linotype" w:eastAsia="Palatino Linotype" w:hAnsi="Palatino Linotype" w:cs="Palatino Linotype"/>
          <w:sz w:val="22"/>
          <w:szCs w:val="22"/>
        </w:rPr>
        <w:t>.</w:t>
      </w:r>
    </w:p>
    <w:p w:rsidR="00A208B1" w:rsidRDefault="003E0D5B">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 base en lo expuesto, se insiste que en la versión públ</w:t>
      </w:r>
      <w:r>
        <w:rPr>
          <w:rFonts w:ascii="Palatino Linotype" w:eastAsia="Palatino Linotype" w:hAnsi="Palatino Linotype" w:cs="Palatino Linotype"/>
          <w:sz w:val="22"/>
          <w:szCs w:val="22"/>
        </w:rPr>
        <w:t>ica de los documentos que se ordenan se deben testar aquellos elementos señalados en la presente resolución, en el entendido de que debe ser pública toda la demás información relacionada que no encuadre en los conceptos anteriores.</w:t>
      </w:r>
    </w:p>
    <w:p w:rsidR="00A208B1" w:rsidRDefault="003E0D5B">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Asimismo, se destaca que</w:t>
      </w:r>
      <w:r>
        <w:rPr>
          <w:rFonts w:ascii="Palatino Linotype" w:eastAsia="Palatino Linotype" w:hAnsi="Palatino Linotype" w:cs="Palatino Linotype"/>
          <w:sz w:val="22"/>
          <w:szCs w:val="22"/>
        </w:rPr>
        <w:t xml:space="preserve"> la versión pública que elabore el </w:t>
      </w:r>
      <w:r>
        <w:rPr>
          <w:rFonts w:ascii="Palatino Linotype" w:eastAsia="Palatino Linotype" w:hAnsi="Palatino Linotype" w:cs="Palatino Linotype"/>
          <w:b/>
          <w:bCs/>
          <w:sz w:val="22"/>
          <w:szCs w:val="22"/>
        </w:rPr>
        <w:t>Sujeto Obligado</w:t>
      </w:r>
      <w:r>
        <w:rPr>
          <w:rFonts w:ascii="Palatino Linotype" w:eastAsia="Palatino Linotype" w:hAnsi="Palatino Linotype" w:cs="Palatino Linotype"/>
          <w:sz w:val="22"/>
          <w:szCs w:val="22"/>
        </w:rPr>
        <w:t xml:space="preserve"> debe cumplir con las formalidades exigidas en la Ley, por lo que para tal efecto emitirá el Acuerdo del Comité de Transparencia en el que se expongan los fundamentos y razonamientos que le llevaron a testa</w:t>
      </w:r>
      <w:r>
        <w:rPr>
          <w:rFonts w:ascii="Palatino Linotype" w:eastAsia="Palatino Linotype" w:hAnsi="Palatino Linotype" w:cs="Palatino Linotype"/>
          <w:sz w:val="22"/>
          <w:szCs w:val="22"/>
        </w:rPr>
        <w:t xml:space="preserve">r, suprimir o eliminar datos de dicho soporte documental, ya que no hacerlo implica que lo entregado no es legal ni formalmente una versión pública, sino más bien una documentación ilegible, incompleta o tachada; pues no señalar las razones por las que no </w:t>
      </w:r>
      <w:r>
        <w:rPr>
          <w:rFonts w:ascii="Palatino Linotype" w:eastAsia="Palatino Linotype" w:hAnsi="Palatino Linotype" w:cs="Palatino Linotype"/>
          <w:sz w:val="22"/>
          <w:szCs w:val="22"/>
        </w:rPr>
        <w:t>se aprecian determinados datos -ya sea porque se testan o suprimen- deja al solicitante en estado de incertidumbre, al no conocer o comprender porque no aparecen en la documentación respectiva, es decir, si no se exponen de manera puntual las razones de el</w:t>
      </w:r>
      <w:r>
        <w:rPr>
          <w:rFonts w:ascii="Palatino Linotype" w:eastAsia="Palatino Linotype" w:hAnsi="Palatino Linotype" w:cs="Palatino Linotype"/>
          <w:sz w:val="22"/>
          <w:szCs w:val="22"/>
        </w:rPr>
        <w:t>lo se estaría violentando desde un inicio el derecho de acceso a la información del solicitante, por lo que el acuerdo respectivo, deberá hacerse del conocimiento de la parte </w:t>
      </w:r>
      <w:r>
        <w:rPr>
          <w:rFonts w:ascii="Palatino Linotype" w:eastAsia="Palatino Linotype" w:hAnsi="Palatino Linotype" w:cs="Palatino Linotype"/>
          <w:b/>
          <w:bCs/>
          <w:sz w:val="22"/>
          <w:szCs w:val="22"/>
        </w:rPr>
        <w:t>Recurrente</w:t>
      </w:r>
      <w:r>
        <w:rPr>
          <w:rFonts w:ascii="Palatino Linotype" w:eastAsia="Palatino Linotype" w:hAnsi="Palatino Linotype" w:cs="Palatino Linotype"/>
          <w:sz w:val="22"/>
          <w:szCs w:val="22"/>
        </w:rPr>
        <w:t>.</w:t>
      </w:r>
    </w:p>
    <w:p w:rsidR="00A208B1" w:rsidRDefault="003E0D5B">
      <w:pPr>
        <w:spacing w:before="240" w:after="240" w:line="360" w:lineRule="auto"/>
        <w:ind w:right="5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tal contexto, es de señalar que la clasificación de la información</w:t>
      </w:r>
      <w:r>
        <w:rPr>
          <w:rFonts w:ascii="Palatino Linotype" w:eastAsia="Palatino Linotype" w:hAnsi="Palatino Linotype" w:cs="Palatino Linotype"/>
          <w:sz w:val="22"/>
          <w:szCs w:val="22"/>
        </w:rPr>
        <w:t xml:space="preserve"> no opera con la simple supresión de datos que se haga en los documentos de que se trate o con la simple decisión que tome el Servidor Público Habilitado o el Responsable de la Unidad de Transparencia del Sujeto Obligado, sino que ello deberá realizarse en</w:t>
      </w:r>
      <w:r>
        <w:rPr>
          <w:rFonts w:ascii="Palatino Linotype" w:eastAsia="Palatino Linotype" w:hAnsi="Palatino Linotype" w:cs="Palatino Linotype"/>
          <w:sz w:val="22"/>
          <w:szCs w:val="22"/>
        </w:rPr>
        <w:t xml:space="preserve"> términos de lo que disponen los artículos 49 fracción VIII, 53, fracción X y 59, fracción V, de la Ley en consulta, cuyo sentido literal es el siguiente:</w:t>
      </w:r>
    </w:p>
    <w:p w:rsidR="00A208B1" w:rsidRDefault="003E0D5B">
      <w:pPr>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“Artículo 49.</w:t>
      </w: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b/>
          <w:bCs/>
          <w:i/>
          <w:iCs/>
          <w:sz w:val="22"/>
          <w:szCs w:val="22"/>
        </w:rPr>
        <w:t>Los Comités de Transparencia</w:t>
      </w:r>
      <w:r>
        <w:rPr>
          <w:rFonts w:ascii="Palatino Linotype" w:eastAsia="Palatino Linotype" w:hAnsi="Palatino Linotype" w:cs="Palatino Linotype"/>
          <w:i/>
          <w:iCs/>
          <w:sz w:val="22"/>
          <w:szCs w:val="22"/>
        </w:rPr>
        <w:t xml:space="preserve"> tendrán las siguientes atribuciones:</w:t>
      </w:r>
    </w:p>
    <w:p w:rsidR="00A208B1" w:rsidRDefault="003E0D5B">
      <w:pPr>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VIII. Aprobar, modifi</w:t>
      </w:r>
      <w:r>
        <w:rPr>
          <w:rFonts w:ascii="Palatino Linotype" w:eastAsia="Palatino Linotype" w:hAnsi="Palatino Linotype" w:cs="Palatino Linotype"/>
          <w:b/>
          <w:bCs/>
          <w:i/>
          <w:iCs/>
          <w:sz w:val="22"/>
          <w:szCs w:val="22"/>
        </w:rPr>
        <w:t>car o revocar la clasificación de la información</w:t>
      </w:r>
      <w:r>
        <w:rPr>
          <w:rFonts w:ascii="Palatino Linotype" w:eastAsia="Palatino Linotype" w:hAnsi="Palatino Linotype" w:cs="Palatino Linotype"/>
          <w:i/>
          <w:iCs/>
          <w:sz w:val="22"/>
          <w:szCs w:val="22"/>
        </w:rPr>
        <w:t>…”</w:t>
      </w:r>
    </w:p>
    <w:p w:rsidR="00A208B1" w:rsidRDefault="003E0D5B">
      <w:pPr>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r>
        <w:rPr>
          <w:rFonts w:ascii="Palatino Linotype" w:eastAsia="Palatino Linotype" w:hAnsi="Palatino Linotype" w:cs="Palatino Linotype"/>
          <w:b/>
          <w:bCs/>
          <w:i/>
          <w:iCs/>
          <w:sz w:val="22"/>
          <w:szCs w:val="22"/>
        </w:rPr>
        <w:t>Artículo 53.</w:t>
      </w:r>
      <w:r>
        <w:rPr>
          <w:rFonts w:ascii="Palatino Linotype" w:eastAsia="Palatino Linotype" w:hAnsi="Palatino Linotype" w:cs="Palatino Linotype"/>
          <w:i/>
          <w:iCs/>
          <w:sz w:val="22"/>
          <w:szCs w:val="22"/>
        </w:rPr>
        <w:t xml:space="preserve"> Las </w:t>
      </w:r>
      <w:r>
        <w:rPr>
          <w:rFonts w:ascii="Palatino Linotype" w:eastAsia="Palatino Linotype" w:hAnsi="Palatino Linotype" w:cs="Palatino Linotype"/>
          <w:b/>
          <w:bCs/>
          <w:i/>
          <w:iCs/>
          <w:sz w:val="22"/>
          <w:szCs w:val="22"/>
        </w:rPr>
        <w:t>Unidades de Transparencia</w:t>
      </w:r>
      <w:r>
        <w:rPr>
          <w:rFonts w:ascii="Palatino Linotype" w:eastAsia="Palatino Linotype" w:hAnsi="Palatino Linotype" w:cs="Palatino Linotype"/>
          <w:i/>
          <w:iCs/>
          <w:sz w:val="22"/>
          <w:szCs w:val="22"/>
        </w:rPr>
        <w:t xml:space="preserve"> tendrán las siguientes </w:t>
      </w:r>
      <w:r>
        <w:rPr>
          <w:rFonts w:ascii="Palatino Linotype" w:eastAsia="Palatino Linotype" w:hAnsi="Palatino Linotype" w:cs="Palatino Linotype"/>
          <w:b/>
          <w:bCs/>
          <w:i/>
          <w:iCs/>
          <w:sz w:val="22"/>
          <w:szCs w:val="22"/>
        </w:rPr>
        <w:t>funciones</w:t>
      </w:r>
      <w:r>
        <w:rPr>
          <w:rFonts w:ascii="Palatino Linotype" w:eastAsia="Palatino Linotype" w:hAnsi="Palatino Linotype" w:cs="Palatino Linotype"/>
          <w:i/>
          <w:iCs/>
          <w:sz w:val="22"/>
          <w:szCs w:val="22"/>
        </w:rPr>
        <w:t>:</w:t>
      </w:r>
    </w:p>
    <w:p w:rsidR="00A208B1" w:rsidRDefault="003E0D5B">
      <w:pPr>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X. Presentar ante el Comité, el proyecto de clasificación de información</w:t>
      </w:r>
      <w:r>
        <w:rPr>
          <w:rFonts w:ascii="Palatino Linotype" w:eastAsia="Palatino Linotype" w:hAnsi="Palatino Linotype" w:cs="Palatino Linotype"/>
          <w:i/>
          <w:iCs/>
          <w:sz w:val="22"/>
          <w:szCs w:val="22"/>
        </w:rPr>
        <w:t xml:space="preserve">…” </w:t>
      </w:r>
    </w:p>
    <w:p w:rsidR="00A208B1" w:rsidRDefault="003E0D5B">
      <w:pPr>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“Artículo 59.</w:t>
      </w:r>
      <w:r>
        <w:rPr>
          <w:rFonts w:ascii="Palatino Linotype" w:eastAsia="Palatino Linotype" w:hAnsi="Palatino Linotype" w:cs="Palatino Linotype"/>
          <w:i/>
          <w:iCs/>
          <w:sz w:val="22"/>
          <w:szCs w:val="22"/>
        </w:rPr>
        <w:t xml:space="preserve"> Los </w:t>
      </w:r>
      <w:r>
        <w:rPr>
          <w:rFonts w:ascii="Palatino Linotype" w:eastAsia="Palatino Linotype" w:hAnsi="Palatino Linotype" w:cs="Palatino Linotype"/>
          <w:b/>
          <w:bCs/>
          <w:i/>
          <w:iCs/>
          <w:sz w:val="22"/>
          <w:szCs w:val="22"/>
        </w:rPr>
        <w:t>servidores públicos habilitados</w:t>
      </w:r>
      <w:r>
        <w:rPr>
          <w:rFonts w:ascii="Palatino Linotype" w:eastAsia="Palatino Linotype" w:hAnsi="Palatino Linotype" w:cs="Palatino Linotype"/>
          <w:i/>
          <w:iCs/>
          <w:sz w:val="22"/>
          <w:szCs w:val="22"/>
        </w:rPr>
        <w:t xml:space="preserve"> t</w:t>
      </w:r>
      <w:r>
        <w:rPr>
          <w:rFonts w:ascii="Palatino Linotype" w:eastAsia="Palatino Linotype" w:hAnsi="Palatino Linotype" w:cs="Palatino Linotype"/>
          <w:i/>
          <w:iCs/>
          <w:sz w:val="22"/>
          <w:szCs w:val="22"/>
        </w:rPr>
        <w:t xml:space="preserve">endrán las </w:t>
      </w:r>
      <w:r>
        <w:rPr>
          <w:rFonts w:ascii="Palatino Linotype" w:eastAsia="Palatino Linotype" w:hAnsi="Palatino Linotype" w:cs="Palatino Linotype"/>
          <w:b/>
          <w:bCs/>
          <w:i/>
          <w:iCs/>
          <w:sz w:val="22"/>
          <w:szCs w:val="22"/>
        </w:rPr>
        <w:t>funciones</w:t>
      </w:r>
      <w:r>
        <w:rPr>
          <w:rFonts w:ascii="Palatino Linotype" w:eastAsia="Palatino Linotype" w:hAnsi="Palatino Linotype" w:cs="Palatino Linotype"/>
          <w:i/>
          <w:iCs/>
          <w:sz w:val="22"/>
          <w:szCs w:val="22"/>
        </w:rPr>
        <w:t xml:space="preserve"> siguientes:</w:t>
      </w:r>
    </w:p>
    <w:p w:rsidR="00A208B1" w:rsidRDefault="003E0D5B">
      <w:pPr>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V. Integrar y presentar al responsable de la Unidad de Transparencia la propuesta de clasificación de información</w:t>
      </w:r>
      <w:r>
        <w:rPr>
          <w:rFonts w:ascii="Palatino Linotype" w:eastAsia="Palatino Linotype" w:hAnsi="Palatino Linotype" w:cs="Palatino Linotype"/>
          <w:i/>
          <w:iCs/>
          <w:sz w:val="22"/>
          <w:szCs w:val="22"/>
        </w:rPr>
        <w:t>, la cual tendrá los fundamentos y argumentos en que se basa dicha propuesta…”</w:t>
      </w:r>
    </w:p>
    <w:p w:rsidR="00A208B1" w:rsidRDefault="003E0D5B">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w:t>
      </w:r>
      <w:r>
        <w:rPr>
          <w:rFonts w:ascii="Palatino Linotype" w:eastAsia="Palatino Linotype" w:hAnsi="Palatino Linotype" w:cs="Palatino Linotype"/>
          <w:sz w:val="22"/>
          <w:szCs w:val="22"/>
        </w:rPr>
        <w:t xml:space="preserve">endo el deber los primeros de ellos de presentar ante la Unidad de Transparencia la propuesta de la clasificación de la información, para que luego ésta presente ante al Comité de Transparencia de así resultar procedente el proyecto de clasificación de la </w:t>
      </w:r>
      <w:r>
        <w:rPr>
          <w:rFonts w:ascii="Palatino Linotype" w:eastAsia="Palatino Linotype" w:hAnsi="Palatino Linotype" w:cs="Palatino Linotype"/>
          <w:sz w:val="22"/>
          <w:szCs w:val="22"/>
        </w:rPr>
        <w:t>información y finalmente sea éste último quien apruebe, modifique o revoque la clasificación de la información solicitada.</w:t>
      </w:r>
    </w:p>
    <w:p w:rsidR="00A208B1" w:rsidRDefault="003E0D5B">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rsidR="00A208B1" w:rsidRDefault="003E0D5B">
      <w:pPr>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r>
        <w:rPr>
          <w:rFonts w:ascii="Palatino Linotype" w:eastAsia="Palatino Linotype" w:hAnsi="Palatino Linotype" w:cs="Palatino Linotype"/>
          <w:b/>
          <w:bCs/>
          <w:i/>
          <w:iCs/>
          <w:sz w:val="22"/>
          <w:szCs w:val="22"/>
        </w:rPr>
        <w:t>Artículo 149.</w:t>
      </w:r>
      <w:r>
        <w:rPr>
          <w:rFonts w:ascii="Palatino Linotype" w:eastAsia="Palatino Linotype" w:hAnsi="Palatino Linotype" w:cs="Palatino Linotype"/>
          <w:i/>
          <w:iCs/>
          <w:sz w:val="22"/>
          <w:szCs w:val="22"/>
        </w:rPr>
        <w:t xml:space="preserve"> El </w:t>
      </w:r>
      <w:r>
        <w:rPr>
          <w:rFonts w:ascii="Palatino Linotype" w:eastAsia="Palatino Linotype" w:hAnsi="Palatino Linotype" w:cs="Palatino Linotype"/>
          <w:b/>
          <w:bCs/>
          <w:i/>
          <w:iCs/>
          <w:sz w:val="22"/>
          <w:szCs w:val="22"/>
        </w:rPr>
        <w:t>acuerdo que clasifique la información como confide</w:t>
      </w:r>
      <w:r>
        <w:rPr>
          <w:rFonts w:ascii="Palatino Linotype" w:eastAsia="Palatino Linotype" w:hAnsi="Palatino Linotype" w:cs="Palatino Linotype"/>
          <w:b/>
          <w:bCs/>
          <w:i/>
          <w:iCs/>
          <w:sz w:val="22"/>
          <w:szCs w:val="22"/>
        </w:rPr>
        <w:t>ncial</w:t>
      </w:r>
      <w:r>
        <w:rPr>
          <w:rFonts w:ascii="Palatino Linotype" w:eastAsia="Palatino Linotype" w:hAnsi="Palatino Linotype" w:cs="Palatino Linotype"/>
          <w:i/>
          <w:iCs/>
          <w:sz w:val="22"/>
          <w:szCs w:val="22"/>
        </w:rPr>
        <w:t xml:space="preserve"> deberá contener un razonamiento lógico en el que demuestre que la información se encuentra en alguna o algunas de las hipótesis previstas en la presente Ley.” </w:t>
      </w:r>
    </w:p>
    <w:p w:rsidR="00A208B1" w:rsidRDefault="003E0D5B">
      <w:pPr>
        <w:spacing w:before="240" w:after="240" w:line="360" w:lineRule="auto"/>
        <w:ind w:right="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Es decir, el </w:t>
      </w:r>
      <w:r>
        <w:rPr>
          <w:rFonts w:ascii="Palatino Linotype" w:eastAsia="Palatino Linotype" w:hAnsi="Palatino Linotype" w:cs="Palatino Linotype"/>
          <w:b/>
          <w:bCs/>
          <w:sz w:val="22"/>
          <w:szCs w:val="22"/>
        </w:rPr>
        <w:t>Sujeto Obligado</w:t>
      </w:r>
      <w:r>
        <w:rPr>
          <w:rFonts w:ascii="Palatino Linotype" w:eastAsia="Palatino Linotype" w:hAnsi="Palatino Linotype" w:cs="Palatino Linotype"/>
          <w:sz w:val="22"/>
          <w:szCs w:val="22"/>
        </w:rPr>
        <w:t xml:space="preserve"> a través de su Comité de Transparencia, deberá elaborar acuer</w:t>
      </w:r>
      <w:r>
        <w:rPr>
          <w:rFonts w:ascii="Palatino Linotype" w:eastAsia="Palatino Linotype" w:hAnsi="Palatino Linotype" w:cs="Palatino Linotype"/>
          <w:sz w:val="22"/>
          <w:szCs w:val="22"/>
        </w:rPr>
        <w:t>do que contenga un razonamiento lógico con el que se demuestre que la información que se testa de las versiones públicas que se sirva elaborar, encuadra en alguna de las hipótesis que contempla la Ley de la Materia en su artículo 143; ya que de lo contrari</w:t>
      </w:r>
      <w:r>
        <w:rPr>
          <w:rFonts w:ascii="Palatino Linotype" w:eastAsia="Palatino Linotype" w:hAnsi="Palatino Linotype" w:cs="Palatino Linotype"/>
          <w:sz w:val="22"/>
          <w:szCs w:val="22"/>
        </w:rPr>
        <w:t>o, se crearía la incertidumbre jurídica en relación a si lo entregado es formalmente una versión pública, o un documento ilegible, incompleto o tachado; en otras palabras si no se exponen de manera puntual las razones de la versión pública de la documentac</w:t>
      </w:r>
      <w:r>
        <w:rPr>
          <w:rFonts w:ascii="Palatino Linotype" w:eastAsia="Palatino Linotype" w:hAnsi="Palatino Linotype" w:cs="Palatino Linotype"/>
          <w:sz w:val="22"/>
          <w:szCs w:val="22"/>
        </w:rPr>
        <w:t>ión entregada se estaría violentando el derecho de acceso a la información de la persona solicitante.</w:t>
      </w:r>
    </w:p>
    <w:p w:rsidR="00A208B1" w:rsidRDefault="003E0D5B">
      <w:pPr>
        <w:spacing w:before="240" w:after="240" w:line="360" w:lineRule="auto"/>
        <w:ind w:right="49"/>
        <w:jc w:val="both"/>
        <w:rPr>
          <w:rFonts w:ascii="Palatino Linotype" w:eastAsia="Palatino Linotype" w:hAnsi="Palatino Linotype" w:cs="Palatino Linotype"/>
          <w:b/>
          <w:bCs/>
          <w:sz w:val="22"/>
          <w:szCs w:val="22"/>
        </w:rPr>
      </w:pPr>
      <w:r>
        <w:rPr>
          <w:rFonts w:ascii="Palatino Linotype" w:eastAsia="Palatino Linotype" w:hAnsi="Palatino Linotype" w:cs="Palatino Linotype"/>
          <w:sz w:val="22"/>
          <w:szCs w:val="22"/>
        </w:rPr>
        <w:t xml:space="preserve">Atento a lo anterior, cabe señalar que el Comité de Transparencia del </w:t>
      </w:r>
      <w:r>
        <w:rPr>
          <w:rFonts w:ascii="Palatino Linotype" w:eastAsia="Palatino Linotype" w:hAnsi="Palatino Linotype" w:cs="Palatino Linotype"/>
          <w:b/>
          <w:bCs/>
          <w:sz w:val="22"/>
          <w:szCs w:val="22"/>
        </w:rPr>
        <w:t>Sujeto Obligado</w:t>
      </w:r>
      <w:r>
        <w:rPr>
          <w:rFonts w:ascii="Palatino Linotype" w:eastAsia="Palatino Linotype" w:hAnsi="Palatino Linotype" w:cs="Palatino Linotype"/>
          <w:sz w:val="22"/>
          <w:szCs w:val="22"/>
        </w:rPr>
        <w:t>, deberá emitir el acuerdo de clasificación de información debidament</w:t>
      </w:r>
      <w:r>
        <w:rPr>
          <w:rFonts w:ascii="Palatino Linotype" w:eastAsia="Palatino Linotype" w:hAnsi="Palatino Linotype" w:cs="Palatino Linotype"/>
          <w:sz w:val="22"/>
          <w:szCs w:val="22"/>
        </w:rPr>
        <w:t>e fundado y motivado, en términos los Lineamientos Segundo, fracción XVIII, y del Cuarto al Décimo Primero de los “Lineamientos Generales en materia de Clasificación y Desclasificación de la Información, así como para la elaboración de Versiones Públicas”,</w:t>
      </w:r>
      <w:r>
        <w:rPr>
          <w:rFonts w:ascii="Palatino Linotype" w:eastAsia="Palatino Linotype" w:hAnsi="Palatino Linotype" w:cs="Palatino Linotype"/>
          <w:sz w:val="22"/>
          <w:szCs w:val="22"/>
        </w:rPr>
        <w:t xml:space="preserve"> que literalmente expresan:</w:t>
      </w:r>
    </w:p>
    <w:p w:rsidR="00A208B1" w:rsidRDefault="003E0D5B">
      <w:pPr>
        <w:tabs>
          <w:tab w:val="left" w:pos="8222"/>
        </w:tabs>
        <w:spacing w:before="120" w:after="120"/>
        <w:ind w:left="851"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b/>
          <w:bCs/>
          <w:i/>
          <w:iCs/>
          <w:sz w:val="22"/>
          <w:szCs w:val="22"/>
        </w:rPr>
        <w:t>Segundo.-</w:t>
      </w:r>
      <w:r>
        <w:rPr>
          <w:rFonts w:ascii="Palatino Linotype" w:eastAsia="Palatino Linotype" w:hAnsi="Palatino Linotype" w:cs="Palatino Linotype"/>
          <w:i/>
          <w:iCs/>
          <w:sz w:val="22"/>
          <w:szCs w:val="22"/>
        </w:rPr>
        <w:t xml:space="preserve"> Para efectos de los presentes Lineamientos Generales, se entenderá por:</w:t>
      </w:r>
    </w:p>
    <w:p w:rsidR="00A208B1" w:rsidRDefault="003E0D5B">
      <w:pPr>
        <w:tabs>
          <w:tab w:val="left" w:pos="8222"/>
        </w:tabs>
        <w:spacing w:before="120" w:after="120"/>
        <w:ind w:left="851"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XVIII.</w:t>
      </w: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b/>
          <w:bCs/>
          <w:i/>
          <w:iCs/>
          <w:sz w:val="22"/>
          <w:szCs w:val="22"/>
        </w:rPr>
        <w:t>Versión pública:</w:t>
      </w:r>
      <w:r>
        <w:rPr>
          <w:rFonts w:ascii="Palatino Linotype" w:eastAsia="Palatino Linotype" w:hAnsi="Palatino Linotype" w:cs="Palatino Linotype"/>
          <w:i/>
          <w:iCs/>
          <w:sz w:val="22"/>
          <w:szCs w:val="22"/>
        </w:rPr>
        <w:t xml:space="preserve"> El documento a partir del que se otorga acceso a la información, en el que se testan partes o secciones clasificadas, in</w:t>
      </w:r>
      <w:r>
        <w:rPr>
          <w:rFonts w:ascii="Palatino Linotype" w:eastAsia="Palatino Linotype" w:hAnsi="Palatino Linotype" w:cs="Palatino Linotype"/>
          <w:i/>
          <w:iCs/>
          <w:sz w:val="22"/>
          <w:szCs w:val="22"/>
        </w:rPr>
        <w:t xml:space="preserve">dicando el contenido de éstas de manera genérica, </w:t>
      </w:r>
      <w:r>
        <w:rPr>
          <w:rFonts w:ascii="Palatino Linotype" w:eastAsia="Palatino Linotype" w:hAnsi="Palatino Linotype" w:cs="Palatino Linotype"/>
          <w:b/>
          <w:bCs/>
          <w:i/>
          <w:iCs/>
          <w:sz w:val="22"/>
          <w:szCs w:val="22"/>
        </w:rPr>
        <w:t>fundando y motivando la</w:t>
      </w: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b/>
          <w:bCs/>
          <w:i/>
          <w:iCs/>
          <w:sz w:val="22"/>
          <w:szCs w:val="22"/>
        </w:rPr>
        <w:t>reserva o confidencialidad</w:t>
      </w:r>
      <w:r>
        <w:rPr>
          <w:rFonts w:ascii="Palatino Linotype" w:eastAsia="Palatino Linotype" w:hAnsi="Palatino Linotype" w:cs="Palatino Linotype"/>
          <w:i/>
          <w:iCs/>
          <w:sz w:val="22"/>
          <w:szCs w:val="22"/>
        </w:rPr>
        <w:t>, a través de la resolución que para tal efecto emita el Comité de Transparencia.</w:t>
      </w:r>
    </w:p>
    <w:p w:rsidR="00A208B1" w:rsidRDefault="003E0D5B">
      <w:pPr>
        <w:tabs>
          <w:tab w:val="left" w:pos="8222"/>
        </w:tabs>
        <w:spacing w:before="120" w:after="120"/>
        <w:ind w:left="851" w:right="1134"/>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w:t>
      </w:r>
    </w:p>
    <w:p w:rsidR="00A208B1" w:rsidRDefault="003E0D5B">
      <w:pPr>
        <w:tabs>
          <w:tab w:val="left" w:pos="8222"/>
        </w:tabs>
        <w:spacing w:before="120" w:after="120"/>
        <w:ind w:left="851"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Cuarto.</w:t>
      </w: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b/>
          <w:bCs/>
          <w:i/>
          <w:iCs/>
          <w:sz w:val="22"/>
          <w:szCs w:val="22"/>
        </w:rPr>
        <w:t>Para clasificar la información como</w:t>
      </w: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b/>
          <w:bCs/>
          <w:i/>
          <w:iCs/>
          <w:sz w:val="22"/>
          <w:szCs w:val="22"/>
        </w:rPr>
        <w:t>reservada o</w:t>
      </w: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b/>
          <w:bCs/>
          <w:i/>
          <w:iCs/>
          <w:sz w:val="22"/>
          <w:szCs w:val="22"/>
        </w:rPr>
        <w:t xml:space="preserve">confidencial, </w:t>
      </w:r>
      <w:r>
        <w:rPr>
          <w:rFonts w:ascii="Palatino Linotype" w:eastAsia="Palatino Linotype" w:hAnsi="Palatino Linotype" w:cs="Palatino Linotype"/>
          <w:b/>
          <w:bCs/>
          <w:i/>
          <w:iCs/>
          <w:sz w:val="22"/>
          <w:szCs w:val="22"/>
        </w:rPr>
        <w:t>de manera total o parcial, el titular del área del sujeto obligado deberá atender lo dispuesto por el Título Sexto de la Ley General</w:t>
      </w:r>
      <w:r>
        <w:rPr>
          <w:rFonts w:ascii="Palatino Linotype" w:eastAsia="Palatino Linotype" w:hAnsi="Palatino Linotype" w:cs="Palatino Linotype"/>
          <w:i/>
          <w:iCs/>
          <w:sz w:val="22"/>
          <w:szCs w:val="22"/>
        </w:rPr>
        <w:t>, en relación con las disposiciones contenidas en los presentes lineamientos, así como en aquellas disposiciones legales apl</w:t>
      </w:r>
      <w:r>
        <w:rPr>
          <w:rFonts w:ascii="Palatino Linotype" w:eastAsia="Palatino Linotype" w:hAnsi="Palatino Linotype" w:cs="Palatino Linotype"/>
          <w:i/>
          <w:iCs/>
          <w:sz w:val="22"/>
          <w:szCs w:val="22"/>
        </w:rPr>
        <w:t>icables a la materia en el ámbito de sus respectivas competencias, en tanto estas últimas no contravengan lo dispuesto en la Ley General.</w:t>
      </w:r>
    </w:p>
    <w:p w:rsidR="00A208B1" w:rsidRDefault="003E0D5B">
      <w:pPr>
        <w:tabs>
          <w:tab w:val="left" w:pos="8222"/>
        </w:tabs>
        <w:spacing w:before="120" w:after="120"/>
        <w:ind w:left="851"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Los sujetos obligados deberán aplicar, de manera estricta, las excepciones al derecho de acceso a la información y sól</w:t>
      </w:r>
      <w:r>
        <w:rPr>
          <w:rFonts w:ascii="Palatino Linotype" w:eastAsia="Palatino Linotype" w:hAnsi="Palatino Linotype" w:cs="Palatino Linotype"/>
          <w:i/>
          <w:iCs/>
          <w:sz w:val="22"/>
          <w:szCs w:val="22"/>
        </w:rPr>
        <w:t>o podrán invocarlas cuando acrediten su procedencia.</w:t>
      </w:r>
    </w:p>
    <w:p w:rsidR="00A208B1" w:rsidRDefault="003E0D5B">
      <w:pPr>
        <w:tabs>
          <w:tab w:val="left" w:pos="8222"/>
        </w:tabs>
        <w:spacing w:before="120" w:after="120"/>
        <w:ind w:left="851"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Quinto.</w:t>
      </w:r>
      <w:r>
        <w:rPr>
          <w:rFonts w:ascii="Palatino Linotype" w:eastAsia="Palatino Linotype" w:hAnsi="Palatino Linotype" w:cs="Palatino Linotype"/>
          <w:i/>
          <w:iCs/>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w:t>
      </w:r>
      <w:r>
        <w:rPr>
          <w:rFonts w:ascii="Palatino Linotype" w:eastAsia="Palatino Linotype" w:hAnsi="Palatino Linotype" w:cs="Palatino Linotype"/>
          <w:i/>
          <w:iCs/>
          <w:sz w:val="22"/>
          <w:szCs w:val="22"/>
        </w:rPr>
        <w:t>deberán fundar y motivar debidamente la clasificación de la información ante una solicitud de acceso o al momento en que generen versiones públicas para dar cumplimiento a las obligaciones de transparencia, observando lo dispuesto en la Ley General y las d</w:t>
      </w:r>
      <w:r>
        <w:rPr>
          <w:rFonts w:ascii="Palatino Linotype" w:eastAsia="Palatino Linotype" w:hAnsi="Palatino Linotype" w:cs="Palatino Linotype"/>
          <w:i/>
          <w:iCs/>
          <w:sz w:val="22"/>
          <w:szCs w:val="22"/>
        </w:rPr>
        <w:t>emás disposiciones aplicables en la materia.</w:t>
      </w:r>
    </w:p>
    <w:p w:rsidR="00A208B1" w:rsidRDefault="003E0D5B">
      <w:pPr>
        <w:tabs>
          <w:tab w:val="left" w:pos="8222"/>
        </w:tabs>
        <w:spacing w:before="120" w:after="120"/>
        <w:ind w:left="851"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Sexto.</w:t>
      </w:r>
      <w:r>
        <w:rPr>
          <w:rFonts w:ascii="Palatino Linotype" w:eastAsia="Palatino Linotype" w:hAnsi="Palatino Linotype" w:cs="Palatino Linotype"/>
          <w:i/>
          <w:iCs/>
          <w:sz w:val="22"/>
          <w:szCs w:val="22"/>
        </w:rPr>
        <w:t xml:space="preserve"> Se deroga.</w:t>
      </w:r>
    </w:p>
    <w:p w:rsidR="00A208B1" w:rsidRDefault="003E0D5B">
      <w:pPr>
        <w:tabs>
          <w:tab w:val="left" w:pos="8222"/>
        </w:tabs>
        <w:spacing w:before="120" w:after="120"/>
        <w:ind w:left="851"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Séptimo.</w:t>
      </w:r>
      <w:r>
        <w:rPr>
          <w:rFonts w:ascii="Palatino Linotype" w:eastAsia="Palatino Linotype" w:hAnsi="Palatino Linotype" w:cs="Palatino Linotype"/>
          <w:i/>
          <w:iCs/>
          <w:sz w:val="22"/>
          <w:szCs w:val="22"/>
        </w:rPr>
        <w:t xml:space="preserve"> La clasificación de la información se llevará a cabo en el momento en que:</w:t>
      </w:r>
    </w:p>
    <w:p w:rsidR="00A208B1" w:rsidRDefault="003E0D5B">
      <w:pPr>
        <w:tabs>
          <w:tab w:val="left" w:pos="8222"/>
        </w:tabs>
        <w:spacing w:before="120" w:after="120"/>
        <w:ind w:left="851"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w:t>
      </w:r>
      <w:r>
        <w:rPr>
          <w:rFonts w:ascii="Palatino Linotype" w:eastAsia="Palatino Linotype" w:hAnsi="Palatino Linotype" w:cs="Palatino Linotype"/>
          <w:i/>
          <w:iCs/>
          <w:sz w:val="22"/>
          <w:szCs w:val="22"/>
        </w:rPr>
        <w:t xml:space="preserve"> Se reciba una solicitud de acceso a la información;</w:t>
      </w:r>
    </w:p>
    <w:p w:rsidR="00A208B1" w:rsidRDefault="003E0D5B">
      <w:pPr>
        <w:tabs>
          <w:tab w:val="left" w:pos="8222"/>
        </w:tabs>
        <w:spacing w:before="120" w:after="120"/>
        <w:ind w:left="851"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II.</w:t>
      </w:r>
      <w:r>
        <w:rPr>
          <w:rFonts w:ascii="Palatino Linotype" w:eastAsia="Palatino Linotype" w:hAnsi="Palatino Linotype" w:cs="Palatino Linotype"/>
          <w:i/>
          <w:iCs/>
          <w:sz w:val="22"/>
          <w:szCs w:val="22"/>
        </w:rPr>
        <w:t xml:space="preserve"> Se determine mediante resolución del Comité de Tra</w:t>
      </w:r>
      <w:r>
        <w:rPr>
          <w:rFonts w:ascii="Palatino Linotype" w:eastAsia="Palatino Linotype" w:hAnsi="Palatino Linotype" w:cs="Palatino Linotype"/>
          <w:i/>
          <w:iCs/>
          <w:sz w:val="22"/>
          <w:szCs w:val="22"/>
        </w:rPr>
        <w:t>nsparencia, el órgano garante competente, o en cumplimiento a una sentencia del Poder Judicial; o</w:t>
      </w:r>
    </w:p>
    <w:p w:rsidR="00A208B1" w:rsidRDefault="003E0D5B">
      <w:pPr>
        <w:tabs>
          <w:tab w:val="left" w:pos="8222"/>
        </w:tabs>
        <w:spacing w:before="120" w:after="120"/>
        <w:ind w:left="851"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III.</w:t>
      </w:r>
      <w:r>
        <w:rPr>
          <w:rFonts w:ascii="Palatino Linotype" w:eastAsia="Palatino Linotype" w:hAnsi="Palatino Linotype" w:cs="Palatino Linotype"/>
          <w:i/>
          <w:iCs/>
          <w:sz w:val="22"/>
          <w:szCs w:val="22"/>
        </w:rPr>
        <w:t xml:space="preserve"> Se generen versiones públicas para dar cumplimiento a las obligaciones de transparencia previstas en la Ley General, la Ley Federal y las correspondiente</w:t>
      </w:r>
      <w:r>
        <w:rPr>
          <w:rFonts w:ascii="Palatino Linotype" w:eastAsia="Palatino Linotype" w:hAnsi="Palatino Linotype" w:cs="Palatino Linotype"/>
          <w:i/>
          <w:iCs/>
          <w:sz w:val="22"/>
          <w:szCs w:val="22"/>
        </w:rPr>
        <w:t>s de las entidades federativas.</w:t>
      </w:r>
    </w:p>
    <w:p w:rsidR="00A208B1" w:rsidRDefault="003E0D5B">
      <w:pPr>
        <w:tabs>
          <w:tab w:val="left" w:pos="8222"/>
        </w:tabs>
        <w:spacing w:before="120" w:after="120"/>
        <w:ind w:left="851"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Los titulares de las áreas deberán revisar la clasificación al momento de la recepción de una solicitud de acceso, para verificar</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i/>
          <w:iCs/>
          <w:sz w:val="22"/>
          <w:szCs w:val="22"/>
        </w:rPr>
        <w:t>conforme a su naturaleza, si encuadra en una causal de reserva o de confidencialidad.</w:t>
      </w:r>
    </w:p>
    <w:p w:rsidR="00A208B1" w:rsidRDefault="003E0D5B">
      <w:pPr>
        <w:tabs>
          <w:tab w:val="left" w:pos="8222"/>
        </w:tabs>
        <w:spacing w:before="120" w:after="120"/>
        <w:ind w:left="851"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Octavo.</w:t>
      </w:r>
      <w:r>
        <w:rPr>
          <w:rFonts w:ascii="Palatino Linotype" w:eastAsia="Palatino Linotype" w:hAnsi="Palatino Linotype" w:cs="Palatino Linotype"/>
          <w:i/>
          <w:iCs/>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A208B1" w:rsidRDefault="003E0D5B">
      <w:pPr>
        <w:tabs>
          <w:tab w:val="left" w:pos="8222"/>
        </w:tabs>
        <w:spacing w:before="120" w:after="120"/>
        <w:ind w:left="851"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Para moti</w:t>
      </w:r>
      <w:r>
        <w:rPr>
          <w:rFonts w:ascii="Palatino Linotype" w:eastAsia="Palatino Linotype" w:hAnsi="Palatino Linotype" w:cs="Palatino Linotype"/>
          <w:i/>
          <w:iCs/>
          <w:sz w:val="22"/>
          <w:szCs w:val="22"/>
        </w:rPr>
        <w:t>var la clasificación se deberán señalar las razones o circunstancias especiales que lo llevaron a concluir que el caso particular se ajusta al supuesto previsto por la norma legal invocada como fundamento.</w:t>
      </w:r>
    </w:p>
    <w:p w:rsidR="00A208B1" w:rsidRDefault="003E0D5B">
      <w:pPr>
        <w:tabs>
          <w:tab w:val="left" w:pos="8222"/>
        </w:tabs>
        <w:spacing w:before="120" w:after="120"/>
        <w:ind w:left="851"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En caso de referirse a información reservada, la motivación de la clasificación deberá comprender el análisis de la prueba de daño a que hace referencia el artículo 104 de la Ley General, en relación con el artículo trigésimo tercero de los presentes linea</w:t>
      </w:r>
      <w:r>
        <w:rPr>
          <w:rFonts w:ascii="Palatino Linotype" w:eastAsia="Palatino Linotype" w:hAnsi="Palatino Linotype" w:cs="Palatino Linotype"/>
          <w:i/>
          <w:iCs/>
          <w:sz w:val="22"/>
          <w:szCs w:val="22"/>
        </w:rPr>
        <w:t>mientos, así como las circunstancias que justifican el establecimiento de determinado plazo de reserva.</w:t>
      </w:r>
    </w:p>
    <w:p w:rsidR="00A208B1" w:rsidRDefault="003E0D5B">
      <w:pPr>
        <w:tabs>
          <w:tab w:val="left" w:pos="8222"/>
        </w:tabs>
        <w:spacing w:before="120" w:after="120"/>
        <w:ind w:left="851"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Noveno.</w:t>
      </w:r>
      <w:r>
        <w:rPr>
          <w:rFonts w:ascii="Palatino Linotype" w:eastAsia="Palatino Linotype" w:hAnsi="Palatino Linotype" w:cs="Palatino Linotype"/>
          <w:i/>
          <w:iCs/>
          <w:sz w:val="22"/>
          <w:szCs w:val="22"/>
        </w:rPr>
        <w:t xml:space="preserve"> En los casos en que se solicite un documento o expediente que contenga partes o secciones clasificadas, los titulares de las áreas deberán elabo</w:t>
      </w:r>
      <w:r>
        <w:rPr>
          <w:rFonts w:ascii="Palatino Linotype" w:eastAsia="Palatino Linotype" w:hAnsi="Palatino Linotype" w:cs="Palatino Linotype"/>
          <w:i/>
          <w:iCs/>
          <w:sz w:val="22"/>
          <w:szCs w:val="22"/>
        </w:rPr>
        <w:t>rar una versión pública fundando y motivando la clasificación de las partes o secciones que se testen, siguiendo los procedimientos establecidos en el Capítulo IX de los presentes lineamientos.</w:t>
      </w:r>
    </w:p>
    <w:p w:rsidR="00A208B1" w:rsidRDefault="003E0D5B">
      <w:pPr>
        <w:tabs>
          <w:tab w:val="left" w:pos="8222"/>
        </w:tabs>
        <w:spacing w:before="120" w:after="120"/>
        <w:ind w:left="851"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Décimo.</w:t>
      </w:r>
      <w:r>
        <w:rPr>
          <w:rFonts w:ascii="Palatino Linotype" w:eastAsia="Palatino Linotype" w:hAnsi="Palatino Linotype" w:cs="Palatino Linotype"/>
          <w:i/>
          <w:iCs/>
          <w:sz w:val="22"/>
          <w:szCs w:val="22"/>
        </w:rPr>
        <w:t xml:space="preserve"> Los titulares de las áreas, deberán tener conocimiento</w:t>
      </w:r>
      <w:r>
        <w:rPr>
          <w:rFonts w:ascii="Palatino Linotype" w:eastAsia="Palatino Linotype" w:hAnsi="Palatino Linotype" w:cs="Palatino Linotype"/>
          <w:i/>
          <w:iCs/>
          <w:sz w:val="22"/>
          <w:szCs w:val="22"/>
        </w:rPr>
        <w:t xml:space="preserve"> y llevar un registro del personal que, por la naturaleza de sus atribuciones, tenga acceso a los documentos clasificados. Asimismo, deberán asegurarse de que dicho personal cuente con los conocimientos técnicos y legales que le permitan manejar adecuadame</w:t>
      </w:r>
      <w:r>
        <w:rPr>
          <w:rFonts w:ascii="Palatino Linotype" w:eastAsia="Palatino Linotype" w:hAnsi="Palatino Linotype" w:cs="Palatino Linotype"/>
          <w:i/>
          <w:iCs/>
          <w:sz w:val="22"/>
          <w:szCs w:val="22"/>
        </w:rPr>
        <w:t>nte la información clasificada, en los términos de la Ley General de Archivos, Lineamientos para la Organización y Conservación de Archivos y demás normatividad aplicable.</w:t>
      </w:r>
    </w:p>
    <w:p w:rsidR="00A208B1" w:rsidRDefault="003E0D5B">
      <w:pPr>
        <w:tabs>
          <w:tab w:val="left" w:pos="8222"/>
        </w:tabs>
        <w:spacing w:before="120" w:after="120"/>
        <w:ind w:left="851"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En ausencia de los titulares de las áreas, la información será clasificada o desclas</w:t>
      </w:r>
      <w:r>
        <w:rPr>
          <w:rFonts w:ascii="Palatino Linotype" w:eastAsia="Palatino Linotype" w:hAnsi="Palatino Linotype" w:cs="Palatino Linotype"/>
          <w:i/>
          <w:iCs/>
          <w:sz w:val="22"/>
          <w:szCs w:val="22"/>
        </w:rPr>
        <w:t>ificada por la persona que lo supla, en términos de la normativa que rija la actuación del sujeto obligado.</w:t>
      </w:r>
    </w:p>
    <w:p w:rsidR="00A208B1" w:rsidRDefault="003E0D5B">
      <w:pPr>
        <w:tabs>
          <w:tab w:val="left" w:pos="8222"/>
        </w:tabs>
        <w:spacing w:before="120" w:after="120"/>
        <w:ind w:left="851"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Décimo primero.</w:t>
      </w:r>
      <w:r>
        <w:rPr>
          <w:rFonts w:ascii="Palatino Linotype" w:eastAsia="Palatino Linotype" w:hAnsi="Palatino Linotype" w:cs="Palatino Linotype"/>
          <w:i/>
          <w:iCs/>
          <w:sz w:val="22"/>
          <w:szCs w:val="22"/>
        </w:rPr>
        <w:t xml:space="preserve"> En el intercambio de información entre sujetos obligados para el ejercicio de sus atribuciones, los documentos que se encuentren cla</w:t>
      </w:r>
      <w:r>
        <w:rPr>
          <w:rFonts w:ascii="Palatino Linotype" w:eastAsia="Palatino Linotype" w:hAnsi="Palatino Linotype" w:cs="Palatino Linotype"/>
          <w:i/>
          <w:iCs/>
          <w:sz w:val="22"/>
          <w:szCs w:val="22"/>
        </w:rPr>
        <w:t xml:space="preserve">sificados deberán llevar la leyenda correspondiente de conformidad con lo dispuesto en el Capítulo VIII de los presentes lineamientos.” </w:t>
      </w:r>
    </w:p>
    <w:p w:rsidR="00A208B1" w:rsidRDefault="003E0D5B">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Asimismo, respecto a las formalidades que deberá llevar el acuerdo de clasificación que deberá emitir el </w:t>
      </w:r>
      <w:r>
        <w:rPr>
          <w:rFonts w:ascii="Palatino Linotype" w:eastAsia="Palatino Linotype" w:hAnsi="Palatino Linotype" w:cs="Palatino Linotype"/>
          <w:b/>
          <w:bCs/>
          <w:sz w:val="22"/>
          <w:szCs w:val="22"/>
        </w:rPr>
        <w:t>Sujeto Obligad</w:t>
      </w:r>
      <w:r>
        <w:rPr>
          <w:rFonts w:ascii="Palatino Linotype" w:eastAsia="Palatino Linotype" w:hAnsi="Palatino Linotype" w:cs="Palatino Linotype"/>
          <w:b/>
          <w:bCs/>
          <w:sz w:val="22"/>
          <w:szCs w:val="22"/>
        </w:rPr>
        <w:t>o</w:t>
      </w:r>
      <w:r>
        <w:rPr>
          <w:rFonts w:ascii="Palatino Linotype" w:eastAsia="Palatino Linotype" w:hAnsi="Palatino Linotype" w:cs="Palatino Linotype"/>
          <w:sz w:val="22"/>
          <w:szCs w:val="22"/>
        </w:rPr>
        <w:t xml:space="preserve"> a través de su Comité de Transparencia, los Lineamientos Quincuagésimo y Quincuagésimo primero de los Lineamientos Generales en Materia de Clasificación y Desclasificación de la Información, así como para la Elaboración de Versiones Públicas señalan lo s</w:t>
      </w:r>
      <w:r>
        <w:rPr>
          <w:rFonts w:ascii="Palatino Linotype" w:eastAsia="Palatino Linotype" w:hAnsi="Palatino Linotype" w:cs="Palatino Linotype"/>
          <w:sz w:val="22"/>
          <w:szCs w:val="22"/>
        </w:rPr>
        <w:t>iguiente:</w:t>
      </w:r>
    </w:p>
    <w:p w:rsidR="00A208B1" w:rsidRDefault="003E0D5B">
      <w:pPr>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 “Quincuagésimo. </w:t>
      </w:r>
      <w:r>
        <w:rPr>
          <w:rFonts w:ascii="Palatino Linotype" w:eastAsia="Palatino Linotype" w:hAnsi="Palatino Linotype" w:cs="Palatino Linotype"/>
          <w:i/>
          <w:iCs/>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w:t>
      </w:r>
      <w:r>
        <w:rPr>
          <w:rFonts w:ascii="Palatino Linotype" w:eastAsia="Palatino Linotype" w:hAnsi="Palatino Linotype" w:cs="Palatino Linotype"/>
          <w:i/>
          <w:iCs/>
          <w:sz w:val="22"/>
          <w:szCs w:val="22"/>
        </w:rPr>
        <w:t xml:space="preserve">Lineamientos, así como en las correspondientes Leyes Generales. </w:t>
      </w:r>
    </w:p>
    <w:p w:rsidR="00A208B1" w:rsidRDefault="003E0D5B">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Quincuagésimo primero. </w:t>
      </w:r>
      <w:r>
        <w:rPr>
          <w:rFonts w:ascii="Palatino Linotype" w:eastAsia="Palatino Linotype" w:hAnsi="Palatino Linotype" w:cs="Palatino Linotype"/>
          <w:i/>
          <w:iCs/>
          <w:sz w:val="22"/>
          <w:szCs w:val="22"/>
        </w:rPr>
        <w:t xml:space="preserve">Toda acta del Comité de Transparencia deberá contener: </w:t>
      </w:r>
    </w:p>
    <w:p w:rsidR="00A208B1" w:rsidRDefault="003E0D5B">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w:t>
      </w:r>
      <w:r>
        <w:rPr>
          <w:rFonts w:ascii="Palatino Linotype" w:eastAsia="Palatino Linotype" w:hAnsi="Palatino Linotype" w:cs="Palatino Linotype"/>
          <w:i/>
          <w:iCs/>
          <w:sz w:val="22"/>
          <w:szCs w:val="22"/>
        </w:rPr>
        <w:t xml:space="preserve"> El número de sesión y fecha; </w:t>
      </w:r>
    </w:p>
    <w:p w:rsidR="00A208B1" w:rsidRDefault="003E0D5B">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II</w:t>
      </w:r>
      <w:r>
        <w:rPr>
          <w:rFonts w:ascii="Palatino Linotype" w:eastAsia="Palatino Linotype" w:hAnsi="Palatino Linotype" w:cs="Palatino Linotype"/>
          <w:i/>
          <w:iCs/>
          <w:sz w:val="22"/>
          <w:szCs w:val="22"/>
        </w:rPr>
        <w:t xml:space="preserve">. El nombre del área que solicitó la clasificación de información; </w:t>
      </w:r>
    </w:p>
    <w:p w:rsidR="00A208B1" w:rsidRDefault="003E0D5B">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III</w:t>
      </w:r>
      <w:r>
        <w:rPr>
          <w:rFonts w:ascii="Palatino Linotype" w:eastAsia="Palatino Linotype" w:hAnsi="Palatino Linotype" w:cs="Palatino Linotype"/>
          <w:i/>
          <w:iCs/>
          <w:sz w:val="22"/>
          <w:szCs w:val="22"/>
        </w:rPr>
        <w:t>. La f</w:t>
      </w:r>
      <w:r>
        <w:rPr>
          <w:rFonts w:ascii="Palatino Linotype" w:eastAsia="Palatino Linotype" w:hAnsi="Palatino Linotype" w:cs="Palatino Linotype"/>
          <w:i/>
          <w:iCs/>
          <w:sz w:val="22"/>
          <w:szCs w:val="22"/>
        </w:rPr>
        <w:t xml:space="preserve">undamentación legal y motivación correspondiente; </w:t>
      </w:r>
    </w:p>
    <w:p w:rsidR="00A208B1" w:rsidRDefault="003E0D5B">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IV</w:t>
      </w:r>
      <w:r>
        <w:rPr>
          <w:rFonts w:ascii="Palatino Linotype" w:eastAsia="Palatino Linotype" w:hAnsi="Palatino Linotype" w:cs="Palatino Linotype"/>
          <w:i/>
          <w:iCs/>
          <w:sz w:val="22"/>
          <w:szCs w:val="22"/>
        </w:rPr>
        <w:t xml:space="preserve">. La resolución o resoluciones aprobadas; y </w:t>
      </w:r>
    </w:p>
    <w:p w:rsidR="00A208B1" w:rsidRDefault="003E0D5B">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V</w:t>
      </w:r>
      <w:r>
        <w:rPr>
          <w:rFonts w:ascii="Palatino Linotype" w:eastAsia="Palatino Linotype" w:hAnsi="Palatino Linotype" w:cs="Palatino Linotype"/>
          <w:i/>
          <w:iCs/>
          <w:sz w:val="22"/>
          <w:szCs w:val="22"/>
        </w:rPr>
        <w:t xml:space="preserve">. La rúbrica o firma digital de cada integrante del Comité de Transparencia. </w:t>
      </w:r>
    </w:p>
    <w:p w:rsidR="00A208B1" w:rsidRDefault="003E0D5B">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Las resoluciones del Comité en las que se haya determinado confirmar o modificar la clasificación de información pública como reservada, deberán incluir, cuando menos: </w:t>
      </w:r>
    </w:p>
    <w:p w:rsidR="00A208B1" w:rsidRDefault="003E0D5B">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w:t>
      </w:r>
      <w:r>
        <w:rPr>
          <w:rFonts w:ascii="Palatino Linotype" w:eastAsia="Palatino Linotype" w:hAnsi="Palatino Linotype" w:cs="Palatino Linotype"/>
          <w:i/>
          <w:iCs/>
          <w:sz w:val="22"/>
          <w:szCs w:val="22"/>
        </w:rPr>
        <w:t xml:space="preserve"> Los motivos y razonamientos que sustenten la confirmación o modificación de la prueb</w:t>
      </w:r>
      <w:r>
        <w:rPr>
          <w:rFonts w:ascii="Palatino Linotype" w:eastAsia="Palatino Linotype" w:hAnsi="Palatino Linotype" w:cs="Palatino Linotype"/>
          <w:i/>
          <w:iCs/>
          <w:sz w:val="22"/>
          <w:szCs w:val="22"/>
        </w:rPr>
        <w:t>a de daño;</w:t>
      </w:r>
    </w:p>
    <w:p w:rsidR="00A208B1" w:rsidRDefault="003E0D5B">
      <w:pPr>
        <w:pBdr>
          <w:top w:val="nil"/>
          <w:left w:val="nil"/>
          <w:bottom w:val="nil"/>
          <w:right w:val="nil"/>
          <w:between w:val="nil"/>
        </w:pBdr>
        <w:spacing w:before="120" w:after="120"/>
        <w:ind w:left="851" w:right="902"/>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II</w:t>
      </w:r>
      <w:r>
        <w:rPr>
          <w:rFonts w:ascii="Palatino Linotype" w:eastAsia="Palatino Linotype" w:hAnsi="Palatino Linotype" w:cs="Palatino Linotype"/>
          <w:i/>
          <w:iCs/>
          <w:sz w:val="22"/>
          <w:szCs w:val="22"/>
        </w:rPr>
        <w:t>. Descripción de las partes o secciones reservadas, en caso de clasificación parcial</w:t>
      </w:r>
      <w:r>
        <w:rPr>
          <w:rFonts w:ascii="Palatino Linotype" w:eastAsia="Palatino Linotype" w:hAnsi="Palatino Linotype" w:cs="Palatino Linotype"/>
          <w:b/>
          <w:bCs/>
          <w:i/>
          <w:iCs/>
          <w:sz w:val="22"/>
          <w:szCs w:val="22"/>
        </w:rPr>
        <w:t xml:space="preserve">; </w:t>
      </w:r>
    </w:p>
    <w:p w:rsidR="00A208B1" w:rsidRDefault="003E0D5B">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III.</w:t>
      </w:r>
      <w:r>
        <w:rPr>
          <w:rFonts w:ascii="Palatino Linotype" w:eastAsia="Palatino Linotype" w:hAnsi="Palatino Linotype" w:cs="Palatino Linotype"/>
          <w:i/>
          <w:iCs/>
          <w:sz w:val="22"/>
          <w:szCs w:val="22"/>
        </w:rPr>
        <w:t xml:space="preserve"> El periodo por el que mantendrá su clasificación y fecha de expiración; y </w:t>
      </w:r>
    </w:p>
    <w:p w:rsidR="00A208B1" w:rsidRDefault="003E0D5B">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IV.</w:t>
      </w:r>
      <w:r>
        <w:rPr>
          <w:rFonts w:ascii="Palatino Linotype" w:eastAsia="Palatino Linotype" w:hAnsi="Palatino Linotype" w:cs="Palatino Linotype"/>
          <w:i/>
          <w:iCs/>
          <w:sz w:val="22"/>
          <w:szCs w:val="22"/>
        </w:rPr>
        <w:t xml:space="preserve"> El nombre del titular y área encargada de realizar la versión pública de</w:t>
      </w:r>
      <w:r>
        <w:rPr>
          <w:rFonts w:ascii="Palatino Linotype" w:eastAsia="Palatino Linotype" w:hAnsi="Palatino Linotype" w:cs="Palatino Linotype"/>
          <w:i/>
          <w:iCs/>
          <w:sz w:val="22"/>
          <w:szCs w:val="22"/>
        </w:rPr>
        <w:t xml:space="preserve">l documento, en su caso. </w:t>
      </w:r>
    </w:p>
    <w:p w:rsidR="00A208B1" w:rsidRDefault="003E0D5B">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En los casos en que se clasifique la información como reservada siempre se entregará o anexará la prueba de daño con la respuesta al solicitante. </w:t>
      </w:r>
    </w:p>
    <w:p w:rsidR="00A208B1" w:rsidRDefault="003E0D5B">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En los casos de resoluciones del Comité de Transparencia en las que se confirme la </w:t>
      </w:r>
      <w:r>
        <w:rPr>
          <w:rFonts w:ascii="Palatino Linotype" w:eastAsia="Palatino Linotype" w:hAnsi="Palatino Linotype" w:cs="Palatino Linotype"/>
          <w:i/>
          <w:iCs/>
          <w:sz w:val="22"/>
          <w:szCs w:val="22"/>
        </w:rPr>
        <w:t>clasificación de información confidencial solo se deberán de identificar los tipos de datos protegidos, de conformidad con el lineamiento trigésimo octavo.</w:t>
      </w:r>
    </w:p>
    <w:p w:rsidR="00A208B1" w:rsidRDefault="003E0D5B">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Para la elaboración de las versiones públicas, además, se deberán observar las formalidades establec</w:t>
      </w:r>
      <w:r>
        <w:rPr>
          <w:rFonts w:ascii="Palatino Linotype" w:eastAsia="Palatino Linotype" w:hAnsi="Palatino Linotype" w:cs="Palatino Linotype"/>
          <w:sz w:val="22"/>
          <w:szCs w:val="22"/>
        </w:rPr>
        <w:t>idas en los Lineamientos Quincuagésimo segundo, Quincuagésimo cuarto, Quincuagésimo quinto, Quincuagésimo séptimo y Quincuagésimo octavo, que establecen lo siguiente:</w:t>
      </w:r>
    </w:p>
    <w:p w:rsidR="00A208B1" w:rsidRDefault="003E0D5B">
      <w:pPr>
        <w:spacing w:before="120" w:after="120"/>
        <w:ind w:left="851" w:right="90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r>
        <w:rPr>
          <w:rFonts w:ascii="Palatino Linotype" w:eastAsia="Palatino Linotype" w:hAnsi="Palatino Linotype" w:cs="Palatino Linotype"/>
          <w:b/>
          <w:bCs/>
          <w:i/>
          <w:iCs/>
          <w:sz w:val="22"/>
          <w:szCs w:val="22"/>
        </w:rPr>
        <w:t>Quincuagésimo segundo</w:t>
      </w:r>
      <w:r>
        <w:rPr>
          <w:rFonts w:ascii="Palatino Linotype" w:eastAsia="Palatino Linotype" w:hAnsi="Palatino Linotype" w:cs="Palatino Linotype"/>
          <w:i/>
          <w:iCs/>
          <w:sz w:val="22"/>
          <w:szCs w:val="22"/>
        </w:rPr>
        <w:t>. Para la clasificación y elaboración de versiones públicas de docu</w:t>
      </w:r>
      <w:r>
        <w:rPr>
          <w:rFonts w:ascii="Palatino Linotype" w:eastAsia="Palatino Linotype" w:hAnsi="Palatino Linotype" w:cs="Palatino Linotype"/>
          <w:i/>
          <w:iCs/>
          <w:sz w:val="22"/>
          <w:szCs w:val="22"/>
        </w:rPr>
        <w:t>mentos que contengan información clasificada como reservada o confidencial, las áreas de los sujetos obligados deberán tomar las medidas pertinentes tendientes a asegurar que el espacio utilizado para testar la información no podrá ser empleado para la sob</w:t>
      </w:r>
      <w:r>
        <w:rPr>
          <w:rFonts w:ascii="Palatino Linotype" w:eastAsia="Palatino Linotype" w:hAnsi="Palatino Linotype" w:cs="Palatino Linotype"/>
          <w:i/>
          <w:iCs/>
          <w:sz w:val="22"/>
          <w:szCs w:val="22"/>
        </w:rPr>
        <w:t>reposición de contenido distinto al autorizado por el Comité.</w:t>
      </w:r>
    </w:p>
    <w:p w:rsidR="00A208B1" w:rsidRDefault="003E0D5B">
      <w:pPr>
        <w:spacing w:before="120" w:after="120"/>
        <w:ind w:left="851" w:right="90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En el caso específico de la clasificación y elaboración de versiones públicas de documentos que contengan información confidencial, las áreas de los sujetos obligados deberán: </w:t>
      </w:r>
    </w:p>
    <w:p w:rsidR="00A208B1" w:rsidRDefault="003E0D5B">
      <w:pPr>
        <w:spacing w:before="120" w:after="120"/>
        <w:ind w:left="851" w:right="900"/>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w:t>
      </w:r>
      <w:r>
        <w:rPr>
          <w:rFonts w:ascii="Palatino Linotype" w:eastAsia="Palatino Linotype" w:hAnsi="Palatino Linotype" w:cs="Palatino Linotype"/>
          <w:i/>
          <w:iCs/>
          <w:sz w:val="22"/>
          <w:szCs w:val="22"/>
        </w:rPr>
        <w:t xml:space="preserve"> Fijar la fecha</w:t>
      </w:r>
      <w:r>
        <w:rPr>
          <w:rFonts w:ascii="Palatino Linotype" w:eastAsia="Palatino Linotype" w:hAnsi="Palatino Linotype" w:cs="Palatino Linotype"/>
          <w:i/>
          <w:iCs/>
          <w:sz w:val="22"/>
          <w:szCs w:val="22"/>
        </w:rPr>
        <w:t xml:space="preserve"> en que se elaboró la versión pública y la fecha en la cual el Comité de Transparencia confirmó dicha versión;</w:t>
      </w:r>
    </w:p>
    <w:p w:rsidR="00A208B1" w:rsidRDefault="003E0D5B">
      <w:pPr>
        <w:spacing w:before="120" w:after="120"/>
        <w:ind w:left="851" w:right="900"/>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II.</w:t>
      </w:r>
      <w:r>
        <w:rPr>
          <w:rFonts w:ascii="Palatino Linotype" w:eastAsia="Palatino Linotype" w:hAnsi="Palatino Linotype" w:cs="Palatino Linotype"/>
          <w:i/>
          <w:iCs/>
          <w:sz w:val="22"/>
          <w:szCs w:val="22"/>
        </w:rPr>
        <w:t xml:space="preserve"> Señalar dentro del documento el tipo de información confidencial que fue testada en cada caso específico, de conformidad con el lineamiento t</w:t>
      </w:r>
      <w:r>
        <w:rPr>
          <w:rFonts w:ascii="Palatino Linotype" w:eastAsia="Palatino Linotype" w:hAnsi="Palatino Linotype" w:cs="Palatino Linotype"/>
          <w:i/>
          <w:iCs/>
          <w:sz w:val="22"/>
          <w:szCs w:val="22"/>
        </w:rPr>
        <w:t>rigésimo octavo; y</w:t>
      </w:r>
    </w:p>
    <w:p w:rsidR="00A208B1" w:rsidRDefault="003E0D5B">
      <w:pPr>
        <w:spacing w:before="120" w:after="120"/>
        <w:ind w:left="851" w:right="900"/>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III.</w:t>
      </w:r>
      <w:r>
        <w:rPr>
          <w:rFonts w:ascii="Palatino Linotype" w:eastAsia="Palatino Linotype" w:hAnsi="Palatino Linotype" w:cs="Palatino Linotype"/>
          <w:i/>
          <w:iCs/>
          <w:sz w:val="22"/>
          <w:szCs w:val="22"/>
        </w:rPr>
        <w:t xml:space="preserve"> Señalar las personas o instancias autorizadas a acceder a la información clasificada.</w:t>
      </w:r>
    </w:p>
    <w:p w:rsidR="00A208B1" w:rsidRDefault="003E0D5B">
      <w:pPr>
        <w:spacing w:before="120" w:after="120"/>
        <w:ind w:left="851" w:right="90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En los documentos de difusión electrónica, señalar en la primera hoja y en el nombre del archivo, que la versión pública corresponde a un document</w:t>
      </w:r>
      <w:r>
        <w:rPr>
          <w:rFonts w:ascii="Palatino Linotype" w:eastAsia="Palatino Linotype" w:hAnsi="Palatino Linotype" w:cs="Palatino Linotype"/>
          <w:i/>
          <w:iCs/>
          <w:sz w:val="22"/>
          <w:szCs w:val="22"/>
        </w:rPr>
        <w:t>o que contiene información confidencial.”</w:t>
      </w:r>
    </w:p>
    <w:p w:rsidR="00A208B1" w:rsidRDefault="003E0D5B">
      <w:pPr>
        <w:pBdr>
          <w:top w:val="nil"/>
          <w:left w:val="nil"/>
          <w:bottom w:val="nil"/>
          <w:right w:val="nil"/>
          <w:between w:val="nil"/>
        </w:pBdr>
        <w:spacing w:before="120" w:after="120"/>
        <w:ind w:left="851" w:right="90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A208B1" w:rsidRDefault="003E0D5B">
      <w:pPr>
        <w:pBdr>
          <w:top w:val="nil"/>
          <w:left w:val="nil"/>
          <w:bottom w:val="nil"/>
          <w:right w:val="nil"/>
          <w:between w:val="nil"/>
        </w:pBdr>
        <w:spacing w:before="120" w:after="120"/>
        <w:ind w:left="851" w:right="900"/>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 xml:space="preserve">Quincuagésimo cuarto. </w:t>
      </w:r>
      <w:r>
        <w:rPr>
          <w:rFonts w:ascii="Palatino Linotype" w:eastAsia="Palatino Linotype" w:hAnsi="Palatino Linotype" w:cs="Palatino Linotype"/>
          <w:i/>
          <w:iCs/>
          <w:sz w:val="22"/>
          <w:szCs w:val="22"/>
        </w:rPr>
        <w:t xml:space="preserve">Cuando el Comité de Transparencia confirme la clasificación de documentos reservados y/o confidenciales, sea total o parcialmente; se deberá anexar al expediente la resolución que determinó la clasificación o, en su defecto, identificar en la carátula del </w:t>
      </w:r>
      <w:r>
        <w:rPr>
          <w:rFonts w:ascii="Palatino Linotype" w:eastAsia="Palatino Linotype" w:hAnsi="Palatino Linotype" w:cs="Palatino Linotype"/>
          <w:i/>
          <w:iCs/>
          <w:sz w:val="22"/>
          <w:szCs w:val="22"/>
        </w:rPr>
        <w:t>expediente del cual formen parte, la fecha y sesión del Comité de Transparencia en la que se confirmó dicha clasificación.</w:t>
      </w:r>
      <w:r>
        <w:rPr>
          <w:rFonts w:ascii="Palatino Linotype" w:eastAsia="Palatino Linotype" w:hAnsi="Palatino Linotype" w:cs="Palatino Linotype"/>
          <w:b/>
          <w:bCs/>
          <w:i/>
          <w:iCs/>
          <w:sz w:val="22"/>
          <w:szCs w:val="22"/>
        </w:rPr>
        <w:t xml:space="preserve"> </w:t>
      </w:r>
    </w:p>
    <w:p w:rsidR="00A208B1" w:rsidRDefault="003E0D5B">
      <w:pPr>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Quincuagésimo quinto. </w:t>
      </w:r>
      <w:r>
        <w:rPr>
          <w:rFonts w:ascii="Palatino Linotype" w:eastAsia="Palatino Linotype" w:hAnsi="Palatino Linotype" w:cs="Palatino Linotype"/>
          <w:i/>
          <w:iCs/>
          <w:sz w:val="22"/>
          <w:szCs w:val="22"/>
        </w:rPr>
        <w:t>Cada área del sujeto obligado podrá designar formalmente a una o más personas como responsables del testado, q</w:t>
      </w:r>
      <w:r>
        <w:rPr>
          <w:rFonts w:ascii="Palatino Linotype" w:eastAsia="Palatino Linotype" w:hAnsi="Palatino Linotype" w:cs="Palatino Linotype"/>
          <w:i/>
          <w:iCs/>
          <w:sz w:val="22"/>
          <w:szCs w:val="22"/>
        </w:rPr>
        <w:t>ue sean encargadas de la adecuada elaboración o supervisión de las versiones públicas de los documentos o expedientes, verificando que cumplan con los requisitos señalados en las Leyes Generales, los presentes Lineamientos y demás normativa aplicable antes</w:t>
      </w:r>
      <w:r>
        <w:rPr>
          <w:rFonts w:ascii="Palatino Linotype" w:eastAsia="Palatino Linotype" w:hAnsi="Palatino Linotype" w:cs="Palatino Linotype"/>
          <w:i/>
          <w:iCs/>
          <w:sz w:val="22"/>
          <w:szCs w:val="22"/>
        </w:rPr>
        <w:t xml:space="preserve"> de su confirmación por el Comité de Transparencia.</w:t>
      </w:r>
    </w:p>
    <w:p w:rsidR="00A208B1" w:rsidRDefault="003E0D5B">
      <w:pPr>
        <w:spacing w:before="120" w:after="120"/>
        <w:ind w:left="851" w:right="902"/>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w:t>
      </w:r>
    </w:p>
    <w:p w:rsidR="00A208B1" w:rsidRDefault="003E0D5B">
      <w:pPr>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Quincuagésimo séptimo</w:t>
      </w:r>
      <w:r>
        <w:rPr>
          <w:rFonts w:ascii="Palatino Linotype" w:eastAsia="Palatino Linotype" w:hAnsi="Palatino Linotype" w:cs="Palatino Linotype"/>
          <w:i/>
          <w:iCs/>
          <w:sz w:val="22"/>
          <w:szCs w:val="22"/>
        </w:rPr>
        <w:t xml:space="preserve">. Se considera, en principio, como información pública y no podrá omitirse de las versiones públicas la siguiente: </w:t>
      </w:r>
    </w:p>
    <w:p w:rsidR="00A208B1" w:rsidRDefault="003E0D5B">
      <w:pPr>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w:t>
      </w:r>
      <w:r>
        <w:rPr>
          <w:rFonts w:ascii="Palatino Linotype" w:eastAsia="Palatino Linotype" w:hAnsi="Palatino Linotype" w:cs="Palatino Linotype"/>
          <w:i/>
          <w:iCs/>
          <w:sz w:val="22"/>
          <w:szCs w:val="22"/>
        </w:rPr>
        <w:t xml:space="preserve">. La relativa a las Obligaciones de Transparencia que contempla el Título V de la Ley General y las demás disposiciones legales aplicables; </w:t>
      </w:r>
    </w:p>
    <w:p w:rsidR="00A208B1" w:rsidRDefault="003E0D5B">
      <w:pPr>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II.</w:t>
      </w:r>
      <w:r>
        <w:rPr>
          <w:rFonts w:ascii="Palatino Linotype" w:eastAsia="Palatino Linotype" w:hAnsi="Palatino Linotype" w:cs="Palatino Linotype"/>
          <w:i/>
          <w:iCs/>
          <w:sz w:val="22"/>
          <w:szCs w:val="22"/>
        </w:rPr>
        <w:t xml:space="preserve"> El nombre de los integrantes de los sujetos obligados en los documentos, y sus firmas autógrafas o digitales, c</w:t>
      </w:r>
      <w:r>
        <w:rPr>
          <w:rFonts w:ascii="Palatino Linotype" w:eastAsia="Palatino Linotype" w:hAnsi="Palatino Linotype" w:cs="Palatino Linotype"/>
          <w:i/>
          <w:iCs/>
          <w:sz w:val="22"/>
          <w:szCs w:val="22"/>
        </w:rPr>
        <w:t>uando sean utilizados en el ejercicio de las facultades conferidas para el desempeño del servicio público, y</w:t>
      </w:r>
    </w:p>
    <w:p w:rsidR="00A208B1" w:rsidRDefault="003E0D5B">
      <w:pPr>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III</w:t>
      </w:r>
      <w:r>
        <w:rPr>
          <w:rFonts w:ascii="Palatino Linotype" w:eastAsia="Palatino Linotype" w:hAnsi="Palatino Linotype" w:cs="Palatino Linotype"/>
          <w:i/>
          <w:iCs/>
          <w:sz w:val="22"/>
          <w:szCs w:val="22"/>
        </w:rPr>
        <w:t xml:space="preserve">. La información que documente decisiones y los actos de autoridad concluidos de los sujetos obligados, así como el ejercicio de las facultades </w:t>
      </w:r>
      <w:r>
        <w:rPr>
          <w:rFonts w:ascii="Palatino Linotype" w:eastAsia="Palatino Linotype" w:hAnsi="Palatino Linotype" w:cs="Palatino Linotype"/>
          <w:i/>
          <w:iCs/>
          <w:sz w:val="22"/>
          <w:szCs w:val="22"/>
        </w:rPr>
        <w:t xml:space="preserve">o actividades de los servidores públicos, de manera que se pueda valorar el desempeño de los mismos. </w:t>
      </w:r>
    </w:p>
    <w:p w:rsidR="00A208B1" w:rsidRDefault="003E0D5B">
      <w:pPr>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Lo anterior, siempre y cuando no se acredite alguna causal de clasificación, prevista en las leyes o en los tratados internacionales suscritas por el Esta</w:t>
      </w:r>
      <w:r>
        <w:rPr>
          <w:rFonts w:ascii="Palatino Linotype" w:eastAsia="Palatino Linotype" w:hAnsi="Palatino Linotype" w:cs="Palatino Linotype"/>
          <w:i/>
          <w:iCs/>
          <w:sz w:val="22"/>
          <w:szCs w:val="22"/>
        </w:rPr>
        <w:t xml:space="preserve">do mexicano.  </w:t>
      </w:r>
    </w:p>
    <w:p w:rsidR="00A208B1" w:rsidRDefault="003E0D5B">
      <w:pPr>
        <w:spacing w:before="120" w:after="120"/>
        <w:ind w:left="851" w:right="90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Quincuagésimo octavo</w:t>
      </w:r>
      <w:r>
        <w:rPr>
          <w:rFonts w:ascii="Palatino Linotype" w:eastAsia="Palatino Linotype" w:hAnsi="Palatino Linotype" w:cs="Palatino Linotype"/>
          <w:i/>
          <w:iCs/>
          <w:sz w:val="22"/>
          <w:szCs w:val="22"/>
        </w:rPr>
        <w:t>. Los sujetos obligados garantizarán que los sistemas o medios empleados para eliminar la información en las versiones públicas sean irreversibles, de tal forma que no permitan su recuperación o la visualización de la mis</w:t>
      </w:r>
      <w:r>
        <w:rPr>
          <w:rFonts w:ascii="Palatino Linotype" w:eastAsia="Palatino Linotype" w:hAnsi="Palatino Linotype" w:cs="Palatino Linotype"/>
          <w:i/>
          <w:iCs/>
          <w:sz w:val="22"/>
          <w:szCs w:val="22"/>
        </w:rPr>
        <w:t>ma.”</w:t>
      </w:r>
    </w:p>
    <w:p w:rsidR="00A208B1" w:rsidRDefault="003E0D5B">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Así, con fundamento en lo prescrito en los artículos 5 párrafos cuadragésimo cuarto, cuadragésimo quinto cuadragésimo sexto, de la Constitución Política del Estado Libre y Soberano de México; Transitorio Cuarto, párrafo segundo del Decreto número 198 </w:t>
      </w:r>
      <w:r>
        <w:rPr>
          <w:rFonts w:ascii="Palatino Linotype" w:eastAsia="Palatino Linotype" w:hAnsi="Palatino Linotype" w:cs="Palatino Linotype"/>
          <w:sz w:val="22"/>
          <w:szCs w:val="22"/>
        </w:rPr>
        <w:t>de la “LXII” Legislatura del Estado de México; 2, fracción II; 29, 36 fracciones I y II; 176, 178, 181, 185 y 186 fracción II de la Ley de Transparencia y Acceso a la Información Pública del Estado de México y Municipios, este Pleno:</w:t>
      </w:r>
    </w:p>
    <w:p w:rsidR="00A208B1" w:rsidRDefault="003E0D5B">
      <w:pPr>
        <w:pBdr>
          <w:top w:val="nil"/>
          <w:left w:val="nil"/>
          <w:bottom w:val="nil"/>
          <w:right w:val="nil"/>
          <w:between w:val="nil"/>
        </w:pBdr>
        <w:spacing w:before="240" w:after="240" w:line="360" w:lineRule="auto"/>
        <w:jc w:val="cente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III. R E S U E L V E</w:t>
      </w:r>
    </w:p>
    <w:p w:rsidR="00A208B1" w:rsidRDefault="003E0D5B">
      <w:pPr>
        <w:spacing w:before="240" w:after="240" w:line="360" w:lineRule="auto"/>
        <w:jc w:val="both"/>
        <w:rPr>
          <w:rFonts w:ascii="Palatino Linotype" w:eastAsia="Palatino Linotype" w:hAnsi="Palatino Linotype" w:cs="Palatino Linotype"/>
          <w:sz w:val="22"/>
          <w:szCs w:val="22"/>
        </w:rPr>
      </w:pPr>
      <w:bookmarkStart w:id="10" w:name="_heading=h.26in1rg" w:colFirst="0" w:colLast="0"/>
      <w:bookmarkEnd w:id="10"/>
      <w:r>
        <w:rPr>
          <w:rFonts w:ascii="Palatino Linotype" w:eastAsia="Palatino Linotype" w:hAnsi="Palatino Linotype" w:cs="Palatino Linotype"/>
          <w:b/>
          <w:bCs/>
          <w:sz w:val="22"/>
          <w:szCs w:val="22"/>
        </w:rPr>
        <w:t>P</w:t>
      </w:r>
      <w:r>
        <w:rPr>
          <w:rFonts w:ascii="Palatino Linotype" w:eastAsia="Palatino Linotype" w:hAnsi="Palatino Linotype" w:cs="Palatino Linotype"/>
          <w:b/>
          <w:bCs/>
          <w:sz w:val="22"/>
          <w:szCs w:val="22"/>
        </w:rPr>
        <w:t xml:space="preserve">rimero. </w:t>
      </w:r>
      <w:r>
        <w:rPr>
          <w:rFonts w:ascii="Palatino Linotype" w:eastAsia="Palatino Linotype" w:hAnsi="Palatino Linotype" w:cs="Palatino Linotype"/>
          <w:sz w:val="22"/>
          <w:szCs w:val="22"/>
        </w:rPr>
        <w:t>Resultan</w:t>
      </w:r>
      <w:r>
        <w:rPr>
          <w:rFonts w:ascii="Palatino Linotype" w:eastAsia="Palatino Linotype" w:hAnsi="Palatino Linotype" w:cs="Palatino Linotype"/>
          <w:b/>
          <w:bCs/>
          <w:sz w:val="22"/>
          <w:szCs w:val="22"/>
        </w:rPr>
        <w:t xml:space="preserve"> fundadas</w:t>
      </w:r>
      <w:r>
        <w:rPr>
          <w:rFonts w:ascii="Palatino Linotype" w:eastAsia="Palatino Linotype" w:hAnsi="Palatino Linotype" w:cs="Palatino Linotype"/>
          <w:sz w:val="22"/>
          <w:szCs w:val="22"/>
        </w:rPr>
        <w:t xml:space="preserve"> las razones o motivos de inconformidad hechos valer por la parte</w:t>
      </w:r>
      <w:r>
        <w:rPr>
          <w:rFonts w:ascii="Palatino Linotype" w:eastAsia="Palatino Linotype" w:hAnsi="Palatino Linotype" w:cs="Palatino Linotype"/>
          <w:b/>
          <w:bCs/>
          <w:sz w:val="22"/>
          <w:szCs w:val="22"/>
        </w:rPr>
        <w:t xml:space="preserve"> Recurrente</w:t>
      </w:r>
      <w:r>
        <w:rPr>
          <w:rFonts w:ascii="Palatino Linotype" w:eastAsia="Palatino Linotype" w:hAnsi="Palatino Linotype" w:cs="Palatino Linotype"/>
          <w:sz w:val="22"/>
          <w:szCs w:val="22"/>
        </w:rPr>
        <w:t xml:space="preserve"> en el recurso de revisión </w:t>
      </w:r>
      <w:r>
        <w:rPr>
          <w:rFonts w:ascii="Palatino Linotype" w:eastAsia="Palatino Linotype" w:hAnsi="Palatino Linotype" w:cs="Palatino Linotype"/>
          <w:b/>
          <w:bCs/>
          <w:sz w:val="22"/>
          <w:szCs w:val="22"/>
        </w:rPr>
        <w:t>08339/INFOEM/IP/RR/2025</w:t>
      </w:r>
      <w:r>
        <w:rPr>
          <w:rFonts w:ascii="Palatino Linotype" w:eastAsia="Palatino Linotype" w:hAnsi="Palatino Linotype" w:cs="Palatino Linotype"/>
          <w:sz w:val="22"/>
          <w:szCs w:val="22"/>
        </w:rPr>
        <w:t xml:space="preserve">; por lo que, en términos del </w:t>
      </w:r>
      <w:r>
        <w:rPr>
          <w:rFonts w:ascii="Palatino Linotype" w:eastAsia="Palatino Linotype" w:hAnsi="Palatino Linotype" w:cs="Palatino Linotype"/>
          <w:b/>
          <w:bCs/>
          <w:sz w:val="22"/>
          <w:szCs w:val="22"/>
        </w:rPr>
        <w:t>Considerando</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bCs/>
          <w:sz w:val="22"/>
          <w:szCs w:val="22"/>
        </w:rPr>
        <w:t xml:space="preserve">Cuarto </w:t>
      </w:r>
      <w:r>
        <w:rPr>
          <w:rFonts w:ascii="Palatino Linotype" w:eastAsia="Palatino Linotype" w:hAnsi="Palatino Linotype" w:cs="Palatino Linotype"/>
          <w:sz w:val="22"/>
          <w:szCs w:val="22"/>
        </w:rPr>
        <w:t xml:space="preserve">de esta resolución, se </w:t>
      </w:r>
      <w:r>
        <w:rPr>
          <w:rFonts w:ascii="Palatino Linotype" w:eastAsia="Palatino Linotype" w:hAnsi="Palatino Linotype" w:cs="Palatino Linotype"/>
          <w:b/>
          <w:bCs/>
          <w:sz w:val="22"/>
          <w:szCs w:val="22"/>
        </w:rPr>
        <w:t xml:space="preserve">Revoca </w:t>
      </w:r>
      <w:r>
        <w:rPr>
          <w:rFonts w:ascii="Palatino Linotype" w:eastAsia="Palatino Linotype" w:hAnsi="Palatino Linotype" w:cs="Palatino Linotype"/>
          <w:sz w:val="22"/>
          <w:szCs w:val="22"/>
        </w:rPr>
        <w:t xml:space="preserve">la respuesta emitida por </w:t>
      </w:r>
      <w:r>
        <w:rPr>
          <w:rFonts w:ascii="Palatino Linotype" w:eastAsia="Palatino Linotype" w:hAnsi="Palatino Linotype" w:cs="Palatino Linotype"/>
          <w:sz w:val="22"/>
          <w:szCs w:val="22"/>
        </w:rPr>
        <w:t xml:space="preserve">el </w:t>
      </w:r>
      <w:r>
        <w:rPr>
          <w:rFonts w:ascii="Palatino Linotype" w:eastAsia="Palatino Linotype" w:hAnsi="Palatino Linotype" w:cs="Palatino Linotype"/>
          <w:b/>
          <w:bCs/>
          <w:sz w:val="22"/>
          <w:szCs w:val="22"/>
        </w:rPr>
        <w:t xml:space="preserve">Sujeto Obligado. </w:t>
      </w:r>
    </w:p>
    <w:p w:rsidR="00A208B1" w:rsidRDefault="003E0D5B">
      <w:pPr>
        <w:spacing w:before="240" w:after="240"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Segundo. </w:t>
      </w:r>
      <w:r>
        <w:rPr>
          <w:rFonts w:ascii="Palatino Linotype" w:eastAsia="Palatino Linotype" w:hAnsi="Palatino Linotype" w:cs="Palatino Linotype"/>
          <w:sz w:val="22"/>
          <w:szCs w:val="22"/>
        </w:rPr>
        <w:t xml:space="preserve">Se </w:t>
      </w:r>
      <w:r>
        <w:rPr>
          <w:rFonts w:ascii="Palatino Linotype" w:eastAsia="Palatino Linotype" w:hAnsi="Palatino Linotype" w:cs="Palatino Linotype"/>
          <w:b/>
          <w:bCs/>
          <w:sz w:val="22"/>
          <w:szCs w:val="22"/>
        </w:rPr>
        <w:t>Ordena</w:t>
      </w:r>
      <w:r>
        <w:rPr>
          <w:rFonts w:ascii="Palatino Linotype" w:eastAsia="Palatino Linotype" w:hAnsi="Palatino Linotype" w:cs="Palatino Linotype"/>
          <w:sz w:val="22"/>
          <w:szCs w:val="22"/>
        </w:rPr>
        <w:t xml:space="preserve"> al </w:t>
      </w:r>
      <w:r>
        <w:rPr>
          <w:rFonts w:ascii="Palatino Linotype" w:eastAsia="Palatino Linotype" w:hAnsi="Palatino Linotype" w:cs="Palatino Linotype"/>
          <w:b/>
          <w:bCs/>
          <w:sz w:val="22"/>
          <w:szCs w:val="22"/>
        </w:rPr>
        <w:t>Sujeto Obligado</w:t>
      </w:r>
      <w:r>
        <w:rPr>
          <w:rFonts w:ascii="Palatino Linotype" w:eastAsia="Palatino Linotype" w:hAnsi="Palatino Linotype" w:cs="Palatino Linotype"/>
          <w:sz w:val="22"/>
          <w:szCs w:val="22"/>
        </w:rPr>
        <w:t xml:space="preserve">, en términos de los Considerandos </w:t>
      </w:r>
      <w:r>
        <w:rPr>
          <w:rFonts w:ascii="Palatino Linotype" w:eastAsia="Palatino Linotype" w:hAnsi="Palatino Linotype" w:cs="Palatino Linotype"/>
          <w:b/>
          <w:bCs/>
          <w:sz w:val="22"/>
          <w:szCs w:val="22"/>
        </w:rPr>
        <w:t xml:space="preserve">Cuarto </w:t>
      </w:r>
      <w:r>
        <w:rPr>
          <w:rFonts w:ascii="Palatino Linotype" w:eastAsia="Palatino Linotype" w:hAnsi="Palatino Linotype" w:cs="Palatino Linotype"/>
          <w:sz w:val="22"/>
          <w:szCs w:val="22"/>
        </w:rPr>
        <w:t xml:space="preserve">y </w:t>
      </w:r>
      <w:r>
        <w:rPr>
          <w:rFonts w:ascii="Palatino Linotype" w:eastAsia="Palatino Linotype" w:hAnsi="Palatino Linotype" w:cs="Palatino Linotype"/>
          <w:b/>
          <w:bCs/>
          <w:sz w:val="22"/>
          <w:szCs w:val="22"/>
        </w:rPr>
        <w:t xml:space="preserve">Quinto </w:t>
      </w:r>
      <w:r>
        <w:rPr>
          <w:rFonts w:ascii="Palatino Linotype" w:eastAsia="Palatino Linotype" w:hAnsi="Palatino Linotype" w:cs="Palatino Linotype"/>
          <w:sz w:val="22"/>
          <w:szCs w:val="22"/>
        </w:rPr>
        <w:t xml:space="preserve">de esta resolución, haga entrega, vía </w:t>
      </w:r>
      <w:r>
        <w:rPr>
          <w:rFonts w:ascii="Palatino Linotype" w:eastAsia="Palatino Linotype" w:hAnsi="Palatino Linotype" w:cs="Palatino Linotype"/>
          <w:b/>
          <w:bCs/>
          <w:sz w:val="22"/>
          <w:szCs w:val="22"/>
        </w:rPr>
        <w:t>SAIMEX</w:t>
      </w:r>
      <w:r>
        <w:rPr>
          <w:rFonts w:ascii="Palatino Linotype" w:eastAsia="Palatino Linotype" w:hAnsi="Palatino Linotype" w:cs="Palatino Linotype"/>
          <w:sz w:val="22"/>
          <w:szCs w:val="22"/>
        </w:rPr>
        <w:t>, previa búsqueda exhaustiva y razonable, en versión pública de ser procedente, de lo siguiente:</w:t>
      </w:r>
    </w:p>
    <w:p w:rsidR="00A208B1" w:rsidRDefault="003E0D5B">
      <w:pPr>
        <w:spacing w:before="240" w:after="240" w:line="360" w:lineRule="auto"/>
        <w:ind w:left="284"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1. Inventario de bienes muebles actualizado al nueve de junio de dos mil veinticinco.</w:t>
      </w:r>
    </w:p>
    <w:p w:rsidR="00A208B1" w:rsidRDefault="003E0D5B">
      <w:pPr>
        <w:spacing w:before="240" w:after="240" w:line="360" w:lineRule="auto"/>
        <w:ind w:left="284"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2.  Contratos o convenios celebrados para la adquisición de las unidades vehiculares adquiridas o entregadas al municipio del uno de enero de dos mil veintitrés al nueve </w:t>
      </w:r>
      <w:r>
        <w:rPr>
          <w:rFonts w:ascii="Palatino Linotype" w:eastAsia="Palatino Linotype" w:hAnsi="Palatino Linotype" w:cs="Palatino Linotype"/>
          <w:sz w:val="22"/>
          <w:szCs w:val="22"/>
        </w:rPr>
        <w:t>de junio de dos mil veinticinco.</w:t>
      </w:r>
    </w:p>
    <w:p w:rsidR="00A208B1" w:rsidRDefault="003E0D5B">
      <w:pPr>
        <w:spacing w:before="240" w:after="240" w:line="360" w:lineRule="auto"/>
        <w:ind w:left="284"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3. Las facturas generadas con motivo de la adquisición de las unidades vehiculares referidas en el punto anterior. </w:t>
      </w:r>
    </w:p>
    <w:p w:rsidR="00A208B1" w:rsidRDefault="003E0D5B">
      <w:pPr>
        <w:spacing w:before="120" w:after="120"/>
        <w:ind w:left="284"/>
        <w:jc w:val="both"/>
        <w:rPr>
          <w:rFonts w:ascii="Palatino Linotype" w:eastAsia="Palatino Linotype" w:hAnsi="Palatino Linotype" w:cs="Palatino Linotype"/>
          <w:i/>
          <w:iCs/>
          <w:sz w:val="20"/>
          <w:szCs w:val="20"/>
        </w:rPr>
      </w:pPr>
      <w:r>
        <w:rPr>
          <w:rFonts w:ascii="Palatino Linotype" w:eastAsia="Palatino Linotype" w:hAnsi="Palatino Linotype" w:cs="Palatino Linotype"/>
          <w:i/>
          <w:iCs/>
          <w:sz w:val="20"/>
          <w:szCs w:val="20"/>
        </w:rPr>
        <w:t>Para la entrega en versión pública, deberá emitir el Acuerdo del Comité de Transparencia en términos de la Ley de Transparencia y Acceso a la Información Pública del Estado de México y Municipios, en el que funde y motive las razones sobre los datos que se</w:t>
      </w:r>
      <w:r>
        <w:rPr>
          <w:rFonts w:ascii="Palatino Linotype" w:eastAsia="Palatino Linotype" w:hAnsi="Palatino Linotype" w:cs="Palatino Linotype"/>
          <w:i/>
          <w:iCs/>
          <w:sz w:val="20"/>
          <w:szCs w:val="20"/>
        </w:rPr>
        <w:t xml:space="preserve"> supriman o eliminen, y se ponga a disposición de la parte </w:t>
      </w:r>
      <w:r>
        <w:rPr>
          <w:rFonts w:ascii="Palatino Linotype" w:eastAsia="Palatino Linotype" w:hAnsi="Palatino Linotype" w:cs="Palatino Linotype"/>
          <w:b/>
          <w:bCs/>
          <w:i/>
          <w:iCs/>
          <w:sz w:val="20"/>
          <w:szCs w:val="20"/>
        </w:rPr>
        <w:t>Recurrente</w:t>
      </w:r>
      <w:r>
        <w:rPr>
          <w:rFonts w:ascii="Palatino Linotype" w:eastAsia="Palatino Linotype" w:hAnsi="Palatino Linotype" w:cs="Palatino Linotype"/>
          <w:i/>
          <w:iCs/>
          <w:sz w:val="20"/>
          <w:szCs w:val="20"/>
        </w:rPr>
        <w:t>, en términos de los artículos 49, fracción VIII, de la Ley de Transparencia y Acceso a la Información Pública del Estado de México y Municipios.</w:t>
      </w:r>
    </w:p>
    <w:p w:rsidR="00A208B1" w:rsidRDefault="003E0D5B">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Tercero. Notifíquese, </w:t>
      </w:r>
      <w:r>
        <w:rPr>
          <w:rFonts w:ascii="Palatino Linotype" w:eastAsia="Palatino Linotype" w:hAnsi="Palatino Linotype" w:cs="Palatino Linotype"/>
          <w:sz w:val="22"/>
          <w:szCs w:val="22"/>
        </w:rPr>
        <w:t xml:space="preserve">vía </w:t>
      </w:r>
      <w:r>
        <w:rPr>
          <w:rFonts w:ascii="Palatino Linotype" w:eastAsia="Palatino Linotype" w:hAnsi="Palatino Linotype" w:cs="Palatino Linotype"/>
          <w:b/>
          <w:bCs/>
          <w:sz w:val="22"/>
          <w:szCs w:val="22"/>
        </w:rPr>
        <w:t>SAIMEX</w:t>
      </w:r>
      <w:r>
        <w:rPr>
          <w:rFonts w:ascii="Palatino Linotype" w:eastAsia="Palatino Linotype" w:hAnsi="Palatino Linotype" w:cs="Palatino Linotype"/>
          <w:sz w:val="22"/>
          <w:szCs w:val="22"/>
        </w:rPr>
        <w:t>, al Titu</w:t>
      </w:r>
      <w:r>
        <w:rPr>
          <w:rFonts w:ascii="Palatino Linotype" w:eastAsia="Palatino Linotype" w:hAnsi="Palatino Linotype" w:cs="Palatino Linotype"/>
          <w:sz w:val="22"/>
          <w:szCs w:val="22"/>
        </w:rPr>
        <w:t xml:space="preserve">lar de la Unidad de Transparencia del </w:t>
      </w:r>
      <w:r>
        <w:rPr>
          <w:rFonts w:ascii="Palatino Linotype" w:eastAsia="Palatino Linotype" w:hAnsi="Palatino Linotype" w:cs="Palatino Linotype"/>
          <w:b/>
          <w:bCs/>
          <w:sz w:val="22"/>
          <w:szCs w:val="22"/>
        </w:rPr>
        <w:t>Sujeto Obligado,</w:t>
      </w:r>
      <w:r>
        <w:rPr>
          <w:rFonts w:ascii="Palatino Linotype" w:eastAsia="Palatino Linotype" w:hAnsi="Palatino Linotype" w:cs="Palatino Linotype"/>
          <w:sz w:val="22"/>
          <w:szCs w:val="22"/>
        </w:rPr>
        <w:t xml:space="preserve"> la presente resolución para que conforme a los artículos 186, último párrafo y 189, párrafo segundo y 194 de la Ley de Transparencia y Acceso a la Información Pública del Estado de México y Municipios;</w:t>
      </w:r>
      <w:r>
        <w:rPr>
          <w:rFonts w:ascii="Palatino Linotype" w:eastAsia="Palatino Linotype" w:hAnsi="Palatino Linotype" w:cs="Palatino Linotype"/>
          <w:sz w:val="22"/>
          <w:szCs w:val="22"/>
        </w:rPr>
        <w:t xml:space="preserve">  dé cumplimiento a lo ordenado dentro del plazo de diez días hábiles, e informe a este Instituto en un plazo de tres días hábiles siguientes sobre el cumplimiento dado a la presente, y, se le apercibe que en caso de negarse a cumplir la presente resolució</w:t>
      </w:r>
      <w:r>
        <w:rPr>
          <w:rFonts w:ascii="Palatino Linotype" w:eastAsia="Palatino Linotype" w:hAnsi="Palatino Linotype" w:cs="Palatino Linotype"/>
          <w:sz w:val="22"/>
          <w:szCs w:val="22"/>
        </w:rPr>
        <w:t>n o hacerlo de manera parcial, se le impondrá una medida de apremio de conformidad con lo previsto en los artículos 198, 200, fracción III; 214, 215 y 216 de la Ley  de Transparencia y Acceso a la Información Pública del Estado de México y Municipios.</w:t>
      </w:r>
    </w:p>
    <w:p w:rsidR="00A208B1" w:rsidRDefault="003E0D5B">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c</w:t>
      </w:r>
      <w:r>
        <w:rPr>
          <w:rFonts w:ascii="Palatino Linotype" w:eastAsia="Palatino Linotype" w:hAnsi="Palatino Linotype" w:cs="Palatino Linotype"/>
          <w:sz w:val="22"/>
          <w:szCs w:val="22"/>
        </w:rPr>
        <w:t xml:space="preserve">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bCs/>
          <w:sz w:val="22"/>
          <w:szCs w:val="22"/>
        </w:rPr>
        <w:t>Sujeto Obligado</w:t>
      </w:r>
      <w:r>
        <w:rPr>
          <w:rFonts w:ascii="Palatino Linotype" w:eastAsia="Palatino Linotype" w:hAnsi="Palatino Linotype" w:cs="Palatino Linotype"/>
          <w:sz w:val="22"/>
          <w:szCs w:val="22"/>
        </w:rPr>
        <w:t xml:space="preserve"> de manera fundada y motivada, podrá solicitar una ampliación de plazo para el cump</w:t>
      </w:r>
      <w:r>
        <w:rPr>
          <w:rFonts w:ascii="Palatino Linotype" w:eastAsia="Palatino Linotype" w:hAnsi="Palatino Linotype" w:cs="Palatino Linotype"/>
          <w:sz w:val="22"/>
          <w:szCs w:val="22"/>
        </w:rPr>
        <w:t>limiento de la presente resolución.</w:t>
      </w:r>
    </w:p>
    <w:p w:rsidR="00A208B1" w:rsidRDefault="003E0D5B">
      <w:pPr>
        <w:spacing w:before="240" w:after="240" w:line="360" w:lineRule="auto"/>
        <w:jc w:val="both"/>
        <w:rPr>
          <w:rFonts w:ascii="Palatino Linotype" w:eastAsia="Palatino Linotype" w:hAnsi="Palatino Linotype" w:cs="Palatino Linotype"/>
          <w:sz w:val="22"/>
          <w:szCs w:val="22"/>
        </w:rPr>
      </w:pPr>
      <w:bookmarkStart w:id="11" w:name="_heading=h.17dp8vu" w:colFirst="0" w:colLast="0"/>
      <w:bookmarkEnd w:id="11"/>
      <w:r>
        <w:rPr>
          <w:rFonts w:ascii="Palatino Linotype" w:eastAsia="Palatino Linotype" w:hAnsi="Palatino Linotype" w:cs="Palatino Linotype"/>
          <w:b/>
          <w:bCs/>
          <w:sz w:val="22"/>
          <w:szCs w:val="22"/>
        </w:rPr>
        <w:t xml:space="preserve">Cuarto.  Notifíquese, </w:t>
      </w:r>
      <w:r>
        <w:rPr>
          <w:rFonts w:ascii="Palatino Linotype" w:eastAsia="Palatino Linotype" w:hAnsi="Palatino Linotype" w:cs="Palatino Linotype"/>
          <w:sz w:val="22"/>
          <w:szCs w:val="22"/>
        </w:rPr>
        <w:t xml:space="preserve">vía </w:t>
      </w:r>
      <w:r>
        <w:rPr>
          <w:rFonts w:ascii="Palatino Linotype" w:eastAsia="Palatino Linotype" w:hAnsi="Palatino Linotype" w:cs="Palatino Linotype"/>
          <w:b/>
          <w:bCs/>
          <w:sz w:val="22"/>
          <w:szCs w:val="22"/>
        </w:rPr>
        <w:t>SAIMEX</w:t>
      </w:r>
      <w:r>
        <w:rPr>
          <w:rFonts w:ascii="Palatino Linotype" w:eastAsia="Palatino Linotype" w:hAnsi="Palatino Linotype" w:cs="Palatino Linotype"/>
          <w:sz w:val="22"/>
          <w:szCs w:val="22"/>
        </w:rPr>
        <w:t xml:space="preserve">, a la parte </w:t>
      </w:r>
      <w:r>
        <w:rPr>
          <w:rFonts w:ascii="Palatino Linotype" w:eastAsia="Palatino Linotype" w:hAnsi="Palatino Linotype" w:cs="Palatino Linotype"/>
          <w:b/>
          <w:bCs/>
          <w:sz w:val="22"/>
          <w:szCs w:val="22"/>
        </w:rPr>
        <w:t>Recurrente</w:t>
      </w:r>
      <w:r>
        <w:rPr>
          <w:rFonts w:ascii="Palatino Linotype" w:eastAsia="Palatino Linotype" w:hAnsi="Palatino Linotype" w:cs="Palatino Linotype"/>
          <w:sz w:val="22"/>
          <w:szCs w:val="22"/>
        </w:rPr>
        <w:t xml:space="preserve"> la presente resolución, así como, que de conformidad con lo establecido en el artículo 196 de la Ley de Transparencia y Acceso a la Información Pública del Estado d</w:t>
      </w:r>
      <w:r>
        <w:rPr>
          <w:rFonts w:ascii="Palatino Linotype" w:eastAsia="Palatino Linotype" w:hAnsi="Palatino Linotype" w:cs="Palatino Linotype"/>
          <w:sz w:val="22"/>
          <w:szCs w:val="22"/>
        </w:rPr>
        <w:t>e México y Municipios, en caso de que considere que le causa algún perjuicio podrá impugnarla vía Juicio de Amparo en los términos de las leyes aplicables.</w:t>
      </w:r>
    </w:p>
    <w:p w:rsidR="00A208B1" w:rsidRDefault="003E0D5B">
      <w:pPr>
        <w:tabs>
          <w:tab w:val="left" w:pos="8647"/>
        </w:tabs>
        <w:spacing w:before="240" w:after="240" w:line="360" w:lineRule="auto"/>
        <w:ind w:right="51"/>
        <w:jc w:val="both"/>
        <w:rPr>
          <w:rFonts w:ascii="Palatino Linotype" w:eastAsia="Palatino Linotype" w:hAnsi="Palatino Linotype" w:cs="Palatino Linotype"/>
          <w:sz w:val="22"/>
          <w:szCs w:val="22"/>
        </w:rPr>
      </w:pPr>
      <w:bookmarkStart w:id="12" w:name="_heading=h.lnxbz9" w:colFirst="0" w:colLast="0"/>
      <w:bookmarkEnd w:id="12"/>
      <w:r>
        <w:rPr>
          <w:rFonts w:ascii="Palatino Linotype" w:eastAsia="Palatino Linotype" w:hAnsi="Palatino Linotype" w:cs="Palatino Linotype"/>
          <w:sz w:val="22"/>
          <w:szCs w:val="22"/>
        </w:rPr>
        <w:t>ASÍ LO RESUELVE, POR UNANIMIDAD DE VOTOS, EL PLENO DEL INSTITUTO DE TRANSPARENCIA, ACCESO A LA INFOR</w:t>
      </w:r>
      <w:r>
        <w:rPr>
          <w:rFonts w:ascii="Palatino Linotype" w:eastAsia="Palatino Linotype" w:hAnsi="Palatino Linotype" w:cs="Palatino Linotype"/>
          <w:sz w:val="22"/>
          <w:szCs w:val="22"/>
        </w:rPr>
        <w:t>MACIÓN PÚBLICA Y PROTECCIÓN DE DATOS PERSONALES DEL ESTADO DE MÉXICO Y MUNICIPIOS, CONFORMADO POR LOS COMISIONADOS JOSÉ MARTÍNEZ VILCHIS, MARÍA DEL ROSARIO MEJÍA AYALA, SHARON CRISTINA MORALES MARTÍNEZ, LUIS GUSTAVO PARRA NORIEGA, EMITIENDO VOTO PARTICULAR</w:t>
      </w:r>
      <w:r>
        <w:rPr>
          <w:rFonts w:ascii="Palatino Linotype" w:eastAsia="Palatino Linotype" w:hAnsi="Palatino Linotype" w:cs="Palatino Linotype"/>
          <w:sz w:val="22"/>
          <w:szCs w:val="22"/>
        </w:rPr>
        <w:t xml:space="preserve"> Y GUADALUPE RAMÍREZ PEÑA, EN LA DÉCIMA SEGUNDA SESIÓN ORDINARIA CELEBRADA EL OCHO DE ABRIL DE DOS MIL VEINTISÉIS, ANTE EL SECRETARIO TÉCNICO DEL PLENO ALEXIS TAPIA RAMÍREZ.</w:t>
      </w:r>
    </w:p>
    <w:p w:rsidR="00A208B1" w:rsidRDefault="00A208B1">
      <w:pPr>
        <w:spacing w:line="360" w:lineRule="auto"/>
        <w:jc w:val="both"/>
        <w:rPr>
          <w:rFonts w:ascii="Palatino Linotype" w:eastAsia="Palatino Linotype" w:hAnsi="Palatino Linotype" w:cs="Palatino Linotype"/>
          <w:sz w:val="22"/>
          <w:szCs w:val="22"/>
        </w:rPr>
      </w:pPr>
    </w:p>
    <w:p w:rsidR="00A208B1" w:rsidRDefault="00A208B1">
      <w:pPr>
        <w:spacing w:line="360" w:lineRule="auto"/>
        <w:jc w:val="both"/>
        <w:rPr>
          <w:rFonts w:ascii="Palatino Linotype" w:eastAsia="Palatino Linotype" w:hAnsi="Palatino Linotype" w:cs="Palatino Linotype"/>
          <w:sz w:val="22"/>
          <w:szCs w:val="22"/>
        </w:rPr>
      </w:pPr>
    </w:p>
    <w:p w:rsidR="00A208B1" w:rsidRDefault="00A208B1">
      <w:pPr>
        <w:spacing w:line="360" w:lineRule="auto"/>
        <w:jc w:val="both"/>
        <w:rPr>
          <w:rFonts w:ascii="Palatino Linotype" w:eastAsia="Palatino Linotype" w:hAnsi="Palatino Linotype" w:cs="Palatino Linotype"/>
          <w:sz w:val="22"/>
          <w:szCs w:val="22"/>
        </w:rPr>
      </w:pPr>
    </w:p>
    <w:p w:rsidR="00A208B1" w:rsidRDefault="00A208B1">
      <w:pPr>
        <w:spacing w:line="360" w:lineRule="auto"/>
        <w:jc w:val="center"/>
        <w:rPr>
          <w:rFonts w:ascii="Palatino Linotype" w:eastAsia="Palatino Linotype" w:hAnsi="Palatino Linotype" w:cs="Palatino Linotype"/>
          <w:sz w:val="22"/>
          <w:szCs w:val="22"/>
        </w:rPr>
      </w:pPr>
    </w:p>
    <w:p w:rsidR="00A208B1" w:rsidRDefault="00A208B1">
      <w:pPr>
        <w:spacing w:line="360" w:lineRule="auto"/>
        <w:jc w:val="both"/>
        <w:rPr>
          <w:rFonts w:ascii="Palatino Linotype" w:eastAsia="Palatino Linotype" w:hAnsi="Palatino Linotype" w:cs="Palatino Linotype"/>
          <w:sz w:val="22"/>
          <w:szCs w:val="22"/>
        </w:rPr>
      </w:pPr>
    </w:p>
    <w:p w:rsidR="00A208B1" w:rsidRDefault="00A208B1">
      <w:pPr>
        <w:spacing w:line="360" w:lineRule="auto"/>
        <w:jc w:val="both"/>
        <w:rPr>
          <w:rFonts w:ascii="Palatino Linotype" w:eastAsia="Palatino Linotype" w:hAnsi="Palatino Linotype" w:cs="Palatino Linotype"/>
          <w:sz w:val="22"/>
          <w:szCs w:val="22"/>
        </w:rPr>
      </w:pPr>
    </w:p>
    <w:p w:rsidR="00A208B1" w:rsidRDefault="00A208B1">
      <w:pPr>
        <w:spacing w:line="360" w:lineRule="auto"/>
        <w:jc w:val="both"/>
        <w:rPr>
          <w:rFonts w:ascii="Palatino Linotype" w:eastAsia="Palatino Linotype" w:hAnsi="Palatino Linotype" w:cs="Palatino Linotype"/>
          <w:sz w:val="22"/>
          <w:szCs w:val="22"/>
        </w:rPr>
      </w:pPr>
    </w:p>
    <w:p w:rsidR="00A208B1" w:rsidRDefault="00A208B1">
      <w:pPr>
        <w:spacing w:line="360" w:lineRule="auto"/>
        <w:jc w:val="both"/>
        <w:rPr>
          <w:rFonts w:ascii="Palatino Linotype" w:eastAsia="Palatino Linotype" w:hAnsi="Palatino Linotype" w:cs="Palatino Linotype"/>
          <w:sz w:val="22"/>
          <w:szCs w:val="22"/>
        </w:rPr>
      </w:pPr>
    </w:p>
    <w:p w:rsidR="00A208B1" w:rsidRDefault="00A208B1">
      <w:pPr>
        <w:spacing w:line="360" w:lineRule="auto"/>
        <w:jc w:val="both"/>
        <w:rPr>
          <w:rFonts w:ascii="Palatino Linotype" w:eastAsia="Palatino Linotype" w:hAnsi="Palatino Linotype" w:cs="Palatino Linotype"/>
          <w:sz w:val="22"/>
          <w:szCs w:val="22"/>
        </w:rPr>
      </w:pPr>
    </w:p>
    <w:p w:rsidR="00A208B1" w:rsidRDefault="00A208B1">
      <w:pPr>
        <w:spacing w:line="360" w:lineRule="auto"/>
        <w:jc w:val="both"/>
        <w:rPr>
          <w:rFonts w:ascii="Palatino Linotype" w:eastAsia="Palatino Linotype" w:hAnsi="Palatino Linotype" w:cs="Palatino Linotype"/>
          <w:sz w:val="22"/>
          <w:szCs w:val="22"/>
        </w:rPr>
      </w:pPr>
    </w:p>
    <w:p w:rsidR="00A208B1" w:rsidRDefault="00A208B1">
      <w:pPr>
        <w:spacing w:line="360" w:lineRule="auto"/>
        <w:jc w:val="both"/>
        <w:rPr>
          <w:rFonts w:ascii="Palatino Linotype" w:eastAsia="Palatino Linotype" w:hAnsi="Palatino Linotype" w:cs="Palatino Linotype"/>
          <w:sz w:val="22"/>
          <w:szCs w:val="22"/>
        </w:rPr>
      </w:pPr>
    </w:p>
    <w:p w:rsidR="00A208B1" w:rsidRDefault="00A208B1">
      <w:pPr>
        <w:spacing w:line="360" w:lineRule="auto"/>
        <w:jc w:val="both"/>
        <w:rPr>
          <w:rFonts w:ascii="Palatino Linotype" w:eastAsia="Palatino Linotype" w:hAnsi="Palatino Linotype" w:cs="Palatino Linotype"/>
          <w:sz w:val="22"/>
          <w:szCs w:val="22"/>
        </w:rPr>
      </w:pPr>
    </w:p>
    <w:p w:rsidR="00A208B1" w:rsidRDefault="00A208B1">
      <w:pPr>
        <w:spacing w:line="360" w:lineRule="auto"/>
        <w:jc w:val="both"/>
        <w:rPr>
          <w:rFonts w:ascii="Palatino Linotype" w:eastAsia="Palatino Linotype" w:hAnsi="Palatino Linotype" w:cs="Palatino Linotype"/>
          <w:sz w:val="22"/>
          <w:szCs w:val="22"/>
        </w:rPr>
      </w:pPr>
    </w:p>
    <w:p w:rsidR="00A208B1" w:rsidRDefault="00A208B1">
      <w:pPr>
        <w:spacing w:line="360" w:lineRule="auto"/>
        <w:jc w:val="both"/>
        <w:rPr>
          <w:rFonts w:ascii="Palatino Linotype" w:eastAsia="Palatino Linotype" w:hAnsi="Palatino Linotype" w:cs="Palatino Linotype"/>
          <w:sz w:val="22"/>
          <w:szCs w:val="22"/>
        </w:rPr>
      </w:pPr>
    </w:p>
    <w:p w:rsidR="00A208B1" w:rsidRDefault="00A208B1">
      <w:pPr>
        <w:spacing w:line="360" w:lineRule="auto"/>
        <w:jc w:val="both"/>
        <w:rPr>
          <w:rFonts w:ascii="Palatino Linotype" w:eastAsia="Palatino Linotype" w:hAnsi="Palatino Linotype" w:cs="Palatino Linotype"/>
          <w:sz w:val="22"/>
          <w:szCs w:val="22"/>
        </w:rPr>
      </w:pPr>
    </w:p>
    <w:p w:rsidR="00A208B1" w:rsidRDefault="00A208B1">
      <w:pPr>
        <w:spacing w:line="360" w:lineRule="auto"/>
        <w:jc w:val="both"/>
        <w:rPr>
          <w:rFonts w:ascii="Palatino Linotype" w:eastAsia="Palatino Linotype" w:hAnsi="Palatino Linotype" w:cs="Palatino Linotype"/>
          <w:sz w:val="22"/>
          <w:szCs w:val="22"/>
        </w:rPr>
      </w:pPr>
    </w:p>
    <w:p w:rsidR="00A208B1" w:rsidRDefault="00A208B1">
      <w:pPr>
        <w:spacing w:line="360" w:lineRule="auto"/>
        <w:jc w:val="both"/>
        <w:rPr>
          <w:rFonts w:ascii="Palatino Linotype" w:eastAsia="Palatino Linotype" w:hAnsi="Palatino Linotype" w:cs="Palatino Linotype"/>
          <w:sz w:val="22"/>
          <w:szCs w:val="22"/>
        </w:rPr>
      </w:pPr>
    </w:p>
    <w:p w:rsidR="00A208B1" w:rsidRDefault="00A208B1">
      <w:pPr>
        <w:spacing w:line="360" w:lineRule="auto"/>
        <w:jc w:val="both"/>
        <w:rPr>
          <w:rFonts w:ascii="Palatino Linotype" w:eastAsia="Palatino Linotype" w:hAnsi="Palatino Linotype" w:cs="Palatino Linotype"/>
          <w:sz w:val="22"/>
          <w:szCs w:val="22"/>
        </w:rPr>
      </w:pPr>
    </w:p>
    <w:p w:rsidR="00A208B1" w:rsidRDefault="00A208B1">
      <w:pPr>
        <w:spacing w:line="360" w:lineRule="auto"/>
        <w:jc w:val="both"/>
        <w:rPr>
          <w:rFonts w:ascii="Palatino Linotype" w:eastAsia="Palatino Linotype" w:hAnsi="Palatino Linotype" w:cs="Palatino Linotype"/>
          <w:sz w:val="22"/>
          <w:szCs w:val="22"/>
        </w:rPr>
      </w:pPr>
    </w:p>
    <w:p w:rsidR="00A208B1" w:rsidRDefault="00A208B1">
      <w:pPr>
        <w:spacing w:line="360" w:lineRule="auto"/>
        <w:jc w:val="both"/>
        <w:rPr>
          <w:rFonts w:ascii="Palatino Linotype" w:eastAsia="Palatino Linotype" w:hAnsi="Palatino Linotype" w:cs="Palatino Linotype"/>
          <w:sz w:val="22"/>
          <w:szCs w:val="22"/>
        </w:rPr>
      </w:pPr>
    </w:p>
    <w:p w:rsidR="00A208B1" w:rsidRDefault="00A208B1">
      <w:pPr>
        <w:spacing w:line="360" w:lineRule="auto"/>
        <w:jc w:val="both"/>
        <w:rPr>
          <w:rFonts w:ascii="Palatino Linotype" w:eastAsia="Palatino Linotype" w:hAnsi="Palatino Linotype" w:cs="Palatino Linotype"/>
          <w:sz w:val="22"/>
          <w:szCs w:val="22"/>
        </w:rPr>
      </w:pPr>
    </w:p>
    <w:p w:rsidR="00A208B1" w:rsidRDefault="00A208B1">
      <w:pPr>
        <w:spacing w:line="360" w:lineRule="auto"/>
        <w:jc w:val="both"/>
        <w:rPr>
          <w:rFonts w:ascii="Palatino Linotype" w:eastAsia="Palatino Linotype" w:hAnsi="Palatino Linotype" w:cs="Palatino Linotype"/>
          <w:sz w:val="22"/>
          <w:szCs w:val="22"/>
        </w:rPr>
      </w:pPr>
    </w:p>
    <w:p w:rsidR="00A208B1" w:rsidRDefault="00A208B1">
      <w:pPr>
        <w:spacing w:line="360" w:lineRule="auto"/>
        <w:jc w:val="both"/>
        <w:rPr>
          <w:rFonts w:ascii="Palatino Linotype" w:eastAsia="Palatino Linotype" w:hAnsi="Palatino Linotype" w:cs="Palatino Linotype"/>
          <w:sz w:val="22"/>
          <w:szCs w:val="22"/>
        </w:rPr>
      </w:pPr>
    </w:p>
    <w:sectPr w:rsidR="00A208B1">
      <w:headerReference w:type="default" r:id="rId39"/>
      <w:footerReference w:type="default" r:id="rId40"/>
      <w:headerReference w:type="first" r:id="rId41"/>
      <w:footerReference w:type="first" r:id="rId42"/>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3E0D5B">
      <w:r>
        <w:separator/>
      </w:r>
    </w:p>
  </w:endnote>
  <w:endnote w:type="continuationSeparator" w:id="0">
    <w:p w:rsidR="00000000" w:rsidRDefault="003E0D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AE363858-ED42-4ABC-B0EB-87C457214AB5}"/>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9AEC2415-4455-491F-8FC8-6DF1CB0BA6A7}"/>
    <w:embedBold r:id="rId3" w:fontKey="{D08A96D2-A3EF-40CD-A3E2-E67BFA553B93}"/>
    <w:embedItalic r:id="rId4" w:fontKey="{1D124FDC-FB9A-432B-B08A-97B5E6857A21}"/>
    <w:embedBoldItalic r:id="rId5" w:fontKey="{E9D8552C-CB1F-40F5-8231-03184093E133}"/>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5DE6C4FF-5078-4E75-AD8F-535FA6D4F28A}"/>
    <w:embedBold r:id="rId7" w:fontKey="{7496BD9B-932B-4024-B6EC-7A80A13AC447}"/>
  </w:font>
  <w:font w:name="Cambria">
    <w:panose1 w:val="02040503050406030204"/>
    <w:charset w:val="00"/>
    <w:family w:val="roman"/>
    <w:pitch w:val="variable"/>
    <w:sig w:usb0="E00006FF" w:usb1="420024FF" w:usb2="02000000" w:usb3="00000000" w:csb0="0000019F" w:csb1="00000000"/>
    <w:embedRegular r:id="rId8" w:fontKey="{FF993161-1B5B-454B-B884-91BF9B4BD71C}"/>
    <w:embedBold r:id="rId9" w:fontKey="{C6C6440D-430B-4900-A3F1-1424E26C2131}"/>
    <w:embedBoldItalic r:id="rId10" w:fontKey="{88EEE747-6973-4E9A-9EE5-4972ABF795B2}"/>
  </w:font>
  <w:font w:name="Georgia">
    <w:panose1 w:val="02040502050405020303"/>
    <w:charset w:val="00"/>
    <w:family w:val="roman"/>
    <w:pitch w:val="variable"/>
    <w:sig w:usb0="00000287" w:usb1="00000000" w:usb2="00000000" w:usb3="00000000" w:csb0="0000009F" w:csb1="00000000"/>
    <w:embedItalic r:id="rId11" w:fontKey="{7BADA7B7-EB46-4F4D-AEBA-15864424B69F}"/>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8B1" w:rsidRDefault="003E0D5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separate"/>
    </w:r>
    <w:r>
      <w:rPr>
        <w:rFonts w:ascii="Palatino Linotype" w:eastAsia="Palatino Linotype" w:hAnsi="Palatino Linotype" w:cs="Palatino Linotype"/>
        <w:b/>
        <w:bCs/>
        <w:noProof/>
        <w:color w:val="000000"/>
        <w:sz w:val="20"/>
        <w:szCs w:val="20"/>
      </w:rPr>
      <w:t>4</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Pr>
        <w:rFonts w:ascii="Palatino Linotype" w:eastAsia="Palatino Linotype" w:hAnsi="Palatino Linotype" w:cs="Palatino Linotype"/>
        <w:b/>
        <w:bCs/>
        <w:noProof/>
        <w:color w:val="000000"/>
        <w:sz w:val="20"/>
        <w:szCs w:val="20"/>
      </w:rPr>
      <w:t>79</w:t>
    </w:r>
    <w:r>
      <w:rPr>
        <w:rFonts w:ascii="Palatino Linotype" w:eastAsia="Palatino Linotype" w:hAnsi="Palatino Linotype" w:cs="Palatino Linotype"/>
        <w:b/>
        <w:bCs/>
        <w:color w:val="000000"/>
        <w:sz w:val="20"/>
        <w:szCs w:val="20"/>
      </w:rPr>
      <w:fldChar w:fldCharType="end"/>
    </w:r>
  </w:p>
  <w:p w:rsidR="00A208B1" w:rsidRDefault="00A208B1">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8B1" w:rsidRDefault="003E0D5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separate"/>
    </w:r>
    <w:r>
      <w:rPr>
        <w:rFonts w:ascii="Palatino Linotype" w:eastAsia="Palatino Linotype" w:hAnsi="Palatino Linotype" w:cs="Palatino Linotype"/>
        <w:b/>
        <w:bCs/>
        <w:noProof/>
        <w:color w:val="000000"/>
        <w:sz w:val="20"/>
        <w:szCs w:val="20"/>
      </w:rPr>
      <w:t>1</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Pr>
        <w:rFonts w:ascii="Palatino Linotype" w:eastAsia="Palatino Linotype" w:hAnsi="Palatino Linotype" w:cs="Palatino Linotype"/>
        <w:b/>
        <w:bCs/>
        <w:noProof/>
        <w:color w:val="000000"/>
        <w:sz w:val="20"/>
        <w:szCs w:val="20"/>
      </w:rPr>
      <w:t>79</w:t>
    </w:r>
    <w:r>
      <w:rPr>
        <w:rFonts w:ascii="Palatino Linotype" w:eastAsia="Palatino Linotype" w:hAnsi="Palatino Linotype" w:cs="Palatino Linotype"/>
        <w:b/>
        <w:bCs/>
        <w:color w:val="000000"/>
        <w:sz w:val="20"/>
        <w:szCs w:val="20"/>
      </w:rPr>
      <w:fldChar w:fldCharType="end"/>
    </w:r>
  </w:p>
  <w:p w:rsidR="00A208B1" w:rsidRDefault="00A208B1">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3E0D5B">
      <w:r>
        <w:separator/>
      </w:r>
    </w:p>
  </w:footnote>
  <w:footnote w:type="continuationSeparator" w:id="0">
    <w:p w:rsidR="00000000" w:rsidRDefault="003E0D5B">
      <w:r>
        <w:continuationSeparator/>
      </w:r>
    </w:p>
  </w:footnote>
  <w:footnote w:id="1">
    <w:p w:rsidR="00A208B1" w:rsidRDefault="003E0D5B">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Consultable en: </w:t>
      </w:r>
    </w:p>
    <w:p w:rsidR="00A208B1" w:rsidRDefault="003E0D5B">
      <w:pPr>
        <w:pBdr>
          <w:top w:val="nil"/>
          <w:left w:val="nil"/>
          <w:bottom w:val="nil"/>
          <w:right w:val="nil"/>
          <w:between w:val="nil"/>
        </w:pBdr>
        <w:jc w:val="both"/>
        <w:rPr>
          <w:rFonts w:ascii="Palatino Linotype" w:eastAsia="Palatino Linotype" w:hAnsi="Palatino Linotype" w:cs="Palatino Linotype"/>
          <w:color w:val="000000"/>
          <w:sz w:val="16"/>
          <w:szCs w:val="16"/>
        </w:rPr>
      </w:pPr>
      <w:hyperlink r:id="rId1">
        <w:r>
          <w:rPr>
            <w:rFonts w:ascii="Palatino Linotype" w:eastAsia="Palatino Linotype" w:hAnsi="Palatino Linotype" w:cs="Palatino Linotype"/>
            <w:color w:val="0000FF"/>
            <w:sz w:val="16"/>
            <w:szCs w:val="16"/>
            <w:u w:val="single"/>
          </w:rPr>
          <w:t>https://www.indetec.gob.mx/delivery?srv=0&amp;sl=3&amp;path=/biblioteca/Especiales/386_Glosario_Terminos_Proceso_Planeacion.pdf</w:t>
        </w:r>
      </w:hyperlink>
      <w:r>
        <w:rPr>
          <w:rFonts w:ascii="Palatino Linotype" w:eastAsia="Palatino Linotype" w:hAnsi="Palatino Linotype" w:cs="Palatino Linotype"/>
          <w:color w:val="000000"/>
          <w:sz w:val="16"/>
          <w:szCs w:val="16"/>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8B1" w:rsidRDefault="003E0D5B">
    <w:pPr>
      <w:rPr>
        <w:rFonts w:ascii="Cambria" w:eastAsia="Cambria" w:hAnsi="Cambria" w:cs="Cambria"/>
        <w:color w:val="000000"/>
      </w:rPr>
    </w:pPr>
    <w:r>
      <w:rPr>
        <w:noProof/>
      </w:rPr>
      <w:drawing>
        <wp:anchor distT="0" distB="0" distL="0" distR="0" simplePos="0" relativeHeight="251658240" behindDoc="1" locked="0" layoutInCell="1" hidden="0" allowOverlap="1">
          <wp:simplePos x="0" y="0"/>
          <wp:positionH relativeFrom="column">
            <wp:posOffset>-1080090</wp:posOffset>
          </wp:positionH>
          <wp:positionV relativeFrom="paragraph">
            <wp:posOffset>-488261</wp:posOffset>
          </wp:positionV>
          <wp:extent cx="7809865" cy="10165715"/>
          <wp:effectExtent l="0" t="0" r="0" b="0"/>
          <wp:wrapNone/>
          <wp:docPr id="1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1"/>
      <w:tblW w:w="5953" w:type="dxa"/>
      <w:tblInd w:w="3261" w:type="dxa"/>
      <w:tblLayout w:type="fixed"/>
      <w:tblLook w:val="0400" w:firstRow="0" w:lastRow="0" w:firstColumn="0" w:lastColumn="0" w:noHBand="0" w:noVBand="1"/>
    </w:tblPr>
    <w:tblGrid>
      <w:gridCol w:w="2489"/>
      <w:gridCol w:w="3464"/>
    </w:tblGrid>
    <w:tr w:rsidR="00A208B1">
      <w:tc>
        <w:tcPr>
          <w:tcW w:w="2489" w:type="dxa"/>
        </w:tcPr>
        <w:p w:rsidR="00A208B1" w:rsidRDefault="003E0D5B">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3464" w:type="dxa"/>
          <w:vAlign w:val="center"/>
        </w:tcPr>
        <w:p w:rsidR="00A208B1" w:rsidRDefault="003E0D5B">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08339/INFOEM/IP/RR/2025</w:t>
          </w:r>
        </w:p>
      </w:tc>
    </w:tr>
    <w:tr w:rsidR="00A208B1">
      <w:trPr>
        <w:trHeight w:val="228"/>
      </w:trPr>
      <w:tc>
        <w:tcPr>
          <w:tcW w:w="2489" w:type="dxa"/>
          <w:vAlign w:val="center"/>
        </w:tcPr>
        <w:p w:rsidR="00A208B1" w:rsidRDefault="003E0D5B">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3464" w:type="dxa"/>
          <w:vAlign w:val="center"/>
        </w:tcPr>
        <w:p w:rsidR="00A208B1" w:rsidRDefault="003E0D5B">
          <w:pPr>
            <w:ind w:left="-45" w:right="176"/>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Ayuntamiento de Texcoco</w:t>
          </w:r>
        </w:p>
      </w:tc>
    </w:tr>
    <w:tr w:rsidR="00A208B1">
      <w:tc>
        <w:tcPr>
          <w:tcW w:w="2489" w:type="dxa"/>
          <w:vAlign w:val="center"/>
        </w:tcPr>
        <w:p w:rsidR="00A208B1" w:rsidRDefault="003E0D5B">
          <w:pPr>
            <w:ind w:right="-108"/>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3464" w:type="dxa"/>
          <w:vAlign w:val="center"/>
        </w:tcPr>
        <w:p w:rsidR="00A208B1" w:rsidRDefault="003E0D5B">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rsidR="00A208B1" w:rsidRDefault="003E0D5B">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8B1" w:rsidRDefault="003E0D5B">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simplePos x="0" y="0"/>
          <wp:positionH relativeFrom="column">
            <wp:posOffset>-1080132</wp:posOffset>
          </wp:positionH>
          <wp:positionV relativeFrom="paragraph">
            <wp:posOffset>-369891</wp:posOffset>
          </wp:positionV>
          <wp:extent cx="7809865" cy="10165715"/>
          <wp:effectExtent l="0" t="0" r="0" b="0"/>
          <wp:wrapNone/>
          <wp:docPr id="2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2"/>
      <w:tblW w:w="5953" w:type="dxa"/>
      <w:tblInd w:w="3261" w:type="dxa"/>
      <w:tblLayout w:type="fixed"/>
      <w:tblLook w:val="0400" w:firstRow="0" w:lastRow="0" w:firstColumn="0" w:lastColumn="0" w:noHBand="0" w:noVBand="1"/>
    </w:tblPr>
    <w:tblGrid>
      <w:gridCol w:w="2489"/>
      <w:gridCol w:w="3464"/>
    </w:tblGrid>
    <w:tr w:rsidR="00A208B1">
      <w:tc>
        <w:tcPr>
          <w:tcW w:w="2489" w:type="dxa"/>
        </w:tcPr>
        <w:p w:rsidR="00A208B1" w:rsidRDefault="003E0D5B">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3464" w:type="dxa"/>
          <w:vAlign w:val="center"/>
        </w:tcPr>
        <w:p w:rsidR="00A208B1" w:rsidRDefault="003E0D5B">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08339/INFOEM/IP/RR/2025</w:t>
          </w:r>
        </w:p>
      </w:tc>
    </w:tr>
    <w:tr w:rsidR="00A208B1">
      <w:tc>
        <w:tcPr>
          <w:tcW w:w="2489" w:type="dxa"/>
        </w:tcPr>
        <w:p w:rsidR="00A208B1" w:rsidRDefault="003E0D5B">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Recurrente</w:t>
          </w:r>
        </w:p>
      </w:tc>
      <w:tc>
        <w:tcPr>
          <w:tcW w:w="3464" w:type="dxa"/>
          <w:vAlign w:val="center"/>
        </w:tcPr>
        <w:p w:rsidR="00A208B1" w:rsidRDefault="003E0D5B" w:rsidP="003E0D5B">
          <w:pPr>
            <w:ind w:right="175"/>
            <w:jc w:val="both"/>
            <w:rPr>
              <w:rFonts w:ascii="Palatino Linotype" w:eastAsia="Palatino Linotype" w:hAnsi="Palatino Linotype" w:cs="Palatino Linotype"/>
              <w:b/>
              <w:bCs/>
              <w:sz w:val="22"/>
              <w:szCs w:val="22"/>
              <w:highlight w:val="yellow"/>
            </w:rPr>
          </w:pPr>
          <w:r>
            <w:rPr>
              <w:rFonts w:ascii="Palatino Linotype" w:eastAsia="Palatino Linotype" w:hAnsi="Palatino Linotype" w:cs="Palatino Linotype"/>
              <w:b/>
              <w:bCs/>
              <w:sz w:val="22"/>
              <w:szCs w:val="22"/>
            </w:rPr>
            <w:t xml:space="preserve">XXXXX XXXX XXXXXXXX XXXXXX </w:t>
          </w:r>
        </w:p>
      </w:tc>
    </w:tr>
    <w:tr w:rsidR="00A208B1">
      <w:trPr>
        <w:trHeight w:val="228"/>
      </w:trPr>
      <w:tc>
        <w:tcPr>
          <w:tcW w:w="2489" w:type="dxa"/>
          <w:vAlign w:val="center"/>
        </w:tcPr>
        <w:p w:rsidR="00A208B1" w:rsidRDefault="003E0D5B">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3464" w:type="dxa"/>
          <w:vAlign w:val="center"/>
        </w:tcPr>
        <w:p w:rsidR="00A208B1" w:rsidRDefault="003E0D5B">
          <w:pPr>
            <w:ind w:left="-45" w:right="176"/>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Ayuntamiento de Texcoco</w:t>
          </w:r>
        </w:p>
      </w:tc>
    </w:tr>
    <w:tr w:rsidR="00A208B1">
      <w:tc>
        <w:tcPr>
          <w:tcW w:w="2489" w:type="dxa"/>
          <w:vAlign w:val="center"/>
        </w:tcPr>
        <w:p w:rsidR="00A208B1" w:rsidRDefault="003E0D5B">
          <w:pPr>
            <w:ind w:right="-108"/>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3464" w:type="dxa"/>
          <w:vAlign w:val="center"/>
        </w:tcPr>
        <w:p w:rsidR="00A208B1" w:rsidRDefault="003E0D5B">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rsidR="00A208B1" w:rsidRDefault="00A208B1"/>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566586"/>
    <w:multiLevelType w:val="multilevel"/>
    <w:tmpl w:val="2B48D7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45A4A7F"/>
    <w:multiLevelType w:val="multilevel"/>
    <w:tmpl w:val="4A865D78"/>
    <w:lvl w:ilvl="0">
      <w:start w:val="1"/>
      <w:numFmt w:val="lowerLetter"/>
      <w:lvlText w:val="%1)"/>
      <w:lvlJc w:val="left"/>
      <w:pPr>
        <w:ind w:left="1068" w:hanging="360"/>
      </w:pPr>
      <w:rPr>
        <w:rFonts w:ascii="Palatino Linotype" w:eastAsia="Palatino Linotype" w:hAnsi="Palatino Linotype" w:cs="Palatino Linotype"/>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2" w15:restartNumberingAfterBreak="0">
    <w:nsid w:val="4BAB20C5"/>
    <w:multiLevelType w:val="multilevel"/>
    <w:tmpl w:val="A48032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0591D15"/>
    <w:multiLevelType w:val="multilevel"/>
    <w:tmpl w:val="C2D04FB2"/>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5B826534"/>
    <w:multiLevelType w:val="multilevel"/>
    <w:tmpl w:val="AC663C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08B1"/>
    <w:rsid w:val="003E0D5B"/>
    <w:rsid w:val="00A208B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B143E6"/>
  <w15:docId w15:val="{7227D206-8F88-486B-B553-60A8C45DD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pPr>
      <w:keepNext/>
      <w:spacing w:before="240" w:after="60"/>
      <w:ind w:left="2160" w:hanging="720"/>
      <w:outlineLvl w:val="2"/>
    </w:pPr>
    <w:rPr>
      <w:rFonts w:ascii="Calibri" w:eastAsia="Calibri" w:hAnsi="Calibri" w:cs="Calibri"/>
      <w:b/>
      <w:bCs/>
      <w:sz w:val="26"/>
      <w:szCs w:val="26"/>
    </w:rPr>
  </w:style>
  <w:style w:type="paragraph" w:styleId="Ttulo4">
    <w:name w:val="heading 4"/>
    <w:basedOn w:val="Normal"/>
    <w:next w:val="Normal"/>
    <w:pPr>
      <w:keepNext/>
      <w:spacing w:before="240" w:after="60"/>
      <w:ind w:left="2880" w:hanging="720"/>
      <w:outlineLvl w:val="3"/>
    </w:pPr>
    <w:rPr>
      <w:rFonts w:ascii="Cambria" w:eastAsia="Cambria" w:hAnsi="Cambria" w:cs="Cambria"/>
      <w:b/>
      <w:bCs/>
      <w:sz w:val="28"/>
      <w:szCs w:val="28"/>
    </w:rPr>
  </w:style>
  <w:style w:type="paragraph" w:styleId="Ttulo5">
    <w:name w:val="heading 5"/>
    <w:basedOn w:val="Normal"/>
    <w:next w:val="Normal"/>
    <w:pPr>
      <w:spacing w:before="240" w:after="60"/>
      <w:ind w:left="3600" w:hanging="720"/>
      <w:outlineLvl w:val="4"/>
    </w:pPr>
    <w:rPr>
      <w:rFonts w:ascii="Cambria" w:eastAsia="Cambria" w:hAnsi="Cambria" w:cs="Cambria"/>
      <w:b/>
      <w:bCs/>
      <w:i/>
      <w:iCs/>
      <w:sz w:val="26"/>
      <w:szCs w:val="26"/>
    </w:rPr>
  </w:style>
  <w:style w:type="paragraph" w:styleId="Ttulo6">
    <w:name w:val="heading 6"/>
    <w:basedOn w:val="Normal"/>
    <w:next w:val="Normal"/>
    <w:pPr>
      <w:spacing w:before="240" w:after="60"/>
      <w:ind w:left="4320" w:hanging="72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paragraph" w:styleId="Encabezado">
    <w:name w:val="header"/>
    <w:basedOn w:val="Normal"/>
    <w:link w:val="EncabezadoCar"/>
    <w:uiPriority w:val="99"/>
    <w:unhideWhenUsed/>
    <w:rsid w:val="003E0D5B"/>
    <w:pPr>
      <w:tabs>
        <w:tab w:val="center" w:pos="4419"/>
        <w:tab w:val="right" w:pos="8838"/>
      </w:tabs>
    </w:pPr>
  </w:style>
  <w:style w:type="character" w:customStyle="1" w:styleId="EncabezadoCar">
    <w:name w:val="Encabezado Car"/>
    <w:basedOn w:val="Fuentedeprrafopredeter"/>
    <w:link w:val="Encabezado"/>
    <w:uiPriority w:val="99"/>
    <w:rsid w:val="003E0D5B"/>
  </w:style>
  <w:style w:type="paragraph" w:styleId="Piedepgina">
    <w:name w:val="footer"/>
    <w:basedOn w:val="Normal"/>
    <w:link w:val="PiedepginaCar"/>
    <w:uiPriority w:val="99"/>
    <w:unhideWhenUsed/>
    <w:rsid w:val="003E0D5B"/>
    <w:pPr>
      <w:tabs>
        <w:tab w:val="center" w:pos="4419"/>
        <w:tab w:val="right" w:pos="8838"/>
      </w:tabs>
    </w:pPr>
  </w:style>
  <w:style w:type="character" w:customStyle="1" w:styleId="PiedepginaCar">
    <w:name w:val="Pie de página Car"/>
    <w:basedOn w:val="Fuentedeprrafopredeter"/>
    <w:link w:val="Piedepgina"/>
    <w:uiPriority w:val="99"/>
    <w:rsid w:val="003E0D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infoem2.ipomex.org.mx/ipomex/" TargetMode="External"/><Relationship Id="rId13" Type="http://schemas.openxmlformats.org/officeDocument/2006/relationships/image" Target="media/image4.png"/><Relationship Id="rId18" Type="http://schemas.openxmlformats.org/officeDocument/2006/relationships/image" Target="media/image27.png"/><Relationship Id="rId26" Type="http://schemas.openxmlformats.org/officeDocument/2006/relationships/image" Target="media/image15.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texcocoedomex.gob.mx/" TargetMode="Externa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infoem2.ipomex.org.mx/ipomex/"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indetec.gob.mx/delivery?srv=0&amp;sl=3&amp;path=/biblioteca/Especiales/386_Glosario_Terminos_Proceso_Planeacio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_rels/header2.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ma6yZTRX98Qq3zc5m4xmJsPhLA==">CgMxLjAyCWguM3JkY3JqbjIOaC5kYWozajJ4bzZxNjYyCGguZ2pkZ3hzMgloLjNkeTZ2a20yCWguMzBqMHpsbDIJaC4yczhleW8xMghoLnR5amN3dDIJaC4yZXQ5MnAwMg1oLmdqdnUxc3J3MmxzMgloLjI2aW4xcmcyCWguMTdkcDh2dTIIaC5sbnhiejk4AHIhMXlrWnpYRHJnZWFqcjZXM2xuNHdiYS0wU0JoUEdKVDZt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79</Pages>
  <Words>20872</Words>
  <Characters>114797</Characters>
  <Application>Microsoft Office Word</Application>
  <DocSecurity>0</DocSecurity>
  <Lines>956</Lines>
  <Paragraphs>270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135399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Maricela Villagómez Martínez</dc:creator>
  <cp:lastModifiedBy>Maricela Villagómez Martínez</cp:lastModifiedBy>
  <cp:revision>2</cp:revision>
  <dcterms:created xsi:type="dcterms:W3CDTF">2026-04-25T00:35:00Z</dcterms:created>
  <dcterms:modified xsi:type="dcterms:W3CDTF">2026-04-25T00:35:00Z</dcterms:modified>
</cp:coreProperties>
</file>