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48FE" w14:textId="6BD3D1B6" w:rsidR="004639EE"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03431" w:rsidRPr="00ED6CDB">
        <w:rPr>
          <w:rFonts w:ascii="Palatino Linotype" w:eastAsia="Palatino Linotype" w:hAnsi="Palatino Linotype" w:cs="Palatino Linotype"/>
        </w:rPr>
        <w:t>veinticinco de marzo de dos mil veintiséis</w:t>
      </w:r>
      <w:r w:rsidRPr="00ED6CDB">
        <w:rPr>
          <w:rFonts w:ascii="Palatino Linotype" w:eastAsia="Palatino Linotype" w:hAnsi="Palatino Linotype" w:cs="Palatino Linotype"/>
        </w:rPr>
        <w:t xml:space="preserve">. </w:t>
      </w:r>
    </w:p>
    <w:p w14:paraId="6410F8DC" w14:textId="77777777" w:rsidR="004639EE" w:rsidRPr="00ED6CDB" w:rsidRDefault="004639EE" w:rsidP="00392991">
      <w:pPr>
        <w:spacing w:after="0" w:line="360" w:lineRule="auto"/>
        <w:ind w:right="49"/>
        <w:jc w:val="center"/>
        <w:rPr>
          <w:rFonts w:ascii="Palatino Linotype" w:eastAsia="Palatino Linotype" w:hAnsi="Palatino Linotype" w:cs="Palatino Linotype"/>
        </w:rPr>
      </w:pPr>
    </w:p>
    <w:p w14:paraId="7A27FFC9" w14:textId="522084B2" w:rsidR="004639EE"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Visto el expediente relativo al recurso de revisión </w:t>
      </w:r>
      <w:r w:rsidR="004B1099" w:rsidRPr="00ED6CDB">
        <w:rPr>
          <w:rFonts w:ascii="Palatino Linotype" w:eastAsia="Palatino Linotype" w:hAnsi="Palatino Linotype" w:cs="Palatino Linotype"/>
          <w:b/>
        </w:rPr>
        <w:t>0</w:t>
      </w:r>
      <w:r w:rsidR="00E03431" w:rsidRPr="00ED6CDB">
        <w:rPr>
          <w:rFonts w:ascii="Palatino Linotype" w:eastAsia="Palatino Linotype" w:hAnsi="Palatino Linotype" w:cs="Palatino Linotype"/>
          <w:b/>
        </w:rPr>
        <w:t>2284/INFOEM/IP/RR/2026</w:t>
      </w:r>
      <w:r w:rsidRPr="00ED6CDB">
        <w:rPr>
          <w:rFonts w:ascii="Palatino Linotype" w:eastAsia="Palatino Linotype" w:hAnsi="Palatino Linotype" w:cs="Palatino Linotype"/>
        </w:rPr>
        <w:t xml:space="preserve">, interpuesto por </w:t>
      </w:r>
      <w:r w:rsidR="000B015E">
        <w:rPr>
          <w:rFonts w:ascii="Palatino Linotype" w:eastAsia="Palatino Linotype" w:hAnsi="Palatino Linotype" w:cs="Palatino Linotype"/>
          <w:b/>
          <w:sz w:val="21"/>
          <w:szCs w:val="21"/>
          <w:lang w:val="es-ES"/>
        </w:rPr>
        <w:t xml:space="preserve">XXXXX XXXXXXX XXXXX </w:t>
      </w:r>
      <w:r w:rsidR="000B015E">
        <w:rPr>
          <w:rFonts w:ascii="Palatino Linotype" w:eastAsia="Palatino Linotype" w:hAnsi="Palatino Linotype" w:cs="Palatino Linotype"/>
          <w:b/>
          <w:sz w:val="21"/>
          <w:szCs w:val="21"/>
          <w:lang w:val="es-ES"/>
        </w:rPr>
        <w:t xml:space="preserve"> </w:t>
      </w:r>
      <w:r w:rsidRPr="00ED6CDB">
        <w:rPr>
          <w:rFonts w:ascii="Palatino Linotype" w:eastAsia="Palatino Linotype" w:hAnsi="Palatino Linotype" w:cs="Palatino Linotype"/>
        </w:rPr>
        <w:t xml:space="preserve">al cual en lo sucesivo se le denominará la parte </w:t>
      </w:r>
      <w:r w:rsidR="00A84D54" w:rsidRPr="00ED6CDB">
        <w:rPr>
          <w:rFonts w:ascii="Palatino Linotype" w:eastAsia="Palatino Linotype" w:hAnsi="Palatino Linotype" w:cs="Palatino Linotype"/>
          <w:b/>
        </w:rPr>
        <w:t>Recurrente</w:t>
      </w:r>
      <w:r w:rsidRPr="00ED6CDB">
        <w:rPr>
          <w:rFonts w:ascii="Palatino Linotype" w:eastAsia="Palatino Linotype" w:hAnsi="Palatino Linotype" w:cs="Palatino Linotype"/>
        </w:rPr>
        <w:t xml:space="preserve">, en contra de la respuesta a su solicitud de información identificada con número de folio </w:t>
      </w:r>
      <w:r w:rsidR="00925DD0" w:rsidRPr="00ED6CDB">
        <w:rPr>
          <w:rFonts w:ascii="Palatino Linotype" w:eastAsia="Palatino Linotype" w:hAnsi="Palatino Linotype" w:cs="Palatino Linotype"/>
          <w:b/>
        </w:rPr>
        <w:t>00501/TEPOTZOT/IP/2026</w:t>
      </w:r>
      <w:r w:rsidRPr="00ED6CDB">
        <w:rPr>
          <w:rFonts w:ascii="Palatino Linotype" w:eastAsia="Palatino Linotype" w:hAnsi="Palatino Linotype" w:cs="Palatino Linotype"/>
          <w:b/>
        </w:rPr>
        <w:t xml:space="preserve"> </w:t>
      </w:r>
      <w:r w:rsidRPr="00ED6CDB">
        <w:rPr>
          <w:rFonts w:ascii="Palatino Linotype" w:eastAsia="Palatino Linotype" w:hAnsi="Palatino Linotype" w:cs="Palatino Linotype"/>
        </w:rPr>
        <w:t xml:space="preserve">proporcionada por parte del </w:t>
      </w:r>
      <w:r w:rsidR="00925DD0" w:rsidRPr="00ED6CDB">
        <w:rPr>
          <w:rFonts w:ascii="Palatino Linotype" w:eastAsia="Palatino Linotype" w:hAnsi="Palatino Linotype" w:cs="Palatino Linotype"/>
          <w:b/>
        </w:rPr>
        <w:t xml:space="preserve">Ayuntamiento de Tepotzotlán </w:t>
      </w:r>
      <w:r w:rsidRPr="00ED6CDB">
        <w:rPr>
          <w:rFonts w:ascii="Palatino Linotype" w:eastAsia="Palatino Linotype" w:hAnsi="Palatino Linotype" w:cs="Palatino Linotype"/>
        </w:rPr>
        <w:t xml:space="preserve">en lo sucesivo el </w:t>
      </w:r>
      <w:r w:rsidR="00A84D54"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se procede a dictar la presente resolución, con base en los siguientes:</w:t>
      </w:r>
    </w:p>
    <w:p w14:paraId="131AA9D6" w14:textId="77777777" w:rsidR="004639EE" w:rsidRPr="00ED6CDB" w:rsidRDefault="00E72281" w:rsidP="00392991">
      <w:pPr>
        <w:spacing w:after="0" w:line="360" w:lineRule="auto"/>
        <w:ind w:right="49"/>
        <w:jc w:val="center"/>
        <w:rPr>
          <w:rFonts w:ascii="Palatino Linotype" w:eastAsia="Palatino Linotype" w:hAnsi="Palatino Linotype" w:cs="Palatino Linotype"/>
          <w:b/>
        </w:rPr>
      </w:pPr>
      <w:r w:rsidRPr="00ED6CDB">
        <w:rPr>
          <w:rFonts w:ascii="Palatino Linotype" w:eastAsia="Palatino Linotype" w:hAnsi="Palatino Linotype" w:cs="Palatino Linotype"/>
          <w:b/>
        </w:rPr>
        <w:t>I.</w:t>
      </w:r>
      <w:r w:rsidRPr="00ED6CDB">
        <w:rPr>
          <w:rFonts w:ascii="Palatino Linotype" w:eastAsia="Palatino Linotype" w:hAnsi="Palatino Linotype" w:cs="Palatino Linotype"/>
          <w:b/>
        </w:rPr>
        <w:tab/>
        <w:t>A N T E C E D E N T E S</w:t>
      </w:r>
    </w:p>
    <w:p w14:paraId="00F2401A" w14:textId="77777777" w:rsidR="004639EE" w:rsidRPr="00ED6CDB" w:rsidRDefault="004639EE" w:rsidP="00392991">
      <w:pPr>
        <w:spacing w:after="0" w:line="360" w:lineRule="auto"/>
        <w:ind w:right="49"/>
        <w:jc w:val="both"/>
        <w:rPr>
          <w:rFonts w:ascii="Palatino Linotype" w:eastAsia="Palatino Linotype" w:hAnsi="Palatino Linotype" w:cs="Palatino Linotype"/>
        </w:rPr>
      </w:pPr>
    </w:p>
    <w:p w14:paraId="367F70FE" w14:textId="10A21755" w:rsidR="00CA204C" w:rsidRPr="00ED6CDB" w:rsidRDefault="00E72281" w:rsidP="000E18FE">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t>Solicitud de acceso a la información.</w:t>
      </w:r>
      <w:r w:rsidRPr="00ED6CDB">
        <w:rPr>
          <w:rFonts w:ascii="Palatino Linotype" w:eastAsia="Palatino Linotype" w:hAnsi="Palatino Linotype" w:cs="Palatino Linotype"/>
        </w:rPr>
        <w:t xml:space="preserve"> </w:t>
      </w:r>
      <w:r w:rsidR="00CA204C" w:rsidRPr="00ED6CDB">
        <w:rPr>
          <w:rFonts w:ascii="Palatino Linotype" w:eastAsia="Palatino Linotype" w:hAnsi="Palatino Linotype" w:cs="Palatino Linotype"/>
        </w:rPr>
        <w:t xml:space="preserve">Con fecha </w:t>
      </w:r>
      <w:r w:rsidR="00CA204C" w:rsidRPr="00ED6CDB">
        <w:rPr>
          <w:rFonts w:ascii="Palatino Linotype" w:eastAsia="Palatino Linotype" w:hAnsi="Palatino Linotype" w:cs="Palatino Linotype"/>
          <w:b/>
        </w:rPr>
        <w:t>veinticinco de enero de dos mil veintiséis</w:t>
      </w:r>
      <w:r w:rsidR="00CA204C" w:rsidRPr="00ED6CDB">
        <w:rPr>
          <w:rFonts w:ascii="Palatino Linotype" w:eastAsia="Palatino Linotype" w:hAnsi="Palatino Linotype" w:cs="Palatino Linotype"/>
        </w:rPr>
        <w:t xml:space="preserve">, la parte </w:t>
      </w:r>
      <w:r w:rsidR="00CA204C" w:rsidRPr="00ED6CDB">
        <w:rPr>
          <w:rFonts w:ascii="Palatino Linotype" w:eastAsia="Palatino Linotype" w:hAnsi="Palatino Linotype" w:cs="Palatino Linotype"/>
          <w:b/>
        </w:rPr>
        <w:t>Recurrente</w:t>
      </w:r>
      <w:r w:rsidR="00CA204C" w:rsidRPr="00ED6CDB">
        <w:rPr>
          <w:rFonts w:ascii="Palatino Linotype" w:eastAsia="Palatino Linotype" w:hAnsi="Palatino Linotype" w:cs="Palatino Linotype"/>
        </w:rPr>
        <w:t xml:space="preserve"> formuló solicitud de acceso a información pública al</w:t>
      </w:r>
      <w:r w:rsidR="00CA204C" w:rsidRPr="00ED6CDB">
        <w:rPr>
          <w:rFonts w:ascii="Palatino Linotype" w:eastAsia="Palatino Linotype" w:hAnsi="Palatino Linotype" w:cs="Palatino Linotype"/>
          <w:b/>
        </w:rPr>
        <w:t xml:space="preserve"> Sujeto Obligado</w:t>
      </w:r>
      <w:r w:rsidR="00CA204C" w:rsidRPr="00ED6CDB">
        <w:rPr>
          <w:rFonts w:ascii="Palatino Linotype" w:eastAsia="Palatino Linotype" w:hAnsi="Palatino Linotype" w:cs="Palatino Linotype"/>
        </w:rPr>
        <w:t xml:space="preserve"> a través del Sistema de Acceso a la Información Mexiquense, en adelante SAIMEX, sin embargo al corresponder a un día inhábil se tuvo por presentada el día</w:t>
      </w:r>
      <w:r w:rsidR="00CA204C" w:rsidRPr="00ED6CDB">
        <w:rPr>
          <w:rFonts w:ascii="Palatino Linotype" w:eastAsia="Palatino Linotype" w:hAnsi="Palatino Linotype" w:cs="Palatino Linotype"/>
          <w:b/>
        </w:rPr>
        <w:t xml:space="preserve"> </w:t>
      </w:r>
      <w:r w:rsidR="003C1D34" w:rsidRPr="00ED6CDB">
        <w:rPr>
          <w:rFonts w:ascii="Palatino Linotype" w:eastAsia="Palatino Linotype" w:hAnsi="Palatino Linotype" w:cs="Palatino Linotype"/>
          <w:b/>
        </w:rPr>
        <w:t>veintiséis de enero de dos mil veintiséis</w:t>
      </w:r>
      <w:r w:rsidR="00CA204C" w:rsidRPr="00ED6CDB">
        <w:rPr>
          <w:rFonts w:ascii="Palatino Linotype" w:eastAsia="Palatino Linotype" w:hAnsi="Palatino Linotype" w:cs="Palatino Linotype"/>
          <w:b/>
        </w:rPr>
        <w:t xml:space="preserve">, </w:t>
      </w:r>
      <w:r w:rsidR="00CA204C" w:rsidRPr="00ED6CDB">
        <w:rPr>
          <w:rFonts w:ascii="Palatino Linotype" w:eastAsia="Palatino Linotype" w:hAnsi="Palatino Linotype" w:cs="Palatino Linotype"/>
        </w:rPr>
        <w:t xml:space="preserve">mediante la cual requirió lo siguiente: </w:t>
      </w:r>
    </w:p>
    <w:p w14:paraId="51549FB3" w14:textId="77777777" w:rsidR="00CA204C" w:rsidRPr="00ED6CDB" w:rsidRDefault="00CA204C" w:rsidP="00392991">
      <w:pPr>
        <w:tabs>
          <w:tab w:val="left" w:pos="1530"/>
        </w:tabs>
        <w:spacing w:after="0" w:line="360" w:lineRule="auto"/>
        <w:ind w:right="49"/>
        <w:jc w:val="both"/>
        <w:rPr>
          <w:rFonts w:ascii="Palatino Linotype" w:eastAsia="Palatino Linotype" w:hAnsi="Palatino Linotype" w:cs="Palatino Linotype"/>
        </w:rPr>
      </w:pPr>
    </w:p>
    <w:p w14:paraId="3B17555E" w14:textId="0921E882" w:rsidR="004639EE" w:rsidRPr="00ED6CDB" w:rsidRDefault="00E72281" w:rsidP="003C1D34">
      <w:pPr>
        <w:spacing w:after="0"/>
        <w:ind w:left="851" w:right="709"/>
        <w:jc w:val="both"/>
        <w:rPr>
          <w:rFonts w:ascii="Palatino Linotype" w:eastAsia="Palatino Linotype" w:hAnsi="Palatino Linotype" w:cs="Palatino Linotype"/>
          <w:i/>
        </w:rPr>
      </w:pPr>
      <w:bookmarkStart w:id="0" w:name="_heading=h.30j0zll" w:colFirst="0" w:colLast="0"/>
      <w:bookmarkEnd w:id="0"/>
      <w:r w:rsidRPr="00ED6CDB">
        <w:rPr>
          <w:rFonts w:ascii="Palatino Linotype" w:eastAsia="Palatino Linotype" w:hAnsi="Palatino Linotype" w:cs="Palatino Linotype"/>
          <w:i/>
        </w:rPr>
        <w:t>“</w:t>
      </w:r>
      <w:r w:rsidR="00925DD0" w:rsidRPr="00ED6CDB">
        <w:rPr>
          <w:rFonts w:ascii="Palatino Linotype" w:eastAsia="Palatino Linotype" w:hAnsi="Palatino Linotype" w:cs="Palatino Linotype"/>
          <w:i/>
        </w:rPr>
        <w:t>Solicito copia de la nómina pagada al personal adscrito a la Dirección o Comisaría de Seguridad Pública del H. Ayuntamiento de Tepotzotlán durante los ejercicios 2025 y 2026, indicando monto total mensual erogado y número de trabajadores pagados.”</w:t>
      </w:r>
    </w:p>
    <w:p w14:paraId="0932C261" w14:textId="77777777" w:rsidR="004639EE" w:rsidRPr="00ED6CDB" w:rsidRDefault="00E72281" w:rsidP="00392991">
      <w:pPr>
        <w:spacing w:after="0"/>
        <w:ind w:left="567" w:right="560"/>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 </w:t>
      </w:r>
    </w:p>
    <w:p w14:paraId="7B57C4CC" w14:textId="77777777" w:rsidR="006B68D2"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b/>
        </w:rPr>
        <w:t>Modalidad elegida para la entrega de la información:</w:t>
      </w:r>
      <w:r w:rsidRPr="00ED6CDB">
        <w:rPr>
          <w:rFonts w:ascii="Palatino Linotype" w:eastAsia="Palatino Linotype" w:hAnsi="Palatino Linotype" w:cs="Palatino Linotype"/>
        </w:rPr>
        <w:t xml:space="preserve"> a través del Sistema de Acceso a la Información Mexiquense (SAIMEX). </w:t>
      </w:r>
    </w:p>
    <w:p w14:paraId="7125C3D6" w14:textId="77777777" w:rsidR="00584F6C" w:rsidRPr="00ED6CDB" w:rsidRDefault="00584F6C" w:rsidP="00392991">
      <w:pPr>
        <w:spacing w:after="0" w:line="360" w:lineRule="auto"/>
        <w:ind w:right="49"/>
        <w:jc w:val="both"/>
        <w:rPr>
          <w:rFonts w:ascii="Palatino Linotype" w:eastAsia="Palatino Linotype" w:hAnsi="Palatino Linotype" w:cs="Palatino Linotype"/>
        </w:rPr>
      </w:pPr>
    </w:p>
    <w:p w14:paraId="50D6E127" w14:textId="393DF57D" w:rsidR="004639EE" w:rsidRPr="00ED6CDB" w:rsidRDefault="00E72281" w:rsidP="0039299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lastRenderedPageBreak/>
        <w:t xml:space="preserve">Respuesta. </w:t>
      </w:r>
      <w:r w:rsidR="00CC4B1E" w:rsidRPr="00ED6CDB">
        <w:rPr>
          <w:rFonts w:ascii="Palatino Linotype" w:eastAsia="Palatino Linotype" w:hAnsi="Palatino Linotype" w:cs="Palatino Linotype"/>
        </w:rPr>
        <w:t xml:space="preserve">El </w:t>
      </w:r>
      <w:r w:rsidR="00CC4B1E" w:rsidRPr="00ED6CDB">
        <w:rPr>
          <w:rFonts w:ascii="Palatino Linotype" w:eastAsia="Palatino Linotype" w:hAnsi="Palatino Linotype" w:cs="Palatino Linotype"/>
          <w:b/>
          <w:bCs/>
        </w:rPr>
        <w:t>Sujeto Obligado</w:t>
      </w:r>
      <w:r w:rsidR="00CC4B1E" w:rsidRPr="00ED6CDB">
        <w:rPr>
          <w:rFonts w:ascii="Palatino Linotype" w:eastAsia="Palatino Linotype" w:hAnsi="Palatino Linotype" w:cs="Palatino Linotype"/>
        </w:rPr>
        <w:t xml:space="preserve"> fue omiso en proporcionar respuesta</w:t>
      </w:r>
      <w:r w:rsidR="004B1099" w:rsidRPr="00ED6CDB">
        <w:rPr>
          <w:rFonts w:ascii="Palatino Linotype" w:eastAsia="Palatino Linotype" w:hAnsi="Palatino Linotype" w:cs="Palatino Linotype"/>
        </w:rPr>
        <w:t xml:space="preserve">. </w:t>
      </w:r>
    </w:p>
    <w:p w14:paraId="5E886B1C" w14:textId="77777777" w:rsidR="004639EE" w:rsidRPr="00ED6CDB" w:rsidRDefault="004639EE" w:rsidP="0000514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3281F820" w14:textId="7D31080D" w:rsidR="004639EE" w:rsidRPr="00ED6CDB" w:rsidRDefault="00E72281" w:rsidP="0039299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t xml:space="preserve">Recurso de Revisión. </w:t>
      </w:r>
      <w:r w:rsidRPr="00ED6CDB">
        <w:rPr>
          <w:rFonts w:ascii="Palatino Linotype" w:eastAsia="Palatino Linotype" w:hAnsi="Palatino Linotype" w:cs="Palatino Linotype"/>
        </w:rPr>
        <w:t xml:space="preserve">En fecha </w:t>
      </w:r>
      <w:r w:rsidR="00494BA8" w:rsidRPr="00ED6CDB">
        <w:rPr>
          <w:rFonts w:ascii="Palatino Linotype" w:eastAsia="Palatino Linotype" w:hAnsi="Palatino Linotype" w:cs="Palatino Linotype"/>
          <w:b/>
        </w:rPr>
        <w:t>dieciocho de febrero de dos mil veintiséis,</w:t>
      </w:r>
      <w:r w:rsidRPr="00ED6CDB">
        <w:rPr>
          <w:rFonts w:ascii="Palatino Linotype" w:eastAsia="Palatino Linotype" w:hAnsi="Palatino Linotype" w:cs="Palatino Linotype"/>
        </w:rPr>
        <w:t xml:space="preserve"> la persona Solicitante interpuso Recurso de Revisión a través del </w:t>
      </w:r>
      <w:r w:rsidRPr="00ED6CDB">
        <w:rPr>
          <w:rFonts w:ascii="Palatino Linotype" w:eastAsia="Palatino Linotype" w:hAnsi="Palatino Linotype" w:cs="Palatino Linotype"/>
          <w:b/>
        </w:rPr>
        <w:t>SAIMEX</w:t>
      </w:r>
      <w:r w:rsidR="004B1099" w:rsidRPr="00ED6CDB">
        <w:rPr>
          <w:rFonts w:ascii="Palatino Linotype" w:eastAsia="Palatino Linotype" w:hAnsi="Palatino Linotype" w:cs="Palatino Linotype"/>
          <w:bCs/>
        </w:rPr>
        <w:t xml:space="preserve">, </w:t>
      </w:r>
      <w:r w:rsidR="00CC4B1E" w:rsidRPr="00ED6CDB">
        <w:rPr>
          <w:rFonts w:ascii="Palatino Linotype" w:eastAsia="Palatino Linotype" w:hAnsi="Palatino Linotype" w:cs="Palatino Linotype"/>
          <w:bCs/>
        </w:rPr>
        <w:t>en el que</w:t>
      </w:r>
      <w:r w:rsidR="00CC4B1E" w:rsidRPr="00ED6CDB">
        <w:rPr>
          <w:rFonts w:ascii="Palatino Linotype" w:eastAsia="Palatino Linotype" w:hAnsi="Palatino Linotype" w:cs="Palatino Linotype"/>
          <w:b/>
        </w:rPr>
        <w:t xml:space="preserve"> </w:t>
      </w:r>
      <w:r w:rsidRPr="00ED6CDB">
        <w:rPr>
          <w:rFonts w:ascii="Palatino Linotype" w:eastAsia="Palatino Linotype" w:hAnsi="Palatino Linotype" w:cs="Palatino Linotype"/>
        </w:rPr>
        <w:t>expresó lo siguiente:</w:t>
      </w:r>
    </w:p>
    <w:p w14:paraId="3F18AD21" w14:textId="77777777" w:rsidR="004639EE" w:rsidRPr="00ED6CDB" w:rsidRDefault="004639EE"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0B6AC19" w14:textId="12243414" w:rsidR="004639EE" w:rsidRPr="00ED6CDB" w:rsidRDefault="00E72281" w:rsidP="00244660">
      <w:pPr>
        <w:pBdr>
          <w:top w:val="nil"/>
          <w:left w:val="nil"/>
          <w:bottom w:val="nil"/>
          <w:right w:val="nil"/>
          <w:between w:val="nil"/>
        </w:pBdr>
        <w:tabs>
          <w:tab w:val="left" w:pos="1276"/>
        </w:tabs>
        <w:spacing w:after="0"/>
        <w:ind w:left="851" w:right="701"/>
        <w:jc w:val="both"/>
        <w:rPr>
          <w:rFonts w:ascii="Palatino Linotype" w:eastAsia="Palatino Linotype" w:hAnsi="Palatino Linotype" w:cs="Palatino Linotype"/>
          <w:b/>
        </w:rPr>
      </w:pPr>
      <w:r w:rsidRPr="00ED6CDB">
        <w:rPr>
          <w:rFonts w:ascii="Palatino Linotype" w:eastAsia="Palatino Linotype" w:hAnsi="Palatino Linotype" w:cs="Palatino Linotype"/>
          <w:b/>
        </w:rPr>
        <w:t>Acto impugnado</w:t>
      </w:r>
      <w:r w:rsidRPr="00ED6CDB">
        <w:rPr>
          <w:rFonts w:ascii="Palatino Linotype" w:eastAsia="Palatino Linotype" w:hAnsi="Palatino Linotype" w:cs="Palatino Linotype"/>
          <w:b/>
          <w:i/>
        </w:rPr>
        <w:t xml:space="preserve">. </w:t>
      </w:r>
      <w:r w:rsidR="004B1099" w:rsidRPr="00ED6CDB">
        <w:rPr>
          <w:rFonts w:ascii="Palatino Linotype" w:eastAsia="Palatino Linotype" w:hAnsi="Palatino Linotype" w:cs="Palatino Linotype"/>
          <w:i/>
        </w:rPr>
        <w:t>“</w:t>
      </w:r>
      <w:r w:rsidR="00CC4B1E" w:rsidRPr="00ED6CDB">
        <w:rPr>
          <w:rFonts w:ascii="Palatino Linotype" w:eastAsia="Palatino Linotype" w:hAnsi="Palatino Linotype" w:cs="Palatino Linotype"/>
          <w:i/>
        </w:rPr>
        <w:t>Solicito copia de la nómina pagada al personal adscrito a la Dirección o Comisaría de Seguridad Pública del H. Ayuntamiento de Tepotzotlán durante los ejercicios 2025 y 2026, indicando monto total mensual erogado y número de trabajadores pagados.</w:t>
      </w:r>
      <w:r w:rsidR="004B1099" w:rsidRPr="00ED6CDB">
        <w:rPr>
          <w:rFonts w:ascii="Palatino Linotype" w:eastAsia="Palatino Linotype" w:hAnsi="Palatino Linotype" w:cs="Palatino Linotype"/>
          <w:i/>
        </w:rPr>
        <w:t>”</w:t>
      </w:r>
      <w:r w:rsidRPr="00ED6CDB">
        <w:rPr>
          <w:rFonts w:ascii="Palatino Linotype" w:eastAsia="Palatino Linotype" w:hAnsi="Palatino Linotype" w:cs="Palatino Linotype"/>
          <w:i/>
        </w:rPr>
        <w:t xml:space="preserve"> </w:t>
      </w:r>
    </w:p>
    <w:p w14:paraId="6AF4FE24" w14:textId="77777777" w:rsidR="004639EE" w:rsidRPr="00ED6CDB" w:rsidRDefault="004639EE" w:rsidP="00244660">
      <w:pPr>
        <w:pBdr>
          <w:top w:val="nil"/>
          <w:left w:val="nil"/>
          <w:bottom w:val="nil"/>
          <w:right w:val="nil"/>
          <w:between w:val="nil"/>
        </w:pBdr>
        <w:tabs>
          <w:tab w:val="left" w:pos="1276"/>
        </w:tabs>
        <w:spacing w:after="0"/>
        <w:ind w:left="851" w:right="701"/>
        <w:jc w:val="both"/>
        <w:rPr>
          <w:rFonts w:ascii="Palatino Linotype" w:eastAsia="Palatino Linotype" w:hAnsi="Palatino Linotype" w:cs="Palatino Linotype"/>
          <w:b/>
        </w:rPr>
      </w:pPr>
    </w:p>
    <w:p w14:paraId="53C69AB8" w14:textId="186D530C" w:rsidR="004639EE" w:rsidRPr="00ED6CDB" w:rsidRDefault="00584F6C" w:rsidP="00244660">
      <w:pPr>
        <w:pBdr>
          <w:top w:val="nil"/>
          <w:left w:val="nil"/>
          <w:bottom w:val="nil"/>
          <w:right w:val="nil"/>
          <w:between w:val="nil"/>
        </w:pBdr>
        <w:tabs>
          <w:tab w:val="left" w:pos="1276"/>
        </w:tabs>
        <w:spacing w:after="0"/>
        <w:ind w:left="851" w:right="701"/>
        <w:jc w:val="both"/>
        <w:rPr>
          <w:rFonts w:ascii="Palatino Linotype" w:eastAsia="Palatino Linotype" w:hAnsi="Palatino Linotype" w:cs="Palatino Linotype"/>
          <w:i/>
        </w:rPr>
      </w:pPr>
      <w:r w:rsidRPr="00ED6CDB">
        <w:rPr>
          <w:rFonts w:ascii="Palatino Linotype" w:eastAsia="Palatino Linotype" w:hAnsi="Palatino Linotype" w:cs="Palatino Linotype"/>
          <w:b/>
        </w:rPr>
        <w:t>Razones o</w:t>
      </w:r>
      <w:r w:rsidR="00E72281" w:rsidRPr="00ED6CDB">
        <w:rPr>
          <w:rFonts w:ascii="Palatino Linotype" w:eastAsia="Palatino Linotype" w:hAnsi="Palatino Linotype" w:cs="Palatino Linotype"/>
          <w:b/>
        </w:rPr>
        <w:t xml:space="preserve"> motivos de la inconformidad: </w:t>
      </w:r>
      <w:r w:rsidR="00E72281" w:rsidRPr="00ED6CDB">
        <w:rPr>
          <w:rFonts w:ascii="Palatino Linotype" w:eastAsia="Palatino Linotype" w:hAnsi="Palatino Linotype" w:cs="Palatino Linotype"/>
          <w:i/>
        </w:rPr>
        <w:t>“</w:t>
      </w:r>
      <w:r w:rsidR="00CC4B1E" w:rsidRPr="00ED6CDB">
        <w:rPr>
          <w:rFonts w:ascii="Palatino Linotype" w:eastAsia="Palatino Linotype" w:hAnsi="Palatino Linotype" w:cs="Palatino Linotype"/>
          <w:i/>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w:t>
      </w:r>
      <w:r w:rsidR="00CC4B1E" w:rsidRPr="00ED6CDB">
        <w:rPr>
          <w:rFonts w:ascii="Palatino Linotype" w:eastAsia="Palatino Linotype" w:hAnsi="Palatino Linotype" w:cs="Palatino Linotype"/>
          <w:i/>
        </w:rPr>
        <w:lastRenderedPageBreak/>
        <w:t>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ED6CDB">
        <w:rPr>
          <w:rFonts w:ascii="Palatino Linotype" w:eastAsia="Palatino Linotype" w:hAnsi="Palatino Linotype" w:cs="Palatino Linotype"/>
          <w:i/>
        </w:rPr>
        <w:t xml:space="preserve">”. </w:t>
      </w:r>
    </w:p>
    <w:p w14:paraId="052A7790" w14:textId="77777777" w:rsidR="00896B42" w:rsidRPr="00ED6CDB" w:rsidRDefault="00896B42" w:rsidP="00392991">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4939864F" w14:textId="748671AE" w:rsidR="004639EE" w:rsidRPr="00ED6CDB" w:rsidRDefault="00E72281" w:rsidP="0039299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t>Turno.</w:t>
      </w:r>
      <w:r w:rsidRPr="00ED6CD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4B1099" w:rsidRPr="00ED6CDB">
        <w:rPr>
          <w:rFonts w:ascii="Palatino Linotype" w:eastAsia="Palatino Linotype" w:hAnsi="Palatino Linotype" w:cs="Palatino Linotype"/>
          <w:b/>
        </w:rPr>
        <w:t>0</w:t>
      </w:r>
      <w:r w:rsidR="00CC4B1E" w:rsidRPr="00ED6CDB">
        <w:rPr>
          <w:rFonts w:ascii="Palatino Linotype" w:eastAsia="Palatino Linotype" w:hAnsi="Palatino Linotype" w:cs="Palatino Linotype"/>
          <w:b/>
        </w:rPr>
        <w:t>2284</w:t>
      </w:r>
      <w:r w:rsidRPr="00ED6CDB">
        <w:rPr>
          <w:rFonts w:ascii="Palatino Linotype" w:eastAsia="Palatino Linotype" w:hAnsi="Palatino Linotype" w:cs="Palatino Linotype"/>
          <w:b/>
        </w:rPr>
        <w:t>/INFOEM/IP/RR/202</w:t>
      </w:r>
      <w:r w:rsidR="00CC4B1E" w:rsidRPr="00ED6CDB">
        <w:rPr>
          <w:rFonts w:ascii="Palatino Linotype" w:eastAsia="Palatino Linotype" w:hAnsi="Palatino Linotype" w:cs="Palatino Linotype"/>
          <w:b/>
        </w:rPr>
        <w:t>6</w:t>
      </w:r>
      <w:r w:rsidRPr="00ED6CDB">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EE26AFA" w14:textId="77777777" w:rsidR="004639EE" w:rsidRPr="00ED6CDB" w:rsidRDefault="004639EE"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2ED057" w14:textId="6F4104E6" w:rsidR="004639EE" w:rsidRPr="00ED6CDB" w:rsidRDefault="00E72281" w:rsidP="0039299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lastRenderedPageBreak/>
        <w:t>Admisión del recurso de revisión</w:t>
      </w:r>
      <w:r w:rsidRPr="00ED6CDB">
        <w:rPr>
          <w:rFonts w:ascii="Palatino Linotype" w:eastAsia="Palatino Linotype" w:hAnsi="Palatino Linotype" w:cs="Palatino Linotype"/>
        </w:rPr>
        <w:t>: En fecha</w:t>
      </w:r>
      <w:r w:rsidRPr="00ED6CDB">
        <w:rPr>
          <w:rFonts w:ascii="Palatino Linotype" w:eastAsia="Palatino Linotype" w:hAnsi="Palatino Linotype" w:cs="Palatino Linotype"/>
          <w:b/>
        </w:rPr>
        <w:t xml:space="preserve"> </w:t>
      </w:r>
      <w:r w:rsidR="00584F6C" w:rsidRPr="00ED6CDB">
        <w:rPr>
          <w:rFonts w:ascii="Palatino Linotype" w:eastAsia="Palatino Linotype" w:hAnsi="Palatino Linotype" w:cs="Palatino Linotype"/>
          <w:b/>
        </w:rPr>
        <w:t>veint</w:t>
      </w:r>
      <w:r w:rsidR="00CC4B1E" w:rsidRPr="00ED6CDB">
        <w:rPr>
          <w:rFonts w:ascii="Palatino Linotype" w:eastAsia="Palatino Linotype" w:hAnsi="Palatino Linotype" w:cs="Palatino Linotype"/>
          <w:b/>
        </w:rPr>
        <w:t>e de febrero de dos mil veintiséis</w:t>
      </w:r>
      <w:r w:rsidRPr="00ED6CD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1FB5314" w14:textId="77777777" w:rsidR="006B68D2" w:rsidRPr="00ED6CDB" w:rsidRDefault="006B68D2"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4FD2B4" w14:textId="3B2A65B4" w:rsidR="00CC4B1E" w:rsidRPr="00ED6CDB" w:rsidRDefault="00E72281" w:rsidP="0039299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t xml:space="preserve">Manifestaciones: </w:t>
      </w:r>
      <w:r w:rsidR="00584F6C" w:rsidRPr="00ED6CDB">
        <w:rPr>
          <w:rFonts w:ascii="Palatino Linotype" w:eastAsia="Palatino Linotype" w:hAnsi="Palatino Linotype" w:cs="Palatino Linotype"/>
        </w:rPr>
        <w:t xml:space="preserve">En fecha </w:t>
      </w:r>
      <w:r w:rsidR="00CC4B1E" w:rsidRPr="00ED6CDB">
        <w:rPr>
          <w:rFonts w:ascii="Palatino Linotype" w:eastAsia="Palatino Linotype" w:hAnsi="Palatino Linotype" w:cs="Palatino Linotype"/>
          <w:b/>
        </w:rPr>
        <w:t>veinticinco de febrero de dos mil veintiséis</w:t>
      </w:r>
      <w:r w:rsidR="00584F6C" w:rsidRPr="00ED6CDB">
        <w:rPr>
          <w:rFonts w:ascii="Palatino Linotype" w:eastAsia="Palatino Linotype" w:hAnsi="Palatino Linotype" w:cs="Palatino Linotype"/>
        </w:rPr>
        <w:t xml:space="preserve">, el </w:t>
      </w:r>
      <w:r w:rsidR="00CC4B1E" w:rsidRPr="00ED6CDB">
        <w:rPr>
          <w:rFonts w:ascii="Palatino Linotype" w:eastAsia="Palatino Linotype" w:hAnsi="Palatino Linotype" w:cs="Palatino Linotype"/>
          <w:b/>
        </w:rPr>
        <w:t xml:space="preserve">Sujeto Obligado </w:t>
      </w:r>
      <w:r w:rsidR="00584F6C" w:rsidRPr="00ED6CDB">
        <w:rPr>
          <w:rFonts w:ascii="Palatino Linotype" w:eastAsia="Palatino Linotype" w:hAnsi="Palatino Linotype" w:cs="Palatino Linotype"/>
        </w:rPr>
        <w:t>rindió su informe justificado</w:t>
      </w:r>
      <w:r w:rsidR="00CC4B1E" w:rsidRPr="00ED6CDB">
        <w:rPr>
          <w:rFonts w:ascii="Palatino Linotype" w:eastAsia="Palatino Linotype" w:hAnsi="Palatino Linotype" w:cs="Palatino Linotype"/>
        </w:rPr>
        <w:t xml:space="preserve"> a través del archivo electrónico denominado </w:t>
      </w:r>
      <w:r w:rsidR="00CC4B1E" w:rsidRPr="00ED6CDB">
        <w:rPr>
          <w:rFonts w:ascii="Palatino Linotype" w:eastAsia="Palatino Linotype" w:hAnsi="Palatino Linotype" w:cs="Palatino Linotype"/>
          <w:i/>
          <w:iCs/>
        </w:rPr>
        <w:t>“DAYF-267-2026.pdf”</w:t>
      </w:r>
      <w:r w:rsidR="0002334C" w:rsidRPr="00ED6CDB">
        <w:rPr>
          <w:rFonts w:ascii="Palatino Linotype" w:eastAsia="Palatino Linotype" w:hAnsi="Palatino Linotype" w:cs="Palatino Linotype"/>
        </w:rPr>
        <w:t xml:space="preserve">, el cual contiene el oficio número DAyF/267/2026 de fecha once de febrero de dos mil veintiséis, suscrito por el Director de Administración y Finanzas, mediante el cual informó que no es posible otorgar la nómina del personal de la Dirección de Seguridad Pública por estar clasificado como información reservada, al comprometer la seguridad pública y la integridad </w:t>
      </w:r>
      <w:r w:rsidR="0000514C" w:rsidRPr="00ED6CDB">
        <w:rPr>
          <w:rFonts w:ascii="Palatino Linotype" w:eastAsia="Palatino Linotype" w:hAnsi="Palatino Linotype" w:cs="Palatino Linotype"/>
        </w:rPr>
        <w:t xml:space="preserve">de los servidores públicos, sin que se adjuntara el Acta del Comité de Transparencias que fundara y motivara la clasificación señalada. </w:t>
      </w:r>
    </w:p>
    <w:p w14:paraId="1BDA9C42" w14:textId="77777777" w:rsidR="00CC4B1E" w:rsidRPr="00ED6CDB" w:rsidRDefault="00CC4B1E"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076354F" w14:textId="1E255D7A" w:rsidR="00D02477" w:rsidRPr="00ED6CDB" w:rsidRDefault="001501D5"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Documento que fue hecho del conocimiento de la parte </w:t>
      </w:r>
      <w:r w:rsidRPr="00ED6CDB">
        <w:rPr>
          <w:rFonts w:ascii="Palatino Linotype" w:eastAsia="Palatino Linotype" w:hAnsi="Palatino Linotype" w:cs="Palatino Linotype"/>
          <w:b/>
        </w:rPr>
        <w:t>Recurrente</w:t>
      </w:r>
      <w:r w:rsidRPr="00ED6CDB">
        <w:rPr>
          <w:rFonts w:ascii="Palatino Linotype" w:eastAsia="Palatino Linotype" w:hAnsi="Palatino Linotype" w:cs="Palatino Linotype"/>
        </w:rPr>
        <w:t xml:space="preserve"> en fecha diecinueve de marzo de dos mil veintiséis, siendo omisa en </w:t>
      </w:r>
      <w:r w:rsidR="00584F6C" w:rsidRPr="00ED6CDB">
        <w:rPr>
          <w:rFonts w:ascii="Palatino Linotype" w:eastAsia="Palatino Linotype" w:hAnsi="Palatino Linotype" w:cs="Palatino Linotype"/>
        </w:rPr>
        <w:t>reali</w:t>
      </w:r>
      <w:r w:rsidRPr="00ED6CDB">
        <w:rPr>
          <w:rFonts w:ascii="Palatino Linotype" w:eastAsia="Palatino Linotype" w:hAnsi="Palatino Linotype" w:cs="Palatino Linotype"/>
        </w:rPr>
        <w:t xml:space="preserve">zar </w:t>
      </w:r>
      <w:r w:rsidR="00584F6C" w:rsidRPr="00ED6CDB">
        <w:rPr>
          <w:rFonts w:ascii="Palatino Linotype" w:eastAsia="Palatino Linotype" w:hAnsi="Palatino Linotype" w:cs="Palatino Linotype"/>
        </w:rPr>
        <w:t xml:space="preserve">manifestaciones. </w:t>
      </w:r>
      <w:r w:rsidR="004B1099" w:rsidRPr="00ED6CDB">
        <w:rPr>
          <w:rFonts w:ascii="Palatino Linotype" w:eastAsia="Palatino Linotype" w:hAnsi="Palatino Linotype" w:cs="Palatino Linotype"/>
        </w:rPr>
        <w:t xml:space="preserve"> </w:t>
      </w:r>
    </w:p>
    <w:p w14:paraId="21E7DD3C" w14:textId="77777777" w:rsidR="00D02477" w:rsidRPr="00ED6CDB" w:rsidRDefault="00D02477"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673A1A5" w14:textId="6CE03D48" w:rsidR="00584F6C" w:rsidRPr="00ED6CDB" w:rsidRDefault="00584F6C" w:rsidP="0039299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D6CDB">
        <w:rPr>
          <w:rFonts w:ascii="Palatino Linotype" w:eastAsia="Palatino Linotype" w:hAnsi="Palatino Linotype" w:cs="Palatino Linotype"/>
          <w:b/>
        </w:rPr>
        <w:t>Cierre de instrucción</w:t>
      </w:r>
      <w:r w:rsidRPr="00ED6CDB">
        <w:rPr>
          <w:rFonts w:ascii="Palatino Linotype" w:eastAsia="Palatino Linotype" w:hAnsi="Palatino Linotype" w:cs="Palatino Linotype"/>
        </w:rPr>
        <w:t xml:space="preserve">. En fecha </w:t>
      </w:r>
      <w:r w:rsidR="001501D5" w:rsidRPr="00ED6CDB">
        <w:rPr>
          <w:rFonts w:ascii="Palatino Linotype" w:eastAsia="Palatino Linotype" w:hAnsi="Palatino Linotype" w:cs="Palatino Linotype"/>
          <w:b/>
        </w:rPr>
        <w:t>veinticinco de marzo de dos mil veintiséis</w:t>
      </w:r>
      <w:r w:rsidRPr="00ED6CD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0CDE35" w14:textId="77777777" w:rsidR="00584F6C" w:rsidRPr="00ED6CDB" w:rsidRDefault="00584F6C" w:rsidP="00392991">
      <w:pPr>
        <w:pBdr>
          <w:top w:val="nil"/>
          <w:left w:val="nil"/>
          <w:bottom w:val="nil"/>
          <w:right w:val="nil"/>
          <w:between w:val="nil"/>
        </w:pBdr>
        <w:spacing w:after="0" w:line="360" w:lineRule="auto"/>
        <w:ind w:left="720" w:right="49" w:hanging="720"/>
        <w:jc w:val="both"/>
        <w:rPr>
          <w:rFonts w:ascii="Palatino Linotype" w:eastAsia="Palatino Linotype" w:hAnsi="Palatino Linotype" w:cs="Palatino Linotype"/>
        </w:rPr>
      </w:pPr>
    </w:p>
    <w:p w14:paraId="11B551A0" w14:textId="77777777" w:rsidR="00D02477"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4092DB4" w14:textId="77777777" w:rsidR="00896B42" w:rsidRPr="00ED6CDB" w:rsidRDefault="00896B42" w:rsidP="00392991">
      <w:pPr>
        <w:spacing w:after="0" w:line="360" w:lineRule="auto"/>
        <w:ind w:right="49"/>
        <w:jc w:val="both"/>
        <w:rPr>
          <w:rFonts w:ascii="Palatino Linotype" w:eastAsia="Palatino Linotype" w:hAnsi="Palatino Linotype" w:cs="Palatino Linotype"/>
        </w:rPr>
      </w:pPr>
    </w:p>
    <w:p w14:paraId="1F2B56A4" w14:textId="77777777" w:rsidR="004639EE" w:rsidRPr="00ED6CDB" w:rsidRDefault="00E72281" w:rsidP="00392991">
      <w:pPr>
        <w:spacing w:after="0" w:line="360" w:lineRule="auto"/>
        <w:ind w:right="49"/>
        <w:jc w:val="center"/>
        <w:rPr>
          <w:rFonts w:ascii="Palatino Linotype" w:eastAsia="Palatino Linotype" w:hAnsi="Palatino Linotype" w:cs="Palatino Linotype"/>
          <w:b/>
        </w:rPr>
      </w:pPr>
      <w:r w:rsidRPr="00ED6CDB">
        <w:rPr>
          <w:rFonts w:ascii="Palatino Linotype" w:eastAsia="Palatino Linotype" w:hAnsi="Palatino Linotype" w:cs="Palatino Linotype"/>
          <w:b/>
        </w:rPr>
        <w:t>II.</w:t>
      </w:r>
      <w:r w:rsidRPr="00ED6CDB">
        <w:rPr>
          <w:rFonts w:ascii="Palatino Linotype" w:eastAsia="Palatino Linotype" w:hAnsi="Palatino Linotype" w:cs="Palatino Linotype"/>
          <w:b/>
        </w:rPr>
        <w:tab/>
        <w:t>C O N S I D E R A N D O:</w:t>
      </w:r>
    </w:p>
    <w:p w14:paraId="5CA79BFB" w14:textId="77777777" w:rsidR="004639EE" w:rsidRPr="00ED6CDB" w:rsidRDefault="004639EE" w:rsidP="00392991">
      <w:pPr>
        <w:spacing w:after="0" w:line="360" w:lineRule="auto"/>
        <w:ind w:right="49"/>
        <w:jc w:val="both"/>
        <w:rPr>
          <w:rFonts w:ascii="Palatino Linotype" w:eastAsia="Palatino Linotype" w:hAnsi="Palatino Linotype" w:cs="Palatino Linotype"/>
        </w:rPr>
      </w:pPr>
    </w:p>
    <w:p w14:paraId="5415F271"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b/>
        </w:rPr>
        <w:t xml:space="preserve">Primero. Competencia. </w:t>
      </w:r>
      <w:r w:rsidRPr="00ED6CD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902B702" w14:textId="77777777" w:rsidR="001501D5" w:rsidRPr="00ED6CDB" w:rsidRDefault="001501D5" w:rsidP="00392991">
      <w:pPr>
        <w:spacing w:after="0" w:line="360" w:lineRule="auto"/>
        <w:jc w:val="both"/>
        <w:rPr>
          <w:rFonts w:ascii="Palatino Linotype" w:eastAsia="Palatino Linotype" w:hAnsi="Palatino Linotype" w:cs="Palatino Linotype"/>
          <w:b/>
        </w:rPr>
      </w:pPr>
    </w:p>
    <w:p w14:paraId="2833BF64"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b/>
        </w:rPr>
        <w:t>Segundo. Oportunidad y Procedibilidad del Recurso de Revisión</w:t>
      </w:r>
      <w:r w:rsidRPr="00ED6CDB">
        <w:rPr>
          <w:rFonts w:ascii="Palatino Linotype" w:eastAsia="Palatino Linotype" w:hAnsi="Palatino Linotype" w:cs="Palatino Linotype"/>
        </w:rPr>
        <w:t>. Por cuanto hace a la oportunidad del recurso de revisión</w:t>
      </w:r>
      <w:r w:rsidRPr="00ED6CDB">
        <w:rPr>
          <w:rFonts w:ascii="Palatino Linotype" w:eastAsia="Palatino Linotype" w:hAnsi="Palatino Linotype" w:cs="Palatino Linotype"/>
          <w:b/>
        </w:rPr>
        <w:t xml:space="preserve"> </w:t>
      </w:r>
      <w:r w:rsidRPr="00ED6CDB">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44215E0"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564E1534"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Derivado de lo anterior, se constituye la figura jurídica de la </w:t>
      </w:r>
      <w:r w:rsidRPr="00ED6CDB">
        <w:rPr>
          <w:rFonts w:ascii="Palatino Linotype" w:eastAsia="Palatino Linotype" w:hAnsi="Palatino Linotype" w:cs="Palatino Linotype"/>
          <w:b/>
        </w:rPr>
        <w:t>Negativa Ficta</w:t>
      </w:r>
      <w:r w:rsidRPr="00ED6CDB">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0C905C23"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192B61F1"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De tal manera, en el presente recurso de revisión se actualizó la negativa ficta por parte del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al no haber respondido a </w:t>
      </w:r>
      <w:r w:rsidRPr="00ED6CDB">
        <w:rPr>
          <w:rFonts w:ascii="Palatino Linotype" w:eastAsia="Palatino Linotype" w:hAnsi="Palatino Linotype" w:cs="Palatino Linotype"/>
          <w:bCs/>
        </w:rPr>
        <w:t>la parte</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rPr>
        <w:t>Recurrente</w:t>
      </w:r>
      <w:r w:rsidRPr="00ED6CDB">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0590902"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62BB5CE1"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Si a ello se le suma lo previsto en el párrafo segundo del artículo 178, párrafo segundo</w:t>
      </w:r>
      <w:r w:rsidRPr="00ED6CDB">
        <w:rPr>
          <w:rFonts w:ascii="Palatino Linotype" w:eastAsia="Palatino Linotype" w:hAnsi="Palatino Linotype" w:cs="Palatino Linotype"/>
          <w:vertAlign w:val="superscript"/>
        </w:rPr>
        <w:footnoteReference w:id="1"/>
      </w:r>
      <w:r w:rsidRPr="00ED6CDB">
        <w:rPr>
          <w:rFonts w:ascii="Palatino Linotype" w:eastAsia="Palatino Linotype" w:hAnsi="Palatino Linotype" w:cs="Palatino Linotype"/>
        </w:rPr>
        <w:t xml:space="preserve"> de la Ley de Transparencia y Acceso a la Información Pública vigente en la entidad.</w:t>
      </w:r>
    </w:p>
    <w:p w14:paraId="48E704B2"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61ABFC26"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DF535B1" w14:textId="77777777" w:rsidR="001501D5" w:rsidRPr="00ED6CDB" w:rsidRDefault="001501D5" w:rsidP="00392991">
      <w:pPr>
        <w:spacing w:after="0"/>
        <w:ind w:left="567" w:right="618"/>
        <w:jc w:val="both"/>
        <w:rPr>
          <w:rFonts w:ascii="Palatino Linotype" w:eastAsia="Palatino Linotype" w:hAnsi="Palatino Linotype" w:cs="Palatino Linotype"/>
          <w:i/>
        </w:rPr>
      </w:pPr>
    </w:p>
    <w:p w14:paraId="631992C0" w14:textId="77777777" w:rsidR="001501D5" w:rsidRPr="00ED6CDB" w:rsidRDefault="001501D5" w:rsidP="00392991">
      <w:pPr>
        <w:spacing w:after="0"/>
        <w:ind w:left="851" w:right="618"/>
        <w:jc w:val="both"/>
        <w:rPr>
          <w:rFonts w:ascii="Palatino Linotype" w:eastAsia="Palatino Linotype" w:hAnsi="Palatino Linotype" w:cs="Palatino Linotype"/>
          <w:b/>
          <w:i/>
        </w:rPr>
      </w:pPr>
      <w:r w:rsidRPr="00ED6CDB">
        <w:rPr>
          <w:rFonts w:ascii="Palatino Linotype" w:eastAsia="Palatino Linotype" w:hAnsi="Palatino Linotype" w:cs="Palatino Linotype"/>
          <w:i/>
        </w:rPr>
        <w:lastRenderedPageBreak/>
        <w:t>“</w:t>
      </w:r>
      <w:r w:rsidRPr="00ED6CDB">
        <w:rPr>
          <w:rFonts w:ascii="Palatino Linotype" w:eastAsia="Palatino Linotype" w:hAnsi="Palatino Linotype" w:cs="Palatino Linotype"/>
          <w:b/>
          <w:i/>
        </w:rPr>
        <w:t>CRITERIO 0001-15 NEGATIVA FICTA. PLAZO PARA INTERPONER EL RECURSO DE REVISIÓN TRATÁNDOSE DE</w:t>
      </w:r>
      <w:r w:rsidRPr="00ED6CDB">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71FCC94" w14:textId="77777777" w:rsidR="001501D5" w:rsidRPr="00ED6CDB" w:rsidRDefault="001501D5" w:rsidP="00392991">
      <w:pPr>
        <w:spacing w:after="0" w:line="360" w:lineRule="auto"/>
        <w:ind w:right="902"/>
        <w:jc w:val="both"/>
        <w:rPr>
          <w:rFonts w:ascii="Palatino Linotype" w:eastAsia="Palatino Linotype" w:hAnsi="Palatino Linotype" w:cs="Palatino Linotype"/>
        </w:rPr>
      </w:pPr>
    </w:p>
    <w:p w14:paraId="49F83B22" w14:textId="77777777" w:rsidR="001501D5" w:rsidRPr="00ED6CDB" w:rsidRDefault="001501D5" w:rsidP="00392991">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D6CDB">
        <w:rPr>
          <w:rFonts w:ascii="Palatino Linotype" w:eastAsia="Palatino Linotype" w:hAnsi="Palatino Linotype" w:cs="Palatino Linotype"/>
          <w:b/>
        </w:rPr>
        <w:t>EL</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rPr>
        <w:t>SAIMEX</w:t>
      </w:r>
      <w:r w:rsidRPr="00ED6CDB">
        <w:rPr>
          <w:rFonts w:ascii="Palatino Linotype" w:eastAsia="Palatino Linotype" w:hAnsi="Palatino Linotype" w:cs="Palatino Linotype"/>
        </w:rPr>
        <w:t>.</w:t>
      </w:r>
    </w:p>
    <w:p w14:paraId="53015A5F" w14:textId="77777777" w:rsidR="001501D5" w:rsidRPr="00ED6CDB" w:rsidRDefault="001501D5" w:rsidP="00392991">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75F4D23D" w14:textId="44ADB783"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VII de la ley de la materia, que a la letra dice:</w:t>
      </w:r>
    </w:p>
    <w:p w14:paraId="4C32654C"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4464E741" w14:textId="77777777" w:rsidR="001501D5" w:rsidRPr="00ED6CDB" w:rsidRDefault="001501D5" w:rsidP="00392991">
      <w:pPr>
        <w:tabs>
          <w:tab w:val="left" w:pos="851"/>
        </w:tabs>
        <w:spacing w:after="0"/>
        <w:ind w:left="851" w:right="616"/>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 xml:space="preserve">Artículo 179. </w:t>
      </w:r>
      <w:r w:rsidRPr="00ED6CDB">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5983F6A9" w14:textId="77777777" w:rsidR="001501D5" w:rsidRPr="00ED6CDB" w:rsidRDefault="001501D5" w:rsidP="00392991">
      <w:pPr>
        <w:tabs>
          <w:tab w:val="left" w:pos="851"/>
        </w:tabs>
        <w:spacing w:after="0"/>
        <w:ind w:left="851" w:right="616"/>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369AA875" w14:textId="77777777" w:rsidR="001501D5" w:rsidRPr="00ED6CDB" w:rsidRDefault="001501D5" w:rsidP="00392991">
      <w:pPr>
        <w:tabs>
          <w:tab w:val="left" w:pos="851"/>
        </w:tabs>
        <w:spacing w:after="0"/>
        <w:ind w:left="851" w:right="616"/>
        <w:jc w:val="both"/>
        <w:rPr>
          <w:rFonts w:ascii="Palatino Linotype" w:eastAsia="Palatino Linotype" w:hAnsi="Palatino Linotype" w:cs="Palatino Linotype"/>
          <w:i/>
        </w:rPr>
      </w:pPr>
      <w:r w:rsidRPr="00ED6CDB">
        <w:rPr>
          <w:rFonts w:ascii="Palatino Linotype" w:eastAsia="Palatino Linotype" w:hAnsi="Palatino Linotype" w:cs="Palatino Linotype"/>
          <w:i/>
        </w:rPr>
        <w:t>VII. La falta de respuesta a una solicitud de acceso a la información;</w:t>
      </w:r>
      <w:r w:rsidRPr="00ED6CDB">
        <w:rPr>
          <w:rFonts w:ascii="Palatino Linotype" w:eastAsia="Palatino Linotype" w:hAnsi="Palatino Linotype" w:cs="Palatino Linotype"/>
          <w:i/>
        </w:rPr>
        <w:cr/>
        <w:t xml:space="preserve">…” </w:t>
      </w:r>
    </w:p>
    <w:p w14:paraId="663D5C08" w14:textId="77777777" w:rsidR="001501D5" w:rsidRPr="00ED6CDB" w:rsidRDefault="001501D5" w:rsidP="00392991">
      <w:pPr>
        <w:spacing w:after="0" w:line="360" w:lineRule="auto"/>
        <w:ind w:left="567" w:right="616"/>
        <w:jc w:val="both"/>
        <w:rPr>
          <w:rFonts w:ascii="Palatino Linotype" w:eastAsia="Palatino Linotype" w:hAnsi="Palatino Linotype" w:cs="Palatino Linotype"/>
          <w:i/>
        </w:rPr>
      </w:pPr>
    </w:p>
    <w:p w14:paraId="5B007C57" w14:textId="0C77CF4D"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b/>
        </w:rPr>
        <w:t>Tercero. Materia de Revisión</w:t>
      </w:r>
      <w:r w:rsidRPr="00ED6CDB">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VII del artículo 179 de la Ley de Transparencia y Acceso a la Información Pública del Estado de México y Municipios.  </w:t>
      </w:r>
    </w:p>
    <w:p w14:paraId="3CAF02DA"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210D3898"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b/>
        </w:rPr>
        <w:t xml:space="preserve">Cuarto. Estudio de fondo del asunto. </w:t>
      </w:r>
      <w:r w:rsidRPr="00ED6CDB">
        <w:rPr>
          <w:rFonts w:ascii="Palatino Linotype" w:eastAsia="Palatino Linotype" w:hAnsi="Palatino Linotype" w:cs="Palatino Linotype"/>
        </w:rPr>
        <w:t>Es conveniente analizar si la respuesta del Sujeto Obligado</w:t>
      </w:r>
      <w:r w:rsidRPr="00ED6CDB">
        <w:rPr>
          <w:rFonts w:ascii="Palatino Linotype" w:eastAsia="Palatino Linotype" w:hAnsi="Palatino Linotype" w:cs="Palatino Linotype"/>
          <w:b/>
        </w:rPr>
        <w:t xml:space="preserve"> </w:t>
      </w:r>
      <w:r w:rsidRPr="00ED6CDB">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40D911"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39D41D58" w14:textId="77777777" w:rsidR="001501D5" w:rsidRPr="00ED6CDB" w:rsidRDefault="001501D5" w:rsidP="004F572A">
      <w:pPr>
        <w:tabs>
          <w:tab w:val="left" w:pos="851"/>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Artículo 4</w:t>
      </w:r>
      <w:r w:rsidRPr="00ED6CD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768D57" w14:textId="77777777" w:rsidR="001501D5" w:rsidRPr="00ED6CDB" w:rsidRDefault="001501D5" w:rsidP="004F572A">
      <w:pPr>
        <w:tabs>
          <w:tab w:val="left" w:pos="851"/>
        </w:tabs>
        <w:spacing w:after="0"/>
        <w:ind w:left="851" w:right="709"/>
        <w:jc w:val="both"/>
        <w:rPr>
          <w:rFonts w:ascii="Palatino Linotype" w:eastAsia="Palatino Linotype" w:hAnsi="Palatino Linotype" w:cs="Palatino Linotype"/>
          <w:i/>
        </w:rPr>
      </w:pPr>
    </w:p>
    <w:p w14:paraId="74190A4F" w14:textId="77777777" w:rsidR="001501D5" w:rsidRPr="00ED6CDB" w:rsidRDefault="001501D5" w:rsidP="004F572A">
      <w:pPr>
        <w:tabs>
          <w:tab w:val="left" w:pos="851"/>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D6CD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FAD7261" w14:textId="77777777" w:rsidR="001501D5" w:rsidRPr="00ED6CDB" w:rsidRDefault="001501D5" w:rsidP="004F572A">
      <w:pPr>
        <w:tabs>
          <w:tab w:val="left" w:pos="851"/>
        </w:tabs>
        <w:spacing w:after="0"/>
        <w:ind w:left="851" w:right="709"/>
        <w:jc w:val="both"/>
        <w:rPr>
          <w:rFonts w:ascii="Palatino Linotype" w:eastAsia="Palatino Linotype" w:hAnsi="Palatino Linotype" w:cs="Palatino Linotype"/>
          <w:i/>
        </w:rPr>
      </w:pPr>
    </w:p>
    <w:p w14:paraId="3C09F2D7" w14:textId="77777777" w:rsidR="001501D5" w:rsidRPr="00ED6CDB" w:rsidRDefault="001501D5" w:rsidP="004F572A">
      <w:pPr>
        <w:tabs>
          <w:tab w:val="left" w:pos="851"/>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D6CDB">
        <w:rPr>
          <w:rFonts w:ascii="Palatino Linotype" w:eastAsia="Palatino Linotype" w:hAnsi="Palatino Linotype" w:cs="Palatino Linotype"/>
          <w:i/>
        </w:rPr>
        <w:t>.”(Sic)</w:t>
      </w:r>
    </w:p>
    <w:p w14:paraId="64B608D5"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367DAE58"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E962D14" w14:textId="77777777" w:rsidR="001501D5" w:rsidRPr="00ED6CDB" w:rsidRDefault="001501D5" w:rsidP="00392991">
      <w:pPr>
        <w:spacing w:after="0"/>
        <w:ind w:left="567" w:right="616"/>
        <w:jc w:val="both"/>
        <w:rPr>
          <w:rFonts w:ascii="Palatino Linotype" w:eastAsia="Palatino Linotype" w:hAnsi="Palatino Linotype" w:cs="Palatino Linotype"/>
        </w:rPr>
      </w:pPr>
    </w:p>
    <w:p w14:paraId="324C1A34"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Artículo 12.-</w:t>
      </w:r>
      <w:r w:rsidRPr="00ED6CD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C9610BD" w14:textId="77777777" w:rsidR="001501D5" w:rsidRPr="00ED6CDB" w:rsidRDefault="001501D5" w:rsidP="004F572A">
      <w:pPr>
        <w:spacing w:after="0"/>
        <w:ind w:left="851" w:right="709"/>
        <w:jc w:val="both"/>
        <w:rPr>
          <w:rFonts w:ascii="Palatino Linotype" w:eastAsia="Palatino Linotype" w:hAnsi="Palatino Linotype" w:cs="Palatino Linotype"/>
          <w:i/>
        </w:rPr>
      </w:pPr>
    </w:p>
    <w:p w14:paraId="140CDFF4"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D6CDB">
        <w:rPr>
          <w:rFonts w:ascii="Palatino Linotype" w:eastAsia="Palatino Linotype" w:hAnsi="Palatino Linotype" w:cs="Palatino Linotype"/>
          <w:i/>
        </w:rPr>
        <w:t xml:space="preserve">. </w:t>
      </w:r>
      <w:r w:rsidRPr="00ED6CD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D6CDB">
        <w:rPr>
          <w:rFonts w:ascii="Palatino Linotype" w:eastAsia="Palatino Linotype" w:hAnsi="Palatino Linotype" w:cs="Palatino Linotype"/>
          <w:i/>
        </w:rPr>
        <w:t xml:space="preserve">.” </w:t>
      </w:r>
    </w:p>
    <w:p w14:paraId="4CF85D72" w14:textId="77777777" w:rsidR="001501D5" w:rsidRPr="00ED6CDB" w:rsidRDefault="001501D5" w:rsidP="00392991">
      <w:pPr>
        <w:spacing w:after="0" w:line="360" w:lineRule="auto"/>
        <w:ind w:right="-93"/>
        <w:jc w:val="both"/>
        <w:rPr>
          <w:rFonts w:ascii="Palatino Linotype" w:eastAsia="Palatino Linotype" w:hAnsi="Palatino Linotype" w:cs="Palatino Linotype"/>
        </w:rPr>
      </w:pPr>
    </w:p>
    <w:p w14:paraId="6F25B507" w14:textId="77777777" w:rsidR="001501D5" w:rsidRPr="00ED6CDB" w:rsidRDefault="001501D5" w:rsidP="00392991">
      <w:pPr>
        <w:spacing w:after="0" w:line="360" w:lineRule="auto"/>
        <w:ind w:right="-93"/>
        <w:jc w:val="both"/>
        <w:rPr>
          <w:rFonts w:ascii="Palatino Linotype" w:eastAsia="Palatino Linotype" w:hAnsi="Palatino Linotype" w:cs="Palatino Linotype"/>
        </w:rPr>
      </w:pPr>
      <w:r w:rsidRPr="00ED6CD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49ECCD9" w14:textId="77777777" w:rsidR="001501D5" w:rsidRPr="00ED6CDB" w:rsidRDefault="001501D5" w:rsidP="00392991">
      <w:pPr>
        <w:spacing w:after="0" w:line="360" w:lineRule="auto"/>
        <w:ind w:right="-93"/>
        <w:jc w:val="both"/>
        <w:rPr>
          <w:rFonts w:ascii="Palatino Linotype" w:eastAsia="Palatino Linotype" w:hAnsi="Palatino Linotype" w:cs="Palatino Linotype"/>
        </w:rPr>
      </w:pPr>
    </w:p>
    <w:p w14:paraId="2B256BB0" w14:textId="7BB5434F" w:rsidR="001501D5" w:rsidRPr="00ED6CDB" w:rsidRDefault="001501D5" w:rsidP="00392991">
      <w:pPr>
        <w:spacing w:after="0" w:line="360" w:lineRule="auto"/>
        <w:jc w:val="both"/>
        <w:rPr>
          <w:rFonts w:ascii="Palatino Linotype" w:eastAsia="Palatino Linotype" w:hAnsi="Palatino Linotype" w:cs="Palatino Linotype"/>
          <w:b/>
        </w:rPr>
      </w:pPr>
      <w:r w:rsidRPr="00ED6CDB">
        <w:rPr>
          <w:rFonts w:ascii="Palatino Linotype" w:eastAsia="Palatino Linotype" w:hAnsi="Palatino Linotype" w:cs="Palatino Linotype"/>
        </w:rPr>
        <w:t xml:space="preserve">Sirve de apoyo a lo anterior, el criterio </w:t>
      </w:r>
      <w:r w:rsidR="00C35803" w:rsidRPr="00ED6CDB">
        <w:rPr>
          <w:rFonts w:ascii="Palatino Linotype" w:eastAsia="Palatino Linotype" w:hAnsi="Palatino Linotype" w:cs="Palatino Linotype"/>
        </w:rPr>
        <w:t xml:space="preserve">orientador </w:t>
      </w:r>
      <w:r w:rsidRPr="00ED6CDB">
        <w:rPr>
          <w:rFonts w:ascii="Palatino Linotype" w:eastAsia="Palatino Linotype" w:hAnsi="Palatino Linotype" w:cs="Palatino Linotype"/>
        </w:rPr>
        <w:t>03-17, expuesto por el</w:t>
      </w:r>
      <w:r w:rsidR="00C35803" w:rsidRPr="00ED6CDB">
        <w:rPr>
          <w:rFonts w:ascii="Palatino Linotype" w:eastAsia="Palatino Linotype" w:hAnsi="Palatino Linotype" w:cs="Palatino Linotype"/>
        </w:rPr>
        <w:t xml:space="preserve"> entonces </w:t>
      </w:r>
      <w:r w:rsidRPr="00ED6CDB">
        <w:rPr>
          <w:rFonts w:ascii="Palatino Linotype" w:eastAsia="Palatino Linotype" w:hAnsi="Palatino Linotype" w:cs="Palatino Linotype"/>
        </w:rPr>
        <w:t>Instituto Nacional de Transparencia, Acceso a la Información y Protección de Datos Personales, que dice:</w:t>
      </w:r>
      <w:r w:rsidRPr="00ED6CDB">
        <w:rPr>
          <w:rFonts w:ascii="Palatino Linotype" w:eastAsia="Palatino Linotype" w:hAnsi="Palatino Linotype" w:cs="Palatino Linotype"/>
          <w:b/>
        </w:rPr>
        <w:t xml:space="preserve"> </w:t>
      </w:r>
    </w:p>
    <w:p w14:paraId="55A10405" w14:textId="77777777" w:rsidR="001501D5" w:rsidRPr="00ED6CDB" w:rsidRDefault="001501D5" w:rsidP="00392991">
      <w:pPr>
        <w:spacing w:after="0"/>
        <w:ind w:left="851" w:right="850"/>
        <w:jc w:val="both"/>
        <w:rPr>
          <w:rFonts w:ascii="Palatino Linotype" w:eastAsia="Palatino Linotype" w:hAnsi="Palatino Linotype" w:cs="Palatino Linotype"/>
        </w:rPr>
      </w:pPr>
    </w:p>
    <w:p w14:paraId="1D241FCA"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No existe obligación de elaborar documentos ad hoc para atender las solicitudes de acceso a la información.</w:t>
      </w:r>
      <w:r w:rsidRPr="00ED6CD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DE45869" w14:textId="77777777" w:rsidR="001501D5" w:rsidRPr="00ED6CDB" w:rsidRDefault="001501D5" w:rsidP="00392991">
      <w:pPr>
        <w:spacing w:after="0"/>
        <w:ind w:left="567" w:right="616"/>
        <w:jc w:val="both"/>
        <w:rPr>
          <w:rFonts w:ascii="Palatino Linotype" w:eastAsia="Palatino Linotype" w:hAnsi="Palatino Linotype" w:cs="Palatino Linotype"/>
          <w:i/>
        </w:rPr>
      </w:pPr>
    </w:p>
    <w:p w14:paraId="0C206753"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22890F3"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794DA426"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ED6CDB">
        <w:rPr>
          <w:rFonts w:ascii="Palatino Linotype" w:eastAsia="Palatino Linotype" w:hAnsi="Palatino Linotype" w:cs="Palatino Linotype"/>
        </w:rPr>
        <w:lastRenderedPageBreak/>
        <w:t xml:space="preserve">impreso, sonoro, visual, electrónico, informático u holográfico de conformidad con el artículo 3, fracción XI de la Ley de la materia, el cual señala lo siguiente: </w:t>
      </w:r>
    </w:p>
    <w:p w14:paraId="329F38E5"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21568308"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 xml:space="preserve">Artículo 3. </w:t>
      </w:r>
      <w:r w:rsidRPr="00ED6CDB">
        <w:rPr>
          <w:rFonts w:ascii="Palatino Linotype" w:eastAsia="Palatino Linotype" w:hAnsi="Palatino Linotype" w:cs="Palatino Linotype"/>
          <w:i/>
        </w:rPr>
        <w:t>Para los efectos de la presente Ley se entenderá por:</w:t>
      </w:r>
    </w:p>
    <w:p w14:paraId="0EED9B95"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4C765628"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XI. Documento:</w:t>
      </w:r>
      <w:r w:rsidRPr="00ED6CDB">
        <w:rPr>
          <w:rFonts w:ascii="Palatino Linotype" w:eastAsia="Palatino Linotype" w:hAnsi="Palatino Linotype" w:cs="Palatino Linotype"/>
          <w:i/>
        </w:rPr>
        <w:t xml:space="preserve"> Los expedientes, reportes, estudios, actas</w:t>
      </w:r>
      <w:r w:rsidRPr="00ED6CDB">
        <w:rPr>
          <w:rFonts w:ascii="Palatino Linotype" w:eastAsia="Palatino Linotype" w:hAnsi="Palatino Linotype" w:cs="Palatino Linotype"/>
          <w:b/>
          <w:i/>
        </w:rPr>
        <w:t>,</w:t>
      </w:r>
      <w:r w:rsidRPr="00ED6CD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D40AC1" w14:textId="77777777" w:rsidR="001501D5" w:rsidRPr="00ED6CDB" w:rsidRDefault="001501D5" w:rsidP="00392991">
      <w:pPr>
        <w:spacing w:after="0" w:line="360" w:lineRule="auto"/>
        <w:ind w:left="851" w:right="899"/>
        <w:jc w:val="both"/>
        <w:rPr>
          <w:rFonts w:ascii="Palatino Linotype" w:eastAsia="Palatino Linotype" w:hAnsi="Palatino Linotype" w:cs="Palatino Linotype"/>
        </w:rPr>
      </w:pPr>
    </w:p>
    <w:p w14:paraId="4BAD803B"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1D237C" w14:textId="77777777" w:rsidR="001501D5" w:rsidRPr="00ED6CDB" w:rsidRDefault="001501D5" w:rsidP="00392991">
      <w:pPr>
        <w:spacing w:after="0" w:line="360" w:lineRule="auto"/>
        <w:ind w:left="851" w:right="899"/>
        <w:jc w:val="both"/>
        <w:rPr>
          <w:rFonts w:ascii="Palatino Linotype" w:eastAsia="Palatino Linotype" w:hAnsi="Palatino Linotype" w:cs="Palatino Linotype"/>
        </w:rPr>
      </w:pPr>
    </w:p>
    <w:p w14:paraId="2AE733E6"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rPr>
        <w:t>“</w:t>
      </w:r>
      <w:r w:rsidRPr="00ED6CDB">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D6CD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BECEF5" w14:textId="77777777" w:rsidR="001501D5" w:rsidRPr="00ED6CDB" w:rsidRDefault="001501D5" w:rsidP="004F572A">
      <w:pPr>
        <w:spacing w:after="0"/>
        <w:ind w:left="851" w:right="709"/>
        <w:jc w:val="both"/>
        <w:rPr>
          <w:rFonts w:ascii="Palatino Linotype" w:eastAsia="Palatino Linotype" w:hAnsi="Palatino Linotype" w:cs="Palatino Linotype"/>
          <w:b/>
          <w:i/>
        </w:rPr>
      </w:pPr>
    </w:p>
    <w:p w14:paraId="6D163CA8"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En consecuencia el acceso a la información se refiere a que se cumplan cualquiera de los siguientes tres supuestos:</w:t>
      </w:r>
    </w:p>
    <w:p w14:paraId="0921E6F5" w14:textId="77777777" w:rsidR="001501D5" w:rsidRPr="00ED6CDB" w:rsidRDefault="001501D5" w:rsidP="004F572A">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74A5FB06" w14:textId="77777777" w:rsidR="001501D5" w:rsidRPr="00ED6CDB" w:rsidRDefault="001501D5" w:rsidP="004F572A">
      <w:pPr>
        <w:spacing w:after="0"/>
        <w:ind w:left="851" w:right="709"/>
        <w:jc w:val="both"/>
        <w:rPr>
          <w:rFonts w:ascii="Palatino Linotype" w:eastAsia="Palatino Linotype" w:hAnsi="Palatino Linotype" w:cs="Palatino Linotype"/>
          <w:b/>
          <w:i/>
        </w:rPr>
      </w:pPr>
      <w:r w:rsidRPr="00ED6CD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1E9C13F6" w14:textId="77777777" w:rsidR="001501D5" w:rsidRPr="00ED6CDB" w:rsidRDefault="001501D5" w:rsidP="004F572A">
      <w:pPr>
        <w:spacing w:after="0"/>
        <w:ind w:left="851" w:right="709"/>
        <w:jc w:val="both"/>
        <w:rPr>
          <w:rFonts w:ascii="Palatino Linotype" w:eastAsia="Palatino Linotype" w:hAnsi="Palatino Linotype" w:cs="Palatino Linotype"/>
          <w:b/>
          <w:i/>
        </w:rPr>
      </w:pPr>
      <w:r w:rsidRPr="00ED6CDB">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64B684BB"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490ED4E5" w14:textId="77777777" w:rsidR="001501D5" w:rsidRPr="00ED6CDB" w:rsidRDefault="001501D5"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0A42A9"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79AC35B1" w14:textId="77777777" w:rsidR="001501D5" w:rsidRPr="00ED6CDB" w:rsidRDefault="001501D5"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E94C182" w14:textId="77777777" w:rsidR="001501D5" w:rsidRPr="00ED6CDB" w:rsidRDefault="001501D5" w:rsidP="00392991">
      <w:pPr>
        <w:spacing w:after="0" w:line="360" w:lineRule="auto"/>
        <w:jc w:val="both"/>
        <w:rPr>
          <w:rFonts w:ascii="Palatino Linotype" w:eastAsia="Palatino Linotype" w:hAnsi="Palatino Linotype" w:cs="Palatino Linotype"/>
        </w:rPr>
      </w:pPr>
    </w:p>
    <w:p w14:paraId="5EFBFF80" w14:textId="77777777" w:rsidR="001501D5" w:rsidRPr="00ED6CDB" w:rsidRDefault="001501D5" w:rsidP="00392991">
      <w:pPr>
        <w:spacing w:after="0" w:line="360" w:lineRule="auto"/>
        <w:ind w:right="51"/>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ED6CDB">
        <w:rPr>
          <w:rFonts w:ascii="Palatino Linotype" w:eastAsia="Palatino Linotype" w:hAnsi="Palatino Linotype" w:cs="Palatino Linotype"/>
          <w:b/>
        </w:rPr>
        <w:t>Recurrente</w:t>
      </w:r>
      <w:r w:rsidRPr="00ED6CDB">
        <w:rPr>
          <w:rFonts w:ascii="Palatino Linotype" w:eastAsia="Palatino Linotype" w:hAnsi="Palatino Linotype" w:cs="Palatino Linotype"/>
        </w:rPr>
        <w:t xml:space="preserve"> requirió al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lo siguiente: </w:t>
      </w:r>
    </w:p>
    <w:p w14:paraId="5D791EE8" w14:textId="77777777" w:rsidR="004F572A" w:rsidRPr="00ED6CDB" w:rsidRDefault="004F572A" w:rsidP="00392991">
      <w:pPr>
        <w:spacing w:after="0" w:line="360" w:lineRule="auto"/>
        <w:ind w:right="51"/>
        <w:jc w:val="both"/>
        <w:rPr>
          <w:rFonts w:ascii="Palatino Linotype" w:eastAsia="Palatino Linotype" w:hAnsi="Palatino Linotype" w:cs="Palatino Linotype"/>
        </w:rPr>
      </w:pPr>
    </w:p>
    <w:p w14:paraId="186C8A5F" w14:textId="2389B4E5" w:rsidR="001501D5" w:rsidRPr="00ED6CDB" w:rsidRDefault="001501D5" w:rsidP="00392991">
      <w:pPr>
        <w:pStyle w:val="Prrafodelista"/>
        <w:numPr>
          <w:ilvl w:val="0"/>
          <w:numId w:val="17"/>
        </w:numPr>
        <w:spacing w:after="0" w:line="360" w:lineRule="auto"/>
        <w:ind w:right="51"/>
        <w:jc w:val="both"/>
        <w:rPr>
          <w:rFonts w:ascii="Palatino Linotype" w:eastAsia="Palatino Linotype" w:hAnsi="Palatino Linotype" w:cs="Palatino Linotype"/>
          <w:b/>
          <w:bCs/>
        </w:rPr>
      </w:pPr>
      <w:r w:rsidRPr="00ED6CDB">
        <w:rPr>
          <w:rFonts w:ascii="Palatino Linotype" w:eastAsia="Palatino Linotype" w:hAnsi="Palatino Linotype" w:cs="Palatino Linotype"/>
          <w:b/>
          <w:bCs/>
        </w:rPr>
        <w:t>Nómina pagada al personal adscrito a la Dirección de Seguridad Pública</w:t>
      </w:r>
      <w:r w:rsidR="00A73CBE" w:rsidRPr="00ED6CDB">
        <w:rPr>
          <w:rFonts w:ascii="Palatino Linotype" w:eastAsia="Palatino Linotype" w:hAnsi="Palatino Linotype" w:cs="Palatino Linotype"/>
          <w:b/>
          <w:bCs/>
        </w:rPr>
        <w:t xml:space="preserve">, </w:t>
      </w:r>
      <w:r w:rsidRPr="00ED6CDB">
        <w:rPr>
          <w:rFonts w:ascii="Palatino Linotype" w:eastAsia="Palatino Linotype" w:hAnsi="Palatino Linotype" w:cs="Palatino Linotype"/>
          <w:b/>
          <w:bCs/>
        </w:rPr>
        <w:t>durante los ejercicios</w:t>
      </w:r>
      <w:r w:rsidR="00E8447E" w:rsidRPr="00ED6CDB">
        <w:rPr>
          <w:rFonts w:ascii="Palatino Linotype" w:eastAsia="Palatino Linotype" w:hAnsi="Palatino Linotype" w:cs="Palatino Linotype"/>
          <w:b/>
          <w:bCs/>
        </w:rPr>
        <w:t xml:space="preserve"> fiscales </w:t>
      </w:r>
      <w:r w:rsidRPr="00ED6CDB">
        <w:rPr>
          <w:rFonts w:ascii="Palatino Linotype" w:eastAsia="Palatino Linotype" w:hAnsi="Palatino Linotype" w:cs="Palatino Linotype"/>
          <w:b/>
          <w:bCs/>
        </w:rPr>
        <w:t>2025 y 2026, indicando monto total mensual erogado y número de trabajadores pagados.</w:t>
      </w:r>
    </w:p>
    <w:p w14:paraId="3D4A10F3" w14:textId="77777777" w:rsidR="004F572A" w:rsidRPr="00ED6CDB" w:rsidRDefault="004F572A" w:rsidP="00392991">
      <w:pPr>
        <w:spacing w:after="0" w:line="360" w:lineRule="auto"/>
        <w:ind w:right="51"/>
        <w:jc w:val="both"/>
        <w:rPr>
          <w:rFonts w:ascii="Palatino Linotype" w:eastAsia="Palatino Linotype" w:hAnsi="Palatino Linotype" w:cs="Palatino Linotype"/>
        </w:rPr>
      </w:pPr>
    </w:p>
    <w:p w14:paraId="1267F690" w14:textId="7B9FDD8D" w:rsidR="00896B42" w:rsidRPr="00ED6CDB" w:rsidRDefault="00A73CBE" w:rsidP="00392991">
      <w:pPr>
        <w:spacing w:after="0" w:line="360" w:lineRule="auto"/>
        <w:ind w:right="51"/>
        <w:jc w:val="both"/>
        <w:rPr>
          <w:rFonts w:ascii="Palatino Linotype" w:eastAsia="Palatino Linotype" w:hAnsi="Palatino Linotype" w:cs="Palatino Linotype"/>
        </w:rPr>
      </w:pPr>
      <w:r w:rsidRPr="00ED6CDB">
        <w:rPr>
          <w:rFonts w:ascii="Palatino Linotype" w:eastAsia="Palatino Linotype" w:hAnsi="Palatino Linotype" w:cs="Palatino Linotype"/>
        </w:rPr>
        <w:t>Acotado lo anterior es pertinente destacar que la fecha de la presentación de la solicitud es el veintiséis de enero de dos mil veintiséis, por lo que la temporalidad quedara acotada de la primera quincena de enero dos mil veinticinco a la primera quincena de enero de dos mil veintiséis</w:t>
      </w:r>
      <w:r w:rsidR="003F4CFA" w:rsidRPr="00ED6CDB">
        <w:rPr>
          <w:rFonts w:ascii="Palatino Linotype" w:eastAsia="Palatino Linotype" w:hAnsi="Palatino Linotype" w:cs="Palatino Linotype"/>
        </w:rPr>
        <w:t xml:space="preserve">. </w:t>
      </w:r>
    </w:p>
    <w:p w14:paraId="396AA45E" w14:textId="77777777" w:rsidR="003F4CFA" w:rsidRPr="00ED6CDB" w:rsidRDefault="003F4CFA" w:rsidP="00392991">
      <w:pPr>
        <w:spacing w:after="0" w:line="360" w:lineRule="auto"/>
        <w:ind w:right="49"/>
        <w:jc w:val="both"/>
        <w:rPr>
          <w:rFonts w:ascii="Palatino Linotype" w:eastAsia="Palatino Linotype" w:hAnsi="Palatino Linotype" w:cs="Palatino Linotype"/>
        </w:rPr>
      </w:pPr>
    </w:p>
    <w:p w14:paraId="4A29A823" w14:textId="77777777" w:rsidR="000B1DC3" w:rsidRPr="00ED6CDB" w:rsidRDefault="000B1DC3"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Como se mencionó en los antecedentes de la presente resolución, 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no emitió respuesta a la solicitud, situación que motivó la interposición del recurso de revisión que nos ocupa, donde la persona solicitante alegó que no se entregó la información.</w:t>
      </w:r>
    </w:p>
    <w:p w14:paraId="3B241876" w14:textId="77777777" w:rsidR="000B1DC3" w:rsidRPr="00ED6CDB" w:rsidRDefault="000B1DC3"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BCD9525" w14:textId="17FD91A2" w:rsidR="00FA1F78" w:rsidRPr="00ED6CDB" w:rsidRDefault="000B1DC3" w:rsidP="0039299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Ahora bien, con la finalidad de subsanar la omisión en que incurriera, en la etapa de manifestaciones, 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a través de la Dirección de Administración y Finanzas informó que </w:t>
      </w:r>
      <w:r w:rsidR="00BD5DBD" w:rsidRPr="00ED6CDB">
        <w:rPr>
          <w:rFonts w:ascii="Palatino Linotype" w:eastAsia="Palatino Linotype" w:hAnsi="Palatino Linotype" w:cs="Palatino Linotype"/>
        </w:rPr>
        <w:t>no es posible otorgar la nómina del personal de la Dirección de Seguridad Pública por estar clasificado como información reservada, al comprometer la seguridad pública y la integridad de los servidores públicos</w:t>
      </w:r>
      <w:r w:rsidR="00161451" w:rsidRPr="00ED6CDB">
        <w:rPr>
          <w:rFonts w:ascii="Palatino Linotype" w:eastAsia="Palatino Linotype" w:hAnsi="Palatino Linotype" w:cs="Palatino Linotype"/>
        </w:rPr>
        <w:t>,</w:t>
      </w:r>
      <w:r w:rsidR="0000514C" w:rsidRPr="00ED6CDB">
        <w:t xml:space="preserve"> </w:t>
      </w:r>
      <w:r w:rsidR="0000514C" w:rsidRPr="00ED6CDB">
        <w:rPr>
          <w:rFonts w:ascii="Palatino Linotype" w:eastAsia="Palatino Linotype" w:hAnsi="Palatino Linotype" w:cs="Palatino Linotype"/>
        </w:rPr>
        <w:t>sin que se adjuntara el Acta del Comité de Transparencias que fundara y motivara la clasificación señalada.</w:t>
      </w:r>
      <w:r w:rsidR="00BD5DBD" w:rsidRPr="00ED6CDB">
        <w:rPr>
          <w:rFonts w:ascii="Palatino Linotype" w:eastAsia="Palatino Linotype" w:hAnsi="Palatino Linotype" w:cs="Palatino Linotype"/>
        </w:rPr>
        <w:t xml:space="preserve"> Mientras que l</w:t>
      </w:r>
      <w:r w:rsidR="00FA1F78" w:rsidRPr="00ED6CDB">
        <w:rPr>
          <w:rFonts w:ascii="Palatino Linotype" w:eastAsia="Palatino Linotype" w:hAnsi="Palatino Linotype" w:cs="Palatino Linotype"/>
        </w:rPr>
        <w:t xml:space="preserve">a parte </w:t>
      </w:r>
      <w:r w:rsidR="00FA1F78" w:rsidRPr="00ED6CDB">
        <w:rPr>
          <w:rFonts w:ascii="Palatino Linotype" w:eastAsia="Palatino Linotype" w:hAnsi="Palatino Linotype" w:cs="Palatino Linotype"/>
          <w:b/>
          <w:bCs/>
        </w:rPr>
        <w:t>Recurrente</w:t>
      </w:r>
      <w:r w:rsidR="00FA1F78" w:rsidRPr="00ED6CDB">
        <w:rPr>
          <w:rFonts w:ascii="Palatino Linotype" w:eastAsia="Palatino Linotype" w:hAnsi="Palatino Linotype" w:cs="Palatino Linotype"/>
        </w:rPr>
        <w:t xml:space="preserve"> fue omisa en rendir manifestaciones </w:t>
      </w:r>
    </w:p>
    <w:p w14:paraId="38DF78CB" w14:textId="77777777" w:rsidR="00BA3C28" w:rsidRPr="00ED6CDB" w:rsidRDefault="00BA3C28" w:rsidP="00392991">
      <w:pPr>
        <w:spacing w:after="0" w:line="360" w:lineRule="auto"/>
        <w:jc w:val="both"/>
        <w:rPr>
          <w:rFonts w:ascii="Palatino Linotype" w:eastAsia="Palatino Linotype" w:hAnsi="Palatino Linotype" w:cs="Palatino Linotype"/>
        </w:rPr>
      </w:pPr>
    </w:p>
    <w:p w14:paraId="353EA813" w14:textId="4C20EE65" w:rsidR="004639EE" w:rsidRPr="00ED6CDB" w:rsidRDefault="00D7459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 xml:space="preserve">Dicho lo anterior, </w:t>
      </w:r>
      <w:r w:rsidR="00E72281" w:rsidRPr="00ED6CDB">
        <w:rPr>
          <w:rFonts w:ascii="Palatino Linotype" w:eastAsia="Palatino Linotype" w:hAnsi="Palatino Linotype" w:cs="Palatino Linotype"/>
        </w:rPr>
        <w:t xml:space="preserve">se procede a contextualizar la información solicitada, </w:t>
      </w:r>
      <w:r w:rsidR="00D02477" w:rsidRPr="00ED6CDB">
        <w:rPr>
          <w:rFonts w:ascii="Palatino Linotype" w:eastAsia="Palatino Linotype" w:hAnsi="Palatino Linotype" w:cs="Palatino Linotype"/>
        </w:rPr>
        <w:t>la cual</w:t>
      </w:r>
      <w:r w:rsidR="00E72281" w:rsidRPr="00ED6CDB">
        <w:rPr>
          <w:rFonts w:ascii="Palatino Linotype" w:eastAsia="Palatino Linotype" w:hAnsi="Palatino Linotype" w:cs="Palatino Linotype"/>
        </w:rPr>
        <w:t xml:space="preserve"> se relaciona con el </w:t>
      </w:r>
      <w:r w:rsidR="00E72281" w:rsidRPr="00ED6CDB">
        <w:rPr>
          <w:rFonts w:ascii="Palatino Linotype" w:eastAsia="Palatino Linotype" w:hAnsi="Palatino Linotype" w:cs="Palatino Linotype"/>
          <w:bCs/>
        </w:rPr>
        <w:t>pago de servidores públicos</w:t>
      </w:r>
      <w:r w:rsidR="00E72281" w:rsidRPr="00ED6CDB">
        <w:rPr>
          <w:rFonts w:ascii="Palatino Linotype" w:eastAsia="Palatino Linotype" w:hAnsi="Palatino Linotype" w:cs="Palatino Linotype"/>
        </w:rPr>
        <w:t xml:space="preserve">; </w:t>
      </w:r>
      <w:r w:rsidR="005F0699" w:rsidRPr="00ED6CDB">
        <w:rPr>
          <w:rFonts w:ascii="Palatino Linotype" w:eastAsia="Palatino Linotype" w:hAnsi="Palatino Linotype" w:cs="Palatino Linotype"/>
        </w:rPr>
        <w:t xml:space="preserve">para ello, </w:t>
      </w:r>
      <w:r w:rsidR="00E72281" w:rsidRPr="00ED6CDB">
        <w:rPr>
          <w:rFonts w:ascii="Palatino Linotype" w:eastAsia="Palatino Linotype" w:hAnsi="Palatino Linotype" w:cs="Palatino Linotype"/>
        </w:rPr>
        <w:t xml:space="preserve">el Glosario localizado en la página de Transparencia Presupuestaria de la Secretaría de Hacienda y Crédito Público (consultado en </w:t>
      </w:r>
      <w:hyperlink r:id="rId8">
        <w:r w:rsidR="00E72281" w:rsidRPr="00ED6CDB">
          <w:rPr>
            <w:rFonts w:ascii="Palatino Linotype" w:eastAsia="Palatino Linotype" w:hAnsi="Palatino Linotype" w:cs="Palatino Linotype"/>
            <w:u w:val="single"/>
          </w:rPr>
          <w:t>https://www.transparenciapresupuestaria.gob.mx/es/PTP/Glosario</w:t>
        </w:r>
      </w:hyperlink>
      <w:r w:rsidR="00E72281" w:rsidRPr="00ED6CDB">
        <w:rPr>
          <w:rFonts w:ascii="Palatino Linotype" w:eastAsia="Palatino Linotype" w:hAnsi="Palatino Linotype" w:cs="Palatino Linotype"/>
        </w:rPr>
        <w:t>), establece que:</w:t>
      </w:r>
    </w:p>
    <w:p w14:paraId="3FC2B400" w14:textId="77777777" w:rsidR="004639EE" w:rsidRPr="00ED6CDB" w:rsidRDefault="004639EE" w:rsidP="00392991">
      <w:pPr>
        <w:tabs>
          <w:tab w:val="left" w:pos="3261"/>
        </w:tabs>
        <w:spacing w:after="0" w:line="360" w:lineRule="auto"/>
        <w:jc w:val="both"/>
        <w:rPr>
          <w:rFonts w:ascii="Palatino Linotype" w:eastAsia="Palatino Linotype" w:hAnsi="Palatino Linotype" w:cs="Palatino Linotype"/>
        </w:rPr>
      </w:pPr>
    </w:p>
    <w:p w14:paraId="2B802856" w14:textId="77777777" w:rsidR="004639EE" w:rsidRPr="00ED6CDB" w:rsidRDefault="00E72281" w:rsidP="00392991">
      <w:pPr>
        <w:spacing w:after="0" w:line="360" w:lineRule="auto"/>
        <w:jc w:val="center"/>
        <w:rPr>
          <w:rFonts w:ascii="Palatino Linotype" w:eastAsia="Palatino Linotype" w:hAnsi="Palatino Linotype" w:cs="Palatino Linotype"/>
        </w:rPr>
      </w:pPr>
      <w:r w:rsidRPr="00ED6CDB">
        <w:rPr>
          <w:rFonts w:ascii="Palatino Linotype" w:eastAsia="Palatino Linotype" w:hAnsi="Palatino Linotype" w:cs="Palatino Linotype"/>
          <w:noProof/>
        </w:rPr>
        <w:drawing>
          <wp:inline distT="0" distB="0" distL="0" distR="0" wp14:anchorId="2E7D13A8" wp14:editId="0F67D632">
            <wp:extent cx="4186953" cy="11974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6E9837E4" w14:textId="77777777" w:rsidR="004639EE" w:rsidRPr="00ED6CDB" w:rsidRDefault="004639EE" w:rsidP="00392991">
      <w:pPr>
        <w:spacing w:after="0" w:line="360" w:lineRule="auto"/>
        <w:jc w:val="both"/>
        <w:rPr>
          <w:rFonts w:ascii="Palatino Linotype" w:eastAsia="Palatino Linotype" w:hAnsi="Palatino Linotype" w:cs="Palatino Linotype"/>
        </w:rPr>
      </w:pPr>
    </w:p>
    <w:p w14:paraId="60A51F0F" w14:textId="2442C49B" w:rsidR="004639EE" w:rsidRPr="00ED6CDB" w:rsidRDefault="00E72281"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De la misma manera, el Glosario de términos más usuales en la Administración Pública Federal, emitido por la Secretaría</w:t>
      </w:r>
      <w:r w:rsidR="00031A69" w:rsidRPr="00ED6CDB">
        <w:rPr>
          <w:rFonts w:ascii="Palatino Linotype" w:eastAsia="Palatino Linotype" w:hAnsi="Palatino Linotype" w:cs="Palatino Linotype"/>
        </w:rPr>
        <w:t xml:space="preserve"> de Hacienda y Crédito Público</w:t>
      </w:r>
      <w:hyperlink r:id="rId10"/>
      <w:r w:rsidRPr="00ED6CDB">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39A57EC2" w14:textId="77777777" w:rsidR="004639EE" w:rsidRPr="00ED6CDB" w:rsidRDefault="004639EE" w:rsidP="00392991">
      <w:pPr>
        <w:spacing w:after="0" w:line="360" w:lineRule="auto"/>
        <w:jc w:val="both"/>
        <w:rPr>
          <w:rFonts w:ascii="Palatino Linotype" w:eastAsia="Palatino Linotype" w:hAnsi="Palatino Linotype" w:cs="Palatino Linotype"/>
        </w:rPr>
      </w:pPr>
    </w:p>
    <w:p w14:paraId="1CFC9911" w14:textId="77777777" w:rsidR="004639EE" w:rsidRPr="00ED6CDB" w:rsidRDefault="00E72281"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Conforme a lo anterior, se puede advertir que la nómina se puede referir a lo siguiente:</w:t>
      </w:r>
    </w:p>
    <w:p w14:paraId="2188EAAF" w14:textId="77777777" w:rsidR="004639EE" w:rsidRPr="00ED6CDB" w:rsidRDefault="00E72281"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 </w:t>
      </w:r>
    </w:p>
    <w:p w14:paraId="1C9FF652" w14:textId="77777777" w:rsidR="004639EE" w:rsidRPr="00ED6CDB" w:rsidRDefault="00E72281" w:rsidP="00392991">
      <w:pPr>
        <w:tabs>
          <w:tab w:val="left" w:pos="8222"/>
        </w:tabs>
        <w:spacing w:after="0"/>
        <w:ind w:left="567" w:right="709"/>
        <w:jc w:val="both"/>
        <w:rPr>
          <w:rFonts w:ascii="Palatino Linotype" w:eastAsia="Palatino Linotype" w:hAnsi="Palatino Linotype" w:cs="Palatino Linotype"/>
        </w:rPr>
      </w:pPr>
      <w:r w:rsidRPr="00ED6CDB">
        <w:rPr>
          <w:rFonts w:ascii="Palatino Linotype" w:eastAsia="Palatino Linotype" w:hAnsi="Palatino Linotype" w:cs="Palatino Linotype"/>
        </w:rPr>
        <w:t>a)      Relación de trabajadores con las percepciones monetarias de cada uno.</w:t>
      </w:r>
    </w:p>
    <w:p w14:paraId="3FB96ADA" w14:textId="77777777" w:rsidR="004639EE" w:rsidRPr="00ED6CDB" w:rsidRDefault="00E72281" w:rsidP="00392991">
      <w:pPr>
        <w:tabs>
          <w:tab w:val="left" w:pos="8222"/>
        </w:tabs>
        <w:spacing w:after="0"/>
        <w:ind w:left="567" w:right="709"/>
        <w:jc w:val="both"/>
        <w:rPr>
          <w:rFonts w:ascii="Palatino Linotype" w:eastAsia="Palatino Linotype" w:hAnsi="Palatino Linotype" w:cs="Palatino Linotype"/>
          <w:b/>
          <w:u w:val="single"/>
        </w:rPr>
      </w:pPr>
      <w:r w:rsidRPr="00ED6CDB">
        <w:rPr>
          <w:rFonts w:ascii="Palatino Linotype" w:eastAsia="Palatino Linotype" w:hAnsi="Palatino Linotype" w:cs="Palatino Linotype"/>
          <w:b/>
          <w:u w:val="single"/>
        </w:rPr>
        <w:t>b)      Recibo individual que contiene las prestaciones y deducciones de un trabajador.</w:t>
      </w:r>
    </w:p>
    <w:p w14:paraId="4744F67A" w14:textId="77777777" w:rsidR="004639EE" w:rsidRPr="00ED6CDB" w:rsidRDefault="00E72281" w:rsidP="00392991">
      <w:pPr>
        <w:tabs>
          <w:tab w:val="left" w:pos="8222"/>
        </w:tabs>
        <w:spacing w:after="0"/>
        <w:ind w:left="567" w:right="709"/>
        <w:jc w:val="both"/>
        <w:rPr>
          <w:rFonts w:ascii="Palatino Linotype" w:eastAsia="Palatino Linotype" w:hAnsi="Palatino Linotype" w:cs="Palatino Linotype"/>
        </w:rPr>
      </w:pPr>
      <w:r w:rsidRPr="00ED6CDB">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3BB07286" w14:textId="77777777" w:rsidR="004639EE" w:rsidRPr="00ED6CDB" w:rsidRDefault="004639EE" w:rsidP="00392991">
      <w:pPr>
        <w:spacing w:after="0" w:line="360" w:lineRule="auto"/>
        <w:jc w:val="both"/>
        <w:rPr>
          <w:rFonts w:ascii="Palatino Linotype" w:eastAsia="Palatino Linotype" w:hAnsi="Palatino Linotype" w:cs="Palatino Linotype"/>
        </w:rPr>
      </w:pPr>
    </w:p>
    <w:p w14:paraId="7B264E1A" w14:textId="77777777" w:rsidR="004639EE"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w:t>
      </w:r>
      <w:r w:rsidRPr="00ED6CDB">
        <w:rPr>
          <w:rFonts w:ascii="Palatino Linotype" w:eastAsia="Palatino Linotype" w:hAnsi="Palatino Linotype" w:cs="Palatino Linotype"/>
        </w:rPr>
        <w:lastRenderedPageBreak/>
        <w:t xml:space="preserve">su empleo, cargo o comisión que será determinada en el presupuesto de egresos que corresponda. </w:t>
      </w:r>
    </w:p>
    <w:p w14:paraId="078F29F8" w14:textId="77777777" w:rsidR="004639EE" w:rsidRPr="00ED6CDB" w:rsidRDefault="004639EE" w:rsidP="00392991">
      <w:pPr>
        <w:spacing w:after="0" w:line="360" w:lineRule="auto"/>
        <w:ind w:right="49"/>
        <w:jc w:val="both"/>
        <w:rPr>
          <w:rFonts w:ascii="Palatino Linotype" w:eastAsia="Palatino Linotype" w:hAnsi="Palatino Linotype" w:cs="Palatino Linotype"/>
        </w:rPr>
      </w:pPr>
    </w:p>
    <w:p w14:paraId="1A49BF93" w14:textId="77777777" w:rsidR="004639EE"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A4731E3" w14:textId="77777777" w:rsidR="004639EE" w:rsidRPr="00ED6CDB" w:rsidRDefault="004639EE" w:rsidP="00392991">
      <w:pPr>
        <w:spacing w:after="0" w:line="360" w:lineRule="auto"/>
        <w:ind w:right="49"/>
        <w:jc w:val="both"/>
        <w:rPr>
          <w:rFonts w:ascii="Palatino Linotype" w:eastAsia="Palatino Linotype" w:hAnsi="Palatino Linotype" w:cs="Palatino Linotype"/>
        </w:rPr>
      </w:pPr>
    </w:p>
    <w:p w14:paraId="38518FE2" w14:textId="44726F80" w:rsidR="004639EE" w:rsidRPr="00ED6CDB" w:rsidRDefault="00E72281"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w:t>
      </w:r>
      <w:r w:rsidR="00D7459F" w:rsidRPr="00ED6CDB">
        <w:rPr>
          <w:rFonts w:ascii="Palatino Linotype" w:eastAsia="Palatino Linotype" w:hAnsi="Palatino Linotype" w:cs="Palatino Linotype"/>
        </w:rPr>
        <w:t>e</w:t>
      </w:r>
      <w:r w:rsidRPr="00ED6CDB">
        <w:rPr>
          <w:rFonts w:ascii="Palatino Linotype" w:eastAsia="Palatino Linotype" w:hAnsi="Palatino Linotype" w:cs="Palatino Linotype"/>
        </w:rPr>
        <w:t xml:space="preserve">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2C099058" w14:textId="77777777" w:rsidR="004639EE" w:rsidRPr="00ED6CDB" w:rsidRDefault="004639EE" w:rsidP="00392991">
      <w:pPr>
        <w:spacing w:after="0" w:line="360" w:lineRule="auto"/>
        <w:ind w:right="843"/>
        <w:jc w:val="both"/>
        <w:rPr>
          <w:rFonts w:ascii="Palatino Linotype" w:eastAsia="Palatino Linotype" w:hAnsi="Palatino Linotype" w:cs="Palatino Linotype"/>
          <w:i/>
        </w:rPr>
      </w:pPr>
    </w:p>
    <w:p w14:paraId="05F33F23" w14:textId="77777777" w:rsidR="004639EE" w:rsidRPr="00ED6CDB" w:rsidRDefault="00E72281"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5FC9D9E9" w14:textId="77777777" w:rsidR="004639EE" w:rsidRPr="00ED6CDB" w:rsidRDefault="004639EE" w:rsidP="00392991">
      <w:pPr>
        <w:spacing w:after="0" w:line="360" w:lineRule="auto"/>
        <w:jc w:val="both"/>
        <w:rPr>
          <w:rFonts w:ascii="Palatino Linotype" w:eastAsia="Palatino Linotype" w:hAnsi="Palatino Linotype" w:cs="Palatino Linotype"/>
        </w:rPr>
      </w:pPr>
    </w:p>
    <w:p w14:paraId="5DB9A253" w14:textId="28C4CB47" w:rsidR="004639EE" w:rsidRPr="00ED6CDB" w:rsidRDefault="00031A69" w:rsidP="00031A69">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00E72281" w:rsidRPr="00ED6CDB">
        <w:rPr>
          <w:rFonts w:ascii="Palatino Linotype" w:eastAsia="Palatino Linotype" w:hAnsi="Palatino Linotype" w:cs="Palatino Linotype"/>
          <w:b/>
          <w:i/>
        </w:rPr>
        <w:t>ARTÍCULO 220 K</w:t>
      </w:r>
      <w:r w:rsidR="00E72281" w:rsidRPr="00ED6CDB">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35952C76" w14:textId="77777777" w:rsidR="004639EE" w:rsidRPr="00ED6CDB" w:rsidRDefault="00E72281" w:rsidP="00031A69">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36D76A55" w14:textId="77777777" w:rsidR="004639EE" w:rsidRPr="00ED6CDB" w:rsidRDefault="00E72281" w:rsidP="00031A69">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011712F4" w14:textId="77777777" w:rsidR="004639EE" w:rsidRPr="00ED6CDB" w:rsidRDefault="00E72281" w:rsidP="00031A69">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6D3EC679" w14:textId="0C94B3F0" w:rsidR="004639EE" w:rsidRPr="00ED6CDB" w:rsidRDefault="00E72281" w:rsidP="00031A69">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IV. Recibos o las constancias de deposito o del medio de información magnética o electrónica que sean utilizadas para el pago de salarios, prima vacacional, aguinaldo y demás prestaciones establecidas en la presente ley; </w:t>
      </w:r>
      <w:r w:rsidR="00031A69" w:rsidRPr="00ED6CDB">
        <w:rPr>
          <w:rFonts w:ascii="Palatino Linotype" w:eastAsia="Palatino Linotype" w:hAnsi="Palatino Linotype" w:cs="Palatino Linotype"/>
          <w:i/>
        </w:rPr>
        <w:t>…”</w:t>
      </w:r>
    </w:p>
    <w:p w14:paraId="3FC7B004" w14:textId="1F7AE3AF" w:rsidR="00031A69" w:rsidRPr="00ED6CDB" w:rsidRDefault="00031A69" w:rsidP="00031A69">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(Énfasis Añadido)</w:t>
      </w:r>
    </w:p>
    <w:p w14:paraId="1C50F3C4" w14:textId="77777777" w:rsidR="00D02477" w:rsidRPr="00ED6CDB" w:rsidRDefault="00D02477" w:rsidP="00392991">
      <w:pPr>
        <w:spacing w:after="0" w:line="360" w:lineRule="auto"/>
        <w:jc w:val="both"/>
        <w:rPr>
          <w:rFonts w:ascii="Palatino Linotype" w:eastAsia="Palatino Linotype" w:hAnsi="Palatino Linotype" w:cs="Palatino Linotype"/>
        </w:rPr>
      </w:pPr>
    </w:p>
    <w:p w14:paraId="68A4631E" w14:textId="77777777" w:rsidR="004639EE" w:rsidRPr="00ED6CDB" w:rsidRDefault="00E72281"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 xml:space="preserve">Es decir, del precepto normativo se advierte que entre los documentos que tiene la obligación de conservar 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400C9D8C" w14:textId="77777777" w:rsidR="00D7459F" w:rsidRPr="00ED6CDB" w:rsidRDefault="00D7459F" w:rsidP="00392991">
      <w:pPr>
        <w:spacing w:after="0" w:line="360" w:lineRule="auto"/>
        <w:jc w:val="both"/>
        <w:rPr>
          <w:rFonts w:ascii="Palatino Linotype" w:eastAsia="Palatino Linotype" w:hAnsi="Palatino Linotype" w:cs="Palatino Linotype"/>
        </w:rPr>
      </w:pPr>
    </w:p>
    <w:p w14:paraId="10CEDA8E" w14:textId="26740DA1" w:rsidR="00D7459F" w:rsidRPr="00ED6CDB" w:rsidRDefault="00D7459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Por otro lado, es de mencionar que el </w:t>
      </w:r>
      <w:r w:rsidRPr="00ED6CDB">
        <w:rPr>
          <w:rFonts w:ascii="Palatino Linotype" w:eastAsia="Palatino Linotype" w:hAnsi="Palatino Linotype" w:cs="Palatino Linotype"/>
          <w:b/>
        </w:rPr>
        <w:t xml:space="preserve">Sujeto Obligado </w:t>
      </w:r>
      <w:r w:rsidRPr="00ED6CDB">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ED6CDB">
        <w:rPr>
          <w:rFonts w:ascii="Palatino Linotype" w:eastAsia="Palatino Linotype" w:hAnsi="Palatino Linotype" w:cs="Palatino Linotype"/>
          <w:i/>
        </w:rPr>
        <w:t>conciliación de nómina</w:t>
      </w:r>
      <w:r w:rsidRPr="00ED6CDB">
        <w:rPr>
          <w:rFonts w:ascii="Palatino Linotype" w:eastAsia="Palatino Linotype" w:hAnsi="Palatino Linotype" w:cs="Palatino Linotype"/>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r w:rsidR="00031A69" w:rsidRPr="00ED6CDB">
        <w:rPr>
          <w:rFonts w:ascii="Palatino Linotype" w:eastAsia="Palatino Linotype" w:hAnsi="Palatino Linotype" w:cs="Palatino Linotype"/>
        </w:rPr>
        <w:t xml:space="preserve">. </w:t>
      </w:r>
    </w:p>
    <w:p w14:paraId="4D3B9CD9" w14:textId="77777777" w:rsidR="00031A69" w:rsidRPr="00ED6CDB" w:rsidRDefault="00031A69" w:rsidP="00392991">
      <w:pPr>
        <w:spacing w:after="0" w:line="360" w:lineRule="auto"/>
        <w:jc w:val="both"/>
        <w:rPr>
          <w:rFonts w:ascii="Palatino Linotype" w:eastAsia="Palatino Linotype" w:hAnsi="Palatino Linotype" w:cs="Palatino Linotype"/>
        </w:rPr>
      </w:pPr>
    </w:p>
    <w:p w14:paraId="6AA344A9" w14:textId="517BE831" w:rsidR="00D7459F" w:rsidRPr="00ED6CDB" w:rsidRDefault="00D7459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De conformidad con los Lineamientos del ejercicio 2025, la información que generan los entes fiscalizables de carácter municipal con motivo de la nómina se encuentra en el Módulo 4 Información Administrativa, Submódulo Nómina (Plataforma Digital), como se muestra a continuación:</w:t>
      </w:r>
    </w:p>
    <w:p w14:paraId="3852589E" w14:textId="1144A783" w:rsidR="00031A69" w:rsidRPr="00ED6CDB" w:rsidRDefault="00031A69" w:rsidP="00031A69">
      <w:pPr>
        <w:spacing w:after="0" w:line="360" w:lineRule="auto"/>
        <w:jc w:val="center"/>
        <w:rPr>
          <w:rFonts w:ascii="Palatino Linotype" w:eastAsia="Palatino Linotype" w:hAnsi="Palatino Linotype" w:cs="Palatino Linotype"/>
        </w:rPr>
      </w:pPr>
      <w:r w:rsidRPr="00ED6CDB">
        <w:rPr>
          <w:rFonts w:ascii="Palatino Linotype" w:eastAsia="Palatino Linotype" w:hAnsi="Palatino Linotype" w:cs="Palatino Linotype"/>
          <w:noProof/>
        </w:rPr>
        <w:drawing>
          <wp:inline distT="0" distB="0" distL="0" distR="0" wp14:anchorId="11DB13A0" wp14:editId="55A896F6">
            <wp:extent cx="4408811" cy="2162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48887" cy="2181829"/>
                    </a:xfrm>
                    <a:prstGeom prst="rect">
                      <a:avLst/>
                    </a:prstGeom>
                  </pic:spPr>
                </pic:pic>
              </a:graphicData>
            </a:graphic>
          </wp:inline>
        </w:drawing>
      </w:r>
    </w:p>
    <w:p w14:paraId="148E07C0" w14:textId="77777777" w:rsidR="00D7459F" w:rsidRPr="00ED6CDB" w:rsidRDefault="00D7459F" w:rsidP="00392991">
      <w:pPr>
        <w:spacing w:after="0" w:line="360" w:lineRule="auto"/>
        <w:jc w:val="center"/>
        <w:rPr>
          <w:rFonts w:ascii="Palatino Linotype" w:eastAsia="Palatino Linotype" w:hAnsi="Palatino Linotype" w:cs="Palatino Linotype"/>
        </w:rPr>
      </w:pPr>
      <w:r w:rsidRPr="00ED6CDB">
        <w:rPr>
          <w:rFonts w:ascii="Palatino Linotype" w:eastAsia="Palatino Linotype" w:hAnsi="Palatino Linotype" w:cs="Palatino Linotype"/>
        </w:rPr>
        <w:lastRenderedPageBreak/>
        <w:t xml:space="preserve"> </w:t>
      </w:r>
      <w:r w:rsidRPr="00ED6CDB">
        <w:rPr>
          <w:rFonts w:ascii="Palatino Linotype" w:eastAsia="Palatino Linotype" w:hAnsi="Palatino Linotype" w:cs="Palatino Linotype"/>
          <w:noProof/>
        </w:rPr>
        <w:drawing>
          <wp:inline distT="0" distB="0" distL="0" distR="0" wp14:anchorId="0DB16F3F" wp14:editId="555AA2C7">
            <wp:extent cx="5095240" cy="2514600"/>
            <wp:effectExtent l="0" t="0" r="0" b="0"/>
            <wp:docPr id="21401318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2"/>
                    <a:srcRect t="58997"/>
                    <a:stretch/>
                  </pic:blipFill>
                  <pic:spPr bwMode="auto">
                    <a:xfrm>
                      <a:off x="0" y="0"/>
                      <a:ext cx="5113797" cy="2523758"/>
                    </a:xfrm>
                    <a:prstGeom prst="rect">
                      <a:avLst/>
                    </a:prstGeom>
                    <a:ln>
                      <a:noFill/>
                    </a:ln>
                    <a:extLst>
                      <a:ext uri="{53640926-AAD7-44D8-BBD7-CCE9431645EC}">
                        <a14:shadowObscured xmlns:a14="http://schemas.microsoft.com/office/drawing/2010/main"/>
                      </a:ext>
                    </a:extLst>
                  </pic:spPr>
                </pic:pic>
              </a:graphicData>
            </a:graphic>
          </wp:inline>
        </w:drawing>
      </w:r>
    </w:p>
    <w:p w14:paraId="1CEDFAC6" w14:textId="77777777" w:rsidR="00031A69" w:rsidRPr="00ED6CDB" w:rsidRDefault="00031A69" w:rsidP="00392991">
      <w:pPr>
        <w:spacing w:after="0" w:line="360" w:lineRule="auto"/>
        <w:jc w:val="center"/>
        <w:rPr>
          <w:rFonts w:ascii="Palatino Linotype" w:eastAsia="Palatino Linotype" w:hAnsi="Palatino Linotype" w:cs="Palatino Linotype"/>
        </w:rPr>
      </w:pPr>
    </w:p>
    <w:p w14:paraId="27CC09FF" w14:textId="1123933F" w:rsidR="00D7459F" w:rsidRPr="00ED6CDB" w:rsidRDefault="00D7459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59A84CC8" w14:textId="77777777" w:rsidR="00D7459F" w:rsidRPr="00ED6CDB" w:rsidRDefault="00D7459F"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Y, debe presentarse a través de los formatos XLSX y TXT, siendo el primero el siguiente:</w:t>
      </w:r>
    </w:p>
    <w:p w14:paraId="289689FF" w14:textId="77777777" w:rsidR="00D7459F" w:rsidRPr="00ED6CDB" w:rsidRDefault="00D7459F" w:rsidP="00392991">
      <w:pPr>
        <w:spacing w:after="0"/>
        <w:ind w:right="51"/>
        <w:jc w:val="center"/>
        <w:rPr>
          <w:rFonts w:ascii="Palatino Linotype" w:eastAsia="Palatino Linotype" w:hAnsi="Palatino Linotype" w:cs="Palatino Linotype"/>
        </w:rPr>
      </w:pPr>
      <w:r w:rsidRPr="00ED6CDB">
        <w:rPr>
          <w:rFonts w:ascii="Palatino Linotype" w:eastAsia="Palatino Linotype" w:hAnsi="Palatino Linotype" w:cs="Palatino Linotype"/>
          <w:noProof/>
        </w:rPr>
        <w:lastRenderedPageBreak/>
        <w:drawing>
          <wp:inline distT="0" distB="0" distL="0" distR="0" wp14:anchorId="4C59559A" wp14:editId="2E43AFD3">
            <wp:extent cx="5010150" cy="6829425"/>
            <wp:effectExtent l="0" t="0" r="0" b="9525"/>
            <wp:docPr id="21401318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t="-1" b="-191"/>
                    <a:stretch>
                      <a:fillRect/>
                    </a:stretch>
                  </pic:blipFill>
                  <pic:spPr>
                    <a:xfrm>
                      <a:off x="0" y="0"/>
                      <a:ext cx="5010391" cy="6829754"/>
                    </a:xfrm>
                    <a:prstGeom prst="rect">
                      <a:avLst/>
                    </a:prstGeom>
                    <a:ln/>
                  </pic:spPr>
                </pic:pic>
              </a:graphicData>
            </a:graphic>
          </wp:inline>
        </w:drawing>
      </w:r>
    </w:p>
    <w:p w14:paraId="3238C059" w14:textId="77777777" w:rsidR="00D7459F" w:rsidRPr="00ED6CDB" w:rsidRDefault="00D7459F" w:rsidP="00392991">
      <w:pPr>
        <w:spacing w:after="0"/>
        <w:ind w:right="51"/>
        <w:jc w:val="center"/>
        <w:rPr>
          <w:rFonts w:ascii="Palatino Linotype" w:eastAsia="Palatino Linotype" w:hAnsi="Palatino Linotype" w:cs="Palatino Linotype"/>
        </w:rPr>
      </w:pPr>
    </w:p>
    <w:p w14:paraId="4637DF76" w14:textId="77777777" w:rsidR="00D7459F" w:rsidRPr="00ED6CDB" w:rsidRDefault="00D7459F"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Además, para el llenado de dicho formato se deben observar las siguientes consideraciones:</w:t>
      </w:r>
    </w:p>
    <w:p w14:paraId="6884967E" w14:textId="0B074D77" w:rsidR="00D7459F" w:rsidRPr="00ED6CDB" w:rsidRDefault="00674D07" w:rsidP="00392991">
      <w:pPr>
        <w:spacing w:after="0" w:line="360" w:lineRule="auto"/>
        <w:ind w:right="49"/>
        <w:jc w:val="center"/>
        <w:rPr>
          <w:rFonts w:ascii="Palatino Linotype" w:eastAsia="Palatino Linotype" w:hAnsi="Palatino Linotype" w:cs="Palatino Linotype"/>
        </w:rPr>
      </w:pPr>
      <w:r w:rsidRPr="00ED6CDB">
        <w:rPr>
          <w:rFonts w:ascii="Palatino Linotype" w:eastAsia="Palatino Linotype" w:hAnsi="Palatino Linotype" w:cs="Palatino Linotype"/>
          <w:noProof/>
        </w:rPr>
        <w:lastRenderedPageBreak/>
        <mc:AlternateContent>
          <mc:Choice Requires="wps">
            <w:drawing>
              <wp:anchor distT="0" distB="0" distL="114300" distR="114300" simplePos="0" relativeHeight="251666432" behindDoc="0" locked="0" layoutInCell="1" allowOverlap="1" wp14:anchorId="23076A62" wp14:editId="605A5AA7">
                <wp:simplePos x="0" y="0"/>
                <wp:positionH relativeFrom="column">
                  <wp:posOffset>501015</wp:posOffset>
                </wp:positionH>
                <wp:positionV relativeFrom="paragraph">
                  <wp:posOffset>2848609</wp:posOffset>
                </wp:positionV>
                <wp:extent cx="4642485" cy="371475"/>
                <wp:effectExtent l="0" t="0" r="24765" b="28575"/>
                <wp:wrapNone/>
                <wp:docPr id="1410389318" name="Rectángulo 2"/>
                <wp:cNvGraphicFramePr/>
                <a:graphic xmlns:a="http://schemas.openxmlformats.org/drawingml/2006/main">
                  <a:graphicData uri="http://schemas.microsoft.com/office/word/2010/wordprocessingShape">
                    <wps:wsp>
                      <wps:cNvSpPr/>
                      <wps:spPr>
                        <a:xfrm>
                          <a:off x="0" y="0"/>
                          <a:ext cx="4642485" cy="37147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853CF" id="Rectángulo 2" o:spid="_x0000_s1026" style="position:absolute;margin-left:39.45pt;margin-top:224.3pt;width:365.55pt;height: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" filled="f" strokecolor="#e00" strokeweight="1.5pt"/>
            </w:pict>
          </mc:Fallback>
        </mc:AlternateContent>
      </w:r>
      <w:r w:rsidRPr="00ED6CDB">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238C9E83" wp14:editId="6B24DF82">
                <wp:simplePos x="0" y="0"/>
                <wp:positionH relativeFrom="column">
                  <wp:posOffset>502285</wp:posOffset>
                </wp:positionH>
                <wp:positionV relativeFrom="paragraph">
                  <wp:posOffset>635</wp:posOffset>
                </wp:positionV>
                <wp:extent cx="4642485" cy="247650"/>
                <wp:effectExtent l="0" t="0" r="24765" b="19050"/>
                <wp:wrapNone/>
                <wp:docPr id="628312854" name="Rectángulo 2"/>
                <wp:cNvGraphicFramePr/>
                <a:graphic xmlns:a="http://schemas.openxmlformats.org/drawingml/2006/main">
                  <a:graphicData uri="http://schemas.microsoft.com/office/word/2010/wordprocessingShape">
                    <wps:wsp>
                      <wps:cNvSpPr/>
                      <wps:spPr>
                        <a:xfrm>
                          <a:off x="0" y="0"/>
                          <a:ext cx="4642485" cy="2476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8AD07" id="Rectángulo 2" o:spid="_x0000_s1026" style="position:absolute;margin-left:39.55pt;margin-top:.05pt;width:365.5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" filled="f" strokecolor="#e00" strokeweight="1.5pt"/>
            </w:pict>
          </mc:Fallback>
        </mc:AlternateContent>
      </w:r>
      <w:r w:rsidRPr="00ED6CDB">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2877768A" wp14:editId="4B34F4CD">
                <wp:simplePos x="0" y="0"/>
                <wp:positionH relativeFrom="column">
                  <wp:posOffset>443865</wp:posOffset>
                </wp:positionH>
                <wp:positionV relativeFrom="paragraph">
                  <wp:posOffset>4953635</wp:posOffset>
                </wp:positionV>
                <wp:extent cx="4642485" cy="161925"/>
                <wp:effectExtent l="0" t="0" r="24765" b="28575"/>
                <wp:wrapNone/>
                <wp:docPr id="871234524" name="Rectángulo 2"/>
                <wp:cNvGraphicFramePr/>
                <a:graphic xmlns:a="http://schemas.openxmlformats.org/drawingml/2006/main">
                  <a:graphicData uri="http://schemas.microsoft.com/office/word/2010/wordprocessingShape">
                    <wps:wsp>
                      <wps:cNvSpPr/>
                      <wps:spPr>
                        <a:xfrm>
                          <a:off x="0" y="0"/>
                          <a:ext cx="4642485" cy="16192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137BAF" id="Rectángulo 2" o:spid="_x0000_s1026" style="position:absolute;margin-left:34.95pt;margin-top:390.05pt;width:365.55pt;height:1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" filled="f" strokecolor="#e00" strokeweight="1.5pt"/>
            </w:pict>
          </mc:Fallback>
        </mc:AlternateContent>
      </w:r>
      <w:r w:rsidRPr="00ED6CDB">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037BA189" wp14:editId="2E365CC0">
                <wp:simplePos x="0" y="0"/>
                <wp:positionH relativeFrom="column">
                  <wp:posOffset>501015</wp:posOffset>
                </wp:positionH>
                <wp:positionV relativeFrom="paragraph">
                  <wp:posOffset>3963035</wp:posOffset>
                </wp:positionV>
                <wp:extent cx="4642485" cy="247650"/>
                <wp:effectExtent l="0" t="0" r="24765" b="19050"/>
                <wp:wrapNone/>
                <wp:docPr id="177445815" name="Rectángulo 2"/>
                <wp:cNvGraphicFramePr/>
                <a:graphic xmlns:a="http://schemas.openxmlformats.org/drawingml/2006/main">
                  <a:graphicData uri="http://schemas.microsoft.com/office/word/2010/wordprocessingShape">
                    <wps:wsp>
                      <wps:cNvSpPr/>
                      <wps:spPr>
                        <a:xfrm>
                          <a:off x="0" y="0"/>
                          <a:ext cx="4642485" cy="2476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90F68" id="Rectángulo 2" o:spid="_x0000_s1026" style="position:absolute;margin-left:39.45pt;margin-top:312.05pt;width:365.5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" filled="f" strokecolor="#e00" strokeweight="1.5pt"/>
            </w:pict>
          </mc:Fallback>
        </mc:AlternateContent>
      </w:r>
      <w:r w:rsidR="00D7459F" w:rsidRPr="00ED6CDB">
        <w:rPr>
          <w:rFonts w:ascii="Palatino Linotype" w:eastAsia="Palatino Linotype" w:hAnsi="Palatino Linotype" w:cs="Palatino Linotype"/>
          <w:noProof/>
        </w:rPr>
        <w:drawing>
          <wp:inline distT="0" distB="0" distL="0" distR="0" wp14:anchorId="1EFFB309" wp14:editId="529FC51E">
            <wp:extent cx="4644000" cy="1276864"/>
            <wp:effectExtent l="0" t="0" r="0" b="0"/>
            <wp:docPr id="21401318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644000" cy="1276864"/>
                    </a:xfrm>
                    <a:prstGeom prst="rect">
                      <a:avLst/>
                    </a:prstGeom>
                    <a:ln/>
                  </pic:spPr>
                </pic:pic>
              </a:graphicData>
            </a:graphic>
          </wp:inline>
        </w:drawing>
      </w:r>
      <w:r w:rsidR="00D7459F" w:rsidRPr="00ED6CDB">
        <w:rPr>
          <w:rFonts w:ascii="Palatino Linotype" w:eastAsia="Palatino Linotype" w:hAnsi="Palatino Linotype" w:cs="Palatino Linotype"/>
          <w:noProof/>
        </w:rPr>
        <w:drawing>
          <wp:inline distT="0" distB="0" distL="0" distR="0" wp14:anchorId="33C1EC59" wp14:editId="3194DFE2">
            <wp:extent cx="4642622" cy="4868323"/>
            <wp:effectExtent l="0" t="0" r="0" b="0"/>
            <wp:docPr id="21401318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207"/>
                    <a:stretch>
                      <a:fillRect/>
                    </a:stretch>
                  </pic:blipFill>
                  <pic:spPr>
                    <a:xfrm>
                      <a:off x="0" y="0"/>
                      <a:ext cx="4642622" cy="4868323"/>
                    </a:xfrm>
                    <a:prstGeom prst="rect">
                      <a:avLst/>
                    </a:prstGeom>
                    <a:ln/>
                  </pic:spPr>
                </pic:pic>
              </a:graphicData>
            </a:graphic>
          </wp:inline>
        </w:drawing>
      </w:r>
    </w:p>
    <w:p w14:paraId="75BCF9CE" w14:textId="77777777" w:rsidR="00031A69" w:rsidRPr="00ED6CDB" w:rsidRDefault="00031A69" w:rsidP="00392991">
      <w:pPr>
        <w:spacing w:after="0" w:line="360" w:lineRule="auto"/>
        <w:ind w:right="49"/>
        <w:jc w:val="center"/>
        <w:rPr>
          <w:rFonts w:ascii="Palatino Linotype" w:eastAsia="Palatino Linotype" w:hAnsi="Palatino Linotype" w:cs="Palatino Linotype"/>
        </w:rPr>
      </w:pPr>
    </w:p>
    <w:p w14:paraId="418E5DCE" w14:textId="00E15C55" w:rsidR="00D7459F" w:rsidRPr="00ED6CDB" w:rsidRDefault="00D7459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w:t>
      </w:r>
      <w:r w:rsidRPr="00ED6CDB">
        <w:rPr>
          <w:rFonts w:ascii="Palatino Linotype" w:eastAsia="Palatino Linotype" w:hAnsi="Palatino Linotype" w:cs="Palatino Linotype"/>
        </w:rPr>
        <w:lastRenderedPageBreak/>
        <w:t xml:space="preserve">los rubros: Número Progresivo, Número de quincena, Número de empleado, R.F.C, CURP, Número de seguridad social (ISSEMYM), </w:t>
      </w:r>
      <w:r w:rsidRPr="00ED6CDB">
        <w:rPr>
          <w:rFonts w:ascii="Palatino Linotype" w:eastAsia="Palatino Linotype" w:hAnsi="Palatino Linotype" w:cs="Palatino Linotype"/>
          <w:bCs/>
        </w:rPr>
        <w:t>Nombre completo:</w:t>
      </w:r>
      <w:r w:rsidRPr="00ED6CDB">
        <w:rPr>
          <w:rFonts w:ascii="Palatino Linotype" w:eastAsia="Palatino Linotype" w:hAnsi="Palatino Linotype" w:cs="Palatino Linotype"/>
        </w:rPr>
        <w:t xml:space="preserve"> Apellido Paterno, Apellido Materno, Nombre (s), Fecha de alta, Fecha de baja, </w:t>
      </w:r>
      <w:r w:rsidRPr="00ED6CDB">
        <w:rPr>
          <w:rFonts w:ascii="Palatino Linotype" w:eastAsia="Palatino Linotype" w:hAnsi="Palatino Linotype" w:cs="Palatino Linotype"/>
          <w:b/>
          <w:u w:val="single"/>
        </w:rPr>
        <w:t>Puesto funcional</w:t>
      </w:r>
      <w:r w:rsidRPr="00ED6CDB">
        <w:rPr>
          <w:rFonts w:ascii="Palatino Linotype" w:eastAsia="Palatino Linotype" w:hAnsi="Palatino Linotype" w:cs="Palatino Linotype"/>
        </w:rPr>
        <w:t xml:space="preserve">, Nivel y/o rango, No. de horas laboradas, </w:t>
      </w:r>
      <w:r w:rsidRPr="00ED6CDB">
        <w:rPr>
          <w:rFonts w:ascii="Palatino Linotype" w:eastAsia="Palatino Linotype" w:hAnsi="Palatino Linotype" w:cs="Palatino Linotype"/>
          <w:b/>
          <w:u w:val="single"/>
        </w:rPr>
        <w:t>Adscripción,</w:t>
      </w:r>
      <w:r w:rsidRPr="00ED6CDB">
        <w:rPr>
          <w:rFonts w:ascii="Palatino Linotype" w:eastAsia="Palatino Linotype" w:hAnsi="Palatino Linotype" w:cs="Palatino Linotype"/>
          <w:u w:val="single"/>
        </w:rPr>
        <w:t xml:space="preserve"> </w:t>
      </w:r>
      <w:r w:rsidRPr="00ED6CDB">
        <w:rPr>
          <w:rFonts w:ascii="Palatino Linotype" w:eastAsia="Palatino Linotype" w:hAnsi="Palatino Linotype" w:cs="Palatino Linotype"/>
          <w:b/>
          <w:u w:val="single"/>
        </w:rPr>
        <w:t>Categoría</w:t>
      </w:r>
      <w:r w:rsidRPr="00ED6CDB">
        <w:rPr>
          <w:rFonts w:ascii="Palatino Linotype" w:eastAsia="Palatino Linotype" w:hAnsi="Palatino Linotype" w:cs="Palatino Linotype"/>
          <w:b/>
        </w:rPr>
        <w:t>: Confianza, Sindicalizado o Eventual</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rPr>
        <w:t>Percepciones ordinarias</w:t>
      </w:r>
      <w:r w:rsidRPr="00ED6CDB">
        <w:rPr>
          <w:rFonts w:ascii="Palatino Linotype" w:eastAsia="Palatino Linotype" w:hAnsi="Palatino Linotype" w:cs="Palatino Linotype"/>
        </w:rPr>
        <w:t xml:space="preserve"> (de acuerdo al tabulador), </w:t>
      </w:r>
      <w:r w:rsidRPr="00ED6CDB">
        <w:rPr>
          <w:rFonts w:ascii="Palatino Linotype" w:eastAsia="Palatino Linotype" w:hAnsi="Palatino Linotype" w:cs="Palatino Linotype"/>
          <w:b/>
        </w:rPr>
        <w:t>Percepciones extraordinarias</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u w:val="single"/>
        </w:rPr>
        <w:t>Total de percepciones brutas</w:t>
      </w:r>
      <w:r w:rsidRPr="00ED6CDB">
        <w:rPr>
          <w:rFonts w:ascii="Palatino Linotype" w:eastAsia="Palatino Linotype" w:hAnsi="Palatino Linotype" w:cs="Palatino Linotype"/>
          <w:b/>
        </w:rPr>
        <w:t xml:space="preserve">; Deducciones; Total de deducciones, </w:t>
      </w:r>
      <w:r w:rsidRPr="00ED6CDB">
        <w:rPr>
          <w:rFonts w:ascii="Palatino Linotype" w:eastAsia="Palatino Linotype" w:hAnsi="Palatino Linotype" w:cs="Palatino Linotype"/>
          <w:b/>
          <w:u w:val="single"/>
        </w:rPr>
        <w:t>Total neto</w:t>
      </w:r>
      <w:r w:rsidRPr="00ED6CDB">
        <w:rPr>
          <w:rFonts w:ascii="Palatino Linotype" w:eastAsia="Palatino Linotype" w:hAnsi="Palatino Linotype" w:cs="Palatino Linotype"/>
        </w:rPr>
        <w:t>, Días pagados, Nombre de la fuente de financiamiento, Póliza, y Medio de pago</w:t>
      </w:r>
      <w:r w:rsidR="00674D07" w:rsidRPr="00ED6CDB">
        <w:rPr>
          <w:rFonts w:ascii="Palatino Linotype" w:eastAsia="Palatino Linotype" w:hAnsi="Palatino Linotype" w:cs="Palatino Linotype"/>
        </w:rPr>
        <w:t xml:space="preserve">; información que es del interés de la parte </w:t>
      </w:r>
      <w:r w:rsidR="00674D07" w:rsidRPr="00ED6CDB">
        <w:rPr>
          <w:rFonts w:ascii="Palatino Linotype" w:eastAsia="Palatino Linotype" w:hAnsi="Palatino Linotype" w:cs="Palatino Linotype"/>
          <w:b/>
          <w:bCs/>
        </w:rPr>
        <w:t>Recurrente</w:t>
      </w:r>
      <w:r w:rsidR="00674D07" w:rsidRPr="00ED6CDB">
        <w:rPr>
          <w:rFonts w:ascii="Palatino Linotype" w:eastAsia="Palatino Linotype" w:hAnsi="Palatino Linotype" w:cs="Palatino Linotype"/>
        </w:rPr>
        <w:t xml:space="preserve">; por lo que este Organismo Garante advierte que es el documento que de manera enunciativa más no limitativa, puede colmar la pretensión de la parte </w:t>
      </w:r>
      <w:r w:rsidR="00674D07" w:rsidRPr="00ED6CDB">
        <w:rPr>
          <w:rFonts w:ascii="Palatino Linotype" w:eastAsia="Palatino Linotype" w:hAnsi="Palatino Linotype" w:cs="Palatino Linotype"/>
          <w:b/>
          <w:bCs/>
        </w:rPr>
        <w:t>Recurrente</w:t>
      </w:r>
      <w:r w:rsidR="007733DE" w:rsidRPr="00ED6CDB">
        <w:rPr>
          <w:rFonts w:ascii="Palatino Linotype" w:eastAsia="Palatino Linotype" w:hAnsi="Palatino Linotype" w:cs="Palatino Linotype"/>
        </w:rPr>
        <w:t xml:space="preserve">, aunado a que de este documento también se puede advertir el número de servidores públicos pagados. </w:t>
      </w:r>
    </w:p>
    <w:p w14:paraId="38B42DF5" w14:textId="77777777" w:rsidR="00D7459F" w:rsidRPr="00ED6CDB" w:rsidRDefault="00D7459F" w:rsidP="00392991">
      <w:pPr>
        <w:spacing w:after="0" w:line="360" w:lineRule="auto"/>
        <w:jc w:val="both"/>
        <w:rPr>
          <w:rFonts w:ascii="Palatino Linotype" w:eastAsia="Palatino Linotype" w:hAnsi="Palatino Linotype" w:cs="Palatino Linotype"/>
        </w:rPr>
      </w:pPr>
    </w:p>
    <w:p w14:paraId="6A8E8AB6" w14:textId="7A34D532" w:rsidR="004639EE" w:rsidRPr="00ED6CDB" w:rsidRDefault="00674D07"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Además es de mencionar que respecto a los sueldos y salarios pagados a servidores públicos, </w:t>
      </w:r>
      <w:r w:rsidR="00D02477" w:rsidRPr="00ED6CDB">
        <w:rPr>
          <w:rFonts w:ascii="Palatino Linotype" w:eastAsia="Palatino Linotype" w:hAnsi="Palatino Linotype" w:cs="Palatino Linotype"/>
        </w:rPr>
        <w:t xml:space="preserve">el artículo </w:t>
      </w:r>
      <w:r w:rsidR="00E72281" w:rsidRPr="00ED6CDB">
        <w:rPr>
          <w:rFonts w:ascii="Palatino Linotype" w:eastAsia="Palatino Linotype" w:hAnsi="Palatino Linotype" w:cs="Palatino Linotype"/>
        </w:rPr>
        <w:t>9</w:t>
      </w:r>
      <w:r w:rsidR="005F0699" w:rsidRPr="00ED6CDB">
        <w:rPr>
          <w:rFonts w:ascii="Palatino Linotype" w:eastAsia="Palatino Linotype" w:hAnsi="Palatino Linotype" w:cs="Palatino Linotype"/>
        </w:rPr>
        <w:t>2</w:t>
      </w:r>
      <w:r w:rsidR="00E72281" w:rsidRPr="00ED6CDB">
        <w:rPr>
          <w:rFonts w:ascii="Palatino Linotype" w:eastAsia="Palatino Linotype" w:hAnsi="Palatino Linotype" w:cs="Palatino Linotype"/>
        </w:rPr>
        <w:t xml:space="preserve">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96C658B" w14:textId="77777777" w:rsidR="004639EE" w:rsidRPr="00ED6CDB" w:rsidRDefault="004639EE" w:rsidP="00392991">
      <w:pPr>
        <w:spacing w:after="0"/>
        <w:ind w:left="567" w:right="843"/>
        <w:jc w:val="both"/>
        <w:rPr>
          <w:rFonts w:ascii="Palatino Linotype" w:eastAsia="Palatino Linotype" w:hAnsi="Palatino Linotype" w:cs="Palatino Linotype"/>
          <w:i/>
        </w:rPr>
      </w:pPr>
    </w:p>
    <w:p w14:paraId="4E80883F" w14:textId="77777777" w:rsidR="004639EE" w:rsidRPr="00ED6CDB" w:rsidRDefault="00E72281" w:rsidP="005E0E53">
      <w:pPr>
        <w:spacing w:after="0"/>
        <w:ind w:left="851" w:right="709"/>
        <w:jc w:val="center"/>
        <w:rPr>
          <w:rFonts w:ascii="Palatino Linotype" w:eastAsia="Palatino Linotype" w:hAnsi="Palatino Linotype" w:cs="Palatino Linotype"/>
          <w:b/>
          <w:i/>
        </w:rPr>
      </w:pPr>
      <w:r w:rsidRPr="00ED6CDB">
        <w:rPr>
          <w:rFonts w:ascii="Palatino Linotype" w:eastAsia="Palatino Linotype" w:hAnsi="Palatino Linotype" w:cs="Palatino Linotype"/>
          <w:b/>
          <w:i/>
        </w:rPr>
        <w:t>Ley de Transparencia y Acceso a la Información Pública del Estado de México y Municipios</w:t>
      </w:r>
    </w:p>
    <w:p w14:paraId="33F7B161" w14:textId="77777777" w:rsidR="004639EE" w:rsidRPr="00ED6CDB" w:rsidRDefault="004639EE" w:rsidP="005E0E53">
      <w:pPr>
        <w:spacing w:after="0"/>
        <w:ind w:left="851" w:right="709"/>
        <w:jc w:val="both"/>
        <w:rPr>
          <w:rFonts w:ascii="Palatino Linotype" w:eastAsia="Palatino Linotype" w:hAnsi="Palatino Linotype" w:cs="Palatino Linotype"/>
          <w:i/>
        </w:rPr>
      </w:pPr>
    </w:p>
    <w:p w14:paraId="405C9D92" w14:textId="24BB44A6" w:rsidR="004639EE" w:rsidRPr="00ED6CDB" w:rsidRDefault="005E0E53"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00E72281" w:rsidRPr="00ED6CDB">
        <w:rPr>
          <w:rFonts w:ascii="Palatino Linotype" w:eastAsia="Palatino Linotype" w:hAnsi="Palatino Linotype" w:cs="Palatino Linotype"/>
          <w:b/>
          <w:i/>
        </w:rPr>
        <w:t>Artículo 92.</w:t>
      </w:r>
      <w:r w:rsidR="00E72281" w:rsidRPr="00ED6CDB">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15C0E2" w14:textId="77777777" w:rsidR="004639EE" w:rsidRPr="00ED6CDB" w:rsidRDefault="00E72281"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lastRenderedPageBreak/>
        <w:t>…</w:t>
      </w:r>
    </w:p>
    <w:p w14:paraId="6366E9E8" w14:textId="65549679" w:rsidR="004639EE" w:rsidRPr="00ED6CDB" w:rsidRDefault="00E72281"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5E0E53" w:rsidRPr="00ED6CDB">
        <w:rPr>
          <w:rFonts w:ascii="Palatino Linotype" w:eastAsia="Palatino Linotype" w:hAnsi="Palatino Linotype" w:cs="Palatino Linotype"/>
          <w:i/>
        </w:rPr>
        <w:t xml:space="preserve"> </w:t>
      </w:r>
      <w:r w:rsidRPr="00ED6CDB">
        <w:rPr>
          <w:rFonts w:ascii="Palatino Linotype" w:eastAsia="Palatino Linotype" w:hAnsi="Palatino Linotype" w:cs="Palatino Linotype"/>
          <w:i/>
        </w:rPr>
        <w:t>…</w:t>
      </w:r>
      <w:r w:rsidR="005E0E53" w:rsidRPr="00ED6CDB">
        <w:rPr>
          <w:rFonts w:ascii="Palatino Linotype" w:eastAsia="Palatino Linotype" w:hAnsi="Palatino Linotype" w:cs="Palatino Linotype"/>
          <w:i/>
        </w:rPr>
        <w:t>”</w:t>
      </w:r>
    </w:p>
    <w:p w14:paraId="7E284EE1" w14:textId="77777777" w:rsidR="004639EE" w:rsidRPr="00ED6CDB" w:rsidRDefault="004639EE" w:rsidP="00392991">
      <w:pPr>
        <w:spacing w:after="0"/>
        <w:ind w:left="567" w:right="843"/>
        <w:jc w:val="both"/>
        <w:rPr>
          <w:rFonts w:ascii="Palatino Linotype" w:eastAsia="Palatino Linotype" w:hAnsi="Palatino Linotype" w:cs="Palatino Linotype"/>
          <w:i/>
        </w:rPr>
      </w:pPr>
    </w:p>
    <w:p w14:paraId="6B6719A1" w14:textId="77777777" w:rsidR="005067EB" w:rsidRPr="00ED6CDB" w:rsidRDefault="00E72281" w:rsidP="00392991">
      <w:pPr>
        <w:spacing w:after="0" w:line="360" w:lineRule="auto"/>
        <w:ind w:right="134"/>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3DB691AE" w14:textId="77777777" w:rsidR="00C225DF" w:rsidRPr="00ED6CDB" w:rsidRDefault="00C225DF" w:rsidP="00392991">
      <w:pPr>
        <w:spacing w:after="0" w:line="360" w:lineRule="auto"/>
        <w:ind w:right="134"/>
        <w:jc w:val="both"/>
        <w:rPr>
          <w:rFonts w:ascii="Palatino Linotype" w:eastAsia="Palatino Linotype" w:hAnsi="Palatino Linotype" w:cs="Palatino Linotype"/>
        </w:rPr>
      </w:pPr>
    </w:p>
    <w:p w14:paraId="3A66D293" w14:textId="77777777" w:rsidR="00C225DF" w:rsidRPr="00ED6CDB" w:rsidRDefault="00E72281" w:rsidP="00392991">
      <w:pPr>
        <w:spacing w:after="0" w:line="360" w:lineRule="auto"/>
        <w:ind w:right="49"/>
        <w:jc w:val="both"/>
        <w:rPr>
          <w:rFonts w:ascii="Palatino Linotype" w:eastAsia="Calibri" w:hAnsi="Palatino Linotype" w:cs="Arial"/>
          <w:bCs/>
          <w:lang w:val="es-ES" w:eastAsia="en-US"/>
        </w:rPr>
      </w:pPr>
      <w:r w:rsidRPr="00ED6CDB">
        <w:rPr>
          <w:rFonts w:ascii="Palatino Linotype" w:eastAsia="Palatino Linotype" w:hAnsi="Palatino Linotype" w:cs="Palatino Linotype"/>
        </w:rPr>
        <w:t xml:space="preserve">De ello, </w:t>
      </w:r>
      <w:r w:rsidR="00C225DF" w:rsidRPr="00ED6CDB">
        <w:rPr>
          <w:rFonts w:ascii="Palatino Linotype" w:eastAsia="Calibri" w:hAnsi="Palatino Linotype" w:cs="Arial"/>
          <w:lang w:val="es-ES" w:eastAsia="en-US"/>
        </w:rPr>
        <w:t>se concluye que ésta es de</w:t>
      </w:r>
      <w:r w:rsidR="00C225DF" w:rsidRPr="00ED6CDB">
        <w:rPr>
          <w:rFonts w:ascii="Palatino Linotype" w:eastAsia="Calibri" w:hAnsi="Palatino Linotype" w:cs="Arial"/>
          <w:bCs/>
          <w:lang w:val="es-ES"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00C225DF" w:rsidRPr="00ED6CDB">
        <w:rPr>
          <w:rFonts w:ascii="Palatino Linotype" w:eastAsia="Calibri" w:hAnsi="Palatino Linotype" w:cs="Arial"/>
          <w:lang w:val="es-ES" w:eastAsia="en-US"/>
        </w:rPr>
        <w:t xml:space="preserve"> </w:t>
      </w:r>
      <w:r w:rsidR="00C225DF" w:rsidRPr="00ED6CDB">
        <w:rPr>
          <w:rFonts w:ascii="Palatino Linotype" w:eastAsia="Calibri" w:hAnsi="Palatino Linotype" w:cs="Arial"/>
          <w:bCs/>
          <w:lang w:val="es-ES"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w:t>
      </w:r>
    </w:p>
    <w:p w14:paraId="1226E6A7" w14:textId="77777777" w:rsidR="00C225DF" w:rsidRPr="00ED6CDB" w:rsidRDefault="00C225DF" w:rsidP="00392991">
      <w:pPr>
        <w:spacing w:after="0" w:line="360" w:lineRule="auto"/>
        <w:ind w:right="49"/>
        <w:jc w:val="both"/>
        <w:rPr>
          <w:rFonts w:ascii="Palatino Linotype" w:eastAsia="Calibri" w:hAnsi="Palatino Linotype" w:cs="Arial"/>
          <w:bCs/>
          <w:lang w:val="es-ES" w:eastAsia="en-US"/>
        </w:rPr>
      </w:pPr>
    </w:p>
    <w:p w14:paraId="47EBDA0A"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Ahora bien, en el caso particular, es de destacar que la parte </w:t>
      </w:r>
      <w:r w:rsidRPr="00ED6CDB">
        <w:rPr>
          <w:rFonts w:ascii="Palatino Linotype" w:eastAsia="Palatino Linotype" w:hAnsi="Palatino Linotype" w:cs="Palatino Linotype"/>
          <w:b/>
        </w:rPr>
        <w:t>Recurrente</w:t>
      </w:r>
      <w:r w:rsidRPr="00ED6CDB">
        <w:rPr>
          <w:rFonts w:ascii="Palatino Linotype" w:eastAsia="Palatino Linotype" w:hAnsi="Palatino Linotype" w:cs="Palatino Linotype"/>
        </w:rPr>
        <w:t xml:space="preserve"> solicitó información relacionada con servidores públicos adscritos a la Dirección de Seguridad Pública del Ayuntamiento, por lo que, en efecto, el entregar determinada información podría poner en riesgo a los integrantes de las corporaciones policiacas, esto es así derivado de las funciones </w:t>
      </w:r>
      <w:r w:rsidRPr="00ED6CDB">
        <w:rPr>
          <w:rFonts w:ascii="Palatino Linotype" w:eastAsia="Palatino Linotype" w:hAnsi="Palatino Linotype" w:cs="Palatino Linotype"/>
        </w:rPr>
        <w:lastRenderedPageBreak/>
        <w:t xml:space="preserve">encomendadas en términos del artículo 21 párrafo noveno de la Constitución Política de los Estados Unidos Mexicanos, de las cuales comprende la prevención de los delitos, investigación y persecución para hacerla efectiva. </w:t>
      </w:r>
    </w:p>
    <w:p w14:paraId="3E188FD1"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4F522B21"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ese sentido, en los documentos donde se advierta el </w:t>
      </w:r>
      <w:r w:rsidRPr="00ED6CDB">
        <w:rPr>
          <w:rFonts w:ascii="Palatino Linotype" w:eastAsia="Palatino Linotype" w:hAnsi="Palatino Linotype" w:cs="Palatino Linotype"/>
          <w:b/>
          <w:u w:val="single"/>
        </w:rPr>
        <w:t>nombre de los servidores públicos que desempeñan funciones operativas de seguridad pública</w:t>
      </w:r>
      <w:r w:rsidRPr="00ED6CDB">
        <w:rPr>
          <w:rFonts w:ascii="Palatino Linotype" w:eastAsia="Palatino Linotype" w:hAnsi="Palatino Linotype" w:cs="Palatino Linotype"/>
          <w:b/>
        </w:rPr>
        <w:t xml:space="preserve">, </w:t>
      </w:r>
      <w:r w:rsidRPr="00ED6CDB">
        <w:rPr>
          <w:rFonts w:ascii="Palatino Linotype" w:eastAsia="Palatino Linotype" w:hAnsi="Palatino Linotype" w:cs="Palatino Linotype"/>
        </w:rPr>
        <w:t xml:space="preserve">se deberá reservar este dato, </w:t>
      </w:r>
      <w:r w:rsidRPr="00ED6CDB">
        <w:rPr>
          <w:rFonts w:ascii="Palatino Linotype" w:eastAsia="Palatino Linotype" w:hAnsi="Palatino Linotype" w:cs="Palatino Linotype"/>
          <w:b/>
          <w:u w:val="single"/>
        </w:rPr>
        <w:t>dejando intocable el rubro de percepciones,</w:t>
      </w:r>
      <w:r w:rsidRPr="00ED6CDB">
        <w:rPr>
          <w:rFonts w:ascii="Palatino Linotype" w:eastAsia="Palatino Linotype" w:hAnsi="Palatino Linotype" w:cs="Palatino Linotype"/>
        </w:rPr>
        <w:t xml:space="preserve"> ya que por su naturaleza concierne a la ciudadanía conocer el destino de los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que desempeñen funciones operativas.</w:t>
      </w:r>
    </w:p>
    <w:p w14:paraId="7F54250C" w14:textId="77777777" w:rsidR="005E0E53" w:rsidRPr="00ED6CDB" w:rsidRDefault="005E0E53" w:rsidP="00392991">
      <w:pPr>
        <w:spacing w:after="0" w:line="360" w:lineRule="auto"/>
        <w:jc w:val="both"/>
        <w:rPr>
          <w:rFonts w:ascii="Palatino Linotype" w:eastAsia="Palatino Linotype" w:hAnsi="Palatino Linotype" w:cs="Palatino Linotype"/>
        </w:rPr>
      </w:pPr>
    </w:p>
    <w:p w14:paraId="1E4D618A"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Así resulta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B14FD82" w14:textId="77777777" w:rsidR="005E0E53" w:rsidRPr="00ED6CDB" w:rsidRDefault="005E0E53" w:rsidP="005E0E53">
      <w:pPr>
        <w:tabs>
          <w:tab w:val="left" w:pos="4962"/>
        </w:tabs>
        <w:spacing w:after="0"/>
        <w:ind w:left="851" w:right="709"/>
        <w:jc w:val="both"/>
        <w:rPr>
          <w:rFonts w:ascii="Palatino Linotype" w:eastAsia="Palatino Linotype" w:hAnsi="Palatino Linotype" w:cs="Palatino Linotype"/>
          <w:i/>
        </w:rPr>
      </w:pPr>
    </w:p>
    <w:p w14:paraId="368CA6E3" w14:textId="66AF6CF0" w:rsidR="00C225DF" w:rsidRPr="00ED6CDB" w:rsidRDefault="00C225DF" w:rsidP="005E0E53">
      <w:pPr>
        <w:tabs>
          <w:tab w:val="left" w:pos="4962"/>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Artículo 140.</w:t>
      </w:r>
      <w:r w:rsidRPr="00ED6CDB">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4CEB1899" w14:textId="77777777" w:rsidR="00C225DF" w:rsidRPr="00ED6CDB" w:rsidRDefault="00C225DF" w:rsidP="005E0E53">
      <w:pPr>
        <w:tabs>
          <w:tab w:val="left" w:pos="4962"/>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721B8005" w14:textId="77777777" w:rsidR="00C225DF" w:rsidRPr="00ED6CDB" w:rsidRDefault="00C225DF" w:rsidP="005E0E53">
      <w:pPr>
        <w:tabs>
          <w:tab w:val="left" w:pos="4962"/>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IV. Ponga en riesgo la vida, la seguridad o la salud de una persona física;</w:t>
      </w:r>
    </w:p>
    <w:p w14:paraId="240B22E0" w14:textId="77777777" w:rsidR="00C225DF" w:rsidRPr="00ED6CDB" w:rsidRDefault="00C225DF" w:rsidP="005E0E53">
      <w:pPr>
        <w:tabs>
          <w:tab w:val="left" w:pos="4962"/>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 </w:t>
      </w:r>
    </w:p>
    <w:p w14:paraId="5A45A3F2" w14:textId="77777777" w:rsidR="00C225DF" w:rsidRPr="00ED6CDB" w:rsidRDefault="00C225DF" w:rsidP="00392991">
      <w:pPr>
        <w:spacing w:after="0" w:line="360" w:lineRule="auto"/>
        <w:rPr>
          <w:rFonts w:ascii="Palatino Linotype" w:eastAsia="Palatino Linotype" w:hAnsi="Palatino Linotype" w:cs="Palatino Linotype"/>
        </w:rPr>
      </w:pPr>
    </w:p>
    <w:p w14:paraId="3CAF5A13"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Del precepto legal anteriormente citado se desprende que como información reservada podrá clasificarse aquella cuya publicación pueda poner en riesgo la vida, seguridad o salud de una persona física; para acreditar lo anterior, por su parte los Lineamientos Generales en materia de clasificación y desclasificación de la información, así como para la elaboración de versiones públicas, establecen lo siguiente:</w:t>
      </w:r>
    </w:p>
    <w:p w14:paraId="2E1F589B" w14:textId="77777777" w:rsidR="00C225DF" w:rsidRPr="00ED6CDB" w:rsidRDefault="00C225DF" w:rsidP="00392991">
      <w:pPr>
        <w:spacing w:after="0" w:line="360" w:lineRule="auto"/>
        <w:rPr>
          <w:rFonts w:ascii="Palatino Linotype" w:eastAsia="Palatino Linotype" w:hAnsi="Palatino Linotype" w:cs="Palatino Linotype"/>
        </w:rPr>
      </w:pPr>
    </w:p>
    <w:p w14:paraId="0396F3A6" w14:textId="77777777" w:rsidR="00C225DF" w:rsidRPr="00ED6CDB" w:rsidRDefault="00C225DF"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 xml:space="preserve">Vigésimo tercero. </w:t>
      </w:r>
      <w:r w:rsidRPr="00ED6CDB">
        <w:rPr>
          <w:rFonts w:ascii="Palatino Linotype" w:eastAsia="Palatino Linotype" w:hAnsi="Palatino Linotype" w:cs="Palatino Linotype"/>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7F4E4E52" w14:textId="77777777" w:rsidR="005E0E53" w:rsidRPr="00ED6CDB" w:rsidRDefault="005E0E53" w:rsidP="00392991">
      <w:pPr>
        <w:spacing w:after="0" w:line="360" w:lineRule="auto"/>
        <w:jc w:val="both"/>
        <w:rPr>
          <w:rFonts w:ascii="Palatino Linotype" w:eastAsia="Palatino Linotype" w:hAnsi="Palatino Linotype" w:cs="Palatino Linotype"/>
        </w:rPr>
      </w:pPr>
    </w:p>
    <w:p w14:paraId="510DE9C4"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1DCDE277"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7E75B609"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Además, el artículo 81, fracción III, de la Ley de Seguridad del Estado de México, establece lo siguiente:</w:t>
      </w:r>
    </w:p>
    <w:p w14:paraId="0B39D6E2" w14:textId="77777777" w:rsidR="005E0E53" w:rsidRPr="00ED6CDB" w:rsidRDefault="005E0E53" w:rsidP="005E0E53">
      <w:pPr>
        <w:spacing w:after="0"/>
        <w:ind w:left="851" w:right="1466"/>
        <w:rPr>
          <w:rFonts w:ascii="Palatino Linotype" w:eastAsia="Palatino Linotype" w:hAnsi="Palatino Linotype" w:cs="Palatino Linotype"/>
          <w:i/>
        </w:rPr>
      </w:pPr>
    </w:p>
    <w:p w14:paraId="0A52A5C8" w14:textId="77777777" w:rsidR="00C225DF" w:rsidRPr="00ED6CDB" w:rsidRDefault="00C225DF"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Artículo 81.-</w:t>
      </w:r>
      <w:r w:rsidRPr="00ED6CDB">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FAEA574" w14:textId="77777777" w:rsidR="00C225DF" w:rsidRPr="00ED6CDB" w:rsidRDefault="00C225DF"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0A0E04AC" w14:textId="77777777" w:rsidR="00C225DF" w:rsidRPr="00ED6CDB" w:rsidRDefault="00C225DF"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56D5F06F" w14:textId="77777777" w:rsidR="00C225DF" w:rsidRPr="00ED6CDB" w:rsidRDefault="00C225DF" w:rsidP="005E0E53">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6875A3C5" w14:textId="77777777" w:rsidR="00C225DF" w:rsidRPr="00ED6CDB" w:rsidRDefault="00C225DF" w:rsidP="00392991">
      <w:pPr>
        <w:spacing w:after="0" w:line="360" w:lineRule="auto"/>
        <w:rPr>
          <w:rFonts w:ascii="Palatino Linotype" w:eastAsia="Palatino Linotype" w:hAnsi="Palatino Linotype" w:cs="Palatino Linotype"/>
        </w:rPr>
      </w:pPr>
    </w:p>
    <w:p w14:paraId="0418A76B"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0DB6819"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7E89EA5D" w14:textId="25BD9C38"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En ese contexto, es de señalar que los datos de servidores públicos, entre los que se encuentran el nombre de los tr</w:t>
      </w:r>
      <w:r w:rsidR="005E0E53" w:rsidRPr="00ED6CDB">
        <w:rPr>
          <w:rFonts w:ascii="Palatino Linotype" w:eastAsia="Palatino Linotype" w:hAnsi="Palatino Linotype" w:cs="Palatino Linotype"/>
        </w:rPr>
        <w:t xml:space="preserve">abajadores, por regla general, es </w:t>
      </w:r>
      <w:r w:rsidRPr="00ED6CDB">
        <w:rPr>
          <w:rFonts w:ascii="Palatino Linotype" w:eastAsia="Palatino Linotype" w:hAnsi="Palatino Linotype" w:cs="Palatino Linotype"/>
        </w:rPr>
        <w:t>de naturaleza pública, de conformidad con el artículo 92, fracción VII, de la Ley de Transparencia y Acceso a la Información Pública del Estado de México y Municipios. No obstante, resulta necesario traer a colación por analogía, el Criterio de interpretación, con número de registro SO/006/2009, de la Primera Época, emitido por el entonces Instituto Nacional de Transparencia, Acceso a la Información y Protección de Datos Personales, que establece lo siguiente:</w:t>
      </w:r>
    </w:p>
    <w:p w14:paraId="673E16B6" w14:textId="77777777" w:rsidR="00742991" w:rsidRPr="00ED6CDB" w:rsidRDefault="00742991" w:rsidP="00392991">
      <w:pPr>
        <w:spacing w:after="0" w:line="360" w:lineRule="auto"/>
        <w:jc w:val="both"/>
        <w:rPr>
          <w:rFonts w:ascii="Palatino Linotype" w:eastAsia="Palatino Linotype" w:hAnsi="Palatino Linotype" w:cs="Palatino Linotype"/>
        </w:rPr>
      </w:pPr>
    </w:p>
    <w:p w14:paraId="33DC9B8A" w14:textId="77777777" w:rsidR="00C225DF" w:rsidRPr="00ED6CDB" w:rsidRDefault="00C225DF" w:rsidP="00742991">
      <w:pPr>
        <w:tabs>
          <w:tab w:val="left" w:pos="4962"/>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Nombres de servidores públicos dedicados a actividades en materia de seguridad, por excepción pueden considerarse información reservada.</w:t>
      </w:r>
      <w:r w:rsidRPr="00ED6CDB">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w:t>
      </w:r>
      <w:r w:rsidRPr="00ED6CDB">
        <w:rPr>
          <w:rFonts w:ascii="Palatino Linotype" w:eastAsia="Palatino Linotype" w:hAnsi="Palatino Linotype" w:cs="Palatino Linotype"/>
          <w:i/>
        </w:rPr>
        <w:lastRenderedPageBreak/>
        <w:t>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147D15A" w14:textId="77777777" w:rsidR="00C225DF" w:rsidRPr="00ED6CDB" w:rsidRDefault="00C225DF" w:rsidP="00392991">
      <w:pPr>
        <w:tabs>
          <w:tab w:val="left" w:pos="4962"/>
        </w:tabs>
        <w:spacing w:after="0"/>
        <w:ind w:left="851" w:right="1466"/>
        <w:jc w:val="both"/>
        <w:rPr>
          <w:rFonts w:ascii="Palatino Linotype" w:eastAsia="Palatino Linotype" w:hAnsi="Palatino Linotype" w:cs="Palatino Linotype"/>
          <w:i/>
        </w:rPr>
      </w:pPr>
    </w:p>
    <w:p w14:paraId="2B3749D4"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3182595" w14:textId="77777777" w:rsidR="00C225DF" w:rsidRPr="00ED6CDB" w:rsidRDefault="00C225DF" w:rsidP="00392991">
      <w:pPr>
        <w:spacing w:after="0" w:line="360" w:lineRule="auto"/>
        <w:rPr>
          <w:rFonts w:ascii="Palatino Linotype" w:eastAsia="Palatino Linotype" w:hAnsi="Palatino Linotype" w:cs="Palatino Linotype"/>
        </w:rPr>
      </w:pPr>
    </w:p>
    <w:p w14:paraId="50667741" w14:textId="4A94918A"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ED6CDB">
        <w:rPr>
          <w:rFonts w:ascii="Palatino Linotype" w:eastAsia="Palatino Linotype" w:hAnsi="Palatino Linotype" w:cs="Palatino Linotype"/>
          <w:b/>
        </w:rPr>
        <w:t>aquellos que realicen actividades operativas en materia de seguridad,</w:t>
      </w:r>
      <w:r w:rsidRPr="00ED6CDB">
        <w:rPr>
          <w:rFonts w:ascii="Palatino Linotype" w:eastAsia="Palatino Linotype" w:hAnsi="Palatino Linotype" w:cs="Palatino Linotype"/>
        </w:rPr>
        <w:t xml:space="preserve"> como es el caso de los elementos operativos </w:t>
      </w:r>
      <w:r w:rsidR="00984E12" w:rsidRPr="00ED6CDB">
        <w:rPr>
          <w:rFonts w:ascii="Palatino Linotype" w:eastAsia="Palatino Linotype" w:hAnsi="Palatino Linotype" w:cs="Palatino Linotype"/>
        </w:rPr>
        <w:t>de</w:t>
      </w:r>
      <w:r w:rsidRPr="00ED6CDB">
        <w:rPr>
          <w:rFonts w:ascii="Palatino Linotype" w:eastAsia="Palatino Linotype" w:hAnsi="Palatino Linotype" w:cs="Palatino Linotype"/>
        </w:rPr>
        <w:t xml:space="preserve"> la policía municipal.</w:t>
      </w:r>
    </w:p>
    <w:p w14:paraId="05F9E651"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5F05528B"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A3C8346"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2E84FA09"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En ese contexto, el artículo 6°, fracciones XI y XII de dicho ordenamiento jurídico, establece los siguientes conceptos:</w:t>
      </w:r>
    </w:p>
    <w:p w14:paraId="3E78EA6F" w14:textId="77777777" w:rsidR="00C225DF" w:rsidRPr="00ED6CDB" w:rsidRDefault="00C225DF" w:rsidP="00392991">
      <w:pPr>
        <w:spacing w:after="0" w:line="360" w:lineRule="auto"/>
        <w:rPr>
          <w:rFonts w:ascii="Palatino Linotype" w:eastAsia="Palatino Linotype" w:hAnsi="Palatino Linotype" w:cs="Palatino Linotype"/>
        </w:rPr>
      </w:pPr>
    </w:p>
    <w:p w14:paraId="3FC682E2" w14:textId="77777777" w:rsidR="00C225DF" w:rsidRPr="00ED6CDB" w:rsidRDefault="00C225DF" w:rsidP="00392991">
      <w:pPr>
        <w:numPr>
          <w:ilvl w:val="0"/>
          <w:numId w:val="18"/>
        </w:numPr>
        <w:spacing w:after="0" w:line="360" w:lineRule="auto"/>
        <w:rPr>
          <w:rFonts w:ascii="Palatino Linotype" w:eastAsia="Palatino Linotype" w:hAnsi="Palatino Linotype" w:cs="Palatino Linotype"/>
          <w:b/>
        </w:rPr>
      </w:pPr>
      <w:r w:rsidRPr="00ED6CDB">
        <w:rPr>
          <w:rFonts w:ascii="Palatino Linotype" w:eastAsia="Palatino Linotype" w:hAnsi="Palatino Linotype" w:cs="Palatino Linotype"/>
          <w:b/>
        </w:rPr>
        <w:t xml:space="preserve">Instituciones Policiales: </w:t>
      </w:r>
      <w:r w:rsidRPr="00ED6CDB">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sidRPr="00ED6CDB">
        <w:rPr>
          <w:rFonts w:ascii="Palatino Linotype" w:eastAsia="Palatino Linotype" w:hAnsi="Palatino Linotype" w:cs="Palatino Linotype"/>
          <w:b/>
        </w:rPr>
        <w:t>todas las dependencias encargadas de la seguridad pública a nivel</w:t>
      </w:r>
      <w:r w:rsidRPr="00ED6CDB">
        <w:rPr>
          <w:rFonts w:ascii="Palatino Linotype" w:eastAsia="Palatino Linotype" w:hAnsi="Palatino Linotype" w:cs="Palatino Linotype"/>
        </w:rPr>
        <w:t xml:space="preserve"> estatal y </w:t>
      </w:r>
      <w:r w:rsidRPr="00ED6CDB">
        <w:rPr>
          <w:rFonts w:ascii="Palatino Linotype" w:eastAsia="Palatino Linotype" w:hAnsi="Palatino Linotype" w:cs="Palatino Linotype"/>
          <w:b/>
        </w:rPr>
        <w:t>municipal.</w:t>
      </w:r>
    </w:p>
    <w:p w14:paraId="3D97FAC8" w14:textId="77777777" w:rsidR="00C225DF" w:rsidRPr="00ED6CDB" w:rsidRDefault="00C225DF" w:rsidP="00392991">
      <w:pPr>
        <w:spacing w:after="0" w:line="360" w:lineRule="auto"/>
        <w:ind w:left="720"/>
        <w:rPr>
          <w:rFonts w:ascii="Palatino Linotype" w:eastAsia="Palatino Linotype" w:hAnsi="Palatino Linotype" w:cs="Palatino Linotype"/>
        </w:rPr>
      </w:pPr>
    </w:p>
    <w:p w14:paraId="0A7CACF7" w14:textId="77777777" w:rsidR="00C225DF" w:rsidRPr="00ED6CDB" w:rsidRDefault="00C225DF" w:rsidP="00392991">
      <w:pPr>
        <w:numPr>
          <w:ilvl w:val="0"/>
          <w:numId w:val="18"/>
        </w:numPr>
        <w:spacing w:after="0" w:line="360" w:lineRule="auto"/>
        <w:rPr>
          <w:rFonts w:ascii="Palatino Linotype" w:eastAsia="Palatino Linotype" w:hAnsi="Palatino Linotype" w:cs="Palatino Linotype"/>
          <w:b/>
        </w:rPr>
      </w:pPr>
      <w:r w:rsidRPr="00ED6CDB">
        <w:rPr>
          <w:rFonts w:ascii="Palatino Linotype" w:eastAsia="Palatino Linotype" w:hAnsi="Palatino Linotype" w:cs="Palatino Linotype"/>
          <w:b/>
        </w:rPr>
        <w:t xml:space="preserve">Instituciones de Seguridad Pública: </w:t>
      </w:r>
      <w:r w:rsidRPr="00ED6CDB">
        <w:rPr>
          <w:rFonts w:ascii="Palatino Linotype" w:eastAsia="Palatino Linotype" w:hAnsi="Palatino Linotype" w:cs="Palatino Linotype"/>
        </w:rPr>
        <w:t xml:space="preserve">Instituciones Policiales, Procuración de Justicia, Sistema Penitenciario y </w:t>
      </w:r>
      <w:r w:rsidRPr="00ED6CDB">
        <w:rPr>
          <w:rFonts w:ascii="Palatino Linotype" w:eastAsia="Palatino Linotype" w:hAnsi="Palatino Linotype" w:cs="Palatino Linotype"/>
          <w:b/>
        </w:rPr>
        <w:t xml:space="preserve">dependencias encargadas de la seguridad pública a nivel </w:t>
      </w:r>
      <w:r w:rsidRPr="00ED6CDB">
        <w:rPr>
          <w:rFonts w:ascii="Palatino Linotype" w:eastAsia="Palatino Linotype" w:hAnsi="Palatino Linotype" w:cs="Palatino Linotype"/>
        </w:rPr>
        <w:t xml:space="preserve">estatal y </w:t>
      </w:r>
      <w:r w:rsidRPr="00ED6CDB">
        <w:rPr>
          <w:rFonts w:ascii="Palatino Linotype" w:eastAsia="Palatino Linotype" w:hAnsi="Palatino Linotype" w:cs="Palatino Linotype"/>
          <w:b/>
        </w:rPr>
        <w:t>municipal.</w:t>
      </w:r>
    </w:p>
    <w:p w14:paraId="6306187F" w14:textId="77777777" w:rsidR="00742991" w:rsidRPr="00ED6CDB" w:rsidRDefault="00742991" w:rsidP="00392991">
      <w:pPr>
        <w:spacing w:after="0" w:line="360" w:lineRule="auto"/>
        <w:jc w:val="both"/>
        <w:rPr>
          <w:rFonts w:ascii="Palatino Linotype" w:eastAsia="Palatino Linotype" w:hAnsi="Palatino Linotype" w:cs="Palatino Linotype"/>
        </w:rPr>
      </w:pPr>
    </w:p>
    <w:p w14:paraId="6C043F31" w14:textId="5E95DC5D"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Conforme a lo anterior, se puede deducir que la Dirección de Seguridad Pública, es una institución de seguridad pública, pues tiene como atribución principal, la prevención de delitos y proteger a las personas, sus propiedades, posesiones y derechos.</w:t>
      </w:r>
    </w:p>
    <w:p w14:paraId="79F9353B"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687C1124" w14:textId="77FA8876" w:rsidR="00C225DF" w:rsidRPr="00ED6CDB" w:rsidRDefault="00C225DF" w:rsidP="00392991">
      <w:pPr>
        <w:tabs>
          <w:tab w:val="left" w:pos="4962"/>
        </w:tabs>
        <w:spacing w:after="0" w:line="360" w:lineRule="auto"/>
        <w:ind w:right="-28"/>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en </w:t>
      </w:r>
      <w:hyperlink r:id="rId16">
        <w:r w:rsidRPr="00ED6CDB">
          <w:rPr>
            <w:rFonts w:ascii="Palatino Linotype" w:eastAsia="Palatino Linotype" w:hAnsi="Palatino Linotype" w:cs="Palatino Linotype"/>
            <w:u w:val="single"/>
          </w:rPr>
          <w:t>http://secretariadoejecutivo.gob.mx/work/models/SecretariadoEjecutivo/Resource/328/1/images/instructivo_final_edo_fuerza(1).pdf</w:t>
        </w:r>
      </w:hyperlink>
      <w:r w:rsidRPr="00ED6CDB">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sidRPr="00ED6CDB">
        <w:rPr>
          <w:rFonts w:ascii="Palatino Linotype" w:eastAsia="Palatino Linotype" w:hAnsi="Palatino Linotype" w:cs="Palatino Linotype"/>
          <w:b/>
        </w:rPr>
        <w:t>desempeña funciones de mando</w:t>
      </w:r>
      <w:r w:rsidRPr="00ED6CDB">
        <w:rPr>
          <w:rFonts w:ascii="Palatino Linotype" w:eastAsia="Palatino Linotype" w:hAnsi="Palatino Linotype" w:cs="Palatino Linotype"/>
        </w:rPr>
        <w:t xml:space="preserve">), entre los cuales, se encuentra </w:t>
      </w:r>
      <w:r w:rsidRPr="00ED6CDB">
        <w:rPr>
          <w:rFonts w:ascii="Palatino Linotype" w:eastAsia="Palatino Linotype" w:hAnsi="Palatino Linotype" w:cs="Palatino Linotype"/>
          <w:b/>
        </w:rPr>
        <w:t>la Policía Municipal</w:t>
      </w:r>
      <w:r w:rsidRPr="00ED6CDB">
        <w:rPr>
          <w:rFonts w:ascii="Palatino Linotype" w:eastAsia="Palatino Linotype" w:hAnsi="Palatino Linotype" w:cs="Palatino Linotype"/>
        </w:rPr>
        <w:t>.</w:t>
      </w:r>
    </w:p>
    <w:p w14:paraId="7AAA83E4" w14:textId="77777777" w:rsidR="00C225DF" w:rsidRPr="00ED6CDB" w:rsidRDefault="00C225DF" w:rsidP="00392991">
      <w:pPr>
        <w:tabs>
          <w:tab w:val="left" w:pos="4962"/>
        </w:tabs>
        <w:spacing w:after="0" w:line="360" w:lineRule="auto"/>
        <w:ind w:right="-28"/>
        <w:jc w:val="both"/>
        <w:rPr>
          <w:rFonts w:ascii="Palatino Linotype" w:eastAsia="Palatino Linotype" w:hAnsi="Palatino Linotype" w:cs="Palatino Linotype"/>
        </w:rPr>
      </w:pPr>
    </w:p>
    <w:p w14:paraId="7A92BEA8" w14:textId="77777777" w:rsidR="00C225DF" w:rsidRPr="00ED6CDB" w:rsidRDefault="00C225DF" w:rsidP="00392991">
      <w:pPr>
        <w:tabs>
          <w:tab w:val="left" w:pos="4962"/>
        </w:tabs>
        <w:spacing w:after="0" w:line="360" w:lineRule="auto"/>
        <w:ind w:right="-28"/>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Además, se advierte que las Instituciones Policiales, se conforman del personal administrativo, que son los trabajadores de apoyo (chofer, personal de mantenimiento, </w:t>
      </w:r>
      <w:r w:rsidRPr="00ED6CDB">
        <w:rPr>
          <w:rFonts w:ascii="Palatino Linotype" w:eastAsia="Palatino Linotype" w:hAnsi="Palatino Linotype" w:cs="Palatino Linotype"/>
        </w:rPr>
        <w:lastRenderedPageBreak/>
        <w:t>servicios generales y área secretarial); así como, el personal de mando (alto, medio y superior), que es aquel que realiza funciones de dirección, coordinación y supervisión, por lo cual, corresponde a aquel que tenga trabajadores a su cargo.</w:t>
      </w:r>
    </w:p>
    <w:p w14:paraId="6AA9248C"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75EBEFE3" w14:textId="79980C9A"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Así, dar a conocer el nombre de las personas, vinculado con el hecho que son policías</w:t>
      </w:r>
      <w:r w:rsidR="00984E12" w:rsidRPr="00ED6CDB">
        <w:rPr>
          <w:rFonts w:ascii="Palatino Linotype" w:eastAsia="Palatino Linotype" w:hAnsi="Palatino Linotype" w:cs="Palatino Linotype"/>
        </w:rPr>
        <w:t xml:space="preserve"> con funciones operativas</w:t>
      </w:r>
      <w:r w:rsidRPr="00ED6CDB">
        <w:rPr>
          <w:rFonts w:ascii="Palatino Linotype" w:eastAsia="Palatino Linotype" w:hAnsi="Palatino Linotype" w:cs="Palatino Linotype"/>
        </w:rPr>
        <w:t>,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75EE048"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0DCF1E13" w14:textId="77777777"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5DC17260"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614DC4E9" w14:textId="597095CB" w:rsidR="00C225DF"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De tal situación, se considera que dar a conocer el nombre de los policías municipales</w:t>
      </w:r>
      <w:r w:rsidR="00984E12" w:rsidRPr="00ED6CDB">
        <w:rPr>
          <w:rFonts w:ascii="Palatino Linotype" w:eastAsia="Palatino Linotype" w:hAnsi="Palatino Linotype" w:cs="Palatino Linotype"/>
        </w:rPr>
        <w:t xml:space="preserve"> con funciones operativas</w:t>
      </w:r>
      <w:r w:rsidRPr="00ED6CDB">
        <w:rPr>
          <w:rFonts w:ascii="Palatino Linotype" w:eastAsia="Palatino Linotype" w:hAnsi="Palatino Linotype" w:cs="Palatino Linotype"/>
        </w:rPr>
        <w:t xml:space="preserve">, puede poner en riesgo la vida, seguridad y salud de estos, de sus familias e incluso su entorno social, pues al hacerlos identificables, los hacen blancos de los agentes delincuenciales o inclusive a la delincuencia organizada, los cuales podrían </w:t>
      </w:r>
      <w:r w:rsidRPr="00ED6CDB">
        <w:rPr>
          <w:rFonts w:ascii="Palatino Linotype" w:eastAsia="Palatino Linotype" w:hAnsi="Palatino Linotype" w:cs="Palatino Linotype"/>
        </w:rPr>
        <w:lastRenderedPageBreak/>
        <w:t>amenazar o causarles algún daño, con el fin de entorpecer o disminuir la seguridad pública y aumentar la comisión de actos ilícitos.</w:t>
      </w:r>
    </w:p>
    <w:p w14:paraId="7F87F808" w14:textId="77777777" w:rsidR="00C225DF" w:rsidRPr="00ED6CDB" w:rsidRDefault="00C225DF" w:rsidP="00392991">
      <w:pPr>
        <w:spacing w:after="0" w:line="360" w:lineRule="auto"/>
        <w:jc w:val="both"/>
        <w:rPr>
          <w:rFonts w:ascii="Palatino Linotype" w:eastAsia="Palatino Linotype" w:hAnsi="Palatino Linotype" w:cs="Palatino Linotype"/>
        </w:rPr>
      </w:pPr>
    </w:p>
    <w:p w14:paraId="390B03B8" w14:textId="7ECD32D8" w:rsidR="00C225DF" w:rsidRPr="00ED6CDB" w:rsidRDefault="00C225DF" w:rsidP="00392991">
      <w:pPr>
        <w:spacing w:after="0" w:line="360" w:lineRule="auto"/>
        <w:jc w:val="both"/>
        <w:rPr>
          <w:rFonts w:ascii="Palatino Linotype" w:eastAsia="Palatino Linotype" w:hAnsi="Palatino Linotype" w:cs="Palatino Linotype"/>
          <w:b/>
        </w:rPr>
      </w:pPr>
      <w:r w:rsidRPr="00ED6CDB">
        <w:rPr>
          <w:rFonts w:ascii="Palatino Linotype" w:eastAsia="Palatino Linotype" w:hAnsi="Palatino Linotype" w:cs="Palatino Linotype"/>
        </w:rPr>
        <w:t xml:space="preserve">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 Por tales consideraciones, </w:t>
      </w:r>
      <w:r w:rsidRPr="00ED6CDB">
        <w:rPr>
          <w:rFonts w:ascii="Palatino Linotype" w:eastAsia="Palatino Linotype" w:hAnsi="Palatino Linotype" w:cs="Palatino Linotype"/>
          <w:b/>
        </w:rPr>
        <w:t>resulta procedente</w:t>
      </w:r>
      <w:r w:rsidR="00742991" w:rsidRPr="00ED6CDB">
        <w:rPr>
          <w:rFonts w:ascii="Palatino Linotype" w:eastAsia="Palatino Linotype" w:hAnsi="Palatino Linotype" w:cs="Palatino Linotype"/>
          <w:b/>
        </w:rPr>
        <w:t xml:space="preserve"> solo </w:t>
      </w:r>
      <w:r w:rsidRPr="00ED6CDB">
        <w:rPr>
          <w:rFonts w:ascii="Palatino Linotype" w:eastAsia="Palatino Linotype" w:hAnsi="Palatino Linotype" w:cs="Palatino Linotype"/>
          <w:b/>
        </w:rPr>
        <w:t>la reserva del nombre de los elementos operativos adscritos a la</w:t>
      </w:r>
      <w:r w:rsidR="00742991" w:rsidRPr="00ED6CDB">
        <w:rPr>
          <w:rFonts w:ascii="Palatino Linotype" w:eastAsia="Palatino Linotype" w:hAnsi="Palatino Linotype" w:cs="Palatino Linotype"/>
          <w:b/>
        </w:rPr>
        <w:t xml:space="preserve"> Dirección de Seguridad Pública, Vial y Tránsito</w:t>
      </w:r>
      <w:r w:rsidRPr="00ED6CDB">
        <w:rPr>
          <w:rFonts w:ascii="Palatino Linotype" w:eastAsia="Palatino Linotype" w:hAnsi="Palatino Linotype" w:cs="Palatino Linotype"/>
          <w:b/>
        </w:rPr>
        <w:t xml:space="preserve">, en términos del artículo 140, fracción IV, de la Ley de Transparencia y Acceso a la Información Pública del Estado de México y Municipios. </w:t>
      </w:r>
    </w:p>
    <w:p w14:paraId="70D1011A" w14:textId="77777777" w:rsidR="000E18FE" w:rsidRPr="00ED6CDB" w:rsidRDefault="000E18FE" w:rsidP="00392991">
      <w:pPr>
        <w:spacing w:after="0" w:line="360" w:lineRule="auto"/>
        <w:jc w:val="both"/>
        <w:rPr>
          <w:rFonts w:ascii="Palatino Linotype" w:eastAsia="Palatino Linotype" w:hAnsi="Palatino Linotype" w:cs="Palatino Linotype"/>
        </w:rPr>
      </w:pPr>
    </w:p>
    <w:p w14:paraId="7059DE8C" w14:textId="64DBF384" w:rsidR="002A0503" w:rsidRPr="00ED6CDB" w:rsidRDefault="00C225DF"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Es por lo que, la clasificación de la información invocada por </w:t>
      </w:r>
      <w:r w:rsidRPr="00ED6CDB">
        <w:rPr>
          <w:rFonts w:ascii="Palatino Linotype" w:eastAsia="Palatino Linotype" w:hAnsi="Palatino Linotype" w:cs="Palatino Linotype"/>
          <w:bCs/>
        </w:rPr>
        <w:t>el</w:t>
      </w:r>
      <w:r w:rsidRPr="00ED6CDB">
        <w:rPr>
          <w:rFonts w:ascii="Palatino Linotype" w:eastAsia="Palatino Linotype" w:hAnsi="Palatino Linotype" w:cs="Palatino Linotype"/>
          <w:b/>
        </w:rPr>
        <w:t xml:space="preserve"> Sujeto Obligado </w:t>
      </w:r>
      <w:r w:rsidRPr="00ED6CDB">
        <w:rPr>
          <w:rFonts w:ascii="Palatino Linotype" w:eastAsia="Palatino Linotype" w:hAnsi="Palatino Linotype" w:cs="Palatino Linotype"/>
        </w:rPr>
        <w:t xml:space="preserve">en informe justificado, resulta un agravio al derecho de acceso de información de la parte </w:t>
      </w:r>
      <w:r w:rsidR="00A04649" w:rsidRPr="00ED6CDB">
        <w:rPr>
          <w:rFonts w:ascii="Palatino Linotype" w:eastAsia="Palatino Linotype" w:hAnsi="Palatino Linotype" w:cs="Palatino Linotype"/>
          <w:b/>
          <w:bCs/>
        </w:rPr>
        <w:t>Recurrente</w:t>
      </w:r>
      <w:r w:rsidRPr="00ED6CDB">
        <w:rPr>
          <w:rFonts w:ascii="Palatino Linotype" w:eastAsia="Palatino Linotype" w:hAnsi="Palatino Linotype" w:cs="Palatino Linotype"/>
        </w:rPr>
        <w:t xml:space="preserve">, por lo que debido a lo anteriormente expuesto se ordena </w:t>
      </w:r>
      <w:r w:rsidR="007733DE" w:rsidRPr="00ED6CDB">
        <w:rPr>
          <w:rFonts w:ascii="Palatino Linotype" w:eastAsia="Palatino Linotype" w:hAnsi="Palatino Linotype" w:cs="Palatino Linotype"/>
        </w:rPr>
        <w:t>hacer la entrega de los documentos donde conste la</w:t>
      </w:r>
      <w:r w:rsidRPr="00ED6CDB">
        <w:rPr>
          <w:rFonts w:ascii="Palatino Linotype" w:eastAsia="Palatino Linotype" w:hAnsi="Palatino Linotype" w:cs="Palatino Linotype"/>
        </w:rPr>
        <w:t xml:space="preserve"> nómina</w:t>
      </w:r>
      <w:r w:rsidR="007733DE" w:rsidRPr="00ED6CDB">
        <w:rPr>
          <w:rFonts w:ascii="Palatino Linotype" w:eastAsia="Palatino Linotype" w:hAnsi="Palatino Linotype" w:cs="Palatino Linotype"/>
        </w:rPr>
        <w:t xml:space="preserve"> pagada </w:t>
      </w:r>
      <w:r w:rsidRPr="00ED6CDB">
        <w:rPr>
          <w:rFonts w:ascii="Palatino Linotype" w:eastAsia="Palatino Linotype" w:hAnsi="Palatino Linotype" w:cs="Palatino Linotype"/>
        </w:rPr>
        <w:t>del personal de la Dirección de Seguridad Pública</w:t>
      </w:r>
      <w:r w:rsidR="00742991" w:rsidRPr="00ED6CDB">
        <w:t xml:space="preserve">, </w:t>
      </w:r>
      <w:r w:rsidR="00742991" w:rsidRPr="00ED6CDB">
        <w:rPr>
          <w:rFonts w:ascii="Palatino Linotype" w:eastAsia="Palatino Linotype" w:hAnsi="Palatino Linotype" w:cs="Palatino Linotype"/>
        </w:rPr>
        <w:t>Vial y Tránsito</w:t>
      </w:r>
      <w:r w:rsidR="00A04649"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rPr>
        <w:t>de la primera quincena</w:t>
      </w:r>
      <w:r w:rsidR="00A04649" w:rsidRPr="00ED6CDB">
        <w:rPr>
          <w:rFonts w:ascii="Palatino Linotype" w:eastAsia="Palatino Linotype" w:hAnsi="Palatino Linotype" w:cs="Palatino Linotype"/>
        </w:rPr>
        <w:t xml:space="preserve"> de enero de dos mil veinticinco a la primera quincena de enero dos mil veintiséis, en versión pública en términos de lo dispuesto en el Considerando Q</w:t>
      </w:r>
      <w:r w:rsidR="007733DE" w:rsidRPr="00ED6CDB">
        <w:rPr>
          <w:rFonts w:ascii="Palatino Linotype" w:eastAsia="Palatino Linotype" w:hAnsi="Palatino Linotype" w:cs="Palatino Linotype"/>
        </w:rPr>
        <w:t xml:space="preserve">uinto de la presente resolución, precisando que </w:t>
      </w:r>
      <w:r w:rsidR="000E18FE" w:rsidRPr="00ED6CDB">
        <w:rPr>
          <w:rFonts w:ascii="Palatino Linotype" w:eastAsia="Palatino Linotype" w:hAnsi="Palatino Linotype" w:cs="Palatino Linotype"/>
        </w:rPr>
        <w:t xml:space="preserve">respecto al número de trabajadores pagados, este Organismo Garante considera oportuno referir que dicho dato se podrá advertir de la documentación que proporcione el </w:t>
      </w:r>
      <w:r w:rsidR="000E18FE" w:rsidRPr="00ED6CDB">
        <w:rPr>
          <w:rFonts w:ascii="Palatino Linotype" w:eastAsia="Palatino Linotype" w:hAnsi="Palatino Linotype" w:cs="Palatino Linotype"/>
          <w:b/>
        </w:rPr>
        <w:t>Sujeto Obligado</w:t>
      </w:r>
      <w:r w:rsidR="000E18FE" w:rsidRPr="00ED6CDB">
        <w:rPr>
          <w:rFonts w:ascii="Palatino Linotype" w:eastAsia="Palatino Linotype" w:hAnsi="Palatino Linotype" w:cs="Palatino Linotype"/>
        </w:rPr>
        <w:t xml:space="preserve"> en cumplimiento a la presente resolución. </w:t>
      </w:r>
    </w:p>
    <w:p w14:paraId="42BB9EF7" w14:textId="77777777" w:rsidR="002A0503" w:rsidRPr="00ED6CDB" w:rsidRDefault="002A0503" w:rsidP="00392991">
      <w:pPr>
        <w:spacing w:after="0" w:line="360" w:lineRule="auto"/>
        <w:jc w:val="both"/>
        <w:rPr>
          <w:rFonts w:ascii="Palatino Linotype" w:eastAsia="Palatino Linotype" w:hAnsi="Palatino Linotype" w:cs="Palatino Linotype"/>
        </w:rPr>
      </w:pPr>
    </w:p>
    <w:p w14:paraId="175486EC" w14:textId="77777777" w:rsidR="00A04649" w:rsidRPr="00ED6CDB" w:rsidRDefault="00A04649"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Finalmente, es de señalar que, como ya se mencionó 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omitió proporcionar la respuesta a la solicitud de acceso a la información pública, en el término </w:t>
      </w:r>
      <w:r w:rsidRPr="00ED6CDB">
        <w:rPr>
          <w:rFonts w:ascii="Palatino Linotype" w:eastAsia="Palatino Linotype" w:hAnsi="Palatino Linotype" w:cs="Palatino Linotype"/>
        </w:rPr>
        <w:lastRenderedPageBreak/>
        <w:t xml:space="preserve">contemplado en el ya citado artículo 163 de la Ley de la materia, razón por la que, en términos de lo previsto en el artículo 190 de la Ley de Transparencia y Acceso a la Información Pública del Estado de México y Municipios, se ordena dar vista a la </w:t>
      </w:r>
      <w:r w:rsidRPr="00ED6CDB">
        <w:rPr>
          <w:rFonts w:ascii="Palatino Linotype" w:eastAsia="Palatino Linotype" w:hAnsi="Palatino Linotype" w:cs="Palatino Linotype"/>
          <w:b/>
        </w:rPr>
        <w:t>Secretaría Técnica del Pleno</w:t>
      </w:r>
      <w:r w:rsidRPr="00ED6CDB">
        <w:rPr>
          <w:rFonts w:ascii="Palatino Linotype" w:eastAsia="Palatino Linotype" w:hAnsi="Palatino Linotype" w:cs="Palatino Linotype"/>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w:t>
      </w:r>
    </w:p>
    <w:p w14:paraId="4981E5AA" w14:textId="77777777" w:rsidR="00A04649" w:rsidRPr="00ED6CDB" w:rsidRDefault="00A04649" w:rsidP="00392991">
      <w:pPr>
        <w:spacing w:after="0" w:line="360" w:lineRule="auto"/>
        <w:jc w:val="both"/>
        <w:rPr>
          <w:rFonts w:ascii="Palatino Linotype" w:eastAsia="Palatino Linotype" w:hAnsi="Palatino Linotype" w:cs="Palatino Linotype"/>
        </w:rPr>
      </w:pPr>
    </w:p>
    <w:p w14:paraId="1D1CA58C" w14:textId="77777777" w:rsidR="003B4400" w:rsidRPr="00ED6CDB" w:rsidRDefault="003B4400" w:rsidP="00392991">
      <w:pPr>
        <w:tabs>
          <w:tab w:val="left" w:pos="709"/>
        </w:tabs>
        <w:spacing w:after="0" w:line="360" w:lineRule="auto"/>
        <w:jc w:val="both"/>
        <w:rPr>
          <w:rFonts w:ascii="Palatino Linotype" w:eastAsia="Palatino Linotype" w:hAnsi="Palatino Linotype" w:cs="Palatino Linotype"/>
          <w:b/>
        </w:rPr>
      </w:pPr>
      <w:r w:rsidRPr="00ED6CDB">
        <w:rPr>
          <w:rFonts w:ascii="Palatino Linotype" w:eastAsia="Palatino Linotype" w:hAnsi="Palatino Linotype" w:cs="Palatino Linotype"/>
          <w:b/>
        </w:rPr>
        <w:t xml:space="preserve">Quinto. Versión Pública. </w:t>
      </w:r>
      <w:r w:rsidRPr="00ED6CDB">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F07B343"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15751584" w14:textId="77777777" w:rsidR="003B4400" w:rsidRPr="00ED6CDB" w:rsidRDefault="003B4400"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7C72C50" w14:textId="77777777" w:rsidR="003B4400" w:rsidRPr="00ED6CDB" w:rsidRDefault="003B4400" w:rsidP="00392991">
      <w:pPr>
        <w:spacing w:after="0" w:line="360" w:lineRule="auto"/>
        <w:ind w:right="902"/>
        <w:jc w:val="both"/>
        <w:rPr>
          <w:rFonts w:ascii="Palatino Linotype" w:eastAsia="Palatino Linotype" w:hAnsi="Palatino Linotype" w:cs="Palatino Linotype"/>
          <w:i/>
        </w:rPr>
      </w:pPr>
    </w:p>
    <w:p w14:paraId="3EFBDE37" w14:textId="77777777" w:rsidR="003B4400" w:rsidRPr="00ED6CDB" w:rsidRDefault="003B4400"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Por lo anterior, es indispensable mencionar que, en los documentos que se determina ordenar contienen datos los cuales son necesarios de analizar, al tenor de lo siguiente: </w:t>
      </w:r>
    </w:p>
    <w:p w14:paraId="5F88C60F"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1D2324BD" w14:textId="77777777" w:rsidR="003B4400" w:rsidRPr="00ED6CDB" w:rsidRDefault="003B4400" w:rsidP="00392991">
      <w:pPr>
        <w:numPr>
          <w:ilvl w:val="0"/>
          <w:numId w:val="8"/>
        </w:numPr>
        <w:spacing w:after="0" w:line="360" w:lineRule="auto"/>
        <w:ind w:left="567"/>
        <w:jc w:val="both"/>
        <w:rPr>
          <w:rFonts w:ascii="Palatino Linotype" w:eastAsia="Palatino Linotype" w:hAnsi="Palatino Linotype" w:cs="Palatino Linotype"/>
          <w:b/>
        </w:rPr>
      </w:pPr>
      <w:r w:rsidRPr="00ED6CDB">
        <w:rPr>
          <w:rFonts w:ascii="Palatino Linotype" w:eastAsia="Palatino Linotype" w:hAnsi="Palatino Linotype" w:cs="Palatino Linotype"/>
          <w:b/>
        </w:rPr>
        <w:t>Clave Única de Registro de Población (CURP)</w:t>
      </w:r>
    </w:p>
    <w:p w14:paraId="3F057702"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El artículo 36 de la Constitución Política de los Estados Unidos Mexicanos, dispone la obligación de los ciudadanos de inscribirse en el Registro Nacional de Ciudadanos; además, el diverso 85 de la Ley General de Población, prevé que corresponde a la </w:t>
      </w:r>
      <w:r w:rsidRPr="00ED6CDB">
        <w:rPr>
          <w:rFonts w:ascii="Palatino Linotype" w:eastAsia="Palatino Linotype" w:hAnsi="Palatino Linotype" w:cs="Palatino Linotype"/>
        </w:rPr>
        <w:lastRenderedPageBreak/>
        <w:t>Secretaría de Gobernación el registro y acreditación de la identidad de todas las personas residentes en el país y de los nacionales que residan en el extranjero.</w:t>
      </w:r>
    </w:p>
    <w:p w14:paraId="4FB34FBB"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2D06A821"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6CC2BE"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2E77DB2D"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ese orden de ideas, la Secretaría de Gobernación en las direcciones </w:t>
      </w:r>
      <w:hyperlink r:id="rId17">
        <w:r w:rsidRPr="00ED6CDB">
          <w:rPr>
            <w:rFonts w:ascii="Palatino Linotype" w:eastAsia="Palatino Linotype" w:hAnsi="Palatino Linotype" w:cs="Palatino Linotype"/>
            <w:u w:val="single"/>
          </w:rPr>
          <w:t>https://consultas.curp.gob.mx/CurpSP/html/informacionecurpPS.html</w:t>
        </w:r>
      </w:hyperlink>
      <w:r w:rsidRPr="00ED6CDB">
        <w:rPr>
          <w:rFonts w:ascii="Palatino Linotype" w:eastAsia="Palatino Linotype" w:hAnsi="Palatino Linotype" w:cs="Palatino Linotype"/>
        </w:rPr>
        <w:t xml:space="preserve"> y </w:t>
      </w:r>
      <w:hyperlink r:id="rId18">
        <w:r w:rsidRPr="00ED6CDB">
          <w:rPr>
            <w:rFonts w:ascii="Palatino Linotype" w:eastAsia="Palatino Linotype" w:hAnsi="Palatino Linotype" w:cs="Palatino Linotype"/>
            <w:u w:val="single"/>
          </w:rPr>
          <w:t>https://www.gob.mx/segob/renapo/acciones-y-programas/clave-unica-de-registro-de-poblacion-curp-142226</w:t>
        </w:r>
      </w:hyperlink>
      <w:r w:rsidRPr="00ED6CDB">
        <w:rPr>
          <w:rFonts w:ascii="Palatino Linotype" w:eastAsia="Palatino Linotype" w:hAnsi="Palatino Linotype" w:cs="Palatino Linotype"/>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D6CDB">
        <w:rPr>
          <w:rFonts w:ascii="Palatino Linotype" w:eastAsia="Palatino Linotype" w:hAnsi="Palatino Linotype" w:cs="Palatino Linotype"/>
          <w:b/>
        </w:rPr>
        <w:t>se generan a partir de los datos contenidos en el documento probatorio de la identidad</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rPr>
        <w:t xml:space="preserve">del interesado </w:t>
      </w:r>
      <w:r w:rsidRPr="00ED6CDB">
        <w:rPr>
          <w:rFonts w:ascii="Palatino Linotype" w:eastAsia="Palatino Linotype" w:hAnsi="Palatino Linotype" w:cs="Palatino Linotype"/>
        </w:rPr>
        <w:t>(acta de nacimiento, carta de naturalización o documento migratorio) de la siguiente forma:</w:t>
      </w:r>
    </w:p>
    <w:p w14:paraId="4720136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34955041" w14:textId="77777777" w:rsidR="003B4400" w:rsidRPr="00ED6CDB" w:rsidRDefault="003B4400" w:rsidP="0000514C">
      <w:pPr>
        <w:numPr>
          <w:ilvl w:val="0"/>
          <w:numId w:val="9"/>
        </w:numPr>
        <w:spacing w:after="0" w:line="360" w:lineRule="auto"/>
        <w:ind w:left="993"/>
        <w:jc w:val="both"/>
        <w:rPr>
          <w:rFonts w:ascii="Palatino Linotype" w:eastAsia="Palatino Linotype" w:hAnsi="Palatino Linotype" w:cs="Palatino Linotype"/>
        </w:rPr>
      </w:pPr>
      <w:r w:rsidRPr="00ED6CDB">
        <w:rPr>
          <w:rFonts w:ascii="Palatino Linotype" w:eastAsia="Palatino Linotype" w:hAnsi="Palatino Linotype" w:cs="Palatino Linotype"/>
        </w:rPr>
        <w:t>El primero y segundo apellidos, así como al nombre de pila;</w:t>
      </w:r>
    </w:p>
    <w:p w14:paraId="5F348E6D" w14:textId="77777777" w:rsidR="003B4400" w:rsidRPr="00ED6CDB" w:rsidRDefault="003B4400" w:rsidP="0000514C">
      <w:pPr>
        <w:numPr>
          <w:ilvl w:val="0"/>
          <w:numId w:val="9"/>
        </w:numPr>
        <w:spacing w:after="0" w:line="360" w:lineRule="auto"/>
        <w:ind w:left="993"/>
        <w:jc w:val="both"/>
        <w:rPr>
          <w:rFonts w:ascii="Palatino Linotype" w:eastAsia="Palatino Linotype" w:hAnsi="Palatino Linotype" w:cs="Palatino Linotype"/>
        </w:rPr>
      </w:pPr>
      <w:r w:rsidRPr="00ED6CDB">
        <w:rPr>
          <w:rFonts w:ascii="Palatino Linotype" w:eastAsia="Palatino Linotype" w:hAnsi="Palatino Linotype" w:cs="Palatino Linotype"/>
        </w:rPr>
        <w:t>La fecha de nacimiento;</w:t>
      </w:r>
    </w:p>
    <w:p w14:paraId="7E48CA01" w14:textId="77777777" w:rsidR="003B4400" w:rsidRPr="00ED6CDB" w:rsidRDefault="003B4400" w:rsidP="0000514C">
      <w:pPr>
        <w:numPr>
          <w:ilvl w:val="0"/>
          <w:numId w:val="9"/>
        </w:numPr>
        <w:spacing w:after="0" w:line="360" w:lineRule="auto"/>
        <w:ind w:left="993"/>
        <w:jc w:val="both"/>
        <w:rPr>
          <w:rFonts w:ascii="Palatino Linotype" w:eastAsia="Palatino Linotype" w:hAnsi="Palatino Linotype" w:cs="Palatino Linotype"/>
        </w:rPr>
      </w:pPr>
      <w:r w:rsidRPr="00ED6CDB">
        <w:rPr>
          <w:rFonts w:ascii="Palatino Linotype" w:eastAsia="Palatino Linotype" w:hAnsi="Palatino Linotype" w:cs="Palatino Linotype"/>
        </w:rPr>
        <w:t>El sexo, y</w:t>
      </w:r>
    </w:p>
    <w:p w14:paraId="497A8378" w14:textId="77777777" w:rsidR="003B4400" w:rsidRPr="00ED6CDB" w:rsidRDefault="003B4400" w:rsidP="0000514C">
      <w:pPr>
        <w:numPr>
          <w:ilvl w:val="0"/>
          <w:numId w:val="9"/>
        </w:numPr>
        <w:spacing w:after="0" w:line="360" w:lineRule="auto"/>
        <w:ind w:left="993"/>
        <w:jc w:val="both"/>
        <w:rPr>
          <w:rFonts w:ascii="Palatino Linotype" w:eastAsia="Palatino Linotype" w:hAnsi="Palatino Linotype" w:cs="Palatino Linotype"/>
        </w:rPr>
      </w:pPr>
      <w:r w:rsidRPr="00ED6CDB">
        <w:rPr>
          <w:rFonts w:ascii="Palatino Linotype" w:eastAsia="Palatino Linotype" w:hAnsi="Palatino Linotype" w:cs="Palatino Linotype"/>
        </w:rPr>
        <w:t>La entidad federativa de nacimiento.</w:t>
      </w:r>
    </w:p>
    <w:p w14:paraId="7C127D37"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6C5A9306"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Los dos últimos elementos de la Clave Única de Registro de Población evitan la duplicidad de la Clave y garantizan su correcta integración.</w:t>
      </w:r>
    </w:p>
    <w:p w14:paraId="69C74AAF"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1D88FF02"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BABA4A1"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72D7711A"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4E1AF0A0"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7A8DFF77" w14:textId="77777777" w:rsidR="003B4400" w:rsidRPr="00ED6CDB" w:rsidRDefault="003B4400" w:rsidP="00392991">
      <w:pPr>
        <w:spacing w:after="0"/>
        <w:ind w:left="1134" w:right="567"/>
        <w:jc w:val="both"/>
        <w:rPr>
          <w:rFonts w:ascii="Palatino Linotype" w:eastAsia="Palatino Linotype" w:hAnsi="Palatino Linotype" w:cs="Palatino Linotype"/>
          <w:i/>
        </w:rPr>
      </w:pPr>
      <w:r w:rsidRPr="00ED6CDB">
        <w:rPr>
          <w:rFonts w:ascii="Palatino Linotype" w:eastAsia="Palatino Linotype" w:hAnsi="Palatino Linotype" w:cs="Palatino Linotype"/>
          <w:b/>
          <w:i/>
        </w:rPr>
        <w:t xml:space="preserve">“Clave Única de Registro de Población (CURP). </w:t>
      </w:r>
      <w:r w:rsidRPr="00ED6CDB">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8E742A"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580B3384"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0C43B00"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431845FE" w14:textId="77777777" w:rsidR="003B4400" w:rsidRPr="00ED6CDB" w:rsidRDefault="003B4400" w:rsidP="00392991">
      <w:pPr>
        <w:numPr>
          <w:ilvl w:val="0"/>
          <w:numId w:val="8"/>
        </w:numPr>
        <w:spacing w:after="0" w:line="360" w:lineRule="auto"/>
        <w:ind w:left="567"/>
        <w:jc w:val="both"/>
        <w:rPr>
          <w:rFonts w:ascii="Palatino Linotype" w:eastAsia="Palatino Linotype" w:hAnsi="Palatino Linotype" w:cs="Palatino Linotype"/>
          <w:b/>
        </w:rPr>
      </w:pPr>
      <w:r w:rsidRPr="00ED6CDB">
        <w:rPr>
          <w:rFonts w:ascii="Palatino Linotype" w:eastAsia="Palatino Linotype" w:hAnsi="Palatino Linotype" w:cs="Palatino Linotype"/>
          <w:b/>
        </w:rPr>
        <w:lastRenderedPageBreak/>
        <w:t>Registro Federal de Contribuyentes (RFC)</w:t>
      </w:r>
    </w:p>
    <w:p w14:paraId="1EA1C0D7"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E6FB81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5EF64F34"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A49599B"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5AFF4F5F"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F94D4F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5BBADF52"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ED6CDB">
        <w:rPr>
          <w:rFonts w:ascii="Palatino Linotype" w:eastAsia="Palatino Linotype" w:hAnsi="Palatino Linotype" w:cs="Palatino Linotype"/>
        </w:rPr>
        <w:lastRenderedPageBreak/>
        <w:t xml:space="preserve">relevante únicamente para las personas involucrada, en el pago de estos, en el presente caso, del pago del Impuesto Sobre el Producto del Trabajo. </w:t>
      </w:r>
    </w:p>
    <w:p w14:paraId="2B16339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0DC609CA"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1724D5F"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190EF7D3" w14:textId="77777777" w:rsidR="003B4400" w:rsidRPr="00ED6CDB" w:rsidRDefault="003B4400" w:rsidP="00392991">
      <w:pPr>
        <w:spacing w:after="0"/>
        <w:ind w:left="1134" w:right="567"/>
        <w:jc w:val="both"/>
        <w:rPr>
          <w:rFonts w:ascii="Palatino Linotype" w:eastAsia="Palatino Linotype" w:hAnsi="Palatino Linotype" w:cs="Palatino Linotype"/>
          <w:i/>
        </w:rPr>
      </w:pPr>
      <w:r w:rsidRPr="00ED6CDB">
        <w:rPr>
          <w:rFonts w:ascii="Palatino Linotype" w:eastAsia="Palatino Linotype" w:hAnsi="Palatino Linotype" w:cs="Palatino Linotype"/>
          <w:b/>
          <w:i/>
        </w:rPr>
        <w:t>“Registro Federal de Contribuyentes (RFC) de personas físicas.</w:t>
      </w:r>
      <w:r w:rsidRPr="00ED6CDB">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6E4629F9" w14:textId="77777777" w:rsidR="003B4400" w:rsidRPr="00ED6CDB" w:rsidRDefault="003B4400" w:rsidP="00392991">
      <w:pPr>
        <w:spacing w:after="0"/>
        <w:ind w:left="567" w:right="567"/>
        <w:jc w:val="both"/>
        <w:rPr>
          <w:rFonts w:ascii="Palatino Linotype" w:eastAsia="Palatino Linotype" w:hAnsi="Palatino Linotype" w:cs="Palatino Linotype"/>
          <w:i/>
        </w:rPr>
      </w:pPr>
    </w:p>
    <w:p w14:paraId="14C53660"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CC3B4F3" w14:textId="77777777" w:rsidR="003B4400" w:rsidRPr="00ED6CDB" w:rsidRDefault="003B4400" w:rsidP="00392991">
      <w:pPr>
        <w:tabs>
          <w:tab w:val="center" w:pos="4522"/>
        </w:tabs>
        <w:spacing w:after="0" w:line="360" w:lineRule="auto"/>
        <w:ind w:left="567"/>
        <w:jc w:val="both"/>
        <w:rPr>
          <w:rFonts w:ascii="Palatino Linotype" w:eastAsia="Palatino Linotype" w:hAnsi="Palatino Linotype" w:cs="Palatino Linotype"/>
        </w:rPr>
      </w:pPr>
    </w:p>
    <w:p w14:paraId="2B01B156" w14:textId="77777777" w:rsidR="003B4400" w:rsidRPr="00ED6CDB" w:rsidRDefault="003B4400" w:rsidP="00392991">
      <w:pPr>
        <w:numPr>
          <w:ilvl w:val="0"/>
          <w:numId w:val="8"/>
        </w:numPr>
        <w:spacing w:after="0" w:line="360" w:lineRule="auto"/>
        <w:ind w:left="567"/>
        <w:jc w:val="both"/>
        <w:rPr>
          <w:rFonts w:ascii="Palatino Linotype" w:eastAsia="Palatino Linotype" w:hAnsi="Palatino Linotype" w:cs="Palatino Linotype"/>
          <w:b/>
        </w:rPr>
      </w:pPr>
      <w:r w:rsidRPr="00ED6CDB">
        <w:rPr>
          <w:rFonts w:ascii="Palatino Linotype" w:eastAsia="Palatino Linotype" w:hAnsi="Palatino Linotype" w:cs="Palatino Linotype"/>
          <w:b/>
        </w:rPr>
        <w:t>Número de seguridad social del Instituto de Seguridad Social del Estado de México y Municipios</w:t>
      </w:r>
    </w:p>
    <w:p w14:paraId="537C52B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w:t>
      </w:r>
      <w:r w:rsidRPr="00ED6CDB">
        <w:rPr>
          <w:rFonts w:ascii="Palatino Linotype" w:eastAsia="Palatino Linotype" w:hAnsi="Palatino Linotype" w:cs="Palatino Linotype"/>
        </w:rPr>
        <w:lastRenderedPageBreak/>
        <w:t>artículo 14 de la Ley de Seguridad Social para los Servidores Públicos del Estado de México y Municipios.</w:t>
      </w:r>
    </w:p>
    <w:p w14:paraId="637E510E"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7FF87BB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AAF48C9"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31884C7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4EA5E66"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3E3461D8"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w:t>
      </w:r>
      <w:r w:rsidRPr="00ED6CDB">
        <w:rPr>
          <w:rFonts w:ascii="Palatino Linotype" w:eastAsia="Palatino Linotype" w:hAnsi="Palatino Linotype" w:cs="Palatino Linotype"/>
        </w:rPr>
        <w:lastRenderedPageBreak/>
        <w:t>confidencialidad, establecido en el artículo 143, fracción I, de la Ley de Transparencia y Acceso a la Información Pública del Estado de México y Municipios.</w:t>
      </w:r>
    </w:p>
    <w:p w14:paraId="7A9A7FCB"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14259745" w14:textId="77777777" w:rsidR="003B4400" w:rsidRPr="00ED6CDB" w:rsidRDefault="003B4400" w:rsidP="00392991">
      <w:pPr>
        <w:numPr>
          <w:ilvl w:val="0"/>
          <w:numId w:val="10"/>
        </w:num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b/>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18B5DA46"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38378A4"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35B7D5F3"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Las cadenas originales y sellos que se agregan a las facturas</w:t>
      </w:r>
      <w:r w:rsidRPr="00ED6CDB">
        <w:rPr>
          <w:rFonts w:ascii="Palatino Linotype" w:eastAsia="Palatino Linotype" w:hAnsi="Palatino Linotype" w:cs="Palatino Linotype"/>
          <w:b/>
        </w:rPr>
        <w:t>,</w:t>
      </w:r>
      <w:r w:rsidRPr="00ED6CDB">
        <w:rPr>
          <w:rFonts w:ascii="Palatino Linotype" w:eastAsia="Palatino Linotype" w:hAnsi="Palatino Linotype" w:cs="Palatino Linotype"/>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6897AD78" w14:textId="77777777" w:rsidR="003B4400" w:rsidRPr="00ED6CDB" w:rsidRDefault="003B4400" w:rsidP="00392991">
      <w:pPr>
        <w:spacing w:after="0"/>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w:t>
      </w:r>
    </w:p>
    <w:p w14:paraId="1DE6C331"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38DAE62C"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Elementos utilizados en la generación de Sellos Digitales:</w:t>
      </w:r>
    </w:p>
    <w:p w14:paraId="40BD08BD"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lastRenderedPageBreak/>
        <w:t>•</w:t>
      </w:r>
      <w:r w:rsidRPr="00ED6CDB">
        <w:rPr>
          <w:rFonts w:ascii="Palatino Linotype" w:eastAsia="Palatino Linotype" w:hAnsi="Palatino Linotype" w:cs="Palatino Linotype"/>
          <w:i/>
        </w:rPr>
        <w:tab/>
        <w:t>Cadena Original, el elemento a sellar, en este caso de un comprobante fiscal digital a través de Internet.</w:t>
      </w:r>
    </w:p>
    <w:p w14:paraId="2F0523F0"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i/>
        </w:rPr>
        <w:tab/>
        <w:t>Certificado de Sello Digital y su correspondiente clave privada.</w:t>
      </w:r>
    </w:p>
    <w:p w14:paraId="73406987"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i/>
        </w:rPr>
        <w:tab/>
        <w:t>Algoritmos de criptografía de clave pública para firma electrónica avanzada.</w:t>
      </w:r>
    </w:p>
    <w:p w14:paraId="091D5ADB"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i/>
        </w:rPr>
        <w:tab/>
        <w:t>Especificaciones de conversión de la firma electrónica avanzada a Base 64.</w:t>
      </w:r>
    </w:p>
    <w:p w14:paraId="46332BF2"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Para la generación de sellos digitales se utiliza criptografía de clave pública aplicada a una cadena original.</w:t>
      </w:r>
    </w:p>
    <w:p w14:paraId="3429B915"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Criptografía de la Clave Pública</w:t>
      </w:r>
    </w:p>
    <w:p w14:paraId="3FAE301F"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1878F8C5" w14:textId="77777777" w:rsidR="003B4400" w:rsidRPr="00ED6CDB" w:rsidRDefault="003B4400" w:rsidP="00392991">
      <w:pPr>
        <w:spacing w:after="0"/>
        <w:ind w:left="567" w:right="53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73EC596E"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w:t>
      </w:r>
    </w:p>
    <w:p w14:paraId="4D2FD62F"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no obstante, en el presente caso, el Sujeto Obligado señaló que estos se integraban del RFC de los trabajadores por lo que, son susceptibles de ser clasificados como confidencial. </w:t>
      </w:r>
    </w:p>
    <w:p w14:paraId="3F38A16A"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7A953F43"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9">
        <w:r w:rsidRPr="00ED6CDB">
          <w:rPr>
            <w:rFonts w:ascii="Palatino Linotype" w:eastAsia="Palatino Linotype" w:hAnsi="Palatino Linotype" w:cs="Palatino Linotype"/>
            <w:spacing w:val="-20"/>
            <w:u w:val="single"/>
          </w:rPr>
          <w:t>https://portalanterior.ine.mx/archivos2/tutoriales/sistemas/ApoyoInstitucional/SIF/docs/candidatos/folioFiscalFactura.pdf</w:t>
        </w:r>
      </w:hyperlink>
      <w:r w:rsidRPr="00ED6CDB">
        <w:rPr>
          <w:rFonts w:ascii="Palatino Linotype" w:eastAsia="Palatino Linotype" w:hAnsi="Palatino Linotype" w:cs="Palatino Linotype"/>
        </w:rPr>
        <w:t>), en la cual se advierte que únicamente se encuentra conformado por números, se muestra a continuación:</w:t>
      </w:r>
    </w:p>
    <w:p w14:paraId="4AA8F2C9"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4E76F631" w14:textId="77777777" w:rsidR="003B4400" w:rsidRPr="00ED6CDB" w:rsidRDefault="003B4400" w:rsidP="00392991">
      <w:pPr>
        <w:spacing w:after="0" w:line="360" w:lineRule="auto"/>
        <w:ind w:left="567"/>
        <w:jc w:val="center"/>
        <w:rPr>
          <w:rFonts w:ascii="Palatino Linotype" w:eastAsia="Palatino Linotype" w:hAnsi="Palatino Linotype" w:cs="Palatino Linotype"/>
        </w:rPr>
      </w:pPr>
      <w:r w:rsidRPr="00ED6CDB">
        <w:rPr>
          <w:rFonts w:ascii="Palatino Linotype" w:eastAsia="Palatino Linotype" w:hAnsi="Palatino Linotype" w:cs="Palatino Linotype"/>
          <w:noProof/>
        </w:rPr>
        <w:drawing>
          <wp:inline distT="0" distB="0" distL="0" distR="0" wp14:anchorId="7C3252CD" wp14:editId="319F79A6">
            <wp:extent cx="4619659" cy="914407"/>
            <wp:effectExtent l="0" t="0" r="0" b="0"/>
            <wp:docPr id="38"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20"/>
                    <a:srcRect/>
                    <a:stretch>
                      <a:fillRect/>
                    </a:stretch>
                  </pic:blipFill>
                  <pic:spPr>
                    <a:xfrm>
                      <a:off x="0" y="0"/>
                      <a:ext cx="4619659" cy="914407"/>
                    </a:xfrm>
                    <a:prstGeom prst="rect">
                      <a:avLst/>
                    </a:prstGeom>
                    <a:ln/>
                  </pic:spPr>
                </pic:pic>
              </a:graphicData>
            </a:graphic>
          </wp:inline>
        </w:drawing>
      </w:r>
    </w:p>
    <w:p w14:paraId="44CF823A" w14:textId="77777777" w:rsidR="003B4400" w:rsidRPr="00ED6CDB" w:rsidRDefault="003B4400" w:rsidP="00392991">
      <w:pPr>
        <w:spacing w:after="0" w:line="360" w:lineRule="auto"/>
        <w:ind w:left="567"/>
        <w:jc w:val="center"/>
        <w:rPr>
          <w:rFonts w:ascii="Palatino Linotype" w:eastAsia="Palatino Linotype" w:hAnsi="Palatino Linotype" w:cs="Palatino Linotype"/>
        </w:rPr>
      </w:pPr>
    </w:p>
    <w:p w14:paraId="67C3CF66"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5DF85E36"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1C431583" w14:textId="77777777" w:rsidR="003B4400" w:rsidRPr="00ED6CDB" w:rsidRDefault="003B4400" w:rsidP="00392991">
      <w:pPr>
        <w:numPr>
          <w:ilvl w:val="0"/>
          <w:numId w:val="10"/>
        </w:numPr>
        <w:spacing w:after="0" w:line="360" w:lineRule="auto"/>
        <w:ind w:left="567"/>
        <w:jc w:val="both"/>
        <w:rPr>
          <w:rFonts w:ascii="Palatino Linotype" w:eastAsia="Palatino Linotype" w:hAnsi="Palatino Linotype" w:cs="Palatino Linotype"/>
          <w:b/>
        </w:rPr>
      </w:pPr>
      <w:r w:rsidRPr="00ED6CDB">
        <w:rPr>
          <w:rFonts w:ascii="Palatino Linotype" w:eastAsia="Palatino Linotype" w:hAnsi="Palatino Linotype" w:cs="Palatino Linotype"/>
          <w:b/>
        </w:rPr>
        <w:t>Código bidimensional o Qr</w:t>
      </w:r>
    </w:p>
    <w:p w14:paraId="24F79795"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w:t>
      </w:r>
      <w:r w:rsidRPr="00ED6CDB">
        <w:rPr>
          <w:rFonts w:ascii="Palatino Linotype" w:eastAsia="Palatino Linotype" w:hAnsi="Palatino Linotype" w:cs="Palatino Linotype"/>
          <w:i/>
        </w:rPr>
        <w:t>QR Code (Quick Response Code)</w:t>
      </w:r>
      <w:r w:rsidRPr="00ED6CDB">
        <w:rPr>
          <w:rFonts w:ascii="Palatino Linotype" w:eastAsia="Palatino Linotype" w:hAnsi="Palatino Linotype" w:cs="Palatino Linotype"/>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6D7B27C6" w14:textId="77777777" w:rsidR="0000514C" w:rsidRPr="00ED6CDB" w:rsidRDefault="0000514C" w:rsidP="00392991">
      <w:pPr>
        <w:spacing w:after="0" w:line="360" w:lineRule="auto"/>
        <w:ind w:left="567"/>
        <w:jc w:val="both"/>
        <w:rPr>
          <w:rFonts w:ascii="Palatino Linotype" w:eastAsia="Palatino Linotype" w:hAnsi="Palatino Linotype" w:cs="Palatino Linotype"/>
        </w:rPr>
      </w:pPr>
    </w:p>
    <w:p w14:paraId="497EF39D"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654A8A0" w14:textId="77777777" w:rsidR="003B4400" w:rsidRPr="00ED6CDB" w:rsidRDefault="003B4400" w:rsidP="00392991">
      <w:pPr>
        <w:spacing w:after="0" w:line="360" w:lineRule="auto"/>
        <w:ind w:left="567"/>
        <w:jc w:val="both"/>
        <w:rPr>
          <w:rFonts w:ascii="Palatino Linotype" w:eastAsia="Palatino Linotype" w:hAnsi="Palatino Linotype" w:cs="Palatino Linotype"/>
        </w:rPr>
      </w:pPr>
    </w:p>
    <w:p w14:paraId="18D5CCC2" w14:textId="77777777" w:rsidR="003B4400" w:rsidRPr="00ED6CDB" w:rsidRDefault="003B4400" w:rsidP="00392991">
      <w:pPr>
        <w:tabs>
          <w:tab w:val="left" w:pos="4962"/>
        </w:tabs>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Asimismo, no pasa desapercibido mencionar que, el Sujeto Obligado dejó visibles datos personales confidenciales en la respuesta proporcionada a la solicitud de información que nos ocupa, a saber, la cuenta bancaria del servidor público, circunstancia que vulnera lo previsto en el artículo 143, fracción I, de la Ley de Transparencia y Acceso a la Información Pública del Estado de México y Municipios. </w:t>
      </w:r>
    </w:p>
    <w:p w14:paraId="5D1CDEA7" w14:textId="77777777" w:rsidR="003B4400" w:rsidRPr="00ED6CDB" w:rsidRDefault="003B4400" w:rsidP="00392991">
      <w:pPr>
        <w:tabs>
          <w:tab w:val="left" w:pos="4962"/>
        </w:tabs>
        <w:spacing w:after="0" w:line="360" w:lineRule="auto"/>
        <w:ind w:left="567"/>
        <w:jc w:val="both"/>
        <w:rPr>
          <w:rFonts w:ascii="Palatino Linotype" w:eastAsia="Palatino Linotype" w:hAnsi="Palatino Linotype" w:cs="Palatino Linotype"/>
        </w:rPr>
      </w:pPr>
    </w:p>
    <w:p w14:paraId="3796A501" w14:textId="77777777" w:rsidR="003B4400" w:rsidRPr="00ED6CDB" w:rsidRDefault="003B4400" w:rsidP="00392991">
      <w:pPr>
        <w:numPr>
          <w:ilvl w:val="0"/>
          <w:numId w:val="11"/>
        </w:numPr>
        <w:pBdr>
          <w:top w:val="nil"/>
          <w:left w:val="nil"/>
          <w:bottom w:val="nil"/>
          <w:right w:val="nil"/>
          <w:between w:val="nil"/>
        </w:pBdr>
        <w:tabs>
          <w:tab w:val="left" w:pos="4962"/>
        </w:tabs>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b/>
        </w:rPr>
        <w:t xml:space="preserve">Deducciones personales y por Ley. </w:t>
      </w:r>
    </w:p>
    <w:p w14:paraId="53427C71"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38ACEEAA"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5D4CD403"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676E5247"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0E5749CF"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w:t>
      </w:r>
      <w:r w:rsidRPr="00ED6CDB">
        <w:rPr>
          <w:rFonts w:ascii="Palatino Linotype" w:eastAsia="Palatino Linotype" w:hAnsi="Palatino Linotype" w:cs="Palatino Linotype"/>
        </w:rPr>
        <w:lastRenderedPageBreak/>
        <w:t xml:space="preserve">casos se trata del libre ejercicio del servidor público para disponer de un ingreso que forma parte de su patrimonio. </w:t>
      </w:r>
    </w:p>
    <w:p w14:paraId="45B73FC6"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221663E7" w14:textId="77777777" w:rsidR="003B4400" w:rsidRPr="00ED6CDB" w:rsidRDefault="003B4400" w:rsidP="00392991">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Municipios, no obstante, cuando se traten de deducciones por Ley, este dato, no es susceptible de ser clasificado. </w:t>
      </w:r>
    </w:p>
    <w:p w14:paraId="287F7050"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3C046B54" w14:textId="77777777" w:rsidR="003B4400" w:rsidRPr="00ED6CDB" w:rsidRDefault="003B4400" w:rsidP="00392991">
      <w:pPr>
        <w:spacing w:after="0" w:line="360" w:lineRule="auto"/>
        <w:ind w:right="50"/>
        <w:jc w:val="both"/>
        <w:rPr>
          <w:rFonts w:ascii="Palatino Linotype" w:eastAsia="Palatino Linotype" w:hAnsi="Palatino Linotype" w:cs="Palatino Linotype"/>
        </w:rPr>
      </w:pPr>
      <w:r w:rsidRPr="00ED6CD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10964D2F" w14:textId="77777777" w:rsidR="003B4400" w:rsidRPr="00ED6CDB" w:rsidRDefault="003B4400" w:rsidP="00392991">
      <w:pPr>
        <w:spacing w:after="0" w:line="360" w:lineRule="auto"/>
        <w:ind w:right="50"/>
        <w:jc w:val="both"/>
        <w:rPr>
          <w:rFonts w:ascii="Palatino Linotype" w:eastAsia="Palatino Linotype" w:hAnsi="Palatino Linotype" w:cs="Palatino Linotype"/>
        </w:rPr>
      </w:pPr>
    </w:p>
    <w:p w14:paraId="711BCB7A"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Artículo 3.</w:t>
      </w:r>
      <w:r w:rsidRPr="00ED6CDB">
        <w:rPr>
          <w:rFonts w:ascii="Palatino Linotype" w:eastAsia="Palatino Linotype" w:hAnsi="Palatino Linotype" w:cs="Palatino Linotype"/>
          <w:i/>
        </w:rPr>
        <w:t xml:space="preserve"> Para los efectos de la presente Ley se entenderá por:</w:t>
      </w:r>
    </w:p>
    <w:p w14:paraId="525A0B7E"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6377CA7F"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5A04F4B"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XX. Información clasificada: Aquella considerada por la presente Ley como reservada o confidencial;</w:t>
      </w:r>
    </w:p>
    <w:p w14:paraId="720EABF6"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E7F3A7"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87B2E19"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08A46C85"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Artículo 91.</w:t>
      </w:r>
      <w:r w:rsidRPr="00ED6CDB">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6E3F253"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lastRenderedPageBreak/>
        <w:t>Artículo 132.</w:t>
      </w:r>
      <w:r w:rsidRPr="00ED6CDB">
        <w:rPr>
          <w:rFonts w:ascii="Palatino Linotype" w:eastAsia="Palatino Linotype" w:hAnsi="Palatino Linotype" w:cs="Palatino Linotype"/>
          <w:i/>
        </w:rPr>
        <w:t xml:space="preserve"> La clasificación de la información se llevará a cabo en el momento en que:</w:t>
      </w:r>
    </w:p>
    <w:p w14:paraId="11D422FC" w14:textId="77777777" w:rsidR="003B4400" w:rsidRPr="00ED6CDB" w:rsidRDefault="003B4400" w:rsidP="0000514C">
      <w:pPr>
        <w:tabs>
          <w:tab w:val="left" w:pos="1134"/>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 Se reciba una solicitud de acceso a la información;</w:t>
      </w:r>
    </w:p>
    <w:p w14:paraId="124EE64E" w14:textId="77777777" w:rsidR="003B4400" w:rsidRPr="00ED6CDB" w:rsidRDefault="003B4400" w:rsidP="0000514C">
      <w:pPr>
        <w:tabs>
          <w:tab w:val="left" w:pos="1134"/>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 Se determine mediante resolución de autoridad competente; o</w:t>
      </w:r>
    </w:p>
    <w:p w14:paraId="77E6001F" w14:textId="77777777" w:rsidR="003B4400" w:rsidRPr="00ED6CDB" w:rsidRDefault="003B4400" w:rsidP="0000514C">
      <w:pPr>
        <w:tabs>
          <w:tab w:val="left" w:pos="1134"/>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III. Se generen versiones públicas para dar cumplimiento a las obligaciones de transparencia previstas en esta Ley.</w:t>
      </w:r>
    </w:p>
    <w:p w14:paraId="4D9F9188"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7D9EFA60"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Artículo 143</w:t>
      </w:r>
      <w:r w:rsidRPr="00ED6CD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6F82B43"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9A082E2"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DC9CDE6"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1ECDA6D"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6847AC4" w14:textId="77777777" w:rsidR="003B4400" w:rsidRPr="00ED6CDB" w:rsidRDefault="003B4400" w:rsidP="0000514C">
      <w:pPr>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3666BB9" w14:textId="77777777" w:rsidR="003B4400" w:rsidRPr="00ED6CDB" w:rsidRDefault="003B4400" w:rsidP="00392991">
      <w:pPr>
        <w:spacing w:after="0"/>
        <w:ind w:left="567" w:right="616"/>
        <w:jc w:val="both"/>
        <w:rPr>
          <w:rFonts w:ascii="Palatino Linotype" w:eastAsia="Palatino Linotype" w:hAnsi="Palatino Linotype" w:cs="Palatino Linotype"/>
          <w:i/>
        </w:rPr>
      </w:pPr>
    </w:p>
    <w:p w14:paraId="4B3F6CBA" w14:textId="77777777" w:rsidR="003B4400" w:rsidRPr="00ED6CDB" w:rsidRDefault="003B4400"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3AF136" w14:textId="77777777" w:rsidR="003B4400" w:rsidRPr="00ED6CDB" w:rsidRDefault="003B4400" w:rsidP="00392991">
      <w:pPr>
        <w:spacing w:after="0"/>
        <w:jc w:val="both"/>
        <w:rPr>
          <w:rFonts w:ascii="Palatino Linotype" w:eastAsia="Palatino Linotype" w:hAnsi="Palatino Linotype" w:cs="Palatino Linotype"/>
        </w:rPr>
      </w:pPr>
    </w:p>
    <w:p w14:paraId="7F44960E" w14:textId="77777777" w:rsidR="003B4400" w:rsidRPr="00ED6CDB" w:rsidRDefault="003B4400"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53D9771"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26E7835F"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 “</w:t>
      </w:r>
      <w:r w:rsidRPr="00ED6CDB">
        <w:rPr>
          <w:rFonts w:ascii="Palatino Linotype" w:eastAsia="Palatino Linotype" w:hAnsi="Palatino Linotype" w:cs="Palatino Linotype"/>
          <w:b/>
          <w:i/>
        </w:rPr>
        <w:t>Quincuagésimo</w:t>
      </w:r>
      <w:r w:rsidRPr="00ED6CDB">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A7ABA1"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Quincuagésimo primero.</w:t>
      </w:r>
      <w:r w:rsidRPr="00ED6CDB">
        <w:rPr>
          <w:rFonts w:ascii="Palatino Linotype" w:eastAsia="Palatino Linotype" w:hAnsi="Palatino Linotype" w:cs="Palatino Linotype"/>
          <w:i/>
        </w:rPr>
        <w:t xml:space="preserve"> Toda acta del Comité de Transparencia deberá contener: </w:t>
      </w:r>
    </w:p>
    <w:p w14:paraId="2D700A58"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 El número de sesión y fecha; </w:t>
      </w:r>
    </w:p>
    <w:p w14:paraId="3E49970E"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II. El nombre del área que solicitó la clasificación de información; </w:t>
      </w:r>
    </w:p>
    <w:p w14:paraId="2834B9B2"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III. La fundamentación legal y motivación correspondiente; </w:t>
      </w:r>
    </w:p>
    <w:p w14:paraId="09C4B1B1"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IV. La resolución o resoluciones aprobadas; y </w:t>
      </w:r>
    </w:p>
    <w:p w14:paraId="59E1867A"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V. La rúbrica o firma digital de cada integrante del Comité de Transparencia. </w:t>
      </w:r>
    </w:p>
    <w:p w14:paraId="3BF0D27C"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20C7A28F"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 Los motivos y razonamientos que sustenten la confirmación o modificación de la prueba de daño;</w:t>
      </w:r>
    </w:p>
    <w:p w14:paraId="25B414AD"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II. Descripción de las partes o secciones reservadas, en caso de clasificación parcial; </w:t>
      </w:r>
    </w:p>
    <w:p w14:paraId="088A0AB1"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III. El periodo por el que mantendrá su clasificación y fecha de expiración; y </w:t>
      </w:r>
    </w:p>
    <w:p w14:paraId="32C8D39C"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IV. El nombre del titular y área encargada de realizar la versión pública del documento, en su caso. </w:t>
      </w:r>
    </w:p>
    <w:p w14:paraId="5D6AE10F"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6848F109" w14:textId="77777777" w:rsidR="003B4400" w:rsidRPr="00ED6CDB" w:rsidRDefault="003B4400" w:rsidP="0000514C">
      <w:pPr>
        <w:pBdr>
          <w:top w:val="nil"/>
          <w:left w:val="nil"/>
          <w:bottom w:val="nil"/>
          <w:right w:val="nil"/>
          <w:between w:val="nil"/>
        </w:pBd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153D862"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b/>
          <w:i/>
        </w:rPr>
        <w:t>Quincuagésimo segundo.</w:t>
      </w:r>
      <w:r w:rsidRPr="00ED6CDB">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w:t>
      </w:r>
      <w:r w:rsidRPr="00ED6CDB">
        <w:rPr>
          <w:rFonts w:ascii="Palatino Linotype" w:eastAsia="Palatino Linotype" w:hAnsi="Palatino Linotype" w:cs="Palatino Linotype"/>
          <w:i/>
        </w:rPr>
        <w:lastRenderedPageBreak/>
        <w:t>asegurar que el espacio utilizado para testar la información no podrá ser empleado para la sobreposición de contenido distinto al autorizado por el Comité.</w:t>
      </w:r>
    </w:p>
    <w:p w14:paraId="18A119F2"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76D136E"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 Fijar la fecha en que se elaboró la versión pública y la fecha en la cual el Comité de Transparencia confirmó dicha versión;</w:t>
      </w:r>
    </w:p>
    <w:p w14:paraId="2E8F5DD8"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D0FFD1C"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III. Señalar las personas o instancias autorizadas a acceder a la información clasificada.</w:t>
      </w:r>
    </w:p>
    <w:p w14:paraId="796E0C9C" w14:textId="77777777" w:rsidR="003B4400" w:rsidRPr="00ED6CDB" w:rsidRDefault="003B4400" w:rsidP="0000514C">
      <w:pPr>
        <w:tabs>
          <w:tab w:val="left" w:pos="709"/>
        </w:tabs>
        <w:spacing w:after="0"/>
        <w:ind w:left="851" w:right="709"/>
        <w:jc w:val="both"/>
        <w:rPr>
          <w:rFonts w:ascii="Palatino Linotype" w:eastAsia="Palatino Linotype" w:hAnsi="Palatino Linotype" w:cs="Palatino Linotype"/>
          <w:i/>
        </w:rPr>
      </w:pPr>
      <w:r w:rsidRPr="00ED6CD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0DE6BD07"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67EE6EDC" w14:textId="77777777" w:rsidR="003B4400" w:rsidRPr="00ED6CDB" w:rsidRDefault="003B4400"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411FEC67"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00BCF647" w14:textId="77777777" w:rsidR="003B4400" w:rsidRPr="00ED6CDB" w:rsidRDefault="003B4400" w:rsidP="0000514C">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r w:rsidRPr="00ED6CDB">
        <w:rPr>
          <w:rFonts w:ascii="Palatino Linotype" w:eastAsia="Palatino Linotype" w:hAnsi="Palatino Linotype" w:cs="Palatino Linotype"/>
          <w:b/>
          <w:i/>
        </w:rPr>
        <w:t>Quincuagésimo cuarto.</w:t>
      </w:r>
      <w:r w:rsidRPr="00ED6CDB">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C40A083"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b/>
          <w:i/>
        </w:rPr>
        <w:t>Quincuagésimo quinto.</w:t>
      </w:r>
      <w:r w:rsidRPr="00ED6CDB">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5AAD91"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t>...</w:t>
      </w:r>
    </w:p>
    <w:p w14:paraId="5FC148F3"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b/>
          <w:i/>
        </w:rPr>
        <w:t>Quincuagésimo séptimo.</w:t>
      </w:r>
      <w:r w:rsidRPr="00ED6CDB">
        <w:rPr>
          <w:rFonts w:ascii="Palatino Linotype" w:eastAsia="Palatino Linotype" w:hAnsi="Palatino Linotype" w:cs="Palatino Linotype"/>
          <w:i/>
        </w:rPr>
        <w:t xml:space="preserve"> Se considera, en principio, como información pública y no podrá omitirse de las versiones públicas la siguiente: </w:t>
      </w:r>
    </w:p>
    <w:p w14:paraId="151871BD"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14:paraId="65D022DE"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CD69C3A"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0344765"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0A3BDF2" w14:textId="77777777" w:rsidR="003B4400" w:rsidRPr="00ED6CDB" w:rsidRDefault="003B4400" w:rsidP="0000514C">
      <w:pPr>
        <w:spacing w:after="0"/>
        <w:ind w:left="851" w:right="851"/>
        <w:jc w:val="both"/>
        <w:rPr>
          <w:rFonts w:ascii="Palatino Linotype" w:eastAsia="Palatino Linotype" w:hAnsi="Palatino Linotype" w:cs="Palatino Linotype"/>
          <w:i/>
        </w:rPr>
      </w:pPr>
      <w:r w:rsidRPr="00ED6CDB">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4BA8EA2" w14:textId="77777777" w:rsidR="003B4400" w:rsidRPr="00ED6CDB" w:rsidRDefault="003B4400" w:rsidP="00392991">
      <w:pPr>
        <w:spacing w:after="0" w:line="360" w:lineRule="auto"/>
        <w:jc w:val="both"/>
        <w:rPr>
          <w:rFonts w:ascii="Palatino Linotype" w:eastAsia="Palatino Linotype" w:hAnsi="Palatino Linotype" w:cs="Palatino Linotype"/>
        </w:rPr>
      </w:pPr>
    </w:p>
    <w:p w14:paraId="23FEACA7" w14:textId="77777777" w:rsidR="003B4400" w:rsidRPr="00ED6CDB" w:rsidRDefault="003B4400" w:rsidP="00392991">
      <w:pP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39C4556" w14:textId="77777777" w:rsidR="003B4400" w:rsidRPr="00ED6CDB" w:rsidRDefault="003B4400" w:rsidP="00392991">
      <w:pPr>
        <w:spacing w:after="0" w:line="360" w:lineRule="auto"/>
        <w:ind w:right="49"/>
        <w:jc w:val="both"/>
        <w:rPr>
          <w:rFonts w:ascii="Palatino Linotype" w:eastAsia="Palatino Linotype" w:hAnsi="Palatino Linotype" w:cs="Palatino Linotype"/>
          <w:b/>
        </w:rPr>
      </w:pPr>
    </w:p>
    <w:p w14:paraId="58FD3FB5" w14:textId="25BF3FCB" w:rsidR="002D54BB" w:rsidRPr="00ED6CDB" w:rsidRDefault="001C6AF3"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rPr>
        <w:t xml:space="preserve">Así, con fundamento en lo prescrito en los artículos 5 párrafos </w:t>
      </w:r>
      <w:r w:rsidR="003B4400" w:rsidRPr="00ED6CDB">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D6CDB">
        <w:rPr>
          <w:rFonts w:ascii="Palatino Linotype" w:eastAsia="Palatino Linotype" w:hAnsi="Palatino Linotype" w:cs="Palatino Linotype"/>
        </w:rPr>
        <w:t xml:space="preserve">; 2, fracción II; 29, 36 fracciones I </w:t>
      </w:r>
      <w:r w:rsidRPr="00ED6CDB">
        <w:rPr>
          <w:rFonts w:ascii="Palatino Linotype" w:eastAsia="Palatino Linotype" w:hAnsi="Palatino Linotype" w:cs="Palatino Linotype"/>
        </w:rPr>
        <w:lastRenderedPageBreak/>
        <w:t>y II; 176, 178, 181, 185, fracción I, 186 y 188 de la Ley de Transparencia y Acceso a la Información Pública del Estado de México y Municipios, este Pleno:</w:t>
      </w:r>
    </w:p>
    <w:p w14:paraId="0681DE65" w14:textId="77777777" w:rsidR="002D54BB" w:rsidRPr="00ED6CDB" w:rsidRDefault="002D54BB" w:rsidP="00392991">
      <w:pPr>
        <w:spacing w:after="0" w:line="360" w:lineRule="auto"/>
        <w:ind w:right="49"/>
        <w:jc w:val="center"/>
        <w:rPr>
          <w:rFonts w:ascii="Palatino Linotype" w:eastAsia="Palatino Linotype" w:hAnsi="Palatino Linotype" w:cs="Palatino Linotype"/>
          <w:b/>
        </w:rPr>
      </w:pPr>
    </w:p>
    <w:p w14:paraId="3F3D81CA" w14:textId="77777777" w:rsidR="004639EE" w:rsidRPr="00ED6CDB" w:rsidRDefault="00E72281" w:rsidP="00392991">
      <w:pPr>
        <w:spacing w:after="0" w:line="360" w:lineRule="auto"/>
        <w:ind w:right="49"/>
        <w:jc w:val="center"/>
        <w:rPr>
          <w:rFonts w:ascii="Palatino Linotype" w:eastAsia="Palatino Linotype" w:hAnsi="Palatino Linotype" w:cs="Palatino Linotype"/>
          <w:b/>
        </w:rPr>
      </w:pPr>
      <w:r w:rsidRPr="00ED6CDB">
        <w:rPr>
          <w:rFonts w:ascii="Palatino Linotype" w:eastAsia="Palatino Linotype" w:hAnsi="Palatino Linotype" w:cs="Palatino Linotype"/>
          <w:b/>
        </w:rPr>
        <w:t>III.</w:t>
      </w:r>
      <w:r w:rsidRPr="00ED6CDB">
        <w:rPr>
          <w:rFonts w:ascii="Palatino Linotype" w:eastAsia="Palatino Linotype" w:hAnsi="Palatino Linotype" w:cs="Palatino Linotype"/>
          <w:b/>
        </w:rPr>
        <w:tab/>
        <w:t>R E S U E L V E:</w:t>
      </w:r>
    </w:p>
    <w:p w14:paraId="35A8E598" w14:textId="77777777" w:rsidR="004639EE" w:rsidRPr="00ED6CDB" w:rsidRDefault="004639EE" w:rsidP="00392991">
      <w:pPr>
        <w:spacing w:after="0" w:line="360" w:lineRule="auto"/>
        <w:ind w:right="49"/>
        <w:jc w:val="both"/>
        <w:rPr>
          <w:rFonts w:ascii="Palatino Linotype" w:eastAsia="Palatino Linotype" w:hAnsi="Palatino Linotype" w:cs="Palatino Linotype"/>
        </w:rPr>
      </w:pPr>
    </w:p>
    <w:p w14:paraId="2B7CCF70" w14:textId="6045500F" w:rsidR="004639EE" w:rsidRPr="00ED6CDB" w:rsidRDefault="00E72281"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b/>
        </w:rPr>
        <w:t>Primero.</w:t>
      </w:r>
      <w:r w:rsidRPr="00ED6CDB">
        <w:rPr>
          <w:rFonts w:ascii="Palatino Linotype" w:eastAsia="Palatino Linotype" w:hAnsi="Palatino Linotype" w:cs="Palatino Linotype"/>
        </w:rPr>
        <w:t xml:space="preserve"> Resultan</w:t>
      </w:r>
      <w:r w:rsidR="00267653" w:rsidRPr="00ED6CDB">
        <w:rPr>
          <w:rFonts w:ascii="Palatino Linotype" w:eastAsia="Palatino Linotype" w:hAnsi="Palatino Linotype" w:cs="Palatino Linotype"/>
          <w:b/>
        </w:rPr>
        <w:t xml:space="preserve"> </w:t>
      </w:r>
      <w:r w:rsidR="00A04649" w:rsidRPr="00ED6CDB">
        <w:rPr>
          <w:rFonts w:ascii="Palatino Linotype" w:eastAsia="Palatino Linotype" w:hAnsi="Palatino Linotype" w:cs="Palatino Linotype"/>
          <w:b/>
        </w:rPr>
        <w:t>fundados</w:t>
      </w:r>
      <w:r w:rsidR="00A04649"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rPr>
        <w:t xml:space="preserve">los motivos de inconformidad hechos valer por la parte </w:t>
      </w:r>
      <w:r w:rsidRPr="00ED6CDB">
        <w:rPr>
          <w:rFonts w:ascii="Palatino Linotype" w:eastAsia="Palatino Linotype" w:hAnsi="Palatino Linotype" w:cs="Palatino Linotype"/>
          <w:b/>
        </w:rPr>
        <w:t>Recurrente</w:t>
      </w:r>
      <w:r w:rsidRPr="00ED6CDB">
        <w:rPr>
          <w:rFonts w:ascii="Palatino Linotype" w:eastAsia="Palatino Linotype" w:hAnsi="Palatino Linotype" w:cs="Palatino Linotype"/>
        </w:rPr>
        <w:t xml:space="preserve"> en el Recurso de Revisión </w:t>
      </w:r>
      <w:r w:rsidR="001C6AF3" w:rsidRPr="00ED6CDB">
        <w:rPr>
          <w:rFonts w:ascii="Palatino Linotype" w:eastAsia="Palatino Linotype" w:hAnsi="Palatino Linotype" w:cs="Palatino Linotype"/>
          <w:b/>
        </w:rPr>
        <w:t>0</w:t>
      </w:r>
      <w:r w:rsidR="00A04649" w:rsidRPr="00ED6CDB">
        <w:rPr>
          <w:rFonts w:ascii="Palatino Linotype" w:eastAsia="Palatino Linotype" w:hAnsi="Palatino Linotype" w:cs="Palatino Linotype"/>
          <w:b/>
        </w:rPr>
        <w:t>2284</w:t>
      </w:r>
      <w:r w:rsidRPr="00ED6CDB">
        <w:rPr>
          <w:rFonts w:ascii="Palatino Linotype" w:eastAsia="Palatino Linotype" w:hAnsi="Palatino Linotype" w:cs="Palatino Linotype"/>
          <w:b/>
        </w:rPr>
        <w:t>/INFOEM/IP/RR/202</w:t>
      </w:r>
      <w:r w:rsidR="00A04649" w:rsidRPr="00ED6CDB">
        <w:rPr>
          <w:rFonts w:ascii="Palatino Linotype" w:eastAsia="Palatino Linotype" w:hAnsi="Palatino Linotype" w:cs="Palatino Linotype"/>
          <w:b/>
        </w:rPr>
        <w:t>6</w:t>
      </w:r>
      <w:r w:rsidRPr="00ED6CDB">
        <w:rPr>
          <w:rFonts w:ascii="Palatino Linotype" w:eastAsia="Palatino Linotype" w:hAnsi="Palatino Linotype" w:cs="Palatino Linotype"/>
        </w:rPr>
        <w:t xml:space="preserve">, en términos del </w:t>
      </w:r>
      <w:r w:rsidRPr="00ED6CDB">
        <w:rPr>
          <w:rFonts w:ascii="Palatino Linotype" w:eastAsia="Palatino Linotype" w:hAnsi="Palatino Linotype" w:cs="Palatino Linotype"/>
          <w:b/>
        </w:rPr>
        <w:t>Considerando Cuarto</w:t>
      </w:r>
      <w:r w:rsidRPr="00ED6CDB">
        <w:rPr>
          <w:rFonts w:ascii="Palatino Linotype" w:eastAsia="Palatino Linotype" w:hAnsi="Palatino Linotype" w:cs="Palatino Linotype"/>
        </w:rPr>
        <w:t xml:space="preserve"> de </w:t>
      </w:r>
      <w:r w:rsidR="00A04649" w:rsidRPr="00ED6CDB">
        <w:rPr>
          <w:rFonts w:ascii="Palatino Linotype" w:eastAsia="Palatino Linotype" w:hAnsi="Palatino Linotype" w:cs="Palatino Linotype"/>
        </w:rPr>
        <w:t xml:space="preserve">la presente </w:t>
      </w:r>
      <w:r w:rsidRPr="00ED6CDB">
        <w:rPr>
          <w:rFonts w:ascii="Palatino Linotype" w:eastAsia="Palatino Linotype" w:hAnsi="Palatino Linotype" w:cs="Palatino Linotype"/>
        </w:rPr>
        <w:t>resolución</w:t>
      </w:r>
      <w:r w:rsidR="00A04649" w:rsidRPr="00ED6CDB">
        <w:rPr>
          <w:rFonts w:ascii="Palatino Linotype" w:eastAsia="Palatino Linotype" w:hAnsi="Palatino Linotype" w:cs="Palatino Linotype"/>
        </w:rPr>
        <w:t>.</w:t>
      </w:r>
    </w:p>
    <w:p w14:paraId="6E2EBFA5" w14:textId="77777777" w:rsidR="004639EE" w:rsidRPr="00ED6CDB" w:rsidRDefault="004639EE" w:rsidP="00392991">
      <w:pPr>
        <w:spacing w:after="0" w:line="360" w:lineRule="auto"/>
        <w:ind w:right="49"/>
        <w:jc w:val="both"/>
        <w:rPr>
          <w:rFonts w:ascii="Palatino Linotype" w:eastAsia="Palatino Linotype" w:hAnsi="Palatino Linotype" w:cs="Palatino Linotype"/>
        </w:rPr>
      </w:pPr>
    </w:p>
    <w:p w14:paraId="127B137B" w14:textId="7C1138CF" w:rsidR="004639EE" w:rsidRPr="00ED6CDB" w:rsidRDefault="00E72281" w:rsidP="00392991">
      <w:pPr>
        <w:spacing w:after="0" w:line="360" w:lineRule="auto"/>
        <w:jc w:val="both"/>
        <w:rPr>
          <w:rFonts w:ascii="Palatino Linotype" w:eastAsia="Palatino Linotype" w:hAnsi="Palatino Linotype" w:cs="Palatino Linotype"/>
        </w:rPr>
      </w:pPr>
      <w:bookmarkStart w:id="1" w:name="_heading=h.1fob9te" w:colFirst="0" w:colLast="0"/>
      <w:bookmarkEnd w:id="1"/>
      <w:r w:rsidRPr="00ED6CDB">
        <w:rPr>
          <w:rFonts w:ascii="Palatino Linotype" w:eastAsia="Palatino Linotype" w:hAnsi="Palatino Linotype" w:cs="Palatino Linotype"/>
          <w:b/>
        </w:rPr>
        <w:t>Segundo</w:t>
      </w:r>
      <w:r w:rsidRPr="00ED6CDB">
        <w:rPr>
          <w:rFonts w:ascii="Palatino Linotype" w:eastAsia="Palatino Linotype" w:hAnsi="Palatino Linotype" w:cs="Palatino Linotype"/>
        </w:rPr>
        <w:t xml:space="preserve">. Se </w:t>
      </w:r>
      <w:r w:rsidR="00A04649" w:rsidRPr="00ED6CDB">
        <w:rPr>
          <w:rFonts w:ascii="Palatino Linotype" w:eastAsia="Palatino Linotype" w:hAnsi="Palatino Linotype" w:cs="Palatino Linotype"/>
          <w:b/>
        </w:rPr>
        <w:t>ordena</w:t>
      </w:r>
      <w:r w:rsidR="00A04649"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rPr>
        <w:t xml:space="preserve">al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que, en términos del Considerando </w:t>
      </w:r>
      <w:r w:rsidR="00267653" w:rsidRPr="00ED6CDB">
        <w:rPr>
          <w:rFonts w:ascii="Palatino Linotype" w:eastAsia="Palatino Linotype" w:hAnsi="Palatino Linotype" w:cs="Palatino Linotype"/>
          <w:b/>
        </w:rPr>
        <w:t>Cuarto y Quin</w:t>
      </w:r>
      <w:r w:rsidRPr="00ED6CDB">
        <w:rPr>
          <w:rFonts w:ascii="Palatino Linotype" w:eastAsia="Palatino Linotype" w:hAnsi="Palatino Linotype" w:cs="Palatino Linotype"/>
          <w:b/>
        </w:rPr>
        <w:t>to</w:t>
      </w:r>
      <w:r w:rsidRPr="00ED6CDB">
        <w:rPr>
          <w:rFonts w:ascii="Palatino Linotype" w:eastAsia="Palatino Linotype" w:hAnsi="Palatino Linotype" w:cs="Palatino Linotype"/>
        </w:rPr>
        <w:t>, haga entrega, vía Sistema de Acceso a la Información Mexiquense (</w:t>
      </w:r>
      <w:r w:rsidRPr="00ED6CDB">
        <w:rPr>
          <w:rFonts w:ascii="Palatino Linotype" w:eastAsia="Palatino Linotype" w:hAnsi="Palatino Linotype" w:cs="Palatino Linotype"/>
          <w:b/>
        </w:rPr>
        <w:t>SAIMEX</w:t>
      </w:r>
      <w:r w:rsidR="00267653" w:rsidRPr="00ED6CDB">
        <w:rPr>
          <w:rFonts w:ascii="Palatino Linotype" w:eastAsia="Palatino Linotype" w:hAnsi="Palatino Linotype" w:cs="Palatino Linotype"/>
        </w:rPr>
        <w:t xml:space="preserve">), </w:t>
      </w:r>
      <w:r w:rsidR="00A04649" w:rsidRPr="00ED6CDB">
        <w:rPr>
          <w:rFonts w:ascii="Palatino Linotype" w:eastAsia="Palatino Linotype" w:hAnsi="Palatino Linotype" w:cs="Palatino Linotype"/>
        </w:rPr>
        <w:t xml:space="preserve">en versión pública, </w:t>
      </w:r>
      <w:r w:rsidRPr="00ED6CDB">
        <w:rPr>
          <w:rFonts w:ascii="Palatino Linotype" w:eastAsia="Palatino Linotype" w:hAnsi="Palatino Linotype" w:cs="Palatino Linotype"/>
        </w:rPr>
        <w:t xml:space="preserve">de la siguiente información: </w:t>
      </w:r>
    </w:p>
    <w:p w14:paraId="16A716F3" w14:textId="77777777" w:rsidR="004639EE" w:rsidRPr="00ED6CDB" w:rsidRDefault="004639EE" w:rsidP="00392991">
      <w:pPr>
        <w:spacing w:after="0" w:line="360" w:lineRule="auto"/>
        <w:jc w:val="both"/>
        <w:rPr>
          <w:rFonts w:ascii="Palatino Linotype" w:eastAsia="Palatino Linotype" w:hAnsi="Palatino Linotype" w:cs="Palatino Linotype"/>
        </w:rPr>
      </w:pPr>
    </w:p>
    <w:p w14:paraId="232823C6" w14:textId="2AFD34E2" w:rsidR="004639EE" w:rsidRPr="00ED6CDB" w:rsidRDefault="00A04649" w:rsidP="002A0503">
      <w:pPr>
        <w:pStyle w:val="Prrafodelista"/>
        <w:numPr>
          <w:ilvl w:val="0"/>
          <w:numId w:val="2"/>
        </w:numPr>
        <w:pBdr>
          <w:top w:val="nil"/>
          <w:left w:val="nil"/>
          <w:bottom w:val="nil"/>
          <w:right w:val="nil"/>
          <w:between w:val="nil"/>
        </w:pBdr>
        <w:spacing w:after="0" w:line="360" w:lineRule="auto"/>
        <w:ind w:right="709"/>
        <w:jc w:val="both"/>
        <w:rPr>
          <w:rFonts w:ascii="Palatino Linotype" w:eastAsia="Palatino Linotype" w:hAnsi="Palatino Linotype" w:cs="Palatino Linotype"/>
        </w:rPr>
      </w:pPr>
      <w:r w:rsidRPr="00ED6CDB">
        <w:rPr>
          <w:rFonts w:ascii="Palatino Linotype" w:eastAsia="Palatino Linotype" w:hAnsi="Palatino Linotype" w:cs="Palatino Linotype"/>
          <w:b/>
          <w:bCs/>
        </w:rPr>
        <w:t>L</w:t>
      </w:r>
      <w:r w:rsidR="002A0503" w:rsidRPr="00ED6CDB">
        <w:rPr>
          <w:rFonts w:ascii="Palatino Linotype" w:eastAsia="Palatino Linotype" w:hAnsi="Palatino Linotype" w:cs="Palatino Linotype"/>
          <w:b/>
          <w:bCs/>
        </w:rPr>
        <w:t xml:space="preserve">os documentos donde conste la </w:t>
      </w:r>
      <w:r w:rsidRPr="00ED6CDB">
        <w:rPr>
          <w:rFonts w:ascii="Palatino Linotype" w:eastAsia="Palatino Linotype" w:hAnsi="Palatino Linotype" w:cs="Palatino Linotype"/>
          <w:b/>
          <w:bCs/>
        </w:rPr>
        <w:t xml:space="preserve">nómina </w:t>
      </w:r>
      <w:r w:rsidR="002A0503" w:rsidRPr="00ED6CDB">
        <w:rPr>
          <w:rFonts w:ascii="Palatino Linotype" w:eastAsia="Palatino Linotype" w:hAnsi="Palatino Linotype" w:cs="Palatino Linotype"/>
          <w:b/>
          <w:bCs/>
        </w:rPr>
        <w:t xml:space="preserve">pagada </w:t>
      </w:r>
      <w:r w:rsidRPr="00ED6CDB">
        <w:rPr>
          <w:rFonts w:ascii="Palatino Linotype" w:eastAsia="Palatino Linotype" w:hAnsi="Palatino Linotype" w:cs="Palatino Linotype"/>
          <w:b/>
          <w:bCs/>
        </w:rPr>
        <w:t>de</w:t>
      </w:r>
      <w:r w:rsidR="002A0503" w:rsidRPr="00ED6CDB">
        <w:t xml:space="preserve"> </w:t>
      </w:r>
      <w:r w:rsidR="002A0503" w:rsidRPr="00ED6CDB">
        <w:rPr>
          <w:rFonts w:ascii="Palatino Linotype" w:eastAsia="Palatino Linotype" w:hAnsi="Palatino Linotype" w:cs="Palatino Linotype"/>
          <w:b/>
          <w:bCs/>
        </w:rPr>
        <w:t xml:space="preserve">los servidores públicos adscritos a </w:t>
      </w:r>
      <w:r w:rsidRPr="00ED6CDB">
        <w:rPr>
          <w:rFonts w:ascii="Palatino Linotype" w:eastAsia="Palatino Linotype" w:hAnsi="Palatino Linotype" w:cs="Palatino Linotype"/>
          <w:b/>
          <w:bCs/>
        </w:rPr>
        <w:t>la Dirección de Seguridad Pública</w:t>
      </w:r>
      <w:r w:rsidR="0000514C" w:rsidRPr="00ED6CDB">
        <w:rPr>
          <w:rFonts w:ascii="Palatino Linotype" w:eastAsia="Palatino Linotype" w:hAnsi="Palatino Linotype" w:cs="Palatino Linotype"/>
          <w:b/>
          <w:bCs/>
        </w:rPr>
        <w:t>, Vial y Tránsito</w:t>
      </w:r>
      <w:r w:rsidRPr="00ED6CDB">
        <w:rPr>
          <w:rFonts w:ascii="Palatino Linotype" w:eastAsia="Palatino Linotype" w:hAnsi="Palatino Linotype" w:cs="Palatino Linotype"/>
          <w:b/>
          <w:bCs/>
        </w:rPr>
        <w:t>, de la primera quincena de enero de dos mil veinticinco a la primera quincena de enero dos mil veintiséis</w:t>
      </w:r>
      <w:r w:rsidR="00267653" w:rsidRPr="00ED6CDB">
        <w:rPr>
          <w:rFonts w:ascii="Palatino Linotype" w:eastAsia="Palatino Linotype" w:hAnsi="Palatino Linotype" w:cs="Palatino Linotype"/>
        </w:rPr>
        <w:t>.</w:t>
      </w:r>
    </w:p>
    <w:p w14:paraId="6C08D16D" w14:textId="77777777" w:rsidR="00984E12" w:rsidRPr="00ED6CDB" w:rsidRDefault="00984E12" w:rsidP="00984E12">
      <w:pPr>
        <w:pStyle w:val="Prrafodelista"/>
        <w:pBdr>
          <w:top w:val="nil"/>
          <w:left w:val="nil"/>
          <w:bottom w:val="nil"/>
          <w:right w:val="nil"/>
          <w:between w:val="nil"/>
        </w:pBdr>
        <w:spacing w:after="0" w:line="360" w:lineRule="auto"/>
        <w:ind w:left="851" w:right="709"/>
        <w:jc w:val="both"/>
        <w:rPr>
          <w:rFonts w:ascii="Palatino Linotype" w:eastAsia="Palatino Linotype" w:hAnsi="Palatino Linotype" w:cs="Palatino Linotype"/>
        </w:rPr>
      </w:pPr>
    </w:p>
    <w:p w14:paraId="3EC50835" w14:textId="25DE6939" w:rsidR="00A04649" w:rsidRPr="00ED6CDB" w:rsidRDefault="00A04649" w:rsidP="0000514C">
      <w:pPr>
        <w:pStyle w:val="Prrafodelista"/>
        <w:pBdr>
          <w:top w:val="nil"/>
          <w:left w:val="nil"/>
          <w:bottom w:val="nil"/>
          <w:right w:val="nil"/>
          <w:between w:val="nil"/>
        </w:pBdr>
        <w:spacing w:after="0" w:line="276" w:lineRule="auto"/>
        <w:ind w:left="851" w:right="709"/>
        <w:jc w:val="both"/>
        <w:rPr>
          <w:rFonts w:ascii="Palatino Linotype" w:eastAsia="Palatino Linotype" w:hAnsi="Palatino Linotype" w:cs="Palatino Linotype"/>
        </w:rPr>
      </w:pPr>
      <w:r w:rsidRPr="00ED6CDB">
        <w:rPr>
          <w:rFonts w:ascii="Palatino Linotype" w:eastAsia="Palatino Linotype" w:hAnsi="Palatino Linotype" w:cs="Palatino Linotype"/>
          <w:i/>
          <w:iCs/>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ED6CDB">
        <w:rPr>
          <w:rFonts w:ascii="Palatino Linotype" w:eastAsia="Palatino Linotype" w:hAnsi="Palatino Linotype" w:cs="Palatino Linotype"/>
          <w:b/>
          <w:bCs/>
          <w:i/>
          <w:iCs/>
        </w:rPr>
        <w:t>Recurrente</w:t>
      </w:r>
      <w:r w:rsidRPr="00ED6CDB">
        <w:rPr>
          <w:rFonts w:ascii="Palatino Linotype" w:eastAsia="Palatino Linotype" w:hAnsi="Palatino Linotype" w:cs="Palatino Linotype"/>
          <w:i/>
          <w:iCs/>
        </w:rPr>
        <w:t>.</w:t>
      </w:r>
    </w:p>
    <w:p w14:paraId="55F11EF2" w14:textId="77777777" w:rsidR="004639EE" w:rsidRPr="00ED6CDB" w:rsidRDefault="004639EE" w:rsidP="00392991">
      <w:pPr>
        <w:spacing w:after="0"/>
        <w:ind w:right="615"/>
        <w:jc w:val="both"/>
        <w:rPr>
          <w:rFonts w:ascii="Palatino Linotype" w:eastAsia="Palatino Linotype" w:hAnsi="Palatino Linotype" w:cs="Palatino Linotype"/>
          <w:i/>
        </w:rPr>
      </w:pPr>
    </w:p>
    <w:p w14:paraId="1E3D16B6" w14:textId="77777777" w:rsidR="004639EE" w:rsidRPr="00ED6CDB" w:rsidRDefault="00E72281" w:rsidP="00392991">
      <w:pPr>
        <w:spacing w:after="0" w:line="360" w:lineRule="auto"/>
        <w:ind w:right="40"/>
        <w:jc w:val="both"/>
        <w:rPr>
          <w:rFonts w:ascii="Palatino Linotype" w:eastAsia="Palatino Linotype" w:hAnsi="Palatino Linotype" w:cs="Palatino Linotype"/>
        </w:rPr>
      </w:pPr>
      <w:r w:rsidRPr="00ED6CDB">
        <w:rPr>
          <w:rFonts w:ascii="Palatino Linotype" w:eastAsia="Palatino Linotype" w:hAnsi="Palatino Linotype" w:cs="Palatino Linotype"/>
          <w:b/>
        </w:rPr>
        <w:t>Tercero.</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rPr>
        <w:t xml:space="preserve">Notifíquese vía SAIMEX </w:t>
      </w:r>
      <w:r w:rsidRPr="00ED6CDB">
        <w:rPr>
          <w:rFonts w:ascii="Palatino Linotype" w:eastAsia="Palatino Linotype" w:hAnsi="Palatino Linotype" w:cs="Palatino Linotype"/>
        </w:rPr>
        <w:t>la presente resolución al T</w:t>
      </w:r>
      <w:r w:rsidRPr="00ED6CDB">
        <w:rPr>
          <w:rFonts w:ascii="Palatino Linotype" w:eastAsia="Palatino Linotype" w:hAnsi="Palatino Linotype" w:cs="Palatino Linotype"/>
          <w:b/>
        </w:rPr>
        <w:t xml:space="preserve">itular de la Unidad de Transparencia </w:t>
      </w:r>
      <w:r w:rsidRPr="00ED6CDB">
        <w:rPr>
          <w:rFonts w:ascii="Palatino Linotype" w:eastAsia="Palatino Linotype" w:hAnsi="Palatino Linotype" w:cs="Palatino Linotype"/>
        </w:rPr>
        <w:t xml:space="preserve">del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w:t>
      </w:r>
      <w:r w:rsidRPr="00ED6CDB">
        <w:rPr>
          <w:rFonts w:ascii="Palatino Linotype" w:eastAsia="Palatino Linotype" w:hAnsi="Palatino Linotype" w:cs="Palatino Linotype"/>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9D1411" w14:textId="77777777" w:rsidR="001C6AF3" w:rsidRPr="00ED6CDB" w:rsidRDefault="001C6AF3" w:rsidP="00392991">
      <w:pPr>
        <w:spacing w:after="0" w:line="360" w:lineRule="auto"/>
        <w:ind w:right="40"/>
        <w:jc w:val="both"/>
        <w:rPr>
          <w:rFonts w:ascii="Palatino Linotype" w:eastAsia="Palatino Linotype" w:hAnsi="Palatino Linotype" w:cs="Palatino Linotype"/>
        </w:rPr>
      </w:pPr>
    </w:p>
    <w:p w14:paraId="13DCBC5B" w14:textId="77777777" w:rsidR="00A04649" w:rsidRPr="00ED6CDB" w:rsidRDefault="00A04649" w:rsidP="00392991">
      <w:pPr>
        <w:spacing w:after="0" w:line="360" w:lineRule="auto"/>
        <w:ind w:right="49"/>
        <w:jc w:val="both"/>
        <w:rPr>
          <w:rFonts w:ascii="Palatino Linotype" w:eastAsia="Palatino Linotype" w:hAnsi="Palatino Linotype" w:cs="Palatino Linotype"/>
        </w:rPr>
      </w:pPr>
      <w:r w:rsidRPr="00ED6CDB">
        <w:rPr>
          <w:rFonts w:ascii="Palatino Linotype" w:eastAsia="Palatino Linotype" w:hAnsi="Palatino Linotype" w:cs="Palatino Linotype"/>
          <w:b/>
        </w:rPr>
        <w:t>Cuarto.</w:t>
      </w:r>
      <w:r w:rsidRPr="00ED6CDB">
        <w:rPr>
          <w:rFonts w:ascii="Palatino Linotype" w:eastAsia="Palatino Linotype" w:hAnsi="Palatino Linotype" w:cs="Palatino Linotype"/>
        </w:rPr>
        <w:t xml:space="preserve"> </w:t>
      </w:r>
      <w:r w:rsidRPr="00ED6CDB">
        <w:rPr>
          <w:rFonts w:ascii="Palatino Linotype" w:eastAsia="Palatino Linotype" w:hAnsi="Palatino Linotype" w:cs="Palatino Linotype"/>
          <w:b/>
        </w:rPr>
        <w:t xml:space="preserve">Notifíquese </w:t>
      </w:r>
      <w:r w:rsidRPr="00ED6CDB">
        <w:rPr>
          <w:rFonts w:ascii="Palatino Linotype" w:eastAsia="Palatino Linotype" w:hAnsi="Palatino Linotype" w:cs="Palatino Linotype"/>
        </w:rPr>
        <w:t>vía</w:t>
      </w:r>
      <w:r w:rsidRPr="00ED6CDB">
        <w:rPr>
          <w:rFonts w:ascii="Palatino Linotype" w:eastAsia="Palatino Linotype" w:hAnsi="Palatino Linotype" w:cs="Palatino Linotype"/>
          <w:b/>
        </w:rPr>
        <w:t xml:space="preserve"> SAIMEX </w:t>
      </w:r>
      <w:r w:rsidRPr="00ED6CDB">
        <w:rPr>
          <w:rFonts w:ascii="Palatino Linotype" w:eastAsia="Palatino Linotype" w:hAnsi="Palatino Linotype" w:cs="Palatino Linotype"/>
        </w:rPr>
        <w:t xml:space="preserve">a la parte </w:t>
      </w:r>
      <w:r w:rsidRPr="00ED6CDB">
        <w:rPr>
          <w:rFonts w:ascii="Palatino Linotype" w:eastAsia="Palatino Linotype" w:hAnsi="Palatino Linotype" w:cs="Palatino Linotype"/>
          <w:b/>
        </w:rPr>
        <w:t xml:space="preserve">Recurrente </w:t>
      </w:r>
      <w:r w:rsidRPr="00ED6CDB">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8F1F555" w14:textId="77777777" w:rsidR="00984E12" w:rsidRPr="00ED6CDB" w:rsidRDefault="00984E12" w:rsidP="00984E12">
      <w:pPr>
        <w:spacing w:before="240" w:after="24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b/>
        </w:rPr>
        <w:t>Quinto. Notifíquese vía SAIMEX</w:t>
      </w:r>
      <w:r w:rsidRPr="00ED6CDB">
        <w:rPr>
          <w:rFonts w:ascii="Palatino Linotype" w:eastAsia="Palatino Linotype" w:hAnsi="Palatino Linotype" w:cs="Palatino Linotype"/>
        </w:rPr>
        <w:t xml:space="preserve"> a la parte </w:t>
      </w:r>
      <w:r w:rsidRPr="00ED6CDB">
        <w:rPr>
          <w:rFonts w:ascii="Palatino Linotype" w:eastAsia="Palatino Linotype" w:hAnsi="Palatino Linotype" w:cs="Palatino Linotype"/>
          <w:b/>
        </w:rPr>
        <w:t xml:space="preserve">Recurrente </w:t>
      </w:r>
      <w:r w:rsidRPr="00ED6CDB">
        <w:rPr>
          <w:rFonts w:ascii="Palatino Linotype" w:eastAsia="Palatino Linotype" w:hAnsi="Palatino Linotype" w:cs="Palatino Linotype"/>
        </w:rPr>
        <w:t xml:space="preserve">que la respuesta que dé el </w:t>
      </w:r>
      <w:r w:rsidRPr="00ED6CDB">
        <w:rPr>
          <w:rFonts w:ascii="Palatino Linotype" w:eastAsia="Palatino Linotype" w:hAnsi="Palatino Linotype" w:cs="Palatino Linotype"/>
          <w:b/>
        </w:rPr>
        <w:t>Sujeto Obligado</w:t>
      </w:r>
      <w:r w:rsidRPr="00ED6CD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D5B3120" w14:textId="77777777" w:rsidR="00A04649" w:rsidRPr="00ED6CDB" w:rsidRDefault="00A04649" w:rsidP="00392991">
      <w:pPr>
        <w:pBdr>
          <w:top w:val="nil"/>
          <w:left w:val="nil"/>
          <w:bottom w:val="nil"/>
          <w:right w:val="nil"/>
          <w:between w:val="nil"/>
        </w:pBdr>
        <w:spacing w:after="0" w:line="360" w:lineRule="auto"/>
        <w:jc w:val="both"/>
        <w:rPr>
          <w:rFonts w:ascii="Palatino Linotype" w:eastAsia="Palatino Linotype" w:hAnsi="Palatino Linotype" w:cs="Palatino Linotype"/>
        </w:rPr>
      </w:pPr>
      <w:r w:rsidRPr="00ED6CDB">
        <w:rPr>
          <w:rFonts w:ascii="Palatino Linotype" w:eastAsia="Palatino Linotype" w:hAnsi="Palatino Linotype" w:cs="Palatino Linotype"/>
          <w:b/>
        </w:rPr>
        <w:t>Sexto.</w:t>
      </w:r>
      <w:r w:rsidRPr="00ED6CDB">
        <w:rPr>
          <w:rFonts w:ascii="Palatino Linotype" w:eastAsia="Palatino Linotype" w:hAnsi="Palatino Linotype" w:cs="Palatino Linotype"/>
        </w:rPr>
        <w:t xml:space="preserve"> Gírese oficio a la </w:t>
      </w:r>
      <w:r w:rsidRPr="00ED6CDB">
        <w:rPr>
          <w:rFonts w:ascii="Palatino Linotype" w:eastAsia="Palatino Linotype" w:hAnsi="Palatino Linotype" w:cs="Palatino Linotype"/>
          <w:b/>
        </w:rPr>
        <w:t>Secretaría Técnica del Pleno</w:t>
      </w:r>
      <w:r w:rsidRPr="00ED6CDB">
        <w:rPr>
          <w:rFonts w:ascii="Palatino Linotype" w:eastAsia="Palatino Linotype" w:hAnsi="Palatino Linotype" w:cs="Palatino Linotype"/>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45D84A03" w14:textId="77777777" w:rsidR="007126AF" w:rsidRPr="00ED6CDB" w:rsidRDefault="007126AF" w:rsidP="0039299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59C1D2C" w14:textId="2D4BD857" w:rsidR="004639EE" w:rsidRPr="00ED6CDB" w:rsidRDefault="00E72281" w:rsidP="00392991">
      <w:pPr>
        <w:spacing w:after="0" w:line="360" w:lineRule="auto"/>
        <w:ind w:right="49"/>
        <w:jc w:val="both"/>
        <w:rPr>
          <w:rFonts w:ascii="Palatino Linotype" w:eastAsia="Palatino Linotype" w:hAnsi="Palatino Linotype" w:cs="Palatino Linotype"/>
        </w:rPr>
      </w:pPr>
      <w:bookmarkStart w:id="2" w:name="_heading=h.gjdgxs" w:colFirst="0" w:colLast="0"/>
      <w:bookmarkEnd w:id="2"/>
      <w:r w:rsidRPr="00ED6CD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ED6CDB">
        <w:rPr>
          <w:rFonts w:ascii="Palatino Linotype" w:eastAsia="Palatino Linotype" w:hAnsi="Palatino Linotype" w:cs="Palatino Linotype"/>
        </w:rPr>
        <w:lastRenderedPageBreak/>
        <w:t>AYALA, SHARON CRISTINA MORALES MARTÍNEZ, LUIS GUSTAVO PARRA NORIEGA</w:t>
      </w:r>
      <w:r w:rsidR="0083142B" w:rsidRPr="00ED6CDB">
        <w:rPr>
          <w:rFonts w:ascii="Palatino Linotype" w:eastAsia="Palatino Linotype" w:hAnsi="Palatino Linotype" w:cs="Palatino Linotype"/>
        </w:rPr>
        <w:t>, EMITIENDO VOTO PARTICULAR</w:t>
      </w:r>
      <w:r w:rsidRPr="00ED6CDB">
        <w:rPr>
          <w:rFonts w:ascii="Palatino Linotype" w:eastAsia="Palatino Linotype" w:hAnsi="Palatino Linotype" w:cs="Palatino Linotype"/>
        </w:rPr>
        <w:t xml:space="preserve"> Y</w:t>
      </w:r>
      <w:r w:rsidR="00676B24" w:rsidRPr="00ED6CDB">
        <w:rPr>
          <w:rFonts w:ascii="Palatino Linotype" w:eastAsia="Palatino Linotype" w:hAnsi="Palatino Linotype" w:cs="Palatino Linotype"/>
        </w:rPr>
        <w:t xml:space="preserve"> GUADALUPE RAMÍREZ PEÑA</w:t>
      </w:r>
      <w:r w:rsidR="0083142B" w:rsidRPr="00ED6CDB">
        <w:rPr>
          <w:rFonts w:ascii="Palatino Linotype" w:eastAsia="Palatino Linotype" w:hAnsi="Palatino Linotype" w:cs="Palatino Linotype"/>
        </w:rPr>
        <w:t>, EMITIENDO VOTO PARTICULAR</w:t>
      </w:r>
      <w:r w:rsidR="00676B24" w:rsidRPr="00ED6CDB">
        <w:rPr>
          <w:rFonts w:ascii="Palatino Linotype" w:eastAsia="Palatino Linotype" w:hAnsi="Palatino Linotype" w:cs="Palatino Linotype"/>
        </w:rPr>
        <w:t xml:space="preserve">; EN LA DÉCIMA PRIMERA </w:t>
      </w:r>
      <w:r w:rsidRPr="00ED6CDB">
        <w:rPr>
          <w:rFonts w:ascii="Palatino Linotype" w:eastAsia="Palatino Linotype" w:hAnsi="Palatino Linotype" w:cs="Palatino Linotype"/>
        </w:rPr>
        <w:t xml:space="preserve">SESIÓN ORDINARIA CELEBRADA EL </w:t>
      </w:r>
      <w:r w:rsidR="00676B24" w:rsidRPr="00ED6CDB">
        <w:rPr>
          <w:rFonts w:ascii="Palatino Linotype" w:eastAsia="Palatino Linotype" w:hAnsi="Palatino Linotype" w:cs="Palatino Linotype"/>
        </w:rPr>
        <w:t>VEINTICINCO DE MARZO DE DOS MIL VEINTISÉIS</w:t>
      </w:r>
      <w:r w:rsidRPr="00ED6CDB">
        <w:rPr>
          <w:rFonts w:ascii="Palatino Linotype" w:eastAsia="Palatino Linotype" w:hAnsi="Palatino Linotype" w:cs="Palatino Linotype"/>
        </w:rPr>
        <w:t xml:space="preserve">, ANTE EL SECRETARIO TÉCNICO DEL PLENO ALEXIS TAPIA RAMÍREZ. </w:t>
      </w:r>
    </w:p>
    <w:p w14:paraId="2117F0C9" w14:textId="3AF5E270" w:rsidR="004639EE" w:rsidRPr="00ED6CDB" w:rsidRDefault="004639EE" w:rsidP="00392991">
      <w:pPr>
        <w:spacing w:after="0"/>
        <w:rPr>
          <w:rFonts w:ascii="Palatino Linotype" w:hAnsi="Palatino Linotype"/>
        </w:rPr>
      </w:pPr>
    </w:p>
    <w:p w14:paraId="05FCC0BA" w14:textId="4C7A5179" w:rsidR="00274D13" w:rsidRPr="00ED6CDB" w:rsidRDefault="00274D13" w:rsidP="00392991">
      <w:pPr>
        <w:spacing w:after="0"/>
        <w:rPr>
          <w:rFonts w:ascii="Palatino Linotype" w:hAnsi="Palatino Linotype"/>
        </w:rPr>
      </w:pPr>
    </w:p>
    <w:p w14:paraId="0B9467C0" w14:textId="575CED97" w:rsidR="00274D13" w:rsidRPr="00ED6CDB" w:rsidRDefault="00274D13" w:rsidP="00392991">
      <w:pPr>
        <w:spacing w:after="0"/>
        <w:rPr>
          <w:rFonts w:ascii="Palatino Linotype" w:hAnsi="Palatino Linotype"/>
        </w:rPr>
      </w:pPr>
    </w:p>
    <w:p w14:paraId="2313A694" w14:textId="43EA44BF" w:rsidR="00274D13" w:rsidRPr="00ED6CDB" w:rsidRDefault="00274D13" w:rsidP="00392991">
      <w:pPr>
        <w:spacing w:after="0"/>
        <w:rPr>
          <w:rFonts w:ascii="Palatino Linotype" w:hAnsi="Palatino Linotype"/>
        </w:rPr>
      </w:pPr>
    </w:p>
    <w:p w14:paraId="0D5C2A15" w14:textId="23C7212D" w:rsidR="00274D13" w:rsidRPr="00ED6CDB" w:rsidRDefault="00274D13" w:rsidP="00392991">
      <w:pPr>
        <w:spacing w:after="0"/>
        <w:rPr>
          <w:rFonts w:ascii="Palatino Linotype" w:hAnsi="Palatino Linotype"/>
        </w:rPr>
      </w:pPr>
    </w:p>
    <w:p w14:paraId="29508202" w14:textId="10984538" w:rsidR="00274D13" w:rsidRPr="00ED6CDB" w:rsidRDefault="00274D13" w:rsidP="00392991">
      <w:pPr>
        <w:spacing w:after="0"/>
        <w:rPr>
          <w:rFonts w:ascii="Palatino Linotype" w:hAnsi="Palatino Linotype"/>
        </w:rPr>
      </w:pPr>
    </w:p>
    <w:p w14:paraId="3CA43B8D" w14:textId="038D71A2" w:rsidR="00274D13" w:rsidRPr="00ED6CDB" w:rsidRDefault="00274D13" w:rsidP="00392991">
      <w:pPr>
        <w:spacing w:after="0"/>
        <w:rPr>
          <w:rFonts w:ascii="Palatino Linotype" w:hAnsi="Palatino Linotype"/>
        </w:rPr>
      </w:pPr>
    </w:p>
    <w:p w14:paraId="644D0C6C" w14:textId="7AE26A64" w:rsidR="00274D13" w:rsidRPr="00ED6CDB" w:rsidRDefault="00274D13" w:rsidP="00392991">
      <w:pPr>
        <w:spacing w:after="0"/>
        <w:rPr>
          <w:rFonts w:ascii="Palatino Linotype" w:hAnsi="Palatino Linotype"/>
        </w:rPr>
      </w:pPr>
    </w:p>
    <w:p w14:paraId="5B187264" w14:textId="53E94E1A" w:rsidR="00274D13" w:rsidRPr="00ED6CDB" w:rsidRDefault="00274D13" w:rsidP="00392991">
      <w:pPr>
        <w:spacing w:after="0"/>
        <w:rPr>
          <w:rFonts w:ascii="Palatino Linotype" w:hAnsi="Palatino Linotype"/>
        </w:rPr>
      </w:pPr>
    </w:p>
    <w:p w14:paraId="38662B3D" w14:textId="42959D4D" w:rsidR="00274D13" w:rsidRPr="00ED6CDB" w:rsidRDefault="00274D13" w:rsidP="00392991">
      <w:pPr>
        <w:spacing w:after="0"/>
        <w:rPr>
          <w:rFonts w:ascii="Palatino Linotype" w:hAnsi="Palatino Linotype"/>
        </w:rPr>
      </w:pPr>
    </w:p>
    <w:p w14:paraId="00C05A29" w14:textId="6E4F796F" w:rsidR="00274D13" w:rsidRPr="00ED6CDB" w:rsidRDefault="00274D13" w:rsidP="00392991">
      <w:pPr>
        <w:spacing w:after="0"/>
        <w:rPr>
          <w:rFonts w:ascii="Palatino Linotype" w:hAnsi="Palatino Linotype"/>
        </w:rPr>
      </w:pPr>
    </w:p>
    <w:p w14:paraId="79F28D69" w14:textId="4D24AA81" w:rsidR="00274D13" w:rsidRPr="00ED6CDB" w:rsidRDefault="00274D13" w:rsidP="00392991">
      <w:pPr>
        <w:spacing w:after="0"/>
        <w:rPr>
          <w:rFonts w:ascii="Palatino Linotype" w:hAnsi="Palatino Linotype"/>
        </w:rPr>
      </w:pPr>
    </w:p>
    <w:p w14:paraId="12AE0769" w14:textId="395EF3E1" w:rsidR="00ED6CDB" w:rsidRPr="00ED6CDB" w:rsidRDefault="00ED6CDB" w:rsidP="00392991">
      <w:pPr>
        <w:spacing w:after="0"/>
        <w:rPr>
          <w:rFonts w:ascii="Palatino Linotype" w:hAnsi="Palatino Linotype"/>
        </w:rPr>
      </w:pPr>
    </w:p>
    <w:p w14:paraId="0ABEC314" w14:textId="534E7C8E" w:rsidR="00ED6CDB" w:rsidRPr="00ED6CDB" w:rsidRDefault="00ED6CDB" w:rsidP="00392991">
      <w:pPr>
        <w:spacing w:after="0"/>
        <w:rPr>
          <w:rFonts w:ascii="Palatino Linotype" w:hAnsi="Palatino Linotype"/>
        </w:rPr>
      </w:pPr>
    </w:p>
    <w:p w14:paraId="050D2676" w14:textId="64892C4B" w:rsidR="00ED6CDB" w:rsidRPr="00ED6CDB" w:rsidRDefault="00ED6CDB" w:rsidP="00392991">
      <w:pPr>
        <w:spacing w:after="0"/>
        <w:rPr>
          <w:rFonts w:ascii="Palatino Linotype" w:hAnsi="Palatino Linotype"/>
        </w:rPr>
      </w:pPr>
    </w:p>
    <w:p w14:paraId="7D75389F" w14:textId="150A23E0" w:rsidR="00ED6CDB" w:rsidRPr="00ED6CDB" w:rsidRDefault="00ED6CDB" w:rsidP="00392991">
      <w:pPr>
        <w:spacing w:after="0"/>
        <w:rPr>
          <w:rFonts w:ascii="Palatino Linotype" w:hAnsi="Palatino Linotype"/>
        </w:rPr>
      </w:pPr>
    </w:p>
    <w:p w14:paraId="410F0272" w14:textId="77DDA07C" w:rsidR="00ED6CDB" w:rsidRPr="00ED6CDB" w:rsidRDefault="00ED6CDB" w:rsidP="00392991">
      <w:pPr>
        <w:spacing w:after="0"/>
        <w:rPr>
          <w:rFonts w:ascii="Palatino Linotype" w:hAnsi="Palatino Linotype"/>
        </w:rPr>
      </w:pPr>
    </w:p>
    <w:p w14:paraId="0C62A36B" w14:textId="3F2408C7" w:rsidR="00ED6CDB" w:rsidRPr="00ED6CDB" w:rsidRDefault="00ED6CDB" w:rsidP="00392991">
      <w:pPr>
        <w:spacing w:after="0"/>
        <w:rPr>
          <w:rFonts w:ascii="Palatino Linotype" w:hAnsi="Palatino Linotype"/>
        </w:rPr>
      </w:pPr>
    </w:p>
    <w:p w14:paraId="64718A04" w14:textId="72C89F7B" w:rsidR="00ED6CDB" w:rsidRPr="00ED6CDB" w:rsidRDefault="00ED6CDB" w:rsidP="00392991">
      <w:pPr>
        <w:spacing w:after="0"/>
        <w:rPr>
          <w:rFonts w:ascii="Palatino Linotype" w:hAnsi="Palatino Linotype"/>
        </w:rPr>
      </w:pPr>
    </w:p>
    <w:p w14:paraId="159B1E55" w14:textId="7AE7650A" w:rsidR="00ED6CDB" w:rsidRPr="00ED6CDB" w:rsidRDefault="00ED6CDB" w:rsidP="00392991">
      <w:pPr>
        <w:spacing w:after="0"/>
        <w:rPr>
          <w:rFonts w:ascii="Palatino Linotype" w:hAnsi="Palatino Linotype"/>
        </w:rPr>
      </w:pPr>
    </w:p>
    <w:p w14:paraId="1A1C1963" w14:textId="43069C0B" w:rsidR="00ED6CDB" w:rsidRPr="00ED6CDB" w:rsidRDefault="00ED6CDB" w:rsidP="00392991">
      <w:pPr>
        <w:spacing w:after="0"/>
        <w:rPr>
          <w:rFonts w:ascii="Palatino Linotype" w:hAnsi="Palatino Linotype"/>
        </w:rPr>
      </w:pPr>
    </w:p>
    <w:p w14:paraId="6F9D2ADC" w14:textId="7B822418" w:rsidR="00ED6CDB" w:rsidRPr="00ED6CDB" w:rsidRDefault="00ED6CDB" w:rsidP="00392991">
      <w:pPr>
        <w:spacing w:after="0"/>
        <w:rPr>
          <w:rFonts w:ascii="Palatino Linotype" w:hAnsi="Palatino Linotype"/>
        </w:rPr>
      </w:pPr>
    </w:p>
    <w:p w14:paraId="4AAF9565" w14:textId="4D031417" w:rsidR="00ED6CDB" w:rsidRPr="00ED6CDB" w:rsidRDefault="00ED6CDB" w:rsidP="00392991">
      <w:pPr>
        <w:spacing w:after="0"/>
        <w:rPr>
          <w:rFonts w:ascii="Palatino Linotype" w:hAnsi="Palatino Linotype"/>
        </w:rPr>
      </w:pPr>
    </w:p>
    <w:p w14:paraId="0A268C60" w14:textId="03E4066F" w:rsidR="00ED6CDB" w:rsidRPr="00ED6CDB" w:rsidRDefault="00ED6CDB" w:rsidP="00392991">
      <w:pPr>
        <w:spacing w:after="0"/>
        <w:rPr>
          <w:rFonts w:ascii="Palatino Linotype" w:hAnsi="Palatino Linotype"/>
        </w:rPr>
      </w:pPr>
    </w:p>
    <w:p w14:paraId="5DD795B5" w14:textId="3297223D" w:rsidR="00ED6CDB" w:rsidRPr="00ED6CDB" w:rsidRDefault="00ED6CDB" w:rsidP="00392991">
      <w:pPr>
        <w:spacing w:after="0"/>
        <w:rPr>
          <w:rFonts w:ascii="Palatino Linotype" w:hAnsi="Palatino Linotype"/>
        </w:rPr>
      </w:pPr>
    </w:p>
    <w:p w14:paraId="6B093DB2" w14:textId="5C90D710" w:rsidR="00ED6CDB" w:rsidRPr="00ED6CDB" w:rsidRDefault="00ED6CDB" w:rsidP="00392991">
      <w:pPr>
        <w:spacing w:after="0"/>
        <w:rPr>
          <w:rFonts w:ascii="Palatino Linotype" w:hAnsi="Palatino Linotype"/>
        </w:rPr>
      </w:pPr>
    </w:p>
    <w:p w14:paraId="3B977554" w14:textId="3C7CDC4D" w:rsidR="00ED6CDB" w:rsidRPr="00ED6CDB" w:rsidRDefault="00ED6CDB" w:rsidP="00392991">
      <w:pPr>
        <w:spacing w:after="0"/>
        <w:rPr>
          <w:rFonts w:ascii="Palatino Linotype" w:hAnsi="Palatino Linotype"/>
        </w:rPr>
      </w:pPr>
    </w:p>
    <w:p w14:paraId="1D1C4613" w14:textId="60B9010C" w:rsidR="00ED6CDB" w:rsidRPr="00ED6CDB" w:rsidRDefault="00ED6CDB" w:rsidP="00392991">
      <w:pPr>
        <w:spacing w:after="0"/>
        <w:rPr>
          <w:rFonts w:ascii="Palatino Linotype" w:hAnsi="Palatino Linotype"/>
        </w:rPr>
      </w:pPr>
    </w:p>
    <w:p w14:paraId="346A0167" w14:textId="61C4904D" w:rsidR="00ED6CDB" w:rsidRPr="00ED6CDB" w:rsidRDefault="00ED6CDB" w:rsidP="00392991">
      <w:pPr>
        <w:spacing w:after="0"/>
        <w:rPr>
          <w:rFonts w:ascii="Palatino Linotype" w:hAnsi="Palatino Linotype"/>
        </w:rPr>
      </w:pPr>
    </w:p>
    <w:p w14:paraId="4CE0C98A" w14:textId="66A09EBA" w:rsidR="00ED6CDB" w:rsidRPr="00ED6CDB" w:rsidRDefault="00ED6CDB" w:rsidP="00392991">
      <w:pPr>
        <w:spacing w:after="0"/>
        <w:rPr>
          <w:rFonts w:ascii="Palatino Linotype" w:hAnsi="Palatino Linotype"/>
        </w:rPr>
      </w:pPr>
    </w:p>
    <w:p w14:paraId="3AF63F7B" w14:textId="13EE1978" w:rsidR="00ED6CDB" w:rsidRPr="00ED6CDB" w:rsidRDefault="00ED6CDB" w:rsidP="00392991">
      <w:pPr>
        <w:spacing w:after="0"/>
        <w:rPr>
          <w:rFonts w:ascii="Palatino Linotype" w:hAnsi="Palatino Linotype"/>
        </w:rPr>
      </w:pPr>
    </w:p>
    <w:p w14:paraId="3053C485" w14:textId="18A6F770" w:rsidR="00ED6CDB" w:rsidRPr="00ED6CDB" w:rsidRDefault="00ED6CDB" w:rsidP="00392991">
      <w:pPr>
        <w:spacing w:after="0"/>
        <w:rPr>
          <w:rFonts w:ascii="Palatino Linotype" w:hAnsi="Palatino Linotype"/>
        </w:rPr>
      </w:pPr>
    </w:p>
    <w:p w14:paraId="586F4459" w14:textId="3F9E012B" w:rsidR="00ED6CDB" w:rsidRPr="00ED6CDB" w:rsidRDefault="00ED6CDB" w:rsidP="00392991">
      <w:pPr>
        <w:spacing w:after="0"/>
        <w:rPr>
          <w:rFonts w:ascii="Palatino Linotype" w:hAnsi="Palatino Linotype"/>
        </w:rPr>
      </w:pPr>
    </w:p>
    <w:p w14:paraId="2B9FAB9C" w14:textId="2787431C" w:rsidR="00ED6CDB" w:rsidRPr="00ED6CDB" w:rsidRDefault="00ED6CDB" w:rsidP="00392991">
      <w:pPr>
        <w:spacing w:after="0"/>
        <w:rPr>
          <w:rFonts w:ascii="Palatino Linotype" w:hAnsi="Palatino Linotype"/>
        </w:rPr>
      </w:pPr>
    </w:p>
    <w:p w14:paraId="0B264EEF" w14:textId="57AEDE6B" w:rsidR="00ED6CDB" w:rsidRPr="00ED6CDB" w:rsidRDefault="00ED6CDB" w:rsidP="00392991">
      <w:pPr>
        <w:spacing w:after="0"/>
        <w:rPr>
          <w:rFonts w:ascii="Palatino Linotype" w:hAnsi="Palatino Linotype"/>
        </w:rPr>
      </w:pPr>
    </w:p>
    <w:p w14:paraId="6A97A688" w14:textId="77777777" w:rsidR="00ED6CDB" w:rsidRPr="00ED6CDB" w:rsidRDefault="00ED6CDB" w:rsidP="00392991">
      <w:pPr>
        <w:spacing w:after="0"/>
        <w:rPr>
          <w:rFonts w:ascii="Palatino Linotype" w:hAnsi="Palatino Linotype"/>
        </w:rPr>
      </w:pPr>
    </w:p>
    <w:p w14:paraId="3A7E05CA" w14:textId="0FB0F0E6" w:rsidR="00274D13" w:rsidRPr="00ED6CDB" w:rsidRDefault="00274D13" w:rsidP="00392991">
      <w:pPr>
        <w:spacing w:after="0"/>
        <w:rPr>
          <w:rFonts w:ascii="Palatino Linotype" w:hAnsi="Palatino Linotype"/>
        </w:rPr>
      </w:pPr>
    </w:p>
    <w:p w14:paraId="12166B38" w14:textId="011BF7A6" w:rsidR="00274D13" w:rsidRPr="00ED6CDB" w:rsidRDefault="00274D13" w:rsidP="00392991">
      <w:pPr>
        <w:spacing w:after="0"/>
        <w:rPr>
          <w:rFonts w:ascii="Palatino Linotype" w:hAnsi="Palatino Linotype"/>
        </w:rPr>
      </w:pPr>
    </w:p>
    <w:p w14:paraId="28F8468A" w14:textId="57B6EE8E" w:rsidR="00274D13" w:rsidRPr="00ED6CDB" w:rsidRDefault="00274D13" w:rsidP="00392991">
      <w:pPr>
        <w:spacing w:after="0"/>
        <w:rPr>
          <w:rFonts w:ascii="Palatino Linotype" w:hAnsi="Palatino Linotype"/>
        </w:rPr>
      </w:pPr>
    </w:p>
    <w:p w14:paraId="1FEA9B70" w14:textId="0659CB64" w:rsidR="00274D13" w:rsidRPr="00ED6CDB" w:rsidRDefault="00274D13" w:rsidP="00392991">
      <w:pPr>
        <w:spacing w:after="0"/>
        <w:rPr>
          <w:rFonts w:ascii="Palatino Linotype" w:hAnsi="Palatino Linotype"/>
        </w:rPr>
      </w:pPr>
    </w:p>
    <w:p w14:paraId="3DDC7B8B" w14:textId="4E7C5086" w:rsidR="00274D13" w:rsidRPr="00ED6CDB" w:rsidRDefault="00274D13" w:rsidP="00392991">
      <w:pPr>
        <w:spacing w:after="0"/>
        <w:rPr>
          <w:rFonts w:ascii="Palatino Linotype" w:hAnsi="Palatino Linotype"/>
        </w:rPr>
      </w:pPr>
    </w:p>
    <w:p w14:paraId="1229F408" w14:textId="6E839817" w:rsidR="00274D13" w:rsidRPr="00ED6CDB" w:rsidRDefault="00274D13" w:rsidP="00392991">
      <w:pPr>
        <w:spacing w:after="0"/>
        <w:rPr>
          <w:rFonts w:ascii="Palatino Linotype" w:hAnsi="Palatino Linotype"/>
        </w:rPr>
      </w:pPr>
    </w:p>
    <w:p w14:paraId="496EAB9B" w14:textId="35BA3FE3" w:rsidR="00274D13" w:rsidRPr="00ED6CDB" w:rsidRDefault="00274D13" w:rsidP="00392991">
      <w:pPr>
        <w:spacing w:after="0"/>
        <w:rPr>
          <w:rFonts w:ascii="Palatino Linotype" w:hAnsi="Palatino Linotype"/>
        </w:rPr>
      </w:pPr>
    </w:p>
    <w:p w14:paraId="4531B47E" w14:textId="1EE61520" w:rsidR="00274D13" w:rsidRPr="00ED6CDB" w:rsidRDefault="00274D13" w:rsidP="00392991">
      <w:pPr>
        <w:spacing w:after="0"/>
        <w:rPr>
          <w:rFonts w:ascii="Palatino Linotype" w:hAnsi="Palatino Linotype"/>
        </w:rPr>
      </w:pPr>
    </w:p>
    <w:p w14:paraId="7BC52DCF" w14:textId="567B5F73" w:rsidR="00274D13" w:rsidRPr="00ED6CDB" w:rsidRDefault="00274D13" w:rsidP="00392991">
      <w:pPr>
        <w:spacing w:after="0"/>
        <w:rPr>
          <w:rFonts w:ascii="Palatino Linotype" w:hAnsi="Palatino Linotype"/>
        </w:rPr>
      </w:pPr>
    </w:p>
    <w:p w14:paraId="5609A55A" w14:textId="77777777" w:rsidR="00274D13" w:rsidRPr="00ED6CDB" w:rsidRDefault="00274D13" w:rsidP="00392991">
      <w:pPr>
        <w:spacing w:after="0"/>
        <w:rPr>
          <w:rFonts w:ascii="Palatino Linotype" w:hAnsi="Palatino Linotype"/>
        </w:rPr>
      </w:pPr>
    </w:p>
    <w:sectPr w:rsidR="00274D13" w:rsidRPr="00ED6CDB">
      <w:headerReference w:type="default" r:id="rId21"/>
      <w:footerReference w:type="default" r:id="rId22"/>
      <w:headerReference w:type="first" r:id="rId23"/>
      <w:footerReference w:type="first" r:id="rId24"/>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EEE8" w14:textId="77777777" w:rsidR="007B4689" w:rsidRDefault="007B4689">
      <w:pPr>
        <w:spacing w:after="0" w:line="240" w:lineRule="auto"/>
      </w:pPr>
      <w:r>
        <w:separator/>
      </w:r>
    </w:p>
  </w:endnote>
  <w:endnote w:type="continuationSeparator" w:id="0">
    <w:p w14:paraId="66EC20BD" w14:textId="77777777" w:rsidR="007B4689" w:rsidRDefault="007B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5915" w14:textId="77777777" w:rsidR="000E18FE" w:rsidRDefault="000E18F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7FC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7FC4">
      <w:rPr>
        <w:b/>
        <w:noProof/>
        <w:color w:val="000000"/>
        <w:sz w:val="24"/>
        <w:szCs w:val="24"/>
      </w:rPr>
      <w:t>46</w:t>
    </w:r>
    <w:r>
      <w:rPr>
        <w:b/>
        <w:color w:val="000000"/>
        <w:sz w:val="24"/>
        <w:szCs w:val="24"/>
      </w:rPr>
      <w:fldChar w:fldCharType="end"/>
    </w:r>
  </w:p>
  <w:p w14:paraId="2AD45825" w14:textId="77777777" w:rsidR="000E18FE" w:rsidRDefault="000E18F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5C11" w14:textId="77777777" w:rsidR="000E18FE" w:rsidRDefault="000E18F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7FC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7FC4">
      <w:rPr>
        <w:b/>
        <w:noProof/>
        <w:color w:val="000000"/>
        <w:sz w:val="24"/>
        <w:szCs w:val="24"/>
      </w:rPr>
      <w:t>46</w:t>
    </w:r>
    <w:r>
      <w:rPr>
        <w:b/>
        <w:color w:val="000000"/>
        <w:sz w:val="24"/>
        <w:szCs w:val="24"/>
      </w:rPr>
      <w:fldChar w:fldCharType="end"/>
    </w:r>
  </w:p>
  <w:p w14:paraId="7A83E485" w14:textId="77777777" w:rsidR="000E18FE" w:rsidRDefault="000E18F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A7AB" w14:textId="77777777" w:rsidR="007B4689" w:rsidRDefault="007B4689">
      <w:pPr>
        <w:spacing w:after="0" w:line="240" w:lineRule="auto"/>
      </w:pPr>
      <w:r>
        <w:separator/>
      </w:r>
    </w:p>
  </w:footnote>
  <w:footnote w:type="continuationSeparator" w:id="0">
    <w:p w14:paraId="144310C0" w14:textId="77777777" w:rsidR="007B4689" w:rsidRDefault="007B4689">
      <w:pPr>
        <w:spacing w:after="0" w:line="240" w:lineRule="auto"/>
      </w:pPr>
      <w:r>
        <w:continuationSeparator/>
      </w:r>
    </w:p>
  </w:footnote>
  <w:footnote w:id="1">
    <w:p w14:paraId="4CB242CA" w14:textId="77777777" w:rsidR="000E18FE" w:rsidRDefault="000E18FE" w:rsidP="001501D5">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DB918B2" w14:textId="77777777" w:rsidR="000E18FE" w:rsidRDefault="000E18FE" w:rsidP="001501D5">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70F55248" w14:textId="77777777" w:rsidR="000E18FE" w:rsidRDefault="000E18FE" w:rsidP="001501D5">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282C" w14:textId="77777777" w:rsidR="000E18FE" w:rsidRDefault="000E18FE">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2EC3B7A2" wp14:editId="256895FF">
          <wp:simplePos x="0" y="0"/>
          <wp:positionH relativeFrom="column">
            <wp:posOffset>-706120</wp:posOffset>
          </wp:positionH>
          <wp:positionV relativeFrom="paragraph">
            <wp:posOffset>-400685</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0E18FE" w14:paraId="11C20906" w14:textId="77777777">
      <w:tc>
        <w:tcPr>
          <w:tcW w:w="2551" w:type="dxa"/>
          <w:vAlign w:val="center"/>
        </w:tcPr>
        <w:p w14:paraId="6D48FD91" w14:textId="77777777" w:rsidR="000E18FE" w:rsidRPr="00E03431"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Recurso de Revisión:</w:t>
          </w:r>
        </w:p>
      </w:tc>
      <w:tc>
        <w:tcPr>
          <w:tcW w:w="3052" w:type="dxa"/>
          <w:vAlign w:val="center"/>
        </w:tcPr>
        <w:p w14:paraId="24349EEF" w14:textId="7B02ACC8" w:rsidR="000E18FE" w:rsidRPr="00E03431" w:rsidRDefault="000E18FE" w:rsidP="00E034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02284/INFOEM/IP/RR/2026</w:t>
          </w:r>
        </w:p>
      </w:tc>
    </w:tr>
    <w:tr w:rsidR="000E18FE" w14:paraId="2FB26A3D" w14:textId="77777777">
      <w:trPr>
        <w:trHeight w:val="217"/>
      </w:trPr>
      <w:tc>
        <w:tcPr>
          <w:tcW w:w="2551" w:type="dxa"/>
          <w:vAlign w:val="center"/>
        </w:tcPr>
        <w:p w14:paraId="5BE0E89F" w14:textId="77777777" w:rsidR="000E18FE" w:rsidRPr="00E03431"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Sujeto Obligado:</w:t>
          </w:r>
        </w:p>
      </w:tc>
      <w:tc>
        <w:tcPr>
          <w:tcW w:w="3052" w:type="dxa"/>
          <w:vAlign w:val="center"/>
        </w:tcPr>
        <w:p w14:paraId="5E48F380" w14:textId="7E2BC85B" w:rsidR="000E18FE" w:rsidRPr="00E03431" w:rsidRDefault="000E18FE" w:rsidP="00584F6C">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Ayuntamiento de Tepotzotlán</w:t>
          </w:r>
        </w:p>
      </w:tc>
    </w:tr>
    <w:tr w:rsidR="000E18FE" w14:paraId="2B5E3918" w14:textId="77777777">
      <w:tc>
        <w:tcPr>
          <w:tcW w:w="2551" w:type="dxa"/>
          <w:vAlign w:val="center"/>
        </w:tcPr>
        <w:p w14:paraId="6AA27FD9" w14:textId="77777777" w:rsidR="000E18FE" w:rsidRPr="00E03431"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Comisionada Ponente:</w:t>
          </w:r>
        </w:p>
      </w:tc>
      <w:tc>
        <w:tcPr>
          <w:tcW w:w="3052" w:type="dxa"/>
          <w:vAlign w:val="center"/>
        </w:tcPr>
        <w:p w14:paraId="770F91ED" w14:textId="77777777" w:rsidR="000E18FE" w:rsidRPr="00E03431"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Guadalupe Ramírez Peña</w:t>
          </w:r>
        </w:p>
      </w:tc>
    </w:tr>
  </w:tbl>
  <w:p w14:paraId="58C11B45" w14:textId="77777777" w:rsidR="000E18FE" w:rsidRDefault="000E18F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3408" w14:textId="77777777" w:rsidR="000E18FE" w:rsidRDefault="000E18FE">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84F30CD" wp14:editId="51100828">
          <wp:simplePos x="0" y="0"/>
          <wp:positionH relativeFrom="column">
            <wp:posOffset>-664210</wp:posOffset>
          </wp:positionH>
          <wp:positionV relativeFrom="paragraph">
            <wp:posOffset>-354965</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0E18FE" w14:paraId="21FB5CCC" w14:textId="77777777">
      <w:tc>
        <w:tcPr>
          <w:tcW w:w="2565" w:type="dxa"/>
          <w:vAlign w:val="center"/>
        </w:tcPr>
        <w:p w14:paraId="2D44F851" w14:textId="77777777" w:rsidR="000E18FE"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49F6F3FF" w14:textId="77B277CA" w:rsidR="000E18FE" w:rsidRDefault="000E18FE" w:rsidP="00E034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02284/INFOEM/IP/RR/2026</w:t>
          </w:r>
        </w:p>
      </w:tc>
    </w:tr>
    <w:tr w:rsidR="000E18FE" w14:paraId="18257F62" w14:textId="77777777">
      <w:tc>
        <w:tcPr>
          <w:tcW w:w="2565" w:type="dxa"/>
          <w:vAlign w:val="center"/>
        </w:tcPr>
        <w:p w14:paraId="4323CBCF" w14:textId="77777777" w:rsidR="000E18FE"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4F4EABE6" w14:textId="3CC0A8DF" w:rsidR="000E18FE" w:rsidRDefault="000B015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sz w:val="21"/>
              <w:szCs w:val="21"/>
              <w:lang w:val="es-ES"/>
            </w:rPr>
            <w:t>XXXXX XXXXXXX XXXXX</w:t>
          </w:r>
        </w:p>
      </w:tc>
    </w:tr>
    <w:tr w:rsidR="000E18FE" w14:paraId="0194FE35" w14:textId="77777777">
      <w:trPr>
        <w:trHeight w:val="152"/>
      </w:trPr>
      <w:tc>
        <w:tcPr>
          <w:tcW w:w="2565" w:type="dxa"/>
          <w:vAlign w:val="center"/>
        </w:tcPr>
        <w:p w14:paraId="71948A7F" w14:textId="77777777" w:rsidR="000E18FE" w:rsidRDefault="000E18FE">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30" w:type="dxa"/>
          <w:vAlign w:val="center"/>
        </w:tcPr>
        <w:p w14:paraId="6A92174E" w14:textId="2E8BAFE9" w:rsidR="000E18FE" w:rsidRDefault="000E18FE" w:rsidP="00584F6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E03431">
            <w:rPr>
              <w:rFonts w:ascii="Palatino Linotype" w:eastAsia="Palatino Linotype" w:hAnsi="Palatino Linotype" w:cs="Palatino Linotype"/>
              <w:b/>
              <w:color w:val="000000"/>
            </w:rPr>
            <w:t>Ayuntamiento de Tepotzotlán</w:t>
          </w:r>
        </w:p>
      </w:tc>
    </w:tr>
    <w:tr w:rsidR="000E18FE" w14:paraId="7EC88CAA" w14:textId="77777777">
      <w:tc>
        <w:tcPr>
          <w:tcW w:w="2565" w:type="dxa"/>
          <w:vAlign w:val="center"/>
        </w:tcPr>
        <w:p w14:paraId="4BE8D5D3" w14:textId="77777777" w:rsidR="000E18FE"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3E5FDDB0" w14:textId="77777777" w:rsidR="000E18FE" w:rsidRDefault="000E1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EC94CE4" w14:textId="77777777" w:rsidR="000E18FE" w:rsidRDefault="000E18F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84C05"/>
    <w:multiLevelType w:val="multilevel"/>
    <w:tmpl w:val="437EB97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9A7BDB"/>
    <w:multiLevelType w:val="multilevel"/>
    <w:tmpl w:val="C3FC1E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5D67E34"/>
    <w:multiLevelType w:val="hybridMultilevel"/>
    <w:tmpl w:val="C254A446"/>
    <w:lvl w:ilvl="0" w:tplc="12B2B2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BE6402"/>
    <w:multiLevelType w:val="hybridMultilevel"/>
    <w:tmpl w:val="DAEA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1832CD"/>
    <w:multiLevelType w:val="hybridMultilevel"/>
    <w:tmpl w:val="FA7A9E1C"/>
    <w:lvl w:ilvl="0" w:tplc="3A228642">
      <w:start w:val="6"/>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145657"/>
    <w:multiLevelType w:val="multilevel"/>
    <w:tmpl w:val="1430C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874F38"/>
    <w:multiLevelType w:val="multilevel"/>
    <w:tmpl w:val="B7C45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343B97"/>
    <w:multiLevelType w:val="hybridMultilevel"/>
    <w:tmpl w:val="E8EA1832"/>
    <w:lvl w:ilvl="0" w:tplc="AA54F16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1046121">
    <w:abstractNumId w:val="11"/>
  </w:num>
  <w:num w:numId="2" w16cid:durableId="68381738">
    <w:abstractNumId w:val="18"/>
  </w:num>
  <w:num w:numId="3" w16cid:durableId="2023310691">
    <w:abstractNumId w:val="12"/>
  </w:num>
  <w:num w:numId="4" w16cid:durableId="931668031">
    <w:abstractNumId w:val="2"/>
  </w:num>
  <w:num w:numId="5" w16cid:durableId="816994824">
    <w:abstractNumId w:val="8"/>
  </w:num>
  <w:num w:numId="6" w16cid:durableId="1964841439">
    <w:abstractNumId w:val="0"/>
  </w:num>
  <w:num w:numId="7" w16cid:durableId="1974752613">
    <w:abstractNumId w:val="6"/>
  </w:num>
  <w:num w:numId="8" w16cid:durableId="2076470731">
    <w:abstractNumId w:val="5"/>
  </w:num>
  <w:num w:numId="9" w16cid:durableId="315846154">
    <w:abstractNumId w:val="9"/>
  </w:num>
  <w:num w:numId="10" w16cid:durableId="939024379">
    <w:abstractNumId w:val="4"/>
  </w:num>
  <w:num w:numId="11" w16cid:durableId="1409384262">
    <w:abstractNumId w:val="1"/>
  </w:num>
  <w:num w:numId="12" w16cid:durableId="1697383868">
    <w:abstractNumId w:val="13"/>
  </w:num>
  <w:num w:numId="13" w16cid:durableId="54746334">
    <w:abstractNumId w:val="17"/>
  </w:num>
  <w:num w:numId="14" w16cid:durableId="1265069748">
    <w:abstractNumId w:val="7"/>
  </w:num>
  <w:num w:numId="15" w16cid:durableId="1447651141">
    <w:abstractNumId w:val="3"/>
  </w:num>
  <w:num w:numId="16" w16cid:durableId="27797175">
    <w:abstractNumId w:val="15"/>
  </w:num>
  <w:num w:numId="17" w16cid:durableId="204417930">
    <w:abstractNumId w:val="10"/>
  </w:num>
  <w:num w:numId="18" w16cid:durableId="509026972">
    <w:abstractNumId w:val="14"/>
  </w:num>
  <w:num w:numId="19" w16cid:durableId="20703734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EE"/>
    <w:rsid w:val="0000514C"/>
    <w:rsid w:val="000134CC"/>
    <w:rsid w:val="0002334C"/>
    <w:rsid w:val="00031A69"/>
    <w:rsid w:val="00046932"/>
    <w:rsid w:val="00093E90"/>
    <w:rsid w:val="00094927"/>
    <w:rsid w:val="000B015E"/>
    <w:rsid w:val="000B1DC3"/>
    <w:rsid w:val="000E18FE"/>
    <w:rsid w:val="000E2132"/>
    <w:rsid w:val="001501D5"/>
    <w:rsid w:val="00161451"/>
    <w:rsid w:val="001B6BD2"/>
    <w:rsid w:val="001C6AF3"/>
    <w:rsid w:val="0022459C"/>
    <w:rsid w:val="00234F67"/>
    <w:rsid w:val="00237FC4"/>
    <w:rsid w:val="00244660"/>
    <w:rsid w:val="00267653"/>
    <w:rsid w:val="00274D13"/>
    <w:rsid w:val="002A0503"/>
    <w:rsid w:val="002D54BB"/>
    <w:rsid w:val="002E13D3"/>
    <w:rsid w:val="0031473F"/>
    <w:rsid w:val="003244D8"/>
    <w:rsid w:val="00392991"/>
    <w:rsid w:val="003B4400"/>
    <w:rsid w:val="003C1D34"/>
    <w:rsid w:val="003E2E76"/>
    <w:rsid w:val="003F4CFA"/>
    <w:rsid w:val="00415415"/>
    <w:rsid w:val="004639EE"/>
    <w:rsid w:val="00494BA8"/>
    <w:rsid w:val="004B1099"/>
    <w:rsid w:val="004D0CBA"/>
    <w:rsid w:val="004F572A"/>
    <w:rsid w:val="005067EB"/>
    <w:rsid w:val="00584F6C"/>
    <w:rsid w:val="005E0E53"/>
    <w:rsid w:val="005F0699"/>
    <w:rsid w:val="005F39DC"/>
    <w:rsid w:val="00630CCE"/>
    <w:rsid w:val="00674D07"/>
    <w:rsid w:val="00676B24"/>
    <w:rsid w:val="006B68D2"/>
    <w:rsid w:val="007126AF"/>
    <w:rsid w:val="00742991"/>
    <w:rsid w:val="00747350"/>
    <w:rsid w:val="007733DE"/>
    <w:rsid w:val="007958DF"/>
    <w:rsid w:val="007B4689"/>
    <w:rsid w:val="007F3E41"/>
    <w:rsid w:val="0083142B"/>
    <w:rsid w:val="00896B42"/>
    <w:rsid w:val="008B2942"/>
    <w:rsid w:val="0092095B"/>
    <w:rsid w:val="00925DD0"/>
    <w:rsid w:val="00984E12"/>
    <w:rsid w:val="009A5996"/>
    <w:rsid w:val="00A04649"/>
    <w:rsid w:val="00A42084"/>
    <w:rsid w:val="00A433CE"/>
    <w:rsid w:val="00A6461E"/>
    <w:rsid w:val="00A67F79"/>
    <w:rsid w:val="00A73CBE"/>
    <w:rsid w:val="00A84D54"/>
    <w:rsid w:val="00BA3C28"/>
    <w:rsid w:val="00BD5DBD"/>
    <w:rsid w:val="00C10E13"/>
    <w:rsid w:val="00C225DF"/>
    <w:rsid w:val="00C35803"/>
    <w:rsid w:val="00C749D8"/>
    <w:rsid w:val="00CA204C"/>
    <w:rsid w:val="00CC4B1E"/>
    <w:rsid w:val="00D02477"/>
    <w:rsid w:val="00D7459F"/>
    <w:rsid w:val="00DB2469"/>
    <w:rsid w:val="00E03431"/>
    <w:rsid w:val="00E72281"/>
    <w:rsid w:val="00E8447E"/>
    <w:rsid w:val="00EA6F19"/>
    <w:rsid w:val="00EB3728"/>
    <w:rsid w:val="00ED6CDB"/>
    <w:rsid w:val="00EF2A2F"/>
    <w:rsid w:val="00EF36CB"/>
    <w:rsid w:val="00EF3DA0"/>
    <w:rsid w:val="00F1332E"/>
    <w:rsid w:val="00F82306"/>
    <w:rsid w:val="00F83496"/>
    <w:rsid w:val="00FA1F78"/>
    <w:rsid w:val="00FE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B129"/>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067E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385">
      <w:bodyDiv w:val="1"/>
      <w:marLeft w:val="0"/>
      <w:marRight w:val="0"/>
      <w:marTop w:val="0"/>
      <w:marBottom w:val="0"/>
      <w:divBdr>
        <w:top w:val="none" w:sz="0" w:space="0" w:color="auto"/>
        <w:left w:val="none" w:sz="0" w:space="0" w:color="auto"/>
        <w:bottom w:val="none" w:sz="0" w:space="0" w:color="auto"/>
        <w:right w:val="none" w:sz="0" w:space="0" w:color="auto"/>
      </w:divBdr>
      <w:divsChild>
        <w:div w:id="497887675">
          <w:marLeft w:val="0"/>
          <w:marRight w:val="0"/>
          <w:marTop w:val="0"/>
          <w:marBottom w:val="0"/>
          <w:divBdr>
            <w:top w:val="none" w:sz="0" w:space="0" w:color="auto"/>
            <w:left w:val="none" w:sz="0" w:space="0" w:color="auto"/>
            <w:bottom w:val="none" w:sz="0" w:space="0" w:color="auto"/>
            <w:right w:val="none" w:sz="0" w:space="0" w:color="auto"/>
          </w:divBdr>
          <w:divsChild>
            <w:div w:id="1529878233">
              <w:marLeft w:val="0"/>
              <w:marRight w:val="0"/>
              <w:marTop w:val="0"/>
              <w:marBottom w:val="0"/>
              <w:divBdr>
                <w:top w:val="none" w:sz="0" w:space="0" w:color="auto"/>
                <w:left w:val="none" w:sz="0" w:space="0" w:color="auto"/>
                <w:bottom w:val="none" w:sz="0" w:space="0" w:color="auto"/>
                <w:right w:val="none" w:sz="0" w:space="0" w:color="auto"/>
              </w:divBdr>
              <w:divsChild>
                <w:div w:id="11688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224">
      <w:bodyDiv w:val="1"/>
      <w:marLeft w:val="0"/>
      <w:marRight w:val="0"/>
      <w:marTop w:val="0"/>
      <w:marBottom w:val="0"/>
      <w:divBdr>
        <w:top w:val="none" w:sz="0" w:space="0" w:color="auto"/>
        <w:left w:val="none" w:sz="0" w:space="0" w:color="auto"/>
        <w:bottom w:val="none" w:sz="0" w:space="0" w:color="auto"/>
        <w:right w:val="none" w:sz="0" w:space="0" w:color="auto"/>
      </w:divBdr>
    </w:div>
    <w:div w:id="70008235">
      <w:bodyDiv w:val="1"/>
      <w:marLeft w:val="0"/>
      <w:marRight w:val="0"/>
      <w:marTop w:val="0"/>
      <w:marBottom w:val="0"/>
      <w:divBdr>
        <w:top w:val="none" w:sz="0" w:space="0" w:color="auto"/>
        <w:left w:val="none" w:sz="0" w:space="0" w:color="auto"/>
        <w:bottom w:val="none" w:sz="0" w:space="0" w:color="auto"/>
        <w:right w:val="none" w:sz="0" w:space="0" w:color="auto"/>
      </w:divBdr>
    </w:div>
    <w:div w:id="89981291">
      <w:bodyDiv w:val="1"/>
      <w:marLeft w:val="0"/>
      <w:marRight w:val="0"/>
      <w:marTop w:val="0"/>
      <w:marBottom w:val="0"/>
      <w:divBdr>
        <w:top w:val="none" w:sz="0" w:space="0" w:color="auto"/>
        <w:left w:val="none" w:sz="0" w:space="0" w:color="auto"/>
        <w:bottom w:val="none" w:sz="0" w:space="0" w:color="auto"/>
        <w:right w:val="none" w:sz="0" w:space="0" w:color="auto"/>
      </w:divBdr>
    </w:div>
    <w:div w:id="505285303">
      <w:bodyDiv w:val="1"/>
      <w:marLeft w:val="0"/>
      <w:marRight w:val="0"/>
      <w:marTop w:val="0"/>
      <w:marBottom w:val="0"/>
      <w:divBdr>
        <w:top w:val="none" w:sz="0" w:space="0" w:color="auto"/>
        <w:left w:val="none" w:sz="0" w:space="0" w:color="auto"/>
        <w:bottom w:val="none" w:sz="0" w:space="0" w:color="auto"/>
        <w:right w:val="none" w:sz="0" w:space="0" w:color="auto"/>
      </w:divBdr>
    </w:div>
    <w:div w:id="582647637">
      <w:bodyDiv w:val="1"/>
      <w:marLeft w:val="0"/>
      <w:marRight w:val="0"/>
      <w:marTop w:val="0"/>
      <w:marBottom w:val="0"/>
      <w:divBdr>
        <w:top w:val="none" w:sz="0" w:space="0" w:color="auto"/>
        <w:left w:val="none" w:sz="0" w:space="0" w:color="auto"/>
        <w:bottom w:val="none" w:sz="0" w:space="0" w:color="auto"/>
        <w:right w:val="none" w:sz="0" w:space="0" w:color="auto"/>
      </w:divBdr>
      <w:divsChild>
        <w:div w:id="465972995">
          <w:marLeft w:val="0"/>
          <w:marRight w:val="0"/>
          <w:marTop w:val="0"/>
          <w:marBottom w:val="0"/>
          <w:divBdr>
            <w:top w:val="none" w:sz="0" w:space="0" w:color="auto"/>
            <w:left w:val="none" w:sz="0" w:space="0" w:color="auto"/>
            <w:bottom w:val="none" w:sz="0" w:space="0" w:color="auto"/>
            <w:right w:val="none" w:sz="0" w:space="0" w:color="auto"/>
          </w:divBdr>
          <w:divsChild>
            <w:div w:id="570046228">
              <w:marLeft w:val="0"/>
              <w:marRight w:val="0"/>
              <w:marTop w:val="0"/>
              <w:marBottom w:val="0"/>
              <w:divBdr>
                <w:top w:val="none" w:sz="0" w:space="0" w:color="auto"/>
                <w:left w:val="none" w:sz="0" w:space="0" w:color="auto"/>
                <w:bottom w:val="none" w:sz="0" w:space="0" w:color="auto"/>
                <w:right w:val="none" w:sz="0" w:space="0" w:color="auto"/>
              </w:divBdr>
              <w:divsChild>
                <w:div w:id="14911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3528">
      <w:bodyDiv w:val="1"/>
      <w:marLeft w:val="0"/>
      <w:marRight w:val="0"/>
      <w:marTop w:val="0"/>
      <w:marBottom w:val="0"/>
      <w:divBdr>
        <w:top w:val="none" w:sz="0" w:space="0" w:color="auto"/>
        <w:left w:val="none" w:sz="0" w:space="0" w:color="auto"/>
        <w:bottom w:val="none" w:sz="0" w:space="0" w:color="auto"/>
        <w:right w:val="none" w:sz="0" w:space="0" w:color="auto"/>
      </w:divBdr>
    </w:div>
    <w:div w:id="803617916">
      <w:bodyDiv w:val="1"/>
      <w:marLeft w:val="0"/>
      <w:marRight w:val="0"/>
      <w:marTop w:val="0"/>
      <w:marBottom w:val="0"/>
      <w:divBdr>
        <w:top w:val="none" w:sz="0" w:space="0" w:color="auto"/>
        <w:left w:val="none" w:sz="0" w:space="0" w:color="auto"/>
        <w:bottom w:val="none" w:sz="0" w:space="0" w:color="auto"/>
        <w:right w:val="none" w:sz="0" w:space="0" w:color="auto"/>
      </w:divBdr>
    </w:div>
    <w:div w:id="1532258709">
      <w:bodyDiv w:val="1"/>
      <w:marLeft w:val="0"/>
      <w:marRight w:val="0"/>
      <w:marTop w:val="0"/>
      <w:marBottom w:val="0"/>
      <w:divBdr>
        <w:top w:val="none" w:sz="0" w:space="0" w:color="auto"/>
        <w:left w:val="none" w:sz="0" w:space="0" w:color="auto"/>
        <w:bottom w:val="none" w:sz="0" w:space="0" w:color="auto"/>
        <w:right w:val="none" w:sz="0" w:space="0" w:color="auto"/>
      </w:divBdr>
    </w:div>
    <w:div w:id="1574660215">
      <w:bodyDiv w:val="1"/>
      <w:marLeft w:val="0"/>
      <w:marRight w:val="0"/>
      <w:marTop w:val="0"/>
      <w:marBottom w:val="0"/>
      <w:divBdr>
        <w:top w:val="none" w:sz="0" w:space="0" w:color="auto"/>
        <w:left w:val="none" w:sz="0" w:space="0" w:color="auto"/>
        <w:bottom w:val="none" w:sz="0" w:space="0" w:color="auto"/>
        <w:right w:val="none" w:sz="0" w:space="0" w:color="auto"/>
      </w:divBdr>
      <w:divsChild>
        <w:div w:id="1915625483">
          <w:marLeft w:val="0"/>
          <w:marRight w:val="0"/>
          <w:marTop w:val="0"/>
          <w:marBottom w:val="0"/>
          <w:divBdr>
            <w:top w:val="none" w:sz="0" w:space="0" w:color="auto"/>
            <w:left w:val="none" w:sz="0" w:space="0" w:color="auto"/>
            <w:bottom w:val="none" w:sz="0" w:space="0" w:color="auto"/>
            <w:right w:val="none" w:sz="0" w:space="0" w:color="auto"/>
          </w:divBdr>
          <w:divsChild>
            <w:div w:id="1454665145">
              <w:marLeft w:val="0"/>
              <w:marRight w:val="0"/>
              <w:marTop w:val="0"/>
              <w:marBottom w:val="0"/>
              <w:divBdr>
                <w:top w:val="none" w:sz="0" w:space="0" w:color="auto"/>
                <w:left w:val="none" w:sz="0" w:space="0" w:color="auto"/>
                <w:bottom w:val="none" w:sz="0" w:space="0" w:color="auto"/>
                <w:right w:val="none" w:sz="0" w:space="0" w:color="auto"/>
              </w:divBdr>
              <w:divsChild>
                <w:div w:id="18207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8204">
      <w:bodyDiv w:val="1"/>
      <w:marLeft w:val="0"/>
      <w:marRight w:val="0"/>
      <w:marTop w:val="0"/>
      <w:marBottom w:val="0"/>
      <w:divBdr>
        <w:top w:val="none" w:sz="0" w:space="0" w:color="auto"/>
        <w:left w:val="none" w:sz="0" w:space="0" w:color="auto"/>
        <w:bottom w:val="none" w:sz="0" w:space="0" w:color="auto"/>
        <w:right w:val="none" w:sz="0" w:space="0" w:color="auto"/>
      </w:divBdr>
    </w:div>
    <w:div w:id="1816943566">
      <w:bodyDiv w:val="1"/>
      <w:marLeft w:val="0"/>
      <w:marRight w:val="0"/>
      <w:marTop w:val="0"/>
      <w:marBottom w:val="0"/>
      <w:divBdr>
        <w:top w:val="none" w:sz="0" w:space="0" w:color="auto"/>
        <w:left w:val="none" w:sz="0" w:space="0" w:color="auto"/>
        <w:bottom w:val="none" w:sz="0" w:space="0" w:color="auto"/>
        <w:right w:val="none" w:sz="0" w:space="0" w:color="auto"/>
      </w:divBdr>
    </w:div>
    <w:div w:id="1822039907">
      <w:bodyDiv w:val="1"/>
      <w:marLeft w:val="0"/>
      <w:marRight w:val="0"/>
      <w:marTop w:val="0"/>
      <w:marBottom w:val="0"/>
      <w:divBdr>
        <w:top w:val="none" w:sz="0" w:space="0" w:color="auto"/>
        <w:left w:val="none" w:sz="0" w:space="0" w:color="auto"/>
        <w:bottom w:val="none" w:sz="0" w:space="0" w:color="auto"/>
        <w:right w:val="none" w:sz="0" w:space="0" w:color="auto"/>
      </w:divBdr>
    </w:div>
    <w:div w:id="2044595899">
      <w:bodyDiv w:val="1"/>
      <w:marLeft w:val="0"/>
      <w:marRight w:val="0"/>
      <w:marTop w:val="0"/>
      <w:marBottom w:val="0"/>
      <w:divBdr>
        <w:top w:val="none" w:sz="0" w:space="0" w:color="auto"/>
        <w:left w:val="none" w:sz="0" w:space="0" w:color="auto"/>
        <w:bottom w:val="none" w:sz="0" w:space="0" w:color="auto"/>
        <w:right w:val="none" w:sz="0" w:space="0" w:color="auto"/>
      </w:divBdr>
    </w:div>
    <w:div w:id="209420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4.png"/><Relationship Id="rId18" Type="http://schemas.openxmlformats.org/officeDocument/2006/relationships/hyperlink" Target="https://www.gob.mx/segob/renapo/acciones-y-programas/clave-unica-de-registro-de-poblacion-curp-1422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onsultas.curp.gob.mx/CurpSP/html/informacionecurpP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retariadoejecutivo.gob.mx/work/models/SecretariadoEjecutivo/Resource/328/1/images/instructivo_final_edo_fuerza(1).pdf"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hyperlink" Target="https://portalanterior.ine.mx/archivos2/tutoriales/sistemas/ApoyoInstitucional/SIF/docs/candidatos/folioFiscalFactura.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11883</Words>
  <Characters>65362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ADRIANA INFOEM</cp:lastModifiedBy>
  <cp:revision>2</cp:revision>
  <cp:lastPrinted>2025-09-11T16:50:00Z</cp:lastPrinted>
  <dcterms:created xsi:type="dcterms:W3CDTF">2026-03-27T19:46:00Z</dcterms:created>
  <dcterms:modified xsi:type="dcterms:W3CDTF">2026-03-27T19:46:00Z</dcterms:modified>
</cp:coreProperties>
</file>