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A3EDF" w14:textId="77777777" w:rsidR="00E66685" w:rsidRDefault="00E66685" w:rsidP="00D34146">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505ABB0A" w14:textId="0E8C84B9" w:rsidR="00E66685" w:rsidRPr="00600DB8" w:rsidRDefault="00E66685" w:rsidP="00D34146">
          <w:pPr>
            <w:pStyle w:val="TtulodeTDC"/>
            <w:spacing w:before="0" w:line="360" w:lineRule="auto"/>
            <w:jc w:val="center"/>
            <w:rPr>
              <w:rFonts w:ascii="Palatino Linotype" w:hAnsi="Palatino Linotype"/>
              <w:color w:val="auto"/>
              <w:sz w:val="22"/>
              <w:szCs w:val="22"/>
            </w:rPr>
          </w:pPr>
          <w:r w:rsidRPr="00600DB8">
            <w:rPr>
              <w:rFonts w:ascii="Palatino Linotype" w:hAnsi="Palatino Linotype"/>
              <w:color w:val="auto"/>
              <w:sz w:val="22"/>
              <w:szCs w:val="22"/>
              <w:lang w:val="es-ES"/>
            </w:rPr>
            <w:t xml:space="preserve">RESOLUCIÓN DEL RECURSO DE REVISIÓN </w:t>
          </w:r>
          <w:r w:rsidR="00A1524C" w:rsidRPr="00600DB8">
            <w:rPr>
              <w:rFonts w:ascii="Palatino Linotype" w:hAnsi="Palatino Linotype"/>
              <w:color w:val="auto"/>
              <w:sz w:val="22"/>
              <w:szCs w:val="22"/>
            </w:rPr>
            <w:t>03061/INFOEM/IP/RR/2026</w:t>
          </w:r>
        </w:p>
        <w:p w14:paraId="43C65A28" w14:textId="77777777" w:rsidR="00E66685" w:rsidRPr="00600DB8" w:rsidRDefault="00E66685" w:rsidP="00D34146">
          <w:pPr>
            <w:spacing w:after="0" w:line="360" w:lineRule="auto"/>
          </w:pPr>
        </w:p>
        <w:p w14:paraId="2B7D7D1C" w14:textId="77777777" w:rsidR="00FC4FCF" w:rsidRPr="00600DB8" w:rsidRDefault="00E66685" w:rsidP="00D34146">
          <w:pPr>
            <w:pStyle w:val="TDC1"/>
            <w:tabs>
              <w:tab w:val="right" w:leader="dot" w:pos="8921"/>
            </w:tabs>
            <w:spacing w:after="0" w:line="360" w:lineRule="auto"/>
            <w:rPr>
              <w:rFonts w:asciiTheme="minorHAnsi" w:eastAsiaTheme="minorEastAsia" w:hAnsiTheme="minorHAnsi" w:cstheme="minorBidi"/>
              <w:noProof/>
              <w:color w:val="auto"/>
            </w:rPr>
          </w:pPr>
          <w:r w:rsidRPr="00600DB8">
            <w:fldChar w:fldCharType="begin"/>
          </w:r>
          <w:r w:rsidRPr="00600DB8">
            <w:instrText xml:space="preserve"> TOC \o "1-3" \h \z \u </w:instrText>
          </w:r>
          <w:r w:rsidRPr="00600DB8">
            <w:fldChar w:fldCharType="separate"/>
          </w:r>
          <w:hyperlink w:anchor="_Toc216886974" w:history="1">
            <w:r w:rsidR="00FC4FCF" w:rsidRPr="00600DB8">
              <w:rPr>
                <w:rStyle w:val="Hipervnculo"/>
                <w:noProof/>
              </w:rPr>
              <w:t>A N T E C E D E N T E S</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_Toc216886974 \h </w:instrText>
            </w:r>
            <w:r w:rsidR="00FC4FCF" w:rsidRPr="00600DB8">
              <w:rPr>
                <w:noProof/>
                <w:webHidden/>
              </w:rPr>
            </w:r>
            <w:r w:rsidR="00FC4FCF" w:rsidRPr="00600DB8">
              <w:rPr>
                <w:noProof/>
                <w:webHidden/>
              </w:rPr>
              <w:fldChar w:fldCharType="separate"/>
            </w:r>
            <w:r w:rsidR="00485DF6">
              <w:rPr>
                <w:noProof/>
                <w:webHidden/>
              </w:rPr>
              <w:t>2</w:t>
            </w:r>
            <w:r w:rsidR="00FC4FCF" w:rsidRPr="00600DB8">
              <w:rPr>
                <w:noProof/>
                <w:webHidden/>
              </w:rPr>
              <w:fldChar w:fldCharType="end"/>
            </w:r>
          </w:hyperlink>
        </w:p>
        <w:p w14:paraId="08356714" w14:textId="77777777" w:rsidR="00FC4FCF" w:rsidRPr="00600DB8" w:rsidRDefault="003D26C6" w:rsidP="00D34146">
          <w:pPr>
            <w:pStyle w:val="TDC2"/>
            <w:tabs>
              <w:tab w:val="right" w:leader="dot" w:pos="8921"/>
            </w:tabs>
            <w:spacing w:after="0" w:line="360" w:lineRule="auto"/>
            <w:rPr>
              <w:rFonts w:asciiTheme="minorHAnsi" w:eastAsiaTheme="minorEastAsia" w:hAnsiTheme="minorHAnsi" w:cstheme="minorBidi"/>
              <w:noProof/>
              <w:color w:val="auto"/>
            </w:rPr>
          </w:pPr>
          <w:hyperlink w:anchor="_Toc216886975" w:history="1">
            <w:r w:rsidR="00FC4FCF" w:rsidRPr="00600DB8">
              <w:rPr>
                <w:rStyle w:val="Hipervnculo"/>
                <w:noProof/>
                <w:lang w:eastAsia="es-ES"/>
              </w:rPr>
              <w:t>I. Presentación de la solicitud de información</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_Toc216886975 \h </w:instrText>
            </w:r>
            <w:r w:rsidR="00FC4FCF" w:rsidRPr="00600DB8">
              <w:rPr>
                <w:noProof/>
                <w:webHidden/>
              </w:rPr>
            </w:r>
            <w:r w:rsidR="00FC4FCF" w:rsidRPr="00600DB8">
              <w:rPr>
                <w:noProof/>
                <w:webHidden/>
              </w:rPr>
              <w:fldChar w:fldCharType="separate"/>
            </w:r>
            <w:r w:rsidR="00485DF6">
              <w:rPr>
                <w:noProof/>
                <w:webHidden/>
              </w:rPr>
              <w:t>2</w:t>
            </w:r>
            <w:r w:rsidR="00FC4FCF" w:rsidRPr="00600DB8">
              <w:rPr>
                <w:noProof/>
                <w:webHidden/>
              </w:rPr>
              <w:fldChar w:fldCharType="end"/>
            </w:r>
          </w:hyperlink>
        </w:p>
        <w:p w14:paraId="03C01DD2" w14:textId="77777777" w:rsidR="00FC4FCF" w:rsidRPr="00600DB8" w:rsidRDefault="003D26C6" w:rsidP="00D34146">
          <w:pPr>
            <w:pStyle w:val="TDC2"/>
            <w:tabs>
              <w:tab w:val="right" w:leader="dot" w:pos="8921"/>
            </w:tabs>
            <w:spacing w:after="0" w:line="360" w:lineRule="auto"/>
            <w:rPr>
              <w:rFonts w:asciiTheme="minorHAnsi" w:eastAsiaTheme="minorEastAsia" w:hAnsiTheme="minorHAnsi" w:cstheme="minorBidi"/>
              <w:noProof/>
              <w:color w:val="auto"/>
            </w:rPr>
          </w:pPr>
          <w:hyperlink w:anchor="_Toc216886976" w:history="1">
            <w:r w:rsidR="00FC4FCF" w:rsidRPr="00600DB8">
              <w:rPr>
                <w:rStyle w:val="Hipervnculo"/>
                <w:rFonts w:cs="Tahoma"/>
                <w:noProof/>
              </w:rPr>
              <w:t>II.</w:t>
            </w:r>
            <w:r w:rsidR="00FC4FCF" w:rsidRPr="00600DB8">
              <w:rPr>
                <w:rStyle w:val="Hipervnculo"/>
                <w:noProof/>
              </w:rPr>
              <w:t xml:space="preserve"> Respuesta del Sujeto Obligado</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_Toc216886976 \h </w:instrText>
            </w:r>
            <w:r w:rsidR="00FC4FCF" w:rsidRPr="00600DB8">
              <w:rPr>
                <w:noProof/>
                <w:webHidden/>
              </w:rPr>
            </w:r>
            <w:r w:rsidR="00FC4FCF" w:rsidRPr="00600DB8">
              <w:rPr>
                <w:noProof/>
                <w:webHidden/>
              </w:rPr>
              <w:fldChar w:fldCharType="separate"/>
            </w:r>
            <w:r w:rsidR="00485DF6">
              <w:rPr>
                <w:noProof/>
                <w:webHidden/>
              </w:rPr>
              <w:t>3</w:t>
            </w:r>
            <w:r w:rsidR="00FC4FCF" w:rsidRPr="00600DB8">
              <w:rPr>
                <w:noProof/>
                <w:webHidden/>
              </w:rPr>
              <w:fldChar w:fldCharType="end"/>
            </w:r>
          </w:hyperlink>
        </w:p>
        <w:p w14:paraId="7C44B390" w14:textId="77777777" w:rsidR="00FC4FCF" w:rsidRPr="00600DB8" w:rsidRDefault="003D26C6" w:rsidP="00D34146">
          <w:pPr>
            <w:pStyle w:val="TDC2"/>
            <w:tabs>
              <w:tab w:val="right" w:leader="dot" w:pos="8921"/>
            </w:tabs>
            <w:spacing w:after="0" w:line="360" w:lineRule="auto"/>
            <w:rPr>
              <w:rFonts w:asciiTheme="minorHAnsi" w:eastAsiaTheme="minorEastAsia" w:hAnsiTheme="minorHAnsi" w:cstheme="minorBidi"/>
              <w:noProof/>
              <w:color w:val="auto"/>
            </w:rPr>
          </w:pPr>
          <w:hyperlink w:anchor="_Toc216886977" w:history="1">
            <w:r w:rsidR="00FC4FCF" w:rsidRPr="00600DB8">
              <w:rPr>
                <w:rStyle w:val="Hipervnculo"/>
                <w:noProof/>
              </w:rPr>
              <w:t>III. Interposición del Recurso de Revisión</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_Toc216886977 \h </w:instrText>
            </w:r>
            <w:r w:rsidR="00FC4FCF" w:rsidRPr="00600DB8">
              <w:rPr>
                <w:noProof/>
                <w:webHidden/>
              </w:rPr>
            </w:r>
            <w:r w:rsidR="00FC4FCF" w:rsidRPr="00600DB8">
              <w:rPr>
                <w:noProof/>
                <w:webHidden/>
              </w:rPr>
              <w:fldChar w:fldCharType="separate"/>
            </w:r>
            <w:r w:rsidR="00485DF6">
              <w:rPr>
                <w:noProof/>
                <w:webHidden/>
              </w:rPr>
              <w:t>3</w:t>
            </w:r>
            <w:r w:rsidR="00FC4FCF" w:rsidRPr="00600DB8">
              <w:rPr>
                <w:noProof/>
                <w:webHidden/>
              </w:rPr>
              <w:fldChar w:fldCharType="end"/>
            </w:r>
          </w:hyperlink>
        </w:p>
        <w:p w14:paraId="72A996F1" w14:textId="77777777" w:rsidR="00FC4FCF" w:rsidRPr="00600DB8" w:rsidRDefault="003D26C6" w:rsidP="00D34146">
          <w:pPr>
            <w:pStyle w:val="TDC2"/>
            <w:tabs>
              <w:tab w:val="right" w:leader="dot" w:pos="8921"/>
            </w:tabs>
            <w:spacing w:after="0" w:line="360" w:lineRule="auto"/>
            <w:rPr>
              <w:rFonts w:asciiTheme="minorHAnsi" w:eastAsiaTheme="minorEastAsia" w:hAnsiTheme="minorHAnsi" w:cstheme="minorBidi"/>
              <w:noProof/>
              <w:color w:val="auto"/>
            </w:rPr>
          </w:pPr>
          <w:hyperlink w:anchor="_Toc216886978" w:history="1">
            <w:r w:rsidR="00FC4FCF" w:rsidRPr="00600DB8">
              <w:rPr>
                <w:rStyle w:val="Hipervnculo"/>
                <w:noProof/>
              </w:rPr>
              <w:t>IV. Trámite del Recurso de Revisión ante este Instituto</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_Toc216886978 \h </w:instrText>
            </w:r>
            <w:r w:rsidR="00FC4FCF" w:rsidRPr="00600DB8">
              <w:rPr>
                <w:noProof/>
                <w:webHidden/>
              </w:rPr>
            </w:r>
            <w:r w:rsidR="00FC4FCF" w:rsidRPr="00600DB8">
              <w:rPr>
                <w:noProof/>
                <w:webHidden/>
              </w:rPr>
              <w:fldChar w:fldCharType="separate"/>
            </w:r>
            <w:r w:rsidR="00485DF6">
              <w:rPr>
                <w:noProof/>
                <w:webHidden/>
              </w:rPr>
              <w:t>4</w:t>
            </w:r>
            <w:r w:rsidR="00FC4FCF" w:rsidRPr="00600DB8">
              <w:rPr>
                <w:noProof/>
                <w:webHidden/>
              </w:rPr>
              <w:fldChar w:fldCharType="end"/>
            </w:r>
          </w:hyperlink>
        </w:p>
        <w:p w14:paraId="6F109083" w14:textId="77777777" w:rsidR="00FC4FCF" w:rsidRPr="00600DB8" w:rsidRDefault="003D26C6" w:rsidP="00D34146">
          <w:pPr>
            <w:pStyle w:val="TDC1"/>
            <w:tabs>
              <w:tab w:val="right" w:leader="dot" w:pos="8921"/>
            </w:tabs>
            <w:spacing w:after="0" w:line="360" w:lineRule="auto"/>
            <w:rPr>
              <w:rFonts w:asciiTheme="minorHAnsi" w:eastAsiaTheme="minorEastAsia" w:hAnsiTheme="minorHAnsi" w:cstheme="minorBidi"/>
              <w:noProof/>
              <w:color w:val="auto"/>
            </w:rPr>
          </w:pPr>
          <w:hyperlink w:anchor="_Toc216886979" w:history="1">
            <w:r w:rsidR="00FC4FCF" w:rsidRPr="00600DB8">
              <w:rPr>
                <w:rStyle w:val="Hipervnculo"/>
                <w:noProof/>
              </w:rPr>
              <w:t>C O N S I D E R A N D O S</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_Toc216886979 \h </w:instrText>
            </w:r>
            <w:r w:rsidR="00FC4FCF" w:rsidRPr="00600DB8">
              <w:rPr>
                <w:noProof/>
                <w:webHidden/>
              </w:rPr>
            </w:r>
            <w:r w:rsidR="00FC4FCF" w:rsidRPr="00600DB8">
              <w:rPr>
                <w:noProof/>
                <w:webHidden/>
              </w:rPr>
              <w:fldChar w:fldCharType="separate"/>
            </w:r>
            <w:r w:rsidR="00485DF6">
              <w:rPr>
                <w:noProof/>
                <w:webHidden/>
              </w:rPr>
              <w:t>5</w:t>
            </w:r>
            <w:r w:rsidR="00FC4FCF" w:rsidRPr="00600DB8">
              <w:rPr>
                <w:noProof/>
                <w:webHidden/>
              </w:rPr>
              <w:fldChar w:fldCharType="end"/>
            </w:r>
          </w:hyperlink>
        </w:p>
        <w:p w14:paraId="6984E042" w14:textId="77777777" w:rsidR="00FC4FCF" w:rsidRPr="00600DB8" w:rsidRDefault="003D26C6" w:rsidP="00D34146">
          <w:pPr>
            <w:pStyle w:val="TDC2"/>
            <w:tabs>
              <w:tab w:val="right" w:leader="dot" w:pos="8921"/>
            </w:tabs>
            <w:spacing w:after="0" w:line="360" w:lineRule="auto"/>
            <w:rPr>
              <w:rFonts w:asciiTheme="minorHAnsi" w:eastAsiaTheme="minorEastAsia" w:hAnsiTheme="minorHAnsi" w:cstheme="minorBidi"/>
              <w:noProof/>
              <w:color w:val="auto"/>
            </w:rPr>
          </w:pPr>
          <w:hyperlink w:anchor="_Toc216886980" w:history="1">
            <w:r w:rsidR="00FC4FCF" w:rsidRPr="00600DB8">
              <w:rPr>
                <w:rStyle w:val="Hipervnculo"/>
                <w:noProof/>
              </w:rPr>
              <w:t>PRIMERO. Competencia</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_Toc216886980 \h </w:instrText>
            </w:r>
            <w:r w:rsidR="00FC4FCF" w:rsidRPr="00600DB8">
              <w:rPr>
                <w:noProof/>
                <w:webHidden/>
              </w:rPr>
            </w:r>
            <w:r w:rsidR="00FC4FCF" w:rsidRPr="00600DB8">
              <w:rPr>
                <w:noProof/>
                <w:webHidden/>
              </w:rPr>
              <w:fldChar w:fldCharType="separate"/>
            </w:r>
            <w:r w:rsidR="00485DF6">
              <w:rPr>
                <w:noProof/>
                <w:webHidden/>
              </w:rPr>
              <w:t>5</w:t>
            </w:r>
            <w:r w:rsidR="00FC4FCF" w:rsidRPr="00600DB8">
              <w:rPr>
                <w:noProof/>
                <w:webHidden/>
              </w:rPr>
              <w:fldChar w:fldCharType="end"/>
            </w:r>
          </w:hyperlink>
        </w:p>
        <w:p w14:paraId="299C28C2" w14:textId="77777777" w:rsidR="00FC4FCF" w:rsidRPr="00600DB8" w:rsidRDefault="003D26C6" w:rsidP="00D34146">
          <w:pPr>
            <w:pStyle w:val="TDC2"/>
            <w:tabs>
              <w:tab w:val="right" w:leader="dot" w:pos="8921"/>
            </w:tabs>
            <w:spacing w:after="0" w:line="360" w:lineRule="auto"/>
            <w:rPr>
              <w:rFonts w:asciiTheme="minorHAnsi" w:eastAsiaTheme="minorEastAsia" w:hAnsiTheme="minorHAnsi" w:cstheme="minorBidi"/>
              <w:noProof/>
              <w:color w:val="auto"/>
            </w:rPr>
          </w:pPr>
          <w:hyperlink w:anchor="_Toc216886981" w:history="1">
            <w:r w:rsidR="00FC4FCF" w:rsidRPr="00600DB8">
              <w:rPr>
                <w:rStyle w:val="Hipervnculo"/>
                <w:noProof/>
              </w:rPr>
              <w:t>SEGUNDO. Causales de improcedencia y sobreseimiento</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_Toc216886981 \h </w:instrText>
            </w:r>
            <w:r w:rsidR="00FC4FCF" w:rsidRPr="00600DB8">
              <w:rPr>
                <w:noProof/>
                <w:webHidden/>
              </w:rPr>
            </w:r>
            <w:r w:rsidR="00FC4FCF" w:rsidRPr="00600DB8">
              <w:rPr>
                <w:noProof/>
                <w:webHidden/>
              </w:rPr>
              <w:fldChar w:fldCharType="separate"/>
            </w:r>
            <w:r w:rsidR="00485DF6">
              <w:rPr>
                <w:noProof/>
                <w:webHidden/>
              </w:rPr>
              <w:t>6</w:t>
            </w:r>
            <w:r w:rsidR="00FC4FCF" w:rsidRPr="00600DB8">
              <w:rPr>
                <w:noProof/>
                <w:webHidden/>
              </w:rPr>
              <w:fldChar w:fldCharType="end"/>
            </w:r>
          </w:hyperlink>
        </w:p>
        <w:p w14:paraId="66D459B7" w14:textId="77777777" w:rsidR="00FC4FCF" w:rsidRPr="00600DB8" w:rsidRDefault="003D26C6" w:rsidP="00D34146">
          <w:pPr>
            <w:pStyle w:val="TDC2"/>
            <w:tabs>
              <w:tab w:val="right" w:leader="dot" w:pos="8921"/>
            </w:tabs>
            <w:spacing w:after="0" w:line="360" w:lineRule="auto"/>
            <w:rPr>
              <w:rFonts w:asciiTheme="minorHAnsi" w:eastAsiaTheme="minorEastAsia" w:hAnsiTheme="minorHAnsi" w:cstheme="minorBidi"/>
              <w:noProof/>
              <w:color w:val="auto"/>
            </w:rPr>
          </w:pPr>
          <w:hyperlink w:anchor="_Toc216886982" w:history="1">
            <w:r w:rsidR="00FC4FCF" w:rsidRPr="00600DB8">
              <w:rPr>
                <w:rStyle w:val="Hipervnculo"/>
                <w:noProof/>
              </w:rPr>
              <w:t>TERCERO. Determinación de la Controversia</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_Toc216886982 \h </w:instrText>
            </w:r>
            <w:r w:rsidR="00FC4FCF" w:rsidRPr="00600DB8">
              <w:rPr>
                <w:noProof/>
                <w:webHidden/>
              </w:rPr>
            </w:r>
            <w:r w:rsidR="00FC4FCF" w:rsidRPr="00600DB8">
              <w:rPr>
                <w:noProof/>
                <w:webHidden/>
              </w:rPr>
              <w:fldChar w:fldCharType="separate"/>
            </w:r>
            <w:r w:rsidR="00485DF6">
              <w:rPr>
                <w:noProof/>
                <w:webHidden/>
              </w:rPr>
              <w:t>7</w:t>
            </w:r>
            <w:r w:rsidR="00FC4FCF" w:rsidRPr="00600DB8">
              <w:rPr>
                <w:noProof/>
                <w:webHidden/>
              </w:rPr>
              <w:fldChar w:fldCharType="end"/>
            </w:r>
          </w:hyperlink>
        </w:p>
        <w:p w14:paraId="7B82A701" w14:textId="77777777" w:rsidR="00FC4FCF" w:rsidRPr="00600DB8" w:rsidRDefault="003D26C6" w:rsidP="00D34146">
          <w:pPr>
            <w:pStyle w:val="TDC2"/>
            <w:tabs>
              <w:tab w:val="right" w:leader="dot" w:pos="8921"/>
            </w:tabs>
            <w:spacing w:after="0" w:line="360" w:lineRule="auto"/>
            <w:rPr>
              <w:rFonts w:asciiTheme="minorHAnsi" w:eastAsiaTheme="minorEastAsia" w:hAnsiTheme="minorHAnsi" w:cstheme="minorBidi"/>
              <w:noProof/>
              <w:color w:val="auto"/>
            </w:rPr>
          </w:pPr>
          <w:hyperlink w:anchor="_Toc216886983" w:history="1">
            <w:r w:rsidR="00FC4FCF" w:rsidRPr="00600DB8">
              <w:rPr>
                <w:rStyle w:val="Hipervnculo"/>
                <w:noProof/>
              </w:rPr>
              <w:t>CUARTO. Marco normativo aplicable en materia de transparencia y acceso a la información pública</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_Toc216886983 \h </w:instrText>
            </w:r>
            <w:r w:rsidR="00FC4FCF" w:rsidRPr="00600DB8">
              <w:rPr>
                <w:noProof/>
                <w:webHidden/>
              </w:rPr>
            </w:r>
            <w:r w:rsidR="00FC4FCF" w:rsidRPr="00600DB8">
              <w:rPr>
                <w:noProof/>
                <w:webHidden/>
              </w:rPr>
              <w:fldChar w:fldCharType="separate"/>
            </w:r>
            <w:r w:rsidR="00485DF6">
              <w:rPr>
                <w:noProof/>
                <w:webHidden/>
              </w:rPr>
              <w:t>8</w:t>
            </w:r>
            <w:r w:rsidR="00FC4FCF" w:rsidRPr="00600DB8">
              <w:rPr>
                <w:noProof/>
                <w:webHidden/>
              </w:rPr>
              <w:fldChar w:fldCharType="end"/>
            </w:r>
          </w:hyperlink>
        </w:p>
        <w:p w14:paraId="5E4DD649" w14:textId="77777777" w:rsidR="00FC4FCF" w:rsidRPr="00600DB8" w:rsidRDefault="003D26C6" w:rsidP="00D34146">
          <w:pPr>
            <w:pStyle w:val="TDC2"/>
            <w:tabs>
              <w:tab w:val="right" w:leader="dot" w:pos="8921"/>
            </w:tabs>
            <w:spacing w:after="0" w:line="360" w:lineRule="auto"/>
            <w:rPr>
              <w:rFonts w:asciiTheme="minorHAnsi" w:eastAsiaTheme="minorEastAsia" w:hAnsiTheme="minorHAnsi" w:cstheme="minorBidi"/>
              <w:noProof/>
              <w:color w:val="auto"/>
            </w:rPr>
          </w:pPr>
          <w:hyperlink w:anchor="_Toc216886984" w:history="1">
            <w:r w:rsidR="00FC4FCF" w:rsidRPr="00600DB8">
              <w:rPr>
                <w:rStyle w:val="Hipervnculo"/>
                <w:noProof/>
              </w:rPr>
              <w:t>QUINTO. Estudio de Fondo</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_Toc216886984 \h </w:instrText>
            </w:r>
            <w:r w:rsidR="00FC4FCF" w:rsidRPr="00600DB8">
              <w:rPr>
                <w:noProof/>
                <w:webHidden/>
              </w:rPr>
            </w:r>
            <w:r w:rsidR="00FC4FCF" w:rsidRPr="00600DB8">
              <w:rPr>
                <w:noProof/>
                <w:webHidden/>
              </w:rPr>
              <w:fldChar w:fldCharType="separate"/>
            </w:r>
            <w:r w:rsidR="00485DF6">
              <w:rPr>
                <w:noProof/>
                <w:webHidden/>
              </w:rPr>
              <w:t>9</w:t>
            </w:r>
            <w:r w:rsidR="00FC4FCF" w:rsidRPr="00600DB8">
              <w:rPr>
                <w:noProof/>
                <w:webHidden/>
              </w:rPr>
              <w:fldChar w:fldCharType="end"/>
            </w:r>
          </w:hyperlink>
        </w:p>
        <w:p w14:paraId="6B229133" w14:textId="77777777" w:rsidR="00FC4FCF" w:rsidRPr="00600DB8" w:rsidRDefault="003D26C6" w:rsidP="00D34146">
          <w:pPr>
            <w:pStyle w:val="TDC2"/>
            <w:tabs>
              <w:tab w:val="right" w:leader="dot" w:pos="8921"/>
            </w:tabs>
            <w:spacing w:after="0" w:line="360" w:lineRule="auto"/>
            <w:rPr>
              <w:rFonts w:asciiTheme="minorHAnsi" w:eastAsiaTheme="minorEastAsia" w:hAnsiTheme="minorHAnsi" w:cstheme="minorBidi"/>
              <w:noProof/>
              <w:color w:val="auto"/>
            </w:rPr>
          </w:pPr>
          <w:hyperlink w:anchor="_Toc216886985" w:history="1">
            <w:r w:rsidR="00FC4FCF" w:rsidRPr="00600DB8">
              <w:rPr>
                <w:rStyle w:val="Hipervnculo"/>
                <w:noProof/>
              </w:rPr>
              <w:t>SEXTO. Decisión</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_Toc216886985 \h </w:instrText>
            </w:r>
            <w:r w:rsidR="00FC4FCF" w:rsidRPr="00600DB8">
              <w:rPr>
                <w:noProof/>
                <w:webHidden/>
              </w:rPr>
              <w:fldChar w:fldCharType="separate"/>
            </w:r>
            <w:r w:rsidR="00485DF6">
              <w:rPr>
                <w:b/>
                <w:bCs/>
                <w:noProof/>
                <w:webHidden/>
                <w:lang w:val="es-ES"/>
              </w:rPr>
              <w:t>¡Error! Marcador no definido.</w:t>
            </w:r>
            <w:r w:rsidR="00FC4FCF" w:rsidRPr="00600DB8">
              <w:rPr>
                <w:noProof/>
                <w:webHidden/>
              </w:rPr>
              <w:fldChar w:fldCharType="end"/>
            </w:r>
          </w:hyperlink>
        </w:p>
        <w:p w14:paraId="282933D6" w14:textId="77777777" w:rsidR="00FC4FCF" w:rsidRPr="00600DB8" w:rsidRDefault="003D26C6" w:rsidP="00D34146">
          <w:pPr>
            <w:pStyle w:val="TDC2"/>
            <w:tabs>
              <w:tab w:val="right" w:leader="dot" w:pos="8921"/>
            </w:tabs>
            <w:spacing w:after="0" w:line="360" w:lineRule="auto"/>
            <w:rPr>
              <w:rFonts w:asciiTheme="minorHAnsi" w:eastAsiaTheme="minorEastAsia" w:hAnsiTheme="minorHAnsi" w:cstheme="minorBidi"/>
              <w:noProof/>
              <w:color w:val="auto"/>
            </w:rPr>
          </w:pPr>
          <w:hyperlink w:anchor="_Toc216886986" w:history="1">
            <w:r w:rsidR="00FC4FCF" w:rsidRPr="00600DB8">
              <w:rPr>
                <w:rStyle w:val="Hipervnculo"/>
                <w:noProof/>
              </w:rPr>
              <w:t>SÉPTIMO. Vista la Dirección General de Protección de Datos Personales</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_Toc216886986 \h </w:instrText>
            </w:r>
            <w:r w:rsidR="00FC4FCF" w:rsidRPr="00600DB8">
              <w:rPr>
                <w:noProof/>
                <w:webHidden/>
              </w:rPr>
              <w:fldChar w:fldCharType="separate"/>
            </w:r>
            <w:r w:rsidR="00485DF6">
              <w:rPr>
                <w:b/>
                <w:bCs/>
                <w:noProof/>
                <w:webHidden/>
                <w:lang w:val="es-ES"/>
              </w:rPr>
              <w:t>¡Error! Marcador no definido.</w:t>
            </w:r>
            <w:r w:rsidR="00FC4FCF" w:rsidRPr="00600DB8">
              <w:rPr>
                <w:noProof/>
                <w:webHidden/>
              </w:rPr>
              <w:fldChar w:fldCharType="end"/>
            </w:r>
          </w:hyperlink>
        </w:p>
        <w:p w14:paraId="4FB65835" w14:textId="77777777" w:rsidR="00FC4FCF" w:rsidRPr="00600DB8" w:rsidRDefault="003D26C6" w:rsidP="00D34146">
          <w:pPr>
            <w:pStyle w:val="TDC1"/>
            <w:tabs>
              <w:tab w:val="right" w:leader="dot" w:pos="8921"/>
            </w:tabs>
            <w:spacing w:after="0" w:line="360" w:lineRule="auto"/>
            <w:rPr>
              <w:rFonts w:asciiTheme="minorHAnsi" w:eastAsiaTheme="minorEastAsia" w:hAnsiTheme="minorHAnsi" w:cstheme="minorBidi"/>
              <w:noProof/>
              <w:color w:val="auto"/>
            </w:rPr>
          </w:pPr>
          <w:hyperlink w:anchor="_Toc216886987" w:history="1">
            <w:r w:rsidR="00FC4FCF" w:rsidRPr="00600DB8">
              <w:rPr>
                <w:rStyle w:val="Hipervnculo"/>
                <w:noProof/>
              </w:rPr>
              <w:t>R E S U E L V E</w:t>
            </w:r>
            <w:r w:rsidR="00FC4FCF" w:rsidRPr="00600DB8">
              <w:rPr>
                <w:noProof/>
                <w:webHidden/>
              </w:rPr>
              <w:tab/>
            </w:r>
            <w:r w:rsidR="00FC4FCF" w:rsidRPr="00600DB8">
              <w:rPr>
                <w:noProof/>
                <w:webHidden/>
              </w:rPr>
              <w:fldChar w:fldCharType="begin"/>
            </w:r>
            <w:r w:rsidR="00FC4FCF" w:rsidRPr="00600DB8">
              <w:rPr>
                <w:noProof/>
                <w:webHidden/>
              </w:rPr>
              <w:instrText xml:space="preserve"> PAGEREF _Toc216886987 \h </w:instrText>
            </w:r>
            <w:r w:rsidR="00FC4FCF" w:rsidRPr="00600DB8">
              <w:rPr>
                <w:noProof/>
                <w:webHidden/>
              </w:rPr>
            </w:r>
            <w:r w:rsidR="00FC4FCF" w:rsidRPr="00600DB8">
              <w:rPr>
                <w:noProof/>
                <w:webHidden/>
              </w:rPr>
              <w:fldChar w:fldCharType="separate"/>
            </w:r>
            <w:r w:rsidR="00485DF6">
              <w:rPr>
                <w:noProof/>
                <w:webHidden/>
              </w:rPr>
              <w:t>33</w:t>
            </w:r>
            <w:r w:rsidR="00FC4FCF" w:rsidRPr="00600DB8">
              <w:rPr>
                <w:noProof/>
                <w:webHidden/>
              </w:rPr>
              <w:fldChar w:fldCharType="end"/>
            </w:r>
          </w:hyperlink>
        </w:p>
        <w:p w14:paraId="2162BD53" w14:textId="77777777" w:rsidR="00E66685" w:rsidRPr="00600DB8" w:rsidRDefault="00E66685" w:rsidP="00D34146">
          <w:pPr>
            <w:spacing w:after="0" w:line="360" w:lineRule="auto"/>
          </w:pPr>
          <w:r w:rsidRPr="00600DB8">
            <w:rPr>
              <w:b/>
              <w:bCs/>
              <w:lang w:val="es-ES"/>
            </w:rPr>
            <w:fldChar w:fldCharType="end"/>
          </w:r>
        </w:p>
      </w:sdtContent>
    </w:sdt>
    <w:p w14:paraId="6405EB59" w14:textId="77777777" w:rsidR="00E66685" w:rsidRPr="00600DB8" w:rsidRDefault="00E66685" w:rsidP="00D34146">
      <w:pPr>
        <w:tabs>
          <w:tab w:val="left" w:pos="8931"/>
        </w:tabs>
        <w:spacing w:after="0" w:line="360" w:lineRule="auto"/>
      </w:pPr>
    </w:p>
    <w:p w14:paraId="52229923" w14:textId="77777777" w:rsidR="00E66685" w:rsidRPr="00600DB8" w:rsidRDefault="00E66685" w:rsidP="00D34146">
      <w:pPr>
        <w:tabs>
          <w:tab w:val="left" w:pos="8931"/>
        </w:tabs>
        <w:spacing w:after="0" w:line="360" w:lineRule="auto"/>
      </w:pPr>
    </w:p>
    <w:p w14:paraId="1459AB75" w14:textId="77777777" w:rsidR="00E66685" w:rsidRPr="00600DB8" w:rsidRDefault="00E66685" w:rsidP="00D34146">
      <w:pPr>
        <w:tabs>
          <w:tab w:val="left" w:pos="8931"/>
        </w:tabs>
        <w:spacing w:after="0" w:line="360" w:lineRule="auto"/>
      </w:pPr>
    </w:p>
    <w:p w14:paraId="4F1375E1" w14:textId="77777777" w:rsidR="00E66685" w:rsidRPr="00600DB8" w:rsidRDefault="00E66685" w:rsidP="00D34146">
      <w:pPr>
        <w:tabs>
          <w:tab w:val="left" w:pos="8931"/>
        </w:tabs>
        <w:spacing w:after="0" w:line="360" w:lineRule="auto"/>
      </w:pPr>
    </w:p>
    <w:p w14:paraId="389E126E" w14:textId="77777777" w:rsidR="00E66685" w:rsidRPr="00600DB8" w:rsidRDefault="00E66685" w:rsidP="00D34146">
      <w:pPr>
        <w:tabs>
          <w:tab w:val="left" w:pos="8931"/>
        </w:tabs>
        <w:spacing w:after="0" w:line="360" w:lineRule="auto"/>
      </w:pPr>
    </w:p>
    <w:p w14:paraId="6187934B" w14:textId="77777777" w:rsidR="00E66685" w:rsidRPr="00600DB8" w:rsidRDefault="00E66685" w:rsidP="00D34146">
      <w:pPr>
        <w:tabs>
          <w:tab w:val="left" w:pos="8931"/>
        </w:tabs>
        <w:spacing w:after="0" w:line="360" w:lineRule="auto"/>
      </w:pPr>
    </w:p>
    <w:p w14:paraId="720C5E81" w14:textId="77777777" w:rsidR="00324764" w:rsidRPr="00600DB8" w:rsidRDefault="00324764" w:rsidP="00D34146">
      <w:pPr>
        <w:tabs>
          <w:tab w:val="left" w:pos="8931"/>
        </w:tabs>
        <w:spacing w:after="0" w:line="360" w:lineRule="auto"/>
      </w:pPr>
    </w:p>
    <w:p w14:paraId="43159864" w14:textId="56B25802" w:rsidR="00E66685" w:rsidRPr="00600DB8" w:rsidRDefault="00E66685" w:rsidP="00D34146">
      <w:pPr>
        <w:tabs>
          <w:tab w:val="left" w:pos="8931"/>
        </w:tabs>
        <w:spacing w:after="0" w:line="360" w:lineRule="auto"/>
      </w:pPr>
      <w:r w:rsidRPr="00600DB8">
        <w:lastRenderedPageBreak/>
        <w:t xml:space="preserve">Resolución del Pleno del Instituto de Transparencia, Acceso a la Información Pública y Protección de Datos Personales del Estado de México y Municipios, con domicilio en Metepec, Estado de México, de fecha </w:t>
      </w:r>
      <w:r w:rsidR="00A1524C" w:rsidRPr="00600DB8">
        <w:t>ocho de abril</w:t>
      </w:r>
      <w:r w:rsidRPr="00600DB8">
        <w:t xml:space="preserve"> de dos mil veintiséis. </w:t>
      </w:r>
    </w:p>
    <w:p w14:paraId="2E8405B4" w14:textId="77777777" w:rsidR="00E66685" w:rsidRPr="00600DB8" w:rsidRDefault="00E66685" w:rsidP="00D34146">
      <w:pPr>
        <w:spacing w:after="0" w:line="360" w:lineRule="auto"/>
        <w:rPr>
          <w:b/>
        </w:rPr>
      </w:pPr>
    </w:p>
    <w:p w14:paraId="19DB9360" w14:textId="4EFD9F52" w:rsidR="00E66685" w:rsidRPr="00600DB8" w:rsidRDefault="00E66685" w:rsidP="00D34146">
      <w:pPr>
        <w:spacing w:after="0" w:line="360" w:lineRule="auto"/>
        <w:rPr>
          <w:color w:val="0D0D0D"/>
        </w:rPr>
      </w:pPr>
      <w:r w:rsidRPr="00600DB8">
        <w:rPr>
          <w:b/>
        </w:rPr>
        <w:t xml:space="preserve">VISTO </w:t>
      </w:r>
      <w:r w:rsidRPr="00600DB8">
        <w:t xml:space="preserve">el expediente electrónico conformado con motivo del Recurso de Revisión </w:t>
      </w:r>
      <w:r w:rsidR="00A1524C" w:rsidRPr="00BB74FE">
        <w:rPr>
          <w:b/>
          <w:color w:val="auto"/>
        </w:rPr>
        <w:t>03061/INFOEM/IP/RR/2026</w:t>
      </w:r>
      <w:r w:rsidR="00324764" w:rsidRPr="00600DB8">
        <w:rPr>
          <w:bCs/>
        </w:rPr>
        <w:t xml:space="preserve">, interpuesto por </w:t>
      </w:r>
      <w:r w:rsidRPr="00600DB8">
        <w:rPr>
          <w:bCs/>
        </w:rPr>
        <w:t xml:space="preserve">la persona </w:t>
      </w:r>
      <w:r w:rsidRPr="00600DB8">
        <w:rPr>
          <w:bCs/>
          <w:color w:val="0D0D0D"/>
        </w:rPr>
        <w:t xml:space="preserve">Recurrente o Particular, en contra de la respuesta del Sujeto Obligado, </w:t>
      </w:r>
      <w:r w:rsidR="00A1524C" w:rsidRPr="00BB74FE">
        <w:rPr>
          <w:b/>
        </w:rPr>
        <w:t>Ayuntamiento de Ixtapaluca</w:t>
      </w:r>
      <w:r w:rsidRPr="00600DB8">
        <w:rPr>
          <w:bCs/>
        </w:rPr>
        <w:t>,</w:t>
      </w:r>
      <w:r w:rsidRPr="00600DB8">
        <w:rPr>
          <w:bCs/>
          <w:color w:val="0D0D0D"/>
        </w:rPr>
        <w:t xml:space="preserve"> </w:t>
      </w:r>
      <w:r w:rsidRPr="00600DB8">
        <w:rPr>
          <w:color w:val="0D0D0D"/>
        </w:rPr>
        <w:t xml:space="preserve">a la solicitud de acceso a la información pública </w:t>
      </w:r>
      <w:r w:rsidR="00A1524C" w:rsidRPr="00600DB8">
        <w:t>00025/IXTAPALU/IP/2026</w:t>
      </w:r>
      <w:r w:rsidRPr="00600DB8">
        <w:rPr>
          <w:color w:val="000000"/>
        </w:rPr>
        <w:t xml:space="preserve">, </w:t>
      </w:r>
      <w:r w:rsidRPr="00600DB8">
        <w:rPr>
          <w:color w:val="0D0D0D"/>
        </w:rPr>
        <w:t>se emite la presente Resolución, con base en los Antecedentes y Considerandos que se exponen a continuación:</w:t>
      </w:r>
    </w:p>
    <w:p w14:paraId="17B17A35" w14:textId="77777777" w:rsidR="00E66685" w:rsidRPr="00600DB8" w:rsidRDefault="00E66685" w:rsidP="00D34146">
      <w:pPr>
        <w:spacing w:after="0" w:line="360" w:lineRule="auto"/>
        <w:rPr>
          <w:b/>
        </w:rPr>
      </w:pPr>
    </w:p>
    <w:p w14:paraId="0EA9FCCD" w14:textId="77777777" w:rsidR="00E66685" w:rsidRPr="00600DB8" w:rsidRDefault="00E66685" w:rsidP="00D34146">
      <w:pPr>
        <w:pStyle w:val="Ttulo1"/>
        <w:spacing w:before="0" w:after="0" w:line="360" w:lineRule="auto"/>
        <w:jc w:val="center"/>
        <w:rPr>
          <w:sz w:val="22"/>
          <w:szCs w:val="22"/>
        </w:rPr>
      </w:pPr>
      <w:bookmarkStart w:id="0" w:name="_Toc216886974"/>
      <w:r w:rsidRPr="00600DB8">
        <w:rPr>
          <w:sz w:val="22"/>
          <w:szCs w:val="22"/>
        </w:rPr>
        <w:t>A N T E C E D E N T E S</w:t>
      </w:r>
      <w:bookmarkEnd w:id="0"/>
    </w:p>
    <w:p w14:paraId="2A540B22" w14:textId="77777777" w:rsidR="00E66685" w:rsidRPr="00600DB8" w:rsidRDefault="00E66685" w:rsidP="00D34146">
      <w:pPr>
        <w:spacing w:after="0" w:line="360" w:lineRule="auto"/>
        <w:jc w:val="center"/>
        <w:rPr>
          <w:b/>
        </w:rPr>
      </w:pPr>
    </w:p>
    <w:p w14:paraId="753BD5D7" w14:textId="77777777" w:rsidR="00E66685" w:rsidRPr="00600DB8" w:rsidRDefault="00E66685" w:rsidP="00D34146">
      <w:pPr>
        <w:pStyle w:val="Ttulo2"/>
        <w:spacing w:before="0" w:after="0" w:line="360" w:lineRule="auto"/>
        <w:rPr>
          <w:sz w:val="22"/>
          <w:szCs w:val="22"/>
          <w:lang w:eastAsia="es-ES"/>
        </w:rPr>
      </w:pPr>
      <w:bookmarkStart w:id="1" w:name="_Toc216886975"/>
      <w:r w:rsidRPr="00600DB8">
        <w:rPr>
          <w:sz w:val="22"/>
          <w:szCs w:val="22"/>
          <w:lang w:eastAsia="es-ES"/>
        </w:rPr>
        <w:t>I. Presentación de la solicitud de información</w:t>
      </w:r>
      <w:bookmarkEnd w:id="1"/>
    </w:p>
    <w:p w14:paraId="138785AE" w14:textId="77777777" w:rsidR="00E66685" w:rsidRPr="00600DB8" w:rsidRDefault="00E66685" w:rsidP="00D34146">
      <w:pPr>
        <w:tabs>
          <w:tab w:val="left" w:pos="567"/>
        </w:tabs>
        <w:spacing w:after="0" w:line="360" w:lineRule="auto"/>
        <w:rPr>
          <w:rFonts w:eastAsia="Times New Roman" w:cs="Tahoma"/>
          <w:lang w:eastAsia="es-ES"/>
        </w:rPr>
      </w:pPr>
    </w:p>
    <w:p w14:paraId="51201F54" w14:textId="3549CDEF" w:rsidR="00E66685" w:rsidRPr="00600DB8" w:rsidRDefault="00E66685" w:rsidP="00D34146">
      <w:pPr>
        <w:spacing w:after="0" w:line="360" w:lineRule="auto"/>
        <w:rPr>
          <w:rFonts w:eastAsia="Times New Roman" w:cs="Tahoma"/>
          <w:lang w:eastAsia="es-ES"/>
        </w:rPr>
      </w:pPr>
      <w:r w:rsidRPr="00600DB8">
        <w:rPr>
          <w:rFonts w:eastAsia="Times New Roman" w:cs="Tahoma"/>
          <w:lang w:eastAsia="es-ES"/>
        </w:rPr>
        <w:t xml:space="preserve">El </w:t>
      </w:r>
      <w:r w:rsidR="00A1524C" w:rsidRPr="00600DB8">
        <w:rPr>
          <w:rFonts w:eastAsia="Times New Roman" w:cs="Tahoma"/>
          <w:lang w:eastAsia="es-ES"/>
        </w:rPr>
        <w:t>dieciséis de febrero de dos mil veintiséis</w:t>
      </w:r>
      <w:r w:rsidRPr="00600DB8">
        <w:rPr>
          <w:rFonts w:eastAsia="Times New Roman" w:cs="Tahoma"/>
          <w:lang w:eastAsia="es-ES"/>
        </w:rPr>
        <w:t xml:space="preserve">, el Particular presentó una solicitud de acceso a la información pública, a través del Sistema de Acceso a la Información Mexiquense (SAIMEX), ante el </w:t>
      </w:r>
      <w:r w:rsidR="00A1524C" w:rsidRPr="00600DB8">
        <w:t>Ayuntamiento de Ixtapaluca</w:t>
      </w:r>
      <w:r w:rsidRPr="00600DB8">
        <w:rPr>
          <w:rFonts w:eastAsia="Calibri" w:cs="Times New Roman"/>
          <w:color w:val="000000"/>
        </w:rPr>
        <w:t>,</w:t>
      </w:r>
      <w:r w:rsidRPr="00600DB8">
        <w:rPr>
          <w:rFonts w:eastAsia="Calibri" w:cs="Tahoma"/>
        </w:rPr>
        <w:t xml:space="preserve"> en los siguientes términos: </w:t>
      </w:r>
    </w:p>
    <w:p w14:paraId="585EBF6B" w14:textId="77777777" w:rsidR="00E66685" w:rsidRPr="00600DB8" w:rsidRDefault="00E66685" w:rsidP="00D34146">
      <w:pPr>
        <w:spacing w:after="0" w:line="360" w:lineRule="auto"/>
        <w:rPr>
          <w:rFonts w:eastAsia="Calibri" w:cs="Tahoma"/>
        </w:rPr>
      </w:pPr>
    </w:p>
    <w:p w14:paraId="45E246E9" w14:textId="77777777" w:rsidR="00E66685" w:rsidRPr="00600DB8" w:rsidRDefault="00E66685" w:rsidP="00D34146">
      <w:pPr>
        <w:tabs>
          <w:tab w:val="left" w:pos="4667"/>
        </w:tabs>
        <w:spacing w:after="0" w:line="360" w:lineRule="auto"/>
        <w:ind w:left="567" w:right="567"/>
        <w:rPr>
          <w:rFonts w:eastAsia="Times New Roman" w:cs="Tahoma"/>
          <w:b/>
          <w:i/>
          <w:iCs/>
          <w:sz w:val="20"/>
          <w:szCs w:val="20"/>
          <w:lang w:eastAsia="es-ES"/>
        </w:rPr>
      </w:pPr>
      <w:r w:rsidRPr="00600DB8">
        <w:rPr>
          <w:rFonts w:eastAsia="Times New Roman" w:cs="Tahoma"/>
          <w:b/>
          <w:i/>
          <w:iCs/>
          <w:sz w:val="20"/>
          <w:szCs w:val="20"/>
          <w:lang w:eastAsia="es-ES"/>
        </w:rPr>
        <w:t>“DESCRIPCIÓN CLARA Y PRECISA DE LA INFORMACIÓN SOLICITADA</w:t>
      </w:r>
    </w:p>
    <w:p w14:paraId="14C726B9" w14:textId="0D788EBD" w:rsidR="00E66685" w:rsidRPr="00600DB8" w:rsidRDefault="00A1524C" w:rsidP="00D34146">
      <w:pPr>
        <w:tabs>
          <w:tab w:val="left" w:pos="4667"/>
        </w:tabs>
        <w:spacing w:after="0" w:line="360" w:lineRule="auto"/>
        <w:ind w:left="567" w:right="567"/>
        <w:rPr>
          <w:rFonts w:eastAsia="Times New Roman" w:cs="Tahoma"/>
          <w:bCs/>
          <w:i/>
          <w:iCs/>
          <w:sz w:val="20"/>
          <w:szCs w:val="20"/>
          <w:lang w:eastAsia="es-ES"/>
        </w:rPr>
      </w:pPr>
      <w:r w:rsidRPr="00600DB8">
        <w:rPr>
          <w:i/>
          <w:iCs/>
          <w:sz w:val="20"/>
          <w:szCs w:val="20"/>
        </w:rPr>
        <w:t xml:space="preserve">Solicito Padrón Catastral Actualizado del Municipio de </w:t>
      </w:r>
      <w:r w:rsidR="00F772A1" w:rsidRPr="00600DB8">
        <w:rPr>
          <w:i/>
          <w:iCs/>
          <w:sz w:val="20"/>
          <w:szCs w:val="20"/>
        </w:rPr>
        <w:t>Ixtapaluca, Chalco</w:t>
      </w:r>
      <w:r w:rsidRPr="00600DB8">
        <w:rPr>
          <w:i/>
          <w:iCs/>
          <w:sz w:val="20"/>
          <w:szCs w:val="20"/>
        </w:rPr>
        <w:t xml:space="preserve"> y Valle de Chalco</w:t>
      </w:r>
      <w:r w:rsidR="00E66685" w:rsidRPr="00600DB8">
        <w:rPr>
          <w:i/>
          <w:iCs/>
          <w:sz w:val="20"/>
          <w:szCs w:val="20"/>
        </w:rPr>
        <w:t>” (Sic.)</w:t>
      </w:r>
    </w:p>
    <w:p w14:paraId="6319197C" w14:textId="77777777" w:rsidR="00614BC1" w:rsidRPr="00600DB8" w:rsidRDefault="00614BC1" w:rsidP="00D34146">
      <w:pPr>
        <w:tabs>
          <w:tab w:val="left" w:pos="4667"/>
        </w:tabs>
        <w:spacing w:after="0" w:line="360" w:lineRule="auto"/>
        <w:ind w:right="567"/>
        <w:rPr>
          <w:rFonts w:eastAsia="Times New Roman" w:cs="Tahoma"/>
          <w:b/>
          <w:bCs/>
          <w:i/>
          <w:iCs/>
          <w:sz w:val="20"/>
          <w:lang w:eastAsia="es-ES"/>
        </w:rPr>
      </w:pPr>
    </w:p>
    <w:p w14:paraId="2BD5CB67" w14:textId="77777777" w:rsidR="00E66685" w:rsidRPr="00600DB8" w:rsidRDefault="00E66685" w:rsidP="00D34146">
      <w:pPr>
        <w:tabs>
          <w:tab w:val="left" w:pos="4667"/>
        </w:tabs>
        <w:spacing w:after="0" w:line="360" w:lineRule="auto"/>
        <w:ind w:left="567" w:right="567"/>
        <w:rPr>
          <w:rFonts w:eastAsia="Times New Roman" w:cs="Tahoma"/>
          <w:b/>
          <w:bCs/>
          <w:i/>
          <w:iCs/>
          <w:sz w:val="20"/>
          <w:lang w:eastAsia="es-ES"/>
        </w:rPr>
      </w:pPr>
      <w:r w:rsidRPr="00600DB8">
        <w:rPr>
          <w:rFonts w:eastAsia="Times New Roman" w:cs="Tahoma"/>
          <w:b/>
          <w:bCs/>
          <w:i/>
          <w:iCs/>
          <w:sz w:val="20"/>
          <w:lang w:eastAsia="es-ES"/>
        </w:rPr>
        <w:t>“MODALIDAD DE ENTREGA</w:t>
      </w:r>
    </w:p>
    <w:p w14:paraId="43E8E830" w14:textId="77777777" w:rsidR="00E66685" w:rsidRPr="00600DB8" w:rsidRDefault="00E66685" w:rsidP="00D34146">
      <w:pPr>
        <w:tabs>
          <w:tab w:val="left" w:pos="4667"/>
        </w:tabs>
        <w:spacing w:after="0" w:line="360" w:lineRule="auto"/>
        <w:ind w:left="567" w:right="567"/>
        <w:rPr>
          <w:rFonts w:eastAsia="Times New Roman" w:cs="Tahoma"/>
          <w:b/>
          <w:bCs/>
          <w:i/>
          <w:iCs/>
          <w:sz w:val="20"/>
          <w:lang w:eastAsia="es-ES"/>
        </w:rPr>
      </w:pPr>
      <w:r w:rsidRPr="00600DB8">
        <w:rPr>
          <w:rFonts w:eastAsia="Times New Roman" w:cs="Arial"/>
          <w:bCs/>
          <w:i/>
          <w:iCs/>
          <w:sz w:val="20"/>
          <w:lang w:eastAsia="es-ES"/>
        </w:rPr>
        <w:t>A través del SAIMEX”</w:t>
      </w:r>
    </w:p>
    <w:p w14:paraId="4869B97D" w14:textId="77777777" w:rsidR="00E66685" w:rsidRPr="00600DB8" w:rsidRDefault="00E66685" w:rsidP="00D34146">
      <w:pPr>
        <w:spacing w:after="0" w:line="360" w:lineRule="auto"/>
        <w:ind w:right="567"/>
        <w:rPr>
          <w:rFonts w:eastAsia="Times New Roman" w:cs="Arial"/>
          <w:bCs/>
          <w:i/>
          <w:iCs/>
          <w:sz w:val="20"/>
          <w:lang w:eastAsia="es-ES"/>
        </w:rPr>
      </w:pPr>
    </w:p>
    <w:p w14:paraId="2E554529" w14:textId="77777777" w:rsidR="00A1524C" w:rsidRPr="00600DB8" w:rsidRDefault="00A1524C" w:rsidP="00D34146">
      <w:pPr>
        <w:spacing w:after="0" w:line="360" w:lineRule="auto"/>
        <w:ind w:right="567"/>
        <w:rPr>
          <w:rFonts w:eastAsia="Times New Roman" w:cs="Arial"/>
          <w:bCs/>
          <w:i/>
          <w:iCs/>
          <w:sz w:val="20"/>
          <w:lang w:eastAsia="es-ES"/>
        </w:rPr>
      </w:pPr>
    </w:p>
    <w:p w14:paraId="184AF416" w14:textId="77777777" w:rsidR="00A1524C" w:rsidRPr="00600DB8" w:rsidRDefault="00A1524C" w:rsidP="00D34146">
      <w:pPr>
        <w:spacing w:after="0" w:line="360" w:lineRule="auto"/>
        <w:ind w:right="567"/>
        <w:rPr>
          <w:rFonts w:eastAsia="Times New Roman" w:cs="Arial"/>
          <w:bCs/>
          <w:i/>
          <w:iCs/>
          <w:sz w:val="20"/>
          <w:lang w:eastAsia="es-ES"/>
        </w:rPr>
      </w:pPr>
    </w:p>
    <w:p w14:paraId="7AE3CF73" w14:textId="77777777" w:rsidR="00A1524C" w:rsidRPr="00600DB8" w:rsidRDefault="00A1524C" w:rsidP="00D34146">
      <w:pPr>
        <w:spacing w:after="0" w:line="360" w:lineRule="auto"/>
        <w:ind w:right="567"/>
        <w:rPr>
          <w:rFonts w:eastAsia="Times New Roman" w:cs="Arial"/>
          <w:bCs/>
          <w:i/>
          <w:iCs/>
          <w:sz w:val="20"/>
          <w:lang w:eastAsia="es-ES"/>
        </w:rPr>
      </w:pPr>
    </w:p>
    <w:p w14:paraId="320D3627" w14:textId="77777777" w:rsidR="00E66685" w:rsidRPr="00600DB8" w:rsidRDefault="00E66685" w:rsidP="00D34146">
      <w:pPr>
        <w:pStyle w:val="Ttulo2"/>
        <w:spacing w:before="0" w:after="0" w:line="360" w:lineRule="auto"/>
        <w:rPr>
          <w:sz w:val="22"/>
          <w:szCs w:val="22"/>
        </w:rPr>
      </w:pPr>
      <w:bookmarkStart w:id="2" w:name="_Toc216886976"/>
      <w:r w:rsidRPr="00600DB8">
        <w:rPr>
          <w:rFonts w:cs="Tahoma"/>
          <w:sz w:val="22"/>
          <w:szCs w:val="22"/>
        </w:rPr>
        <w:t>II.</w:t>
      </w:r>
      <w:r w:rsidRPr="00600DB8">
        <w:rPr>
          <w:sz w:val="22"/>
          <w:szCs w:val="22"/>
        </w:rPr>
        <w:t xml:space="preserve"> Respuesta del Sujeto Obligado</w:t>
      </w:r>
      <w:bookmarkEnd w:id="2"/>
    </w:p>
    <w:p w14:paraId="3FE33495" w14:textId="77777777" w:rsidR="00E66685" w:rsidRPr="00600DB8" w:rsidRDefault="00E66685" w:rsidP="00D34146">
      <w:pPr>
        <w:autoSpaceDE w:val="0"/>
        <w:autoSpaceDN w:val="0"/>
        <w:adjustRightInd w:val="0"/>
        <w:spacing w:after="0" w:line="360" w:lineRule="auto"/>
        <w:rPr>
          <w:b/>
          <w:bCs/>
        </w:rPr>
      </w:pPr>
    </w:p>
    <w:p w14:paraId="0A651DBC" w14:textId="5303B4AA" w:rsidR="00E66685" w:rsidRPr="00600DB8" w:rsidRDefault="00E66685" w:rsidP="00D34146">
      <w:pPr>
        <w:spacing w:after="0" w:line="360" w:lineRule="auto"/>
      </w:pPr>
      <w:r w:rsidRPr="00600DB8">
        <w:t xml:space="preserve">El </w:t>
      </w:r>
      <w:r w:rsidR="00A1524C" w:rsidRPr="00600DB8">
        <w:t>diecinueve de febrero de dos mil veintiséis</w:t>
      </w:r>
      <w:r w:rsidRPr="00600DB8">
        <w:t>, el Sujeto Obligado notificó, a través del Sistema de Acceso a la Información Mexiquense (SAIMEX), la respuesta a la solicitud de acceso a la información pública, donde mencionó lo siguiente:</w:t>
      </w:r>
    </w:p>
    <w:p w14:paraId="64327476" w14:textId="77777777" w:rsidR="00E66685" w:rsidRPr="00600DB8" w:rsidRDefault="00E66685" w:rsidP="00D34146">
      <w:pPr>
        <w:spacing w:after="0" w:line="360" w:lineRule="auto"/>
      </w:pPr>
    </w:p>
    <w:p w14:paraId="3068AEC0" w14:textId="5483B025" w:rsidR="007F1A9D" w:rsidRPr="00600DB8" w:rsidRDefault="00324764" w:rsidP="00D34146">
      <w:pPr>
        <w:spacing w:after="0" w:line="360" w:lineRule="auto"/>
        <w:rPr>
          <w:iCs/>
          <w:szCs w:val="32"/>
        </w:rPr>
      </w:pPr>
      <w:r w:rsidRPr="00600DB8">
        <w:rPr>
          <w:iCs/>
          <w:szCs w:val="32"/>
        </w:rPr>
        <w:t xml:space="preserve">-Oficio número </w:t>
      </w:r>
      <w:r w:rsidR="00A1524C" w:rsidRPr="00600DB8">
        <w:rPr>
          <w:iCs/>
          <w:szCs w:val="32"/>
        </w:rPr>
        <w:t>IXT/OIC/UTAI/029/2026</w:t>
      </w:r>
      <w:r w:rsidRPr="00600DB8">
        <w:rPr>
          <w:iCs/>
          <w:szCs w:val="32"/>
        </w:rPr>
        <w:t xml:space="preserve">, de fecha </w:t>
      </w:r>
      <w:r w:rsidR="00A1524C" w:rsidRPr="00600DB8">
        <w:rPr>
          <w:iCs/>
          <w:szCs w:val="32"/>
        </w:rPr>
        <w:t>dieciocho de febrero de dos mil veintiséis</w:t>
      </w:r>
      <w:r w:rsidRPr="00600DB8">
        <w:rPr>
          <w:iCs/>
          <w:szCs w:val="32"/>
        </w:rPr>
        <w:t xml:space="preserve">, suscrito por el Encargado de Despacho de la Unidad de Transparencia y dirigido a </w:t>
      </w:r>
      <w:r w:rsidR="00A1524C" w:rsidRPr="00600DB8">
        <w:rPr>
          <w:iCs/>
          <w:szCs w:val="32"/>
        </w:rPr>
        <w:t xml:space="preserve">al Solicitante </w:t>
      </w:r>
      <w:r w:rsidRPr="00600DB8">
        <w:rPr>
          <w:iCs/>
          <w:szCs w:val="32"/>
        </w:rPr>
        <w:t>donde refiere lo siguiente:</w:t>
      </w:r>
    </w:p>
    <w:p w14:paraId="3F13669D" w14:textId="77777777" w:rsidR="007F1A9D" w:rsidRPr="00600DB8" w:rsidRDefault="007F1A9D" w:rsidP="00D34146">
      <w:pPr>
        <w:spacing w:after="0" w:line="360" w:lineRule="auto"/>
        <w:rPr>
          <w:iCs/>
          <w:szCs w:val="32"/>
        </w:rPr>
      </w:pPr>
    </w:p>
    <w:p w14:paraId="7A27B20C" w14:textId="77777777" w:rsidR="00232DDB" w:rsidRPr="00600DB8" w:rsidRDefault="00324764" w:rsidP="00D34146">
      <w:pPr>
        <w:pStyle w:val="Prrafodelista"/>
        <w:spacing w:line="360" w:lineRule="auto"/>
        <w:rPr>
          <w:rFonts w:ascii="Palatino Linotype" w:hAnsi="Palatino Linotype"/>
          <w:i/>
          <w:iCs/>
          <w:sz w:val="20"/>
          <w:szCs w:val="20"/>
        </w:rPr>
      </w:pPr>
      <w:r w:rsidRPr="00600DB8">
        <w:rPr>
          <w:iCs/>
          <w:szCs w:val="32"/>
        </w:rPr>
        <w:t>“</w:t>
      </w:r>
      <w:r w:rsidR="00A1524C" w:rsidRPr="00600DB8">
        <w:rPr>
          <w:rFonts w:ascii="Palatino Linotype" w:hAnsi="Palatino Linotype"/>
          <w:i/>
          <w:iCs/>
          <w:sz w:val="20"/>
          <w:szCs w:val="20"/>
        </w:rPr>
        <w:t>En referencia a su</w:t>
      </w:r>
      <w:r w:rsidR="00232DDB" w:rsidRPr="00600DB8">
        <w:rPr>
          <w:rFonts w:ascii="Palatino Linotype" w:hAnsi="Palatino Linotype"/>
          <w:i/>
          <w:iCs/>
          <w:sz w:val="20"/>
          <w:szCs w:val="20"/>
        </w:rPr>
        <w:t xml:space="preserve"> solicitud, hago de su conocimiento que el municipio de Ixtapaluca carece de facultades sobre la información que generen y poseen los municipios de Chalco y Valle de Chalco, al ser sujetos obligados independientes del municipio de Ixtapaluca en materia de acceso a la información</w:t>
      </w:r>
    </w:p>
    <w:p w14:paraId="27878240" w14:textId="77777777" w:rsidR="00232DDB" w:rsidRPr="00600DB8" w:rsidRDefault="00232DDB" w:rsidP="00D34146">
      <w:pPr>
        <w:pStyle w:val="Prrafodelista"/>
        <w:spacing w:line="360" w:lineRule="auto"/>
        <w:rPr>
          <w:rFonts w:ascii="Palatino Linotype" w:hAnsi="Palatino Linotype"/>
          <w:i/>
          <w:iCs/>
          <w:sz w:val="20"/>
          <w:szCs w:val="20"/>
        </w:rPr>
      </w:pPr>
      <w:r w:rsidRPr="00600DB8">
        <w:rPr>
          <w:rFonts w:ascii="Palatino Linotype" w:hAnsi="Palatino Linotype"/>
          <w:i/>
          <w:iCs/>
          <w:sz w:val="20"/>
          <w:szCs w:val="20"/>
        </w:rPr>
        <w:t xml:space="preserve">Al tenor de lo señalado se le orienta a presentar su solicitud de información ante los sujetos obligados de Chalco y Valle en dicho link </w:t>
      </w:r>
    </w:p>
    <w:p w14:paraId="38FCF453" w14:textId="727B5B47" w:rsidR="00324764" w:rsidRPr="00600DB8" w:rsidRDefault="003D26C6" w:rsidP="00D34146">
      <w:pPr>
        <w:pStyle w:val="Prrafodelista"/>
        <w:spacing w:line="360" w:lineRule="auto"/>
        <w:rPr>
          <w:rFonts w:ascii="Palatino Linotype" w:hAnsi="Palatino Linotype"/>
          <w:i/>
          <w:iCs/>
          <w:sz w:val="20"/>
          <w:szCs w:val="20"/>
        </w:rPr>
      </w:pPr>
      <w:hyperlink r:id="rId7" w:history="1">
        <w:r w:rsidR="00232DDB" w:rsidRPr="00600DB8">
          <w:rPr>
            <w:rStyle w:val="Hipervnculo"/>
            <w:rFonts w:ascii="Palatino Linotype" w:hAnsi="Palatino Linotype"/>
            <w:i/>
            <w:iCs/>
            <w:sz w:val="20"/>
            <w:szCs w:val="20"/>
          </w:rPr>
          <w:t>https://www.plataformadetransparencia.org.mx/</w:t>
        </w:r>
      </w:hyperlink>
      <w:r w:rsidR="00232DDB" w:rsidRPr="00600DB8">
        <w:rPr>
          <w:rFonts w:ascii="Palatino Linotype" w:hAnsi="Palatino Linotype"/>
          <w:i/>
          <w:iCs/>
          <w:sz w:val="20"/>
          <w:szCs w:val="20"/>
        </w:rPr>
        <w:t xml:space="preserve"> </w:t>
      </w:r>
      <w:r w:rsidR="00324764" w:rsidRPr="00600DB8">
        <w:rPr>
          <w:rFonts w:ascii="Palatino Linotype" w:hAnsi="Palatino Linotype"/>
          <w:i/>
          <w:iCs/>
          <w:sz w:val="20"/>
          <w:szCs w:val="20"/>
        </w:rPr>
        <w:t>.”</w:t>
      </w:r>
    </w:p>
    <w:p w14:paraId="12F5F5C6" w14:textId="77777777" w:rsidR="00E66685" w:rsidRPr="00600DB8" w:rsidRDefault="00E66685" w:rsidP="00D34146">
      <w:pPr>
        <w:spacing w:after="0" w:line="360" w:lineRule="auto"/>
        <w:rPr>
          <w:rFonts w:eastAsia="Times New Roman" w:cs="Times New Roman"/>
          <w:i/>
          <w:iCs/>
          <w:sz w:val="20"/>
          <w:szCs w:val="20"/>
          <w:lang w:eastAsia="es-ES"/>
        </w:rPr>
      </w:pPr>
    </w:p>
    <w:p w14:paraId="0169957A" w14:textId="77777777" w:rsidR="00232DDB" w:rsidRPr="00600DB8" w:rsidRDefault="00232DDB" w:rsidP="00D34146">
      <w:pPr>
        <w:spacing w:after="0" w:line="360" w:lineRule="auto"/>
      </w:pPr>
    </w:p>
    <w:p w14:paraId="00E2673A" w14:textId="77777777" w:rsidR="00E66685" w:rsidRPr="00600DB8" w:rsidRDefault="00E66685" w:rsidP="00D34146">
      <w:pPr>
        <w:pStyle w:val="Ttulo2"/>
        <w:spacing w:before="0" w:after="0" w:line="360" w:lineRule="auto"/>
        <w:rPr>
          <w:sz w:val="22"/>
          <w:szCs w:val="22"/>
        </w:rPr>
      </w:pPr>
      <w:bookmarkStart w:id="3" w:name="_Toc216886977"/>
      <w:r w:rsidRPr="00600DB8">
        <w:rPr>
          <w:sz w:val="22"/>
          <w:szCs w:val="22"/>
        </w:rPr>
        <w:t>III. Interposición del Recurso de Revisión</w:t>
      </w:r>
      <w:bookmarkEnd w:id="3"/>
    </w:p>
    <w:p w14:paraId="089EDBB0" w14:textId="77777777" w:rsidR="00E66685" w:rsidRPr="00600DB8" w:rsidRDefault="00E66685" w:rsidP="00D34146">
      <w:pPr>
        <w:spacing w:after="0" w:line="360" w:lineRule="auto"/>
        <w:rPr>
          <w:b/>
        </w:rPr>
      </w:pPr>
    </w:p>
    <w:p w14:paraId="515EAA95" w14:textId="6D1DC241" w:rsidR="00E66685" w:rsidRPr="00600DB8" w:rsidRDefault="00E66685" w:rsidP="00D34146">
      <w:pPr>
        <w:spacing w:after="0" w:line="360" w:lineRule="auto"/>
        <w:rPr>
          <w:bCs/>
        </w:rPr>
      </w:pPr>
      <w:r w:rsidRPr="00600DB8">
        <w:rPr>
          <w:bCs/>
        </w:rPr>
        <w:t xml:space="preserve">El </w:t>
      </w:r>
      <w:r w:rsidR="00232DDB" w:rsidRPr="00600DB8">
        <w:t>diez de marzo de dos mil veintiséis</w:t>
      </w:r>
      <w:r w:rsidRPr="00600DB8">
        <w:t xml:space="preserve">, </w:t>
      </w:r>
      <w:r w:rsidRPr="00600DB8">
        <w:rPr>
          <w:bCs/>
        </w:rPr>
        <w:t xml:space="preserve">se recibió en este Instituto, a través del </w:t>
      </w:r>
      <w:r w:rsidRPr="00600DB8">
        <w:rPr>
          <w:bCs/>
          <w:lang w:val="es-ES"/>
        </w:rPr>
        <w:t>Sistema de Acceso a la Información Mexiquense (SAIMEX)</w:t>
      </w:r>
      <w:r w:rsidRPr="00600DB8">
        <w:rPr>
          <w:bCs/>
        </w:rPr>
        <w:t>, el Recurso de Revisión interpuesto por la persona Recurrente, en contra de la respuesta por el Sujeto Obligado, a la solicitud de información</w:t>
      </w:r>
      <w:r w:rsidRPr="00600DB8">
        <w:rPr>
          <w:rFonts w:eastAsia="Calibri" w:cs="Times New Roman"/>
        </w:rPr>
        <w:t xml:space="preserve">, </w:t>
      </w:r>
      <w:r w:rsidRPr="00600DB8">
        <w:rPr>
          <w:bCs/>
        </w:rPr>
        <w:t>en los siguientes términos:</w:t>
      </w:r>
    </w:p>
    <w:p w14:paraId="37FF4BED" w14:textId="77777777" w:rsidR="00D131B3" w:rsidRPr="00600DB8" w:rsidRDefault="00D131B3" w:rsidP="00D34146">
      <w:pPr>
        <w:spacing w:after="0" w:line="360" w:lineRule="auto"/>
        <w:ind w:left="567" w:right="567"/>
        <w:rPr>
          <w:b/>
          <w:bCs/>
          <w:i/>
          <w:sz w:val="20"/>
          <w:szCs w:val="20"/>
        </w:rPr>
      </w:pPr>
    </w:p>
    <w:p w14:paraId="29B235F2" w14:textId="77777777" w:rsidR="00232DDB" w:rsidRPr="00600DB8" w:rsidRDefault="00232DDB" w:rsidP="00D34146">
      <w:pPr>
        <w:spacing w:after="0" w:line="360" w:lineRule="auto"/>
        <w:ind w:left="567" w:right="567"/>
        <w:rPr>
          <w:b/>
          <w:bCs/>
          <w:i/>
          <w:sz w:val="20"/>
          <w:szCs w:val="20"/>
        </w:rPr>
      </w:pPr>
    </w:p>
    <w:p w14:paraId="34CC41FB" w14:textId="77777777" w:rsidR="00232DDB" w:rsidRPr="00600DB8" w:rsidRDefault="00232DDB" w:rsidP="00D34146">
      <w:pPr>
        <w:spacing w:after="0" w:line="360" w:lineRule="auto"/>
        <w:ind w:left="567" w:right="567"/>
        <w:rPr>
          <w:b/>
          <w:bCs/>
          <w:i/>
          <w:sz w:val="20"/>
          <w:szCs w:val="20"/>
        </w:rPr>
      </w:pPr>
    </w:p>
    <w:p w14:paraId="58108C87" w14:textId="77777777" w:rsidR="00E66685" w:rsidRPr="00600DB8" w:rsidRDefault="00E66685" w:rsidP="00D34146">
      <w:pPr>
        <w:spacing w:after="0" w:line="360" w:lineRule="auto"/>
        <w:ind w:left="567" w:right="567"/>
        <w:rPr>
          <w:bCs/>
          <w:i/>
          <w:sz w:val="20"/>
          <w:szCs w:val="20"/>
        </w:rPr>
      </w:pPr>
      <w:r w:rsidRPr="00600DB8">
        <w:rPr>
          <w:b/>
          <w:bCs/>
          <w:i/>
          <w:sz w:val="20"/>
          <w:szCs w:val="20"/>
        </w:rPr>
        <w:t>‘’ACTO IMPUGNADO</w:t>
      </w:r>
    </w:p>
    <w:p w14:paraId="0DEBF12F" w14:textId="33B6136D" w:rsidR="00E66685" w:rsidRPr="00600DB8" w:rsidRDefault="00232DDB" w:rsidP="00D34146">
      <w:pPr>
        <w:spacing w:after="0" w:line="360" w:lineRule="auto"/>
        <w:ind w:left="567" w:right="567"/>
        <w:rPr>
          <w:i/>
          <w:sz w:val="20"/>
          <w:szCs w:val="20"/>
        </w:rPr>
      </w:pPr>
      <w:r w:rsidRPr="00600DB8">
        <w:rPr>
          <w:i/>
          <w:iCs/>
          <w:sz w:val="20"/>
          <w:szCs w:val="20"/>
        </w:rPr>
        <w:t>Negativa a la información solicitada</w:t>
      </w:r>
      <w:r w:rsidR="00E66685" w:rsidRPr="00600DB8">
        <w:rPr>
          <w:i/>
          <w:iCs/>
          <w:sz w:val="20"/>
          <w:szCs w:val="20"/>
        </w:rPr>
        <w:t>” (Sic.)</w:t>
      </w:r>
    </w:p>
    <w:p w14:paraId="2F905F42" w14:textId="77777777" w:rsidR="00E66685" w:rsidRPr="00600DB8" w:rsidRDefault="00E66685" w:rsidP="00D34146">
      <w:pPr>
        <w:spacing w:after="0" w:line="360" w:lineRule="auto"/>
        <w:ind w:left="567" w:right="567"/>
        <w:rPr>
          <w:i/>
          <w:sz w:val="20"/>
          <w:szCs w:val="20"/>
        </w:rPr>
      </w:pPr>
    </w:p>
    <w:p w14:paraId="50A32FE2" w14:textId="77777777" w:rsidR="00E66685" w:rsidRPr="00600DB8" w:rsidRDefault="00E66685" w:rsidP="00D34146">
      <w:pPr>
        <w:spacing w:after="0" w:line="360" w:lineRule="auto"/>
        <w:ind w:left="567" w:right="567"/>
        <w:rPr>
          <w:b/>
          <w:i/>
          <w:sz w:val="20"/>
          <w:szCs w:val="20"/>
        </w:rPr>
      </w:pPr>
      <w:r w:rsidRPr="00600DB8">
        <w:rPr>
          <w:b/>
          <w:i/>
          <w:sz w:val="20"/>
          <w:szCs w:val="20"/>
        </w:rPr>
        <w:t>‘’RAZONES O MOTIVOS DE LA INCONFORMIDAD</w:t>
      </w:r>
    </w:p>
    <w:p w14:paraId="1F70C0D4" w14:textId="6C32F6C8" w:rsidR="00E66685" w:rsidRPr="00600DB8" w:rsidRDefault="00232DDB" w:rsidP="00D34146">
      <w:pPr>
        <w:spacing w:after="0" w:line="360" w:lineRule="auto"/>
        <w:ind w:left="567" w:right="567"/>
        <w:rPr>
          <w:i/>
          <w:iCs/>
          <w:sz w:val="20"/>
          <w:szCs w:val="20"/>
        </w:rPr>
      </w:pPr>
      <w:r w:rsidRPr="00600DB8">
        <w:rPr>
          <w:i/>
          <w:iCs/>
          <w:sz w:val="20"/>
          <w:szCs w:val="20"/>
        </w:rPr>
        <w:t>Negativa a la información solicitada</w:t>
      </w:r>
      <w:r w:rsidR="00E66685" w:rsidRPr="00600DB8">
        <w:rPr>
          <w:i/>
          <w:iCs/>
          <w:sz w:val="20"/>
          <w:szCs w:val="20"/>
        </w:rPr>
        <w:t>” (Sic.)</w:t>
      </w:r>
    </w:p>
    <w:p w14:paraId="42E4F9DB" w14:textId="77777777" w:rsidR="00E66685" w:rsidRPr="00600DB8" w:rsidRDefault="00E66685" w:rsidP="00D34146">
      <w:pPr>
        <w:spacing w:after="0" w:line="360" w:lineRule="auto"/>
        <w:ind w:right="567"/>
        <w:rPr>
          <w:szCs w:val="20"/>
        </w:rPr>
      </w:pPr>
    </w:p>
    <w:p w14:paraId="65522EEF" w14:textId="77777777" w:rsidR="00E66685" w:rsidRPr="00600DB8" w:rsidRDefault="00E66685" w:rsidP="00D34146">
      <w:pPr>
        <w:pStyle w:val="Ttulo2"/>
        <w:spacing w:before="0" w:after="0" w:line="360" w:lineRule="auto"/>
        <w:rPr>
          <w:sz w:val="22"/>
          <w:szCs w:val="22"/>
        </w:rPr>
      </w:pPr>
      <w:bookmarkStart w:id="4" w:name="_Toc216886978"/>
      <w:r w:rsidRPr="00600DB8">
        <w:rPr>
          <w:sz w:val="22"/>
          <w:szCs w:val="22"/>
        </w:rPr>
        <w:t>IV. Trámite del Recurso de Revisión ante este Instituto</w:t>
      </w:r>
      <w:bookmarkEnd w:id="4"/>
    </w:p>
    <w:p w14:paraId="1CDF61A4" w14:textId="77777777" w:rsidR="00E66685" w:rsidRPr="00600DB8" w:rsidRDefault="00E66685" w:rsidP="00D34146">
      <w:pPr>
        <w:spacing w:after="0" w:line="360" w:lineRule="auto"/>
        <w:rPr>
          <w:b/>
          <w:bCs/>
        </w:rPr>
      </w:pPr>
    </w:p>
    <w:p w14:paraId="40B189C0" w14:textId="766C828C" w:rsidR="00E66685" w:rsidRPr="00600DB8" w:rsidRDefault="00E66685" w:rsidP="00D34146">
      <w:pPr>
        <w:spacing w:after="0" w:line="360" w:lineRule="auto"/>
        <w:rPr>
          <w:bCs/>
        </w:rPr>
      </w:pPr>
      <w:r w:rsidRPr="00600DB8">
        <w:rPr>
          <w:b/>
          <w:bCs/>
        </w:rPr>
        <w:t>a) Turno del Medio de Impugnación.</w:t>
      </w:r>
      <w:r w:rsidRPr="00600DB8">
        <w:rPr>
          <w:bCs/>
        </w:rPr>
        <w:t xml:space="preserve"> </w:t>
      </w:r>
      <w:r w:rsidR="00232DDB" w:rsidRPr="00600DB8">
        <w:rPr>
          <w:bCs/>
        </w:rPr>
        <w:t xml:space="preserve">El </w:t>
      </w:r>
      <w:r w:rsidR="00232DDB" w:rsidRPr="00600DB8">
        <w:t>diez de marzo de dos mil veintiséis</w:t>
      </w:r>
      <w:r w:rsidRPr="00600DB8">
        <w:rPr>
          <w:bCs/>
        </w:rPr>
        <w:t xml:space="preserve">, el </w:t>
      </w:r>
      <w:r w:rsidRPr="00600DB8">
        <w:rPr>
          <w:lang w:val="es-ES"/>
        </w:rPr>
        <w:t>Sistema de Acceso a la Información Mexiquense (SAIMEX),</w:t>
      </w:r>
      <w:r w:rsidRPr="00600DB8">
        <w:rPr>
          <w:bCs/>
        </w:rPr>
        <w:t xml:space="preserve"> asignó el número de expediente </w:t>
      </w:r>
      <w:r w:rsidR="00232DDB" w:rsidRPr="00600DB8">
        <w:rPr>
          <w:b/>
          <w:bCs/>
        </w:rPr>
        <w:t>03061/INFOEM/IP/RR/2026</w:t>
      </w:r>
      <w:r w:rsidRPr="00600DB8">
        <w:rPr>
          <w:bCs/>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3BD93C1B" w14:textId="77777777" w:rsidR="00232DDB" w:rsidRPr="00600DB8" w:rsidRDefault="00232DDB" w:rsidP="00D34146">
      <w:pPr>
        <w:spacing w:after="0" w:line="360" w:lineRule="auto"/>
        <w:rPr>
          <w:bCs/>
        </w:rPr>
      </w:pPr>
    </w:p>
    <w:p w14:paraId="390D018F" w14:textId="6DDA104A" w:rsidR="00E66685" w:rsidRPr="00600DB8" w:rsidRDefault="00E66685" w:rsidP="00D34146">
      <w:pPr>
        <w:spacing w:after="0" w:line="360" w:lineRule="auto"/>
        <w:rPr>
          <w:bCs/>
          <w:lang w:val="es-ES_tradnl"/>
        </w:rPr>
      </w:pPr>
      <w:r w:rsidRPr="00600DB8">
        <w:rPr>
          <w:b/>
          <w:bCs/>
        </w:rPr>
        <w:t>b) Admisión del Recurso de Revisión</w:t>
      </w:r>
      <w:r w:rsidRPr="00600DB8">
        <w:rPr>
          <w:b/>
          <w:bCs/>
          <w:lang w:val="es-ES_tradnl"/>
        </w:rPr>
        <w:t xml:space="preserve">. </w:t>
      </w:r>
      <w:r w:rsidR="00232DDB" w:rsidRPr="00600DB8">
        <w:rPr>
          <w:bCs/>
        </w:rPr>
        <w:t xml:space="preserve">El </w:t>
      </w:r>
      <w:r w:rsidR="00232DDB" w:rsidRPr="00600DB8">
        <w:t>trece de marzo de dos mil veintiséis</w:t>
      </w:r>
      <w:r w:rsidRPr="00600DB8">
        <w:rPr>
          <w:bCs/>
          <w:lang w:val="es-ES_tradnl"/>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1B11B5E" w14:textId="77777777" w:rsidR="004A0142" w:rsidRPr="00600DB8" w:rsidRDefault="004A0142" w:rsidP="00D34146">
      <w:pPr>
        <w:spacing w:after="0" w:line="360" w:lineRule="auto"/>
      </w:pPr>
    </w:p>
    <w:p w14:paraId="76634B57" w14:textId="78DE169B" w:rsidR="00E66685" w:rsidRPr="00600DB8" w:rsidRDefault="00E66685" w:rsidP="00D34146">
      <w:pPr>
        <w:spacing w:after="0" w:line="360" w:lineRule="auto"/>
        <w:rPr>
          <w:rFonts w:cs="Tahoma"/>
          <w:i/>
          <w:sz w:val="20"/>
        </w:rPr>
      </w:pPr>
      <w:r w:rsidRPr="00600DB8">
        <w:rPr>
          <w:b/>
        </w:rPr>
        <w:t xml:space="preserve">c) Informe Justificado. </w:t>
      </w:r>
      <w:r w:rsidR="00232DDB" w:rsidRPr="00600DB8">
        <w:t>Las partes fueron omisas en emitir alguna manifestación o alegato.</w:t>
      </w:r>
    </w:p>
    <w:p w14:paraId="066A3C3A" w14:textId="77777777" w:rsidR="004A0142" w:rsidRPr="00600DB8" w:rsidRDefault="004A0142" w:rsidP="00D34146">
      <w:pPr>
        <w:spacing w:after="0" w:line="360" w:lineRule="auto"/>
        <w:rPr>
          <w:rFonts w:cs="Tahoma"/>
          <w:i/>
          <w:sz w:val="20"/>
        </w:rPr>
      </w:pPr>
    </w:p>
    <w:p w14:paraId="0491A9E3" w14:textId="77777777" w:rsidR="00E66685" w:rsidRPr="00600DB8" w:rsidRDefault="00E66685" w:rsidP="00D34146">
      <w:pPr>
        <w:spacing w:after="0" w:line="360" w:lineRule="auto"/>
        <w:rPr>
          <w:rFonts w:cs="Tahoma"/>
        </w:rPr>
      </w:pPr>
    </w:p>
    <w:p w14:paraId="2081C638" w14:textId="77777777" w:rsidR="00E66685" w:rsidRPr="00600DB8" w:rsidRDefault="00E66685" w:rsidP="00D34146">
      <w:pPr>
        <w:spacing w:after="0" w:line="360" w:lineRule="auto"/>
        <w:rPr>
          <w:b/>
          <w:color w:val="000000"/>
        </w:rPr>
      </w:pPr>
      <w:bookmarkStart w:id="5" w:name="_Hlk182976945"/>
    </w:p>
    <w:p w14:paraId="2D9E0A64" w14:textId="77E7B8EC" w:rsidR="00E66685" w:rsidRPr="00600DB8" w:rsidRDefault="00E66685" w:rsidP="00D34146">
      <w:pPr>
        <w:spacing w:after="0" w:line="360" w:lineRule="auto"/>
        <w:contextualSpacing/>
      </w:pPr>
      <w:r w:rsidRPr="00600DB8">
        <w:rPr>
          <w:rFonts w:eastAsia="Batang" w:cs="Tahoma"/>
          <w:b/>
        </w:rPr>
        <w:t xml:space="preserve">f) </w:t>
      </w:r>
      <w:r w:rsidRPr="00600DB8">
        <w:rPr>
          <w:rFonts w:eastAsia="Times New Roman" w:cs="Tahoma"/>
          <w:b/>
          <w:szCs w:val="24"/>
          <w:lang w:eastAsia="es-ES"/>
        </w:rPr>
        <w:t>Cierre de instrucción.</w:t>
      </w:r>
      <w:r w:rsidRPr="00600DB8">
        <w:rPr>
          <w:rFonts w:eastAsia="Times New Roman" w:cs="Tahoma"/>
          <w:szCs w:val="24"/>
          <w:lang w:eastAsia="es-ES"/>
        </w:rPr>
        <w:t xml:space="preserve"> </w:t>
      </w:r>
      <w:r w:rsidR="00232DDB" w:rsidRPr="00600DB8">
        <w:rPr>
          <w:bCs/>
        </w:rPr>
        <w:t xml:space="preserve">El </w:t>
      </w:r>
      <w:r w:rsidR="00232DDB" w:rsidRPr="00600DB8">
        <w:t>veintiséis de marzo de dos mil veintiséis</w:t>
      </w:r>
      <w:r w:rsidRPr="00600DB8">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600DB8">
        <w:rPr>
          <w:lang w:val="es-ES"/>
        </w:rPr>
        <w:t>acto que fue notificado a las partes, mediante el Sistema de Acceso a la Información Mexiquense (SAIMEX), el mismo día.</w:t>
      </w:r>
    </w:p>
    <w:bookmarkEnd w:id="5"/>
    <w:p w14:paraId="23017313" w14:textId="77777777" w:rsidR="00E66685" w:rsidRPr="00600DB8" w:rsidRDefault="00E66685" w:rsidP="00D34146">
      <w:pPr>
        <w:spacing w:after="0" w:line="360" w:lineRule="auto"/>
        <w:rPr>
          <w:b/>
          <w:bCs/>
          <w:lang w:val="es-ES"/>
        </w:rPr>
      </w:pPr>
    </w:p>
    <w:p w14:paraId="09A86417" w14:textId="77777777" w:rsidR="00E66685" w:rsidRPr="00600DB8" w:rsidRDefault="00E66685" w:rsidP="00D34146">
      <w:pPr>
        <w:spacing w:after="0" w:line="360" w:lineRule="auto"/>
        <w:rPr>
          <w:color w:val="000000"/>
        </w:rPr>
      </w:pPr>
      <w:r w:rsidRPr="00600DB8">
        <w:rPr>
          <w:color w:val="000000"/>
        </w:rPr>
        <w:t>En razón de que fue debidamente sustanciado e integrado el expediente electrónico y no existe diligencia pendiente de desahogo, se emite la resolución que conforme a Derecho proceda, de acuerdo a los siguientes:</w:t>
      </w:r>
    </w:p>
    <w:p w14:paraId="1C148513" w14:textId="77777777" w:rsidR="00E66685" w:rsidRPr="00600DB8" w:rsidRDefault="00E66685" w:rsidP="00D34146">
      <w:pPr>
        <w:spacing w:after="0" w:line="360" w:lineRule="auto"/>
        <w:rPr>
          <w:color w:val="000000"/>
        </w:rPr>
      </w:pPr>
    </w:p>
    <w:p w14:paraId="5A41DEA7" w14:textId="77777777" w:rsidR="00E66685" w:rsidRPr="00600DB8" w:rsidRDefault="00E66685" w:rsidP="00D34146">
      <w:pPr>
        <w:pStyle w:val="Ttulo1"/>
        <w:spacing w:before="0" w:after="0" w:line="360" w:lineRule="auto"/>
        <w:jc w:val="center"/>
        <w:rPr>
          <w:sz w:val="22"/>
          <w:szCs w:val="22"/>
        </w:rPr>
      </w:pPr>
      <w:bookmarkStart w:id="6" w:name="_Toc216886979"/>
      <w:r w:rsidRPr="00600DB8">
        <w:rPr>
          <w:sz w:val="22"/>
          <w:szCs w:val="22"/>
        </w:rPr>
        <w:t>C O N S I D E R A N D O S</w:t>
      </w:r>
      <w:bookmarkEnd w:id="6"/>
    </w:p>
    <w:p w14:paraId="2C0781B7" w14:textId="77777777" w:rsidR="00E66685" w:rsidRPr="00600DB8" w:rsidRDefault="00E66685" w:rsidP="00D34146">
      <w:pPr>
        <w:spacing w:after="0" w:line="360" w:lineRule="auto"/>
        <w:jc w:val="center"/>
        <w:rPr>
          <w:b/>
          <w:color w:val="000000"/>
        </w:rPr>
      </w:pPr>
    </w:p>
    <w:p w14:paraId="3708032D" w14:textId="77777777" w:rsidR="00E66685" w:rsidRPr="00600DB8" w:rsidRDefault="00E66685" w:rsidP="00D34146">
      <w:pPr>
        <w:pStyle w:val="Ttulo2"/>
        <w:spacing w:before="0" w:after="0" w:line="360" w:lineRule="auto"/>
        <w:rPr>
          <w:sz w:val="22"/>
          <w:szCs w:val="22"/>
        </w:rPr>
      </w:pPr>
      <w:bookmarkStart w:id="7" w:name="_Toc216886980"/>
      <w:r w:rsidRPr="00600DB8">
        <w:rPr>
          <w:sz w:val="22"/>
          <w:szCs w:val="22"/>
        </w:rPr>
        <w:t>PRIMERO. Competencia</w:t>
      </w:r>
      <w:bookmarkEnd w:id="7"/>
    </w:p>
    <w:p w14:paraId="496EA9F1" w14:textId="77777777" w:rsidR="00E66685" w:rsidRPr="00600DB8" w:rsidRDefault="00E66685" w:rsidP="00D34146">
      <w:pPr>
        <w:spacing w:after="0" w:line="360" w:lineRule="auto"/>
        <w:contextualSpacing/>
        <w:rPr>
          <w:rFonts w:eastAsia="Times New Roman" w:cs="Tahoma"/>
          <w:bCs/>
          <w:lang w:eastAsia="es-ES"/>
        </w:rPr>
      </w:pPr>
      <w:bookmarkStart w:id="8" w:name="_heading=h.30j0zll" w:colFirst="0" w:colLast="0"/>
      <w:bookmarkEnd w:id="8"/>
    </w:p>
    <w:p w14:paraId="357A5F2A" w14:textId="77777777" w:rsidR="00E66685" w:rsidRPr="00600DB8" w:rsidRDefault="00E66685" w:rsidP="00D34146">
      <w:pPr>
        <w:spacing w:after="0" w:line="360" w:lineRule="auto"/>
        <w:contextualSpacing/>
        <w:rPr>
          <w:rFonts w:eastAsia="Times New Roman" w:cs="Tahoma"/>
          <w:bCs/>
          <w:lang w:eastAsia="es-ES"/>
        </w:rPr>
      </w:pPr>
      <w:r w:rsidRPr="00600DB8">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w:t>
      </w:r>
      <w:r w:rsidRPr="00600DB8">
        <w:rPr>
          <w:rFonts w:eastAsia="Times New Roman" w:cs="Tahoma"/>
          <w:bCs/>
          <w:lang w:eastAsia="es-ES"/>
        </w:rPr>
        <w:lastRenderedPageBreak/>
        <w:t>Instituto de Transparencia, Acceso a la Información Pública y Protección de Datos Personales del Estado de México y Municipios.</w:t>
      </w:r>
    </w:p>
    <w:p w14:paraId="40D4E0AC" w14:textId="77777777" w:rsidR="00430411" w:rsidRPr="00600DB8" w:rsidRDefault="00430411" w:rsidP="00D34146">
      <w:pPr>
        <w:spacing w:after="0" w:line="360" w:lineRule="auto"/>
        <w:contextualSpacing/>
        <w:rPr>
          <w:rFonts w:eastAsia="Times New Roman" w:cs="Tahoma"/>
          <w:bCs/>
          <w:lang w:eastAsia="es-ES"/>
        </w:rPr>
      </w:pPr>
    </w:p>
    <w:p w14:paraId="7BE63957" w14:textId="77777777" w:rsidR="00E66685" w:rsidRPr="00600DB8" w:rsidRDefault="00E66685" w:rsidP="00D34146">
      <w:pPr>
        <w:pStyle w:val="Ttulo2"/>
        <w:spacing w:before="0" w:after="0" w:line="360" w:lineRule="auto"/>
        <w:rPr>
          <w:sz w:val="22"/>
          <w:szCs w:val="22"/>
        </w:rPr>
      </w:pPr>
      <w:bookmarkStart w:id="9" w:name="_Toc216886981"/>
      <w:r w:rsidRPr="00600DB8">
        <w:rPr>
          <w:sz w:val="22"/>
          <w:szCs w:val="22"/>
        </w:rPr>
        <w:t>SEGUNDO. Causales de improcedencia y sobreseimiento</w:t>
      </w:r>
      <w:bookmarkEnd w:id="9"/>
    </w:p>
    <w:p w14:paraId="4A32C10E" w14:textId="77777777" w:rsidR="00E66685" w:rsidRPr="00600DB8" w:rsidRDefault="00E66685" w:rsidP="00D34146">
      <w:pPr>
        <w:spacing w:after="0" w:line="360" w:lineRule="auto"/>
        <w:rPr>
          <w:color w:val="000000"/>
        </w:rPr>
      </w:pPr>
    </w:p>
    <w:p w14:paraId="18251912" w14:textId="77777777" w:rsidR="00E66685" w:rsidRPr="00600DB8" w:rsidRDefault="00E66685" w:rsidP="00D34146">
      <w:pPr>
        <w:spacing w:after="0" w:line="360" w:lineRule="auto"/>
        <w:rPr>
          <w:color w:val="000000"/>
        </w:rPr>
      </w:pPr>
      <w:r w:rsidRPr="00600DB8">
        <w:rPr>
          <w:color w:val="000000"/>
        </w:rPr>
        <w:t xml:space="preserve">De las constancias que forma parte del Recurso de Revisión que se analiza, se advierte que previo al estudio del fondo de la </w:t>
      </w:r>
      <w:proofErr w:type="spellStart"/>
      <w:r w:rsidRPr="00600DB8">
        <w:rPr>
          <w:i/>
          <w:color w:val="000000"/>
        </w:rPr>
        <w:t>litis</w:t>
      </w:r>
      <w:proofErr w:type="spellEnd"/>
      <w:r w:rsidRPr="00600DB8">
        <w:rPr>
          <w:color w:val="000000"/>
        </w:rPr>
        <w:t>, es necesario estudiar las causales de improcedencia y sobreseimiento que se adviertan, para determinar lo que en Derecho proceda.</w:t>
      </w:r>
    </w:p>
    <w:p w14:paraId="1C178776" w14:textId="77777777" w:rsidR="00430411" w:rsidRPr="00600DB8" w:rsidRDefault="00430411" w:rsidP="00D34146">
      <w:pPr>
        <w:spacing w:after="0" w:line="360" w:lineRule="auto"/>
        <w:rPr>
          <w:color w:val="000000"/>
        </w:rPr>
      </w:pPr>
    </w:p>
    <w:p w14:paraId="38117D9E" w14:textId="77777777" w:rsidR="00E66685" w:rsidRPr="00600DB8" w:rsidRDefault="00E66685" w:rsidP="00D34146">
      <w:pPr>
        <w:spacing w:after="0" w:line="360" w:lineRule="auto"/>
        <w:rPr>
          <w:b/>
        </w:rPr>
      </w:pPr>
      <w:r w:rsidRPr="00600DB8">
        <w:rPr>
          <w:b/>
        </w:rPr>
        <w:t>Causales de improcedencia</w:t>
      </w:r>
    </w:p>
    <w:p w14:paraId="120CEBF8" w14:textId="77777777" w:rsidR="00E66685" w:rsidRPr="00600DB8" w:rsidRDefault="00E66685" w:rsidP="00D34146">
      <w:pPr>
        <w:spacing w:after="0" w:line="360" w:lineRule="auto"/>
        <w:rPr>
          <w:b/>
        </w:rPr>
      </w:pPr>
    </w:p>
    <w:p w14:paraId="14C54D35" w14:textId="77777777" w:rsidR="00E66685" w:rsidRPr="00600DB8" w:rsidRDefault="00E66685" w:rsidP="00D34146">
      <w:pPr>
        <w:spacing w:after="0" w:line="360" w:lineRule="auto"/>
        <w:rPr>
          <w:color w:val="000000"/>
        </w:rPr>
      </w:pPr>
      <w:r w:rsidRPr="00600DB8">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02FA1FF" w14:textId="77777777" w:rsidR="00E66685" w:rsidRPr="00600DB8" w:rsidRDefault="00E66685" w:rsidP="00D34146">
      <w:pPr>
        <w:spacing w:after="0" w:line="360" w:lineRule="auto"/>
        <w:rPr>
          <w:color w:val="000000"/>
        </w:rPr>
      </w:pPr>
    </w:p>
    <w:p w14:paraId="6E66B93B" w14:textId="77777777" w:rsidR="00E66685" w:rsidRPr="00600DB8" w:rsidRDefault="00E66685" w:rsidP="00D34146">
      <w:pPr>
        <w:spacing w:after="0" w:line="360" w:lineRule="auto"/>
        <w:rPr>
          <w:color w:val="000000"/>
        </w:rPr>
      </w:pPr>
      <w:r w:rsidRPr="00600DB8">
        <w:rPr>
          <w:color w:val="000000"/>
        </w:rPr>
        <w:t>En el presente caso, </w:t>
      </w:r>
      <w:r w:rsidRPr="00600DB8">
        <w:rPr>
          <w:b/>
          <w:color w:val="000000"/>
        </w:rPr>
        <w:t>no se actualiza ninguna de las causales de improcedencia</w:t>
      </w:r>
      <w:r w:rsidRPr="00600DB8">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5DD078A" w14:textId="77777777" w:rsidR="00E66685" w:rsidRPr="00600DB8" w:rsidRDefault="00E66685" w:rsidP="00D34146">
      <w:pPr>
        <w:spacing w:after="0" w:line="360" w:lineRule="auto"/>
        <w:rPr>
          <w:color w:val="000000"/>
        </w:rPr>
      </w:pPr>
    </w:p>
    <w:p w14:paraId="3B7723C2" w14:textId="113D6554" w:rsidR="00E66685" w:rsidRPr="00600DB8" w:rsidRDefault="00E66685" w:rsidP="00D34146">
      <w:pPr>
        <w:spacing w:after="0" w:line="360" w:lineRule="auto"/>
      </w:pPr>
      <w:r w:rsidRPr="00600DB8">
        <w:t xml:space="preserve">Por lo cual, se actualiza la causal de procedencia del Recurso de Revisión señalada en el artículo 179, fracción </w:t>
      </w:r>
      <w:r w:rsidR="009F5F81" w:rsidRPr="00600DB8">
        <w:t>I</w:t>
      </w:r>
      <w:r w:rsidRPr="00600DB8">
        <w:t xml:space="preserve">, de la Ley en cita, pues la persona Recurrente se inconformó de la </w:t>
      </w:r>
      <w:r w:rsidR="009F5F81" w:rsidRPr="00600DB8">
        <w:t>negativa de información.</w:t>
      </w:r>
    </w:p>
    <w:p w14:paraId="6A6A6E4C" w14:textId="77777777" w:rsidR="00FD0E21" w:rsidRPr="00600DB8" w:rsidRDefault="00FD0E21" w:rsidP="00D34146">
      <w:pPr>
        <w:spacing w:after="0" w:line="360" w:lineRule="auto"/>
      </w:pPr>
    </w:p>
    <w:p w14:paraId="71BACEC1" w14:textId="77777777" w:rsidR="00E66685" w:rsidRPr="00600DB8" w:rsidRDefault="00E66685" w:rsidP="00D34146">
      <w:pPr>
        <w:spacing w:after="0" w:line="360" w:lineRule="auto"/>
        <w:rPr>
          <w:color w:val="0D0D0D"/>
        </w:rPr>
      </w:pPr>
      <w:r w:rsidRPr="00600DB8">
        <w:rPr>
          <w:b/>
          <w:color w:val="0D0D0D"/>
        </w:rPr>
        <w:t>Causales de sobreseimiento</w:t>
      </w:r>
    </w:p>
    <w:p w14:paraId="269AB9C7" w14:textId="77777777" w:rsidR="00E66685" w:rsidRPr="00600DB8" w:rsidRDefault="00E66685" w:rsidP="00D34146">
      <w:pPr>
        <w:spacing w:after="0" w:line="360" w:lineRule="auto"/>
        <w:rPr>
          <w:color w:val="0D0D0D"/>
        </w:rPr>
      </w:pPr>
    </w:p>
    <w:p w14:paraId="18D5BDEB" w14:textId="77777777" w:rsidR="00E66685" w:rsidRPr="00600DB8" w:rsidRDefault="00E66685" w:rsidP="00D34146">
      <w:pPr>
        <w:spacing w:after="0" w:line="360" w:lineRule="auto"/>
        <w:rPr>
          <w:color w:val="0D0D0D"/>
        </w:rPr>
      </w:pPr>
      <w:r w:rsidRPr="00600DB8">
        <w:rPr>
          <w:color w:val="0D0D0D"/>
        </w:rPr>
        <w:t>Por ser de previo y especial pronunciamiento, este Instituto analiza si se actualiza alguna causal de sobreseimiento.</w:t>
      </w:r>
    </w:p>
    <w:p w14:paraId="5AE3A3CE" w14:textId="77777777" w:rsidR="00E66685" w:rsidRPr="00600DB8" w:rsidRDefault="00E66685" w:rsidP="00D34146">
      <w:pPr>
        <w:spacing w:after="0" w:line="360" w:lineRule="auto"/>
        <w:rPr>
          <w:color w:val="0D0D0D"/>
        </w:rPr>
      </w:pPr>
    </w:p>
    <w:p w14:paraId="6A1001F5" w14:textId="77777777" w:rsidR="00E66685" w:rsidRPr="00600DB8" w:rsidRDefault="00E66685" w:rsidP="00D34146">
      <w:pPr>
        <w:spacing w:after="0" w:line="360" w:lineRule="auto"/>
        <w:rPr>
          <w:color w:val="000000"/>
        </w:rPr>
      </w:pPr>
      <w:r w:rsidRPr="00600DB8">
        <w:rPr>
          <w:color w:val="0D0D0D"/>
        </w:rPr>
        <w:t>Sobre el tema, e</w:t>
      </w:r>
      <w:r w:rsidRPr="00600DB8">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0327F1F8" w14:textId="77777777" w:rsidR="00E66685" w:rsidRPr="00600DB8" w:rsidRDefault="00E66685" w:rsidP="00D34146">
      <w:pPr>
        <w:spacing w:after="0" w:line="360" w:lineRule="auto"/>
        <w:rPr>
          <w:color w:val="000000"/>
        </w:rPr>
      </w:pPr>
    </w:p>
    <w:p w14:paraId="2E7A6207" w14:textId="77777777" w:rsidR="00E66685" w:rsidRPr="00600DB8" w:rsidRDefault="00E66685" w:rsidP="00D34146">
      <w:pPr>
        <w:spacing w:after="0" w:line="360" w:lineRule="auto"/>
        <w:rPr>
          <w:color w:val="0D0D0D"/>
        </w:rPr>
      </w:pPr>
      <w:r w:rsidRPr="00600DB8">
        <w:rPr>
          <w:color w:val="0D0D0D"/>
        </w:rPr>
        <w:t>Por tales motivos, se considera procedente entrar al fondo del presente asunto.</w:t>
      </w:r>
    </w:p>
    <w:p w14:paraId="15A650E5" w14:textId="77777777" w:rsidR="00FD0E21" w:rsidRPr="00600DB8" w:rsidRDefault="00FD0E21" w:rsidP="00D34146">
      <w:pPr>
        <w:spacing w:after="0" w:line="360" w:lineRule="auto"/>
        <w:rPr>
          <w:b/>
          <w:color w:val="000000"/>
        </w:rPr>
      </w:pPr>
    </w:p>
    <w:p w14:paraId="1BA021A3" w14:textId="77777777" w:rsidR="00E66685" w:rsidRPr="00600DB8" w:rsidRDefault="00E66685" w:rsidP="00D34146">
      <w:pPr>
        <w:pStyle w:val="Ttulo2"/>
        <w:spacing w:before="0" w:after="0" w:line="360" w:lineRule="auto"/>
        <w:rPr>
          <w:sz w:val="22"/>
          <w:szCs w:val="22"/>
        </w:rPr>
      </w:pPr>
      <w:bookmarkStart w:id="10" w:name="_Toc216886982"/>
      <w:r w:rsidRPr="00600DB8">
        <w:rPr>
          <w:sz w:val="22"/>
          <w:szCs w:val="22"/>
        </w:rPr>
        <w:t>TERCERO. Determinación de la Controversia</w:t>
      </w:r>
      <w:bookmarkEnd w:id="10"/>
    </w:p>
    <w:p w14:paraId="69372255" w14:textId="77777777" w:rsidR="00E66685" w:rsidRPr="00600DB8" w:rsidRDefault="00E66685" w:rsidP="00D34146">
      <w:pPr>
        <w:spacing w:after="0" w:line="360" w:lineRule="auto"/>
        <w:rPr>
          <w:b/>
          <w:color w:val="000000"/>
        </w:rPr>
      </w:pPr>
    </w:p>
    <w:p w14:paraId="032D18F5" w14:textId="2049BB6F" w:rsidR="00E66685" w:rsidRPr="00600DB8" w:rsidRDefault="00E66685" w:rsidP="00D34146">
      <w:pPr>
        <w:spacing w:after="0" w:line="360" w:lineRule="auto"/>
        <w:rPr>
          <w:rFonts w:cs="Tahoma"/>
        </w:rPr>
      </w:pPr>
      <w:r w:rsidRPr="00600DB8">
        <w:rPr>
          <w:rFonts w:cs="Tahoma"/>
        </w:rPr>
        <w:t xml:space="preserve">Con el objetivo de ilustrar la controversia planteada, resulta conveniente precisar, que una vez realizado el estudio de las constancias que integran el expediente en el que se actúa, se </w:t>
      </w:r>
      <w:r w:rsidRPr="00600DB8">
        <w:rPr>
          <w:rFonts w:cs="Tahoma"/>
        </w:rPr>
        <w:lastRenderedPageBreak/>
        <w:t xml:space="preserve">desprende que el Particular requirió, </w:t>
      </w:r>
      <w:r w:rsidR="009F5F81" w:rsidRPr="00600DB8">
        <w:rPr>
          <w:rFonts w:cs="Tahoma"/>
        </w:rPr>
        <w:t>el Padrón Catastral actualizado, del municipio de Ixtapaluca, Chalco y Valle de Chalco.</w:t>
      </w:r>
    </w:p>
    <w:p w14:paraId="527ADAA6" w14:textId="77777777" w:rsidR="00E66685" w:rsidRPr="00600DB8" w:rsidRDefault="00E66685" w:rsidP="00D34146">
      <w:pPr>
        <w:spacing w:after="0" w:line="360" w:lineRule="auto"/>
        <w:rPr>
          <w:rFonts w:cs="Tahoma"/>
        </w:rPr>
      </w:pPr>
    </w:p>
    <w:p w14:paraId="4E22FB34" w14:textId="5B57A923" w:rsidR="00E66685" w:rsidRPr="00600DB8" w:rsidRDefault="00E66685" w:rsidP="00D34146">
      <w:pPr>
        <w:spacing w:after="0" w:line="360" w:lineRule="auto"/>
      </w:pPr>
      <w:r w:rsidRPr="00600DB8">
        <w:rPr>
          <w:color w:val="000000"/>
        </w:rPr>
        <w:t xml:space="preserve">En respuesta, el Sujeto Obligado, través </w:t>
      </w:r>
      <w:r w:rsidRPr="00600DB8">
        <w:t xml:space="preserve">de la </w:t>
      </w:r>
      <w:r w:rsidR="00FD0E21" w:rsidRPr="00600DB8">
        <w:t>Unidad de Transparencia</w:t>
      </w:r>
      <w:r w:rsidRPr="00600DB8">
        <w:t xml:space="preserve"> </w:t>
      </w:r>
      <w:r w:rsidR="009F5F81" w:rsidRPr="00600DB8">
        <w:t xml:space="preserve">se declaró incompetente de brindar información ya que Chalco y Valle de </w:t>
      </w:r>
      <w:r w:rsidR="00461242" w:rsidRPr="00600DB8">
        <w:t>Chalco son sujetos independientes del municipio de Ixtapaluca</w:t>
      </w:r>
      <w:r w:rsidRPr="00600DB8">
        <w:rPr>
          <w:color w:val="000000"/>
        </w:rPr>
        <w:t xml:space="preserve">; </w:t>
      </w:r>
      <w:r w:rsidRPr="00600DB8">
        <w:rPr>
          <w:rFonts w:cs="Tahoma"/>
          <w:lang w:val="es-ES"/>
        </w:rPr>
        <w:t xml:space="preserve">ante dicha circunstancia, el Particular se inconformó </w:t>
      </w:r>
      <w:r w:rsidR="0090416D" w:rsidRPr="00600DB8">
        <w:rPr>
          <w:rFonts w:cs="Tahoma"/>
          <w:lang w:val="es-ES"/>
        </w:rPr>
        <w:t xml:space="preserve">de la </w:t>
      </w:r>
      <w:r w:rsidR="00461242" w:rsidRPr="00600DB8">
        <w:rPr>
          <w:rFonts w:cs="Tahoma"/>
          <w:lang w:val="es-ES"/>
        </w:rPr>
        <w:t>negativa de información</w:t>
      </w:r>
      <w:r w:rsidRPr="00600DB8">
        <w:rPr>
          <w:rFonts w:cs="Tahoma"/>
          <w:lang w:val="es-ES"/>
        </w:rPr>
        <w:t xml:space="preserve">, al mencionar </w:t>
      </w:r>
      <w:r w:rsidR="00461242" w:rsidRPr="00600DB8">
        <w:rPr>
          <w:rFonts w:eastAsia="Calibri" w:cs="Tahoma"/>
          <w:color w:val="000000"/>
          <w:szCs w:val="24"/>
          <w:lang w:val="es-ES"/>
        </w:rPr>
        <w:t>que no entregaban lo solicitado</w:t>
      </w:r>
      <w:r w:rsidRPr="00600DB8">
        <w:rPr>
          <w:rFonts w:cs="Tahoma"/>
          <w:lang w:val="es-ES"/>
        </w:rPr>
        <w:t xml:space="preserve">, lo cual </w:t>
      </w:r>
      <w:r w:rsidRPr="00600DB8">
        <w:rPr>
          <w:rFonts w:eastAsia="Calibri" w:cs="Tahoma"/>
        </w:rPr>
        <w:t>actualiza la causal de proce</w:t>
      </w:r>
      <w:r w:rsidR="00D328F7" w:rsidRPr="00600DB8">
        <w:rPr>
          <w:rFonts w:eastAsia="Calibri" w:cs="Tahoma"/>
        </w:rPr>
        <w:t>dencia prevista en la fracción</w:t>
      </w:r>
      <w:r w:rsidR="00FD0E21" w:rsidRPr="00600DB8">
        <w:rPr>
          <w:rFonts w:eastAsia="Calibri" w:cs="Tahoma"/>
        </w:rPr>
        <w:t xml:space="preserve"> V</w:t>
      </w:r>
      <w:r w:rsidRPr="00600DB8">
        <w:rPr>
          <w:rFonts w:eastAsia="Calibri" w:cs="Tahoma"/>
        </w:rPr>
        <w:t xml:space="preserve"> del artículo 179 de la Ley de Transparencia y Acceso a la Información Pública del Estado de México y Municipios</w:t>
      </w:r>
      <w:r w:rsidRPr="00600DB8">
        <w:rPr>
          <w:color w:val="0D0D0D"/>
        </w:rPr>
        <w:t xml:space="preserve">. </w:t>
      </w:r>
    </w:p>
    <w:p w14:paraId="2F0BDF1F" w14:textId="77777777" w:rsidR="00E66685" w:rsidRPr="00600DB8" w:rsidRDefault="00E66685" w:rsidP="00D34146">
      <w:pPr>
        <w:spacing w:after="0" w:line="360" w:lineRule="auto"/>
        <w:rPr>
          <w:color w:val="000000"/>
        </w:rPr>
      </w:pPr>
    </w:p>
    <w:p w14:paraId="36B5C03B" w14:textId="374F5939" w:rsidR="00F13427" w:rsidRPr="00600DB8" w:rsidRDefault="00F13427" w:rsidP="00D34146">
      <w:pPr>
        <w:tabs>
          <w:tab w:val="left" w:pos="4962"/>
        </w:tabs>
        <w:spacing w:after="0" w:line="360" w:lineRule="auto"/>
        <w:rPr>
          <w:b/>
          <w:bCs/>
          <w:color w:val="000000"/>
        </w:rPr>
      </w:pPr>
      <w:r w:rsidRPr="00600DB8">
        <w:rPr>
          <w:color w:val="000000"/>
        </w:rPr>
        <w:t xml:space="preserve">Así las cosas, una vez admitido y notificado el Recurso de Revisión a las partes, </w:t>
      </w:r>
      <w:r w:rsidR="000D2525" w:rsidRPr="00600DB8">
        <w:rPr>
          <w:color w:val="000000"/>
        </w:rPr>
        <w:t>ambas fueron omisas en emitir alguna manifestación o alegato.</w:t>
      </w:r>
    </w:p>
    <w:p w14:paraId="20E702BC" w14:textId="77777777" w:rsidR="00F13427" w:rsidRPr="00600DB8" w:rsidRDefault="00F13427" w:rsidP="00D34146">
      <w:pPr>
        <w:tabs>
          <w:tab w:val="left" w:pos="4962"/>
        </w:tabs>
        <w:spacing w:after="0" w:line="360" w:lineRule="auto"/>
        <w:rPr>
          <w:rFonts w:eastAsia="Calibri" w:cs="Tahoma"/>
          <w:iCs/>
          <w:lang w:val="es-ES" w:eastAsia="es-ES_tradnl"/>
        </w:rPr>
      </w:pPr>
    </w:p>
    <w:p w14:paraId="7A7DC745" w14:textId="77777777" w:rsidR="00E66685" w:rsidRPr="00600DB8" w:rsidRDefault="00E66685" w:rsidP="00D34146">
      <w:pPr>
        <w:tabs>
          <w:tab w:val="left" w:pos="4962"/>
        </w:tabs>
        <w:spacing w:after="0" w:line="360" w:lineRule="auto"/>
        <w:rPr>
          <w:rFonts w:eastAsia="Calibri" w:cs="Tahoma"/>
          <w:iCs/>
          <w:lang w:val="es-ES" w:eastAsia="es-ES_tradnl"/>
        </w:rPr>
      </w:pPr>
      <w:r w:rsidRPr="00600DB8">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la respuesta entregada, </w:t>
      </w:r>
      <w:r w:rsidRPr="00600DB8">
        <w:rPr>
          <w:rFonts w:eastAsia="Calibri" w:cs="Tahoma"/>
          <w:iCs/>
          <w:lang w:eastAsia="es-ES_tradnl"/>
        </w:rPr>
        <w:t xml:space="preserve">el escrito </w:t>
      </w:r>
      <w:proofErr w:type="spellStart"/>
      <w:r w:rsidRPr="00600DB8">
        <w:rPr>
          <w:rFonts w:eastAsia="Calibri" w:cs="Tahoma"/>
          <w:iCs/>
          <w:lang w:eastAsia="es-ES_tradnl"/>
        </w:rPr>
        <w:t>recursal</w:t>
      </w:r>
      <w:proofErr w:type="spellEnd"/>
      <w:r w:rsidRPr="00600DB8">
        <w:rPr>
          <w:rFonts w:eastAsia="Calibri" w:cs="Tahoma"/>
          <w:iCs/>
          <w:lang w:eastAsia="es-ES_tradnl"/>
        </w:rPr>
        <w:t xml:space="preserve"> y el Informe Justificado; </w:t>
      </w:r>
      <w:r w:rsidRPr="00600DB8">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529348" w14:textId="77777777" w:rsidR="00E66685" w:rsidRPr="00600DB8" w:rsidRDefault="00E66685" w:rsidP="00D34146">
      <w:pPr>
        <w:spacing w:after="0" w:line="360" w:lineRule="auto"/>
      </w:pPr>
    </w:p>
    <w:p w14:paraId="68E91CAD" w14:textId="77777777" w:rsidR="00E66685" w:rsidRPr="00600DB8" w:rsidRDefault="00E66685" w:rsidP="00D34146">
      <w:pPr>
        <w:pStyle w:val="Ttulo2"/>
        <w:spacing w:before="0" w:after="0" w:line="360" w:lineRule="auto"/>
        <w:rPr>
          <w:sz w:val="22"/>
          <w:szCs w:val="22"/>
        </w:rPr>
      </w:pPr>
      <w:bookmarkStart w:id="11" w:name="_Toc216886983"/>
      <w:r w:rsidRPr="00600DB8">
        <w:rPr>
          <w:sz w:val="22"/>
          <w:szCs w:val="22"/>
        </w:rPr>
        <w:t>CUARTO. Marco normativo aplicable en materia de transparencia y acceso a la información pública</w:t>
      </w:r>
      <w:bookmarkEnd w:id="11"/>
    </w:p>
    <w:p w14:paraId="51FE0BC9" w14:textId="77777777" w:rsidR="00E66685" w:rsidRPr="00600DB8" w:rsidRDefault="00E66685" w:rsidP="00D34146">
      <w:pPr>
        <w:spacing w:after="0" w:line="360" w:lineRule="auto"/>
        <w:rPr>
          <w:color w:val="000000"/>
        </w:rPr>
      </w:pPr>
    </w:p>
    <w:p w14:paraId="1A17104A" w14:textId="77777777" w:rsidR="00E66685" w:rsidRPr="00600DB8" w:rsidRDefault="00E66685" w:rsidP="00D34146">
      <w:pPr>
        <w:spacing w:after="0" w:line="360" w:lineRule="auto"/>
        <w:rPr>
          <w:color w:val="000000"/>
        </w:rPr>
      </w:pPr>
      <w:r w:rsidRPr="00600DB8">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1D89A70" w14:textId="77777777" w:rsidR="00E66685" w:rsidRPr="00600DB8" w:rsidRDefault="00E66685" w:rsidP="00D34146">
      <w:pPr>
        <w:spacing w:after="0" w:line="360" w:lineRule="auto"/>
        <w:rPr>
          <w:color w:val="000000"/>
        </w:rPr>
      </w:pPr>
    </w:p>
    <w:p w14:paraId="6DA96CF6" w14:textId="77777777" w:rsidR="00E66685" w:rsidRPr="00600DB8" w:rsidRDefault="00E66685" w:rsidP="00D34146">
      <w:pPr>
        <w:spacing w:after="0" w:line="360" w:lineRule="auto"/>
        <w:rPr>
          <w:color w:val="000000"/>
        </w:rPr>
      </w:pPr>
      <w:r w:rsidRPr="00600DB8">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7C61501" w14:textId="77777777" w:rsidR="00E66685" w:rsidRPr="00600DB8" w:rsidRDefault="00E66685" w:rsidP="00D34146">
      <w:pPr>
        <w:spacing w:after="0" w:line="360" w:lineRule="auto"/>
        <w:rPr>
          <w:color w:val="000000"/>
        </w:rPr>
      </w:pPr>
    </w:p>
    <w:p w14:paraId="25208688" w14:textId="77777777" w:rsidR="00E66685" w:rsidRPr="00600DB8" w:rsidRDefault="00E66685" w:rsidP="00D34146">
      <w:pPr>
        <w:spacing w:after="0" w:line="360" w:lineRule="auto"/>
        <w:rPr>
          <w:color w:val="000000"/>
        </w:rPr>
      </w:pPr>
      <w:r w:rsidRPr="00600DB8">
        <w:rPr>
          <w:color w:val="000000"/>
        </w:rPr>
        <w:t>Por su parte, la Ley de Transparencia y Acceso a la Información Pública del Estado de México y Municipios (Reglamentaria del artículo 5° de la Constitución Local), establece lo siguiente:</w:t>
      </w:r>
    </w:p>
    <w:p w14:paraId="6BD5C79A" w14:textId="77777777" w:rsidR="00E66685" w:rsidRPr="00600DB8" w:rsidRDefault="00E66685" w:rsidP="00D34146">
      <w:pPr>
        <w:spacing w:after="0" w:line="360" w:lineRule="auto"/>
        <w:rPr>
          <w:color w:val="000000"/>
        </w:rPr>
      </w:pPr>
    </w:p>
    <w:p w14:paraId="035741A1" w14:textId="77777777" w:rsidR="00E66685" w:rsidRPr="00600DB8" w:rsidRDefault="00E66685" w:rsidP="00D34146">
      <w:pPr>
        <w:spacing w:after="0" w:line="360" w:lineRule="auto"/>
        <w:rPr>
          <w:color w:val="000000"/>
        </w:rPr>
      </w:pPr>
      <w:r w:rsidRPr="00600DB8">
        <w:rPr>
          <w:color w:val="000000"/>
        </w:rPr>
        <w:t>El artículo 12, que, quienes generen, recopilen, administren, manejen, procesen, archiven o conserven información pública serán responsables de la misma.</w:t>
      </w:r>
    </w:p>
    <w:p w14:paraId="457D7981" w14:textId="77777777" w:rsidR="00E66685" w:rsidRPr="00600DB8" w:rsidRDefault="00E66685" w:rsidP="00D34146">
      <w:pPr>
        <w:spacing w:after="0" w:line="360" w:lineRule="auto"/>
        <w:rPr>
          <w:color w:val="000000"/>
        </w:rPr>
      </w:pPr>
    </w:p>
    <w:p w14:paraId="79AB36A8" w14:textId="77777777" w:rsidR="00E66685" w:rsidRPr="00600DB8" w:rsidRDefault="00E66685" w:rsidP="00D34146">
      <w:pPr>
        <w:widowControl w:val="0"/>
        <w:spacing w:after="0" w:line="360" w:lineRule="auto"/>
        <w:rPr>
          <w:color w:val="000000"/>
        </w:rPr>
      </w:pPr>
      <w:r w:rsidRPr="00600DB8">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85CC158" w14:textId="77777777" w:rsidR="00E66685" w:rsidRPr="00600DB8" w:rsidRDefault="00E66685" w:rsidP="00D34146">
      <w:pPr>
        <w:widowControl w:val="0"/>
        <w:spacing w:after="0" w:line="360" w:lineRule="auto"/>
        <w:rPr>
          <w:color w:val="000000"/>
        </w:rPr>
      </w:pPr>
    </w:p>
    <w:p w14:paraId="59721F9D" w14:textId="77777777" w:rsidR="00E66685" w:rsidRPr="00600DB8" w:rsidRDefault="00E66685" w:rsidP="00D34146">
      <w:pPr>
        <w:spacing w:after="0" w:line="360" w:lineRule="auto"/>
        <w:rPr>
          <w:color w:val="000000"/>
        </w:rPr>
      </w:pPr>
      <w:r w:rsidRPr="00600DB8">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A74D3D" w14:textId="77777777" w:rsidR="00C75B81" w:rsidRPr="00600DB8" w:rsidRDefault="00C75B81" w:rsidP="00D34146">
      <w:pPr>
        <w:spacing w:after="0" w:line="360" w:lineRule="auto"/>
        <w:rPr>
          <w:color w:val="000000"/>
        </w:rPr>
      </w:pPr>
    </w:p>
    <w:p w14:paraId="2A4AF0DB" w14:textId="77777777" w:rsidR="00C75B81" w:rsidRPr="00600DB8" w:rsidRDefault="00C75B81" w:rsidP="00D34146">
      <w:pPr>
        <w:spacing w:after="0" w:line="360" w:lineRule="auto"/>
        <w:rPr>
          <w:color w:val="000000"/>
        </w:rPr>
      </w:pPr>
    </w:p>
    <w:p w14:paraId="7C2522E5" w14:textId="77777777" w:rsidR="00E66685" w:rsidRPr="00600DB8" w:rsidRDefault="00E66685" w:rsidP="00D34146">
      <w:pPr>
        <w:pStyle w:val="Ttulo2"/>
        <w:spacing w:before="0" w:after="0" w:line="360" w:lineRule="auto"/>
        <w:rPr>
          <w:sz w:val="22"/>
          <w:szCs w:val="22"/>
        </w:rPr>
      </w:pPr>
      <w:bookmarkStart w:id="12" w:name="_Toc216886984"/>
      <w:r w:rsidRPr="00600DB8">
        <w:rPr>
          <w:sz w:val="22"/>
          <w:szCs w:val="22"/>
        </w:rPr>
        <w:t>QUINTO. Estudio de Fondo</w:t>
      </w:r>
      <w:bookmarkEnd w:id="12"/>
    </w:p>
    <w:p w14:paraId="37B8A22E" w14:textId="77777777" w:rsidR="00E66685" w:rsidRPr="00600DB8" w:rsidRDefault="00E66685" w:rsidP="00D34146">
      <w:pPr>
        <w:spacing w:after="0" w:line="360" w:lineRule="auto"/>
        <w:rPr>
          <w:b/>
          <w:color w:val="000000"/>
        </w:rPr>
      </w:pPr>
    </w:p>
    <w:p w14:paraId="5ACD5F72" w14:textId="26975E9B" w:rsidR="00F01DFE" w:rsidRPr="00600DB8" w:rsidRDefault="00F01DFE" w:rsidP="00D34146">
      <w:pPr>
        <w:widowControl w:val="0"/>
        <w:spacing w:after="0" w:line="360" w:lineRule="auto"/>
        <w:contextualSpacing/>
        <w:rPr>
          <w:rFonts w:cs="Tahoma"/>
          <w:bCs/>
          <w:iCs/>
        </w:rPr>
      </w:pPr>
      <w:r w:rsidRPr="00600DB8">
        <w:rPr>
          <w:rFonts w:cs="Tahoma"/>
          <w:bCs/>
          <w:iCs/>
        </w:rPr>
        <w:t xml:space="preserve">Expuestas las posturas de las partes, se procede a realizar el análisis del agravio hecho valer </w:t>
      </w:r>
      <w:r w:rsidRPr="00600DB8">
        <w:rPr>
          <w:rFonts w:cs="Tahoma"/>
          <w:bCs/>
          <w:iCs/>
        </w:rPr>
        <w:lastRenderedPageBreak/>
        <w:t xml:space="preserve">por la ahora Recurrente, concerniente a la </w:t>
      </w:r>
      <w:r w:rsidR="00C75B81" w:rsidRPr="00600DB8">
        <w:rPr>
          <w:rFonts w:cs="Tahoma"/>
          <w:bCs/>
          <w:iCs/>
        </w:rPr>
        <w:t>negativa de la información</w:t>
      </w:r>
      <w:r w:rsidRPr="00600DB8">
        <w:rPr>
          <w:rFonts w:cs="Tahoma"/>
          <w:bCs/>
          <w:iCs/>
        </w:rPr>
        <w:t xml:space="preserve">, por lo que, en principio es necesario contextualizar la solicitud de información. </w:t>
      </w:r>
    </w:p>
    <w:p w14:paraId="5B531F9D" w14:textId="77777777" w:rsidR="00C75B81" w:rsidRPr="00600DB8" w:rsidRDefault="00C75B81" w:rsidP="00D34146">
      <w:pPr>
        <w:widowControl w:val="0"/>
        <w:spacing w:after="0" w:line="360" w:lineRule="auto"/>
        <w:contextualSpacing/>
        <w:rPr>
          <w:rFonts w:cs="Tahoma"/>
          <w:bCs/>
          <w:iCs/>
        </w:rPr>
      </w:pPr>
    </w:p>
    <w:p w14:paraId="18152F10" w14:textId="0237D659" w:rsidR="00C75B81" w:rsidRPr="00600DB8" w:rsidRDefault="00C75B81" w:rsidP="00D34146">
      <w:pPr>
        <w:widowControl w:val="0"/>
        <w:spacing w:after="0" w:line="360" w:lineRule="auto"/>
        <w:contextualSpacing/>
      </w:pPr>
      <w:r w:rsidRPr="00600DB8">
        <w:t>Sobre el tema, el Código Financiero del Estado de México, en su artículo 168, define al Catastro, como el sistema de información territorial, cuyo propósito es integrar, conservar y mantener actualizados el padrón catastral estatal y los padrones municipales de la Entidad; además, que el padrón catastral es el inventario analítico que contiene los datos técnicos y administrativos de los inmuebles y está conformado por el conjunto de registros geográficos, gráficos, estadísticos, alfanuméricos y elementos y características resultantes de las actividades catastrales.</w:t>
      </w:r>
    </w:p>
    <w:p w14:paraId="48B67463" w14:textId="77777777" w:rsidR="00C75B81" w:rsidRPr="00600DB8" w:rsidRDefault="00C75B81" w:rsidP="00D34146">
      <w:pPr>
        <w:widowControl w:val="0"/>
        <w:spacing w:after="0" w:line="360" w:lineRule="auto"/>
        <w:contextualSpacing/>
      </w:pPr>
    </w:p>
    <w:p w14:paraId="669DBD11" w14:textId="77777777" w:rsidR="00C75B81" w:rsidRPr="00600DB8" w:rsidRDefault="00C75B81" w:rsidP="00D34146">
      <w:pPr>
        <w:widowControl w:val="0"/>
        <w:spacing w:after="0" w:line="360" w:lineRule="auto"/>
        <w:contextualSpacing/>
      </w:pPr>
      <w:r w:rsidRPr="00600DB8">
        <w:t xml:space="preserve">En ese orden de ideas, el artículo 169 del Código mencionado, refiere que son autoridades en materia de catastro, entre otros, el Ayuntamiento y el servidor público designado como Titular del área del Catastro Municipal. </w:t>
      </w:r>
    </w:p>
    <w:p w14:paraId="45A9D5E8" w14:textId="77777777" w:rsidR="00C75B81" w:rsidRPr="00600DB8" w:rsidRDefault="00C75B81" w:rsidP="00D34146">
      <w:pPr>
        <w:widowControl w:val="0"/>
        <w:spacing w:after="0" w:line="360" w:lineRule="auto"/>
        <w:contextualSpacing/>
      </w:pPr>
    </w:p>
    <w:p w14:paraId="3326C915" w14:textId="4C6B2651" w:rsidR="00C75B81" w:rsidRPr="00600DB8" w:rsidRDefault="00C75B81" w:rsidP="00D34146">
      <w:pPr>
        <w:widowControl w:val="0"/>
        <w:spacing w:after="0" w:line="360" w:lineRule="auto"/>
        <w:contextualSpacing/>
      </w:pPr>
      <w:r w:rsidRPr="00600DB8">
        <w:t>Por su parte, el artículo 171 del Código antes citado, refiere que los Ayuntamientos y las autoridades catastrales municipales, además de las atribuciones que este Código y otros ordenamientos les confieran en materia catastral, tendrán entre otras la de llevar a cabo la inscripción y control de los inmuebles localizados dentro del territorio municipal, así como recibir las manifestaciones catastrales de los propietarios o poseedores de inmuebles, para efectos de su inscripción o actualización en el Padrón Catastral Municipal.</w:t>
      </w:r>
    </w:p>
    <w:p w14:paraId="0A0115BE" w14:textId="77777777" w:rsidR="00C75B81" w:rsidRPr="00600DB8" w:rsidRDefault="00C75B81" w:rsidP="00D34146">
      <w:pPr>
        <w:widowControl w:val="0"/>
        <w:spacing w:after="0" w:line="360" w:lineRule="auto"/>
        <w:contextualSpacing/>
      </w:pPr>
    </w:p>
    <w:p w14:paraId="5A615AD5" w14:textId="77777777" w:rsidR="00C75B81" w:rsidRPr="00600DB8" w:rsidRDefault="00C75B81" w:rsidP="00D34146">
      <w:pPr>
        <w:widowControl w:val="0"/>
        <w:spacing w:after="0" w:line="360" w:lineRule="auto"/>
        <w:contextualSpacing/>
      </w:pPr>
      <w:r w:rsidRPr="00600DB8">
        <w:t>En ese contexto, en la página oficial del Instituto de Información e Investigación Geográfica, Estadística y Catastral del Estado de México (</w:t>
      </w:r>
      <w:hyperlink r:id="rId8" w:history="1">
        <w:r w:rsidRPr="00600DB8">
          <w:rPr>
            <w:rStyle w:val="Hipervnculo"/>
          </w:rPr>
          <w:t>https://igecem.edomex.gob.mx/padron-catastral</w:t>
        </w:r>
      </w:hyperlink>
      <w:r w:rsidRPr="00600DB8">
        <w:t xml:space="preserve">), refiere que el Padrón catastral, </w:t>
      </w:r>
      <w:r w:rsidRPr="00600DB8">
        <w:rPr>
          <w:b/>
          <w:u w:val="single"/>
        </w:rPr>
        <w:t xml:space="preserve">es el conjunto de datos integrados por un registro alfanumérico y un registro gráfico que contiene los catálogos operativos, tales como zonas, </w:t>
      </w:r>
      <w:r w:rsidRPr="00600DB8">
        <w:rPr>
          <w:b/>
          <w:u w:val="single"/>
        </w:rPr>
        <w:lastRenderedPageBreak/>
        <w:t>manzanas, calles, áreas homogéneas, bandas de valor, además de la descripción técnica y administrativa de los predios, propiedades y construcciones de los inmuebles localizados en territorio Estatal</w:t>
      </w:r>
      <w:r w:rsidRPr="00600DB8">
        <w:t xml:space="preserve">. </w:t>
      </w:r>
    </w:p>
    <w:p w14:paraId="1C97E416" w14:textId="77777777" w:rsidR="00C75B81" w:rsidRPr="00600DB8" w:rsidRDefault="00C75B81" w:rsidP="00D34146">
      <w:pPr>
        <w:widowControl w:val="0"/>
        <w:spacing w:after="0" w:line="360" w:lineRule="auto"/>
        <w:contextualSpacing/>
      </w:pPr>
    </w:p>
    <w:p w14:paraId="7C7DAC06" w14:textId="77777777" w:rsidR="00C75B81" w:rsidRPr="00600DB8" w:rsidRDefault="00C75B81" w:rsidP="00D34146">
      <w:pPr>
        <w:widowControl w:val="0"/>
        <w:spacing w:after="0" w:line="360" w:lineRule="auto"/>
        <w:contextualSpacing/>
      </w:pPr>
      <w:r w:rsidRPr="00600DB8">
        <w:t>Al respecto, el artículo 2°, fracción XII, del Reglamento del Título Quinto del Código Financiero del Estado de México y Municipios, denominado “Del Catastro”, precisa que el Sistema de Información Catastral es la herramienta informática desarrollada por el Instituto mencionado en el párrafo anterior, para integrar, mantener y actualizar el Padrón Catastral Municipal. Asimismo, se les denominaran a los sistemas desarrollados por los Ayuntamientos, que contengan la misma información. Asimismo, refiere en su artículo 22, fracción I, incisos a, c y</w:t>
      </w:r>
      <w:r w:rsidRPr="00600DB8">
        <w:rPr>
          <w:rFonts w:cs="Tahoma"/>
          <w:bCs/>
          <w:iCs/>
        </w:rPr>
        <w:t xml:space="preserve"> </w:t>
      </w:r>
      <w:r w:rsidRPr="00600DB8">
        <w:t xml:space="preserve">d, que dentro de los trámites y servicios que prestara la Autoridad Catastral Municipal, se encuentra la inscripción de inmuebles en el padrón catastral municipal, así como, la actualización de este. </w:t>
      </w:r>
    </w:p>
    <w:p w14:paraId="590B45E6" w14:textId="77777777" w:rsidR="00C75B81" w:rsidRPr="00600DB8" w:rsidRDefault="00C75B81" w:rsidP="00D34146">
      <w:pPr>
        <w:widowControl w:val="0"/>
        <w:spacing w:after="0" w:line="360" w:lineRule="auto"/>
        <w:contextualSpacing/>
      </w:pPr>
    </w:p>
    <w:p w14:paraId="7FBB341D" w14:textId="7C3D5C4F" w:rsidR="00C75B81" w:rsidRPr="00600DB8" w:rsidRDefault="00C75B81" w:rsidP="00D34146">
      <w:pPr>
        <w:widowControl w:val="0"/>
        <w:spacing w:after="0" w:line="360" w:lineRule="auto"/>
        <w:contextualSpacing/>
      </w:pPr>
      <w:r w:rsidRPr="00600DB8">
        <w:t xml:space="preserve">En ese orden de ideas, conforme a los artículos 16 y 31 del Reglamento referido, el Instituto </w:t>
      </w:r>
      <w:proofErr w:type="gramStart"/>
      <w:r w:rsidRPr="00600DB8">
        <w:t>de  Información</w:t>
      </w:r>
      <w:proofErr w:type="gramEnd"/>
      <w:r w:rsidRPr="00600DB8">
        <w:t xml:space="preserve"> e Investigación Geográfica, Estadística y Catastral del Estado de México, recopilara mensualmente, la base de datos del padrón catastral municipal, por medio del Sistema de Información Catastral.</w:t>
      </w:r>
    </w:p>
    <w:p w14:paraId="4375548A" w14:textId="77777777" w:rsidR="00C75B81" w:rsidRPr="00600DB8" w:rsidRDefault="00C75B81" w:rsidP="00D34146">
      <w:pPr>
        <w:widowControl w:val="0"/>
        <w:spacing w:after="0" w:line="360" w:lineRule="auto"/>
        <w:contextualSpacing/>
        <w:rPr>
          <w:rFonts w:cs="Tahoma"/>
          <w:bCs/>
          <w:iCs/>
        </w:rPr>
      </w:pPr>
    </w:p>
    <w:p w14:paraId="07390049" w14:textId="4355066B" w:rsidR="00C75B81" w:rsidRPr="00600DB8" w:rsidRDefault="00C75B81" w:rsidP="00D34146">
      <w:pPr>
        <w:widowControl w:val="0"/>
        <w:spacing w:after="0" w:line="360" w:lineRule="auto"/>
        <w:contextualSpacing/>
      </w:pPr>
      <w:r w:rsidRPr="00600DB8">
        <w:t xml:space="preserve">Para lograr lo anterior, conforme al artículo 171 del Código Financiero del Estado de México y Municipios, precisa que los Ayuntamientos y las Autoridades Catastrales Municipales deberá llevar a cabo la inscripción y control de los inmuebles localizados dentro del territorio municipal en el Padrón Catastral Municipal, así como, de integrar, conservar y mantener actualizados los registros gráfico y alfanumérico de los inmuebles ubicados en el territorio del municipio. Además, el artículo 174 Bis, la autoridad catastral municipal, enviará al multicitado Instituto, la información actualizada de los registros gráficos y alfanuméricos. </w:t>
      </w:r>
    </w:p>
    <w:p w14:paraId="2FE4211F" w14:textId="77777777" w:rsidR="00C75B81" w:rsidRPr="00600DB8" w:rsidRDefault="00C75B81" w:rsidP="00D34146">
      <w:pPr>
        <w:widowControl w:val="0"/>
        <w:spacing w:after="0" w:line="360" w:lineRule="auto"/>
        <w:contextualSpacing/>
      </w:pPr>
      <w:r w:rsidRPr="00600DB8">
        <w:lastRenderedPageBreak/>
        <w:t xml:space="preserve">En ese orden de ideas, el artículo 41 del Reglamento del Título Quinto del Código Financiero del Estado de México y Municipios, denominado “Del Catastro”, precisa que la autoridad catastral municipal reportara mensualmente al Instituto de Información e Investigación Geográfica, Estadística y Catastral del Estado de México, la base de datos del registro alfanumérico y gráfico del Padrón Catastral Municipal. </w:t>
      </w:r>
    </w:p>
    <w:p w14:paraId="2C429FD4" w14:textId="77777777" w:rsidR="00C75B81" w:rsidRPr="00600DB8" w:rsidRDefault="00C75B81" w:rsidP="00D34146">
      <w:pPr>
        <w:widowControl w:val="0"/>
        <w:spacing w:after="0" w:line="360" w:lineRule="auto"/>
        <w:contextualSpacing/>
      </w:pPr>
    </w:p>
    <w:p w14:paraId="1F7FEF03" w14:textId="5DD76B77" w:rsidR="00C75B81" w:rsidRPr="00600DB8" w:rsidRDefault="00C75B81" w:rsidP="00D34146">
      <w:pPr>
        <w:widowControl w:val="0"/>
        <w:spacing w:after="0" w:line="360" w:lineRule="auto"/>
        <w:contextualSpacing/>
      </w:pPr>
      <w:r w:rsidRPr="00600DB8">
        <w:t>Sobre lo anterior, el artículo 180 del Código Financiero del Estado de México y Municipios, el padrón catastral se integrará por un registro alfanumérico y un registro gráfico, que conforme al artículo 29 del Reglamento, deberá contener los datos, catálogos y especificaciones, tales como:</w:t>
      </w:r>
    </w:p>
    <w:p w14:paraId="0C080BD5" w14:textId="77777777" w:rsidR="00C75B81" w:rsidRPr="00600DB8" w:rsidRDefault="00C75B81" w:rsidP="00D34146">
      <w:pPr>
        <w:widowControl w:val="0"/>
        <w:spacing w:after="0" w:line="360" w:lineRule="auto"/>
        <w:contextualSpacing/>
        <w:rPr>
          <w:rFonts w:cs="Tahoma"/>
          <w:bCs/>
          <w:iCs/>
        </w:rPr>
      </w:pPr>
    </w:p>
    <w:p w14:paraId="6C5B7B8A" w14:textId="5573E487" w:rsidR="00C75B81" w:rsidRPr="00600DB8" w:rsidRDefault="00C75B81" w:rsidP="00D34146">
      <w:pPr>
        <w:pStyle w:val="Prrafodelista"/>
        <w:widowControl w:val="0"/>
        <w:numPr>
          <w:ilvl w:val="0"/>
          <w:numId w:val="27"/>
        </w:numPr>
        <w:spacing w:line="360" w:lineRule="auto"/>
        <w:rPr>
          <w:rFonts w:ascii="Palatino Linotype" w:hAnsi="Palatino Linotype" w:cs="Tahoma"/>
          <w:bCs/>
          <w:iCs/>
        </w:rPr>
      </w:pPr>
      <w:r w:rsidRPr="00600DB8">
        <w:rPr>
          <w:rFonts w:ascii="Palatino Linotype" w:hAnsi="Palatino Linotype"/>
          <w:b/>
        </w:rPr>
        <w:t>El registro alfanumérico.</w:t>
      </w:r>
      <w:r w:rsidRPr="00600DB8">
        <w:rPr>
          <w:rFonts w:ascii="Palatino Linotype" w:hAnsi="Palatino Linotype"/>
        </w:rPr>
        <w:t xml:space="preserve"> Integrado por datos del inmueble, como clave catastral, nombre del propietario o poseedor, clave única de registro de población (CURP), ubicación del predio, características del terreno, entre otros. Así como catálogos operativos y normativos. </w:t>
      </w:r>
    </w:p>
    <w:p w14:paraId="14AFE6C9" w14:textId="77777777" w:rsidR="00C75B81" w:rsidRPr="00600DB8" w:rsidRDefault="00C75B81" w:rsidP="00D34146">
      <w:pPr>
        <w:pStyle w:val="Prrafodelista"/>
        <w:widowControl w:val="0"/>
        <w:spacing w:line="360" w:lineRule="auto"/>
        <w:rPr>
          <w:rFonts w:ascii="Palatino Linotype" w:hAnsi="Palatino Linotype" w:cs="Tahoma"/>
          <w:bCs/>
          <w:iCs/>
        </w:rPr>
      </w:pPr>
    </w:p>
    <w:p w14:paraId="4BCB470A" w14:textId="7C0E4AE0" w:rsidR="00C75B81" w:rsidRPr="00600DB8" w:rsidRDefault="00C75B81" w:rsidP="00D34146">
      <w:pPr>
        <w:pStyle w:val="Prrafodelista"/>
        <w:widowControl w:val="0"/>
        <w:numPr>
          <w:ilvl w:val="0"/>
          <w:numId w:val="27"/>
        </w:numPr>
        <w:spacing w:line="360" w:lineRule="auto"/>
        <w:rPr>
          <w:rFonts w:ascii="Palatino Linotype" w:hAnsi="Palatino Linotype" w:cs="Tahoma"/>
          <w:bCs/>
          <w:iCs/>
        </w:rPr>
      </w:pPr>
      <w:r w:rsidRPr="00600DB8">
        <w:rPr>
          <w:rFonts w:ascii="Palatino Linotype" w:hAnsi="Palatino Linotype"/>
          <w:b/>
        </w:rPr>
        <w:t>El registro gráfico deberá contener:</w:t>
      </w:r>
      <w:r w:rsidRPr="00600DB8">
        <w:rPr>
          <w:rFonts w:ascii="Palatino Linotype" w:hAnsi="Palatino Linotype"/>
        </w:rPr>
        <w:t xml:space="preserve"> cartografía vectorial a nivel manzana y cartografía vectorial a nivel predio.</w:t>
      </w:r>
    </w:p>
    <w:p w14:paraId="69064619" w14:textId="77777777" w:rsidR="00C75B81" w:rsidRPr="00600DB8" w:rsidRDefault="00C75B81" w:rsidP="00D34146">
      <w:pPr>
        <w:widowControl w:val="0"/>
        <w:spacing w:after="0" w:line="360" w:lineRule="auto"/>
        <w:rPr>
          <w:rFonts w:cs="Tahoma"/>
          <w:bCs/>
          <w:iCs/>
        </w:rPr>
      </w:pPr>
    </w:p>
    <w:p w14:paraId="3BBB2B3F" w14:textId="39536D9D" w:rsidR="00F01DFE" w:rsidRPr="00600DB8" w:rsidRDefault="00C75B81" w:rsidP="00D34146">
      <w:pPr>
        <w:widowControl w:val="0"/>
        <w:spacing w:after="0" w:line="360" w:lineRule="auto"/>
        <w:contextualSpacing/>
        <w:rPr>
          <w:rFonts w:cs="Tahoma"/>
          <w:bCs/>
          <w:iCs/>
        </w:rPr>
      </w:pPr>
      <w:r w:rsidRPr="00600DB8">
        <w:t xml:space="preserve">En ese contexto, conforme al Portal de Información Pública de Oficio Mexiquense del Sujeto Obligado, en su fracción II A, precisa que la Tesorería Municipal cuenta con una </w:t>
      </w:r>
      <w:r w:rsidR="00F772A1" w:rsidRPr="00600DB8">
        <w:t xml:space="preserve">Subdirección </w:t>
      </w:r>
      <w:r w:rsidRPr="00600DB8">
        <w:t xml:space="preserve">de Catastro, adscrita a la </w:t>
      </w:r>
      <w:r w:rsidR="00F772A1" w:rsidRPr="00600DB8">
        <w:t>Dirección de Administración y Finanzas</w:t>
      </w:r>
      <w:r w:rsidRPr="00600DB8">
        <w:t xml:space="preserve">, por lo que dicha área es la encargada de ver todas las cuestiones relacionadas con el Padrón Catastral Municipal, por lo que, el Sujeto Obligado tiene competencia para conocer de lo requerido; asimismo, se advierte que la pretensión de la ahora Recurrente, es obtener el padrón actualizado al dieciséis de febrero de dos mil </w:t>
      </w:r>
      <w:r w:rsidR="00143FCF" w:rsidRPr="00600DB8">
        <w:t>veintiséis</w:t>
      </w:r>
      <w:r w:rsidR="00F772A1" w:rsidRPr="00600DB8">
        <w:t xml:space="preserve"> de Ixtapaluca, Chalco y Valle de Chalco.</w:t>
      </w:r>
    </w:p>
    <w:p w14:paraId="39DB1C4D" w14:textId="77777777" w:rsidR="00F01DFE" w:rsidRPr="00600DB8" w:rsidRDefault="00F01DFE" w:rsidP="00D34146">
      <w:pPr>
        <w:spacing w:after="0" w:line="360" w:lineRule="auto"/>
        <w:contextualSpacing/>
        <w:rPr>
          <w:rFonts w:eastAsiaTheme="minorHAnsi" w:cstheme="minorBidi"/>
          <w:bCs/>
          <w:lang w:val="es-ES" w:eastAsia="en-US"/>
        </w:rPr>
      </w:pPr>
      <w:r w:rsidRPr="00600DB8">
        <w:lastRenderedPageBreak/>
        <w:t>Establecida dicha circunstancia, se procede analizar la respuesta entregada, para lo cual, es de señalar que de las constancias que obran en el expediente, se logra vislumbrar que el Sujeto Obligado turnó la solicitud de información a la Titular de la Unidad de Transparencia</w:t>
      </w:r>
      <w:r w:rsidRPr="00600DB8">
        <w:rPr>
          <w:lang w:val="es-ES"/>
        </w:rPr>
        <w:t xml:space="preserve">; por lo que, resulta necesario hacer </w:t>
      </w:r>
      <w:r w:rsidRPr="00600DB8">
        <w:rPr>
          <w:rFonts w:eastAsiaTheme="minorHAnsi" w:cstheme="minorBidi"/>
          <w:bCs/>
          <w:lang w:eastAsia="en-US"/>
        </w:rPr>
        <w:t xml:space="preserve">hacer referencia al </w:t>
      </w:r>
      <w:r w:rsidRPr="00600DB8">
        <w:rPr>
          <w:rFonts w:eastAsiaTheme="minorHAnsi" w:cstheme="minorBidi"/>
          <w:b/>
          <w:bCs/>
          <w:lang w:eastAsia="en-US"/>
        </w:rPr>
        <w:t>procedimiento de búsqueda que deben de seguir los Sujetos Obligados para localizar la información</w:t>
      </w:r>
      <w:r w:rsidRPr="00600DB8">
        <w:rPr>
          <w:rFonts w:eastAsiaTheme="minorHAnsi" w:cstheme="minorBidi"/>
          <w:bCs/>
          <w:lang w:eastAsia="en-US"/>
        </w:rPr>
        <w:t>, el cual se encuentra previsto en el artículo 160 de la Ley de Transparencia y Acceso a la Información Pública del Estado de México y Municipios l</w:t>
      </w:r>
      <w:r w:rsidRPr="00600DB8">
        <w:rPr>
          <w:rFonts w:eastAsiaTheme="minorHAnsi" w:cstheme="minorBidi"/>
          <w:bCs/>
          <w:lang w:val="es-ES" w:eastAsia="en-US"/>
        </w:rPr>
        <w:t>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25D98300" w14:textId="77777777" w:rsidR="00F01DFE" w:rsidRPr="00600DB8" w:rsidRDefault="00F01DFE" w:rsidP="00D34146">
      <w:pPr>
        <w:spacing w:after="0" w:line="360" w:lineRule="auto"/>
        <w:contextualSpacing/>
        <w:rPr>
          <w:rFonts w:eastAsiaTheme="minorHAnsi" w:cstheme="minorBidi"/>
          <w:bCs/>
          <w:lang w:val="es-ES" w:eastAsia="en-US"/>
        </w:rPr>
      </w:pPr>
    </w:p>
    <w:p w14:paraId="6B47565D" w14:textId="773BA630" w:rsidR="00D55454" w:rsidRPr="00600DB8" w:rsidRDefault="00F01DFE" w:rsidP="00D34146">
      <w:pPr>
        <w:spacing w:after="0" w:line="360" w:lineRule="auto"/>
        <w:ind w:right="-28"/>
        <w:contextualSpacing/>
      </w:pPr>
      <w:r w:rsidRPr="00600DB8">
        <w:t>Así, es necesari</w:t>
      </w:r>
      <w:r w:rsidR="00B13677" w:rsidRPr="00600DB8">
        <w:t xml:space="preserve">o traer al estudio el artículo </w:t>
      </w:r>
      <w:r w:rsidR="00D55454" w:rsidRPr="00600DB8">
        <w:t>58</w:t>
      </w:r>
      <w:r w:rsidR="00B13677" w:rsidRPr="00600DB8">
        <w:t xml:space="preserve">, del Reglamento Interno </w:t>
      </w:r>
      <w:r w:rsidR="00D55454" w:rsidRPr="00600DB8">
        <w:t>de Ixtapaluca</w:t>
      </w:r>
      <w:r w:rsidRPr="00600DB8">
        <w:t>, en el que se establece que el Sujeto Obligado para el ejercicio de sus funciones contará con diversas unidades administrativas, entre otras, la Unidad de Transparencia, encargada</w:t>
      </w:r>
      <w:r w:rsidR="00B13677" w:rsidRPr="00600DB8">
        <w:t xml:space="preserve"> </w:t>
      </w:r>
      <w:r w:rsidR="00D55454" w:rsidRPr="00600DB8">
        <w:t>de recibir, canalizar y/o atender las solicitudes de acceso, rectificación, cancelación y oposición de datos personales, que la ciudadanía haga llegar de manera escrita, verbal o a través del Sistema SARCOEM (Sistema de Acceso, Rectificación, Cancelación y Oposición de Datos Personales del Estado de México); y tendrá las siguientes atribuciones:</w:t>
      </w:r>
    </w:p>
    <w:p w14:paraId="7DF6EE47" w14:textId="77777777" w:rsidR="00D55454" w:rsidRPr="00600DB8" w:rsidRDefault="00D55454" w:rsidP="00D34146">
      <w:pPr>
        <w:spacing w:after="0" w:line="360" w:lineRule="auto"/>
        <w:ind w:right="-28"/>
        <w:contextualSpacing/>
      </w:pPr>
    </w:p>
    <w:p w14:paraId="045F8B6B" w14:textId="4BCEE6EF" w:rsidR="00F01DFE" w:rsidRPr="00600DB8" w:rsidRDefault="00F01DFE" w:rsidP="00D34146">
      <w:pPr>
        <w:spacing w:after="0" w:line="360" w:lineRule="auto"/>
        <w:ind w:right="-28"/>
        <w:contextualSpacing/>
        <w:rPr>
          <w:rFonts w:cs="Tahoma"/>
        </w:rPr>
      </w:pPr>
      <w:r w:rsidRPr="00600DB8">
        <w:rPr>
          <w:rFonts w:cs="Tahoma"/>
        </w:rPr>
        <w:t xml:space="preserve">De tal circunstancia y en atención a lo referido en párrafos previos, se considera que el Sujeto Obligado </w:t>
      </w:r>
      <w:r w:rsidR="00D55454" w:rsidRPr="00600DB8">
        <w:rPr>
          <w:rFonts w:cs="Tahoma"/>
        </w:rPr>
        <w:t xml:space="preserve">no </w:t>
      </w:r>
      <w:r w:rsidRPr="00600DB8">
        <w:rPr>
          <w:rFonts w:cs="Tahoma"/>
        </w:rPr>
        <w:t xml:space="preserve">turnó la solicitud de información al área con competencia, para conocer de lo peticionado, a saber, </w:t>
      </w:r>
      <w:r w:rsidRPr="00600DB8">
        <w:rPr>
          <w:bCs/>
          <w:lang w:val="es-ES"/>
        </w:rPr>
        <w:t xml:space="preserve">la </w:t>
      </w:r>
      <w:r w:rsidR="00D55454" w:rsidRPr="00600DB8">
        <w:rPr>
          <w:bCs/>
          <w:lang w:val="es-ES"/>
        </w:rPr>
        <w:t>Coordinación de Catastro</w:t>
      </w:r>
      <w:r w:rsidRPr="00600DB8">
        <w:rPr>
          <w:rFonts w:cs="Tahoma"/>
        </w:rPr>
        <w:t xml:space="preserve">, por lo que, se considera que el Sujeto Obligado </w:t>
      </w:r>
      <w:r w:rsidR="00D55454" w:rsidRPr="00600DB8">
        <w:rPr>
          <w:rFonts w:cs="Tahoma"/>
        </w:rPr>
        <w:t xml:space="preserve">no </w:t>
      </w:r>
      <w:r w:rsidRPr="00600DB8">
        <w:rPr>
          <w:rFonts w:cs="Tahoma"/>
        </w:rPr>
        <w:t>atendió lo establecido en el artículo 162 de la Ley de Transparencia y Acceso a la Información Pública de</w:t>
      </w:r>
      <w:r w:rsidR="00143FCF" w:rsidRPr="00600DB8">
        <w:rPr>
          <w:rFonts w:cs="Tahoma"/>
        </w:rPr>
        <w:t>l Estado de México y Municipios.</w:t>
      </w:r>
    </w:p>
    <w:p w14:paraId="1676EE39" w14:textId="04DFD00B" w:rsidR="00F01DFE" w:rsidRPr="00600DB8" w:rsidRDefault="00F01DFE" w:rsidP="00D34146">
      <w:pPr>
        <w:spacing w:after="0" w:line="360" w:lineRule="auto"/>
      </w:pPr>
      <w:r w:rsidRPr="00600DB8">
        <w:lastRenderedPageBreak/>
        <w:t xml:space="preserve">Ahora bien, dicha área, en </w:t>
      </w:r>
      <w:proofErr w:type="gramStart"/>
      <w:r w:rsidRPr="00600DB8">
        <w:t>respuesta</w:t>
      </w:r>
      <w:r w:rsidR="008E71F9" w:rsidRPr="00600DB8">
        <w:t xml:space="preserve">  la</w:t>
      </w:r>
      <w:proofErr w:type="gramEnd"/>
      <w:r w:rsidR="008E71F9" w:rsidRPr="00600DB8">
        <w:t xml:space="preserve"> Unidad de Transparencia</w:t>
      </w:r>
      <w:r w:rsidRPr="00600DB8">
        <w:t xml:space="preserve"> </w:t>
      </w:r>
      <w:r w:rsidR="00143FCF" w:rsidRPr="00600DB8">
        <w:t xml:space="preserve">se pronunció al referir que es incompetente de conocer lo solicitado ya que </w:t>
      </w:r>
      <w:r w:rsidR="00143FCF" w:rsidRPr="00600DB8">
        <w:rPr>
          <w:b/>
          <w:u w:val="single"/>
        </w:rPr>
        <w:t>Chalco y Valle de Chalco</w:t>
      </w:r>
      <w:r w:rsidR="00143FCF" w:rsidRPr="00600DB8">
        <w:t xml:space="preserve"> son sujetos obligados independientes al municipio de Ixtapaluca.</w:t>
      </w:r>
    </w:p>
    <w:p w14:paraId="0E23ACDD" w14:textId="77777777" w:rsidR="000C4778" w:rsidRPr="00600DB8" w:rsidRDefault="000C4778" w:rsidP="00D34146">
      <w:pPr>
        <w:spacing w:after="0" w:line="360" w:lineRule="auto"/>
        <w:rPr>
          <w:b/>
          <w:color w:val="000000"/>
        </w:rPr>
      </w:pPr>
    </w:p>
    <w:p w14:paraId="028F693F" w14:textId="77777777" w:rsidR="000C4778" w:rsidRPr="00600DB8" w:rsidRDefault="000C4778" w:rsidP="00D34146">
      <w:pPr>
        <w:spacing w:after="0" w:line="360" w:lineRule="auto"/>
        <w:contextualSpacing/>
        <w:rPr>
          <w:rFonts w:eastAsia="Calibri" w:cs="Times New Roman"/>
          <w:bCs/>
          <w:color w:val="000000"/>
        </w:rPr>
      </w:pPr>
      <w:r w:rsidRPr="00600DB8">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600DB8">
        <w:rPr>
          <w:rFonts w:eastAsia="Calibri" w:cs="Times New Roman"/>
          <w:color w:val="000000"/>
          <w:lang w:val="es-ES_tradnl"/>
        </w:rPr>
        <w:t xml:space="preserve">, </w:t>
      </w:r>
      <w:r w:rsidRPr="00600DB8">
        <w:rPr>
          <w:rFonts w:eastAsia="Calibri" w:cs="Times New Roman"/>
          <w:bCs/>
          <w:color w:val="000000"/>
        </w:rPr>
        <w:t>según Cabanellas, Guillermo (1993), en el “Diccionario Jurídico Elemental” (p. 32 y 161), precisó los siguientes conceptos:</w:t>
      </w:r>
    </w:p>
    <w:p w14:paraId="52C553B4" w14:textId="77777777" w:rsidR="000C4778" w:rsidRPr="00600DB8" w:rsidRDefault="000C4778" w:rsidP="00D34146">
      <w:pPr>
        <w:spacing w:after="0" w:line="360" w:lineRule="auto"/>
        <w:contextualSpacing/>
        <w:rPr>
          <w:rFonts w:eastAsia="Calibri" w:cs="Times New Roman"/>
          <w:bCs/>
          <w:color w:val="000000"/>
        </w:rPr>
      </w:pPr>
    </w:p>
    <w:p w14:paraId="7728F49C" w14:textId="77777777" w:rsidR="000C4778" w:rsidRPr="00600DB8" w:rsidRDefault="000C4778" w:rsidP="00D34146">
      <w:pPr>
        <w:numPr>
          <w:ilvl w:val="0"/>
          <w:numId w:val="28"/>
        </w:numPr>
        <w:spacing w:after="0" w:line="360" w:lineRule="auto"/>
        <w:contextualSpacing/>
        <w:jc w:val="left"/>
        <w:rPr>
          <w:rFonts w:eastAsia="Calibri" w:cs="Times New Roman"/>
          <w:bCs/>
          <w:color w:val="000000"/>
        </w:rPr>
      </w:pPr>
      <w:r w:rsidRPr="00600DB8">
        <w:rPr>
          <w:rFonts w:eastAsia="Calibri" w:cs="Times New Roman"/>
          <w:b/>
          <w:bCs/>
          <w:color w:val="000000"/>
        </w:rPr>
        <w:t xml:space="preserve">Competencia: </w:t>
      </w:r>
      <w:r w:rsidRPr="00600DB8">
        <w:rPr>
          <w:rFonts w:eastAsia="Calibri" w:cs="Times New Roman"/>
          <w:bCs/>
          <w:color w:val="000000"/>
        </w:rPr>
        <w:t>La capacidad de una autoridad para conocer sobre una materia o asunto.</w:t>
      </w:r>
    </w:p>
    <w:p w14:paraId="793CFBCE" w14:textId="77777777" w:rsidR="000C4778" w:rsidRPr="00600DB8" w:rsidRDefault="000C4778" w:rsidP="00D34146">
      <w:pPr>
        <w:spacing w:after="0" w:line="360" w:lineRule="auto"/>
        <w:ind w:left="780"/>
        <w:contextualSpacing/>
        <w:jc w:val="left"/>
        <w:rPr>
          <w:rFonts w:eastAsia="Calibri" w:cs="Times New Roman"/>
          <w:bCs/>
          <w:color w:val="000000"/>
        </w:rPr>
      </w:pPr>
    </w:p>
    <w:p w14:paraId="339506D9" w14:textId="77777777" w:rsidR="000C4778" w:rsidRPr="00600DB8" w:rsidRDefault="000C4778" w:rsidP="00D34146">
      <w:pPr>
        <w:numPr>
          <w:ilvl w:val="0"/>
          <w:numId w:val="28"/>
        </w:numPr>
        <w:spacing w:after="0" w:line="360" w:lineRule="auto"/>
        <w:contextualSpacing/>
        <w:jc w:val="left"/>
        <w:rPr>
          <w:rFonts w:eastAsia="Calibri" w:cs="Times New Roman"/>
          <w:bCs/>
          <w:color w:val="000000"/>
        </w:rPr>
      </w:pPr>
      <w:r w:rsidRPr="00600DB8">
        <w:rPr>
          <w:rFonts w:eastAsia="Calibri" w:cs="Times New Roman"/>
          <w:b/>
          <w:bCs/>
          <w:color w:val="000000"/>
        </w:rPr>
        <w:t>Incompetencia:</w:t>
      </w:r>
      <w:r w:rsidRPr="00600DB8">
        <w:rPr>
          <w:rFonts w:eastAsia="Calibri" w:cs="Times New Roman"/>
          <w:bCs/>
          <w:color w:val="000000"/>
        </w:rPr>
        <w:t xml:space="preserve"> Falta de Competencia.</w:t>
      </w:r>
    </w:p>
    <w:p w14:paraId="773473CB" w14:textId="77777777" w:rsidR="000C4778" w:rsidRPr="00600DB8" w:rsidRDefault="000C4778" w:rsidP="00D34146">
      <w:pPr>
        <w:spacing w:after="0" w:line="360" w:lineRule="auto"/>
        <w:contextualSpacing/>
        <w:rPr>
          <w:rFonts w:eastAsia="Calibri" w:cs="Times New Roman"/>
          <w:color w:val="000000"/>
        </w:rPr>
      </w:pPr>
    </w:p>
    <w:p w14:paraId="324B1F18" w14:textId="77777777" w:rsidR="000C4778" w:rsidRPr="00600DB8" w:rsidRDefault="000C4778" w:rsidP="00D34146">
      <w:pPr>
        <w:spacing w:after="0" w:line="360" w:lineRule="auto"/>
        <w:contextualSpacing/>
        <w:rPr>
          <w:rFonts w:eastAsia="Calibri" w:cs="Times New Roman"/>
          <w:color w:val="000000"/>
        </w:rPr>
      </w:pPr>
      <w:r w:rsidRPr="00600DB8">
        <w:rPr>
          <w:rFonts w:eastAsia="Calibri" w:cs="Times New Roman"/>
          <w:color w:val="000000"/>
          <w:lang w:val="es-ES_tradnl"/>
        </w:rPr>
        <w:t xml:space="preserve">Por lo que, </w:t>
      </w:r>
      <w:r w:rsidRPr="00600DB8">
        <w:rPr>
          <w:rFonts w:eastAsia="Calibri" w:cs="Times New Roman"/>
          <w:b/>
          <w:color w:val="000000"/>
          <w:lang w:val="es-ES_tradnl"/>
        </w:rPr>
        <w:t>la incompetencia</w:t>
      </w:r>
      <w:r w:rsidRPr="00600DB8">
        <w:rPr>
          <w:rFonts w:eastAsia="Calibri" w:cs="Times New Roman"/>
          <w:color w:val="000000"/>
          <w:lang w:val="es-ES_tradnl"/>
        </w:rPr>
        <w:t>, radica en la incapacidad de una autoridad para conocer de un tema o asunto; en el mismo sentido, conviene traer a cuenta tesis</w:t>
      </w:r>
      <w:r w:rsidRPr="00600DB8">
        <w:rPr>
          <w:rFonts w:eastAsia="Calibri" w:cs="Times New Roman"/>
          <w:color w:val="000000"/>
        </w:rPr>
        <w:t xml:space="preserve"> aislada número III.2o.P.11 K, publicada en el Semanario Judicial de la Federación y su Gaceta, Novena Época, Tomo XV, Mayo de 2002, Pág. 1243, ya que precisa lo siguiente: </w:t>
      </w:r>
    </w:p>
    <w:p w14:paraId="06F4A860" w14:textId="77777777" w:rsidR="000C4778" w:rsidRPr="00600DB8" w:rsidRDefault="000C4778" w:rsidP="00D34146">
      <w:pPr>
        <w:spacing w:after="0" w:line="360" w:lineRule="auto"/>
        <w:contextualSpacing/>
        <w:rPr>
          <w:rFonts w:eastAsia="Calibri" w:cs="Times New Roman"/>
          <w:color w:val="000000"/>
          <w:lang w:val="es-ES_tradnl"/>
        </w:rPr>
      </w:pPr>
    </w:p>
    <w:p w14:paraId="72EC1761" w14:textId="77777777" w:rsidR="000C4778" w:rsidRPr="00600DB8" w:rsidRDefault="000C4778" w:rsidP="00D34146">
      <w:pPr>
        <w:spacing w:after="0" w:line="360" w:lineRule="auto"/>
        <w:ind w:left="567" w:right="567"/>
        <w:contextualSpacing/>
        <w:rPr>
          <w:rFonts w:eastAsia="Calibri" w:cs="Times New Roman"/>
          <w:i/>
          <w:color w:val="000000"/>
          <w:sz w:val="20"/>
          <w:szCs w:val="20"/>
          <w:lang w:val="es-ES_tradnl"/>
        </w:rPr>
      </w:pPr>
      <w:r w:rsidRPr="00600DB8">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600DB8">
        <w:rPr>
          <w:rFonts w:eastAsia="Calibri" w:cs="Times New Roman"/>
          <w:i/>
          <w:color w:val="000000"/>
          <w:sz w:val="20"/>
          <w:szCs w:val="20"/>
          <w:lang w:val="es-ES_tradnl"/>
        </w:rPr>
        <w:t>El artículo </w:t>
      </w:r>
      <w:hyperlink r:id="rId9" w:history="1">
        <w:r w:rsidRPr="00600DB8">
          <w:rPr>
            <w:rFonts w:eastAsia="Calibri" w:cs="Times New Roman"/>
            <w:i/>
            <w:color w:val="0563C1"/>
            <w:sz w:val="20"/>
            <w:szCs w:val="20"/>
            <w:u w:val="single"/>
            <w:lang w:val="es-ES_tradnl"/>
          </w:rPr>
          <w:t>16 constitucional</w:t>
        </w:r>
      </w:hyperlink>
      <w:r w:rsidRPr="00600DB8">
        <w:rPr>
          <w:rFonts w:eastAsia="Calibri" w:cs="Times New Roman"/>
          <w:i/>
          <w:color w:val="000000"/>
          <w:sz w:val="20"/>
          <w:szCs w:val="20"/>
          <w:lang w:val="es-ES_tradnl"/>
        </w:rPr>
        <w:t xml:space="preserve">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w:t>
      </w:r>
      <w:r w:rsidRPr="00600DB8">
        <w:rPr>
          <w:rFonts w:eastAsia="Calibri" w:cs="Times New Roman"/>
          <w:i/>
          <w:color w:val="000000"/>
          <w:sz w:val="20"/>
          <w:szCs w:val="20"/>
          <w:lang w:val="es-ES_tradnl"/>
        </w:rPr>
        <w:lastRenderedPageBreak/>
        <w:t>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6649E064" w14:textId="77777777" w:rsidR="000C4778" w:rsidRPr="00600DB8" w:rsidRDefault="000C4778" w:rsidP="00D34146">
      <w:pPr>
        <w:spacing w:after="0" w:line="360" w:lineRule="auto"/>
        <w:contextualSpacing/>
        <w:rPr>
          <w:rFonts w:eastAsia="Calibri" w:cs="Times New Roman"/>
          <w:color w:val="000000"/>
          <w:lang w:val="es-ES_tradnl"/>
        </w:rPr>
      </w:pPr>
    </w:p>
    <w:p w14:paraId="3B325BC8" w14:textId="77777777" w:rsidR="000C4778" w:rsidRPr="00600DB8" w:rsidRDefault="000C4778" w:rsidP="00D34146">
      <w:pPr>
        <w:spacing w:after="0" w:line="360" w:lineRule="auto"/>
        <w:contextualSpacing/>
        <w:rPr>
          <w:rFonts w:eastAsia="Calibri" w:cs="Times New Roman"/>
          <w:color w:val="000000"/>
        </w:rPr>
      </w:pPr>
      <w:r w:rsidRPr="00600DB8">
        <w:rPr>
          <w:rFonts w:eastAsia="Calibri" w:cs="Times New Roman"/>
          <w:color w:val="000000"/>
          <w:lang w:val="es-ES_tradnl"/>
        </w:rPr>
        <w:t xml:space="preserve">De la misma manera, resulta necesario traer a colación, </w:t>
      </w:r>
      <w:r w:rsidRPr="00600DB8">
        <w:rPr>
          <w:rFonts w:eastAsia="Calibri" w:cs="Tahoma"/>
          <w:bCs/>
          <w:color w:val="000000"/>
          <w:lang w:val="es-ES"/>
        </w:rPr>
        <w:t xml:space="preserve">Criterio de Interpretación, de la Segunda Época, con clave de control </w:t>
      </w:r>
      <w:r w:rsidRPr="00600DB8">
        <w:rPr>
          <w:rFonts w:eastAsia="Calibri" w:cs="Tahoma"/>
          <w:bCs/>
          <w:color w:val="000000"/>
        </w:rPr>
        <w:t>SO/013/2017</w:t>
      </w:r>
      <w:r w:rsidRPr="00600DB8">
        <w:rPr>
          <w:rFonts w:eastAsia="Calibri" w:cs="Times New Roman"/>
          <w:color w:val="000000"/>
          <w:lang w:val="es-ES"/>
        </w:rPr>
        <w:t xml:space="preserve">, </w:t>
      </w:r>
      <w:r w:rsidRPr="00600DB8">
        <w:rPr>
          <w:rFonts w:eastAsia="Calibri" w:cs="Times New Roman"/>
          <w:color w:val="000000"/>
        </w:rPr>
        <w:t xml:space="preserve">emitido por el entonces Instituto Nacional de Transparencia, Acceso a la Información y Protección de Datos Personales, que dispone lo siguiente: </w:t>
      </w:r>
    </w:p>
    <w:p w14:paraId="15F7E060" w14:textId="77777777" w:rsidR="000C4778" w:rsidRPr="00600DB8" w:rsidRDefault="000C4778" w:rsidP="00D34146">
      <w:pPr>
        <w:spacing w:after="0" w:line="360" w:lineRule="auto"/>
        <w:contextualSpacing/>
        <w:rPr>
          <w:rFonts w:eastAsia="Calibri" w:cs="Times New Roman"/>
          <w:color w:val="000000"/>
        </w:rPr>
      </w:pPr>
    </w:p>
    <w:p w14:paraId="616778BF" w14:textId="77777777" w:rsidR="000C4778" w:rsidRPr="00600DB8" w:rsidRDefault="000C4778" w:rsidP="00D34146">
      <w:pPr>
        <w:spacing w:after="0" w:line="360" w:lineRule="auto"/>
        <w:ind w:left="567" w:right="567"/>
        <w:contextualSpacing/>
        <w:rPr>
          <w:rFonts w:eastAsia="Calibri" w:cs="Times New Roman"/>
          <w:i/>
          <w:color w:val="000000"/>
          <w:sz w:val="20"/>
          <w:szCs w:val="20"/>
        </w:rPr>
      </w:pPr>
      <w:r w:rsidRPr="00600DB8">
        <w:rPr>
          <w:rFonts w:eastAsia="Calibri" w:cs="Times New Roman"/>
          <w:i/>
          <w:color w:val="000000"/>
          <w:sz w:val="20"/>
          <w:szCs w:val="20"/>
        </w:rPr>
        <w:t>“</w:t>
      </w:r>
      <w:r w:rsidRPr="00600DB8">
        <w:rPr>
          <w:rFonts w:eastAsia="Calibri" w:cs="Times New Roman"/>
          <w:b/>
          <w:bCs/>
          <w:i/>
          <w:color w:val="000000"/>
          <w:sz w:val="20"/>
          <w:szCs w:val="20"/>
        </w:rPr>
        <w:t xml:space="preserve">Incompetencia. </w:t>
      </w:r>
      <w:r w:rsidRPr="00600DB8">
        <w:rPr>
          <w:rFonts w:eastAsia="Calibri" w:cs="Times New Roman"/>
          <w:i/>
          <w:color w:val="000000"/>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5990283A" w14:textId="77777777" w:rsidR="000C4778" w:rsidRPr="00600DB8" w:rsidRDefault="000C4778" w:rsidP="00D34146">
      <w:pPr>
        <w:spacing w:after="0" w:line="360" w:lineRule="auto"/>
        <w:contextualSpacing/>
        <w:rPr>
          <w:rFonts w:eastAsia="Calibri" w:cs="Times New Roman"/>
          <w:color w:val="000000"/>
          <w:lang w:val="es-ES_tradnl"/>
        </w:rPr>
      </w:pPr>
    </w:p>
    <w:p w14:paraId="0A64280B" w14:textId="77777777" w:rsidR="000C4778" w:rsidRPr="00600DB8" w:rsidRDefault="000C4778" w:rsidP="00D34146">
      <w:pPr>
        <w:spacing w:after="0" w:line="360" w:lineRule="auto"/>
        <w:contextualSpacing/>
        <w:rPr>
          <w:rFonts w:eastAsia="Calibri" w:cs="Times New Roman"/>
          <w:color w:val="000000"/>
          <w:lang w:val="es-ES_tradnl"/>
        </w:rPr>
      </w:pPr>
      <w:r w:rsidRPr="00600DB8">
        <w:rPr>
          <w:rFonts w:eastAsia="Calibri" w:cs="Times New Roman"/>
          <w:color w:val="000000"/>
          <w:lang w:val="es-ES_tradnl"/>
        </w:rPr>
        <w:t xml:space="preserve">En tal virtud, la </w:t>
      </w:r>
      <w:r w:rsidRPr="00600DB8">
        <w:rPr>
          <w:rFonts w:eastAsia="Calibri" w:cs="Times New Roman"/>
          <w:b/>
          <w:color w:val="000000"/>
          <w:lang w:val="es-ES_tradnl"/>
        </w:rPr>
        <w:t xml:space="preserve">incompetencia </w:t>
      </w:r>
      <w:r w:rsidRPr="00600DB8">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3F60E1D9" w14:textId="77777777" w:rsidR="000C4778" w:rsidRPr="00600DB8" w:rsidRDefault="000C4778" w:rsidP="00D34146">
      <w:pPr>
        <w:spacing w:after="0" w:line="360" w:lineRule="auto"/>
        <w:contextualSpacing/>
        <w:rPr>
          <w:rFonts w:eastAsia="Calibri" w:cs="Times New Roman"/>
          <w:color w:val="000000"/>
          <w:lang w:val="es-ES_tradnl"/>
        </w:rPr>
      </w:pPr>
    </w:p>
    <w:p w14:paraId="02C50FFC" w14:textId="77777777" w:rsidR="000C4778" w:rsidRPr="00600DB8" w:rsidRDefault="000C4778" w:rsidP="00D34146">
      <w:pPr>
        <w:spacing w:after="0" w:line="360" w:lineRule="auto"/>
        <w:contextualSpacing/>
        <w:rPr>
          <w:rFonts w:eastAsia="Calibri" w:cs="Times New Roman"/>
          <w:b/>
          <w:color w:val="000000"/>
        </w:rPr>
      </w:pPr>
      <w:r w:rsidRPr="00600DB8">
        <w:rPr>
          <w:rFonts w:eastAsia="Calibri" w:cs="Times New Roman"/>
          <w:color w:val="000000"/>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5D02FB54" w14:textId="77777777" w:rsidR="000C4778" w:rsidRPr="00600DB8" w:rsidRDefault="000C4778" w:rsidP="00D34146">
      <w:pPr>
        <w:widowControl w:val="0"/>
        <w:spacing w:after="0" w:line="360" w:lineRule="auto"/>
        <w:rPr>
          <w:rFonts w:eastAsia="Calibri" w:cs="Times New Roman"/>
          <w:bCs/>
          <w:color w:val="000000"/>
        </w:rPr>
      </w:pPr>
    </w:p>
    <w:p w14:paraId="79B2B19F" w14:textId="553968B0" w:rsidR="00712496" w:rsidRPr="00600DB8" w:rsidRDefault="00975F76" w:rsidP="00D34146">
      <w:pPr>
        <w:spacing w:after="0" w:line="360" w:lineRule="auto"/>
        <w:ind w:right="-28"/>
        <w:contextualSpacing/>
      </w:pPr>
      <w:r w:rsidRPr="00600DB8">
        <w:rPr>
          <w:rFonts w:eastAsia="Calibri" w:cs="Tahoma"/>
          <w:bCs/>
          <w:color w:val="000000"/>
          <w:lang w:val="es-ES"/>
        </w:rPr>
        <w:t>En ese contexto resulta conveniente traer a colación una imagen ilustrativa del Portal de Información de Oficio Mexiquense (IPOMEX 4.0), donde se logra vislumbrar que dichos sujetos obligados son independientes:</w:t>
      </w:r>
    </w:p>
    <w:p w14:paraId="329CC03D" w14:textId="77777777" w:rsidR="00975F76" w:rsidRPr="00600DB8" w:rsidRDefault="00975F76" w:rsidP="00D34146">
      <w:pPr>
        <w:spacing w:after="0" w:line="360" w:lineRule="auto"/>
        <w:ind w:right="-28"/>
      </w:pPr>
    </w:p>
    <w:p w14:paraId="4287B72E" w14:textId="197BF76F" w:rsidR="00975F76" w:rsidRPr="00600DB8" w:rsidRDefault="00975F76" w:rsidP="00D34146">
      <w:pPr>
        <w:spacing w:after="0" w:line="360" w:lineRule="auto"/>
        <w:ind w:right="-28"/>
        <w:jc w:val="center"/>
      </w:pPr>
      <w:r w:rsidRPr="00600DB8">
        <w:rPr>
          <w:noProof/>
        </w:rPr>
        <w:lastRenderedPageBreak/>
        <w:drawing>
          <wp:inline distT="0" distB="0" distL="0" distR="0" wp14:anchorId="43D01E10" wp14:editId="6296A8D6">
            <wp:extent cx="3895106" cy="170222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22438" cy="1714172"/>
                    </a:xfrm>
                    <a:prstGeom prst="rect">
                      <a:avLst/>
                    </a:prstGeom>
                  </pic:spPr>
                </pic:pic>
              </a:graphicData>
            </a:graphic>
          </wp:inline>
        </w:drawing>
      </w:r>
    </w:p>
    <w:p w14:paraId="6B8B4370" w14:textId="1D47703D" w:rsidR="00975F76" w:rsidRPr="00600DB8" w:rsidRDefault="00975F76" w:rsidP="00D34146">
      <w:pPr>
        <w:spacing w:after="0" w:line="360" w:lineRule="auto"/>
        <w:ind w:right="-28"/>
        <w:jc w:val="center"/>
      </w:pPr>
      <w:r w:rsidRPr="00600DB8">
        <w:rPr>
          <w:noProof/>
        </w:rPr>
        <w:drawing>
          <wp:inline distT="0" distB="0" distL="0" distR="0" wp14:anchorId="2D954297" wp14:editId="36389952">
            <wp:extent cx="4358244" cy="1581578"/>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85562" cy="1591492"/>
                    </a:xfrm>
                    <a:prstGeom prst="rect">
                      <a:avLst/>
                    </a:prstGeom>
                  </pic:spPr>
                </pic:pic>
              </a:graphicData>
            </a:graphic>
          </wp:inline>
        </w:drawing>
      </w:r>
    </w:p>
    <w:p w14:paraId="58A99845" w14:textId="77777777" w:rsidR="007577BB" w:rsidRPr="00600DB8" w:rsidRDefault="007577BB" w:rsidP="00D34146">
      <w:pPr>
        <w:spacing w:after="0" w:line="360" w:lineRule="auto"/>
        <w:ind w:right="-28"/>
        <w:jc w:val="center"/>
      </w:pPr>
    </w:p>
    <w:p w14:paraId="165154DB" w14:textId="77777777" w:rsidR="000C4778" w:rsidRPr="00600DB8" w:rsidRDefault="000C4778" w:rsidP="00D34146">
      <w:pPr>
        <w:spacing w:after="0" w:line="360" w:lineRule="auto"/>
      </w:pPr>
      <w:r w:rsidRPr="00600DB8">
        <w:t>Cabe mencionar que cada sujeto obligado es responsable de tener una unidad de transparencia misma que será la encargada de vigilar y cumplir con las políticas, normas y lineamientos en materia de Transparencia, Acceso a la Información Pública y Protección de Datos Personales, así como a la Ley de Protección de Datos Personales en Posesión de Sujetos Obligados del Estado de México y Municipios.</w:t>
      </w:r>
    </w:p>
    <w:p w14:paraId="49311A45" w14:textId="77777777" w:rsidR="000C4778" w:rsidRPr="00600DB8" w:rsidRDefault="000C4778" w:rsidP="00D34146">
      <w:pPr>
        <w:widowControl w:val="0"/>
        <w:spacing w:after="0" w:line="360" w:lineRule="auto"/>
        <w:rPr>
          <w:b/>
        </w:rPr>
      </w:pPr>
    </w:p>
    <w:p w14:paraId="7BC99231" w14:textId="1C02718E" w:rsidR="000C4778" w:rsidRPr="00600DB8" w:rsidRDefault="000C4778" w:rsidP="00D34146">
      <w:pPr>
        <w:widowControl w:val="0"/>
        <w:spacing w:after="0" w:line="360" w:lineRule="auto"/>
      </w:pPr>
      <w:r w:rsidRPr="00600DB8">
        <w:t xml:space="preserve">Conforme a lo anterior, se logra vislumbrar que el </w:t>
      </w:r>
      <w:r w:rsidR="00712496" w:rsidRPr="00600DB8">
        <w:t>Ayuntamiento de Ixtapaluca</w:t>
      </w:r>
      <w:r w:rsidRPr="00600DB8">
        <w:t xml:space="preserve"> no tiene atribuciones para la generación de dicha información</w:t>
      </w:r>
      <w:r w:rsidR="00712496" w:rsidRPr="00600DB8">
        <w:t xml:space="preserve"> de dichos sujetos obligados,</w:t>
      </w:r>
      <w:r w:rsidRPr="00600DB8">
        <w:t xml:space="preserve"> ya que </w:t>
      </w:r>
      <w:r w:rsidR="00712496" w:rsidRPr="00600DB8">
        <w:t>cada sujeto cuenta con una unidad administrativa</w:t>
      </w:r>
      <w:r w:rsidRPr="00600DB8">
        <w:t xml:space="preserve"> para dar atención a la solicitud de información que tenga que ver con el mismo ente, aunado a que, como se previó, en materia de acceso a la información en un sujeto obligado diverso </w:t>
      </w:r>
      <w:r w:rsidR="00712496" w:rsidRPr="00600DB8">
        <w:t>al Ayuntamiento de Ixtapaluca.</w:t>
      </w:r>
    </w:p>
    <w:p w14:paraId="7EFA6CCA" w14:textId="77777777" w:rsidR="000C4778" w:rsidRPr="00600DB8" w:rsidRDefault="000C4778" w:rsidP="00D34146">
      <w:pPr>
        <w:widowControl w:val="0"/>
        <w:spacing w:after="0" w:line="360" w:lineRule="auto"/>
      </w:pPr>
    </w:p>
    <w:p w14:paraId="0A544F59" w14:textId="77777777" w:rsidR="00975F76" w:rsidRPr="00600DB8" w:rsidRDefault="000C4778" w:rsidP="00D34146">
      <w:pPr>
        <w:spacing w:after="0" w:line="360" w:lineRule="auto"/>
      </w:pPr>
      <w:r w:rsidRPr="00600DB8">
        <w:lastRenderedPageBreak/>
        <w:t xml:space="preserve">Es así que, se determina que, el Sujeto Obligado es incompetente para conocer de la información solicitada, ya que esta corresponde a un organismo distinto. </w:t>
      </w:r>
    </w:p>
    <w:p w14:paraId="1B541032" w14:textId="77777777" w:rsidR="00975F76" w:rsidRPr="00600DB8" w:rsidRDefault="00975F76" w:rsidP="00D34146">
      <w:pPr>
        <w:spacing w:after="0" w:line="360" w:lineRule="auto"/>
      </w:pPr>
    </w:p>
    <w:p w14:paraId="7BC75492" w14:textId="65DF5EC2" w:rsidR="00817DF8" w:rsidRPr="00600DB8" w:rsidRDefault="00975F76" w:rsidP="00D34146">
      <w:pPr>
        <w:spacing w:after="0" w:line="360" w:lineRule="auto"/>
        <w:rPr>
          <w:lang w:eastAsia="es-ES"/>
        </w:rPr>
      </w:pPr>
      <w:r w:rsidRPr="00600DB8">
        <w:t>A</w:t>
      </w:r>
      <w:r w:rsidR="00712496" w:rsidRPr="00600DB8">
        <w:t xml:space="preserve">hora bien en cuanto al padrón catastral correspondiente al Ayuntamiento de Ixtapaluca, no </w:t>
      </w:r>
      <w:r w:rsidR="00817DF8" w:rsidRPr="00600DB8">
        <w:t>refirió</w:t>
      </w:r>
      <w:r w:rsidR="00712496" w:rsidRPr="00600DB8">
        <w:t xml:space="preserve"> pronunciamiento alguno, </w:t>
      </w:r>
      <w:r w:rsidR="00817DF8" w:rsidRPr="00600DB8">
        <w:rPr>
          <w:rFonts w:eastAsia="Times New Roman" w:cs="Tahoma"/>
          <w:lang w:eastAsia="es-ES"/>
        </w:rPr>
        <w:t>S</w:t>
      </w:r>
      <w:r w:rsidR="00817DF8" w:rsidRPr="00600DB8">
        <w:rPr>
          <w:lang w:eastAsia="es-ES"/>
        </w:rPr>
        <w:t xml:space="preserve">obre el tema, el artículo 1.8, fracciones IV y XIII, del Código Administrativo del Estado de México, establece que para que tenga validez, todo acto administrativo deberá resolver todos los puntos propuestos por los interesados, además deberá guardar congruencia con lo solicitado. </w:t>
      </w:r>
    </w:p>
    <w:p w14:paraId="2904616C" w14:textId="77777777" w:rsidR="00817DF8" w:rsidRPr="00600DB8" w:rsidRDefault="00817DF8" w:rsidP="00D34146">
      <w:pPr>
        <w:spacing w:after="0" w:line="360" w:lineRule="auto"/>
        <w:ind w:right="-28"/>
        <w:contextualSpacing/>
        <w:rPr>
          <w:lang w:eastAsia="es-ES"/>
        </w:rPr>
      </w:pPr>
    </w:p>
    <w:p w14:paraId="281A33CB" w14:textId="77777777" w:rsidR="00817DF8" w:rsidRPr="00600DB8" w:rsidRDefault="00817DF8" w:rsidP="00D34146">
      <w:pPr>
        <w:spacing w:after="0" w:line="360" w:lineRule="auto"/>
        <w:ind w:right="-28"/>
        <w:contextualSpacing/>
        <w:rPr>
          <w:lang w:eastAsia="es-ES"/>
        </w:rPr>
      </w:pPr>
      <w:r w:rsidRPr="00600DB8">
        <w:rPr>
          <w:lang w:eastAsia="es-ES"/>
        </w:rPr>
        <w:t xml:space="preserve">Situación que se robustece, con el Criterio de Interpretación, con clave de control SO/002/2017, de la Segunda Época, emitido por el Instituto Nacional de Transparencia, Acceso a la Información y Protección de Datos Personales, que establece que todo acto administrativo debe apegarse al </w:t>
      </w:r>
      <w:r w:rsidRPr="00600DB8">
        <w:rPr>
          <w:b/>
          <w:lang w:eastAsia="es-ES"/>
        </w:rPr>
        <w:t>principio de congruencia y exhaustividad</w:t>
      </w:r>
      <w:r w:rsidRPr="00600DB8">
        <w:rPr>
          <w:lang w:eastAsia="es-ES"/>
        </w:rPr>
        <w:t>, entendiendo por éstos que se pronuncie expresamente sobre cada uno de los puntos requeridos y que existe concordancia entre el requerimiento formulado y la respuesta entregada,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B6B2A6A" w14:textId="77777777" w:rsidR="00817DF8" w:rsidRPr="00600DB8" w:rsidRDefault="00817DF8" w:rsidP="00D34146">
      <w:pPr>
        <w:spacing w:after="0" w:line="360" w:lineRule="auto"/>
      </w:pPr>
    </w:p>
    <w:p w14:paraId="328BE32D" w14:textId="240AFFA9" w:rsidR="00817DF8" w:rsidRPr="00600DB8" w:rsidRDefault="00817DF8" w:rsidP="00D34146">
      <w:pPr>
        <w:spacing w:after="0" w:line="360" w:lineRule="auto"/>
        <w:rPr>
          <w:color w:val="auto"/>
        </w:rPr>
      </w:pPr>
      <w:r w:rsidRPr="00600DB8">
        <w:t xml:space="preserve">En ese contexto pues </w:t>
      </w:r>
      <w:r w:rsidRPr="00600DB8">
        <w:rPr>
          <w:color w:val="auto"/>
        </w:rPr>
        <w:t>podemos referir que la respuesta carece de congruencia y exhaustividad al no pronunciarse expresamente sobre cada uno de los puntos requeridos que guarden una relación lógica, lo cual aconteció pues omitió proporcionar el padrón catastral actualizado al dieciséis de febrero de dos mil veintiséis.</w:t>
      </w:r>
    </w:p>
    <w:p w14:paraId="1FA78B8D" w14:textId="77777777" w:rsidR="00817DF8" w:rsidRPr="00600DB8" w:rsidRDefault="00817DF8" w:rsidP="00D34146">
      <w:pPr>
        <w:spacing w:after="0" w:line="360" w:lineRule="auto"/>
        <w:rPr>
          <w:color w:val="auto"/>
        </w:rPr>
      </w:pPr>
    </w:p>
    <w:p w14:paraId="6B38BAA7" w14:textId="0834F22D" w:rsidR="00817DF8" w:rsidRPr="00600DB8" w:rsidRDefault="00817DF8" w:rsidP="00D34146">
      <w:pPr>
        <w:spacing w:after="0" w:line="360" w:lineRule="auto"/>
        <w:contextualSpacing/>
        <w:rPr>
          <w:b/>
        </w:rPr>
      </w:pPr>
      <w:r w:rsidRPr="00600DB8">
        <w:lastRenderedPageBreak/>
        <w:t>Cómo se logra observar, el Sujeto Obligado si bien se mostró incompetente de brindar información relacionada con Chalco y Valle de Chalco, por ser sujetos obligados diversos</w:t>
      </w:r>
      <w:r w:rsidR="007577BB" w:rsidRPr="00600DB8">
        <w:t xml:space="preserve">; lo cierto es que </w:t>
      </w:r>
      <w:r w:rsidRPr="00600DB8">
        <w:t xml:space="preserve">omitió pronunciarse de manera expresa sobre cada uno de los puntos requeridos, lo cual da como resultado que el agravio sea </w:t>
      </w:r>
      <w:r w:rsidRPr="00600DB8">
        <w:rPr>
          <w:b/>
        </w:rPr>
        <w:t>FUNDADO.</w:t>
      </w:r>
    </w:p>
    <w:p w14:paraId="7ABD93B4" w14:textId="77777777" w:rsidR="00817DF8" w:rsidRPr="00600DB8" w:rsidRDefault="00817DF8" w:rsidP="00D34146">
      <w:pPr>
        <w:spacing w:after="0" w:line="360" w:lineRule="auto"/>
        <w:contextualSpacing/>
        <w:rPr>
          <w:b/>
        </w:rPr>
      </w:pPr>
    </w:p>
    <w:p w14:paraId="29D6B4B4" w14:textId="080E6EE2" w:rsidR="00817DF8" w:rsidRPr="00600DB8" w:rsidRDefault="00817DF8" w:rsidP="00D34146">
      <w:pPr>
        <w:spacing w:after="0" w:line="360" w:lineRule="auto"/>
        <w:contextualSpacing/>
      </w:pPr>
      <w:r w:rsidRPr="00600DB8">
        <w:t xml:space="preserve">Así, para atender al requerimiento en análisis, el Sujeto Obligado, deberá entregar el </w:t>
      </w:r>
      <w:r w:rsidR="00975F76" w:rsidRPr="00600DB8">
        <w:t>padrón catastral actualizado al dieciséis de febrero de dos mil veintiséis</w:t>
      </w:r>
      <w:r w:rsidRPr="00600DB8">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CDF2207" w14:textId="77777777" w:rsidR="00817DF8" w:rsidRPr="00600DB8" w:rsidRDefault="00817DF8" w:rsidP="00D34146">
      <w:pPr>
        <w:spacing w:after="0" w:line="360" w:lineRule="auto"/>
        <w:contextualSpacing/>
      </w:pPr>
    </w:p>
    <w:p w14:paraId="072928B5" w14:textId="77777777" w:rsidR="00817DF8" w:rsidRPr="00600DB8" w:rsidRDefault="00817DF8" w:rsidP="00D34146">
      <w:pPr>
        <w:spacing w:after="0" w:line="360" w:lineRule="auto"/>
        <w:contextualSpacing/>
      </w:pPr>
      <w:r w:rsidRPr="00600DB8">
        <w:t xml:space="preserve">De esta manera, el derecho de acceso a la información pública se satisface en aquellos casos en que se entregue el soporte documental en el que conste la información solicitada, sin necesidad de elaborar documentos </w:t>
      </w:r>
      <w:r w:rsidRPr="00600DB8">
        <w:rPr>
          <w:i/>
        </w:rPr>
        <w:t>ad hoc</w:t>
      </w:r>
      <w:r w:rsidRPr="00600DB8">
        <w:t>; lo cual, de conformidad con en el artículo 160 de la Ley de Transparencia y Acceso a la Información Pública del Estado de México y Municipios, el cual refiere que los sujetos obligados deberán entregar la información que obre en sus archivos.</w:t>
      </w:r>
    </w:p>
    <w:p w14:paraId="510B6A24" w14:textId="77777777" w:rsidR="00817DF8" w:rsidRPr="00600DB8" w:rsidRDefault="00817DF8" w:rsidP="00D34146">
      <w:pPr>
        <w:spacing w:after="0" w:line="360" w:lineRule="auto"/>
        <w:contextualSpacing/>
        <w:rPr>
          <w:b/>
        </w:rPr>
      </w:pPr>
    </w:p>
    <w:p w14:paraId="317871C3" w14:textId="74B110C4" w:rsidR="007A3813" w:rsidRPr="00600DB8" w:rsidRDefault="007A3813" w:rsidP="00D34146">
      <w:pPr>
        <w:spacing w:after="0" w:line="360" w:lineRule="auto"/>
      </w:pPr>
      <w:r w:rsidRPr="00600DB8">
        <w:t xml:space="preserve">Finalmente, no pasa desapercibido para este Instituto que el Padrón Catastral se conforma del registro alfanumérico y el gráfico, mismo que se conforma de diversos datos, que pudieran ser confidenciales, tales como: </w:t>
      </w:r>
    </w:p>
    <w:p w14:paraId="47DD219E" w14:textId="77777777" w:rsidR="007A3813" w:rsidRPr="00600DB8" w:rsidRDefault="007A3813" w:rsidP="00D34146">
      <w:pPr>
        <w:spacing w:after="0" w:line="360" w:lineRule="auto"/>
      </w:pPr>
    </w:p>
    <w:p w14:paraId="4658894F" w14:textId="453502D2" w:rsidR="007A3813" w:rsidRPr="00600DB8" w:rsidRDefault="007A3813" w:rsidP="00D34146">
      <w:pPr>
        <w:pStyle w:val="Prrafodelista"/>
        <w:numPr>
          <w:ilvl w:val="0"/>
          <w:numId w:val="32"/>
        </w:numPr>
        <w:spacing w:line="360" w:lineRule="auto"/>
        <w:rPr>
          <w:rFonts w:ascii="Palatino Linotype" w:hAnsi="Palatino Linotype"/>
        </w:rPr>
      </w:pPr>
      <w:r w:rsidRPr="00600DB8">
        <w:rPr>
          <w:rFonts w:ascii="Palatino Linotype" w:hAnsi="Palatino Linotype"/>
        </w:rPr>
        <w:t xml:space="preserve">Clave catastral; </w:t>
      </w:r>
    </w:p>
    <w:p w14:paraId="6D691AB9" w14:textId="078C875A" w:rsidR="007A3813" w:rsidRPr="00600DB8" w:rsidRDefault="007A3813" w:rsidP="00D34146">
      <w:pPr>
        <w:pStyle w:val="Prrafodelista"/>
        <w:numPr>
          <w:ilvl w:val="0"/>
          <w:numId w:val="32"/>
        </w:numPr>
        <w:spacing w:line="360" w:lineRule="auto"/>
        <w:rPr>
          <w:rFonts w:ascii="Palatino Linotype" w:hAnsi="Palatino Linotype"/>
        </w:rPr>
      </w:pPr>
      <w:r w:rsidRPr="00600DB8">
        <w:rPr>
          <w:rFonts w:ascii="Palatino Linotype" w:hAnsi="Palatino Linotype"/>
        </w:rPr>
        <w:t xml:space="preserve">Nombre del propietario o poseedor; </w:t>
      </w:r>
    </w:p>
    <w:p w14:paraId="69BC10D3" w14:textId="34F9FF2C" w:rsidR="007A3813" w:rsidRPr="00600DB8" w:rsidRDefault="007A3813" w:rsidP="00D34146">
      <w:pPr>
        <w:pStyle w:val="Prrafodelista"/>
        <w:numPr>
          <w:ilvl w:val="0"/>
          <w:numId w:val="32"/>
        </w:numPr>
        <w:spacing w:line="360" w:lineRule="auto"/>
        <w:rPr>
          <w:rFonts w:ascii="Palatino Linotype" w:hAnsi="Palatino Linotype"/>
        </w:rPr>
      </w:pPr>
      <w:r w:rsidRPr="00600DB8">
        <w:rPr>
          <w:rFonts w:ascii="Palatino Linotype" w:hAnsi="Palatino Linotype"/>
        </w:rPr>
        <w:lastRenderedPageBreak/>
        <w:t xml:space="preserve">Clave Única de Registro de Población; </w:t>
      </w:r>
    </w:p>
    <w:p w14:paraId="6267463C" w14:textId="412BAED8" w:rsidR="007A3813" w:rsidRPr="00600DB8" w:rsidRDefault="007A3813" w:rsidP="00D34146">
      <w:pPr>
        <w:pStyle w:val="Prrafodelista"/>
        <w:numPr>
          <w:ilvl w:val="0"/>
          <w:numId w:val="32"/>
        </w:numPr>
        <w:spacing w:line="360" w:lineRule="auto"/>
        <w:rPr>
          <w:rFonts w:ascii="Palatino Linotype" w:hAnsi="Palatino Linotype"/>
        </w:rPr>
      </w:pPr>
      <w:r w:rsidRPr="00600DB8">
        <w:rPr>
          <w:rFonts w:ascii="Palatino Linotype" w:hAnsi="Palatino Linotype"/>
        </w:rPr>
        <w:t xml:space="preserve">Ubicación del Predio; </w:t>
      </w:r>
    </w:p>
    <w:p w14:paraId="6DEA370E" w14:textId="04CC6CD9" w:rsidR="007A3813" w:rsidRPr="00600DB8" w:rsidRDefault="007A3813" w:rsidP="00D34146">
      <w:pPr>
        <w:pStyle w:val="Prrafodelista"/>
        <w:numPr>
          <w:ilvl w:val="0"/>
          <w:numId w:val="32"/>
        </w:numPr>
        <w:spacing w:line="360" w:lineRule="auto"/>
        <w:rPr>
          <w:rFonts w:ascii="Palatino Linotype" w:hAnsi="Palatino Linotype"/>
        </w:rPr>
      </w:pPr>
      <w:r w:rsidRPr="00600DB8">
        <w:rPr>
          <w:rFonts w:ascii="Palatino Linotype" w:hAnsi="Palatino Linotype"/>
        </w:rPr>
        <w:t xml:space="preserve">Datos del Predio; </w:t>
      </w:r>
    </w:p>
    <w:p w14:paraId="6A2116CA" w14:textId="77777777" w:rsidR="007A3813" w:rsidRPr="00600DB8" w:rsidRDefault="007A3813" w:rsidP="00D34146">
      <w:pPr>
        <w:spacing w:after="0" w:line="360" w:lineRule="auto"/>
      </w:pPr>
    </w:p>
    <w:p w14:paraId="29139B30" w14:textId="77777777" w:rsidR="00530B9F" w:rsidRPr="00600DB8" w:rsidRDefault="007A3813" w:rsidP="00D34146">
      <w:pPr>
        <w:spacing w:after="0" w:line="360" w:lineRule="auto"/>
      </w:pPr>
      <w:r w:rsidRPr="00600DB8">
        <w:t xml:space="preserve">Al respecto,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47C9FF01" w14:textId="77777777" w:rsidR="00530B9F" w:rsidRPr="00600DB8" w:rsidRDefault="00530B9F" w:rsidP="00D34146">
      <w:pPr>
        <w:spacing w:after="0" w:line="360" w:lineRule="auto"/>
      </w:pPr>
    </w:p>
    <w:p w14:paraId="2B489185" w14:textId="77777777" w:rsidR="00530B9F" w:rsidRPr="00600DB8" w:rsidRDefault="007A3813" w:rsidP="00D34146">
      <w:pPr>
        <w:spacing w:after="0" w:line="360" w:lineRule="auto"/>
      </w:pPr>
      <w:r w:rsidRPr="00600DB8">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w:t>
      </w:r>
    </w:p>
    <w:p w14:paraId="113C7682" w14:textId="77777777" w:rsidR="00530B9F" w:rsidRPr="00600DB8" w:rsidRDefault="00530B9F" w:rsidP="00D34146">
      <w:pPr>
        <w:spacing w:after="0" w:line="360" w:lineRule="auto"/>
      </w:pPr>
    </w:p>
    <w:p w14:paraId="7484ED11" w14:textId="77777777" w:rsidR="00530B9F" w:rsidRPr="00600DB8" w:rsidRDefault="007A3813" w:rsidP="00D34146">
      <w:pPr>
        <w:spacing w:after="0" w:line="360" w:lineRule="auto"/>
      </w:pPr>
      <w:r w:rsidRPr="00600DB8">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 </w:t>
      </w:r>
    </w:p>
    <w:p w14:paraId="2D681406" w14:textId="77777777" w:rsidR="00530B9F" w:rsidRPr="00600DB8" w:rsidRDefault="00530B9F" w:rsidP="00D34146">
      <w:pPr>
        <w:spacing w:after="0" w:line="360" w:lineRule="auto"/>
      </w:pPr>
    </w:p>
    <w:p w14:paraId="0CD4F290" w14:textId="77777777" w:rsidR="00530B9F" w:rsidRPr="00600DB8" w:rsidRDefault="007A3813" w:rsidP="00D34146">
      <w:pPr>
        <w:spacing w:after="0" w:line="360" w:lineRule="auto"/>
      </w:pPr>
      <w:r w:rsidRPr="00600DB8">
        <w:lastRenderedPageBreak/>
        <w:t xml:space="preserve">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w:t>
      </w:r>
    </w:p>
    <w:p w14:paraId="67B10546" w14:textId="77777777" w:rsidR="00530B9F" w:rsidRPr="00600DB8" w:rsidRDefault="00530B9F" w:rsidP="00D34146">
      <w:pPr>
        <w:spacing w:after="0" w:line="360" w:lineRule="auto"/>
      </w:pPr>
    </w:p>
    <w:p w14:paraId="0D243875" w14:textId="77777777" w:rsidR="00530B9F" w:rsidRPr="00600DB8" w:rsidRDefault="007A3813" w:rsidP="00D34146">
      <w:pPr>
        <w:spacing w:after="0" w:line="360" w:lineRule="auto"/>
      </w:pPr>
      <w:r w:rsidRPr="00600DB8">
        <w:t xml:space="preserve">En concordancia con lo previo, el artículo 143, fracción I, de la Ley previamente citada, establece que la información privada y los datos personales, concernientes a una persona física o jurídica colectiva identificada o identificable son confidenciales. </w:t>
      </w:r>
    </w:p>
    <w:p w14:paraId="48D7746F" w14:textId="77777777" w:rsidR="00530B9F" w:rsidRPr="00600DB8" w:rsidRDefault="00530B9F" w:rsidP="00D34146">
      <w:pPr>
        <w:spacing w:after="0" w:line="360" w:lineRule="auto"/>
      </w:pPr>
    </w:p>
    <w:p w14:paraId="21E2A9BC" w14:textId="77777777" w:rsidR="00530B9F" w:rsidRPr="00600DB8" w:rsidRDefault="007A3813" w:rsidP="00D34146">
      <w:pPr>
        <w:spacing w:after="0" w:line="360" w:lineRule="auto"/>
      </w:pPr>
      <w:r w:rsidRPr="00600DB8">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B0EAD75" w14:textId="77777777" w:rsidR="00530B9F" w:rsidRPr="00600DB8" w:rsidRDefault="00530B9F" w:rsidP="00D34146">
      <w:pPr>
        <w:spacing w:after="0" w:line="360" w:lineRule="auto"/>
      </w:pPr>
    </w:p>
    <w:p w14:paraId="1DDA7D0F" w14:textId="77777777" w:rsidR="00530B9F" w:rsidRPr="00600DB8" w:rsidRDefault="007A3813" w:rsidP="00D34146">
      <w:pPr>
        <w:spacing w:after="0" w:line="360" w:lineRule="auto"/>
      </w:pPr>
      <w:r w:rsidRPr="00600DB8">
        <w:t xml:space="preserve">En términos de lo expuesto, la documentación y aquellos datos que se consideren confidenciales, serán una limitante del derecho de acceso a la información, siempre y cuando: </w:t>
      </w:r>
    </w:p>
    <w:p w14:paraId="2B1A10DB" w14:textId="77777777" w:rsidR="00530B9F" w:rsidRPr="00600DB8" w:rsidRDefault="00530B9F" w:rsidP="00D34146">
      <w:pPr>
        <w:spacing w:after="0" w:line="360" w:lineRule="auto"/>
      </w:pPr>
    </w:p>
    <w:p w14:paraId="2205661F" w14:textId="66F53C4F" w:rsidR="00530B9F" w:rsidRPr="00600DB8" w:rsidRDefault="007A3813" w:rsidP="00D34146">
      <w:pPr>
        <w:pStyle w:val="Prrafodelista"/>
        <w:numPr>
          <w:ilvl w:val="0"/>
          <w:numId w:val="33"/>
        </w:numPr>
        <w:spacing w:line="360" w:lineRule="auto"/>
        <w:rPr>
          <w:rFonts w:ascii="Palatino Linotype" w:hAnsi="Palatino Linotype"/>
        </w:rPr>
      </w:pPr>
      <w:r w:rsidRPr="00600DB8">
        <w:rPr>
          <w:rFonts w:ascii="Palatino Linotype" w:hAnsi="Palatino Linotype"/>
        </w:rPr>
        <w:t xml:space="preserve">Se trate de datos personales o información privada; esto es, información concerniente a una persona física o jurídico colectiva y que esta sea identificada o identificable. </w:t>
      </w:r>
    </w:p>
    <w:p w14:paraId="51394503" w14:textId="77777777" w:rsidR="00530B9F" w:rsidRPr="00600DB8" w:rsidRDefault="00530B9F" w:rsidP="00D34146">
      <w:pPr>
        <w:spacing w:after="0" w:line="360" w:lineRule="auto"/>
      </w:pPr>
    </w:p>
    <w:p w14:paraId="1D195B02" w14:textId="2588D270" w:rsidR="00530B9F" w:rsidRPr="00600DB8" w:rsidRDefault="007A3813" w:rsidP="00D34146">
      <w:pPr>
        <w:pStyle w:val="Prrafodelista"/>
        <w:numPr>
          <w:ilvl w:val="0"/>
          <w:numId w:val="33"/>
        </w:numPr>
        <w:spacing w:line="360" w:lineRule="auto"/>
        <w:rPr>
          <w:rFonts w:ascii="Palatino Linotype" w:hAnsi="Palatino Linotype"/>
        </w:rPr>
      </w:pPr>
      <w:r w:rsidRPr="00600DB8">
        <w:rPr>
          <w:rFonts w:ascii="Palatino Linotype" w:hAnsi="Palatino Linotype"/>
        </w:rPr>
        <w:t xml:space="preserve">Para la difusión de los datos, se requiera el consentimiento del titular. </w:t>
      </w:r>
    </w:p>
    <w:p w14:paraId="1FA55C3F" w14:textId="77777777" w:rsidR="00530B9F" w:rsidRPr="00600DB8" w:rsidRDefault="00530B9F" w:rsidP="00D34146">
      <w:pPr>
        <w:pStyle w:val="Prrafodelista"/>
        <w:spacing w:line="360" w:lineRule="auto"/>
      </w:pPr>
    </w:p>
    <w:p w14:paraId="1A735A6E" w14:textId="77777777" w:rsidR="00530B9F" w:rsidRPr="00600DB8" w:rsidRDefault="007A3813" w:rsidP="00D34146">
      <w:pPr>
        <w:spacing w:after="0" w:line="360" w:lineRule="auto"/>
      </w:pPr>
      <w:r w:rsidRPr="00600DB8">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5CD52172" w14:textId="77777777" w:rsidR="00530B9F" w:rsidRPr="00600DB8" w:rsidRDefault="00530B9F" w:rsidP="00D34146">
      <w:pPr>
        <w:spacing w:after="0" w:line="360" w:lineRule="auto"/>
      </w:pPr>
    </w:p>
    <w:p w14:paraId="7770FA56" w14:textId="77777777" w:rsidR="00530B9F" w:rsidRPr="00600DB8" w:rsidRDefault="007A3813" w:rsidP="00D34146">
      <w:pPr>
        <w:spacing w:after="0" w:line="360" w:lineRule="auto"/>
      </w:pPr>
      <w:r w:rsidRPr="00600DB8">
        <w:t xml:space="preserve">Además, en el artículo 5° de dicho ordenamiento jurídico, establece que es la Ley aplicable para todo tratamiento de datos personales. </w:t>
      </w:r>
    </w:p>
    <w:p w14:paraId="011ECC82" w14:textId="77777777" w:rsidR="00530B9F" w:rsidRPr="00600DB8" w:rsidRDefault="00530B9F" w:rsidP="00D34146">
      <w:pPr>
        <w:spacing w:after="0" w:line="360" w:lineRule="auto"/>
      </w:pPr>
    </w:p>
    <w:p w14:paraId="58239F4F" w14:textId="77777777" w:rsidR="00530B9F" w:rsidRPr="00600DB8" w:rsidRDefault="007A3813" w:rsidP="00D34146">
      <w:pPr>
        <w:spacing w:after="0" w:line="360" w:lineRule="auto"/>
      </w:pPr>
      <w:r w:rsidRPr="00600DB8">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w:t>
      </w:r>
      <w:r w:rsidR="00530B9F" w:rsidRPr="00600DB8">
        <w:t>n ley (principio de finalidad).</w:t>
      </w:r>
    </w:p>
    <w:p w14:paraId="420DEED1" w14:textId="77777777" w:rsidR="00530B9F" w:rsidRPr="00600DB8" w:rsidRDefault="00530B9F" w:rsidP="00D34146">
      <w:pPr>
        <w:spacing w:after="0" w:line="360" w:lineRule="auto"/>
      </w:pPr>
    </w:p>
    <w:p w14:paraId="2B8F9B53" w14:textId="77777777" w:rsidR="00530B9F" w:rsidRPr="00600DB8" w:rsidRDefault="007A3813" w:rsidP="00D34146">
      <w:pPr>
        <w:spacing w:after="0" w:line="360" w:lineRule="auto"/>
      </w:pPr>
      <w:r w:rsidRPr="00600DB8">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 </w:t>
      </w:r>
    </w:p>
    <w:p w14:paraId="0D9CB12C" w14:textId="77777777" w:rsidR="00530B9F" w:rsidRPr="00600DB8" w:rsidRDefault="007A3813" w:rsidP="00D34146">
      <w:pPr>
        <w:spacing w:after="0" w:line="360" w:lineRule="auto"/>
      </w:pPr>
      <w:r w:rsidRPr="00600DB8">
        <w:lastRenderedPageBreak/>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 </w:t>
      </w:r>
    </w:p>
    <w:p w14:paraId="3B24E1FB" w14:textId="77777777" w:rsidR="00530B9F" w:rsidRPr="00600DB8" w:rsidRDefault="00530B9F" w:rsidP="00D34146">
      <w:pPr>
        <w:spacing w:after="0" w:line="360" w:lineRule="auto"/>
      </w:pPr>
    </w:p>
    <w:p w14:paraId="10FE2D82" w14:textId="77777777" w:rsidR="00530B9F" w:rsidRPr="00600DB8" w:rsidRDefault="007A3813" w:rsidP="00D34146">
      <w:pPr>
        <w:spacing w:after="0" w:line="360" w:lineRule="auto"/>
      </w:pPr>
      <w:r w:rsidRPr="00600DB8">
        <w:t xml:space="preserve">De tal suerte, las instituciones públicas tienen la doble responsabilidad, por un lado, de proteger los datos personales y por otro, darles publicidad cuando la relevancia de esos datos sea de interés público. </w:t>
      </w:r>
    </w:p>
    <w:p w14:paraId="4E5FD719" w14:textId="77777777" w:rsidR="00530B9F" w:rsidRPr="00600DB8" w:rsidRDefault="00530B9F" w:rsidP="00D34146">
      <w:pPr>
        <w:spacing w:after="0" w:line="360" w:lineRule="auto"/>
      </w:pPr>
    </w:p>
    <w:p w14:paraId="19E21780" w14:textId="77777777" w:rsidR="00530B9F" w:rsidRPr="00600DB8" w:rsidRDefault="007A3813" w:rsidP="00D34146">
      <w:pPr>
        <w:spacing w:after="0" w:line="360" w:lineRule="auto"/>
      </w:pPr>
      <w:r w:rsidRPr="00600DB8">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 </w:t>
      </w:r>
    </w:p>
    <w:p w14:paraId="186CABD4" w14:textId="77777777" w:rsidR="00530B9F" w:rsidRPr="00600DB8" w:rsidRDefault="00530B9F" w:rsidP="00D34146">
      <w:pPr>
        <w:spacing w:after="0" w:line="360" w:lineRule="auto"/>
      </w:pPr>
    </w:p>
    <w:p w14:paraId="22D30A86" w14:textId="77777777" w:rsidR="00530B9F" w:rsidRPr="00600DB8" w:rsidRDefault="007A3813" w:rsidP="00D34146">
      <w:pPr>
        <w:spacing w:after="0" w:line="360" w:lineRule="auto"/>
      </w:pPr>
      <w:r w:rsidRPr="00600DB8">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w:t>
      </w:r>
      <w:r w:rsidRPr="00600DB8">
        <w:lastRenderedPageBreak/>
        <w:t xml:space="preserve">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 </w:t>
      </w:r>
    </w:p>
    <w:p w14:paraId="73806701" w14:textId="77777777" w:rsidR="00530B9F" w:rsidRPr="00600DB8" w:rsidRDefault="00530B9F" w:rsidP="00D34146">
      <w:pPr>
        <w:spacing w:after="0" w:line="360" w:lineRule="auto"/>
      </w:pPr>
    </w:p>
    <w:p w14:paraId="1FFC95C4" w14:textId="77777777" w:rsidR="00530B9F" w:rsidRPr="00600DB8" w:rsidRDefault="007A3813" w:rsidP="00D34146">
      <w:pPr>
        <w:spacing w:after="0" w:line="360" w:lineRule="auto"/>
      </w:pPr>
      <w:r w:rsidRPr="00600DB8">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 manera enunciativa, son confidenciales o públicos.</w:t>
      </w:r>
    </w:p>
    <w:p w14:paraId="7A33EE77" w14:textId="77777777" w:rsidR="00530B9F" w:rsidRPr="00600DB8" w:rsidRDefault="00530B9F" w:rsidP="00D34146">
      <w:pPr>
        <w:spacing w:after="0" w:line="360" w:lineRule="auto"/>
      </w:pPr>
    </w:p>
    <w:p w14:paraId="6533EA04" w14:textId="5198E0F4" w:rsidR="00530B9F" w:rsidRPr="00600DB8" w:rsidRDefault="007A3813" w:rsidP="00D34146">
      <w:pPr>
        <w:pStyle w:val="Prrafodelista"/>
        <w:numPr>
          <w:ilvl w:val="0"/>
          <w:numId w:val="36"/>
        </w:numPr>
        <w:spacing w:line="360" w:lineRule="auto"/>
        <w:rPr>
          <w:rFonts w:ascii="Palatino Linotype" w:hAnsi="Palatino Linotype"/>
          <w:b/>
        </w:rPr>
      </w:pPr>
      <w:r w:rsidRPr="00600DB8">
        <w:rPr>
          <w:rFonts w:ascii="Palatino Linotype" w:hAnsi="Palatino Linotype"/>
          <w:b/>
        </w:rPr>
        <w:t xml:space="preserve">Nombre de propietario o poseedor </w:t>
      </w:r>
    </w:p>
    <w:p w14:paraId="66F56498" w14:textId="77777777" w:rsidR="00530B9F" w:rsidRPr="00600DB8" w:rsidRDefault="00530B9F" w:rsidP="00D34146">
      <w:pPr>
        <w:pStyle w:val="Prrafodelista"/>
        <w:spacing w:line="360" w:lineRule="auto"/>
        <w:ind w:left="420"/>
        <w:rPr>
          <w:rFonts w:ascii="Palatino Linotype" w:hAnsi="Palatino Linotype"/>
          <w:b/>
        </w:rPr>
      </w:pPr>
    </w:p>
    <w:p w14:paraId="514EC4DA" w14:textId="1E66C08B" w:rsidR="00530B9F" w:rsidRPr="00600DB8" w:rsidRDefault="00530B9F" w:rsidP="00D34146">
      <w:pPr>
        <w:spacing w:after="0" w:line="360" w:lineRule="auto"/>
        <w:rPr>
          <w:b/>
        </w:rPr>
      </w:pPr>
      <w:r w:rsidRPr="00600DB8">
        <w:rPr>
          <w:b/>
        </w:rPr>
        <w:t>Persona Física</w:t>
      </w:r>
    </w:p>
    <w:p w14:paraId="4ADF78D6" w14:textId="77777777" w:rsidR="00530B9F" w:rsidRPr="00600DB8" w:rsidRDefault="00530B9F" w:rsidP="00D34146">
      <w:pPr>
        <w:spacing w:after="0" w:line="360" w:lineRule="auto"/>
      </w:pPr>
    </w:p>
    <w:p w14:paraId="6F20FBB9" w14:textId="77777777" w:rsidR="00530B9F" w:rsidRPr="00600DB8" w:rsidRDefault="007A3813" w:rsidP="00D34146">
      <w:pPr>
        <w:spacing w:after="0" w:line="360" w:lineRule="auto"/>
        <w:rPr>
          <w:b/>
        </w:rPr>
      </w:pPr>
      <w:r w:rsidRPr="00600DB8">
        <w:t xml:space="preserve">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w:t>
      </w:r>
      <w:r w:rsidRPr="00600DB8">
        <w:rPr>
          <w:b/>
        </w:rPr>
        <w:t xml:space="preserve">se considera un dato personal. </w:t>
      </w:r>
    </w:p>
    <w:p w14:paraId="634CD8FE" w14:textId="77777777" w:rsidR="00530B9F" w:rsidRPr="00600DB8" w:rsidRDefault="007A3813" w:rsidP="00D34146">
      <w:pPr>
        <w:spacing w:after="0" w:line="360" w:lineRule="auto"/>
      </w:pPr>
      <w:r w:rsidRPr="00600DB8">
        <w:lastRenderedPageBreak/>
        <w:t xml:space="preserve">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 </w:t>
      </w:r>
    </w:p>
    <w:p w14:paraId="6A66B2AC" w14:textId="77777777" w:rsidR="00530B9F" w:rsidRPr="00600DB8" w:rsidRDefault="00530B9F" w:rsidP="00D34146">
      <w:pPr>
        <w:spacing w:after="0" w:line="360" w:lineRule="auto"/>
      </w:pPr>
    </w:p>
    <w:p w14:paraId="70CD7498" w14:textId="77777777" w:rsidR="00530B9F" w:rsidRPr="00600DB8" w:rsidRDefault="007A3813" w:rsidP="00D34146">
      <w:pPr>
        <w:pStyle w:val="Prrafodelista"/>
        <w:spacing w:line="360" w:lineRule="auto"/>
        <w:ind w:left="420"/>
        <w:rPr>
          <w:rFonts w:ascii="Palatino Linotype" w:hAnsi="Palatino Linotype"/>
          <w:i/>
          <w:sz w:val="20"/>
        </w:rPr>
      </w:pPr>
      <w:r w:rsidRPr="00600DB8">
        <w:rPr>
          <w:rFonts w:ascii="Palatino Linotype" w:hAnsi="Palatino Linotype"/>
          <w:i/>
          <w:sz w:val="20"/>
        </w:rPr>
        <w:t>“</w:t>
      </w:r>
      <w:r w:rsidRPr="00600DB8">
        <w:rPr>
          <w:rFonts w:ascii="Palatino Linotype" w:hAnsi="Palatino Linotype"/>
          <w:b/>
          <w:i/>
          <w:sz w:val="20"/>
        </w:rPr>
        <w:t>DERECHO A LA VIDA PRIVADA. SU CONTENIDO GENERAL Y LA IMPORTANCIA DE NO DESCONTEXTUALIZAR LAS REFERENCIAS A LA MISMA</w:t>
      </w:r>
      <w:r w:rsidRPr="00600DB8">
        <w:rPr>
          <w:rFonts w:ascii="Palatino Linotype" w:hAnsi="Palatino Linotype"/>
          <w:i/>
          <w:sz w:val="20"/>
        </w:rPr>
        <w:t>. 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w:t>
      </w:r>
      <w:r w:rsidR="00530B9F" w:rsidRPr="00600DB8">
        <w:rPr>
          <w:rFonts w:ascii="Palatino Linotype" w:hAnsi="Palatino Linotype"/>
          <w:i/>
          <w:sz w:val="20"/>
        </w:rPr>
        <w:t xml:space="preserve">cho a una vivienda adecuada, a </w:t>
      </w:r>
      <w:r w:rsidRPr="00600DB8">
        <w:rPr>
          <w:rFonts w:ascii="Palatino Linotype" w:hAnsi="Palatino Linotype"/>
          <w:i/>
          <w:sz w:val="20"/>
        </w:rPr>
        <w:t xml:space="preserve">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Según esta noción, las personas tienen derecho a gozar de un ámbito de proyección de su existencia que quede reservado </w:t>
      </w:r>
      <w:r w:rsidRPr="00600DB8">
        <w:rPr>
          <w:rFonts w:ascii="Palatino Linotype" w:hAnsi="Palatino Linotype"/>
          <w:i/>
          <w:sz w:val="20"/>
        </w:rPr>
        <w:lastRenderedPageBreak/>
        <w:t xml:space="preserve">de la invasión y la mirada de los demás, que les concierna sólo a ellos y les provea de condiciones adecuadas para el despliegue de su individualidad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En un sentido amplio, entonces, la protección constitucional de la vida privada implica poder conducir parte de la vida de uno protegido de la mirada y las injerencias de los demás,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 </w:t>
      </w:r>
    </w:p>
    <w:p w14:paraId="12978030" w14:textId="77777777" w:rsidR="00530B9F" w:rsidRPr="00600DB8" w:rsidRDefault="00530B9F" w:rsidP="00D34146">
      <w:pPr>
        <w:spacing w:after="0" w:line="360" w:lineRule="auto"/>
      </w:pPr>
    </w:p>
    <w:p w14:paraId="5980ADFC" w14:textId="77777777" w:rsidR="00530B9F" w:rsidRPr="00600DB8" w:rsidRDefault="007A3813" w:rsidP="00D34146">
      <w:pPr>
        <w:spacing w:after="0" w:line="360" w:lineRule="auto"/>
      </w:pPr>
      <w:r w:rsidRPr="00600DB8">
        <w:t>De conformidad con lo señalado, se colige que las actividades</w:t>
      </w:r>
      <w:r w:rsidRPr="00600DB8">
        <w:rPr>
          <w:b/>
        </w:rPr>
        <w:t xml:space="preserve"> que realicen los particulares, dentro del ámbito privado, o dentro de la esfera particular, es información que debe protegerse. </w:t>
      </w:r>
    </w:p>
    <w:p w14:paraId="261F7974" w14:textId="77777777" w:rsidR="00530B9F" w:rsidRPr="00600DB8" w:rsidRDefault="00530B9F" w:rsidP="00D34146">
      <w:pPr>
        <w:spacing w:after="0" w:line="360" w:lineRule="auto"/>
      </w:pPr>
    </w:p>
    <w:p w14:paraId="20831C87" w14:textId="77777777" w:rsidR="00530B9F" w:rsidRPr="00600DB8" w:rsidRDefault="007A3813" w:rsidP="00D34146">
      <w:pPr>
        <w:spacing w:after="0" w:line="360" w:lineRule="auto"/>
      </w:pPr>
      <w:r w:rsidRPr="00600DB8">
        <w:t xml:space="preserve">En consecuencia, se estima que resulta procedente la clasificación del nombre de particulares en actuación dentro de su ámbito privado, en términos del artículo 143, fracción I de la Ley de Transparencia y Acceso a la Información Pública del Estado de México y Municipios. </w:t>
      </w:r>
    </w:p>
    <w:p w14:paraId="077E9CE2" w14:textId="77777777" w:rsidR="00530B9F" w:rsidRPr="00600DB8" w:rsidRDefault="00530B9F" w:rsidP="00D34146">
      <w:pPr>
        <w:spacing w:after="0" w:line="360" w:lineRule="auto"/>
      </w:pPr>
    </w:p>
    <w:p w14:paraId="112D64CD" w14:textId="77777777" w:rsidR="00530B9F" w:rsidRPr="00600DB8" w:rsidRDefault="007A3813" w:rsidP="00D34146">
      <w:pPr>
        <w:spacing w:after="0" w:line="360" w:lineRule="auto"/>
        <w:rPr>
          <w:b/>
        </w:rPr>
      </w:pPr>
      <w:r w:rsidRPr="00600DB8">
        <w:rPr>
          <w:b/>
        </w:rPr>
        <w:t xml:space="preserve">Personas morales </w:t>
      </w:r>
    </w:p>
    <w:p w14:paraId="1F5547EB" w14:textId="77777777" w:rsidR="00530B9F" w:rsidRPr="00600DB8" w:rsidRDefault="00530B9F" w:rsidP="00D34146">
      <w:pPr>
        <w:spacing w:after="0" w:line="360" w:lineRule="auto"/>
        <w:rPr>
          <w:b/>
        </w:rPr>
      </w:pPr>
    </w:p>
    <w:p w14:paraId="25B4D698" w14:textId="77777777" w:rsidR="00530B9F" w:rsidRPr="00600DB8" w:rsidRDefault="007A3813" w:rsidP="00D34146">
      <w:pPr>
        <w:spacing w:after="0" w:line="360" w:lineRule="auto"/>
      </w:pPr>
      <w:r w:rsidRPr="00600DB8">
        <w:t xml:space="preserve">Con la misma suerte del punto anterior, su dato se considera confidencial, en términos del artículo previamente referido, pues el nombre únicamente atañe a su esfera privada, pues en </w:t>
      </w:r>
      <w:r w:rsidRPr="00600DB8">
        <w:lastRenderedPageBreak/>
        <w:t xml:space="preserve">el presente caso, los datos se localizan en actuaciones de carácter privado, es decir, relacionados con información catastral; situación que se robustece con el Trigésimo Octavo, numeral 6, y Cuadragésimo, fracción I, de los Lineamientos Generales en Materia de Clasificación y Desclasificación de la Información, así como para la Elaboración de Versiones Públicas, que precisa que toda la información del patrimonio de personas morales es clasificado, lo cual sucede en el presente caso, pues la razón social se vincula con el hecho de que cuenta un inmueble específico. </w:t>
      </w:r>
    </w:p>
    <w:p w14:paraId="03124B7A" w14:textId="77777777" w:rsidR="00530B9F" w:rsidRPr="00600DB8" w:rsidRDefault="00530B9F" w:rsidP="00D34146">
      <w:pPr>
        <w:spacing w:after="0" w:line="360" w:lineRule="auto"/>
      </w:pPr>
    </w:p>
    <w:p w14:paraId="6FE63972" w14:textId="1A3C67E5" w:rsidR="00530B9F" w:rsidRPr="00600DB8" w:rsidRDefault="007A3813" w:rsidP="00D34146">
      <w:pPr>
        <w:pStyle w:val="Prrafodelista"/>
        <w:numPr>
          <w:ilvl w:val="0"/>
          <w:numId w:val="36"/>
        </w:numPr>
        <w:spacing w:line="360" w:lineRule="auto"/>
        <w:rPr>
          <w:rFonts w:ascii="Palatino Linotype" w:hAnsi="Palatino Linotype"/>
          <w:b/>
        </w:rPr>
      </w:pPr>
      <w:r w:rsidRPr="00600DB8">
        <w:rPr>
          <w:rFonts w:ascii="Palatino Linotype" w:hAnsi="Palatino Linotype"/>
          <w:b/>
        </w:rPr>
        <w:t xml:space="preserve">Clave catastral </w:t>
      </w:r>
    </w:p>
    <w:p w14:paraId="4441F817" w14:textId="77777777" w:rsidR="00530B9F" w:rsidRPr="00600DB8" w:rsidRDefault="00530B9F" w:rsidP="00D34146">
      <w:pPr>
        <w:spacing w:after="0" w:line="360" w:lineRule="auto"/>
      </w:pPr>
    </w:p>
    <w:p w14:paraId="0C5F12D9" w14:textId="77777777" w:rsidR="00530B9F" w:rsidRPr="00600DB8" w:rsidRDefault="007A3813" w:rsidP="00D34146">
      <w:pPr>
        <w:spacing w:after="0" w:line="360" w:lineRule="auto"/>
      </w:pPr>
      <w:r w:rsidRPr="00600DB8">
        <w:t>Por cuanto hace a la clave catastral; el artículo 179, fracción I, del Código Financiero del Estado de México y Municipios, refiere que la clave catastral es un código alfanumérico único e irrepetible, que se asigna para efectos de localización geográfica, i</w:t>
      </w:r>
      <w:r w:rsidR="00530B9F" w:rsidRPr="00600DB8">
        <w:t xml:space="preserve">dentificación inscripción, </w:t>
      </w:r>
      <w:r w:rsidRPr="00600DB8">
        <w:t xml:space="preserve">control y registro de los inmuebles; por lo que, integrado de dieciséis caracteres., los primeros tres identifican el código del municipio, los dos siguientes a la zona catastral, los subsecuentes tres a la manzana y los últimos dos, identifican el número de lote o predio. </w:t>
      </w:r>
    </w:p>
    <w:p w14:paraId="043E33F7" w14:textId="77777777" w:rsidR="00530B9F" w:rsidRPr="00600DB8" w:rsidRDefault="00530B9F" w:rsidP="00D34146">
      <w:pPr>
        <w:spacing w:after="0" w:line="360" w:lineRule="auto"/>
      </w:pPr>
    </w:p>
    <w:p w14:paraId="615C2EC5" w14:textId="77777777" w:rsidR="00530B9F" w:rsidRPr="00600DB8" w:rsidRDefault="007A3813" w:rsidP="00D34146">
      <w:pPr>
        <w:spacing w:after="0" w:line="360" w:lineRule="auto"/>
      </w:pPr>
      <w:r w:rsidRPr="00600DB8">
        <w:t xml:space="preserve">El diccionario de Datos catastrales Escala 1:1000 del Instituto Nacional de Estadística y Geografía (INEGI), contempla en su glosario la definición de clave catastral, la cual, es la siguiente: </w:t>
      </w:r>
    </w:p>
    <w:p w14:paraId="382CA158" w14:textId="77777777" w:rsidR="00530B9F" w:rsidRPr="00600DB8" w:rsidRDefault="00530B9F" w:rsidP="00D34146">
      <w:pPr>
        <w:spacing w:after="0" w:line="360" w:lineRule="auto"/>
        <w:rPr>
          <w:sz w:val="20"/>
        </w:rPr>
      </w:pPr>
    </w:p>
    <w:p w14:paraId="17105003" w14:textId="77777777" w:rsidR="00530B9F" w:rsidRPr="00600DB8" w:rsidRDefault="007A3813" w:rsidP="00D34146">
      <w:pPr>
        <w:pStyle w:val="Prrafodelista"/>
        <w:spacing w:line="360" w:lineRule="auto"/>
        <w:ind w:left="420"/>
        <w:rPr>
          <w:rFonts w:ascii="Palatino Linotype" w:hAnsi="Palatino Linotype"/>
          <w:i/>
          <w:sz w:val="20"/>
        </w:rPr>
      </w:pPr>
      <w:r w:rsidRPr="00600DB8">
        <w:rPr>
          <w:rFonts w:ascii="Palatino Linotype" w:hAnsi="Palatino Linotype"/>
          <w:b/>
          <w:i/>
          <w:sz w:val="20"/>
        </w:rPr>
        <w:t>“Clave catastral</w:t>
      </w:r>
      <w:r w:rsidRPr="00600DB8">
        <w:rPr>
          <w:rFonts w:ascii="Palatino Linotype" w:hAnsi="Palatino Linotype"/>
          <w:i/>
          <w:sz w:val="20"/>
        </w:rPr>
        <w:t xml:space="preserve">: El código que identifica al predio de forma única para su localización geográfica, mismo que es asignado a cada uno de ellos en el momento de su inscripción en el padrón catastral por las Unidades del estado con atribuciones catastrales” </w:t>
      </w:r>
    </w:p>
    <w:p w14:paraId="3D5D1CF4" w14:textId="77777777" w:rsidR="00530B9F" w:rsidRPr="00600DB8" w:rsidRDefault="00530B9F" w:rsidP="00D34146">
      <w:pPr>
        <w:spacing w:after="0" w:line="360" w:lineRule="auto"/>
      </w:pPr>
    </w:p>
    <w:p w14:paraId="5E2CD569" w14:textId="77777777" w:rsidR="00530B9F" w:rsidRPr="00600DB8" w:rsidRDefault="007A3813" w:rsidP="00D34146">
      <w:pPr>
        <w:spacing w:after="0" w:line="360" w:lineRule="auto"/>
      </w:pPr>
      <w:r w:rsidRPr="00600DB8">
        <w:lastRenderedPageBreak/>
        <w:t xml:space="preserve">Así mismo, dicho diccionario estipula dos tipos de Claves catastrales, siendo estas la Estándar y la Original, cuyo diccionario de datos catastrales Escala 1:1000 del INEGI, las define como </w:t>
      </w:r>
    </w:p>
    <w:p w14:paraId="2C402404" w14:textId="77777777" w:rsidR="00530B9F" w:rsidRPr="00600DB8" w:rsidRDefault="00530B9F" w:rsidP="00D34146">
      <w:pPr>
        <w:spacing w:after="0" w:line="360" w:lineRule="auto"/>
      </w:pPr>
    </w:p>
    <w:p w14:paraId="33B27EE7" w14:textId="2485EBEC" w:rsidR="00530B9F" w:rsidRPr="00600DB8" w:rsidRDefault="007A3813" w:rsidP="00D34146">
      <w:pPr>
        <w:pStyle w:val="Prrafodelista"/>
        <w:numPr>
          <w:ilvl w:val="0"/>
          <w:numId w:val="36"/>
        </w:numPr>
        <w:spacing w:line="360" w:lineRule="auto"/>
        <w:rPr>
          <w:rFonts w:ascii="Palatino Linotype" w:hAnsi="Palatino Linotype"/>
          <w:i/>
          <w:sz w:val="20"/>
        </w:rPr>
      </w:pPr>
      <w:r w:rsidRPr="00600DB8">
        <w:rPr>
          <w:rFonts w:ascii="Palatino Linotype" w:hAnsi="Palatino Linotype"/>
          <w:i/>
          <w:sz w:val="20"/>
        </w:rPr>
        <w:t>“</w:t>
      </w:r>
      <w:r w:rsidRPr="00600DB8">
        <w:rPr>
          <w:rFonts w:ascii="Palatino Linotype" w:hAnsi="Palatino Linotype"/>
          <w:b/>
          <w:i/>
          <w:sz w:val="20"/>
        </w:rPr>
        <w:t>CLAVE CATASTRAL ESTÁNDAR:</w:t>
      </w:r>
      <w:r w:rsidRPr="00600DB8">
        <w:rPr>
          <w:rFonts w:ascii="Palatino Linotype" w:hAnsi="Palatino Linotype"/>
          <w:i/>
          <w:sz w:val="20"/>
        </w:rPr>
        <w:t xml:space="preserve"> Código de 31 caracteres conformado por elementos administrativos y que identifica al objeto espacial en forma única para su localización, compuesto por: Estado (2) + Región Catastral (3) + Municipio (3) + Zona Catastral (2) + Localidad (4) + Sector Catastral (3) + </w:t>
      </w:r>
      <w:r w:rsidR="00530B9F" w:rsidRPr="00600DB8">
        <w:rPr>
          <w:rFonts w:ascii="Palatino Linotype" w:hAnsi="Palatino Linotype"/>
          <w:i/>
          <w:sz w:val="20"/>
        </w:rPr>
        <w:t>Manzana (</w:t>
      </w:r>
      <w:r w:rsidRPr="00600DB8">
        <w:rPr>
          <w:rFonts w:ascii="Palatino Linotype" w:hAnsi="Palatino Linotype"/>
          <w:i/>
          <w:sz w:val="20"/>
        </w:rPr>
        <w:t>3) + Predio (5) + Condominio: edificio (2) y unidad (4).</w:t>
      </w:r>
    </w:p>
    <w:p w14:paraId="6409D201" w14:textId="77777777" w:rsidR="00530B9F" w:rsidRPr="00600DB8" w:rsidRDefault="00530B9F" w:rsidP="00D34146">
      <w:pPr>
        <w:spacing w:after="0" w:line="360" w:lineRule="auto"/>
        <w:rPr>
          <w:i/>
          <w:sz w:val="20"/>
        </w:rPr>
      </w:pPr>
    </w:p>
    <w:p w14:paraId="67CA615A" w14:textId="0145DB26" w:rsidR="00530B9F" w:rsidRPr="00600DB8" w:rsidRDefault="007A3813" w:rsidP="00D34146">
      <w:pPr>
        <w:pStyle w:val="Prrafodelista"/>
        <w:numPr>
          <w:ilvl w:val="0"/>
          <w:numId w:val="36"/>
        </w:numPr>
        <w:spacing w:line="360" w:lineRule="auto"/>
        <w:rPr>
          <w:rFonts w:ascii="Palatino Linotype" w:hAnsi="Palatino Linotype"/>
          <w:i/>
          <w:sz w:val="20"/>
        </w:rPr>
      </w:pPr>
      <w:r w:rsidRPr="00600DB8">
        <w:rPr>
          <w:rFonts w:ascii="Palatino Linotype" w:hAnsi="Palatino Linotype"/>
          <w:b/>
          <w:i/>
          <w:sz w:val="20"/>
        </w:rPr>
        <w:t>CLAVE CATASTRAL ORIGINAL</w:t>
      </w:r>
      <w:r w:rsidRPr="00600DB8">
        <w:rPr>
          <w:rFonts w:ascii="Palatino Linotype" w:hAnsi="Palatino Linotype"/>
          <w:i/>
          <w:sz w:val="20"/>
        </w:rPr>
        <w:t>: Código que identifica al objeto espacial el cual es asignado, por el Catastro Estatal, Municipal o por el registro Agrario Nacional”</w:t>
      </w:r>
    </w:p>
    <w:p w14:paraId="283B03EB" w14:textId="77777777" w:rsidR="00530B9F" w:rsidRPr="00600DB8" w:rsidRDefault="00530B9F" w:rsidP="00D34146">
      <w:pPr>
        <w:spacing w:after="0" w:line="360" w:lineRule="auto"/>
      </w:pPr>
    </w:p>
    <w:p w14:paraId="2B66FF72" w14:textId="77777777" w:rsidR="00530B9F" w:rsidRPr="00600DB8" w:rsidRDefault="007A3813" w:rsidP="00D34146">
      <w:pPr>
        <w:spacing w:after="0" w:line="360" w:lineRule="auto"/>
      </w:pPr>
      <w:r w:rsidRPr="00600DB8">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procede a clasificar dicho dato como confidencial, en términos del artículo 143, fracción I, de la Ley de Transparencia y Acceso a la Información Pública del Estado de México y Municipios. </w:t>
      </w:r>
    </w:p>
    <w:p w14:paraId="45CB16B3" w14:textId="77777777" w:rsidR="00530B9F" w:rsidRPr="00600DB8" w:rsidRDefault="00530B9F" w:rsidP="00D34146">
      <w:pPr>
        <w:spacing w:after="0" w:line="360" w:lineRule="auto"/>
      </w:pPr>
    </w:p>
    <w:p w14:paraId="00E622EE" w14:textId="180AE1F2" w:rsidR="00530B9F" w:rsidRPr="00600DB8" w:rsidRDefault="007A3813" w:rsidP="00D34146">
      <w:pPr>
        <w:pStyle w:val="Prrafodelista"/>
        <w:numPr>
          <w:ilvl w:val="0"/>
          <w:numId w:val="37"/>
        </w:numPr>
        <w:spacing w:line="360" w:lineRule="auto"/>
        <w:rPr>
          <w:rFonts w:ascii="Palatino Linotype" w:hAnsi="Palatino Linotype"/>
          <w:b/>
        </w:rPr>
      </w:pPr>
      <w:r w:rsidRPr="00600DB8">
        <w:rPr>
          <w:rFonts w:ascii="Palatino Linotype" w:hAnsi="Palatino Linotype"/>
          <w:b/>
        </w:rPr>
        <w:t xml:space="preserve">Clave Única de Registro de Población </w:t>
      </w:r>
    </w:p>
    <w:p w14:paraId="22305150" w14:textId="77777777" w:rsidR="00530B9F" w:rsidRPr="00600DB8" w:rsidRDefault="00530B9F" w:rsidP="00D34146">
      <w:pPr>
        <w:spacing w:after="0" w:line="360" w:lineRule="auto"/>
      </w:pPr>
    </w:p>
    <w:p w14:paraId="26B1056B" w14:textId="77777777" w:rsidR="00530B9F" w:rsidRPr="00600DB8" w:rsidRDefault="007A3813" w:rsidP="00D34146">
      <w:pPr>
        <w:spacing w:after="0" w:line="360" w:lineRule="auto"/>
      </w:pPr>
      <w:r w:rsidRPr="00600DB8">
        <w:t xml:space="preserve">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 </w:t>
      </w:r>
    </w:p>
    <w:p w14:paraId="08173EDE" w14:textId="77777777" w:rsidR="00530B9F" w:rsidRPr="00600DB8" w:rsidRDefault="00530B9F" w:rsidP="00D34146">
      <w:pPr>
        <w:spacing w:after="0" w:line="360" w:lineRule="auto"/>
      </w:pPr>
    </w:p>
    <w:p w14:paraId="7ED37009" w14:textId="77777777" w:rsidR="00530B9F" w:rsidRPr="00600DB8" w:rsidRDefault="007A3813" w:rsidP="00D34146">
      <w:pPr>
        <w:spacing w:after="0" w:line="360" w:lineRule="auto"/>
      </w:pPr>
      <w:r w:rsidRPr="00600DB8">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 </w:t>
      </w:r>
    </w:p>
    <w:p w14:paraId="4C2A70B4" w14:textId="77777777" w:rsidR="00530B9F" w:rsidRPr="00600DB8" w:rsidRDefault="00530B9F" w:rsidP="00D34146">
      <w:pPr>
        <w:spacing w:after="0" w:line="360" w:lineRule="auto"/>
      </w:pPr>
    </w:p>
    <w:p w14:paraId="1598EB13" w14:textId="77777777" w:rsidR="002B4D06" w:rsidRPr="00600DB8" w:rsidRDefault="007A3813" w:rsidP="00D34146">
      <w:pPr>
        <w:spacing w:after="0" w:line="360" w:lineRule="auto"/>
      </w:pPr>
      <w:r w:rsidRPr="00600DB8">
        <w:t xml:space="preserve">En ese orden de ideas, la Secretaría de Gobernación en las direcciones </w:t>
      </w:r>
      <w:hyperlink r:id="rId12" w:history="1">
        <w:r w:rsidR="00530B9F" w:rsidRPr="00600DB8">
          <w:rPr>
            <w:rStyle w:val="Hipervnculo"/>
          </w:rPr>
          <w:t>https://consultas.curp.gob.mx/CurpSP/html/informacionecurpPS.html</w:t>
        </w:r>
      </w:hyperlink>
      <w:r w:rsidR="00530B9F" w:rsidRPr="00600DB8">
        <w:t xml:space="preserve"> </w:t>
      </w:r>
      <w:hyperlink r:id="rId13" w:history="1">
        <w:r w:rsidR="00530B9F" w:rsidRPr="00600DB8">
          <w:rPr>
            <w:rStyle w:val="Hipervnculo"/>
          </w:rPr>
          <w:t>https://www.gob.mx/segob/renapo/acciones-y-programas/clave-unica-de-registro-de y poblacion-curp-142226</w:t>
        </w:r>
      </w:hyperlink>
      <w:r w:rsidR="00530B9F" w:rsidRPr="00600DB8">
        <w:t xml:space="preserve"> </w:t>
      </w:r>
      <w:r w:rsidRPr="00600DB8">
        <w:t xml:space="preserve"> (consultadas el trece de mayo de dos mil veintiuno, a las diez horas),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 </w:t>
      </w:r>
    </w:p>
    <w:p w14:paraId="6E88D4DD" w14:textId="77777777" w:rsidR="002B4D06" w:rsidRPr="00600DB8" w:rsidRDefault="002B4D06" w:rsidP="00D34146">
      <w:pPr>
        <w:spacing w:after="0" w:line="360" w:lineRule="auto"/>
      </w:pPr>
    </w:p>
    <w:p w14:paraId="4C1ED467" w14:textId="77777777" w:rsidR="002B4D06" w:rsidRPr="00600DB8" w:rsidRDefault="007A3813" w:rsidP="00D34146">
      <w:pPr>
        <w:spacing w:after="0" w:line="360" w:lineRule="auto"/>
      </w:pPr>
      <w:r w:rsidRPr="00600DB8">
        <w:t xml:space="preserve">● El primero y segundo apellidos, así como al nombre de pila; </w:t>
      </w:r>
    </w:p>
    <w:p w14:paraId="5A394B28" w14:textId="77777777" w:rsidR="002B4D06" w:rsidRPr="00600DB8" w:rsidRDefault="007A3813" w:rsidP="00D34146">
      <w:pPr>
        <w:spacing w:after="0" w:line="360" w:lineRule="auto"/>
      </w:pPr>
      <w:r w:rsidRPr="00600DB8">
        <w:t>● La fecha de nacimiento;</w:t>
      </w:r>
    </w:p>
    <w:p w14:paraId="55DFC35D" w14:textId="77777777" w:rsidR="002B4D06" w:rsidRPr="00600DB8" w:rsidRDefault="007A3813" w:rsidP="00D34146">
      <w:pPr>
        <w:spacing w:after="0" w:line="360" w:lineRule="auto"/>
      </w:pPr>
      <w:r w:rsidRPr="00600DB8">
        <w:t xml:space="preserve"> ● El sexo, y </w:t>
      </w:r>
    </w:p>
    <w:p w14:paraId="318977DD" w14:textId="77777777" w:rsidR="002B4D06" w:rsidRPr="00600DB8" w:rsidRDefault="007A3813" w:rsidP="00D34146">
      <w:pPr>
        <w:spacing w:after="0" w:line="360" w:lineRule="auto"/>
      </w:pPr>
      <w:r w:rsidRPr="00600DB8">
        <w:t xml:space="preserve">● La entidad federativa de nacimiento. </w:t>
      </w:r>
    </w:p>
    <w:p w14:paraId="75504778" w14:textId="77777777" w:rsidR="002B4D06" w:rsidRPr="00600DB8" w:rsidRDefault="002B4D06" w:rsidP="00D34146">
      <w:pPr>
        <w:spacing w:after="0" w:line="360" w:lineRule="auto"/>
      </w:pPr>
    </w:p>
    <w:p w14:paraId="40020A9C" w14:textId="77777777" w:rsidR="002B4D06" w:rsidRPr="00600DB8" w:rsidRDefault="002B4D06" w:rsidP="00D34146">
      <w:pPr>
        <w:spacing w:after="0" w:line="360" w:lineRule="auto"/>
      </w:pPr>
      <w:r w:rsidRPr="00600DB8">
        <w:t xml:space="preserve">Los </w:t>
      </w:r>
      <w:r w:rsidR="007A3813" w:rsidRPr="00600DB8">
        <w:t xml:space="preserve">dos últimos elementos de la Clave Única de Registro de Población evitan la duplicidad de la Clave y garantizan su correcta integración. </w:t>
      </w:r>
    </w:p>
    <w:p w14:paraId="0E23FED2" w14:textId="77777777" w:rsidR="002B4D06" w:rsidRPr="00600DB8" w:rsidRDefault="002B4D06" w:rsidP="00D34146">
      <w:pPr>
        <w:spacing w:after="0" w:line="360" w:lineRule="auto"/>
      </w:pPr>
    </w:p>
    <w:p w14:paraId="15F37969" w14:textId="77777777" w:rsidR="002B4D06" w:rsidRPr="00600DB8" w:rsidRDefault="007A3813" w:rsidP="00D34146">
      <w:pPr>
        <w:spacing w:after="0" w:line="360" w:lineRule="auto"/>
      </w:pPr>
      <w:r w:rsidRPr="00600DB8">
        <w:lastRenderedPageBreak/>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 </w:t>
      </w:r>
    </w:p>
    <w:p w14:paraId="7240C49C" w14:textId="77777777" w:rsidR="002B4D06" w:rsidRPr="00600DB8" w:rsidRDefault="002B4D06" w:rsidP="00D34146">
      <w:pPr>
        <w:spacing w:after="0" w:line="360" w:lineRule="auto"/>
      </w:pPr>
    </w:p>
    <w:p w14:paraId="39C3891C" w14:textId="77777777" w:rsidR="002B4D06" w:rsidRPr="00600DB8" w:rsidRDefault="007A3813" w:rsidP="00D34146">
      <w:pPr>
        <w:spacing w:after="0" w:line="360" w:lineRule="auto"/>
      </w:pPr>
      <w:r w:rsidRPr="00600DB8">
        <w:t xml:space="preserve">Situación que se robustece, con el Criterio de Interpretación, de la Segunda Época, con número de registro SO/018/2017, emitido por el Instituto Nacional de Transparencia, Acceso a la Información y Protección de Datos Personales, que establece lo siguiente: </w:t>
      </w:r>
    </w:p>
    <w:p w14:paraId="67449FA7" w14:textId="77777777" w:rsidR="002B4D06" w:rsidRPr="00600DB8" w:rsidRDefault="002B4D06" w:rsidP="00D34146">
      <w:pPr>
        <w:spacing w:after="0" w:line="360" w:lineRule="auto"/>
      </w:pPr>
    </w:p>
    <w:p w14:paraId="7BDB850B" w14:textId="77777777" w:rsidR="002B4D06" w:rsidRPr="00600DB8" w:rsidRDefault="007A3813" w:rsidP="00D34146">
      <w:pPr>
        <w:pStyle w:val="Prrafodelista"/>
        <w:spacing w:line="360" w:lineRule="auto"/>
        <w:ind w:left="420"/>
        <w:rPr>
          <w:rFonts w:ascii="Palatino Linotype" w:hAnsi="Palatino Linotype"/>
          <w:i/>
          <w:sz w:val="20"/>
        </w:rPr>
      </w:pPr>
      <w:r w:rsidRPr="00600DB8">
        <w:rPr>
          <w:rFonts w:ascii="Palatino Linotype" w:hAnsi="Palatino Linotype"/>
          <w:i/>
          <w:sz w:val="20"/>
        </w:rPr>
        <w:t>“</w:t>
      </w:r>
      <w:r w:rsidRPr="00600DB8">
        <w:rPr>
          <w:rFonts w:ascii="Palatino Linotype" w:hAnsi="Palatino Linotype"/>
          <w:b/>
          <w:i/>
          <w:sz w:val="20"/>
        </w:rPr>
        <w:t>Clave Única de Registro de Población (CURP).</w:t>
      </w:r>
      <w:r w:rsidRPr="00600DB8">
        <w:rPr>
          <w:rFonts w:ascii="Palatino Linotype" w:hAnsi="Palatino Linotype"/>
          <w:i/>
          <w:sz w:val="20"/>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6553FC3" w14:textId="77777777" w:rsidR="002B4D06" w:rsidRPr="00600DB8" w:rsidRDefault="002B4D06" w:rsidP="00D34146">
      <w:pPr>
        <w:spacing w:after="0" w:line="360" w:lineRule="auto"/>
      </w:pPr>
    </w:p>
    <w:p w14:paraId="003ECB5C" w14:textId="77777777" w:rsidR="002B4D06" w:rsidRPr="00600DB8" w:rsidRDefault="007A3813" w:rsidP="00D34146">
      <w:pPr>
        <w:spacing w:after="0" w:line="360" w:lineRule="auto"/>
      </w:pPr>
      <w:r w:rsidRPr="00600DB8">
        <w:t>De acuerdo con lo anterior, resulta procedente la clasificación de la Clave Única de Registro de Población; por lo que, la constancia de dicho dato corre al misma suerte, pues únicamente contiene datos que hacen identificables a la servidora pública, que en nada abonan a la transparencia y no rinden cuantas de la forma de actuar de la Encargada de Despacho de la Unidad de Transparencia, por lo que, es un documento privado, en términos del artículo 143, fracción I, de la Ley de Transparencia y Acceso a la Información Pública del Estado de México y Municipios.</w:t>
      </w:r>
    </w:p>
    <w:p w14:paraId="64F55D21" w14:textId="77777777" w:rsidR="002B4D06" w:rsidRPr="00600DB8" w:rsidRDefault="002B4D06" w:rsidP="00D34146">
      <w:pPr>
        <w:spacing w:after="0" w:line="360" w:lineRule="auto"/>
      </w:pPr>
    </w:p>
    <w:p w14:paraId="3402A2E9" w14:textId="6878D017" w:rsidR="002B4D06" w:rsidRPr="00600DB8" w:rsidRDefault="007A3813" w:rsidP="00D34146">
      <w:pPr>
        <w:pStyle w:val="Prrafodelista"/>
        <w:numPr>
          <w:ilvl w:val="0"/>
          <w:numId w:val="37"/>
        </w:numPr>
        <w:spacing w:line="360" w:lineRule="auto"/>
        <w:rPr>
          <w:rFonts w:ascii="Palatino Linotype" w:hAnsi="Palatino Linotype"/>
          <w:b/>
        </w:rPr>
      </w:pPr>
      <w:r w:rsidRPr="00600DB8">
        <w:rPr>
          <w:rFonts w:ascii="Palatino Linotype" w:hAnsi="Palatino Linotype"/>
          <w:b/>
        </w:rPr>
        <w:t xml:space="preserve"> Ubicación del predio </w:t>
      </w:r>
    </w:p>
    <w:p w14:paraId="36B8BE2E" w14:textId="77777777" w:rsidR="002B4D06" w:rsidRPr="00600DB8" w:rsidRDefault="002B4D06" w:rsidP="00D34146">
      <w:pPr>
        <w:spacing w:after="0" w:line="360" w:lineRule="auto"/>
      </w:pPr>
    </w:p>
    <w:p w14:paraId="7DD3F2F8" w14:textId="77777777" w:rsidR="002B4D06" w:rsidRPr="00600DB8" w:rsidRDefault="007A3813" w:rsidP="00D34146">
      <w:pPr>
        <w:spacing w:after="0" w:line="360" w:lineRule="auto"/>
      </w:pPr>
      <w:r w:rsidRPr="00600DB8">
        <w:lastRenderedPageBreak/>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1A9190B" w14:textId="77777777" w:rsidR="002B4D06" w:rsidRPr="00600DB8" w:rsidRDefault="002B4D06" w:rsidP="00D34146">
      <w:pPr>
        <w:spacing w:after="0" w:line="360" w:lineRule="auto"/>
      </w:pPr>
    </w:p>
    <w:p w14:paraId="0F3295F6" w14:textId="77777777" w:rsidR="002B4D06" w:rsidRPr="00600DB8" w:rsidRDefault="007A3813" w:rsidP="00D34146">
      <w:pPr>
        <w:spacing w:after="0" w:line="360" w:lineRule="auto"/>
      </w:pPr>
      <w:r w:rsidRPr="00600DB8">
        <w:t>De la misma manera, lo establece el artículo 29 del Código Civil Federal, al precisar que el domicilio de personas físicas, es el lugar donde residen habitualmente, el lugar del centro principal de sus negocios, donde residan o el lugar donde se encuentren.</w:t>
      </w:r>
    </w:p>
    <w:p w14:paraId="4C379B42" w14:textId="77777777" w:rsidR="002B4D06" w:rsidRPr="00600DB8" w:rsidRDefault="002B4D06" w:rsidP="00D34146">
      <w:pPr>
        <w:spacing w:after="0" w:line="360" w:lineRule="auto"/>
      </w:pPr>
    </w:p>
    <w:p w14:paraId="5216B376" w14:textId="77777777" w:rsidR="002B4D06" w:rsidRPr="00600DB8" w:rsidRDefault="007A3813" w:rsidP="00D34146">
      <w:pPr>
        <w:spacing w:after="0" w:line="360" w:lineRule="auto"/>
      </w:pPr>
      <w:r w:rsidRPr="00600DB8">
        <w:t xml:space="preserve">En ese contexto, la dirección o domicilio es el lugar en donde reside habitualmente una persona física o moral,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o morales identificadas y su difusión podría afectar la esfera privada de las mismas. Por lo tanto, se actualiza la clasificación del domicilio, de conformidad con la fracción I, del artículo 143 de la Ley de Transparencia y Acceso a la Información Pública del Estado de México y Municipios. </w:t>
      </w:r>
    </w:p>
    <w:p w14:paraId="404665FA" w14:textId="77777777" w:rsidR="002B4D06" w:rsidRPr="00600DB8" w:rsidRDefault="002B4D06" w:rsidP="00D34146">
      <w:pPr>
        <w:spacing w:after="0" w:line="360" w:lineRule="auto"/>
      </w:pPr>
    </w:p>
    <w:p w14:paraId="67C30C4C" w14:textId="178D09C9" w:rsidR="002B4D06" w:rsidRPr="00600DB8" w:rsidRDefault="007A3813" w:rsidP="00D34146">
      <w:pPr>
        <w:pStyle w:val="Prrafodelista"/>
        <w:numPr>
          <w:ilvl w:val="0"/>
          <w:numId w:val="37"/>
        </w:numPr>
        <w:spacing w:line="360" w:lineRule="auto"/>
        <w:rPr>
          <w:rFonts w:ascii="Palatino Linotype" w:hAnsi="Palatino Linotype"/>
          <w:b/>
        </w:rPr>
      </w:pPr>
      <w:r w:rsidRPr="00600DB8">
        <w:rPr>
          <w:rFonts w:ascii="Palatino Linotype" w:hAnsi="Palatino Linotype"/>
          <w:b/>
        </w:rPr>
        <w:t xml:space="preserve">Datos de los predios </w:t>
      </w:r>
    </w:p>
    <w:p w14:paraId="7B505C09" w14:textId="77777777" w:rsidR="002B4D06" w:rsidRPr="00600DB8" w:rsidRDefault="002B4D06" w:rsidP="00D34146">
      <w:pPr>
        <w:spacing w:after="0" w:line="360" w:lineRule="auto"/>
      </w:pPr>
    </w:p>
    <w:p w14:paraId="18BD25CF" w14:textId="77777777" w:rsidR="002B4D06" w:rsidRPr="00600DB8" w:rsidRDefault="007A3813" w:rsidP="00D34146">
      <w:pPr>
        <w:spacing w:after="0" w:line="360" w:lineRule="auto"/>
      </w:pPr>
      <w:r w:rsidRPr="00600DB8">
        <w:t xml:space="preserve">Al respecto, es necesario señalar que los datos en análisis corresponden aquellos que dan cuenta de las características específicas de los predios, los cuales darían cuenta del patrimonio, dado que vincula a una persona física o moral, con un inmueble y da cuenta de las particulares de este, como las construcciones, propiedades y predios. </w:t>
      </w:r>
    </w:p>
    <w:p w14:paraId="25EEC3B5" w14:textId="77777777" w:rsidR="002B4D06" w:rsidRPr="00600DB8" w:rsidRDefault="002B4D06" w:rsidP="00D34146">
      <w:pPr>
        <w:spacing w:after="0" w:line="360" w:lineRule="auto"/>
      </w:pPr>
    </w:p>
    <w:p w14:paraId="53D6BFCF" w14:textId="77777777" w:rsidR="002B4D06" w:rsidRPr="00600DB8" w:rsidRDefault="007A3813" w:rsidP="00D34146">
      <w:pPr>
        <w:spacing w:after="0" w:line="360" w:lineRule="auto"/>
      </w:pPr>
      <w:r w:rsidRPr="00600DB8">
        <w:lastRenderedPageBreak/>
        <w:t xml:space="preserve">Lo anterior, guarda relevancia, pues conforme al Trigésimo Octavo, numeral 6, y Cuadragésimo, fracción I, de los Lineamientos Generales previamente señalados, los datos patrimoniales de las personas físicas o morales, son clasificados como confidenciales, entre los cuales destacan la información del os bienes inmuebles con las que cuentan, por lo que, en el presente caso, se considera que dichos datos actualizan la causal de clasificación, establecida en el artículo 143, fracción I, de la Ley de Transparencia y Acceso a la Información Pública del Estado de México y Municipios. </w:t>
      </w:r>
    </w:p>
    <w:p w14:paraId="5D49E4B5" w14:textId="77777777" w:rsidR="002B4D06" w:rsidRPr="00600DB8" w:rsidRDefault="002B4D06" w:rsidP="00D34146">
      <w:pPr>
        <w:spacing w:after="0" w:line="360" w:lineRule="auto"/>
      </w:pPr>
    </w:p>
    <w:p w14:paraId="4C196436" w14:textId="77777777" w:rsidR="002B4D06" w:rsidRPr="00600DB8" w:rsidRDefault="007A3813" w:rsidP="00D34146">
      <w:pPr>
        <w:spacing w:after="0" w:line="360" w:lineRule="auto"/>
      </w:pPr>
      <w:r w:rsidRPr="00600DB8">
        <w:t xml:space="preserve">Conforme a lo anterior, se considera que el Sujeto Obligado deberá clasificar los datos previamente establecidos, los cuales se mencionan de manera enunciativa, más no limitativa; sin embargo, hay que hacer hincapié que el Padrón Catastral Municipal, se conforma de información pública, tal como lo es el catálogo operativo, el cual únicamente hace referencia de información general sobre un área específica y que conforme a la página del Instituto de Información e Investigación Geográfica, Estadística y Catastral del Estado de México son da carácter público y cualquier persona puede acceder a ellos, en las Tablas de Valores Unitarios de Suelo y Construcciones; además, que dentro del Padrón existen predios o inmuebles que cuyos propietarios son las instituciones públicas o bien se trata de inmuebles de dominio público, por lo que, la información de estos, tampoco actualiza la causal de clasificación. </w:t>
      </w:r>
    </w:p>
    <w:p w14:paraId="282103BB" w14:textId="77777777" w:rsidR="002B4D06" w:rsidRPr="00600DB8" w:rsidRDefault="002B4D06" w:rsidP="00D34146">
      <w:pPr>
        <w:spacing w:after="0" w:line="360" w:lineRule="auto"/>
      </w:pPr>
    </w:p>
    <w:p w14:paraId="00F1EBF6" w14:textId="6927B965" w:rsidR="00F01DFE" w:rsidRPr="00600DB8" w:rsidRDefault="007A3813" w:rsidP="00D34146">
      <w:pPr>
        <w:spacing w:after="0" w:line="360" w:lineRule="auto"/>
      </w:pPr>
      <w:r w:rsidRPr="00600DB8">
        <w:t>Conforme a lo anterior, se considera que el Sujeto Obliga deberá entregar el Padrón Catastral Municipal, en versión pública, en donde deberá clasificar los datos confidenciales</w:t>
      </w:r>
      <w:r w:rsidR="00D34146" w:rsidRPr="00600DB8">
        <w:t xml:space="preserve"> de particulares</w:t>
      </w:r>
      <w:r w:rsidRPr="00600DB8">
        <w:t xml:space="preserve">;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w:t>
      </w:r>
      <w:r w:rsidRPr="00600DB8">
        <w:lastRenderedPageBreak/>
        <w:t>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91AF10D" w14:textId="77777777" w:rsidR="007A3813" w:rsidRPr="00600DB8" w:rsidRDefault="007A3813" w:rsidP="00D34146">
      <w:pPr>
        <w:spacing w:after="0" w:line="360" w:lineRule="auto"/>
        <w:rPr>
          <w:b/>
          <w:color w:val="000000"/>
        </w:rPr>
      </w:pPr>
    </w:p>
    <w:p w14:paraId="009476F7" w14:textId="77777777" w:rsidR="003E3A93" w:rsidRPr="00600DB8" w:rsidRDefault="003E3A93" w:rsidP="00D34146">
      <w:pPr>
        <w:spacing w:after="0" w:line="360" w:lineRule="auto"/>
        <w:rPr>
          <w:b/>
        </w:rPr>
      </w:pPr>
      <w:r w:rsidRPr="00600DB8">
        <w:rPr>
          <w:b/>
        </w:rPr>
        <w:t xml:space="preserve">SEXTO. Decisión </w:t>
      </w:r>
    </w:p>
    <w:p w14:paraId="78EE2D8D" w14:textId="77777777" w:rsidR="003E3A93" w:rsidRPr="00600DB8" w:rsidRDefault="003E3A93" w:rsidP="00D34146">
      <w:pPr>
        <w:spacing w:after="0" w:line="360" w:lineRule="auto"/>
        <w:rPr>
          <w:b/>
        </w:rPr>
      </w:pPr>
    </w:p>
    <w:p w14:paraId="45466042" w14:textId="0274ED4E" w:rsidR="00F01DFE" w:rsidRPr="00600DB8" w:rsidRDefault="003E3A93" w:rsidP="00D34146">
      <w:pPr>
        <w:spacing w:after="0" w:line="360" w:lineRule="auto"/>
      </w:pPr>
      <w:r w:rsidRPr="00600DB8">
        <w:t xml:space="preserve">De acuerdo con lo expuesto y, con fundamento en el artículo 186, fracción III, de la Ley de Transparencia y Acceso a la Información Pública del Estado de México y Municipios, este Instituto considera procedente </w:t>
      </w:r>
      <w:r w:rsidRPr="00600DB8">
        <w:rPr>
          <w:b/>
        </w:rPr>
        <w:t>MODIFICAR</w:t>
      </w:r>
      <w:r w:rsidRPr="00600DB8">
        <w:t xml:space="preserve"> la respuesta del </w:t>
      </w:r>
      <w:r w:rsidR="002B4D06" w:rsidRPr="00600DB8">
        <w:t>Ayuntamiento de Ixtapaluca</w:t>
      </w:r>
      <w:r w:rsidRPr="00600DB8">
        <w:t xml:space="preserve">, a efecto de que, </w:t>
      </w:r>
      <w:r w:rsidR="002B4D06" w:rsidRPr="00600DB8">
        <w:t>previa búsqueda exhaustiva y razonable, en los archivos de la Coordinación de Catastro, entregue, a través del Sistema de Acceso a la Información Mexiquense (SAIMEX), en versión pública, el documento con el que contara al dieciséis de febrero de dos mil veintiséis, que dé cuenta del Padrón Catastral Municipal; además, deberá proporcionar el Acuerdo de Clasificación donde el Comité de Transparencia, confirme la eliminación de los datos o información clasificada, en la versión pública, conforme a lo señalado en el Considerando QUINTO.</w:t>
      </w:r>
    </w:p>
    <w:p w14:paraId="35D0D3E6" w14:textId="77777777" w:rsidR="002B4D06" w:rsidRPr="00600DB8" w:rsidRDefault="002B4D06" w:rsidP="00D34146">
      <w:pPr>
        <w:spacing w:after="0" w:line="360" w:lineRule="auto"/>
      </w:pPr>
    </w:p>
    <w:p w14:paraId="206234EA" w14:textId="77777777" w:rsidR="002B4D06" w:rsidRPr="00600DB8" w:rsidRDefault="002B4D06" w:rsidP="00D34146">
      <w:pPr>
        <w:spacing w:after="0" w:line="360" w:lineRule="auto"/>
        <w:rPr>
          <w:b/>
          <w:color w:val="000000"/>
        </w:rPr>
      </w:pPr>
    </w:p>
    <w:p w14:paraId="236D9916" w14:textId="77777777" w:rsidR="003E3A93" w:rsidRPr="00600DB8" w:rsidRDefault="003E3A93" w:rsidP="00D34146">
      <w:pPr>
        <w:spacing w:after="0" w:line="360" w:lineRule="auto"/>
        <w:rPr>
          <w:b/>
        </w:rPr>
      </w:pPr>
      <w:r w:rsidRPr="00600DB8">
        <w:rPr>
          <w:b/>
        </w:rPr>
        <w:t xml:space="preserve">Términos de la Resolución para conocimiento del Particular </w:t>
      </w:r>
    </w:p>
    <w:p w14:paraId="36A45966" w14:textId="77777777" w:rsidR="003E3A93" w:rsidRPr="00600DB8" w:rsidRDefault="003E3A93" w:rsidP="00D34146">
      <w:pPr>
        <w:spacing w:after="0" w:line="360" w:lineRule="auto"/>
      </w:pPr>
    </w:p>
    <w:p w14:paraId="5A0667DC" w14:textId="7069A6B7" w:rsidR="003E3A93" w:rsidRPr="00600DB8" w:rsidRDefault="003E3A93" w:rsidP="00D34146">
      <w:pPr>
        <w:spacing w:after="0" w:line="360" w:lineRule="auto"/>
      </w:pPr>
      <w:r w:rsidRPr="00600DB8">
        <w:t xml:space="preserve">Se le hace del conocimiento al Particular, que, en el presente caso, se le concede la razón, pues el Sujeto Obligado, </w:t>
      </w:r>
      <w:r w:rsidR="002B4D06" w:rsidRPr="00600DB8">
        <w:t xml:space="preserve">si bien se declaró incompetente de conocer información relacionada con los diversos sujetos obligados ya que son independientes al </w:t>
      </w:r>
      <w:r w:rsidR="007577BB" w:rsidRPr="00600DB8">
        <w:t>A</w:t>
      </w:r>
      <w:r w:rsidR="002B4D06" w:rsidRPr="00600DB8">
        <w:t xml:space="preserve">yuntamiento de Ixtapaluca, lo </w:t>
      </w:r>
      <w:r w:rsidR="002B4D06" w:rsidRPr="00600DB8">
        <w:lastRenderedPageBreak/>
        <w:t xml:space="preserve">cierto es que también </w:t>
      </w:r>
      <w:r w:rsidRPr="00600DB8">
        <w:t xml:space="preserve">omitió proporcionar </w:t>
      </w:r>
      <w:r w:rsidR="002B4D06" w:rsidRPr="00600DB8">
        <w:t>el padrón catastral de Ixtapaluca</w:t>
      </w:r>
      <w:r w:rsidRPr="00600DB8">
        <w:t xml:space="preserve"> por lo que, deberá entregárselo, de conformidad </w:t>
      </w:r>
      <w:r w:rsidR="006C3002" w:rsidRPr="00600DB8">
        <w:t>a lo</w:t>
      </w:r>
      <w:r w:rsidRPr="00600DB8">
        <w:t xml:space="preserve"> establecido</w:t>
      </w:r>
      <w:r w:rsidR="006C3002" w:rsidRPr="00600DB8">
        <w:t>.</w:t>
      </w:r>
    </w:p>
    <w:p w14:paraId="202DB584" w14:textId="77777777" w:rsidR="001A1FAC" w:rsidRPr="00600DB8" w:rsidRDefault="001A1FAC" w:rsidP="00D34146">
      <w:pPr>
        <w:spacing w:after="0" w:line="360" w:lineRule="auto"/>
      </w:pPr>
    </w:p>
    <w:p w14:paraId="48B40843" w14:textId="186DF336" w:rsidR="001A1FAC" w:rsidRPr="00600DB8" w:rsidRDefault="001A1FAC" w:rsidP="001A1FAC">
      <w:pPr>
        <w:spacing w:after="0" w:line="360" w:lineRule="auto"/>
      </w:pPr>
      <w:r w:rsidRPr="00600DB8">
        <w:t xml:space="preserve">Sin embargo, se dejan a salvo sus derechos a fin de requerir a través de una nueva solicitud de información vía SAIMEX, requiera cualquier otra información que sea de su interés, dado que, los Recursos de Revisión no pueden ser utilizados como instrumento para requerir más información de la que fue solicitada inicialmente. </w:t>
      </w:r>
    </w:p>
    <w:p w14:paraId="096B3C14" w14:textId="77777777" w:rsidR="003E3A93" w:rsidRPr="00600DB8" w:rsidRDefault="003E3A93" w:rsidP="00D34146">
      <w:pPr>
        <w:spacing w:after="0" w:line="360" w:lineRule="auto"/>
      </w:pPr>
    </w:p>
    <w:p w14:paraId="675F9E0D" w14:textId="42CB398A" w:rsidR="00F01DFE" w:rsidRPr="00600DB8" w:rsidRDefault="003E3A93" w:rsidP="00D34146">
      <w:pPr>
        <w:spacing w:after="0" w:line="360" w:lineRule="auto"/>
        <w:rPr>
          <w:b/>
          <w:color w:val="000000"/>
        </w:rPr>
      </w:pPr>
      <w:r w:rsidRPr="00600DB8">
        <w:t>Finalmente, se le informa que la labor de este Instituto de Transparencia, Acceso a la Información Pública y Protección de Datos Personales del Estado de México y Municipios, es apoyar a la población a acceder a la información pública y es garantizar la protección de los datos personales.</w:t>
      </w:r>
    </w:p>
    <w:p w14:paraId="5A3F3A94" w14:textId="77777777" w:rsidR="00F01DFE" w:rsidRPr="00600DB8" w:rsidRDefault="00F01DFE" w:rsidP="00D34146">
      <w:pPr>
        <w:spacing w:after="0" w:line="360" w:lineRule="auto"/>
        <w:rPr>
          <w:b/>
          <w:color w:val="000000"/>
        </w:rPr>
      </w:pPr>
    </w:p>
    <w:p w14:paraId="46B72225" w14:textId="2FBAF36F" w:rsidR="00F01DFE" w:rsidRPr="00600DB8" w:rsidRDefault="00193091" w:rsidP="00D34146">
      <w:pPr>
        <w:spacing w:after="0" w:line="360" w:lineRule="auto"/>
        <w:rPr>
          <w:b/>
          <w:color w:val="000000"/>
        </w:rPr>
      </w:pPr>
      <w:r w:rsidRPr="00600DB8">
        <w:t>Por lo expuesto y fundado, este Pleno</w:t>
      </w:r>
    </w:p>
    <w:p w14:paraId="41623F99" w14:textId="77777777" w:rsidR="00E66685" w:rsidRPr="00600DB8" w:rsidRDefault="00E66685" w:rsidP="00D34146">
      <w:pPr>
        <w:spacing w:after="0" w:line="360" w:lineRule="auto"/>
        <w:contextualSpacing/>
        <w:rPr>
          <w:b/>
          <w:color w:val="000000"/>
        </w:rPr>
      </w:pPr>
    </w:p>
    <w:p w14:paraId="712EA34D" w14:textId="77777777" w:rsidR="00E66685" w:rsidRPr="00600DB8" w:rsidRDefault="00E66685" w:rsidP="00D34146">
      <w:pPr>
        <w:pStyle w:val="Ttulo1"/>
        <w:spacing w:before="0" w:after="0" w:line="360" w:lineRule="auto"/>
        <w:jc w:val="center"/>
        <w:rPr>
          <w:sz w:val="22"/>
          <w:szCs w:val="22"/>
        </w:rPr>
      </w:pPr>
      <w:bookmarkStart w:id="13" w:name="_Toc216886987"/>
      <w:r w:rsidRPr="00600DB8">
        <w:rPr>
          <w:sz w:val="22"/>
          <w:szCs w:val="22"/>
        </w:rPr>
        <w:t>R E S U E L V E</w:t>
      </w:r>
      <w:bookmarkEnd w:id="13"/>
    </w:p>
    <w:p w14:paraId="253BAF32" w14:textId="77777777" w:rsidR="00E66685" w:rsidRPr="00600DB8" w:rsidRDefault="00E66685" w:rsidP="00D34146">
      <w:pPr>
        <w:spacing w:after="0" w:line="360" w:lineRule="auto"/>
        <w:contextualSpacing/>
        <w:rPr>
          <w:rFonts w:eastAsia="Calibri"/>
          <w:b/>
          <w:bCs/>
        </w:rPr>
      </w:pPr>
    </w:p>
    <w:p w14:paraId="7DBCCC21" w14:textId="3F835781" w:rsidR="00E66685" w:rsidRPr="00600DB8" w:rsidRDefault="00E66685" w:rsidP="00D34146">
      <w:pPr>
        <w:spacing w:after="0" w:line="360" w:lineRule="auto"/>
        <w:contextualSpacing/>
        <w:rPr>
          <w:bCs/>
        </w:rPr>
      </w:pPr>
      <w:r w:rsidRPr="00600DB8">
        <w:rPr>
          <w:rFonts w:cs="Tahoma"/>
          <w:b/>
          <w:bCs/>
        </w:rPr>
        <w:t xml:space="preserve">PRIMERO. </w:t>
      </w:r>
      <w:r w:rsidRPr="00600DB8">
        <w:rPr>
          <w:rFonts w:cs="Tahoma"/>
          <w:bCs/>
        </w:rPr>
        <w:t xml:space="preserve">Se </w:t>
      </w:r>
      <w:r w:rsidRPr="00600DB8">
        <w:rPr>
          <w:rFonts w:cs="Tahoma"/>
          <w:b/>
          <w:bCs/>
        </w:rPr>
        <w:t xml:space="preserve">MODIFICA </w:t>
      </w:r>
      <w:r w:rsidRPr="00600DB8">
        <w:rPr>
          <w:rFonts w:cs="Tahoma"/>
          <w:bCs/>
        </w:rPr>
        <w:t xml:space="preserve">la respuesta entregada por el </w:t>
      </w:r>
      <w:r w:rsidR="008B5B4C" w:rsidRPr="00600DB8">
        <w:t>Ayuntamiento de Ixtapaluca</w:t>
      </w:r>
      <w:r w:rsidRPr="00600DB8">
        <w:rPr>
          <w:rFonts w:cs="Tahoma"/>
          <w:bCs/>
        </w:rPr>
        <w:t>, a la solicitud de información</w:t>
      </w:r>
      <w:r w:rsidRPr="00600DB8">
        <w:t xml:space="preserve"> </w:t>
      </w:r>
      <w:r w:rsidR="008B5B4C" w:rsidRPr="00600DB8">
        <w:t>00025/IXTAPALU/IP/2026</w:t>
      </w:r>
      <w:r w:rsidRPr="00600DB8">
        <w:rPr>
          <w:bCs/>
        </w:rPr>
        <w:t xml:space="preserve">, por resultar </w:t>
      </w:r>
      <w:r w:rsidRPr="00600DB8">
        <w:rPr>
          <w:b/>
          <w:bCs/>
        </w:rPr>
        <w:t>FUNDADAS</w:t>
      </w:r>
      <w:r w:rsidRPr="00600DB8">
        <w:rPr>
          <w:rFonts w:cs="Tahoma"/>
          <w:b/>
          <w:bCs/>
        </w:rPr>
        <w:t xml:space="preserve"> </w:t>
      </w:r>
      <w:r w:rsidRPr="00600DB8">
        <w:rPr>
          <w:rFonts w:eastAsia="Calibri" w:cs="Tahoma"/>
          <w:bCs/>
        </w:rPr>
        <w:t>las razones o motivos de inconformidad hechos valer por el Recurrente</w:t>
      </w:r>
      <w:r w:rsidRPr="00600DB8">
        <w:rPr>
          <w:rFonts w:cs="Tahoma"/>
          <w:bCs/>
        </w:rPr>
        <w:t xml:space="preserve">, </w:t>
      </w:r>
      <w:r w:rsidRPr="00600DB8">
        <w:rPr>
          <w:rFonts w:eastAsia="Calibri" w:cs="Tahoma"/>
          <w:bCs/>
        </w:rPr>
        <w:t>en términos de los considerandos QUINTO y SEXTO de la presente Resolución.</w:t>
      </w:r>
    </w:p>
    <w:p w14:paraId="4EF00C51" w14:textId="77777777" w:rsidR="00E66685" w:rsidRPr="00600DB8" w:rsidRDefault="00E66685" w:rsidP="00D34146">
      <w:pPr>
        <w:spacing w:after="0" w:line="360" w:lineRule="auto"/>
        <w:contextualSpacing/>
        <w:rPr>
          <w:rFonts w:eastAsia="Times New Roman" w:cs="Tahoma"/>
          <w:bCs/>
          <w:lang w:eastAsia="es-ES"/>
        </w:rPr>
      </w:pPr>
    </w:p>
    <w:p w14:paraId="6A1562B4" w14:textId="5D73DD81" w:rsidR="00E66685" w:rsidRPr="00600DB8" w:rsidRDefault="00E66685" w:rsidP="00D34146">
      <w:pPr>
        <w:spacing w:after="0" w:line="360" w:lineRule="auto"/>
      </w:pPr>
      <w:r w:rsidRPr="00600DB8">
        <w:rPr>
          <w:rFonts w:cs="Tahoma"/>
          <w:b/>
          <w:bCs/>
        </w:rPr>
        <w:t>SEGUNDO</w:t>
      </w:r>
      <w:r w:rsidR="008B5B4C" w:rsidRPr="00600DB8">
        <w:rPr>
          <w:rFonts w:cs="Tahoma"/>
          <w:b/>
          <w:bCs/>
        </w:rPr>
        <w:t xml:space="preserve">. </w:t>
      </w:r>
      <w:r w:rsidR="008B5B4C" w:rsidRPr="00600DB8">
        <w:t xml:space="preserve">Se </w:t>
      </w:r>
      <w:r w:rsidR="008B5B4C" w:rsidRPr="00600DB8">
        <w:rPr>
          <w:b/>
        </w:rPr>
        <w:t xml:space="preserve">ORDENA </w:t>
      </w:r>
      <w:r w:rsidR="008B5B4C" w:rsidRPr="00600DB8">
        <w:t xml:space="preserve">al Ente Recurrido, </w:t>
      </w:r>
      <w:r w:rsidR="00A80039" w:rsidRPr="00600DB8">
        <w:t xml:space="preserve">previa búsqueda exhaustiva y razonable en los archivos de las unidades administrativas competentes, </w:t>
      </w:r>
      <w:r w:rsidR="008B5B4C" w:rsidRPr="00600DB8">
        <w:t xml:space="preserve">entregue a través del Sistema de Acceso a la Información Mexiquense (SAIMEX), en versión pública, el documento con el que contara al dieciséis de febrero de dos mil veintiséis, que dé cuenta de lo </w:t>
      </w:r>
      <w:r w:rsidR="00D34146" w:rsidRPr="00600DB8">
        <w:t>siguiente:</w:t>
      </w:r>
    </w:p>
    <w:p w14:paraId="51788714" w14:textId="77777777" w:rsidR="00E66685" w:rsidRPr="00600DB8" w:rsidRDefault="00E66685" w:rsidP="00D34146">
      <w:pPr>
        <w:spacing w:after="0" w:line="360" w:lineRule="auto"/>
      </w:pPr>
    </w:p>
    <w:p w14:paraId="78F09379" w14:textId="3AD9308F" w:rsidR="00E66685" w:rsidRPr="00600DB8" w:rsidRDefault="00193091" w:rsidP="00D34146">
      <w:pPr>
        <w:pStyle w:val="Prrafodelista"/>
        <w:numPr>
          <w:ilvl w:val="0"/>
          <w:numId w:val="25"/>
        </w:numPr>
        <w:spacing w:line="360" w:lineRule="auto"/>
        <w:rPr>
          <w:rFonts w:ascii="Palatino Linotype" w:hAnsi="Palatino Linotype"/>
        </w:rPr>
      </w:pPr>
      <w:r w:rsidRPr="00600DB8">
        <w:rPr>
          <w:rFonts w:ascii="Palatino Linotype" w:hAnsi="Palatino Linotype"/>
        </w:rPr>
        <w:t xml:space="preserve">El </w:t>
      </w:r>
      <w:r w:rsidR="008B5B4C" w:rsidRPr="00600DB8">
        <w:rPr>
          <w:rFonts w:ascii="Palatino Linotype" w:hAnsi="Palatino Linotype"/>
        </w:rPr>
        <w:t>Padrón Catastral Municipal.</w:t>
      </w:r>
    </w:p>
    <w:p w14:paraId="3928B325" w14:textId="77777777" w:rsidR="008B5B4C" w:rsidRPr="00600DB8" w:rsidRDefault="008B5B4C" w:rsidP="00D34146">
      <w:pPr>
        <w:pStyle w:val="Prrafodelista"/>
        <w:spacing w:line="360" w:lineRule="auto"/>
        <w:rPr>
          <w:rFonts w:ascii="Palatino Linotype" w:hAnsi="Palatino Linotype"/>
        </w:rPr>
      </w:pPr>
    </w:p>
    <w:p w14:paraId="04E981AA" w14:textId="0B0715AC" w:rsidR="008B5B4C" w:rsidRPr="00600DB8" w:rsidRDefault="008B5B4C" w:rsidP="00D34146">
      <w:pPr>
        <w:spacing w:after="0" w:line="360" w:lineRule="auto"/>
      </w:pPr>
      <w:r w:rsidRPr="00600DB8">
        <w:t>Además, deberá proporcionar el Acuerdo de Clasificación donde el Comité de Transparencia, confirme la eliminación de los datos o información, en la versión pública, en términos del Considerando QUINTO, de conformidad con los artículos 49, fracciones II y VIII y 132, fracción II de la Ley de Transparencia y Acceso a la Información Pública del Estado de México y Municipios.</w:t>
      </w:r>
    </w:p>
    <w:p w14:paraId="0ED8D9EB" w14:textId="77777777" w:rsidR="00193091" w:rsidRPr="00600DB8" w:rsidRDefault="00193091" w:rsidP="00D34146">
      <w:pPr>
        <w:spacing w:after="0" w:line="360" w:lineRule="auto"/>
        <w:rPr>
          <w:rFonts w:cs="Tahoma"/>
          <w:bCs/>
          <w:iCs/>
        </w:rPr>
      </w:pPr>
    </w:p>
    <w:p w14:paraId="5B7D61B9" w14:textId="77777777" w:rsidR="00614BC1" w:rsidRPr="00600DB8" w:rsidRDefault="00E66685" w:rsidP="00D34146">
      <w:pPr>
        <w:spacing w:after="0" w:line="360" w:lineRule="auto"/>
        <w:ind w:right="-28"/>
        <w:contextualSpacing/>
        <w:rPr>
          <w:rFonts w:cs="Tahoma"/>
          <w:bCs/>
          <w:iCs/>
        </w:rPr>
      </w:pPr>
      <w:r w:rsidRPr="00600DB8">
        <w:rPr>
          <w:rFonts w:eastAsia="Calibri" w:cs="Tahoma"/>
          <w:b/>
          <w:bCs/>
        </w:rPr>
        <w:t xml:space="preserve">TERCERO. </w:t>
      </w:r>
      <w:r w:rsidRPr="00600DB8">
        <w:rPr>
          <w:rFonts w:cs="Tahoma"/>
          <w:b/>
          <w:bCs/>
          <w:iCs/>
        </w:rPr>
        <w:t xml:space="preserve">NOTIFÍQUESE POR SAIMEX </w:t>
      </w:r>
      <w:r w:rsidRPr="00600DB8">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473B6509" w14:textId="77777777" w:rsidR="00614BC1" w:rsidRPr="00600DB8" w:rsidRDefault="00614BC1" w:rsidP="00D34146">
      <w:pPr>
        <w:spacing w:after="0" w:line="360" w:lineRule="auto"/>
        <w:ind w:right="-28"/>
        <w:contextualSpacing/>
        <w:rPr>
          <w:rFonts w:cs="Tahoma"/>
          <w:bCs/>
          <w:iCs/>
        </w:rPr>
      </w:pPr>
    </w:p>
    <w:p w14:paraId="40568BB5" w14:textId="741AE7CC" w:rsidR="00E66685" w:rsidRPr="00600DB8" w:rsidRDefault="00E66685" w:rsidP="00D34146">
      <w:pPr>
        <w:spacing w:after="0" w:line="360" w:lineRule="auto"/>
        <w:ind w:right="-28"/>
        <w:contextualSpacing/>
        <w:rPr>
          <w:rFonts w:cs="Tahoma"/>
          <w:bCs/>
          <w:iCs/>
        </w:rPr>
      </w:pPr>
      <w:r w:rsidRPr="00600DB8">
        <w:rPr>
          <w:rFonts w:eastAsia="Calibri" w:cs="Tahoma"/>
          <w:iCs/>
          <w:color w:val="000000"/>
        </w:rPr>
        <w:t xml:space="preserve">De conformidad con el artículo 198 de la </w:t>
      </w:r>
      <w:r w:rsidRPr="00600DB8">
        <w:rPr>
          <w:rFonts w:cs="Tahoma"/>
          <w:bCs/>
          <w:iCs/>
        </w:rPr>
        <w:t>Ley de la materia</w:t>
      </w:r>
      <w:r w:rsidRPr="00600DB8">
        <w:rPr>
          <w:rFonts w:eastAsia="Calibri" w:cs="Tahoma"/>
          <w:iCs/>
          <w:color w:val="000000"/>
        </w:rPr>
        <w:t>, de considerarlo procedente, el Sujeto Obligado de manera fundada y motivada, podrá solicitar una ampliación de plazo para el cumplimiento de la presente resolución.</w:t>
      </w:r>
    </w:p>
    <w:p w14:paraId="533A773E" w14:textId="77777777" w:rsidR="00E66685" w:rsidRPr="00600DB8" w:rsidRDefault="00E66685" w:rsidP="00D34146">
      <w:pPr>
        <w:spacing w:after="0" w:line="360" w:lineRule="auto"/>
        <w:contextualSpacing/>
        <w:rPr>
          <w:rFonts w:eastAsia="Calibri" w:cs="Tahoma"/>
          <w:color w:val="000000"/>
          <w:lang w:val="es-ES"/>
        </w:rPr>
      </w:pPr>
    </w:p>
    <w:p w14:paraId="04FD7339" w14:textId="77777777" w:rsidR="00E66685" w:rsidRPr="00600DB8" w:rsidRDefault="00E66685" w:rsidP="00D34146">
      <w:pPr>
        <w:spacing w:after="0" w:line="360" w:lineRule="auto"/>
        <w:contextualSpacing/>
        <w:rPr>
          <w:rFonts w:cs="Tahoma"/>
        </w:rPr>
      </w:pPr>
      <w:r w:rsidRPr="00600DB8">
        <w:rPr>
          <w:rFonts w:eastAsia="Calibri" w:cs="Tahoma"/>
          <w:b/>
        </w:rPr>
        <w:t>CUARTO</w:t>
      </w:r>
      <w:r w:rsidRPr="00600DB8">
        <w:rPr>
          <w:rFonts w:eastAsia="Calibri" w:cs="Tahoma"/>
          <w:b/>
          <w:bCs/>
        </w:rPr>
        <w:t xml:space="preserve">. </w:t>
      </w:r>
      <w:r w:rsidRPr="00600DB8">
        <w:rPr>
          <w:rFonts w:cs="Tahoma"/>
          <w:b/>
        </w:rPr>
        <w:t>NOTIFÍQUESE POR SAIMEX</w:t>
      </w:r>
      <w:r w:rsidRPr="00600DB8">
        <w:rPr>
          <w:rFonts w:cs="Tahoma"/>
        </w:rPr>
        <w:t xml:space="preserve"> a la persona Recurrente la presente Resolución, asimismo, se hace de su conocimiento que de conformidad con lo establecido en el artículo </w:t>
      </w:r>
      <w:r w:rsidRPr="00600DB8">
        <w:rPr>
          <w:rFonts w:cs="Tahoma"/>
        </w:rPr>
        <w:lastRenderedPageBreak/>
        <w:t>196 de la Ley de Transparencia y Acceso a la Información Pública del Estado de México y Municipios podrá promover el Juicio de Amparo en los términos de las leyes aplicables.</w:t>
      </w:r>
    </w:p>
    <w:p w14:paraId="4146C626" w14:textId="77777777" w:rsidR="00E66685" w:rsidRPr="00600DB8" w:rsidRDefault="00E66685" w:rsidP="00D34146">
      <w:pPr>
        <w:spacing w:after="0" w:line="360" w:lineRule="auto"/>
        <w:contextualSpacing/>
        <w:rPr>
          <w:rFonts w:cs="Arial"/>
          <w:b/>
          <w:bCs/>
        </w:rPr>
      </w:pPr>
    </w:p>
    <w:p w14:paraId="532C857B" w14:textId="37BD320E" w:rsidR="00E66685" w:rsidRDefault="00E66685" w:rsidP="00D34146">
      <w:pPr>
        <w:spacing w:after="0" w:line="360" w:lineRule="auto"/>
        <w:contextualSpacing/>
        <w:rPr>
          <w:rFonts w:cs="Tahoma"/>
          <w:b/>
          <w:bCs/>
        </w:rPr>
      </w:pPr>
      <w:r w:rsidRPr="00600DB8">
        <w:rPr>
          <w:rFonts w:eastAsia="Calibri" w:cs="Tahoma"/>
          <w:bCs/>
        </w:rPr>
        <w:t>ASÍ LO RESUELVE, POR </w:t>
      </w:r>
      <w:r w:rsidRPr="00600DB8">
        <w:rPr>
          <w:rFonts w:eastAsia="Calibri" w:cs="Tahoma"/>
          <w:b/>
          <w:bCs/>
        </w:rPr>
        <w:t>UNANIMIDAD</w:t>
      </w:r>
      <w:r w:rsidRPr="00600DB8">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520FDF">
        <w:rPr>
          <w:rFonts w:eastAsia="Calibri" w:cs="Tahoma"/>
          <w:bCs/>
        </w:rPr>
        <w:t xml:space="preserve">CON VOTO PARTICULAR </w:t>
      </w:r>
      <w:r w:rsidRPr="00600DB8">
        <w:rPr>
          <w:rFonts w:eastAsia="Calibri" w:cs="Tahoma"/>
          <w:bCs/>
        </w:rPr>
        <w:t xml:space="preserve">Y GUADALUPE RAMÍREZ PEÑA, EN LA </w:t>
      </w:r>
      <w:r w:rsidR="00BB74FE">
        <w:rPr>
          <w:rFonts w:eastAsia="Calibri" w:cs="Tahoma"/>
          <w:bCs/>
        </w:rPr>
        <w:t>DÉ</w:t>
      </w:r>
      <w:bookmarkStart w:id="14" w:name="_GoBack"/>
      <w:bookmarkEnd w:id="14"/>
      <w:r w:rsidR="008B5B4C" w:rsidRPr="00600DB8">
        <w:rPr>
          <w:rFonts w:eastAsia="Calibri" w:cs="Tahoma"/>
          <w:bCs/>
        </w:rPr>
        <w:t>CIMA SEGUNDA</w:t>
      </w:r>
      <w:r w:rsidRPr="00600DB8">
        <w:rPr>
          <w:rFonts w:eastAsia="Calibri" w:cs="Tahoma"/>
          <w:bCs/>
        </w:rPr>
        <w:t xml:space="preserve"> SESIÓN ORDINARIA, CELEBRADA EL </w:t>
      </w:r>
      <w:r w:rsidR="008B5B4C" w:rsidRPr="00600DB8">
        <w:rPr>
          <w:rFonts w:eastAsia="Calibri" w:cs="Tahoma"/>
          <w:bCs/>
        </w:rPr>
        <w:t xml:space="preserve">OCHO DE ABRIL </w:t>
      </w:r>
      <w:r w:rsidRPr="00600DB8">
        <w:rPr>
          <w:rFonts w:eastAsia="Calibri" w:cs="Tahoma"/>
          <w:bCs/>
        </w:rPr>
        <w:t>DE DOS MIL VEINTIS</w:t>
      </w:r>
      <w:r w:rsidR="00520FDF">
        <w:rPr>
          <w:rFonts w:eastAsia="Calibri" w:cs="Tahoma"/>
          <w:bCs/>
        </w:rPr>
        <w:t>É</w:t>
      </w:r>
      <w:r w:rsidRPr="00600DB8">
        <w:rPr>
          <w:rFonts w:eastAsia="Calibri" w:cs="Tahoma"/>
          <w:bCs/>
        </w:rPr>
        <w:t>IS ANTE EL SECRETARIO TÉCNICO DEL PLENO, ALEXIS TAPIA RAMÍREZ.</w:t>
      </w:r>
    </w:p>
    <w:p w14:paraId="6E09AC2D" w14:textId="77777777" w:rsidR="00E66685" w:rsidRPr="00D1318A" w:rsidRDefault="00E66685" w:rsidP="00D34146">
      <w:pPr>
        <w:spacing w:after="0" w:line="360" w:lineRule="auto"/>
        <w:ind w:right="-28"/>
        <w:rPr>
          <w:color w:val="auto"/>
        </w:rPr>
      </w:pPr>
    </w:p>
    <w:p w14:paraId="041F3B27" w14:textId="77777777" w:rsidR="00E66685" w:rsidRDefault="00E66685" w:rsidP="00D34146">
      <w:pPr>
        <w:spacing w:after="0" w:line="360" w:lineRule="auto"/>
        <w:rPr>
          <w:rFonts w:eastAsia="Calibri" w:cs="Times New Roman"/>
          <w:b/>
          <w:bCs/>
        </w:rPr>
      </w:pPr>
    </w:p>
    <w:p w14:paraId="3D2D03EF" w14:textId="77777777" w:rsidR="00E66685" w:rsidRPr="00681B34" w:rsidRDefault="00E66685" w:rsidP="00D34146">
      <w:pPr>
        <w:spacing w:after="0" w:line="360" w:lineRule="auto"/>
        <w:rPr>
          <w:rFonts w:eastAsia="Calibri" w:cs="Times New Roman"/>
          <w:b/>
          <w:bCs/>
        </w:rPr>
      </w:pPr>
    </w:p>
    <w:p w14:paraId="02FCCD95" w14:textId="77777777" w:rsidR="00E66685" w:rsidRDefault="00E66685" w:rsidP="00D34146">
      <w:pPr>
        <w:spacing w:after="0" w:line="360" w:lineRule="auto"/>
        <w:contextualSpacing/>
        <w:rPr>
          <w:rFonts w:eastAsia="Calibri" w:cs="Times New Roman"/>
          <w:color w:val="000000"/>
        </w:rPr>
      </w:pPr>
    </w:p>
    <w:p w14:paraId="376773DE" w14:textId="77777777" w:rsidR="00E66685" w:rsidRDefault="00E66685" w:rsidP="00D34146">
      <w:pPr>
        <w:spacing w:after="0" w:line="360" w:lineRule="auto"/>
        <w:contextualSpacing/>
        <w:rPr>
          <w:color w:val="000000"/>
        </w:rPr>
      </w:pPr>
    </w:p>
    <w:p w14:paraId="16D4E1F9" w14:textId="77777777" w:rsidR="00E66685" w:rsidRDefault="00E66685" w:rsidP="00D34146">
      <w:pPr>
        <w:spacing w:after="0" w:line="360" w:lineRule="auto"/>
      </w:pPr>
    </w:p>
    <w:p w14:paraId="7FEDBB29" w14:textId="77777777" w:rsidR="00E66685" w:rsidRPr="00E64957" w:rsidRDefault="00E66685" w:rsidP="00D34146">
      <w:pPr>
        <w:spacing w:after="0" w:line="360" w:lineRule="auto"/>
      </w:pPr>
    </w:p>
    <w:p w14:paraId="5E320C74" w14:textId="77777777" w:rsidR="00E66685" w:rsidRDefault="00E66685" w:rsidP="00D34146">
      <w:pPr>
        <w:spacing w:after="0" w:line="360" w:lineRule="auto"/>
        <w:rPr>
          <w:color w:val="000000"/>
        </w:rPr>
      </w:pPr>
    </w:p>
    <w:p w14:paraId="4114A205" w14:textId="77777777" w:rsidR="00E66685" w:rsidRDefault="00E66685" w:rsidP="00D34146">
      <w:pPr>
        <w:spacing w:after="0" w:line="360" w:lineRule="auto"/>
        <w:rPr>
          <w:color w:val="000000"/>
        </w:rPr>
      </w:pPr>
    </w:p>
    <w:p w14:paraId="4F987886" w14:textId="77777777" w:rsidR="00E66685" w:rsidRDefault="00E66685" w:rsidP="00D34146">
      <w:pPr>
        <w:tabs>
          <w:tab w:val="right" w:pos="8931"/>
        </w:tabs>
        <w:spacing w:after="0" w:line="360" w:lineRule="auto"/>
      </w:pPr>
    </w:p>
    <w:p w14:paraId="27549D4C" w14:textId="77777777" w:rsidR="00E66685" w:rsidRDefault="00E66685" w:rsidP="00D34146">
      <w:pPr>
        <w:tabs>
          <w:tab w:val="right" w:pos="8931"/>
        </w:tabs>
        <w:spacing w:after="0" w:line="360" w:lineRule="auto"/>
      </w:pPr>
    </w:p>
    <w:p w14:paraId="742346AC" w14:textId="77777777" w:rsidR="00E66685" w:rsidRDefault="00E66685" w:rsidP="00D34146">
      <w:pPr>
        <w:tabs>
          <w:tab w:val="right" w:pos="8931"/>
        </w:tabs>
        <w:spacing w:after="0" w:line="360" w:lineRule="auto"/>
      </w:pPr>
    </w:p>
    <w:p w14:paraId="085B1B11" w14:textId="77777777" w:rsidR="00E66685" w:rsidRDefault="00E66685" w:rsidP="00D34146">
      <w:pPr>
        <w:tabs>
          <w:tab w:val="right" w:pos="8931"/>
        </w:tabs>
        <w:spacing w:after="0" w:line="360" w:lineRule="auto"/>
      </w:pPr>
    </w:p>
    <w:p w14:paraId="2A2A01EA" w14:textId="77777777" w:rsidR="00E66685" w:rsidRDefault="00E66685" w:rsidP="00D34146">
      <w:pPr>
        <w:tabs>
          <w:tab w:val="right" w:pos="8931"/>
        </w:tabs>
        <w:spacing w:after="0" w:line="360" w:lineRule="auto"/>
      </w:pPr>
    </w:p>
    <w:p w14:paraId="28984454" w14:textId="77777777" w:rsidR="00E66685" w:rsidRDefault="00E66685" w:rsidP="00D34146">
      <w:pPr>
        <w:tabs>
          <w:tab w:val="right" w:pos="8931"/>
        </w:tabs>
        <w:spacing w:after="0" w:line="360" w:lineRule="auto"/>
      </w:pPr>
    </w:p>
    <w:p w14:paraId="74820794" w14:textId="77777777" w:rsidR="00E66685" w:rsidRDefault="00E66685" w:rsidP="00D34146">
      <w:pPr>
        <w:tabs>
          <w:tab w:val="right" w:pos="8931"/>
        </w:tabs>
        <w:spacing w:after="0" w:line="360" w:lineRule="auto"/>
      </w:pPr>
    </w:p>
    <w:p w14:paraId="3B69BA64" w14:textId="77777777" w:rsidR="00E66685" w:rsidRDefault="00E66685" w:rsidP="00D34146">
      <w:pPr>
        <w:tabs>
          <w:tab w:val="right" w:pos="8931"/>
        </w:tabs>
        <w:spacing w:after="0" w:line="360" w:lineRule="auto"/>
      </w:pPr>
    </w:p>
    <w:p w14:paraId="6220714E" w14:textId="77777777" w:rsidR="00E66685" w:rsidRDefault="00E66685" w:rsidP="00D34146">
      <w:pPr>
        <w:tabs>
          <w:tab w:val="right" w:pos="8931"/>
        </w:tabs>
        <w:spacing w:after="0" w:line="360" w:lineRule="auto"/>
      </w:pPr>
    </w:p>
    <w:p w14:paraId="11A7BB85" w14:textId="77777777" w:rsidR="00E66685" w:rsidRDefault="00E66685" w:rsidP="00D34146">
      <w:pPr>
        <w:tabs>
          <w:tab w:val="right" w:pos="8931"/>
        </w:tabs>
        <w:spacing w:after="0" w:line="360" w:lineRule="auto"/>
      </w:pPr>
    </w:p>
    <w:p w14:paraId="6AD18C4B" w14:textId="77777777" w:rsidR="00E66685" w:rsidRDefault="00E66685" w:rsidP="00D34146">
      <w:pPr>
        <w:tabs>
          <w:tab w:val="right" w:pos="8931"/>
        </w:tabs>
        <w:spacing w:after="0" w:line="360" w:lineRule="auto"/>
      </w:pPr>
    </w:p>
    <w:p w14:paraId="0400152E" w14:textId="77777777" w:rsidR="00E66685" w:rsidRDefault="00E66685" w:rsidP="00D34146">
      <w:pPr>
        <w:tabs>
          <w:tab w:val="right" w:pos="8931"/>
        </w:tabs>
        <w:spacing w:after="0" w:line="360" w:lineRule="auto"/>
      </w:pPr>
    </w:p>
    <w:p w14:paraId="123949D3" w14:textId="77777777" w:rsidR="00E66685" w:rsidRDefault="00E66685" w:rsidP="00D34146">
      <w:pPr>
        <w:tabs>
          <w:tab w:val="right" w:pos="8931"/>
        </w:tabs>
        <w:spacing w:after="0" w:line="360" w:lineRule="auto"/>
      </w:pPr>
    </w:p>
    <w:p w14:paraId="3AD1DB66" w14:textId="77777777" w:rsidR="00E66685" w:rsidRDefault="00E66685" w:rsidP="00D34146">
      <w:pPr>
        <w:tabs>
          <w:tab w:val="right" w:pos="8931"/>
        </w:tabs>
        <w:spacing w:after="0" w:line="360" w:lineRule="auto"/>
      </w:pPr>
    </w:p>
    <w:p w14:paraId="1FDAB74A" w14:textId="77777777" w:rsidR="00E66685" w:rsidRDefault="00E66685" w:rsidP="00D34146">
      <w:pPr>
        <w:tabs>
          <w:tab w:val="right" w:pos="8931"/>
        </w:tabs>
        <w:spacing w:after="0" w:line="360" w:lineRule="auto"/>
      </w:pPr>
    </w:p>
    <w:p w14:paraId="24B6668E" w14:textId="77777777" w:rsidR="00E66685" w:rsidRDefault="00E66685" w:rsidP="00D34146">
      <w:pPr>
        <w:tabs>
          <w:tab w:val="right" w:pos="8931"/>
        </w:tabs>
        <w:spacing w:after="0" w:line="360" w:lineRule="auto"/>
      </w:pPr>
    </w:p>
    <w:p w14:paraId="048912CE" w14:textId="77777777" w:rsidR="00E66685" w:rsidRDefault="00E66685" w:rsidP="00D34146">
      <w:pPr>
        <w:tabs>
          <w:tab w:val="right" w:pos="8931"/>
        </w:tabs>
        <w:spacing w:after="0" w:line="360" w:lineRule="auto"/>
      </w:pPr>
    </w:p>
    <w:p w14:paraId="19A32BAD" w14:textId="77777777" w:rsidR="00E66685" w:rsidRDefault="00E66685" w:rsidP="00D34146">
      <w:pPr>
        <w:tabs>
          <w:tab w:val="right" w:pos="8931"/>
        </w:tabs>
        <w:spacing w:after="0" w:line="360" w:lineRule="auto"/>
      </w:pPr>
    </w:p>
    <w:p w14:paraId="23CF4039" w14:textId="77777777" w:rsidR="00E66685" w:rsidRDefault="00E66685" w:rsidP="00D34146">
      <w:pPr>
        <w:tabs>
          <w:tab w:val="right" w:pos="8931"/>
        </w:tabs>
        <w:spacing w:after="0" w:line="360" w:lineRule="auto"/>
      </w:pPr>
    </w:p>
    <w:p w14:paraId="7E8782BA" w14:textId="77777777" w:rsidR="00E82B0A" w:rsidRDefault="00E82B0A" w:rsidP="00D34146">
      <w:pPr>
        <w:spacing w:after="0" w:line="360" w:lineRule="auto"/>
      </w:pPr>
    </w:p>
    <w:sectPr w:rsidR="00E82B0A" w:rsidSect="00F01DFE">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8C168" w14:textId="77777777" w:rsidR="003D26C6" w:rsidRDefault="003D26C6">
      <w:pPr>
        <w:spacing w:after="0" w:line="240" w:lineRule="auto"/>
      </w:pPr>
      <w:r>
        <w:separator/>
      </w:r>
    </w:p>
  </w:endnote>
  <w:endnote w:type="continuationSeparator" w:id="0">
    <w:p w14:paraId="1BFF0B35" w14:textId="77777777" w:rsidR="003D26C6" w:rsidRDefault="003D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1EA2" w14:textId="77777777" w:rsidR="00530B9F" w:rsidRDefault="00530B9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485DF6">
      <w:rPr>
        <w:b/>
        <w:color w:val="000000"/>
        <w:sz w:val="24"/>
        <w:szCs w:val="24"/>
      </w:rPr>
      <w:fldChar w:fldCharType="separate"/>
    </w:r>
    <w:r w:rsidR="00485DF6">
      <w:rPr>
        <w:b/>
        <w:noProof/>
        <w:color w:val="000000"/>
        <w:sz w:val="24"/>
        <w:szCs w:val="24"/>
      </w:rPr>
      <w:t>36</w:t>
    </w:r>
    <w:r>
      <w:rPr>
        <w:b/>
        <w:color w:val="000000"/>
        <w:sz w:val="24"/>
        <w:szCs w:val="24"/>
      </w:rPr>
      <w:fldChar w:fldCharType="end"/>
    </w:r>
  </w:p>
  <w:p w14:paraId="50F61D8B" w14:textId="77777777" w:rsidR="00530B9F" w:rsidRDefault="00530B9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3A37F" w14:textId="77777777" w:rsidR="00530B9F" w:rsidRDefault="00530B9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85DF6">
      <w:rPr>
        <w:b/>
        <w:noProof/>
        <w:color w:val="000000"/>
        <w:sz w:val="24"/>
        <w:szCs w:val="24"/>
      </w:rPr>
      <w:t>35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85DF6">
      <w:rPr>
        <w:b/>
        <w:noProof/>
        <w:color w:val="000000"/>
        <w:sz w:val="24"/>
        <w:szCs w:val="24"/>
      </w:rPr>
      <w:t>36</w:t>
    </w:r>
    <w:r>
      <w:rPr>
        <w:b/>
        <w:color w:val="000000"/>
        <w:sz w:val="24"/>
        <w:szCs w:val="24"/>
      </w:rPr>
      <w:fldChar w:fldCharType="end"/>
    </w:r>
  </w:p>
  <w:p w14:paraId="5E0432E6" w14:textId="77777777" w:rsidR="00530B9F" w:rsidRDefault="00530B9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506A5" w14:textId="77777777" w:rsidR="00530B9F" w:rsidRDefault="00530B9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85DF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85DF6">
      <w:rPr>
        <w:b/>
        <w:noProof/>
        <w:color w:val="000000"/>
        <w:sz w:val="24"/>
        <w:szCs w:val="24"/>
      </w:rPr>
      <w:t>36</w:t>
    </w:r>
    <w:r>
      <w:rPr>
        <w:b/>
        <w:color w:val="000000"/>
        <w:sz w:val="24"/>
        <w:szCs w:val="24"/>
      </w:rPr>
      <w:fldChar w:fldCharType="end"/>
    </w:r>
  </w:p>
  <w:p w14:paraId="375CA070" w14:textId="77777777" w:rsidR="00530B9F" w:rsidRDefault="00530B9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E54C3" w14:textId="77777777" w:rsidR="003D26C6" w:rsidRDefault="003D26C6">
      <w:pPr>
        <w:spacing w:after="0" w:line="240" w:lineRule="auto"/>
      </w:pPr>
      <w:r>
        <w:separator/>
      </w:r>
    </w:p>
  </w:footnote>
  <w:footnote w:type="continuationSeparator" w:id="0">
    <w:p w14:paraId="14E55EB1" w14:textId="77777777" w:rsidR="003D26C6" w:rsidRDefault="003D2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C9932" w14:textId="77777777" w:rsidR="00530B9F" w:rsidRDefault="00530B9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530B9F" w14:paraId="290F2483" w14:textId="77777777">
      <w:trPr>
        <w:trHeight w:val="132"/>
      </w:trPr>
      <w:tc>
        <w:tcPr>
          <w:tcW w:w="2691" w:type="dxa"/>
        </w:tcPr>
        <w:p w14:paraId="6C6DC776" w14:textId="77777777" w:rsidR="00530B9F" w:rsidRDefault="00530B9F">
          <w:pPr>
            <w:tabs>
              <w:tab w:val="right" w:pos="8838"/>
            </w:tabs>
            <w:ind w:right="-105"/>
            <w:rPr>
              <w:b/>
            </w:rPr>
          </w:pPr>
          <w:r>
            <w:rPr>
              <w:b/>
            </w:rPr>
            <w:t>Recurso de Revisión:</w:t>
          </w:r>
        </w:p>
      </w:tc>
      <w:tc>
        <w:tcPr>
          <w:tcW w:w="3405" w:type="dxa"/>
        </w:tcPr>
        <w:p w14:paraId="4A89F1D4" w14:textId="77777777" w:rsidR="00530B9F" w:rsidRDefault="00530B9F">
          <w:pPr>
            <w:tabs>
              <w:tab w:val="right" w:pos="8838"/>
            </w:tabs>
            <w:ind w:left="-28" w:right="-32"/>
          </w:pPr>
          <w:r>
            <w:t>03846/INFOEM/IP/RR/2020</w:t>
          </w:r>
        </w:p>
      </w:tc>
    </w:tr>
    <w:tr w:rsidR="00530B9F" w14:paraId="24067B02" w14:textId="77777777">
      <w:trPr>
        <w:trHeight w:val="261"/>
      </w:trPr>
      <w:tc>
        <w:tcPr>
          <w:tcW w:w="2691" w:type="dxa"/>
        </w:tcPr>
        <w:p w14:paraId="44F88EE8" w14:textId="77777777" w:rsidR="00530B9F" w:rsidRDefault="00530B9F">
          <w:pPr>
            <w:tabs>
              <w:tab w:val="right" w:pos="8838"/>
            </w:tabs>
            <w:ind w:right="-105"/>
            <w:rPr>
              <w:b/>
            </w:rPr>
          </w:pPr>
          <w:r>
            <w:rPr>
              <w:b/>
            </w:rPr>
            <w:t>Sujeto Obligado:</w:t>
          </w:r>
        </w:p>
      </w:tc>
      <w:tc>
        <w:tcPr>
          <w:tcW w:w="3405" w:type="dxa"/>
        </w:tcPr>
        <w:p w14:paraId="0E8F218B" w14:textId="77777777" w:rsidR="00530B9F" w:rsidRDefault="00530B9F">
          <w:pPr>
            <w:tabs>
              <w:tab w:val="right" w:pos="8838"/>
            </w:tabs>
            <w:ind w:right="-32"/>
          </w:pPr>
          <w:r>
            <w:t xml:space="preserve">Ayuntamiento de </w:t>
          </w:r>
          <w:proofErr w:type="spellStart"/>
          <w:r>
            <w:t>Temascalcingo</w:t>
          </w:r>
          <w:proofErr w:type="spellEnd"/>
        </w:p>
      </w:tc>
    </w:tr>
    <w:tr w:rsidR="00530B9F" w14:paraId="30C5B17F" w14:textId="77777777">
      <w:trPr>
        <w:trHeight w:val="261"/>
      </w:trPr>
      <w:tc>
        <w:tcPr>
          <w:tcW w:w="2691" w:type="dxa"/>
        </w:tcPr>
        <w:p w14:paraId="27A9C755" w14:textId="77777777" w:rsidR="00530B9F" w:rsidRDefault="00530B9F">
          <w:pPr>
            <w:tabs>
              <w:tab w:val="right" w:pos="8838"/>
            </w:tabs>
            <w:ind w:right="-105"/>
            <w:rPr>
              <w:b/>
            </w:rPr>
          </w:pPr>
          <w:r>
            <w:rPr>
              <w:b/>
            </w:rPr>
            <w:t>Comisionado Ponente:</w:t>
          </w:r>
        </w:p>
      </w:tc>
      <w:tc>
        <w:tcPr>
          <w:tcW w:w="3405" w:type="dxa"/>
        </w:tcPr>
        <w:p w14:paraId="3750C5EC" w14:textId="77777777" w:rsidR="00530B9F" w:rsidRDefault="00530B9F">
          <w:pPr>
            <w:tabs>
              <w:tab w:val="right" w:pos="8838"/>
            </w:tabs>
            <w:ind w:right="-32"/>
            <w:rPr>
              <w:b/>
            </w:rPr>
          </w:pPr>
          <w:r>
            <w:t>Luis Gustavo Parra Noriega</w:t>
          </w:r>
        </w:p>
      </w:tc>
    </w:tr>
  </w:tbl>
  <w:p w14:paraId="2B3728E8" w14:textId="77777777" w:rsidR="00530B9F" w:rsidRDefault="003D26C6">
    <w:pPr>
      <w:pBdr>
        <w:top w:val="nil"/>
        <w:left w:val="nil"/>
        <w:bottom w:val="nil"/>
        <w:right w:val="nil"/>
        <w:between w:val="nil"/>
      </w:pBdr>
      <w:tabs>
        <w:tab w:val="center" w:pos="4419"/>
        <w:tab w:val="right" w:pos="8838"/>
      </w:tabs>
      <w:spacing w:after="0" w:line="240" w:lineRule="auto"/>
      <w:rPr>
        <w:color w:val="000000"/>
      </w:rPr>
    </w:pPr>
    <w:r>
      <w:rPr>
        <w:color w:val="000000"/>
      </w:rPr>
      <w:pict w14:anchorId="3E91D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516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58006" w14:textId="77777777" w:rsidR="00530B9F" w:rsidRDefault="003D26C6">
    <w:pPr>
      <w:widowControl w:val="0"/>
      <w:pBdr>
        <w:top w:val="nil"/>
        <w:left w:val="nil"/>
        <w:bottom w:val="nil"/>
        <w:right w:val="nil"/>
        <w:between w:val="nil"/>
      </w:pBdr>
      <w:spacing w:after="0" w:line="276" w:lineRule="auto"/>
      <w:jc w:val="left"/>
    </w:pPr>
    <w:r>
      <w:rPr>
        <w:color w:val="000000"/>
      </w:rPr>
      <w:pict w14:anchorId="60B7E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721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530B9F" w14:paraId="34007725" w14:textId="77777777" w:rsidTr="00614BC1">
      <w:trPr>
        <w:trHeight w:val="138"/>
      </w:trPr>
      <w:tc>
        <w:tcPr>
          <w:tcW w:w="2693" w:type="dxa"/>
          <w:vAlign w:val="center"/>
        </w:tcPr>
        <w:p w14:paraId="2FDD160F" w14:textId="77777777" w:rsidR="00530B9F" w:rsidRDefault="00530B9F" w:rsidP="00F01DFE">
          <w:pPr>
            <w:tabs>
              <w:tab w:val="right" w:pos="8838"/>
            </w:tabs>
            <w:ind w:left="-108" w:right="-105"/>
            <w:jc w:val="left"/>
            <w:rPr>
              <w:b/>
            </w:rPr>
          </w:pPr>
        </w:p>
        <w:p w14:paraId="4FA419E9" w14:textId="77777777" w:rsidR="00530B9F" w:rsidRDefault="00530B9F" w:rsidP="00F01DFE">
          <w:pPr>
            <w:tabs>
              <w:tab w:val="right" w:pos="8838"/>
            </w:tabs>
            <w:ind w:left="-108" w:right="-105"/>
            <w:jc w:val="left"/>
            <w:rPr>
              <w:b/>
            </w:rPr>
          </w:pPr>
          <w:r>
            <w:rPr>
              <w:b/>
            </w:rPr>
            <w:t>Recurso de Revisión:</w:t>
          </w:r>
        </w:p>
      </w:tc>
      <w:tc>
        <w:tcPr>
          <w:tcW w:w="3969" w:type="dxa"/>
        </w:tcPr>
        <w:p w14:paraId="6582DF07" w14:textId="77777777" w:rsidR="00530B9F" w:rsidRPr="00EF0C39" w:rsidRDefault="00530B9F" w:rsidP="00F01DFE">
          <w:pPr>
            <w:tabs>
              <w:tab w:val="right" w:pos="8838"/>
            </w:tabs>
            <w:ind w:right="57"/>
          </w:pPr>
        </w:p>
        <w:p w14:paraId="68B2F225" w14:textId="085E3401" w:rsidR="00530B9F" w:rsidRPr="00EF0C39" w:rsidRDefault="00530B9F" w:rsidP="00A1524C">
          <w:pPr>
            <w:tabs>
              <w:tab w:val="right" w:pos="8838"/>
            </w:tabs>
            <w:ind w:right="57"/>
          </w:pPr>
          <w:r>
            <w:rPr>
              <w:bCs/>
            </w:rPr>
            <w:t>03061/INFOEM/IP/RR/2026</w:t>
          </w:r>
        </w:p>
      </w:tc>
    </w:tr>
    <w:tr w:rsidR="00530B9F" w14:paraId="2B0DB3E1" w14:textId="77777777" w:rsidTr="00614BC1">
      <w:trPr>
        <w:trHeight w:val="273"/>
      </w:trPr>
      <w:tc>
        <w:tcPr>
          <w:tcW w:w="2693" w:type="dxa"/>
        </w:tcPr>
        <w:p w14:paraId="10E78A08" w14:textId="77777777" w:rsidR="00530B9F" w:rsidRDefault="00530B9F" w:rsidP="00F01DFE">
          <w:pPr>
            <w:tabs>
              <w:tab w:val="right" w:pos="8838"/>
            </w:tabs>
            <w:ind w:left="-108" w:right="-105"/>
            <w:rPr>
              <w:b/>
            </w:rPr>
          </w:pPr>
          <w:r>
            <w:rPr>
              <w:b/>
            </w:rPr>
            <w:t>Sujeto Obligado:</w:t>
          </w:r>
        </w:p>
      </w:tc>
      <w:tc>
        <w:tcPr>
          <w:tcW w:w="3969" w:type="dxa"/>
        </w:tcPr>
        <w:p w14:paraId="1DA7023E" w14:textId="4DC233C2" w:rsidR="00530B9F" w:rsidRPr="00EF0C39" w:rsidRDefault="00530B9F" w:rsidP="00F01DFE">
          <w:pPr>
            <w:tabs>
              <w:tab w:val="right" w:pos="8838"/>
            </w:tabs>
            <w:ind w:right="180"/>
          </w:pPr>
          <w:r>
            <w:t>Ayuntamiento de Ixtapaluca</w:t>
          </w:r>
        </w:p>
      </w:tc>
    </w:tr>
    <w:tr w:rsidR="00530B9F" w14:paraId="5F014167" w14:textId="77777777" w:rsidTr="00614BC1">
      <w:trPr>
        <w:trHeight w:val="273"/>
      </w:trPr>
      <w:tc>
        <w:tcPr>
          <w:tcW w:w="2693" w:type="dxa"/>
        </w:tcPr>
        <w:p w14:paraId="47BA90C9" w14:textId="77777777" w:rsidR="00530B9F" w:rsidRDefault="00530B9F" w:rsidP="00F01DFE">
          <w:pPr>
            <w:tabs>
              <w:tab w:val="right" w:pos="8838"/>
            </w:tabs>
            <w:ind w:left="-108" w:right="-105"/>
            <w:rPr>
              <w:b/>
            </w:rPr>
          </w:pPr>
          <w:r>
            <w:rPr>
              <w:b/>
            </w:rPr>
            <w:t>Comisionado Ponente:</w:t>
          </w:r>
        </w:p>
      </w:tc>
      <w:tc>
        <w:tcPr>
          <w:tcW w:w="3969" w:type="dxa"/>
        </w:tcPr>
        <w:p w14:paraId="5B5144E3" w14:textId="77777777" w:rsidR="00530B9F" w:rsidRPr="00EF0C39" w:rsidRDefault="00530B9F" w:rsidP="00F01DFE">
          <w:pPr>
            <w:tabs>
              <w:tab w:val="right" w:pos="8838"/>
            </w:tabs>
            <w:ind w:right="-170"/>
          </w:pPr>
          <w:r w:rsidRPr="00EF0C39">
            <w:t>Luis Gustavo Parra Noriega</w:t>
          </w:r>
        </w:p>
        <w:p w14:paraId="57CC9872" w14:textId="77777777" w:rsidR="00530B9F" w:rsidRPr="00EF0C39" w:rsidRDefault="00530B9F" w:rsidP="00F01DFE">
          <w:pPr>
            <w:tabs>
              <w:tab w:val="right" w:pos="8838"/>
            </w:tabs>
            <w:ind w:right="-170"/>
            <w:rPr>
              <w:b/>
            </w:rPr>
          </w:pPr>
        </w:p>
      </w:tc>
    </w:tr>
  </w:tbl>
  <w:p w14:paraId="4E36ED26" w14:textId="77777777" w:rsidR="00530B9F" w:rsidRDefault="00530B9F" w:rsidP="00F01DFE">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DD955" w14:textId="77777777" w:rsidR="00530B9F" w:rsidRDefault="00530B9F">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530B9F" w14:paraId="37A11A14" w14:textId="77777777" w:rsidTr="00F01DFE">
      <w:trPr>
        <w:trHeight w:val="132"/>
      </w:trPr>
      <w:tc>
        <w:tcPr>
          <w:tcW w:w="2551" w:type="dxa"/>
        </w:tcPr>
        <w:p w14:paraId="22F76EA4" w14:textId="77777777" w:rsidR="00530B9F" w:rsidRDefault="00530B9F">
          <w:pPr>
            <w:tabs>
              <w:tab w:val="right" w:pos="8838"/>
            </w:tabs>
            <w:ind w:right="-105"/>
            <w:rPr>
              <w:b/>
            </w:rPr>
          </w:pPr>
          <w:r>
            <w:rPr>
              <w:b/>
            </w:rPr>
            <w:t>Recurso de Revisión:</w:t>
          </w:r>
        </w:p>
      </w:tc>
      <w:tc>
        <w:tcPr>
          <w:tcW w:w="4253" w:type="dxa"/>
        </w:tcPr>
        <w:p w14:paraId="095C5E7A" w14:textId="70413A0F" w:rsidR="00530B9F" w:rsidRPr="00026C6B" w:rsidRDefault="00530B9F" w:rsidP="00F01DFE">
          <w:r>
            <w:rPr>
              <w:bCs/>
            </w:rPr>
            <w:t>03061/INFOEM/IP/RR/2026</w:t>
          </w:r>
        </w:p>
      </w:tc>
    </w:tr>
    <w:tr w:rsidR="00530B9F" w14:paraId="6629FFB3" w14:textId="77777777" w:rsidTr="00F01DFE">
      <w:trPr>
        <w:trHeight w:val="132"/>
      </w:trPr>
      <w:tc>
        <w:tcPr>
          <w:tcW w:w="2551" w:type="dxa"/>
        </w:tcPr>
        <w:p w14:paraId="3A724E1A" w14:textId="77777777" w:rsidR="00530B9F" w:rsidRDefault="00530B9F">
          <w:pPr>
            <w:tabs>
              <w:tab w:val="left" w:pos="1875"/>
            </w:tabs>
            <w:ind w:right="-105"/>
            <w:rPr>
              <w:b/>
            </w:rPr>
          </w:pPr>
          <w:r>
            <w:rPr>
              <w:b/>
            </w:rPr>
            <w:t>Recurrente:</w:t>
          </w:r>
          <w:r>
            <w:rPr>
              <w:b/>
            </w:rPr>
            <w:tab/>
          </w:r>
        </w:p>
      </w:tc>
      <w:tc>
        <w:tcPr>
          <w:tcW w:w="4253" w:type="dxa"/>
        </w:tcPr>
        <w:p w14:paraId="4E2B174F" w14:textId="2E48853A" w:rsidR="00530B9F" w:rsidRPr="00EF0C39" w:rsidRDefault="00530B9F" w:rsidP="00F01DFE">
          <w:pPr>
            <w:tabs>
              <w:tab w:val="right" w:pos="8838"/>
            </w:tabs>
            <w:ind w:right="-250"/>
          </w:pPr>
        </w:p>
      </w:tc>
    </w:tr>
    <w:tr w:rsidR="00530B9F" w14:paraId="1FA7C556" w14:textId="77777777" w:rsidTr="00F01DFE">
      <w:trPr>
        <w:trHeight w:val="261"/>
      </w:trPr>
      <w:tc>
        <w:tcPr>
          <w:tcW w:w="2551" w:type="dxa"/>
        </w:tcPr>
        <w:p w14:paraId="7443533C" w14:textId="77777777" w:rsidR="00530B9F" w:rsidRDefault="00530B9F">
          <w:pPr>
            <w:tabs>
              <w:tab w:val="right" w:pos="8838"/>
            </w:tabs>
            <w:ind w:right="-105"/>
            <w:rPr>
              <w:b/>
            </w:rPr>
          </w:pPr>
          <w:r>
            <w:rPr>
              <w:b/>
            </w:rPr>
            <w:t>Sujeto Obligado:</w:t>
          </w:r>
        </w:p>
      </w:tc>
      <w:tc>
        <w:tcPr>
          <w:tcW w:w="4253" w:type="dxa"/>
        </w:tcPr>
        <w:p w14:paraId="55DD2380" w14:textId="5D4829D7" w:rsidR="00530B9F" w:rsidRPr="00026C6B" w:rsidRDefault="00530B9F" w:rsidP="00F01DFE">
          <w:pPr>
            <w:ind w:right="459"/>
          </w:pPr>
          <w:r>
            <w:t>Ayuntamiento de Ixtapaluca</w:t>
          </w:r>
        </w:p>
      </w:tc>
    </w:tr>
    <w:tr w:rsidR="00530B9F" w14:paraId="527E0086" w14:textId="77777777" w:rsidTr="00F01DFE">
      <w:trPr>
        <w:trHeight w:val="261"/>
      </w:trPr>
      <w:tc>
        <w:tcPr>
          <w:tcW w:w="2551" w:type="dxa"/>
        </w:tcPr>
        <w:p w14:paraId="024A33EF" w14:textId="77777777" w:rsidR="00530B9F" w:rsidRDefault="00530B9F">
          <w:pPr>
            <w:tabs>
              <w:tab w:val="right" w:pos="8838"/>
            </w:tabs>
            <w:ind w:right="-105"/>
            <w:rPr>
              <w:b/>
            </w:rPr>
          </w:pPr>
          <w:r>
            <w:rPr>
              <w:b/>
            </w:rPr>
            <w:t>Comisionado Ponente:</w:t>
          </w:r>
        </w:p>
      </w:tc>
      <w:tc>
        <w:tcPr>
          <w:tcW w:w="4253" w:type="dxa"/>
        </w:tcPr>
        <w:p w14:paraId="73B71A6F" w14:textId="77777777" w:rsidR="00530B9F" w:rsidRPr="00EF0C39" w:rsidRDefault="00530B9F" w:rsidP="00F01DFE">
          <w:pPr>
            <w:tabs>
              <w:tab w:val="right" w:pos="8838"/>
            </w:tabs>
            <w:ind w:right="-32"/>
            <w:rPr>
              <w:b/>
            </w:rPr>
          </w:pPr>
          <w:r w:rsidRPr="00EF0C39">
            <w:t>Luis Gustavo Parra Noriega</w:t>
          </w:r>
        </w:p>
      </w:tc>
    </w:tr>
  </w:tbl>
  <w:p w14:paraId="46E6EA2C" w14:textId="77777777" w:rsidR="00530B9F" w:rsidRDefault="003D26C6">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761C1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619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A5FCE"/>
    <w:multiLevelType w:val="hybridMultilevel"/>
    <w:tmpl w:val="7C5C4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1004DE"/>
    <w:multiLevelType w:val="hybridMultilevel"/>
    <w:tmpl w:val="B0342C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30CA8"/>
    <w:multiLevelType w:val="hybridMultilevel"/>
    <w:tmpl w:val="7F8ED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867853"/>
    <w:multiLevelType w:val="hybridMultilevel"/>
    <w:tmpl w:val="B7F23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FC150C"/>
    <w:multiLevelType w:val="hybridMultilevel"/>
    <w:tmpl w:val="9056C3CC"/>
    <w:lvl w:ilvl="0" w:tplc="28ACD16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6E5EB9"/>
    <w:multiLevelType w:val="hybridMultilevel"/>
    <w:tmpl w:val="2E5E3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BA3403"/>
    <w:multiLevelType w:val="hybridMultilevel"/>
    <w:tmpl w:val="34CC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2A7779"/>
    <w:multiLevelType w:val="hybridMultilevel"/>
    <w:tmpl w:val="3CD63F5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6A79E0"/>
    <w:multiLevelType w:val="hybridMultilevel"/>
    <w:tmpl w:val="87A09D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02C3E30"/>
    <w:multiLevelType w:val="hybridMultilevel"/>
    <w:tmpl w:val="CEE26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635A7B"/>
    <w:multiLevelType w:val="multilevel"/>
    <w:tmpl w:val="CDCEEB5A"/>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5" w15:restartNumberingAfterBreak="0">
    <w:nsid w:val="32080BC6"/>
    <w:multiLevelType w:val="hybridMultilevel"/>
    <w:tmpl w:val="C966C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AB129A"/>
    <w:multiLevelType w:val="hybridMultilevel"/>
    <w:tmpl w:val="A9CEB614"/>
    <w:lvl w:ilvl="0" w:tplc="1C00B1B6">
      <w:start w:val="2"/>
      <w:numFmt w:val="bullet"/>
      <w:lvlText w:val="-"/>
      <w:lvlJc w:val="left"/>
      <w:pPr>
        <w:ind w:left="4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986658"/>
    <w:multiLevelType w:val="hybridMultilevel"/>
    <w:tmpl w:val="313AC4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1C0E21"/>
    <w:multiLevelType w:val="hybridMultilevel"/>
    <w:tmpl w:val="692891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78555A"/>
    <w:multiLevelType w:val="hybridMultilevel"/>
    <w:tmpl w:val="6368034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549B733C"/>
    <w:multiLevelType w:val="hybridMultilevel"/>
    <w:tmpl w:val="C966C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E2771F"/>
    <w:multiLevelType w:val="hybridMultilevel"/>
    <w:tmpl w:val="65620156"/>
    <w:lvl w:ilvl="0" w:tplc="080A0001">
      <w:start w:val="1"/>
      <w:numFmt w:val="bullet"/>
      <w:lvlText w:val=""/>
      <w:lvlJc w:val="left"/>
      <w:pPr>
        <w:ind w:left="776" w:hanging="360"/>
      </w:pPr>
      <w:rPr>
        <w:rFonts w:ascii="Symbol" w:hAnsi="Symbol"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3" w15:restartNumberingAfterBreak="0">
    <w:nsid w:val="58B97493"/>
    <w:multiLevelType w:val="hybridMultilevel"/>
    <w:tmpl w:val="19BED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ED293F"/>
    <w:multiLevelType w:val="hybridMultilevel"/>
    <w:tmpl w:val="96B41D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5B0C33"/>
    <w:multiLevelType w:val="multilevel"/>
    <w:tmpl w:val="6D82779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6" w15:restartNumberingAfterBreak="0">
    <w:nsid w:val="60A15BBD"/>
    <w:multiLevelType w:val="hybridMultilevel"/>
    <w:tmpl w:val="69E0540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EE28B3"/>
    <w:multiLevelType w:val="hybridMultilevel"/>
    <w:tmpl w:val="27E25804"/>
    <w:lvl w:ilvl="0" w:tplc="8F02AE7A">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164A80"/>
    <w:multiLevelType w:val="hybridMultilevel"/>
    <w:tmpl w:val="5BE6F16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4152E1"/>
    <w:multiLevelType w:val="multilevel"/>
    <w:tmpl w:val="A8D2078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6FE567E1"/>
    <w:multiLevelType w:val="hybridMultilevel"/>
    <w:tmpl w:val="05945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0F95FA6"/>
    <w:multiLevelType w:val="hybridMultilevel"/>
    <w:tmpl w:val="01F211CE"/>
    <w:lvl w:ilvl="0" w:tplc="1C00B1B6">
      <w:start w:val="2"/>
      <w:numFmt w:val="bullet"/>
      <w:lvlText w:val="-"/>
      <w:lvlJc w:val="left"/>
      <w:pPr>
        <w:ind w:left="420" w:hanging="360"/>
      </w:pPr>
      <w:rPr>
        <w:rFonts w:ascii="Palatino Linotype" w:eastAsia="Palatino Linotype" w:hAnsi="Palatino Linotype" w:cs="Palatino Linotype"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2" w15:restartNumberingAfterBreak="0">
    <w:nsid w:val="76F849F7"/>
    <w:multiLevelType w:val="hybridMultilevel"/>
    <w:tmpl w:val="90E2C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E901F8"/>
    <w:multiLevelType w:val="hybridMultilevel"/>
    <w:tmpl w:val="928A5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5"/>
  </w:num>
  <w:num w:numId="6">
    <w:abstractNumId w:val="7"/>
  </w:num>
  <w:num w:numId="7">
    <w:abstractNumId w:val="30"/>
  </w:num>
  <w:num w:numId="8">
    <w:abstractNumId w:val="34"/>
  </w:num>
  <w:num w:numId="9">
    <w:abstractNumId w:val="4"/>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17"/>
  </w:num>
  <w:num w:numId="17">
    <w:abstractNumId w:val="27"/>
  </w:num>
  <w:num w:numId="18">
    <w:abstractNumId w:val="23"/>
  </w:num>
  <w:num w:numId="19">
    <w:abstractNumId w:val="5"/>
  </w:num>
  <w:num w:numId="20">
    <w:abstractNumId w:val="8"/>
  </w:num>
  <w:num w:numId="21">
    <w:abstractNumId w:val="18"/>
  </w:num>
  <w:num w:numId="22">
    <w:abstractNumId w:val="33"/>
  </w:num>
  <w:num w:numId="23">
    <w:abstractNumId w:val="1"/>
  </w:num>
  <w:num w:numId="24">
    <w:abstractNumId w:val="11"/>
  </w:num>
  <w:num w:numId="25">
    <w:abstractNumId w:val="13"/>
  </w:num>
  <w:num w:numId="26">
    <w:abstractNumId w:val="9"/>
  </w:num>
  <w:num w:numId="27">
    <w:abstractNumId w:val="24"/>
  </w:num>
  <w:num w:numId="28">
    <w:abstractNumId w:val="20"/>
  </w:num>
  <w:num w:numId="29">
    <w:abstractNumId w:val="32"/>
  </w:num>
  <w:num w:numId="30">
    <w:abstractNumId w:val="10"/>
  </w:num>
  <w:num w:numId="31">
    <w:abstractNumId w:val="19"/>
  </w:num>
  <w:num w:numId="32">
    <w:abstractNumId w:val="2"/>
  </w:num>
  <w:num w:numId="33">
    <w:abstractNumId w:val="26"/>
  </w:num>
  <w:num w:numId="34">
    <w:abstractNumId w:val="28"/>
  </w:num>
  <w:num w:numId="35">
    <w:abstractNumId w:val="22"/>
  </w:num>
  <w:num w:numId="36">
    <w:abstractNumId w:val="3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70"/>
    <w:rsid w:val="00016117"/>
    <w:rsid w:val="000419E8"/>
    <w:rsid w:val="00063184"/>
    <w:rsid w:val="0008435F"/>
    <w:rsid w:val="000917C9"/>
    <w:rsid w:val="000C4778"/>
    <w:rsid w:val="000D2525"/>
    <w:rsid w:val="00131D7F"/>
    <w:rsid w:val="00143FCF"/>
    <w:rsid w:val="0015628E"/>
    <w:rsid w:val="00193091"/>
    <w:rsid w:val="001A1FAC"/>
    <w:rsid w:val="001D67F9"/>
    <w:rsid w:val="00222E8E"/>
    <w:rsid w:val="00232DDB"/>
    <w:rsid w:val="002877B3"/>
    <w:rsid w:val="00287E1F"/>
    <w:rsid w:val="002B4D06"/>
    <w:rsid w:val="002C30E7"/>
    <w:rsid w:val="00324764"/>
    <w:rsid w:val="003D26C6"/>
    <w:rsid w:val="003E3A93"/>
    <w:rsid w:val="00430411"/>
    <w:rsid w:val="00442970"/>
    <w:rsid w:val="00461242"/>
    <w:rsid w:val="00485DF6"/>
    <w:rsid w:val="004A0142"/>
    <w:rsid w:val="00520FDF"/>
    <w:rsid w:val="00530B9F"/>
    <w:rsid w:val="005367AC"/>
    <w:rsid w:val="005871CC"/>
    <w:rsid w:val="005F1CB3"/>
    <w:rsid w:val="00600DB8"/>
    <w:rsid w:val="00614BC1"/>
    <w:rsid w:val="0064108C"/>
    <w:rsid w:val="00690AC9"/>
    <w:rsid w:val="00690D60"/>
    <w:rsid w:val="006A314A"/>
    <w:rsid w:val="006C3002"/>
    <w:rsid w:val="00712496"/>
    <w:rsid w:val="007577BB"/>
    <w:rsid w:val="007A3813"/>
    <w:rsid w:val="007B76BB"/>
    <w:rsid w:val="007F1A9D"/>
    <w:rsid w:val="007F7C91"/>
    <w:rsid w:val="00817DF8"/>
    <w:rsid w:val="0083264D"/>
    <w:rsid w:val="008656D8"/>
    <w:rsid w:val="008B5B4C"/>
    <w:rsid w:val="008E71F9"/>
    <w:rsid w:val="008F4775"/>
    <w:rsid w:val="0090416D"/>
    <w:rsid w:val="00975F76"/>
    <w:rsid w:val="009F5F81"/>
    <w:rsid w:val="00A1524C"/>
    <w:rsid w:val="00A80039"/>
    <w:rsid w:val="00AB0721"/>
    <w:rsid w:val="00AF1EDD"/>
    <w:rsid w:val="00B13677"/>
    <w:rsid w:val="00BB74FE"/>
    <w:rsid w:val="00C75B81"/>
    <w:rsid w:val="00C906E0"/>
    <w:rsid w:val="00CD34CD"/>
    <w:rsid w:val="00CF033F"/>
    <w:rsid w:val="00D131B3"/>
    <w:rsid w:val="00D328F7"/>
    <w:rsid w:val="00D34146"/>
    <w:rsid w:val="00D55454"/>
    <w:rsid w:val="00D711FD"/>
    <w:rsid w:val="00D7165D"/>
    <w:rsid w:val="00DA3C27"/>
    <w:rsid w:val="00DF506B"/>
    <w:rsid w:val="00E66685"/>
    <w:rsid w:val="00E82B0A"/>
    <w:rsid w:val="00E93895"/>
    <w:rsid w:val="00EB5DCC"/>
    <w:rsid w:val="00EB6A4C"/>
    <w:rsid w:val="00F01DFE"/>
    <w:rsid w:val="00F13427"/>
    <w:rsid w:val="00F27EA9"/>
    <w:rsid w:val="00F772A1"/>
    <w:rsid w:val="00FC4FCF"/>
    <w:rsid w:val="00FD0E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C19D61"/>
  <w15:chartTrackingRefBased/>
  <w15:docId w15:val="{DA1E5266-0653-438C-86FD-0F54106D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685"/>
    <w:pPr>
      <w:spacing w:line="254" w:lineRule="auto"/>
      <w:jc w:val="both"/>
    </w:pPr>
    <w:rPr>
      <w:rFonts w:ascii="Palatino Linotype" w:eastAsia="Palatino Linotype" w:hAnsi="Palatino Linotype" w:cs="Palatino Linotype"/>
      <w:color w:val="000000" w:themeColor="text1"/>
      <w:lang w:eastAsia="es-MX"/>
    </w:rPr>
  </w:style>
  <w:style w:type="paragraph" w:styleId="Ttulo1">
    <w:name w:val="heading 1"/>
    <w:basedOn w:val="Normal"/>
    <w:next w:val="Normal"/>
    <w:link w:val="Ttulo1Car"/>
    <w:uiPriority w:val="9"/>
    <w:qFormat/>
    <w:rsid w:val="00E66685"/>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E66685"/>
    <w:pPr>
      <w:keepNext/>
      <w:keepLines/>
      <w:spacing w:before="360" w:after="80"/>
      <w:outlineLvl w:val="1"/>
    </w:pPr>
    <w:rPr>
      <w:b/>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6685"/>
    <w:rPr>
      <w:rFonts w:ascii="Palatino Linotype" w:eastAsia="Palatino Linotype" w:hAnsi="Palatino Linotype" w:cs="Palatino Linotype"/>
      <w:b/>
      <w:color w:val="000000" w:themeColor="text1"/>
      <w:sz w:val="48"/>
      <w:szCs w:val="48"/>
      <w:lang w:eastAsia="es-MX"/>
    </w:rPr>
  </w:style>
  <w:style w:type="character" w:customStyle="1" w:styleId="Ttulo2Car">
    <w:name w:val="Título 2 Car"/>
    <w:basedOn w:val="Fuentedeprrafopredeter"/>
    <w:link w:val="Ttulo2"/>
    <w:uiPriority w:val="9"/>
    <w:rsid w:val="00E66685"/>
    <w:rPr>
      <w:rFonts w:ascii="Palatino Linotype" w:eastAsia="Palatino Linotype" w:hAnsi="Palatino Linotype" w:cs="Palatino Linotype"/>
      <w:b/>
      <w:color w:val="000000" w:themeColor="text1"/>
      <w:sz w:val="36"/>
      <w:szCs w:val="36"/>
      <w:lang w:eastAsia="es-MX"/>
    </w:rPr>
  </w:style>
  <w:style w:type="table" w:customStyle="1" w:styleId="3">
    <w:name w:val="3"/>
    <w:basedOn w:val="Tablanormal"/>
    <w:rsid w:val="00E66685"/>
    <w:pPr>
      <w:spacing w:after="0" w:line="240" w:lineRule="auto"/>
      <w:jc w:val="both"/>
    </w:pPr>
    <w:rPr>
      <w:rFonts w:ascii="Palatino Linotype" w:eastAsia="Palatino Linotype" w:hAnsi="Palatino Linotype" w:cs="Palatino Linotype"/>
    </w:rPr>
    <w:tblPr>
      <w:tblStyleRowBandSize w:val="1"/>
      <w:tblStyleColBandSize w:val="1"/>
      <w:tblInd w:w="0" w:type="nil"/>
    </w:tblPr>
  </w:style>
  <w:style w:type="table" w:customStyle="1" w:styleId="2">
    <w:name w:val="2"/>
    <w:basedOn w:val="Tablanormal"/>
    <w:rsid w:val="00E66685"/>
    <w:pPr>
      <w:spacing w:after="0" w:line="240" w:lineRule="auto"/>
      <w:jc w:val="both"/>
    </w:pPr>
    <w:rPr>
      <w:rFonts w:ascii="Palatino Linotype" w:eastAsia="Palatino Linotype" w:hAnsi="Palatino Linotype" w:cs="Palatino Linotype"/>
    </w:rPr>
    <w:tblPr>
      <w:tblStyleRowBandSize w:val="1"/>
      <w:tblStyleColBandSize w:val="1"/>
      <w:tblInd w:w="0" w:type="nil"/>
    </w:tblPr>
  </w:style>
  <w:style w:type="table" w:customStyle="1" w:styleId="1">
    <w:name w:val="1"/>
    <w:basedOn w:val="Tablanormal"/>
    <w:rsid w:val="00E66685"/>
    <w:pPr>
      <w:spacing w:after="0" w:line="240" w:lineRule="auto"/>
      <w:jc w:val="both"/>
    </w:pPr>
    <w:rPr>
      <w:rFonts w:ascii="Palatino Linotype" w:eastAsia="Palatino Linotype" w:hAnsi="Palatino Linotype" w:cs="Palatino Linotype"/>
    </w:rPr>
    <w:tblPr>
      <w:tblStyleRowBandSize w:val="1"/>
      <w:tblStyleColBandSize w:val="1"/>
      <w:tblInd w:w="0" w:type="nil"/>
    </w:tblPr>
  </w:style>
  <w:style w:type="character" w:styleId="Hipervnculo">
    <w:name w:val="Hyperlink"/>
    <w:aliases w:val="Hipervínculo1,Hipervínculo11,Hipervínculo12,Hipervínculo13,Hipervínculo14,Hipervínculo15"/>
    <w:basedOn w:val="Fuentedeprrafopredeter"/>
    <w:uiPriority w:val="99"/>
    <w:unhideWhenUsed/>
    <w:qFormat/>
    <w:rsid w:val="00E66685"/>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6668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66685"/>
    <w:pPr>
      <w:spacing w:after="0" w:line="240" w:lineRule="auto"/>
      <w:ind w:left="720"/>
      <w:contextualSpacing/>
    </w:pPr>
    <w:rPr>
      <w:rFonts w:asciiTheme="minorHAnsi" w:eastAsia="Times New Roman" w:hAnsiTheme="minorHAnsi" w:cs="Times New Roman"/>
      <w:szCs w:val="24"/>
      <w:lang w:eastAsia="es-ES"/>
    </w:rPr>
  </w:style>
  <w:style w:type="paragraph" w:styleId="TtulodeTDC">
    <w:name w:val="TOC Heading"/>
    <w:basedOn w:val="Ttulo1"/>
    <w:next w:val="Normal"/>
    <w:uiPriority w:val="39"/>
    <w:unhideWhenUsed/>
    <w:qFormat/>
    <w:rsid w:val="00E66685"/>
    <w:pPr>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DC1">
    <w:name w:val="toc 1"/>
    <w:basedOn w:val="Normal"/>
    <w:next w:val="Normal"/>
    <w:autoRedefine/>
    <w:uiPriority w:val="39"/>
    <w:unhideWhenUsed/>
    <w:rsid w:val="00E66685"/>
    <w:pPr>
      <w:spacing w:after="100"/>
    </w:pPr>
  </w:style>
  <w:style w:type="paragraph" w:styleId="TDC2">
    <w:name w:val="toc 2"/>
    <w:basedOn w:val="Normal"/>
    <w:next w:val="Normal"/>
    <w:autoRedefine/>
    <w:uiPriority w:val="39"/>
    <w:unhideWhenUsed/>
    <w:rsid w:val="00E66685"/>
    <w:pPr>
      <w:spacing w:after="100"/>
      <w:ind w:left="220"/>
    </w:pPr>
  </w:style>
  <w:style w:type="table" w:styleId="Tablaconcuadrcula">
    <w:name w:val="Table Grid"/>
    <w:basedOn w:val="Tablanormal"/>
    <w:uiPriority w:val="39"/>
    <w:rsid w:val="00614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ecem.edomex.gob.mx/padron-catastral" TargetMode="External"/><Relationship Id="rId13" Type="http://schemas.openxmlformats.org/officeDocument/2006/relationships/hyperlink" Target="https://www.gob.mx/segob/renapo/acciones-y-programas/clave-unica-de-registro-de%20y%20poblacion-curp-14222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lataformadetransparencia.org.mx/" TargetMode="External"/><Relationship Id="rId12" Type="http://schemas.openxmlformats.org/officeDocument/2006/relationships/hyperlink" Target="https://consultas.curp.gob.mx/CurpSP/html/informacionecurpPS.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8967</Words>
  <Characters>49322</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2026-04-10T17:35:00Z</cp:lastPrinted>
  <dcterms:created xsi:type="dcterms:W3CDTF">2026-04-10T17:35:00Z</dcterms:created>
  <dcterms:modified xsi:type="dcterms:W3CDTF">2026-04-10T17:35:00Z</dcterms:modified>
</cp:coreProperties>
</file>