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C7A" w:rsidRPr="004F49B1" w:rsidRDefault="00D25C7A" w:rsidP="00D25C7A">
      <w:pPr>
        <w:spacing w:before="240" w:after="240" w:line="360" w:lineRule="auto"/>
        <w:jc w:val="both"/>
        <w:rPr>
          <w:rFonts w:ascii="Palatino Linotype" w:hAnsi="Palatino Linotype"/>
          <w:sz w:val="24"/>
          <w:szCs w:val="24"/>
        </w:rPr>
      </w:pPr>
      <w:bookmarkStart w:id="0" w:name="_GoBack"/>
      <w:bookmarkEnd w:id="0"/>
      <w:r w:rsidRPr="004F49B1">
        <w:rPr>
          <w:rFonts w:ascii="Palatino Linotype" w:hAnsi="Palatino Linotype"/>
          <w:sz w:val="24"/>
          <w:szCs w:val="24"/>
        </w:rPr>
        <w:t>Resolución del Pleno del Instituto de Transparencia, Acceso a la Información Pública y Protección de Datos Personales del Estado de México y Municipios, con domicilio e</w:t>
      </w:r>
      <w:r w:rsidR="004F49B1">
        <w:rPr>
          <w:rFonts w:ascii="Palatino Linotype" w:hAnsi="Palatino Linotype"/>
          <w:sz w:val="24"/>
          <w:szCs w:val="24"/>
        </w:rPr>
        <w:t>n Metepec, Estado de México; de fecha</w:t>
      </w:r>
      <w:r w:rsidRPr="004F49B1">
        <w:rPr>
          <w:rFonts w:ascii="Palatino Linotype" w:hAnsi="Palatino Linotype"/>
          <w:sz w:val="24"/>
          <w:szCs w:val="24"/>
        </w:rPr>
        <w:t xml:space="preserve"> </w:t>
      </w:r>
      <w:r w:rsidR="00436B75" w:rsidRPr="004F49B1">
        <w:rPr>
          <w:rFonts w:ascii="Palatino Linotype" w:hAnsi="Palatino Linotype"/>
          <w:sz w:val="24"/>
          <w:szCs w:val="24"/>
        </w:rPr>
        <w:t>veintiocho</w:t>
      </w:r>
      <w:r w:rsidR="005C56A9" w:rsidRPr="004F49B1">
        <w:rPr>
          <w:rFonts w:ascii="Palatino Linotype" w:hAnsi="Palatino Linotype"/>
          <w:sz w:val="24"/>
          <w:szCs w:val="24"/>
        </w:rPr>
        <w:t xml:space="preserve"> </w:t>
      </w:r>
      <w:r w:rsidR="004F49B1">
        <w:rPr>
          <w:rFonts w:ascii="Palatino Linotype" w:hAnsi="Palatino Linotype"/>
          <w:sz w:val="24"/>
          <w:szCs w:val="24"/>
        </w:rPr>
        <w:t xml:space="preserve">(28) </w:t>
      </w:r>
      <w:r w:rsidR="005C56A9" w:rsidRPr="004F49B1">
        <w:rPr>
          <w:rFonts w:ascii="Palatino Linotype" w:hAnsi="Palatino Linotype"/>
          <w:sz w:val="24"/>
          <w:szCs w:val="24"/>
        </w:rPr>
        <w:t>de abril de dos mil veintiséis</w:t>
      </w:r>
      <w:r w:rsidRPr="004F49B1">
        <w:rPr>
          <w:rFonts w:ascii="Palatino Linotype" w:hAnsi="Palatino Linotype"/>
          <w:sz w:val="24"/>
          <w:szCs w:val="24"/>
        </w:rPr>
        <w:t>.</w:t>
      </w:r>
    </w:p>
    <w:p w:rsidR="00D25C7A" w:rsidRPr="004F49B1" w:rsidRDefault="00D25C7A" w:rsidP="00D25C7A">
      <w:pPr>
        <w:pStyle w:val="Encabezado"/>
        <w:spacing w:line="360" w:lineRule="auto"/>
        <w:jc w:val="both"/>
        <w:rPr>
          <w:rFonts w:ascii="Palatino Linotype" w:hAnsi="Palatino Linotype"/>
          <w:sz w:val="24"/>
          <w:szCs w:val="24"/>
        </w:rPr>
      </w:pPr>
      <w:r w:rsidRPr="004F49B1">
        <w:rPr>
          <w:rFonts w:ascii="Palatino Linotype" w:hAnsi="Palatino Linotype"/>
          <w:b/>
          <w:sz w:val="24"/>
          <w:szCs w:val="24"/>
        </w:rPr>
        <w:t>VISTO el</w:t>
      </w:r>
      <w:r w:rsidRPr="004F49B1">
        <w:rPr>
          <w:rFonts w:ascii="Palatino Linotype" w:hAnsi="Palatino Linotype"/>
          <w:sz w:val="24"/>
          <w:szCs w:val="24"/>
        </w:rPr>
        <w:t xml:space="preserve"> expediente electrónico formado con motivo de</w:t>
      </w:r>
      <w:r w:rsidR="005C56A9" w:rsidRPr="004F49B1">
        <w:rPr>
          <w:rFonts w:ascii="Palatino Linotype" w:hAnsi="Palatino Linotype"/>
          <w:sz w:val="24"/>
          <w:szCs w:val="24"/>
        </w:rPr>
        <w:t xml:space="preserve"> </w:t>
      </w:r>
      <w:r w:rsidRPr="004F49B1">
        <w:rPr>
          <w:rFonts w:ascii="Palatino Linotype" w:hAnsi="Palatino Linotype"/>
          <w:sz w:val="24"/>
          <w:szCs w:val="24"/>
        </w:rPr>
        <w:t>l</w:t>
      </w:r>
      <w:r w:rsidR="005C56A9" w:rsidRPr="004F49B1">
        <w:rPr>
          <w:rFonts w:ascii="Palatino Linotype" w:hAnsi="Palatino Linotype"/>
          <w:sz w:val="24"/>
          <w:szCs w:val="24"/>
        </w:rPr>
        <w:t>os</w:t>
      </w:r>
      <w:r w:rsidRPr="004F49B1">
        <w:rPr>
          <w:rFonts w:ascii="Palatino Linotype" w:hAnsi="Palatino Linotype"/>
          <w:sz w:val="24"/>
          <w:szCs w:val="24"/>
        </w:rPr>
        <w:t xml:space="preserve"> recurso</w:t>
      </w:r>
      <w:r w:rsidR="005C56A9" w:rsidRPr="004F49B1">
        <w:rPr>
          <w:rFonts w:ascii="Palatino Linotype" w:hAnsi="Palatino Linotype"/>
          <w:sz w:val="24"/>
          <w:szCs w:val="24"/>
        </w:rPr>
        <w:t>s</w:t>
      </w:r>
      <w:r w:rsidRPr="004F49B1">
        <w:rPr>
          <w:rFonts w:ascii="Palatino Linotype" w:hAnsi="Palatino Linotype"/>
          <w:sz w:val="24"/>
          <w:szCs w:val="24"/>
        </w:rPr>
        <w:t xml:space="preserve"> de revisión </w:t>
      </w:r>
      <w:r w:rsidR="005C56A9" w:rsidRPr="004F49B1">
        <w:rPr>
          <w:rFonts w:ascii="Palatino Linotype" w:eastAsia="Calibri" w:hAnsi="Palatino Linotype" w:cs="Tahoma"/>
          <w:b/>
          <w:bCs/>
          <w:sz w:val="24"/>
          <w:szCs w:val="24"/>
          <w:lang w:eastAsia="en-US"/>
        </w:rPr>
        <w:t>12798/INFOEM/ICR-167</w:t>
      </w:r>
      <w:r w:rsidRPr="004F49B1">
        <w:rPr>
          <w:rFonts w:ascii="Palatino Linotype" w:eastAsia="Calibri" w:hAnsi="Palatino Linotype" w:cs="Tahoma"/>
          <w:b/>
          <w:bCs/>
          <w:sz w:val="24"/>
          <w:szCs w:val="24"/>
          <w:lang w:eastAsia="en-US"/>
        </w:rPr>
        <w:t>/IP/RR/2025</w:t>
      </w:r>
      <w:r w:rsidR="005C56A9" w:rsidRPr="004F49B1">
        <w:rPr>
          <w:rFonts w:ascii="Palatino Linotype" w:eastAsia="Calibri" w:hAnsi="Palatino Linotype" w:cs="Tahoma"/>
          <w:b/>
          <w:bCs/>
          <w:sz w:val="24"/>
          <w:szCs w:val="24"/>
          <w:lang w:eastAsia="en-US"/>
        </w:rPr>
        <w:t xml:space="preserve"> y 14383/INFOEM/IP/RR/2025</w:t>
      </w:r>
      <w:r w:rsidRPr="004F49B1">
        <w:rPr>
          <w:rFonts w:ascii="Palatino Linotype" w:hAnsi="Palatino Linotype" w:cs="Arial"/>
          <w:b/>
          <w:bCs/>
          <w:sz w:val="24"/>
          <w:szCs w:val="24"/>
        </w:rPr>
        <w:t xml:space="preserve">, </w:t>
      </w:r>
      <w:r w:rsidRPr="004F49B1">
        <w:rPr>
          <w:rFonts w:ascii="Palatino Linotype" w:hAnsi="Palatino Linotype"/>
          <w:sz w:val="24"/>
          <w:szCs w:val="24"/>
        </w:rPr>
        <w:t>promovido</w:t>
      </w:r>
      <w:r w:rsidR="005C56A9" w:rsidRPr="004F49B1">
        <w:rPr>
          <w:rFonts w:ascii="Palatino Linotype" w:hAnsi="Palatino Linotype"/>
          <w:sz w:val="24"/>
          <w:szCs w:val="24"/>
        </w:rPr>
        <w:t>s</w:t>
      </w:r>
      <w:r w:rsidRPr="004F49B1">
        <w:rPr>
          <w:rFonts w:ascii="Palatino Linotype" w:hAnsi="Palatino Linotype"/>
          <w:sz w:val="24"/>
          <w:szCs w:val="24"/>
        </w:rPr>
        <w:t xml:space="preserve"> por </w:t>
      </w:r>
      <w:r w:rsidR="00117DB2">
        <w:rPr>
          <w:rFonts w:ascii="Palatino Linotype" w:hAnsi="Palatino Linotype"/>
          <w:b/>
          <w:bCs/>
          <w:sz w:val="24"/>
          <w:szCs w:val="24"/>
        </w:rPr>
        <w:t>XXXX</w:t>
      </w:r>
      <w:r w:rsidRPr="004F49B1">
        <w:rPr>
          <w:rFonts w:ascii="Palatino Linotype" w:eastAsia="Calibri" w:hAnsi="Palatino Linotype" w:cs="Tahoma"/>
          <w:b/>
          <w:sz w:val="24"/>
          <w:szCs w:val="24"/>
          <w:lang w:eastAsia="en-US"/>
        </w:rPr>
        <w:t>,</w:t>
      </w:r>
      <w:r w:rsidRPr="004F49B1">
        <w:rPr>
          <w:rFonts w:ascii="Palatino Linotype" w:hAnsi="Palatino Linotype"/>
          <w:sz w:val="24"/>
          <w:szCs w:val="24"/>
        </w:rPr>
        <w:t xml:space="preserve"> en su calidad de </w:t>
      </w:r>
      <w:r w:rsidRPr="004F49B1">
        <w:rPr>
          <w:rFonts w:ascii="Palatino Linotype" w:hAnsi="Palatino Linotype"/>
          <w:b/>
          <w:sz w:val="24"/>
          <w:szCs w:val="24"/>
        </w:rPr>
        <w:t>RECURRENTE</w:t>
      </w:r>
      <w:r w:rsidRPr="004F49B1">
        <w:rPr>
          <w:rFonts w:ascii="Palatino Linotype" w:hAnsi="Palatino Linotype" w:cs="Arial"/>
          <w:sz w:val="24"/>
          <w:szCs w:val="24"/>
        </w:rPr>
        <w:t xml:space="preserve">, en contra de la falta de respuesta del </w:t>
      </w:r>
      <w:r w:rsidRPr="004F49B1">
        <w:rPr>
          <w:rFonts w:ascii="Palatino Linotype" w:eastAsia="Calibri" w:hAnsi="Palatino Linotype" w:cs="Tahoma"/>
          <w:b/>
          <w:bCs/>
          <w:sz w:val="24"/>
          <w:szCs w:val="24"/>
          <w:lang w:eastAsia="en-US"/>
        </w:rPr>
        <w:t xml:space="preserve">Ayuntamiento de </w:t>
      </w:r>
      <w:r w:rsidR="005C56A9" w:rsidRPr="004F49B1">
        <w:rPr>
          <w:rFonts w:ascii="Palatino Linotype" w:eastAsia="Calibri" w:hAnsi="Palatino Linotype" w:cs="Tahoma"/>
          <w:b/>
          <w:bCs/>
          <w:sz w:val="24"/>
          <w:szCs w:val="24"/>
          <w:lang w:eastAsia="en-US"/>
        </w:rPr>
        <w:t>Tepotzotlán</w:t>
      </w:r>
      <w:r w:rsidRPr="004F49B1">
        <w:rPr>
          <w:rFonts w:ascii="Palatino Linotype" w:hAnsi="Palatino Linotype" w:cs="Arial"/>
          <w:sz w:val="24"/>
          <w:szCs w:val="24"/>
        </w:rPr>
        <w:t>,</w:t>
      </w:r>
      <w:r w:rsidRPr="004F49B1">
        <w:rPr>
          <w:rFonts w:ascii="Palatino Linotype" w:hAnsi="Palatino Linotype"/>
          <w:b/>
          <w:sz w:val="24"/>
          <w:szCs w:val="24"/>
        </w:rPr>
        <w:t xml:space="preserve"> </w:t>
      </w:r>
      <w:r w:rsidRPr="004F49B1">
        <w:rPr>
          <w:rFonts w:ascii="Palatino Linotype" w:hAnsi="Palatino Linotype"/>
          <w:sz w:val="24"/>
          <w:szCs w:val="24"/>
        </w:rPr>
        <w:t>en lo sucesivo el</w:t>
      </w:r>
      <w:r w:rsidRPr="004F49B1">
        <w:rPr>
          <w:rFonts w:ascii="Palatino Linotype" w:hAnsi="Palatino Linotype"/>
          <w:b/>
          <w:sz w:val="24"/>
          <w:szCs w:val="24"/>
        </w:rPr>
        <w:t xml:space="preserve"> SUJETO OBLIGADO, </w:t>
      </w:r>
      <w:r w:rsidRPr="004F49B1">
        <w:rPr>
          <w:rFonts w:ascii="Palatino Linotype" w:hAnsi="Palatino Linotype"/>
          <w:sz w:val="24"/>
          <w:szCs w:val="24"/>
        </w:rPr>
        <w:t>se procede a dictar la presente resolución, con base en los siguientes:</w:t>
      </w:r>
    </w:p>
    <w:p w:rsidR="00D25C7A" w:rsidRPr="004F49B1" w:rsidRDefault="00D25C7A" w:rsidP="00D25C7A">
      <w:pPr>
        <w:pStyle w:val="Ttulo1"/>
        <w:jc w:val="center"/>
        <w:rPr>
          <w:rFonts w:ascii="Palatino Linotype" w:hAnsi="Palatino Linotype"/>
          <w:b/>
          <w:color w:val="auto"/>
          <w:sz w:val="24"/>
          <w:szCs w:val="24"/>
        </w:rPr>
      </w:pPr>
      <w:bookmarkStart w:id="1" w:name="_Toc87549671"/>
      <w:r w:rsidRPr="004F49B1">
        <w:rPr>
          <w:rFonts w:ascii="Palatino Linotype" w:hAnsi="Palatino Linotype"/>
          <w:b/>
          <w:color w:val="auto"/>
          <w:sz w:val="24"/>
          <w:szCs w:val="24"/>
        </w:rPr>
        <w:t>A</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N</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T</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E</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C</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E</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D</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E</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N</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T</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E</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S</w:t>
      </w:r>
      <w:bookmarkEnd w:id="1"/>
    </w:p>
    <w:p w:rsidR="00D25C7A" w:rsidRPr="004F49B1" w:rsidRDefault="00D25C7A" w:rsidP="00D25C7A">
      <w:pPr>
        <w:rPr>
          <w:rFonts w:ascii="Palatino Linotype" w:hAnsi="Palatino Linotype"/>
          <w:sz w:val="24"/>
          <w:szCs w:val="24"/>
          <w:lang w:eastAsia="en-US"/>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Arial"/>
          <w:sz w:val="24"/>
          <w:lang w:val="es-ES"/>
        </w:rPr>
      </w:pPr>
      <w:r w:rsidRPr="004F49B1">
        <w:rPr>
          <w:rFonts w:ascii="Palatino Linotype" w:eastAsia="Calibri" w:hAnsi="Palatino Linotype" w:cs="Arial"/>
          <w:sz w:val="24"/>
          <w:lang w:val="es-ES"/>
        </w:rPr>
        <w:t xml:space="preserve">El </w:t>
      </w:r>
      <w:r w:rsidR="005C56A9" w:rsidRPr="004F49B1">
        <w:rPr>
          <w:rFonts w:ascii="Palatino Linotype" w:eastAsia="Calibri" w:hAnsi="Palatino Linotype" w:cs="Arial"/>
          <w:b/>
          <w:sz w:val="24"/>
          <w:lang w:val="es-ES"/>
        </w:rPr>
        <w:t xml:space="preserve">nueve y veintiuno de noviembre </w:t>
      </w:r>
      <w:r w:rsidRPr="004F49B1">
        <w:rPr>
          <w:rFonts w:ascii="Palatino Linotype" w:eastAsia="Calibri" w:hAnsi="Palatino Linotype" w:cs="Arial"/>
          <w:b/>
          <w:sz w:val="24"/>
          <w:lang w:val="es-ES"/>
        </w:rPr>
        <w:t xml:space="preserve"> de dos mil veinticinco</w:t>
      </w:r>
      <w:r w:rsidRPr="004F49B1">
        <w:rPr>
          <w:rFonts w:ascii="Palatino Linotype" w:eastAsia="Calibri" w:hAnsi="Palatino Linotype" w:cs="Arial"/>
          <w:sz w:val="24"/>
          <w:lang w:val="es-ES"/>
        </w:rPr>
        <w:t>,</w:t>
      </w:r>
      <w:r w:rsidRPr="004F49B1">
        <w:rPr>
          <w:rFonts w:ascii="Palatino Linotype" w:eastAsia="Calibri" w:hAnsi="Palatino Linotype"/>
          <w:sz w:val="24"/>
          <w:lang w:val="es-ES"/>
        </w:rPr>
        <w:t xml:space="preserve"> </w:t>
      </w:r>
      <w:r w:rsidRPr="004F49B1">
        <w:rPr>
          <w:rFonts w:ascii="Palatino Linotype" w:eastAsia="Calibri" w:hAnsi="Palatino Linotype"/>
          <w:b/>
          <w:sz w:val="24"/>
          <w:lang w:val="es-ES"/>
        </w:rPr>
        <w:t xml:space="preserve">EL RECURRENTE </w:t>
      </w:r>
      <w:r w:rsidRPr="004F49B1">
        <w:rPr>
          <w:rFonts w:ascii="Palatino Linotype" w:eastAsia="Calibri" w:hAnsi="Palatino Linotype"/>
          <w:bCs/>
          <w:sz w:val="24"/>
          <w:lang w:val="es-ES"/>
        </w:rPr>
        <w:t>presentó</w:t>
      </w:r>
      <w:r w:rsidRPr="004F49B1">
        <w:rPr>
          <w:rFonts w:ascii="Palatino Linotype" w:hAnsi="Palatino Linotype"/>
          <w:b/>
          <w:sz w:val="24"/>
        </w:rPr>
        <w:t>,</w:t>
      </w:r>
      <w:r w:rsidRPr="004F49B1">
        <w:rPr>
          <w:rFonts w:ascii="Palatino Linotype" w:eastAsia="Calibri" w:hAnsi="Palatino Linotype" w:cs="Arial"/>
          <w:sz w:val="24"/>
          <w:lang w:val="es-ES"/>
        </w:rPr>
        <w:t xml:space="preserve"> ante el </w:t>
      </w:r>
      <w:r w:rsidRPr="004F49B1">
        <w:rPr>
          <w:rFonts w:ascii="Palatino Linotype" w:eastAsia="Calibri" w:hAnsi="Palatino Linotype" w:cs="Arial"/>
          <w:b/>
          <w:sz w:val="24"/>
          <w:lang w:val="es-ES"/>
        </w:rPr>
        <w:t>SUJETO OBLIGADO</w:t>
      </w:r>
      <w:r w:rsidRPr="004F49B1">
        <w:rPr>
          <w:rFonts w:ascii="Palatino Linotype" w:eastAsia="Calibri" w:hAnsi="Palatino Linotype" w:cs="Arial"/>
          <w:sz w:val="24"/>
        </w:rPr>
        <w:t xml:space="preserve"> vía </w:t>
      </w:r>
      <w:r w:rsidRPr="004F49B1">
        <w:rPr>
          <w:rFonts w:ascii="Palatino Linotype" w:eastAsia="Calibri" w:hAnsi="Palatino Linotype" w:cs="Arial"/>
          <w:sz w:val="24"/>
          <w:lang w:val="es-ES"/>
        </w:rPr>
        <w:t>Sistema de Acceso a la Información Mexiquense (</w:t>
      </w:r>
      <w:r w:rsidRPr="004F49B1">
        <w:rPr>
          <w:rFonts w:ascii="Palatino Linotype" w:eastAsia="Calibri" w:hAnsi="Palatino Linotype" w:cs="Arial"/>
          <w:b/>
          <w:sz w:val="24"/>
          <w:lang w:val="es-ES"/>
        </w:rPr>
        <w:t>SAIMEX)</w:t>
      </w:r>
      <w:r w:rsidRPr="004F49B1">
        <w:rPr>
          <w:rFonts w:ascii="Palatino Linotype" w:eastAsia="Calibri" w:hAnsi="Palatino Linotype" w:cs="Arial"/>
          <w:sz w:val="24"/>
          <w:lang w:val="es-ES"/>
        </w:rPr>
        <w:t>, la</w:t>
      </w:r>
      <w:r w:rsidR="005C56A9" w:rsidRPr="004F49B1">
        <w:rPr>
          <w:rFonts w:ascii="Palatino Linotype" w:eastAsia="Calibri" w:hAnsi="Palatino Linotype" w:cs="Arial"/>
          <w:sz w:val="24"/>
          <w:lang w:val="es-ES"/>
        </w:rPr>
        <w:t>s</w:t>
      </w:r>
      <w:r w:rsidRPr="004F49B1">
        <w:rPr>
          <w:rFonts w:ascii="Palatino Linotype" w:eastAsia="Calibri" w:hAnsi="Palatino Linotype" w:cs="Arial"/>
          <w:sz w:val="24"/>
          <w:lang w:val="es-ES"/>
        </w:rPr>
        <w:t xml:space="preserve"> solicitud</w:t>
      </w:r>
      <w:r w:rsidR="005C56A9" w:rsidRPr="004F49B1">
        <w:rPr>
          <w:rFonts w:ascii="Palatino Linotype" w:eastAsia="Calibri" w:hAnsi="Palatino Linotype" w:cs="Arial"/>
          <w:sz w:val="24"/>
          <w:lang w:val="es-ES"/>
        </w:rPr>
        <w:t>es</w:t>
      </w:r>
      <w:r w:rsidRPr="004F49B1">
        <w:rPr>
          <w:rFonts w:ascii="Palatino Linotype" w:eastAsia="Calibri" w:hAnsi="Palatino Linotype" w:cs="Arial"/>
          <w:sz w:val="24"/>
          <w:lang w:val="es-ES"/>
        </w:rPr>
        <w:t xml:space="preserve"> de información pública registrada</w:t>
      </w:r>
      <w:r w:rsidR="005C56A9" w:rsidRPr="004F49B1">
        <w:rPr>
          <w:rFonts w:ascii="Palatino Linotype" w:eastAsia="Calibri" w:hAnsi="Palatino Linotype" w:cs="Arial"/>
          <w:sz w:val="24"/>
          <w:lang w:val="es-ES"/>
        </w:rPr>
        <w:t>s con los</w:t>
      </w:r>
      <w:r w:rsidRPr="004F49B1">
        <w:rPr>
          <w:rFonts w:ascii="Palatino Linotype" w:eastAsia="Calibri" w:hAnsi="Palatino Linotype" w:cs="Arial"/>
          <w:sz w:val="24"/>
          <w:lang w:val="es-ES"/>
        </w:rPr>
        <w:t xml:space="preserve"> número</w:t>
      </w:r>
      <w:r w:rsidR="005C56A9" w:rsidRPr="004F49B1">
        <w:rPr>
          <w:rFonts w:ascii="Palatino Linotype" w:eastAsia="Calibri" w:hAnsi="Palatino Linotype" w:cs="Arial"/>
          <w:sz w:val="24"/>
          <w:lang w:val="es-ES"/>
        </w:rPr>
        <w:t>s</w:t>
      </w:r>
      <w:r w:rsidRPr="004F49B1">
        <w:rPr>
          <w:rFonts w:ascii="Palatino Linotype" w:eastAsia="Calibri" w:hAnsi="Palatino Linotype" w:cs="Arial"/>
          <w:sz w:val="24"/>
          <w:lang w:val="es-ES"/>
        </w:rPr>
        <w:t xml:space="preserve"> </w:t>
      </w:r>
      <w:r w:rsidR="005C56A9" w:rsidRPr="004F49B1">
        <w:rPr>
          <w:rFonts w:ascii="Palatino Linotype" w:eastAsia="Calibri" w:hAnsi="Palatino Linotype" w:cs="Arial"/>
          <w:b/>
          <w:bCs/>
          <w:sz w:val="24"/>
          <w:lang w:val="es-ES_tradnl"/>
        </w:rPr>
        <w:t>00659</w:t>
      </w:r>
      <w:r w:rsidR="00955F78" w:rsidRPr="004F49B1">
        <w:rPr>
          <w:rFonts w:ascii="Palatino Linotype" w:eastAsia="Calibri" w:hAnsi="Palatino Linotype" w:cs="Arial"/>
          <w:b/>
          <w:bCs/>
          <w:sz w:val="24"/>
          <w:lang w:val="es-ES_tradnl"/>
        </w:rPr>
        <w:t>/</w:t>
      </w:r>
      <w:r w:rsidR="005C56A9" w:rsidRPr="004F49B1">
        <w:rPr>
          <w:rFonts w:ascii="Palatino Linotype" w:eastAsia="Calibri" w:hAnsi="Palatino Linotype" w:cs="Arial"/>
          <w:b/>
          <w:bCs/>
          <w:sz w:val="24"/>
          <w:lang w:val="es-ES_tradnl"/>
        </w:rPr>
        <w:t>TEPOTZOT</w:t>
      </w:r>
      <w:r w:rsidR="00955F78" w:rsidRPr="004F49B1">
        <w:rPr>
          <w:rFonts w:ascii="Palatino Linotype" w:eastAsia="Calibri" w:hAnsi="Palatino Linotype" w:cs="Arial"/>
          <w:b/>
          <w:bCs/>
          <w:sz w:val="24"/>
          <w:lang w:val="es-ES_tradnl"/>
        </w:rPr>
        <w:t>/IP/2025</w:t>
      </w:r>
      <w:r w:rsidR="005C56A9" w:rsidRPr="004F49B1">
        <w:rPr>
          <w:rFonts w:ascii="Palatino Linotype" w:eastAsia="Calibri" w:hAnsi="Palatino Linotype" w:cs="Arial"/>
          <w:b/>
          <w:bCs/>
          <w:sz w:val="24"/>
          <w:lang w:val="es-ES_tradnl"/>
        </w:rPr>
        <w:t xml:space="preserve"> y 01352/TEPOTZOT/IP/2025</w:t>
      </w:r>
      <w:r w:rsidRPr="004F49B1">
        <w:rPr>
          <w:rFonts w:ascii="Palatino Linotype" w:eastAsia="Calibri" w:hAnsi="Palatino Linotype" w:cs="Arial"/>
          <w:b/>
          <w:bCs/>
          <w:sz w:val="24"/>
        </w:rPr>
        <w:t xml:space="preserve">, </w:t>
      </w:r>
      <w:r w:rsidR="005C56A9" w:rsidRPr="004F49B1">
        <w:rPr>
          <w:rFonts w:ascii="Palatino Linotype" w:eastAsia="Calibri" w:hAnsi="Palatino Linotype" w:cs="Arial"/>
          <w:sz w:val="24"/>
          <w:lang w:val="es-ES"/>
        </w:rPr>
        <w:t>mediante los</w:t>
      </w:r>
      <w:r w:rsidRPr="004F49B1">
        <w:rPr>
          <w:rFonts w:ascii="Palatino Linotype" w:eastAsia="Calibri" w:hAnsi="Palatino Linotype" w:cs="Arial"/>
          <w:sz w:val="24"/>
          <w:lang w:val="es-ES"/>
        </w:rPr>
        <w:t xml:space="preserve"> cual</w:t>
      </w:r>
      <w:r w:rsidR="005C56A9" w:rsidRPr="004F49B1">
        <w:rPr>
          <w:rFonts w:ascii="Palatino Linotype" w:eastAsia="Calibri" w:hAnsi="Palatino Linotype" w:cs="Arial"/>
          <w:sz w:val="24"/>
          <w:lang w:val="es-ES"/>
        </w:rPr>
        <w:t>es</w:t>
      </w:r>
      <w:r w:rsidRPr="004F49B1">
        <w:rPr>
          <w:rFonts w:ascii="Palatino Linotype" w:eastAsia="Calibri" w:hAnsi="Palatino Linotype" w:cs="Arial"/>
          <w:sz w:val="24"/>
          <w:lang w:val="es-ES"/>
        </w:rPr>
        <w:t xml:space="preserve"> solicitó lo siguiente:</w:t>
      </w:r>
    </w:p>
    <w:p w:rsidR="005C56A9" w:rsidRPr="004F49B1" w:rsidRDefault="005C56A9" w:rsidP="005C56A9">
      <w:pPr>
        <w:pStyle w:val="Prrafodelista"/>
        <w:spacing w:line="360" w:lineRule="auto"/>
        <w:ind w:left="0"/>
        <w:jc w:val="both"/>
        <w:rPr>
          <w:rFonts w:ascii="Palatino Linotype" w:hAnsi="Palatino Linotype" w:cs="Arial"/>
          <w:sz w:val="24"/>
          <w:lang w:val="es-ES"/>
        </w:rPr>
      </w:pPr>
    </w:p>
    <w:p w:rsidR="00D25C7A" w:rsidRPr="004F49B1" w:rsidRDefault="005C56A9" w:rsidP="00D25C7A">
      <w:pPr>
        <w:pStyle w:val="Prrafodelista"/>
        <w:spacing w:line="360" w:lineRule="auto"/>
        <w:ind w:left="0"/>
        <w:jc w:val="both"/>
        <w:rPr>
          <w:rFonts w:ascii="Palatino Linotype" w:hAnsi="Palatino Linotype" w:cs="Arial"/>
          <w:sz w:val="24"/>
          <w:lang w:val="es-ES"/>
        </w:rPr>
      </w:pPr>
      <w:r w:rsidRPr="004F49B1">
        <w:rPr>
          <w:rFonts w:ascii="Palatino Linotype" w:eastAsia="Calibri" w:hAnsi="Palatino Linotype" w:cs="Tahoma"/>
          <w:b/>
          <w:bCs/>
          <w:sz w:val="24"/>
          <w:lang w:eastAsia="en-US"/>
        </w:rPr>
        <w:t>12798/INFOEM/ICR-167/IP/RR/2025</w:t>
      </w:r>
    </w:p>
    <w:p w:rsidR="005C56A9" w:rsidRPr="004F49B1" w:rsidRDefault="005C56A9" w:rsidP="00D25C7A">
      <w:pPr>
        <w:pStyle w:val="Prrafodelista"/>
        <w:spacing w:line="360" w:lineRule="auto"/>
        <w:ind w:left="0"/>
        <w:jc w:val="both"/>
        <w:rPr>
          <w:rFonts w:ascii="Palatino Linotype" w:hAnsi="Palatino Linotype" w:cs="Arial"/>
          <w:sz w:val="24"/>
          <w:lang w:val="es-ES"/>
        </w:rPr>
      </w:pPr>
      <w:r w:rsidRPr="004F49B1">
        <w:rPr>
          <w:rFonts w:ascii="Palatino Linotype" w:eastAsia="Calibri" w:hAnsi="Palatino Linotype" w:cs="Arial"/>
          <w:b/>
          <w:bCs/>
          <w:sz w:val="24"/>
          <w:lang w:val="es-ES_tradnl"/>
        </w:rPr>
        <w:t>00659/TEPOTZOT/IP/2025</w:t>
      </w:r>
    </w:p>
    <w:p w:rsidR="00D25C7A" w:rsidRPr="004F49B1" w:rsidRDefault="00D25C7A" w:rsidP="00D25C7A">
      <w:pPr>
        <w:ind w:left="567" w:right="567"/>
        <w:jc w:val="both"/>
        <w:rPr>
          <w:rFonts w:ascii="Palatino Linotype" w:eastAsia="Calibri" w:hAnsi="Palatino Linotype" w:cs="Arial"/>
          <w:i/>
          <w:sz w:val="24"/>
          <w:szCs w:val="24"/>
          <w:lang w:val="es-ES"/>
        </w:rPr>
      </w:pPr>
      <w:r w:rsidRPr="004F49B1">
        <w:rPr>
          <w:rFonts w:ascii="Palatino Linotype" w:eastAsia="Calibri" w:hAnsi="Palatino Linotype" w:cs="Arial"/>
          <w:i/>
          <w:sz w:val="24"/>
          <w:szCs w:val="24"/>
          <w:lang w:val="es-ES"/>
        </w:rPr>
        <w:t>“</w:t>
      </w:r>
      <w:r w:rsidR="005C56A9" w:rsidRPr="004F49B1">
        <w:rPr>
          <w:rFonts w:ascii="Palatino Linotype" w:eastAsia="Calibri" w:hAnsi="Palatino Linotype" w:cs="Arial"/>
          <w:i/>
          <w:sz w:val="24"/>
          <w:szCs w:val="24"/>
          <w:lang w:val="es-ES"/>
        </w:rPr>
        <w:t>Solicito de todos los funcionarios y empleados del municipio que estén obligados el documento que acredite su manifestación de bienes que prevé la Ley de Responsabilidades Administrativas del Estado de México y Municipios</w:t>
      </w:r>
      <w:r w:rsidR="00955F78" w:rsidRPr="004F49B1">
        <w:rPr>
          <w:rFonts w:ascii="Palatino Linotype" w:eastAsia="Calibri" w:hAnsi="Palatino Linotype" w:cs="Arial"/>
          <w:i/>
          <w:sz w:val="24"/>
          <w:szCs w:val="24"/>
          <w:lang w:val="es-ES"/>
        </w:rPr>
        <w:t>.</w:t>
      </w:r>
      <w:r w:rsidRPr="004F49B1">
        <w:rPr>
          <w:rFonts w:ascii="Palatino Linotype" w:eastAsia="Calibri" w:hAnsi="Palatino Linotype" w:cs="Arial"/>
          <w:i/>
          <w:sz w:val="24"/>
          <w:szCs w:val="24"/>
          <w:lang w:val="es-ES"/>
        </w:rPr>
        <w:t>” (Sic)</w:t>
      </w:r>
    </w:p>
    <w:p w:rsidR="00D25C7A" w:rsidRPr="004F49B1" w:rsidRDefault="00D25C7A" w:rsidP="00D25C7A">
      <w:pPr>
        <w:ind w:right="567"/>
        <w:jc w:val="both"/>
        <w:rPr>
          <w:rFonts w:ascii="Palatino Linotype" w:eastAsia="Calibri" w:hAnsi="Palatino Linotype" w:cs="Arial"/>
          <w:i/>
          <w:sz w:val="24"/>
          <w:szCs w:val="24"/>
          <w:lang w:val="es-ES"/>
        </w:rPr>
      </w:pPr>
    </w:p>
    <w:p w:rsidR="00D25C7A" w:rsidRPr="004F49B1" w:rsidRDefault="005C56A9" w:rsidP="005C56A9">
      <w:pPr>
        <w:ind w:right="567"/>
        <w:jc w:val="both"/>
        <w:rPr>
          <w:rFonts w:ascii="Palatino Linotype" w:eastAsia="Calibri" w:hAnsi="Palatino Linotype" w:cs="Tahoma"/>
          <w:b/>
          <w:bCs/>
          <w:sz w:val="24"/>
          <w:szCs w:val="24"/>
          <w:lang w:eastAsia="en-US"/>
        </w:rPr>
      </w:pPr>
      <w:r w:rsidRPr="004F49B1">
        <w:rPr>
          <w:rFonts w:ascii="Palatino Linotype" w:eastAsia="Calibri" w:hAnsi="Palatino Linotype" w:cs="Tahoma"/>
          <w:b/>
          <w:bCs/>
          <w:sz w:val="24"/>
          <w:szCs w:val="24"/>
          <w:lang w:eastAsia="en-US"/>
        </w:rPr>
        <w:lastRenderedPageBreak/>
        <w:t>14383/INFOEM/IP/RR/2025</w:t>
      </w:r>
    </w:p>
    <w:p w:rsidR="005C56A9" w:rsidRPr="004F49B1" w:rsidRDefault="005C56A9" w:rsidP="005C56A9">
      <w:pPr>
        <w:ind w:right="567"/>
        <w:jc w:val="both"/>
        <w:rPr>
          <w:rFonts w:ascii="Palatino Linotype" w:eastAsia="Calibri" w:hAnsi="Palatino Linotype" w:cs="Arial"/>
          <w:b/>
          <w:bCs/>
          <w:sz w:val="24"/>
          <w:szCs w:val="24"/>
          <w:lang w:val="es-ES_tradnl"/>
        </w:rPr>
      </w:pPr>
      <w:r w:rsidRPr="004F49B1">
        <w:rPr>
          <w:rFonts w:ascii="Palatino Linotype" w:eastAsia="Calibri" w:hAnsi="Palatino Linotype" w:cs="Arial"/>
          <w:b/>
          <w:bCs/>
          <w:sz w:val="24"/>
          <w:szCs w:val="24"/>
          <w:lang w:val="es-ES_tradnl"/>
        </w:rPr>
        <w:t>01352/TEPOTZOT/IP/2025</w:t>
      </w:r>
    </w:p>
    <w:p w:rsidR="005C56A9" w:rsidRPr="004F49B1" w:rsidRDefault="005C56A9" w:rsidP="005C56A9">
      <w:pPr>
        <w:ind w:right="567"/>
        <w:jc w:val="both"/>
        <w:rPr>
          <w:rFonts w:ascii="Palatino Linotype" w:eastAsia="Calibri" w:hAnsi="Palatino Linotype" w:cs="Arial"/>
          <w:b/>
          <w:bCs/>
          <w:sz w:val="24"/>
          <w:szCs w:val="24"/>
          <w:lang w:val="es-ES_tradnl"/>
        </w:rPr>
      </w:pPr>
    </w:p>
    <w:p w:rsidR="005C56A9" w:rsidRPr="004F49B1" w:rsidRDefault="005C56A9" w:rsidP="005C56A9">
      <w:pPr>
        <w:ind w:left="567" w:right="567"/>
        <w:jc w:val="both"/>
        <w:rPr>
          <w:rFonts w:ascii="Palatino Linotype" w:eastAsia="Calibri" w:hAnsi="Palatino Linotype" w:cs="Arial"/>
          <w:i/>
          <w:sz w:val="24"/>
          <w:szCs w:val="24"/>
          <w:lang w:val="es-ES"/>
        </w:rPr>
      </w:pPr>
      <w:r w:rsidRPr="004F49B1">
        <w:rPr>
          <w:rFonts w:ascii="Palatino Linotype" w:eastAsia="Calibri" w:hAnsi="Palatino Linotype" w:cs="Arial"/>
          <w:i/>
          <w:sz w:val="24"/>
          <w:szCs w:val="24"/>
          <w:lang w:val="es-ES"/>
        </w:rPr>
        <w:t>“Solicito la versión pública de las declaraciones patrimoniales, de intereses y fiscal de la persona que actualmente ocupa la titularidad del Área de Transparencia y Acceso a la Información Pública.” (Sic)</w:t>
      </w:r>
    </w:p>
    <w:p w:rsidR="005C56A9" w:rsidRPr="004F49B1" w:rsidRDefault="005C56A9" w:rsidP="005C56A9">
      <w:pPr>
        <w:ind w:right="567"/>
        <w:jc w:val="both"/>
        <w:rPr>
          <w:rFonts w:ascii="Palatino Linotype" w:eastAsia="Calibri" w:hAnsi="Palatino Linotype" w:cs="Arial"/>
          <w:b/>
          <w:bCs/>
          <w:sz w:val="24"/>
          <w:szCs w:val="24"/>
          <w:lang w:val="es-ES_tradnl"/>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Arial"/>
          <w:sz w:val="24"/>
          <w:lang w:val="es-ES"/>
        </w:rPr>
      </w:pPr>
      <w:r w:rsidRPr="004F49B1">
        <w:rPr>
          <w:rFonts w:ascii="Palatino Linotype" w:hAnsi="Palatino Linotype" w:cs="Arial"/>
          <w:sz w:val="24"/>
          <w:lang w:val="es-ES"/>
        </w:rPr>
        <w:t xml:space="preserve">Señaló como modalidad de entrega de la información a través del </w:t>
      </w:r>
      <w:r w:rsidRPr="004F49B1">
        <w:rPr>
          <w:rFonts w:ascii="Palatino Linotype" w:hAnsi="Palatino Linotype" w:cs="Arial"/>
          <w:b/>
          <w:sz w:val="24"/>
          <w:lang w:val="es-ES"/>
        </w:rPr>
        <w:t>SAIMEX.</w:t>
      </w:r>
    </w:p>
    <w:p w:rsidR="00D25C7A" w:rsidRPr="004F49B1" w:rsidRDefault="00D25C7A" w:rsidP="00D25C7A">
      <w:pPr>
        <w:pStyle w:val="Prrafodelista"/>
        <w:spacing w:before="240" w:after="240" w:line="360" w:lineRule="auto"/>
        <w:ind w:left="0"/>
        <w:jc w:val="both"/>
        <w:rPr>
          <w:rFonts w:ascii="Palatino Linotype" w:hAnsi="Palatino Linotype"/>
          <w:i/>
          <w:color w:val="000000"/>
          <w:sz w:val="24"/>
        </w:rPr>
      </w:pPr>
    </w:p>
    <w:p w:rsidR="00955F78" w:rsidRPr="004F49B1" w:rsidRDefault="00D25C7A" w:rsidP="00955F78">
      <w:pPr>
        <w:pStyle w:val="Prrafodelista"/>
        <w:numPr>
          <w:ilvl w:val="0"/>
          <w:numId w:val="1"/>
        </w:numPr>
        <w:spacing w:before="240" w:after="240" w:line="360" w:lineRule="auto"/>
        <w:ind w:left="0" w:firstLine="0"/>
        <w:jc w:val="both"/>
        <w:rPr>
          <w:rFonts w:ascii="Palatino Linotype" w:hAnsi="Palatino Linotype"/>
          <w:i/>
          <w:color w:val="000000"/>
          <w:sz w:val="24"/>
        </w:rPr>
      </w:pPr>
      <w:r w:rsidRPr="004F49B1">
        <w:rPr>
          <w:rFonts w:ascii="Palatino Linotype" w:eastAsia="Calibri" w:hAnsi="Palatino Linotype"/>
          <w:sz w:val="24"/>
          <w:lang w:val="es-ES"/>
        </w:rPr>
        <w:t>De</w:t>
      </w:r>
      <w:r w:rsidR="005C56A9" w:rsidRPr="004F49B1">
        <w:rPr>
          <w:rFonts w:ascii="Palatino Linotype" w:eastAsia="Calibri" w:hAnsi="Palatino Linotype"/>
          <w:sz w:val="24"/>
          <w:lang w:val="es-ES"/>
        </w:rPr>
        <w:t xml:space="preserve"> las constancias que obran en los</w:t>
      </w:r>
      <w:r w:rsidRPr="004F49B1">
        <w:rPr>
          <w:rFonts w:ascii="Palatino Linotype" w:eastAsia="Calibri" w:hAnsi="Palatino Linotype"/>
          <w:sz w:val="24"/>
          <w:lang w:val="es-ES"/>
        </w:rPr>
        <w:t xml:space="preserve"> expediente</w:t>
      </w:r>
      <w:r w:rsidR="005C56A9" w:rsidRPr="004F49B1">
        <w:rPr>
          <w:rFonts w:ascii="Palatino Linotype" w:eastAsia="Calibri" w:hAnsi="Palatino Linotype"/>
          <w:sz w:val="24"/>
          <w:lang w:val="es-ES"/>
        </w:rPr>
        <w:t>s</w:t>
      </w:r>
      <w:r w:rsidRPr="004F49B1">
        <w:rPr>
          <w:rFonts w:ascii="Palatino Linotype" w:eastAsia="Calibri" w:hAnsi="Palatino Linotype"/>
          <w:sz w:val="24"/>
          <w:lang w:val="es-ES"/>
        </w:rPr>
        <w:t xml:space="preserve"> electrónico</w:t>
      </w:r>
      <w:r w:rsidR="005C56A9" w:rsidRPr="004F49B1">
        <w:rPr>
          <w:rFonts w:ascii="Palatino Linotype" w:eastAsia="Calibri" w:hAnsi="Palatino Linotype"/>
          <w:sz w:val="24"/>
          <w:lang w:val="es-ES"/>
        </w:rPr>
        <w:t>s</w:t>
      </w:r>
      <w:r w:rsidRPr="004F49B1">
        <w:rPr>
          <w:rFonts w:ascii="Palatino Linotype" w:eastAsia="Calibri" w:hAnsi="Palatino Linotype"/>
          <w:sz w:val="24"/>
          <w:lang w:val="es-ES"/>
        </w:rPr>
        <w:t xml:space="preserve"> </w:t>
      </w:r>
      <w:r w:rsidRPr="004F49B1">
        <w:rPr>
          <w:rFonts w:ascii="Palatino Linotype" w:eastAsia="Calibri" w:hAnsi="Palatino Linotype"/>
          <w:b/>
          <w:sz w:val="24"/>
          <w:lang w:val="es-ES"/>
        </w:rPr>
        <w:t>SAIMEX</w:t>
      </w:r>
      <w:r w:rsidRPr="004F49B1">
        <w:rPr>
          <w:rFonts w:ascii="Palatino Linotype" w:eastAsia="Calibri" w:hAnsi="Palatino Linotype"/>
          <w:sz w:val="24"/>
          <w:lang w:val="es-ES"/>
        </w:rPr>
        <w:t xml:space="preserve"> se advierte que el Sujeto Obligado no emitió respuesta a la solicitud.</w:t>
      </w:r>
    </w:p>
    <w:p w:rsidR="00955F78" w:rsidRPr="004F49B1" w:rsidRDefault="00955F78" w:rsidP="00955F78">
      <w:pPr>
        <w:pStyle w:val="Prrafodelista"/>
        <w:rPr>
          <w:rFonts w:ascii="Palatino Linotype" w:eastAsia="Palatino Linotype" w:hAnsi="Palatino Linotype" w:cs="Palatino Linotype"/>
          <w:color w:val="000000"/>
          <w:sz w:val="24"/>
        </w:rPr>
      </w:pPr>
    </w:p>
    <w:p w:rsidR="00955F78" w:rsidRPr="004F49B1" w:rsidRDefault="00955F78" w:rsidP="00955F78">
      <w:pPr>
        <w:pStyle w:val="Prrafodelista"/>
        <w:numPr>
          <w:ilvl w:val="0"/>
          <w:numId w:val="1"/>
        </w:numPr>
        <w:spacing w:before="240" w:after="240" w:line="360" w:lineRule="auto"/>
        <w:ind w:left="0" w:firstLine="0"/>
        <w:jc w:val="both"/>
        <w:rPr>
          <w:rFonts w:ascii="Palatino Linotype" w:hAnsi="Palatino Linotype"/>
          <w:i/>
          <w:color w:val="000000"/>
          <w:sz w:val="24"/>
        </w:rPr>
      </w:pPr>
      <w:r w:rsidRPr="004F49B1">
        <w:rPr>
          <w:rFonts w:ascii="Palatino Linotype" w:eastAsia="Palatino Linotype" w:hAnsi="Palatino Linotype" w:cs="Palatino Linotype"/>
          <w:color w:val="000000"/>
          <w:sz w:val="24"/>
        </w:rPr>
        <w:t>El</w:t>
      </w:r>
      <w:r w:rsidRPr="004F49B1">
        <w:rPr>
          <w:rFonts w:ascii="Palatino Linotype" w:eastAsia="Palatino Linotype" w:hAnsi="Palatino Linotype" w:cs="Palatino Linotype"/>
          <w:b/>
          <w:color w:val="000000"/>
          <w:sz w:val="24"/>
        </w:rPr>
        <w:t xml:space="preserve"> </w:t>
      </w:r>
      <w:r w:rsidR="005C56A9" w:rsidRPr="004F49B1">
        <w:rPr>
          <w:rFonts w:ascii="Palatino Linotype" w:eastAsia="Palatino Linotype" w:hAnsi="Palatino Linotype" w:cs="Palatino Linotype"/>
          <w:b/>
          <w:color w:val="000000"/>
          <w:sz w:val="24"/>
        </w:rPr>
        <w:t xml:space="preserve">cinco de noviembre y dieciséis de diciembre </w:t>
      </w:r>
      <w:r w:rsidRPr="004F49B1">
        <w:rPr>
          <w:rFonts w:ascii="Palatino Linotype" w:eastAsia="Palatino Linotype" w:hAnsi="Palatino Linotype" w:cs="Palatino Linotype"/>
          <w:b/>
          <w:color w:val="000000"/>
          <w:sz w:val="24"/>
        </w:rPr>
        <w:t>de dos mil veinticinco</w:t>
      </w:r>
      <w:r w:rsidRPr="004F49B1">
        <w:rPr>
          <w:rFonts w:ascii="Palatino Linotype" w:eastAsia="Palatino Linotype" w:hAnsi="Palatino Linotype" w:cs="Palatino Linotype"/>
          <w:color w:val="000000"/>
          <w:sz w:val="24"/>
        </w:rPr>
        <w:t xml:space="preserve">, el </w:t>
      </w:r>
      <w:r w:rsidR="005C56A9" w:rsidRPr="004F49B1">
        <w:rPr>
          <w:rFonts w:ascii="Palatino Linotype" w:eastAsia="Palatino Linotype" w:hAnsi="Palatino Linotype" w:cs="Palatino Linotype"/>
          <w:color w:val="000000"/>
          <w:sz w:val="24"/>
        </w:rPr>
        <w:t>particular interpuso los</w:t>
      </w:r>
      <w:r w:rsidRPr="004F49B1">
        <w:rPr>
          <w:rFonts w:ascii="Palatino Linotype" w:eastAsia="Palatino Linotype" w:hAnsi="Palatino Linotype" w:cs="Palatino Linotype"/>
          <w:color w:val="000000"/>
          <w:sz w:val="24"/>
        </w:rPr>
        <w:t xml:space="preserve"> recurso</w:t>
      </w:r>
      <w:r w:rsidR="005C56A9" w:rsidRPr="004F49B1">
        <w:rPr>
          <w:rFonts w:ascii="Palatino Linotype" w:eastAsia="Palatino Linotype" w:hAnsi="Palatino Linotype" w:cs="Palatino Linotype"/>
          <w:color w:val="000000"/>
          <w:sz w:val="24"/>
        </w:rPr>
        <w:t>s</w:t>
      </w:r>
      <w:r w:rsidRPr="004F49B1">
        <w:rPr>
          <w:rFonts w:ascii="Palatino Linotype" w:eastAsia="Palatino Linotype" w:hAnsi="Palatino Linotype" w:cs="Palatino Linotype"/>
          <w:color w:val="000000"/>
          <w:sz w:val="24"/>
        </w:rPr>
        <w:t xml:space="preserve"> de revisión </w:t>
      </w:r>
      <w:r w:rsidR="005C56A9" w:rsidRPr="004F49B1">
        <w:rPr>
          <w:rFonts w:ascii="Palatino Linotype" w:eastAsia="Palatino Linotype" w:hAnsi="Palatino Linotype" w:cs="Palatino Linotype"/>
          <w:color w:val="000000"/>
          <w:sz w:val="24"/>
        </w:rPr>
        <w:t>por la omisión de la</w:t>
      </w:r>
      <w:r w:rsidRPr="004F49B1">
        <w:rPr>
          <w:rFonts w:ascii="Palatino Linotype" w:eastAsia="Palatino Linotype" w:hAnsi="Palatino Linotype" w:cs="Palatino Linotype"/>
          <w:color w:val="000000"/>
          <w:sz w:val="24"/>
        </w:rPr>
        <w:t xml:space="preserve"> respuesta, manifestando las siguientes razones o motivos de inconformidad:</w:t>
      </w:r>
    </w:p>
    <w:p w:rsidR="005C56A9" w:rsidRPr="004F49B1" w:rsidRDefault="005C56A9" w:rsidP="005C56A9">
      <w:pPr>
        <w:spacing w:line="360" w:lineRule="auto"/>
        <w:ind w:left="567"/>
        <w:jc w:val="both"/>
        <w:rPr>
          <w:rFonts w:ascii="Palatino Linotype" w:hAnsi="Palatino Linotype" w:cs="Arial"/>
          <w:sz w:val="24"/>
          <w:szCs w:val="24"/>
          <w:lang w:val="es-ES"/>
        </w:rPr>
      </w:pPr>
      <w:r w:rsidRPr="004F49B1">
        <w:rPr>
          <w:rFonts w:ascii="Palatino Linotype" w:eastAsia="Calibri" w:hAnsi="Palatino Linotype" w:cs="Tahoma"/>
          <w:b/>
          <w:bCs/>
          <w:sz w:val="24"/>
          <w:szCs w:val="24"/>
          <w:lang w:eastAsia="en-US"/>
        </w:rPr>
        <w:t>12798/INFOEM/ICR-167/IP/RR/2025</w:t>
      </w:r>
    </w:p>
    <w:p w:rsidR="005C56A9" w:rsidRPr="004F49B1" w:rsidRDefault="005C56A9" w:rsidP="005C56A9">
      <w:pPr>
        <w:spacing w:line="360" w:lineRule="auto"/>
        <w:ind w:left="567"/>
        <w:jc w:val="both"/>
        <w:rPr>
          <w:rFonts w:ascii="Palatino Linotype" w:hAnsi="Palatino Linotype" w:cs="Arial"/>
          <w:sz w:val="24"/>
          <w:szCs w:val="24"/>
          <w:lang w:val="es-ES"/>
        </w:rPr>
      </w:pPr>
      <w:r w:rsidRPr="004F49B1">
        <w:rPr>
          <w:rFonts w:ascii="Palatino Linotype" w:eastAsia="Calibri" w:hAnsi="Palatino Linotype" w:cs="Arial"/>
          <w:b/>
          <w:bCs/>
          <w:sz w:val="24"/>
          <w:szCs w:val="24"/>
          <w:lang w:val="es-ES_tradnl"/>
        </w:rPr>
        <w:t>00659/TEPOTZOT/IP/2025</w:t>
      </w:r>
    </w:p>
    <w:p w:rsidR="004F49B1" w:rsidRDefault="004F49B1" w:rsidP="005C56A9">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sz w:val="24"/>
          <w:szCs w:val="24"/>
        </w:rPr>
      </w:pPr>
      <w:bookmarkStart w:id="2" w:name="_heading=h.30j0zll" w:colFirst="0" w:colLast="0"/>
      <w:bookmarkEnd w:id="2"/>
    </w:p>
    <w:p w:rsidR="005C56A9" w:rsidRPr="004F49B1" w:rsidRDefault="00955F78" w:rsidP="005C56A9">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sz w:val="24"/>
          <w:szCs w:val="24"/>
        </w:rPr>
      </w:pPr>
      <w:r w:rsidRPr="004F49B1">
        <w:rPr>
          <w:rFonts w:ascii="Palatino Linotype" w:eastAsia="Palatino Linotype" w:hAnsi="Palatino Linotype" w:cs="Palatino Linotype"/>
          <w:b/>
          <w:color w:val="000000"/>
          <w:sz w:val="24"/>
          <w:szCs w:val="24"/>
        </w:rPr>
        <w:t xml:space="preserve">Acto impugnado: </w:t>
      </w:r>
    </w:p>
    <w:p w:rsidR="007E6E23" w:rsidRPr="004F49B1" w:rsidRDefault="00955F78" w:rsidP="007E6E23">
      <w:pPr>
        <w:pBdr>
          <w:top w:val="nil"/>
          <w:left w:val="nil"/>
          <w:bottom w:val="nil"/>
          <w:right w:val="nil"/>
          <w:between w:val="nil"/>
        </w:pBdr>
        <w:ind w:left="567" w:right="616"/>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w:t>
      </w:r>
      <w:r w:rsidR="005C56A9" w:rsidRPr="004F49B1">
        <w:rPr>
          <w:rFonts w:ascii="Palatino Linotype" w:eastAsia="Palatino Linotype" w:hAnsi="Palatino Linotype" w:cs="Palatino Linotype"/>
          <w:i/>
          <w:color w:val="000000"/>
          <w:sz w:val="24"/>
          <w:szCs w:val="24"/>
        </w:rPr>
        <w:t>Solicito de todos los funcionarios y empleados del municipio que estén obligados el documento que acredite su manifestación de bienes que prevé la Ley de Responsabilidades Administrativas del Estado de México y Municipios</w:t>
      </w:r>
      <w:r w:rsidRPr="004F49B1">
        <w:rPr>
          <w:rFonts w:ascii="Palatino Linotype" w:eastAsia="Palatino Linotype" w:hAnsi="Palatino Linotype" w:cs="Palatino Linotype"/>
          <w:i/>
          <w:color w:val="000000"/>
          <w:sz w:val="24"/>
          <w:szCs w:val="24"/>
        </w:rPr>
        <w:t>”</w:t>
      </w:r>
      <w:r w:rsidR="005C56A9" w:rsidRPr="004F49B1">
        <w:rPr>
          <w:rFonts w:ascii="Palatino Linotype" w:eastAsia="Palatino Linotype" w:hAnsi="Palatino Linotype" w:cs="Palatino Linotype"/>
          <w:i/>
          <w:color w:val="000000"/>
          <w:sz w:val="24"/>
          <w:szCs w:val="24"/>
        </w:rPr>
        <w:t>(Sic.)</w:t>
      </w:r>
      <w:bookmarkStart w:id="3" w:name="_heading=h.1fob9te" w:colFirst="0" w:colLast="0"/>
      <w:bookmarkEnd w:id="3"/>
    </w:p>
    <w:p w:rsidR="007E6E23" w:rsidRDefault="007E6E23"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sz w:val="24"/>
          <w:szCs w:val="24"/>
        </w:rPr>
      </w:pPr>
    </w:p>
    <w:p w:rsidR="00117DB2" w:rsidRDefault="00117DB2"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sz w:val="24"/>
          <w:szCs w:val="24"/>
        </w:rPr>
      </w:pPr>
    </w:p>
    <w:p w:rsidR="00117DB2" w:rsidRPr="004F49B1" w:rsidRDefault="00117DB2"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sz w:val="24"/>
          <w:szCs w:val="24"/>
        </w:rPr>
      </w:pPr>
    </w:p>
    <w:p w:rsidR="007E6E23" w:rsidRPr="004F49B1" w:rsidRDefault="00955F78"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sz w:val="24"/>
          <w:szCs w:val="24"/>
        </w:rPr>
      </w:pPr>
      <w:r w:rsidRPr="004F49B1">
        <w:rPr>
          <w:rFonts w:ascii="Palatino Linotype" w:eastAsia="Palatino Linotype" w:hAnsi="Palatino Linotype" w:cs="Palatino Linotype"/>
          <w:b/>
          <w:color w:val="000000"/>
          <w:sz w:val="24"/>
          <w:szCs w:val="24"/>
        </w:rPr>
        <w:lastRenderedPageBreak/>
        <w:t xml:space="preserve">Razones o Motivos de inconformidad: </w:t>
      </w:r>
    </w:p>
    <w:p w:rsidR="00955F78" w:rsidRPr="004F49B1" w:rsidRDefault="00955F78" w:rsidP="007E6E23">
      <w:pPr>
        <w:pBdr>
          <w:top w:val="nil"/>
          <w:left w:val="nil"/>
          <w:bottom w:val="nil"/>
          <w:right w:val="nil"/>
          <w:between w:val="nil"/>
        </w:pBdr>
        <w:ind w:left="567" w:right="616"/>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w:t>
      </w:r>
      <w:r w:rsidR="007E6E23" w:rsidRPr="004F49B1">
        <w:rPr>
          <w:rFonts w:ascii="Palatino Linotype" w:eastAsia="Palatino Linotype" w:hAnsi="Palatino Linotype" w:cs="Palatino Linotype"/>
          <w:i/>
          <w:color w:val="000000"/>
          <w:sz w:val="24"/>
          <w:szCs w:val="24"/>
        </w:rPr>
        <w:t>En términos del articulo 8 constitucional tengo derecho a realizar mi petición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w:t>
      </w:r>
      <w:r w:rsidRPr="004F49B1">
        <w:rPr>
          <w:rFonts w:ascii="Palatino Linotype" w:eastAsia="Palatino Linotype" w:hAnsi="Palatino Linotype" w:cs="Palatino Linotype"/>
          <w:i/>
          <w:color w:val="000000"/>
          <w:sz w:val="24"/>
          <w:szCs w:val="24"/>
        </w:rPr>
        <w:t>”</w:t>
      </w:r>
      <w:r w:rsidR="007E6E23" w:rsidRPr="004F49B1">
        <w:rPr>
          <w:rFonts w:ascii="Palatino Linotype" w:eastAsia="Palatino Linotype" w:hAnsi="Palatino Linotype" w:cs="Palatino Linotype"/>
          <w:i/>
          <w:color w:val="000000"/>
          <w:sz w:val="24"/>
          <w:szCs w:val="24"/>
        </w:rPr>
        <w:t xml:space="preserve"> (Sic.)</w:t>
      </w:r>
    </w:p>
    <w:p w:rsidR="007E6E23" w:rsidRPr="004F49B1" w:rsidRDefault="007E6E23"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sz w:val="24"/>
          <w:szCs w:val="24"/>
        </w:rPr>
      </w:pPr>
    </w:p>
    <w:p w:rsidR="007E6E23" w:rsidRPr="004F49B1" w:rsidRDefault="007E6E23" w:rsidP="007E6E23">
      <w:pPr>
        <w:spacing w:line="360" w:lineRule="auto"/>
        <w:ind w:left="567"/>
        <w:jc w:val="both"/>
        <w:rPr>
          <w:rFonts w:ascii="Palatino Linotype" w:eastAsia="Calibri" w:hAnsi="Palatino Linotype" w:cs="Tahoma"/>
          <w:b/>
          <w:bCs/>
          <w:sz w:val="24"/>
          <w:szCs w:val="24"/>
          <w:lang w:eastAsia="en-US"/>
        </w:rPr>
      </w:pPr>
      <w:r w:rsidRPr="004F49B1">
        <w:rPr>
          <w:rFonts w:ascii="Palatino Linotype" w:eastAsia="Calibri" w:hAnsi="Palatino Linotype" w:cs="Tahoma"/>
          <w:b/>
          <w:bCs/>
          <w:sz w:val="24"/>
          <w:szCs w:val="24"/>
          <w:lang w:eastAsia="en-US"/>
        </w:rPr>
        <w:t>14383/INFOEM/IP/RR/2025</w:t>
      </w:r>
    </w:p>
    <w:p w:rsidR="007E6E23" w:rsidRPr="004F49B1" w:rsidRDefault="007E6E23" w:rsidP="007E6E23">
      <w:pPr>
        <w:spacing w:line="360" w:lineRule="auto"/>
        <w:ind w:left="567"/>
        <w:jc w:val="both"/>
        <w:rPr>
          <w:rFonts w:ascii="Palatino Linotype" w:eastAsia="Calibri" w:hAnsi="Palatino Linotype" w:cs="Tahoma"/>
          <w:b/>
          <w:bCs/>
          <w:sz w:val="24"/>
          <w:szCs w:val="24"/>
          <w:lang w:eastAsia="en-US"/>
        </w:rPr>
      </w:pPr>
      <w:r w:rsidRPr="004F49B1">
        <w:rPr>
          <w:rFonts w:ascii="Palatino Linotype" w:eastAsia="Calibri" w:hAnsi="Palatino Linotype" w:cs="Tahoma"/>
          <w:b/>
          <w:bCs/>
          <w:sz w:val="24"/>
          <w:szCs w:val="24"/>
          <w:lang w:eastAsia="en-US"/>
        </w:rPr>
        <w:t>01352/TEPOTZOT/IP/2025</w:t>
      </w:r>
    </w:p>
    <w:p w:rsidR="007E6E23" w:rsidRPr="004F49B1" w:rsidRDefault="007E6E23" w:rsidP="007E6E23">
      <w:pPr>
        <w:ind w:left="567" w:right="567"/>
        <w:jc w:val="both"/>
        <w:rPr>
          <w:rFonts w:ascii="Palatino Linotype" w:eastAsia="Calibri" w:hAnsi="Palatino Linotype" w:cs="Arial"/>
          <w:b/>
          <w:bCs/>
          <w:sz w:val="24"/>
          <w:szCs w:val="24"/>
          <w:lang w:val="es-ES_tradnl"/>
        </w:rPr>
      </w:pPr>
    </w:p>
    <w:p w:rsidR="007E6E23" w:rsidRPr="004F49B1" w:rsidRDefault="007E6E23"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sz w:val="24"/>
          <w:szCs w:val="24"/>
        </w:rPr>
      </w:pPr>
      <w:r w:rsidRPr="004F49B1">
        <w:rPr>
          <w:rFonts w:ascii="Palatino Linotype" w:eastAsia="Palatino Linotype" w:hAnsi="Palatino Linotype" w:cs="Palatino Linotype"/>
          <w:b/>
          <w:color w:val="000000"/>
          <w:sz w:val="24"/>
          <w:szCs w:val="24"/>
        </w:rPr>
        <w:t>Acto impugnado:</w:t>
      </w:r>
    </w:p>
    <w:p w:rsidR="007E6E23" w:rsidRPr="004F49B1" w:rsidRDefault="007E6E23" w:rsidP="007E6E23">
      <w:pPr>
        <w:pBdr>
          <w:top w:val="nil"/>
          <w:left w:val="nil"/>
          <w:bottom w:val="nil"/>
          <w:right w:val="nil"/>
          <w:between w:val="nil"/>
        </w:pBdr>
        <w:ind w:left="567" w:right="616"/>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“Solicito la versión pública de las declaraciones patrimoniales, de intereses y fiscal de la persona que actualmente ocupa la titularidad del Área de Transparencia y Acceso a la Información Pública”(Sic.)</w:t>
      </w:r>
    </w:p>
    <w:p w:rsidR="007E6E23" w:rsidRPr="004F49B1" w:rsidRDefault="007E6E23"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sz w:val="24"/>
          <w:szCs w:val="24"/>
        </w:rPr>
      </w:pPr>
    </w:p>
    <w:p w:rsidR="007E6E23" w:rsidRPr="004F49B1" w:rsidRDefault="007E6E23"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b/>
          <w:color w:val="000000"/>
          <w:sz w:val="24"/>
          <w:szCs w:val="24"/>
        </w:rPr>
      </w:pPr>
      <w:r w:rsidRPr="004F49B1">
        <w:rPr>
          <w:rFonts w:ascii="Palatino Linotype" w:eastAsia="Palatino Linotype" w:hAnsi="Palatino Linotype" w:cs="Palatino Linotype"/>
          <w:b/>
          <w:color w:val="000000"/>
          <w:sz w:val="24"/>
          <w:szCs w:val="24"/>
        </w:rPr>
        <w:t xml:space="preserve">Razones o Motivos de inconformidad: </w:t>
      </w:r>
    </w:p>
    <w:p w:rsidR="007E6E23" w:rsidRPr="004F49B1" w:rsidRDefault="007E6E23" w:rsidP="007E6E23">
      <w:pPr>
        <w:pBdr>
          <w:top w:val="nil"/>
          <w:left w:val="nil"/>
          <w:bottom w:val="nil"/>
          <w:right w:val="nil"/>
          <w:between w:val="nil"/>
        </w:pBdr>
        <w:ind w:left="567" w:right="616"/>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 xml:space="preserve">“Ayuntamiento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w:t>
      </w:r>
      <w:r w:rsidRPr="004F49B1">
        <w:rPr>
          <w:rFonts w:ascii="Palatino Linotype" w:eastAsia="Palatino Linotype" w:hAnsi="Palatino Linotype" w:cs="Palatino Linotype"/>
          <w:i/>
          <w:color w:val="000000"/>
          <w:sz w:val="24"/>
          <w:szCs w:val="24"/>
        </w:rPr>
        <w:lastRenderedPageBreak/>
        <w:t>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 (Sic.)</w:t>
      </w:r>
    </w:p>
    <w:p w:rsidR="007E6E23" w:rsidRPr="004F49B1" w:rsidRDefault="007E6E23" w:rsidP="007E6E23">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sz w:val="24"/>
          <w:szCs w:val="24"/>
        </w:rPr>
      </w:pPr>
    </w:p>
    <w:p w:rsidR="00ED3C9F" w:rsidRPr="004F49B1" w:rsidRDefault="00955F78" w:rsidP="007E6E23">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sz w:val="24"/>
        </w:rPr>
      </w:pPr>
      <w:r w:rsidRPr="004F49B1">
        <w:rPr>
          <w:rFonts w:ascii="Palatino Linotype" w:eastAsia="Palatino Linotype" w:hAnsi="Palatino Linotype" w:cs="Palatino Linotype"/>
          <w:color w:val="000000"/>
          <w:sz w:val="24"/>
        </w:rPr>
        <w:t>La Comisionada Ponente con fundamento en lo dispuesto por el artículo 185 fracción II de la ley de la materia, a través de</w:t>
      </w:r>
      <w:r w:rsidR="007E6E23" w:rsidRPr="004F49B1">
        <w:rPr>
          <w:rFonts w:ascii="Palatino Linotype" w:eastAsia="Palatino Linotype" w:hAnsi="Palatino Linotype" w:cs="Palatino Linotype"/>
          <w:color w:val="000000"/>
          <w:sz w:val="24"/>
        </w:rPr>
        <w:t xml:space="preserve"> </w:t>
      </w:r>
      <w:r w:rsidRPr="004F49B1">
        <w:rPr>
          <w:rFonts w:ascii="Palatino Linotype" w:eastAsia="Palatino Linotype" w:hAnsi="Palatino Linotype" w:cs="Palatino Linotype"/>
          <w:color w:val="000000"/>
          <w:sz w:val="24"/>
        </w:rPr>
        <w:t>l</w:t>
      </w:r>
      <w:r w:rsidR="007E6E23" w:rsidRPr="004F49B1">
        <w:rPr>
          <w:rFonts w:ascii="Palatino Linotype" w:eastAsia="Palatino Linotype" w:hAnsi="Palatino Linotype" w:cs="Palatino Linotype"/>
          <w:color w:val="000000"/>
          <w:sz w:val="24"/>
        </w:rPr>
        <w:t>os</w:t>
      </w:r>
      <w:r w:rsidRPr="004F49B1">
        <w:rPr>
          <w:rFonts w:ascii="Palatino Linotype" w:eastAsia="Palatino Linotype" w:hAnsi="Palatino Linotype" w:cs="Palatino Linotype"/>
          <w:color w:val="000000"/>
          <w:sz w:val="24"/>
        </w:rPr>
        <w:t xml:space="preserve"> acuerdo</w:t>
      </w:r>
      <w:r w:rsidR="007E6E23" w:rsidRPr="004F49B1">
        <w:rPr>
          <w:rFonts w:ascii="Palatino Linotype" w:eastAsia="Palatino Linotype" w:hAnsi="Palatino Linotype" w:cs="Palatino Linotype"/>
          <w:color w:val="000000"/>
          <w:sz w:val="24"/>
        </w:rPr>
        <w:t>s</w:t>
      </w:r>
      <w:r w:rsidRPr="004F49B1">
        <w:rPr>
          <w:rFonts w:ascii="Palatino Linotype" w:eastAsia="Palatino Linotype" w:hAnsi="Palatino Linotype" w:cs="Palatino Linotype"/>
          <w:color w:val="000000"/>
          <w:sz w:val="24"/>
        </w:rPr>
        <w:t xml:space="preserve"> de admisión de fecha</w:t>
      </w:r>
      <w:r w:rsidR="007E6E23" w:rsidRPr="004F49B1">
        <w:rPr>
          <w:rFonts w:ascii="Palatino Linotype" w:eastAsia="Palatino Linotype" w:hAnsi="Palatino Linotype" w:cs="Palatino Linotype"/>
          <w:color w:val="000000"/>
          <w:sz w:val="24"/>
        </w:rPr>
        <w:t>s</w:t>
      </w:r>
      <w:r w:rsidRPr="004F49B1">
        <w:rPr>
          <w:rFonts w:ascii="Palatino Linotype" w:eastAsia="Palatino Linotype" w:hAnsi="Palatino Linotype" w:cs="Palatino Linotype"/>
          <w:color w:val="000000"/>
          <w:sz w:val="24"/>
        </w:rPr>
        <w:t xml:space="preserve"> </w:t>
      </w:r>
      <w:r w:rsidR="007E6E23" w:rsidRPr="004F49B1">
        <w:rPr>
          <w:rFonts w:ascii="Palatino Linotype" w:eastAsia="Palatino Linotype" w:hAnsi="Palatino Linotype" w:cs="Palatino Linotype"/>
          <w:b/>
          <w:color w:val="000000"/>
          <w:sz w:val="24"/>
        </w:rPr>
        <w:t xml:space="preserve">seis de noviembre y dieciséis de diciembre </w:t>
      </w:r>
      <w:r w:rsidRPr="004F49B1">
        <w:rPr>
          <w:rFonts w:ascii="Palatino Linotype" w:eastAsia="Palatino Linotype" w:hAnsi="Palatino Linotype" w:cs="Palatino Linotype"/>
          <w:b/>
          <w:color w:val="000000"/>
          <w:sz w:val="24"/>
        </w:rPr>
        <w:t>de dos mil veinticinco</w:t>
      </w:r>
      <w:r w:rsidRPr="004F49B1">
        <w:rPr>
          <w:rFonts w:ascii="Palatino Linotype" w:eastAsia="Palatino Linotype" w:hAnsi="Palatino Linotype" w:cs="Palatino Linotype"/>
          <w:color w:val="000000"/>
          <w:sz w:val="24"/>
        </w:rPr>
        <w:t xml:space="preserve">, puso a disposición de las partes el expediente electrónico vía </w:t>
      </w:r>
      <w:r w:rsidRPr="004F49B1">
        <w:rPr>
          <w:rFonts w:ascii="Palatino Linotype" w:eastAsia="Palatino Linotype" w:hAnsi="Palatino Linotype" w:cs="Palatino Linotype"/>
          <w:b/>
          <w:color w:val="000000"/>
          <w:sz w:val="24"/>
        </w:rPr>
        <w:t xml:space="preserve">SAIMEX </w:t>
      </w:r>
      <w:r w:rsidRPr="004F49B1">
        <w:rPr>
          <w:rFonts w:ascii="Palatino Linotype" w:eastAsia="Palatino Linotype" w:hAnsi="Palatino Linotype" w:cs="Palatino Linotype"/>
          <w:color w:val="000000"/>
          <w:sz w:val="24"/>
        </w:rPr>
        <w:t xml:space="preserve">a efecto de que en un plazo máximo de siete días manifestaran lo que a su derecho conviniera, ofrecieran pruebas y alegatos según corresponda a los casos concretos, y el </w:t>
      </w:r>
      <w:r w:rsidRPr="004F49B1">
        <w:rPr>
          <w:rFonts w:ascii="Palatino Linotype" w:eastAsia="Palatino Linotype" w:hAnsi="Palatino Linotype" w:cs="Palatino Linotype"/>
          <w:b/>
          <w:color w:val="000000"/>
          <w:sz w:val="24"/>
        </w:rPr>
        <w:t>SUJETO OBLIGADO</w:t>
      </w:r>
      <w:r w:rsidRPr="004F49B1">
        <w:rPr>
          <w:rFonts w:ascii="Palatino Linotype" w:eastAsia="Palatino Linotype" w:hAnsi="Palatino Linotype" w:cs="Palatino Linotype"/>
          <w:color w:val="000000"/>
          <w:sz w:val="24"/>
        </w:rPr>
        <w:t xml:space="preserve"> presentará el Informe Justificado procedente.</w:t>
      </w:r>
    </w:p>
    <w:p w:rsidR="00ED3C9F" w:rsidRPr="004F49B1" w:rsidRDefault="00ED3C9F" w:rsidP="00ED3C9F">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i/>
          <w:color w:val="000000"/>
          <w:sz w:val="24"/>
        </w:rPr>
      </w:pPr>
    </w:p>
    <w:p w:rsidR="007E6E23" w:rsidRPr="004F49B1" w:rsidRDefault="007E6E23" w:rsidP="007E6E23">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sz w:val="24"/>
        </w:rPr>
      </w:pPr>
      <w:r w:rsidRPr="004F49B1">
        <w:rPr>
          <w:rFonts w:ascii="Palatino Linotype" w:eastAsia="Palatino Linotype" w:hAnsi="Palatino Linotype" w:cs="Palatino Linotype"/>
          <w:sz w:val="24"/>
        </w:rPr>
        <w:lastRenderedPageBreak/>
        <w:t xml:space="preserve">De lo anterior el </w:t>
      </w:r>
      <w:r w:rsidRPr="004F49B1">
        <w:rPr>
          <w:rFonts w:ascii="Palatino Linotype" w:eastAsia="Palatino Linotype" w:hAnsi="Palatino Linotype" w:cs="Palatino Linotype"/>
          <w:b/>
          <w:sz w:val="24"/>
        </w:rPr>
        <w:t xml:space="preserve">SUJETO OBLIGADO y el RECURRENTE </w:t>
      </w:r>
      <w:r w:rsidRPr="004F49B1">
        <w:rPr>
          <w:rFonts w:ascii="Palatino Linotype" w:eastAsia="Palatino Linotype" w:hAnsi="Palatino Linotype" w:cs="Palatino Linotype"/>
          <w:sz w:val="24"/>
        </w:rPr>
        <w:t xml:space="preserve">dejaron de realizar manifestaciones que a su derecho conviniera y asistiera para el Recurso de Revisión </w:t>
      </w:r>
      <w:r w:rsidRPr="004F49B1">
        <w:rPr>
          <w:rFonts w:ascii="Palatino Linotype" w:eastAsia="Calibri" w:hAnsi="Palatino Linotype" w:cs="Tahoma"/>
          <w:b/>
          <w:bCs/>
          <w:sz w:val="24"/>
          <w:lang w:eastAsia="en-US"/>
        </w:rPr>
        <w:t>12798/INFOEM/ICR-167/IP/RR/2025.</w:t>
      </w:r>
    </w:p>
    <w:p w:rsidR="007E6E23" w:rsidRPr="004F49B1" w:rsidRDefault="007E6E23" w:rsidP="007E6E23">
      <w:pPr>
        <w:pStyle w:val="Prrafodelista"/>
        <w:rPr>
          <w:rFonts w:ascii="Palatino Linotype" w:eastAsia="Palatino Linotype" w:hAnsi="Palatino Linotype" w:cs="Palatino Linotype"/>
          <w:color w:val="000000"/>
          <w:sz w:val="24"/>
        </w:rPr>
      </w:pPr>
    </w:p>
    <w:p w:rsidR="00032240" w:rsidRPr="004F49B1" w:rsidRDefault="00032240" w:rsidP="00032240">
      <w:pPr>
        <w:pStyle w:val="Prrafodelista"/>
        <w:spacing w:line="360" w:lineRule="auto"/>
        <w:ind w:left="0"/>
        <w:jc w:val="both"/>
        <w:rPr>
          <w:rFonts w:ascii="Palatino Linotype" w:hAnsi="Palatino Linotype" w:cs="Arial"/>
          <w:sz w:val="24"/>
          <w:lang w:val="es-ES"/>
        </w:rPr>
      </w:pPr>
      <w:r w:rsidRPr="004F49B1">
        <w:rPr>
          <w:rFonts w:ascii="Palatino Linotype" w:eastAsia="Calibri" w:hAnsi="Palatino Linotype" w:cs="Tahoma"/>
          <w:b/>
          <w:bCs/>
          <w:sz w:val="24"/>
          <w:lang w:eastAsia="en-US"/>
        </w:rPr>
        <w:t>12798/INFOEM/ICR-167/IP/RR/2025</w:t>
      </w:r>
    </w:p>
    <w:p w:rsidR="00032240" w:rsidRPr="004F49B1" w:rsidRDefault="00032240" w:rsidP="00032240">
      <w:pPr>
        <w:pStyle w:val="Prrafodelista"/>
        <w:spacing w:line="360" w:lineRule="auto"/>
        <w:ind w:left="0"/>
        <w:jc w:val="both"/>
        <w:rPr>
          <w:rFonts w:ascii="Palatino Linotype" w:hAnsi="Palatino Linotype" w:cs="Arial"/>
          <w:sz w:val="24"/>
          <w:lang w:val="es-ES"/>
        </w:rPr>
      </w:pPr>
      <w:r w:rsidRPr="004F49B1">
        <w:rPr>
          <w:rFonts w:ascii="Palatino Linotype" w:eastAsia="Calibri" w:hAnsi="Palatino Linotype" w:cs="Arial"/>
          <w:b/>
          <w:bCs/>
          <w:sz w:val="24"/>
          <w:lang w:val="es-ES_tradnl"/>
        </w:rPr>
        <w:t>00659/TEPOTZOT/IP/2025</w:t>
      </w:r>
    </w:p>
    <w:p w:rsidR="00032240" w:rsidRPr="004F49B1" w:rsidRDefault="00032240" w:rsidP="007E6E23">
      <w:pPr>
        <w:pStyle w:val="Prrafodelista"/>
        <w:rPr>
          <w:rFonts w:ascii="Palatino Linotype" w:eastAsia="Palatino Linotype" w:hAnsi="Palatino Linotype" w:cs="Palatino Linotype"/>
          <w:color w:val="000000"/>
          <w:sz w:val="24"/>
        </w:rPr>
      </w:pPr>
    </w:p>
    <w:p w:rsidR="00955F78" w:rsidRPr="004F49B1" w:rsidRDefault="00955F78" w:rsidP="00955F7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4F49B1">
        <w:rPr>
          <w:rFonts w:ascii="Palatino Linotype" w:eastAsia="Palatino Linotype" w:hAnsi="Palatino Linotype" w:cs="Palatino Linotype"/>
          <w:color w:val="000000"/>
          <w:sz w:val="24"/>
          <w:szCs w:val="24"/>
        </w:rPr>
        <w:t>El</w:t>
      </w:r>
      <w:r w:rsidRPr="004F49B1">
        <w:rPr>
          <w:rFonts w:ascii="Palatino Linotype" w:eastAsia="Palatino Linotype" w:hAnsi="Palatino Linotype" w:cs="Palatino Linotype"/>
          <w:b/>
          <w:color w:val="000000"/>
          <w:sz w:val="24"/>
          <w:szCs w:val="24"/>
        </w:rPr>
        <w:t xml:space="preserve"> </w:t>
      </w:r>
      <w:r w:rsidR="007E6E23" w:rsidRPr="004F49B1">
        <w:rPr>
          <w:rFonts w:ascii="Palatino Linotype" w:eastAsia="Palatino Linotype" w:hAnsi="Palatino Linotype" w:cs="Palatino Linotype"/>
          <w:b/>
          <w:color w:val="000000"/>
          <w:sz w:val="24"/>
          <w:szCs w:val="24"/>
        </w:rPr>
        <w:t xml:space="preserve">veintiséis de diciembre </w:t>
      </w:r>
      <w:r w:rsidRPr="004F49B1">
        <w:rPr>
          <w:rFonts w:ascii="Palatino Linotype" w:eastAsia="Palatino Linotype" w:hAnsi="Palatino Linotype" w:cs="Palatino Linotype"/>
          <w:b/>
          <w:color w:val="000000"/>
          <w:sz w:val="24"/>
          <w:szCs w:val="24"/>
        </w:rPr>
        <w:t>de dos mil veinticinco</w:t>
      </w:r>
      <w:r w:rsidRPr="004F49B1">
        <w:rPr>
          <w:rFonts w:ascii="Palatino Linotype" w:eastAsia="Palatino Linotype" w:hAnsi="Palatino Linotype" w:cs="Palatino Linotype"/>
          <w:color w:val="000000"/>
          <w:sz w:val="24"/>
          <w:szCs w:val="24"/>
        </w:rPr>
        <w:t>, presento su informe justificado</w:t>
      </w:r>
      <w:r w:rsidR="007E6E23" w:rsidRPr="004F49B1">
        <w:rPr>
          <w:rFonts w:ascii="Palatino Linotype" w:eastAsia="Palatino Linotype" w:hAnsi="Palatino Linotype" w:cs="Palatino Linotype"/>
          <w:color w:val="000000"/>
          <w:sz w:val="24"/>
          <w:szCs w:val="24"/>
        </w:rPr>
        <w:t xml:space="preserve"> en relación al Recurso de Revisión </w:t>
      </w:r>
      <w:r w:rsidR="007E6E23" w:rsidRPr="004F49B1">
        <w:rPr>
          <w:rFonts w:ascii="Palatino Linotype" w:eastAsia="Calibri" w:hAnsi="Palatino Linotype" w:cs="Tahoma"/>
          <w:b/>
          <w:bCs/>
          <w:sz w:val="24"/>
          <w:szCs w:val="24"/>
          <w:lang w:eastAsia="en-US"/>
        </w:rPr>
        <w:t xml:space="preserve">14383/INFOEM/IP/RR/2025, </w:t>
      </w:r>
      <w:r w:rsidR="007E6E23" w:rsidRPr="004F49B1">
        <w:rPr>
          <w:rFonts w:ascii="Palatino Linotype" w:eastAsia="Calibri" w:hAnsi="Palatino Linotype" w:cs="Tahoma"/>
          <w:bCs/>
          <w:sz w:val="24"/>
          <w:szCs w:val="24"/>
          <w:lang w:eastAsia="en-US"/>
        </w:rPr>
        <w:t>no obstante al ser un día inhábil de acuerdo al calendario oficial de este Instituto, se tuvo por presentado al día hábil siguiente, es decir el doce de enero de dos mil veintiséis</w:t>
      </w:r>
      <w:r w:rsidRPr="004F49B1">
        <w:rPr>
          <w:rFonts w:ascii="Palatino Linotype" w:eastAsia="Palatino Linotype" w:hAnsi="Palatino Linotype" w:cs="Palatino Linotype"/>
          <w:color w:val="000000"/>
          <w:sz w:val="24"/>
          <w:szCs w:val="24"/>
        </w:rPr>
        <w:t>, cuyo contenido toral es el siguiente:</w:t>
      </w:r>
    </w:p>
    <w:p w:rsidR="00C42310" w:rsidRPr="004F49B1" w:rsidRDefault="00C42310" w:rsidP="00C4231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55F78" w:rsidRPr="004F49B1" w:rsidRDefault="003275A8" w:rsidP="00955F78">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sz w:val="24"/>
        </w:rPr>
      </w:pPr>
      <w:hyperlink r:id="rId7" w:history="1">
        <w:r w:rsidR="00C42310" w:rsidRPr="004F49B1">
          <w:rPr>
            <w:rFonts w:ascii="Palatino Linotype" w:eastAsia="Calibri" w:hAnsi="Palatino Linotype" w:cs="Tahoma"/>
            <w:b/>
            <w:sz w:val="24"/>
            <w:lang w:eastAsia="en-US"/>
          </w:rPr>
          <w:t>HAT-UTAIP-2025-1213 incompetencia.pdf</w:t>
        </w:r>
      </w:hyperlink>
      <w:r w:rsidR="00955F78" w:rsidRPr="004F49B1">
        <w:rPr>
          <w:rFonts w:ascii="Palatino Linotype" w:eastAsia="Calibri" w:hAnsi="Palatino Linotype" w:cs="Tahoma"/>
          <w:b/>
          <w:bCs/>
          <w:sz w:val="24"/>
          <w:lang w:eastAsia="en-US"/>
        </w:rPr>
        <w:t>:</w:t>
      </w:r>
      <w:r w:rsidR="00955F78" w:rsidRPr="004F49B1">
        <w:rPr>
          <w:rFonts w:ascii="Palatino Linotype" w:eastAsia="Palatino Linotype" w:hAnsi="Palatino Linotype" w:cs="Palatino Linotype"/>
          <w:b/>
          <w:sz w:val="24"/>
        </w:rPr>
        <w:t xml:space="preserve"> </w:t>
      </w:r>
      <w:r w:rsidR="00C42310" w:rsidRPr="004F49B1">
        <w:rPr>
          <w:rFonts w:ascii="Palatino Linotype" w:eastAsia="Palatino Linotype" w:hAnsi="Palatino Linotype" w:cs="Palatino Linotype"/>
          <w:sz w:val="24"/>
        </w:rPr>
        <w:t>Oficio HAT/UTAIP/2025/1213 de fecha veintiséis de diciembre de dos mil veintiséis, suscrito por el titular de la Unidad de Transparencia y Acceso a la Información Pública, a través del cual refiere que la información solicitada no compete al Ayuntamiento de Tepotzotlán, toda vez que dicha información, la administra y posee la Secretaría de la Contraloría</w:t>
      </w:r>
      <w:r w:rsidR="00AC46F5" w:rsidRPr="004F49B1">
        <w:rPr>
          <w:rFonts w:ascii="Palatino Linotype" w:eastAsia="Palatino Linotype" w:hAnsi="Palatino Linotype" w:cs="Palatino Linotype"/>
          <w:sz w:val="24"/>
        </w:rPr>
        <w:t>.</w:t>
      </w:r>
    </w:p>
    <w:p w:rsidR="00955F78" w:rsidRPr="004F49B1" w:rsidRDefault="00955F78" w:rsidP="00955F78">
      <w:pPr>
        <w:pBdr>
          <w:top w:val="nil"/>
          <w:left w:val="nil"/>
          <w:bottom w:val="nil"/>
          <w:right w:val="nil"/>
          <w:between w:val="nil"/>
        </w:pBdr>
        <w:spacing w:line="360" w:lineRule="auto"/>
        <w:ind w:left="360" w:right="616"/>
        <w:jc w:val="center"/>
        <w:rPr>
          <w:rFonts w:ascii="Palatino Linotype" w:eastAsia="Palatino Linotype" w:hAnsi="Palatino Linotype" w:cs="Palatino Linotype"/>
          <w:sz w:val="24"/>
          <w:szCs w:val="24"/>
        </w:rPr>
      </w:pPr>
    </w:p>
    <w:p w:rsidR="0049610F" w:rsidRPr="004F49B1" w:rsidRDefault="0049610F" w:rsidP="0049610F">
      <w:pPr>
        <w:spacing w:line="360" w:lineRule="auto"/>
        <w:jc w:val="both"/>
        <w:rPr>
          <w:rFonts w:ascii="Palatino Linotype" w:hAnsi="Palatino Linotype" w:cs="Arial"/>
          <w:sz w:val="24"/>
          <w:szCs w:val="24"/>
          <w:u w:val="single"/>
          <w:lang w:val="es-ES"/>
        </w:rPr>
      </w:pPr>
      <w:r w:rsidRPr="004F49B1">
        <w:rPr>
          <w:rFonts w:ascii="Palatino Linotype" w:eastAsia="Calibri" w:hAnsi="Palatino Linotype" w:cs="Tahoma"/>
          <w:b/>
          <w:bCs/>
          <w:sz w:val="24"/>
          <w:szCs w:val="24"/>
          <w:u w:val="single"/>
          <w:lang w:eastAsia="en-US"/>
        </w:rPr>
        <w:t>12798/INFOEM/ICR-167/IP/RR/2025</w:t>
      </w:r>
    </w:p>
    <w:p w:rsidR="0049610F" w:rsidRPr="004F49B1" w:rsidRDefault="0049610F" w:rsidP="0049610F">
      <w:pPr>
        <w:spacing w:line="360" w:lineRule="auto"/>
        <w:jc w:val="both"/>
        <w:rPr>
          <w:rFonts w:ascii="Palatino Linotype" w:hAnsi="Palatino Linotype" w:cs="Arial"/>
          <w:sz w:val="24"/>
          <w:szCs w:val="24"/>
          <w:u w:val="single"/>
          <w:lang w:val="es-ES"/>
        </w:rPr>
      </w:pPr>
      <w:r w:rsidRPr="004F49B1">
        <w:rPr>
          <w:rFonts w:ascii="Palatino Linotype" w:eastAsia="Calibri" w:hAnsi="Palatino Linotype" w:cs="Arial"/>
          <w:b/>
          <w:bCs/>
          <w:sz w:val="24"/>
          <w:szCs w:val="24"/>
          <w:u w:val="single"/>
          <w:lang w:val="es-ES_tradnl"/>
        </w:rPr>
        <w:t>00659/TEPOTZOT/IP/2025</w:t>
      </w:r>
    </w:p>
    <w:p w:rsidR="00955F78" w:rsidRPr="004F49B1" w:rsidRDefault="00955F78" w:rsidP="00955F78">
      <w:pPr>
        <w:pStyle w:val="Prrafodelista"/>
        <w:spacing w:line="360" w:lineRule="auto"/>
        <w:ind w:left="0"/>
        <w:jc w:val="both"/>
        <w:rPr>
          <w:rFonts w:ascii="Palatino Linotype" w:hAnsi="Palatino Linotype" w:cs="Tahoma"/>
          <w:sz w:val="24"/>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Tahoma"/>
          <w:sz w:val="24"/>
        </w:rPr>
      </w:pPr>
      <w:r w:rsidRPr="004F49B1">
        <w:rPr>
          <w:rFonts w:ascii="Palatino Linotype" w:eastAsia="Calibri" w:hAnsi="Palatino Linotype" w:cs="Arial"/>
          <w:sz w:val="24"/>
          <w:lang w:val="es-ES"/>
        </w:rPr>
        <w:lastRenderedPageBreak/>
        <w:t xml:space="preserve">El </w:t>
      </w:r>
      <w:r w:rsidR="00AC46F5" w:rsidRPr="004F49B1">
        <w:rPr>
          <w:rFonts w:ascii="Palatino Linotype" w:eastAsia="Calibri" w:hAnsi="Palatino Linotype" w:cs="Arial"/>
          <w:b/>
          <w:sz w:val="24"/>
          <w:lang w:val="es-ES"/>
        </w:rPr>
        <w:t xml:space="preserve">veinticinco de noviembre </w:t>
      </w:r>
      <w:r w:rsidRPr="004F49B1">
        <w:rPr>
          <w:rFonts w:ascii="Palatino Linotype" w:eastAsia="Calibri" w:hAnsi="Palatino Linotype" w:cs="Arial"/>
          <w:b/>
          <w:sz w:val="24"/>
          <w:lang w:val="es-ES"/>
        </w:rPr>
        <w:t>de dos mil veinticinco,</w:t>
      </w:r>
      <w:r w:rsidRPr="004F49B1">
        <w:rPr>
          <w:rFonts w:ascii="Palatino Linotype" w:eastAsia="Calibri" w:hAnsi="Palatino Linotype" w:cs="Arial"/>
          <w:sz w:val="24"/>
          <w:lang w:val="es-ES"/>
        </w:rPr>
        <w:t xml:space="preserve"> la</w:t>
      </w:r>
      <w:r w:rsidRPr="004F49B1">
        <w:rPr>
          <w:rFonts w:ascii="Palatino Linotype" w:hAnsi="Palatino Linotype"/>
          <w:sz w:val="24"/>
        </w:rPr>
        <w:t xml:space="preserve"> Comisionada Ponente decretó el cierre de instrucción</w:t>
      </w:r>
      <w:r w:rsidRPr="004F49B1">
        <w:rPr>
          <w:rFonts w:ascii="Palatino Linotype" w:hAnsi="Palatino Linotype" w:cs="Arial"/>
          <w:sz w:val="24"/>
        </w:rPr>
        <w:t>.</w:t>
      </w:r>
      <w:r w:rsidRPr="004F49B1">
        <w:rPr>
          <w:rFonts w:ascii="Palatino Linotype" w:hAnsi="Palatino Linotype" w:cs="Tahoma"/>
          <w:sz w:val="24"/>
        </w:rPr>
        <w:t xml:space="preserve"> Por lo que turnó la presente resolución para su aprobación.</w:t>
      </w:r>
    </w:p>
    <w:p w:rsidR="00D25C7A" w:rsidRPr="004F49B1" w:rsidRDefault="00D25C7A" w:rsidP="00D25C7A">
      <w:pPr>
        <w:pStyle w:val="Prrafodelista"/>
        <w:spacing w:line="360" w:lineRule="auto"/>
        <w:ind w:left="0"/>
        <w:jc w:val="both"/>
        <w:rPr>
          <w:rFonts w:ascii="Palatino Linotype" w:hAnsi="Palatino Linotype" w:cs="Tahoma"/>
          <w:sz w:val="24"/>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Tahoma"/>
          <w:sz w:val="24"/>
        </w:rPr>
      </w:pPr>
      <w:r w:rsidRPr="004F49B1">
        <w:rPr>
          <w:rFonts w:ascii="Palatino Linotype" w:hAnsi="Palatino Linotype" w:cs="Tahoma"/>
          <w:sz w:val="24"/>
        </w:rPr>
        <w:t xml:space="preserve">El </w:t>
      </w:r>
      <w:r w:rsidR="00AC46F5" w:rsidRPr="004F49B1">
        <w:rPr>
          <w:rFonts w:ascii="Palatino Linotype" w:hAnsi="Palatino Linotype" w:cs="Tahoma"/>
          <w:b/>
          <w:sz w:val="24"/>
        </w:rPr>
        <w:t xml:space="preserve">tres de diciembre </w:t>
      </w:r>
      <w:r w:rsidRPr="004F49B1">
        <w:rPr>
          <w:rFonts w:ascii="Palatino Linotype" w:hAnsi="Palatino Linotype" w:cs="Tahoma"/>
          <w:b/>
          <w:sz w:val="24"/>
        </w:rPr>
        <w:t>de dos mil veinticinco</w:t>
      </w:r>
      <w:r w:rsidR="00955F78" w:rsidRPr="004F49B1">
        <w:rPr>
          <w:rFonts w:ascii="Palatino Linotype" w:hAnsi="Palatino Linotype" w:cs="Tahoma"/>
          <w:sz w:val="24"/>
        </w:rPr>
        <w:t xml:space="preserve">, en la </w:t>
      </w:r>
      <w:r w:rsidR="00AC46F5" w:rsidRPr="004F49B1">
        <w:rPr>
          <w:rFonts w:ascii="Palatino Linotype" w:hAnsi="Palatino Linotype" w:cs="Tahoma"/>
          <w:sz w:val="24"/>
        </w:rPr>
        <w:t>Cuadragésima Tercera Sesión Ordinaria</w:t>
      </w:r>
      <w:r w:rsidRPr="004F49B1">
        <w:rPr>
          <w:rFonts w:ascii="Palatino Linotype" w:hAnsi="Palatino Linotype" w:cs="Tahoma"/>
          <w:sz w:val="24"/>
        </w:rPr>
        <w:t xml:space="preserve">, el Pleno del Instituto de Transparencia, Acceso a la Información Pública y Protección de Datos Personales del Estado de México y Municipios, aprobó por Unanimidad de votos, la resolución dictada en el recurso de revisión </w:t>
      </w:r>
      <w:r w:rsidR="003F32DB" w:rsidRPr="004F49B1">
        <w:rPr>
          <w:rFonts w:ascii="Palatino Linotype" w:hAnsi="Palatino Linotype" w:cs="Tahoma"/>
          <w:b/>
          <w:sz w:val="24"/>
        </w:rPr>
        <w:t>12798</w:t>
      </w:r>
      <w:r w:rsidRPr="004F49B1">
        <w:rPr>
          <w:rFonts w:ascii="Palatino Linotype" w:hAnsi="Palatino Linotype" w:cs="Tahoma"/>
          <w:b/>
          <w:sz w:val="24"/>
        </w:rPr>
        <w:t>/INFOEM/IP/RR/2025</w:t>
      </w:r>
      <w:r w:rsidRPr="004F49B1">
        <w:rPr>
          <w:rFonts w:ascii="Palatino Linotype" w:hAnsi="Palatino Linotype" w:cs="Tahoma"/>
          <w:sz w:val="24"/>
        </w:rPr>
        <w:t xml:space="preserve"> en la cual se determinó los  siguiente:</w:t>
      </w:r>
    </w:p>
    <w:p w:rsidR="00D25C7A" w:rsidRPr="004F49B1" w:rsidRDefault="00D25C7A" w:rsidP="00D25C7A">
      <w:pPr>
        <w:pStyle w:val="Prrafodelista"/>
        <w:rPr>
          <w:rFonts w:ascii="Palatino Linotype" w:hAnsi="Palatino Linotype" w:cs="Tahoma"/>
          <w:sz w:val="24"/>
        </w:rPr>
      </w:pPr>
    </w:p>
    <w:p w:rsidR="00D935A9" w:rsidRPr="004F49B1" w:rsidRDefault="00D25C7A" w:rsidP="00314B46">
      <w:pPr>
        <w:pStyle w:val="Prrafodelista"/>
        <w:ind w:left="851" w:right="680"/>
        <w:jc w:val="both"/>
        <w:rPr>
          <w:rFonts w:ascii="Palatino Linotype" w:hAnsi="Palatino Linotype"/>
          <w:b/>
          <w:i/>
          <w:sz w:val="24"/>
        </w:rPr>
      </w:pPr>
      <w:r w:rsidRPr="004F49B1">
        <w:rPr>
          <w:rFonts w:ascii="Palatino Linotype" w:hAnsi="Palatino Linotype"/>
          <w:i/>
          <w:sz w:val="24"/>
        </w:rPr>
        <w:t>“</w:t>
      </w:r>
      <w:r w:rsidR="00D935A9" w:rsidRPr="004F49B1">
        <w:rPr>
          <w:rFonts w:ascii="Palatino Linotype" w:hAnsi="Palatino Linotype"/>
          <w:b/>
          <w:i/>
          <w:sz w:val="24"/>
        </w:rPr>
        <w:t xml:space="preserve">PRIMERO. </w:t>
      </w:r>
      <w:r w:rsidR="00D935A9" w:rsidRPr="004F49B1">
        <w:rPr>
          <w:rFonts w:ascii="Palatino Linotype" w:hAnsi="Palatino Linotype"/>
          <w:i/>
          <w:sz w:val="24"/>
        </w:rPr>
        <w:t xml:space="preserve">Resultan fundadas las razones o motivos de inconformidad hechos valer </w:t>
      </w:r>
      <w:r w:rsidR="003F32DB" w:rsidRPr="004F49B1">
        <w:rPr>
          <w:rFonts w:ascii="Palatino Linotype" w:hAnsi="Palatino Linotype"/>
          <w:i/>
          <w:sz w:val="24"/>
        </w:rPr>
        <w:t xml:space="preserve">por </w:t>
      </w:r>
      <w:r w:rsidR="003F32DB" w:rsidRPr="004F49B1">
        <w:rPr>
          <w:rFonts w:ascii="Palatino Linotype" w:hAnsi="Palatino Linotype"/>
          <w:b/>
          <w:i/>
          <w:sz w:val="24"/>
        </w:rPr>
        <w:t xml:space="preserve">LA RECURRENTE, </w:t>
      </w:r>
      <w:r w:rsidR="00D935A9" w:rsidRPr="004F49B1">
        <w:rPr>
          <w:rFonts w:ascii="Palatino Linotype" w:hAnsi="Palatino Linotype"/>
          <w:i/>
          <w:sz w:val="24"/>
        </w:rPr>
        <w:t>en términos del Considerando</w:t>
      </w:r>
      <w:r w:rsidR="00D935A9" w:rsidRPr="004F49B1">
        <w:rPr>
          <w:rFonts w:ascii="Palatino Linotype" w:hAnsi="Palatino Linotype"/>
          <w:b/>
          <w:i/>
          <w:sz w:val="24"/>
        </w:rPr>
        <w:t xml:space="preserve"> </w:t>
      </w:r>
      <w:r w:rsidR="003F32DB" w:rsidRPr="004F49B1">
        <w:rPr>
          <w:rFonts w:ascii="Palatino Linotype" w:hAnsi="Palatino Linotype"/>
          <w:b/>
          <w:i/>
          <w:sz w:val="24"/>
        </w:rPr>
        <w:t xml:space="preserve">TERCERO, </w:t>
      </w:r>
      <w:r w:rsidR="003F32DB" w:rsidRPr="004F49B1">
        <w:rPr>
          <w:rFonts w:ascii="Palatino Linotype" w:hAnsi="Palatino Linotype"/>
          <w:i/>
          <w:sz w:val="24"/>
        </w:rPr>
        <w:t>de la presente resolución</w:t>
      </w:r>
      <w:r w:rsidR="00D935A9" w:rsidRPr="004F49B1">
        <w:rPr>
          <w:rFonts w:ascii="Palatino Linotype" w:hAnsi="Palatino Linotype"/>
          <w:b/>
          <w:i/>
          <w:sz w:val="24"/>
        </w:rPr>
        <w:t xml:space="preserve">. </w:t>
      </w:r>
    </w:p>
    <w:p w:rsidR="00D935A9" w:rsidRPr="004F49B1" w:rsidRDefault="00D935A9" w:rsidP="00314B46">
      <w:pPr>
        <w:pStyle w:val="Prrafodelista"/>
        <w:ind w:left="851" w:right="680"/>
        <w:jc w:val="both"/>
        <w:rPr>
          <w:rFonts w:ascii="Palatino Linotype" w:hAnsi="Palatino Linotype"/>
          <w:b/>
          <w:i/>
          <w:sz w:val="24"/>
        </w:rPr>
      </w:pPr>
    </w:p>
    <w:p w:rsidR="00D935A9" w:rsidRPr="004F49B1" w:rsidRDefault="00D935A9" w:rsidP="00314B46">
      <w:pPr>
        <w:pStyle w:val="Prrafodelista"/>
        <w:ind w:left="851" w:right="680"/>
        <w:jc w:val="both"/>
        <w:rPr>
          <w:rFonts w:ascii="Palatino Linotype" w:hAnsi="Palatino Linotype"/>
          <w:b/>
          <w:i/>
          <w:sz w:val="24"/>
        </w:rPr>
      </w:pPr>
      <w:r w:rsidRPr="004F49B1">
        <w:rPr>
          <w:rFonts w:ascii="Palatino Linotype" w:hAnsi="Palatino Linotype"/>
          <w:b/>
          <w:i/>
          <w:sz w:val="24"/>
        </w:rPr>
        <w:t xml:space="preserve">SEGUNDO. </w:t>
      </w:r>
      <w:r w:rsidRPr="004F49B1">
        <w:rPr>
          <w:rFonts w:ascii="Palatino Linotype" w:hAnsi="Palatino Linotype"/>
          <w:i/>
          <w:sz w:val="24"/>
        </w:rPr>
        <w:t xml:space="preserve">Se </w:t>
      </w:r>
      <w:r w:rsidRPr="004F49B1">
        <w:rPr>
          <w:rFonts w:ascii="Palatino Linotype" w:hAnsi="Palatino Linotype"/>
          <w:b/>
          <w:i/>
          <w:sz w:val="24"/>
        </w:rPr>
        <w:t xml:space="preserve">ORDENA </w:t>
      </w:r>
      <w:r w:rsidRPr="004F49B1">
        <w:rPr>
          <w:rFonts w:ascii="Palatino Linotype" w:hAnsi="Palatino Linotype"/>
          <w:i/>
          <w:sz w:val="24"/>
        </w:rPr>
        <w:t xml:space="preserve">al </w:t>
      </w:r>
      <w:r w:rsidR="003F32DB" w:rsidRPr="004F49B1">
        <w:rPr>
          <w:rFonts w:ascii="Palatino Linotype" w:hAnsi="Palatino Linotype"/>
          <w:b/>
          <w:i/>
          <w:sz w:val="24"/>
        </w:rPr>
        <w:t>Sujeto Obligado</w:t>
      </w:r>
      <w:r w:rsidRPr="004F49B1">
        <w:rPr>
          <w:rFonts w:ascii="Palatino Linotype" w:hAnsi="Palatino Linotype"/>
          <w:i/>
          <w:sz w:val="24"/>
        </w:rPr>
        <w:t xml:space="preserve">, </w:t>
      </w:r>
      <w:r w:rsidR="003F32DB" w:rsidRPr="004F49B1">
        <w:rPr>
          <w:rFonts w:ascii="Palatino Linotype" w:hAnsi="Palatino Linotype"/>
          <w:i/>
          <w:sz w:val="24"/>
        </w:rPr>
        <w:t xml:space="preserve">atienda la solicitud de información folio </w:t>
      </w:r>
      <w:r w:rsidR="003F32DB" w:rsidRPr="004F49B1">
        <w:rPr>
          <w:rFonts w:ascii="Palatino Linotype" w:hAnsi="Palatino Linotype"/>
          <w:b/>
          <w:i/>
          <w:sz w:val="24"/>
        </w:rPr>
        <w:t xml:space="preserve">00659/TEPOTZOT/IP/2025, </w:t>
      </w:r>
      <w:r w:rsidR="003F32DB" w:rsidRPr="004F49B1">
        <w:rPr>
          <w:rFonts w:ascii="Palatino Linotype" w:hAnsi="Palatino Linotype"/>
          <w:i/>
          <w:sz w:val="24"/>
        </w:rPr>
        <w:t>vía</w:t>
      </w:r>
      <w:r w:rsidRPr="004F49B1">
        <w:rPr>
          <w:rFonts w:ascii="Palatino Linotype" w:hAnsi="Palatino Linotype"/>
          <w:i/>
          <w:sz w:val="24"/>
        </w:rPr>
        <w:t xml:space="preserve"> Sistema de Acceso a la Información Mexiquense (SAIMEX), </w:t>
      </w:r>
      <w:r w:rsidR="003F32DB" w:rsidRPr="004F49B1">
        <w:rPr>
          <w:rFonts w:ascii="Palatino Linotype" w:hAnsi="Palatino Linotype"/>
          <w:i/>
          <w:sz w:val="24"/>
        </w:rPr>
        <w:t xml:space="preserve">en términos del Considerando </w:t>
      </w:r>
      <w:r w:rsidR="003F32DB" w:rsidRPr="004F49B1">
        <w:rPr>
          <w:rFonts w:ascii="Palatino Linotype" w:hAnsi="Palatino Linotype"/>
          <w:b/>
          <w:i/>
          <w:sz w:val="24"/>
        </w:rPr>
        <w:t xml:space="preserve">TERCERO </w:t>
      </w:r>
      <w:r w:rsidR="003F32DB" w:rsidRPr="004F49B1">
        <w:rPr>
          <w:rFonts w:ascii="Palatino Linotype" w:hAnsi="Palatino Linotype"/>
          <w:i/>
          <w:sz w:val="24"/>
        </w:rPr>
        <w:t>de esta resolución.</w:t>
      </w:r>
      <w:r w:rsidRPr="004F49B1">
        <w:rPr>
          <w:rFonts w:ascii="Palatino Linotype" w:hAnsi="Palatino Linotype"/>
          <w:b/>
          <w:i/>
          <w:sz w:val="24"/>
        </w:rPr>
        <w:t xml:space="preserve"> </w:t>
      </w:r>
    </w:p>
    <w:p w:rsidR="00D935A9" w:rsidRPr="004F49B1" w:rsidRDefault="00D935A9" w:rsidP="00314B46">
      <w:pPr>
        <w:pStyle w:val="Prrafodelista"/>
        <w:ind w:left="851" w:right="680"/>
        <w:jc w:val="both"/>
        <w:rPr>
          <w:rFonts w:ascii="Palatino Linotype" w:hAnsi="Palatino Linotype"/>
          <w:b/>
          <w:i/>
          <w:sz w:val="24"/>
        </w:rPr>
      </w:pPr>
    </w:p>
    <w:p w:rsidR="00D935A9" w:rsidRPr="004F49B1" w:rsidRDefault="00D935A9" w:rsidP="00314B46">
      <w:pPr>
        <w:pStyle w:val="Prrafodelista"/>
        <w:ind w:left="851" w:right="680"/>
        <w:jc w:val="both"/>
        <w:rPr>
          <w:rFonts w:ascii="Palatino Linotype" w:hAnsi="Palatino Linotype"/>
          <w:i/>
          <w:sz w:val="24"/>
        </w:rPr>
      </w:pPr>
      <w:r w:rsidRPr="004F49B1">
        <w:rPr>
          <w:rFonts w:ascii="Palatino Linotype" w:hAnsi="Palatino Linotype"/>
          <w:b/>
          <w:i/>
          <w:sz w:val="24"/>
        </w:rPr>
        <w:t xml:space="preserve">TERCERO. </w:t>
      </w:r>
      <w:r w:rsidR="003F32DB" w:rsidRPr="004F49B1">
        <w:rPr>
          <w:rFonts w:ascii="Palatino Linotype" w:hAnsi="Palatino Linotype"/>
          <w:b/>
          <w:i/>
          <w:sz w:val="24"/>
        </w:rPr>
        <w:t>Notifíquese</w:t>
      </w:r>
      <w:r w:rsidRPr="004F49B1">
        <w:rPr>
          <w:rFonts w:ascii="Palatino Linotype" w:hAnsi="Palatino Linotype"/>
          <w:i/>
          <w:sz w:val="24"/>
        </w:rPr>
        <w:t xml:space="preserve"> </w:t>
      </w:r>
      <w:r w:rsidR="003F32DB" w:rsidRPr="004F49B1">
        <w:rPr>
          <w:rFonts w:ascii="Palatino Linotype" w:hAnsi="Palatino Linotype"/>
          <w:i/>
          <w:sz w:val="24"/>
        </w:rPr>
        <w:t xml:space="preserve">vía Sistema de Acceso a la Información Mexiquense (SAIMEX), la presente resolución al Titular de la Unidad de Transparencia </w:t>
      </w:r>
      <w:r w:rsidR="003F32DB" w:rsidRPr="004F49B1">
        <w:rPr>
          <w:rFonts w:ascii="Palatino Linotype" w:hAnsi="Palatino Linotype"/>
          <w:b/>
          <w:i/>
          <w:sz w:val="24"/>
        </w:rPr>
        <w:t>DEL SUJETO OBLIGADO</w:t>
      </w:r>
      <w:r w:rsidR="003F32DB" w:rsidRPr="004F49B1">
        <w:rPr>
          <w:rFonts w:ascii="Palatino Linotype" w:hAnsi="Palatino Linotype"/>
          <w:i/>
          <w:sz w:val="24"/>
        </w:rPr>
        <w:t xml:space="preserve">, para que conforme al artículo 186 último párrafo, 189 segundo párrafo y 194 de la Ley de Transparencia y Acceso a la Información Pública del Estado de México y Municipios; </w:t>
      </w:r>
      <w:r w:rsidR="003F32DB" w:rsidRPr="004F49B1">
        <w:rPr>
          <w:rFonts w:ascii="Palatino Linotype" w:hAnsi="Palatino Linotype"/>
          <w:b/>
          <w:i/>
          <w:sz w:val="24"/>
        </w:rPr>
        <w:t>dé cumplimiento a lo ordenado dentro del plazo de diez días hábiles</w:t>
      </w:r>
      <w:r w:rsidR="003F32DB" w:rsidRPr="004F49B1">
        <w:rPr>
          <w:rFonts w:ascii="Palatino Linotype" w:hAnsi="Palatino Linotype"/>
          <w:i/>
          <w:sz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935A9" w:rsidRPr="004F49B1" w:rsidRDefault="003F32DB" w:rsidP="00314B46">
      <w:pPr>
        <w:pStyle w:val="Prrafodelista"/>
        <w:ind w:left="851" w:right="680"/>
        <w:jc w:val="both"/>
        <w:rPr>
          <w:rFonts w:ascii="Palatino Linotype" w:hAnsi="Palatino Linotype"/>
          <w:i/>
          <w:sz w:val="24"/>
        </w:rPr>
      </w:pPr>
      <w:r w:rsidRPr="004F49B1">
        <w:rPr>
          <w:rFonts w:ascii="Palatino Linotype" w:hAnsi="Palatino Linotype"/>
          <w:b/>
          <w:i/>
          <w:sz w:val="24"/>
        </w:rPr>
        <w:lastRenderedPageBreak/>
        <w:t>CUARTO.</w:t>
      </w:r>
      <w:r w:rsidRPr="004F49B1">
        <w:rPr>
          <w:rFonts w:ascii="Palatino Linotype" w:hAnsi="Palatino Linotype"/>
          <w:i/>
          <w:sz w:val="24"/>
        </w:rPr>
        <w:t xml:space="preserve"> </w:t>
      </w:r>
      <w:r w:rsidRPr="004F49B1">
        <w:rPr>
          <w:rFonts w:ascii="Palatino Linotype" w:hAnsi="Palatino Linotype"/>
          <w:b/>
          <w:i/>
          <w:sz w:val="24"/>
        </w:rPr>
        <w:t>Notifíquese,</w:t>
      </w:r>
      <w:r w:rsidRPr="004F49B1">
        <w:rPr>
          <w:rFonts w:ascii="Palatino Linotype" w:hAnsi="Palatino Linotype"/>
          <w:i/>
          <w:sz w:val="24"/>
        </w:rPr>
        <w:t xml:space="preserve"> vía Sistema de Acceso a la Información Mexiquense (SAIMEX) a la </w:t>
      </w:r>
      <w:r w:rsidRPr="004F49B1">
        <w:rPr>
          <w:rFonts w:ascii="Palatino Linotype" w:hAnsi="Palatino Linotype"/>
          <w:b/>
          <w:i/>
          <w:sz w:val="24"/>
        </w:rPr>
        <w:t xml:space="preserve">Recurrente </w:t>
      </w:r>
      <w:r w:rsidRPr="004F49B1">
        <w:rPr>
          <w:rFonts w:ascii="Palatino Linotype" w:hAnsi="Palatino Linotype"/>
          <w:i/>
          <w:sz w:val="24"/>
        </w:rPr>
        <w:t>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3F32DB" w:rsidRPr="004F49B1" w:rsidRDefault="003F32DB" w:rsidP="00314B46">
      <w:pPr>
        <w:pStyle w:val="Prrafodelista"/>
        <w:ind w:left="851" w:right="680"/>
        <w:jc w:val="both"/>
        <w:rPr>
          <w:rFonts w:ascii="Palatino Linotype" w:hAnsi="Palatino Linotype"/>
          <w:i/>
          <w:sz w:val="24"/>
        </w:rPr>
      </w:pPr>
    </w:p>
    <w:p w:rsidR="00D935A9" w:rsidRPr="004F49B1" w:rsidRDefault="003F32DB" w:rsidP="00314B46">
      <w:pPr>
        <w:pStyle w:val="Prrafodelista"/>
        <w:ind w:left="851" w:right="680"/>
        <w:jc w:val="both"/>
        <w:rPr>
          <w:rFonts w:ascii="Palatino Linotype" w:hAnsi="Palatino Linotype"/>
          <w:i/>
          <w:sz w:val="24"/>
        </w:rPr>
      </w:pPr>
      <w:r w:rsidRPr="004F49B1">
        <w:rPr>
          <w:rFonts w:ascii="Palatino Linotype" w:hAnsi="Palatino Linotype"/>
          <w:b/>
          <w:i/>
          <w:sz w:val="24"/>
        </w:rPr>
        <w:t>QUINTO.</w:t>
      </w:r>
      <w:r w:rsidRPr="004F49B1">
        <w:rPr>
          <w:rFonts w:ascii="Palatino Linotype" w:hAnsi="Palatino Linotype"/>
          <w:i/>
          <w:sz w:val="24"/>
        </w:rPr>
        <w:t xml:space="preserve"> </w:t>
      </w:r>
      <w:r w:rsidRPr="004F49B1">
        <w:rPr>
          <w:rFonts w:ascii="Palatino Linotype" w:hAnsi="Palatino Linotype"/>
          <w:b/>
          <w:i/>
          <w:sz w:val="24"/>
        </w:rPr>
        <w:t>Gírese</w:t>
      </w:r>
      <w:r w:rsidRPr="004F49B1">
        <w:rPr>
          <w:rFonts w:ascii="Palatino Linotype" w:hAnsi="Palatino Linotype"/>
          <w:i/>
          <w:sz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F49B1">
        <w:rPr>
          <w:rFonts w:ascii="Palatino Linotype" w:hAnsi="Palatino Linotype"/>
          <w:b/>
          <w:i/>
          <w:sz w:val="24"/>
        </w:rPr>
        <w:t>Considerando TERCERO</w:t>
      </w:r>
      <w:r w:rsidRPr="004F49B1">
        <w:rPr>
          <w:rFonts w:ascii="Palatino Linotype" w:hAnsi="Palatino Linotype"/>
          <w:i/>
          <w:sz w:val="24"/>
        </w:rPr>
        <w:t xml:space="preserve"> de la presente resolución.</w:t>
      </w:r>
    </w:p>
    <w:p w:rsidR="00D25C7A" w:rsidRPr="004F49B1" w:rsidRDefault="00D25C7A" w:rsidP="00D25C7A">
      <w:pPr>
        <w:pStyle w:val="Prrafodelista"/>
        <w:spacing w:line="360" w:lineRule="auto"/>
        <w:ind w:left="851" w:right="680"/>
        <w:jc w:val="both"/>
        <w:rPr>
          <w:rFonts w:ascii="Palatino Linotype" w:hAnsi="Palatino Linotype" w:cs="Tahoma"/>
          <w:i/>
          <w:sz w:val="24"/>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Tahoma"/>
          <w:sz w:val="24"/>
        </w:rPr>
      </w:pPr>
      <w:r w:rsidRPr="004F49B1">
        <w:rPr>
          <w:rFonts w:ascii="Palatino Linotype" w:hAnsi="Palatino Linotype" w:cs="Tahoma"/>
          <w:sz w:val="24"/>
        </w:rPr>
        <w:t xml:space="preserve">El </w:t>
      </w:r>
      <w:r w:rsidR="003F32DB" w:rsidRPr="004F49B1">
        <w:rPr>
          <w:rFonts w:ascii="Palatino Linotype" w:hAnsi="Palatino Linotype" w:cs="Tahoma"/>
          <w:b/>
          <w:sz w:val="24"/>
        </w:rPr>
        <w:t xml:space="preserve">once de diciembre </w:t>
      </w:r>
      <w:r w:rsidRPr="004F49B1">
        <w:rPr>
          <w:rFonts w:ascii="Palatino Linotype" w:hAnsi="Palatino Linotype" w:cs="Tahoma"/>
          <w:b/>
          <w:sz w:val="24"/>
        </w:rPr>
        <w:t>de dos mil veinticinco</w:t>
      </w:r>
      <w:r w:rsidRPr="004F49B1">
        <w:rPr>
          <w:rFonts w:ascii="Palatino Linotype" w:hAnsi="Palatino Linotype" w:cs="Tahoma"/>
          <w:sz w:val="24"/>
        </w:rPr>
        <w:t xml:space="preserve">, el Sujeto Obligado dio respuesta al recurso de revisión en el que adjuntó el archivo </w:t>
      </w:r>
      <w:r w:rsidR="003F32DB" w:rsidRPr="004F49B1">
        <w:rPr>
          <w:rStyle w:val="Hipervnculo"/>
          <w:rFonts w:ascii="Palatino Linotype" w:hAnsi="Palatino Linotype" w:cs="Tahoma"/>
          <w:b/>
          <w:bCs/>
          <w:color w:val="auto"/>
          <w:sz w:val="24"/>
        </w:rPr>
        <w:t>CIM-1355-2025.</w:t>
      </w:r>
      <w:r w:rsidR="005475B5" w:rsidRPr="004F49B1">
        <w:rPr>
          <w:rFonts w:ascii="Palatino Linotype" w:hAnsi="Palatino Linotype" w:cs="Tahoma"/>
          <w:sz w:val="24"/>
        </w:rPr>
        <w:t xml:space="preserve">, que contiene el oficio </w:t>
      </w:r>
      <w:r w:rsidR="008227EB" w:rsidRPr="004F49B1">
        <w:rPr>
          <w:rFonts w:ascii="Palatino Linotype" w:hAnsi="Palatino Linotype" w:cs="Tahoma"/>
          <w:sz w:val="24"/>
        </w:rPr>
        <w:t>CIM/1355/2025 de fecha veintitrés de octubre de dos mil veinticinco, suscrito por la Contralora Interna Municipal, a través del cual solicitó la aclaración de la temporalidad de la que se requeriré la información.</w:t>
      </w:r>
    </w:p>
    <w:p w:rsidR="00D25C7A" w:rsidRPr="004F49B1" w:rsidRDefault="00D25C7A" w:rsidP="00D25C7A">
      <w:pPr>
        <w:pStyle w:val="Prrafodelista"/>
        <w:spacing w:line="360" w:lineRule="auto"/>
        <w:ind w:left="0"/>
        <w:jc w:val="both"/>
        <w:rPr>
          <w:rFonts w:ascii="Palatino Linotype" w:hAnsi="Palatino Linotype" w:cs="Tahoma"/>
          <w:sz w:val="24"/>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Tahoma"/>
          <w:sz w:val="24"/>
        </w:rPr>
      </w:pPr>
      <w:r w:rsidRPr="004F49B1">
        <w:rPr>
          <w:rFonts w:ascii="Palatino Linotype" w:hAnsi="Palatino Linotype" w:cs="Tahoma"/>
          <w:sz w:val="24"/>
        </w:rPr>
        <w:t xml:space="preserve">El </w:t>
      </w:r>
      <w:r w:rsidR="00D935A9" w:rsidRPr="004F49B1">
        <w:rPr>
          <w:rFonts w:ascii="Palatino Linotype" w:hAnsi="Palatino Linotype" w:cs="Tahoma"/>
          <w:b/>
          <w:sz w:val="24"/>
        </w:rPr>
        <w:t>diecisiete de agosto</w:t>
      </w:r>
      <w:r w:rsidRPr="004F49B1">
        <w:rPr>
          <w:rFonts w:ascii="Palatino Linotype" w:hAnsi="Palatino Linotype" w:cs="Tahoma"/>
          <w:b/>
          <w:sz w:val="24"/>
        </w:rPr>
        <w:t xml:space="preserve"> de dos mil veinticinco</w:t>
      </w:r>
      <w:r w:rsidRPr="004F49B1">
        <w:rPr>
          <w:rFonts w:ascii="Palatino Linotype" w:hAnsi="Palatino Linotype" w:cs="Tahoma"/>
          <w:sz w:val="24"/>
        </w:rPr>
        <w:t xml:space="preserve">, en términos del último párrafo del artículo 179 de la Ley </w:t>
      </w:r>
      <w:r w:rsidRPr="004F49B1">
        <w:rPr>
          <w:rFonts w:ascii="Palatino Linotype" w:hAnsi="Palatino Linotype"/>
          <w:sz w:val="24"/>
        </w:rPr>
        <w:t>de Transparencia y Acceso a la Información Pública del Estado de México y Municipios, el Particular interpuso el medio de impugnación en estudio indicando como acto impugnado y razones o motivos de inconformidad lo que a continuación se transcribe:</w:t>
      </w:r>
    </w:p>
    <w:p w:rsidR="00D25C7A" w:rsidRPr="004F49B1" w:rsidRDefault="00D25C7A" w:rsidP="00D25C7A">
      <w:pPr>
        <w:pStyle w:val="Prrafodelista"/>
        <w:spacing w:line="360" w:lineRule="auto"/>
        <w:ind w:left="0"/>
        <w:jc w:val="both"/>
        <w:rPr>
          <w:rFonts w:ascii="Palatino Linotype" w:hAnsi="Palatino Linotype" w:cs="Tahoma"/>
          <w:sz w:val="24"/>
        </w:rPr>
      </w:pPr>
    </w:p>
    <w:p w:rsidR="00D25C7A" w:rsidRPr="004F49B1" w:rsidRDefault="00D25C7A" w:rsidP="004F49B1">
      <w:pPr>
        <w:pStyle w:val="Prrafodelista"/>
        <w:numPr>
          <w:ilvl w:val="0"/>
          <w:numId w:val="2"/>
        </w:numPr>
        <w:ind w:left="851" w:right="680" w:firstLine="0"/>
        <w:jc w:val="both"/>
        <w:rPr>
          <w:rFonts w:ascii="Palatino Linotype" w:hAnsi="Palatino Linotype"/>
          <w:sz w:val="24"/>
          <w:lang w:eastAsia="es-MX"/>
        </w:rPr>
      </w:pPr>
      <w:r w:rsidRPr="004F49B1">
        <w:rPr>
          <w:rFonts w:ascii="Palatino Linotype" w:hAnsi="Palatino Linotype" w:cs="Tahoma"/>
          <w:b/>
          <w:sz w:val="24"/>
        </w:rPr>
        <w:t>Acto impugnado</w:t>
      </w:r>
      <w:r w:rsidRPr="004F49B1">
        <w:rPr>
          <w:rFonts w:ascii="Palatino Linotype" w:hAnsi="Palatino Linotype" w:cs="Tahoma"/>
          <w:sz w:val="24"/>
        </w:rPr>
        <w:t xml:space="preserve"> </w:t>
      </w:r>
      <w:r w:rsidRPr="004F49B1">
        <w:rPr>
          <w:rFonts w:ascii="Palatino Linotype" w:hAnsi="Palatino Linotype" w:cs="Tahoma"/>
          <w:i/>
          <w:sz w:val="24"/>
        </w:rPr>
        <w:t>“</w:t>
      </w:r>
      <w:r w:rsidR="00032240" w:rsidRPr="004F49B1">
        <w:rPr>
          <w:rFonts w:ascii="Palatino Linotype" w:hAnsi="Palatino Linotype" w:cs="Tahoma"/>
          <w:i/>
          <w:sz w:val="24"/>
        </w:rPr>
        <w:t xml:space="preserve">Respuesta emitida por la Unidad de Transparencia y áreas administrativas del Ayuntamiento de Tepotzotlán, así como la solicitud de “aclaración </w:t>
      </w:r>
      <w:r w:rsidR="00032240" w:rsidRPr="004F49B1">
        <w:rPr>
          <w:rFonts w:ascii="Palatino Linotype" w:hAnsi="Palatino Linotype" w:cs="Tahoma"/>
          <w:i/>
          <w:sz w:val="24"/>
        </w:rPr>
        <w:lastRenderedPageBreak/>
        <w:t>de temporalidad” contenida en el oficio CIM/1355/2025. Se impugna la respuesta emitida por el sujeto obligado, consistente en no entregar la información solicitada y, en su lugar, requerir indebidamente una aclaración de temporalidad, a pesar de que la solicitud es clara, precisa y se refiere a información pública vigente, configurándose una respuesta evasiva y una práctica dilatoria.</w:t>
      </w:r>
      <w:r w:rsidRPr="004F49B1">
        <w:rPr>
          <w:rFonts w:ascii="Palatino Linotype" w:hAnsi="Palatino Linotype" w:cs="Tahoma"/>
          <w:i/>
          <w:sz w:val="24"/>
        </w:rPr>
        <w:t>”</w:t>
      </w:r>
      <w:r w:rsidRPr="004F49B1">
        <w:rPr>
          <w:rFonts w:ascii="Palatino Linotype" w:hAnsi="Palatino Linotype"/>
          <w:sz w:val="24"/>
          <w:lang w:eastAsia="es-MX"/>
        </w:rPr>
        <w:t xml:space="preserve"> </w:t>
      </w:r>
      <w:r w:rsidR="00032240" w:rsidRPr="004F49B1">
        <w:rPr>
          <w:rFonts w:ascii="Palatino Linotype" w:hAnsi="Palatino Linotype"/>
          <w:sz w:val="24"/>
          <w:lang w:eastAsia="es-MX"/>
        </w:rPr>
        <w:t>(Sic.)</w:t>
      </w:r>
    </w:p>
    <w:p w:rsidR="00D25C7A" w:rsidRPr="004F49B1" w:rsidRDefault="00D25C7A" w:rsidP="00EA5C71">
      <w:pPr>
        <w:spacing w:line="360" w:lineRule="auto"/>
        <w:ind w:left="851" w:right="680"/>
        <w:jc w:val="both"/>
        <w:rPr>
          <w:rFonts w:ascii="Palatino Linotype" w:hAnsi="Palatino Linotype"/>
          <w:sz w:val="24"/>
          <w:szCs w:val="24"/>
          <w:lang w:eastAsia="es-MX"/>
        </w:rPr>
      </w:pPr>
    </w:p>
    <w:p w:rsidR="00D25C7A" w:rsidRPr="004F49B1" w:rsidRDefault="00D25C7A" w:rsidP="00032240">
      <w:pPr>
        <w:pStyle w:val="Prrafodelista"/>
        <w:numPr>
          <w:ilvl w:val="0"/>
          <w:numId w:val="2"/>
        </w:numPr>
        <w:ind w:left="851" w:right="680" w:firstLine="0"/>
        <w:jc w:val="both"/>
        <w:rPr>
          <w:rFonts w:ascii="Palatino Linotype" w:hAnsi="Palatino Linotype" w:cs="Tahoma"/>
          <w:i/>
          <w:sz w:val="24"/>
        </w:rPr>
      </w:pPr>
      <w:r w:rsidRPr="004F49B1">
        <w:rPr>
          <w:rFonts w:ascii="Palatino Linotype" w:hAnsi="Palatino Linotype"/>
          <w:b/>
          <w:sz w:val="24"/>
          <w:lang w:eastAsia="es-MX"/>
        </w:rPr>
        <w:t>Razones o motivos de la inconformidad</w:t>
      </w:r>
      <w:r w:rsidRPr="004F49B1">
        <w:rPr>
          <w:rFonts w:ascii="Palatino Linotype" w:hAnsi="Palatino Linotype"/>
          <w:sz w:val="24"/>
          <w:lang w:eastAsia="es-MX"/>
        </w:rPr>
        <w:t xml:space="preserve"> “</w:t>
      </w:r>
      <w:r w:rsidR="00032240" w:rsidRPr="004F49B1">
        <w:rPr>
          <w:rFonts w:ascii="Palatino Linotype" w:hAnsi="Palatino Linotype" w:cs="Tahoma"/>
          <w:i/>
          <w:sz w:val="24"/>
        </w:rPr>
        <w:t xml:space="preserve">PRIMERO. USO INDEBIDO DE LA FIGURA DE ACLARACIÓN (PRÁCTICA DILATORIA) La autoridad solicitó una “aclaración de la temporalidad exacta” cuando dicha precisión no es necesaria, ya que la información solicitada se refiere a servidores públicos en funciones, facultades, verificadores y obligaciones legales vigentes. Este actuar contraviene directamente los artículos 4, 11, 15 y 167 de la Ley de Transparencia y Acceso a la Información Pública del Estado de México y Municipios, así como el principio de máxima publicidad, al utilizar la aclaración como mecanismo para retrasar o evadir la entrega de información. La solicitud no es ambigua, no es genérica y no requiere precisión temporal, por lo que la aclaración resulta improcedente. SEGUNDO. OMISIÓN DE RESPUESTA DE FONDO (INEXISTENCIA SIMULADA) El sujeto obligado omitió pronunciarse de fondo respecto de la información solicitada, evitando confirmar, negar o entregar los documentos requeridos, lo cual configura una inexistencia simulada, prohibida por la ley y reiteradamente sancionada por el INFOEM. La autoridad sí está obligada a contar con: Reglamentos Manuales administrativos Acuerdos de delegación de facultades Relación de servidores públicos y sus atribuciones Por tanto, su omisión no es justificable y evidencia resistencia injustificada al derecho de acceso a la información. TERCERO. VIOLACIÓN GRAVE AL PRINCIPIO DE MÁXIMA PUBLICIDAD Y CONGRUENCIA La respuesta impugnada no guarda congruencia con lo solicitado, ya que: No entrega la información pedida No fundamenta la negativa No clasifica la información No declara inexistencia conforme a derecho Esto vulnera el derecho del suscrito y obstaculiza el ejercicio de vigilancia ciudadana sobre la función pública, particularmente en materia de verificación administrativa y desarrollo urbano, áreas de alto impacto social. CUARTO. POSIBLE RESPONSABILIDAD ADMINISTRATIVA DE LOS SERVIDORES PÚBLICOS El actuar de la Unidad de Transparencia y de las áreas que intervinieron podría constituir faltas administrativas, </w:t>
      </w:r>
      <w:r w:rsidR="00032240" w:rsidRPr="004F49B1">
        <w:rPr>
          <w:rFonts w:ascii="Palatino Linotype" w:hAnsi="Palatino Linotype" w:cs="Tahoma"/>
          <w:i/>
          <w:sz w:val="24"/>
        </w:rPr>
        <w:lastRenderedPageBreak/>
        <w:t>al incumplir obligaciones expresas previstas en la Ley de Transparencia, tales como: Atender solicitudes de forma completa y oportuna Evitar prácticas dilatorias Garantizar el acceso efectivo a la información Dichas conductas ameritan que se dé vista al Órgano Interno de Control, a fin de que determine las responsabilidades administrativas correspondientes. Con fundamento en la Ley de Transparencia del Estado de México, SOLICITO EXPRESAMENTE: 1. Se revoque la respuesta impugnada, por ser evasiva, incongruente y violatoria del principio de máxima publicidad. 2. Se ordene al sujeto obligado emitir una nueva respuesta de fondo, completa y debidamente fundada, sin requerir aclaraciones improcedentes. 3. Se aperciba formalmente al sujeto obligado, para que se abstenga de reiterar prácticas dilatorias. 4. Se dé vista al Órgano Interno de Control del Ayuntamiento de Tepotzotlán, por la posible comisión de responsabilidades administrativas derivadas del incumplimiento a la Ley de Transparencia. 5. En su caso, se impongan las medidas de apremio o sanciones que resulten procedentes, conforme a las facultades de ese Instituto</w:t>
      </w:r>
      <w:r w:rsidRPr="004F49B1">
        <w:rPr>
          <w:rFonts w:ascii="Palatino Linotype" w:hAnsi="Palatino Linotype" w:cs="Tahoma"/>
          <w:i/>
          <w:sz w:val="24"/>
        </w:rPr>
        <w:t>”</w:t>
      </w:r>
    </w:p>
    <w:p w:rsidR="00D25C7A" w:rsidRPr="004F49B1" w:rsidRDefault="00D25C7A" w:rsidP="00D25C7A">
      <w:pPr>
        <w:pStyle w:val="Prrafodelista"/>
        <w:spacing w:line="360" w:lineRule="auto"/>
        <w:ind w:left="0"/>
        <w:jc w:val="both"/>
        <w:rPr>
          <w:rFonts w:ascii="Palatino Linotype" w:hAnsi="Palatino Linotype" w:cs="Tahoma"/>
          <w:sz w:val="24"/>
        </w:rPr>
      </w:pPr>
    </w:p>
    <w:p w:rsidR="00EA5C71" w:rsidRPr="004F49B1" w:rsidRDefault="00D25C7A" w:rsidP="00D25C7A">
      <w:pPr>
        <w:pStyle w:val="Prrafodelista"/>
        <w:numPr>
          <w:ilvl w:val="0"/>
          <w:numId w:val="1"/>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4F49B1">
        <w:rPr>
          <w:rFonts w:ascii="Palatino Linotype" w:eastAsia="Calibri" w:hAnsi="Palatino Linotype" w:cs="Arial"/>
          <w:sz w:val="24"/>
          <w:lang w:val="es-ES"/>
        </w:rPr>
        <w:t xml:space="preserve">La Comisionada Ponente con fundamento en lo dispuesto por el artículo 185 fracción II de la ley de la materia, a través del acuerdo de admisión de fecha </w:t>
      </w:r>
      <w:r w:rsidR="00032240" w:rsidRPr="004F49B1">
        <w:rPr>
          <w:rFonts w:ascii="Palatino Linotype" w:eastAsia="Calibri" w:hAnsi="Palatino Linotype" w:cs="Arial"/>
          <w:b/>
          <w:sz w:val="24"/>
          <w:lang w:val="es-ES"/>
        </w:rPr>
        <w:t>diecinueve de enero de dos mil veintiséis</w:t>
      </w:r>
      <w:r w:rsidRPr="004F49B1">
        <w:rPr>
          <w:rFonts w:ascii="Palatino Linotype" w:eastAsia="Calibri" w:hAnsi="Palatino Linotype" w:cs="Arial"/>
          <w:sz w:val="24"/>
          <w:lang w:val="es-ES"/>
        </w:rPr>
        <w:t xml:space="preserve">, puso a disposición de las partes el expediente electrónico </w:t>
      </w:r>
      <w:r w:rsidRPr="004F49B1">
        <w:rPr>
          <w:rFonts w:ascii="Palatino Linotype" w:eastAsia="Calibri" w:hAnsi="Palatino Linotype" w:cs="Arial"/>
          <w:sz w:val="24"/>
        </w:rPr>
        <w:t xml:space="preserve">vía </w:t>
      </w:r>
      <w:r w:rsidRPr="004F49B1">
        <w:rPr>
          <w:rFonts w:ascii="Palatino Linotype" w:eastAsia="Calibri" w:hAnsi="Palatino Linotype" w:cs="Arial"/>
          <w:b/>
          <w:sz w:val="24"/>
          <w:lang w:val="es-ES"/>
        </w:rPr>
        <w:t xml:space="preserve">SAIMEX </w:t>
      </w:r>
      <w:r w:rsidRPr="004F49B1">
        <w:rPr>
          <w:rFonts w:ascii="Palatino Linotype" w:eastAsia="Calibri" w:hAnsi="Palatino Linotype" w:cs="Arial"/>
          <w:sz w:val="24"/>
          <w:lang w:val="es-ES"/>
        </w:rPr>
        <w:t xml:space="preserve">a efecto de que en un plazo máximo de siete días manifestaran lo que a derecho convinieran, ofrecieran pruebas y alegatos según corresponda al caso concreto, de esta forma para que el </w:t>
      </w:r>
      <w:r w:rsidRPr="004F49B1">
        <w:rPr>
          <w:rFonts w:ascii="Palatino Linotype" w:eastAsia="Calibri" w:hAnsi="Palatino Linotype" w:cs="Arial"/>
          <w:b/>
          <w:sz w:val="24"/>
          <w:lang w:val="es-ES"/>
        </w:rPr>
        <w:t>SUJETO OBLIGADO</w:t>
      </w:r>
      <w:r w:rsidRPr="004F49B1">
        <w:rPr>
          <w:rFonts w:ascii="Palatino Linotype" w:eastAsia="Calibri" w:hAnsi="Palatino Linotype" w:cs="Arial"/>
          <w:sz w:val="24"/>
          <w:lang w:val="es-ES"/>
        </w:rPr>
        <w:t xml:space="preserve"> presentara el informe justificado procedente. </w:t>
      </w:r>
    </w:p>
    <w:p w:rsidR="00032240" w:rsidRPr="004F49B1" w:rsidRDefault="00032240" w:rsidP="00032240">
      <w:pPr>
        <w:pStyle w:val="Prrafodelista"/>
        <w:spacing w:before="240" w:after="240" w:line="360" w:lineRule="auto"/>
        <w:ind w:left="0"/>
        <w:jc w:val="both"/>
        <w:rPr>
          <w:rFonts w:ascii="Palatino Linotype" w:eastAsiaTheme="minorEastAsia" w:hAnsi="Palatino Linotype" w:cstheme="minorBidi"/>
          <w:i/>
          <w:color w:val="000000"/>
          <w:sz w:val="24"/>
          <w:lang w:val="es-ES_tradnl"/>
        </w:rPr>
      </w:pPr>
    </w:p>
    <w:p w:rsidR="00D25C7A" w:rsidRPr="004F49B1" w:rsidRDefault="00D25C7A" w:rsidP="00D25C7A">
      <w:pPr>
        <w:pStyle w:val="Prrafodelista"/>
        <w:numPr>
          <w:ilvl w:val="0"/>
          <w:numId w:val="1"/>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4F49B1">
        <w:rPr>
          <w:rFonts w:ascii="Palatino Linotype" w:eastAsia="Calibri" w:hAnsi="Palatino Linotype" w:cs="Arial"/>
          <w:sz w:val="24"/>
          <w:lang w:val="es-ES"/>
        </w:rPr>
        <w:t>De las constancias del expediente electrónico se advierte que el Recurr</w:t>
      </w:r>
      <w:r w:rsidR="00EA5C71" w:rsidRPr="004F49B1">
        <w:rPr>
          <w:rFonts w:ascii="Palatino Linotype" w:eastAsia="Calibri" w:hAnsi="Palatino Linotype" w:cs="Arial"/>
          <w:sz w:val="24"/>
          <w:lang w:val="es-ES"/>
        </w:rPr>
        <w:t xml:space="preserve">ente no realizó manifestaciones; por su parte, el Sujeto Obligado no entregó informe justificado. </w:t>
      </w:r>
    </w:p>
    <w:p w:rsidR="00D25C7A" w:rsidRPr="004F49B1" w:rsidRDefault="00D25C7A" w:rsidP="00D25C7A">
      <w:pPr>
        <w:pStyle w:val="Prrafodelista"/>
        <w:spacing w:line="360" w:lineRule="auto"/>
        <w:ind w:left="0"/>
        <w:jc w:val="both"/>
        <w:rPr>
          <w:rFonts w:ascii="Palatino Linotype" w:hAnsi="Palatino Linotype" w:cs="Tahoma"/>
          <w:sz w:val="24"/>
        </w:rPr>
      </w:pPr>
    </w:p>
    <w:p w:rsidR="008621BB" w:rsidRPr="004F49B1" w:rsidRDefault="00ED3C9F" w:rsidP="008621BB">
      <w:pPr>
        <w:numPr>
          <w:ilvl w:val="0"/>
          <w:numId w:val="1"/>
        </w:numPr>
        <w:pBdr>
          <w:top w:val="nil"/>
          <w:left w:val="nil"/>
          <w:bottom w:val="nil"/>
          <w:right w:val="nil"/>
          <w:between w:val="nil"/>
        </w:pBdr>
        <w:spacing w:line="360" w:lineRule="auto"/>
        <w:ind w:left="0" w:firstLine="0"/>
        <w:jc w:val="both"/>
        <w:rPr>
          <w:rFonts w:ascii="Palatino Linotype" w:eastAsia="Calibri" w:hAnsi="Palatino Linotype" w:cs="Tahoma"/>
          <w:b/>
          <w:sz w:val="24"/>
          <w:szCs w:val="24"/>
          <w:lang w:eastAsia="en-US"/>
        </w:rPr>
      </w:pPr>
      <w:r w:rsidRPr="004F49B1">
        <w:rPr>
          <w:rFonts w:ascii="Palatino Linotype" w:eastAsia="Palatino Linotype" w:hAnsi="Palatino Linotype" w:cs="Palatino Linotype"/>
          <w:color w:val="000000"/>
          <w:sz w:val="24"/>
          <w:szCs w:val="24"/>
        </w:rPr>
        <w:lastRenderedPageBreak/>
        <w:t xml:space="preserve">El </w:t>
      </w:r>
      <w:r w:rsidRPr="004F49B1">
        <w:rPr>
          <w:rFonts w:ascii="Palatino Linotype" w:eastAsia="Palatino Linotype" w:hAnsi="Palatino Linotype" w:cs="Palatino Linotype"/>
          <w:b/>
          <w:color w:val="000000"/>
          <w:sz w:val="24"/>
          <w:szCs w:val="24"/>
        </w:rPr>
        <w:t>veintidós de abril de dos mil veintiséis</w:t>
      </w:r>
      <w:r w:rsidRPr="004F49B1">
        <w:rPr>
          <w:rFonts w:ascii="Palatino Linotype" w:eastAsia="Palatino Linotype" w:hAnsi="Palatino Linotype" w:cs="Palatino Linotype"/>
          <w:color w:val="000000"/>
          <w:sz w:val="24"/>
          <w:szCs w:val="24"/>
        </w:rPr>
        <w:t>, se notificó el acuerdo a través del cual se aprobó la ampliación d</w:t>
      </w:r>
      <w:r w:rsidR="008621BB" w:rsidRPr="004F49B1">
        <w:rPr>
          <w:rFonts w:ascii="Palatino Linotype" w:eastAsia="Palatino Linotype" w:hAnsi="Palatino Linotype" w:cs="Palatino Linotype"/>
          <w:color w:val="000000"/>
          <w:sz w:val="24"/>
          <w:szCs w:val="24"/>
        </w:rPr>
        <w:t>e plazo para emitir resolución.</w:t>
      </w:r>
    </w:p>
    <w:p w:rsidR="008621BB" w:rsidRPr="004F49B1" w:rsidRDefault="008621BB" w:rsidP="008621BB">
      <w:pPr>
        <w:pStyle w:val="Prrafodelista"/>
        <w:rPr>
          <w:rFonts w:ascii="Palatino Linotype" w:hAnsi="Palatino Linotype" w:cs="Tahoma"/>
          <w:sz w:val="24"/>
        </w:rPr>
      </w:pPr>
    </w:p>
    <w:p w:rsidR="008621BB" w:rsidRPr="004F49B1" w:rsidRDefault="008621BB" w:rsidP="008621BB">
      <w:pPr>
        <w:pStyle w:val="Prrafodelista"/>
        <w:spacing w:line="360" w:lineRule="auto"/>
        <w:ind w:left="0"/>
        <w:jc w:val="both"/>
        <w:rPr>
          <w:rFonts w:ascii="Palatino Linotype" w:eastAsia="Calibri" w:hAnsi="Palatino Linotype" w:cs="Tahoma"/>
          <w:b/>
          <w:sz w:val="24"/>
          <w:lang w:eastAsia="en-US"/>
        </w:rPr>
      </w:pPr>
      <w:r w:rsidRPr="004F49B1">
        <w:rPr>
          <w:rFonts w:ascii="Palatino Linotype" w:hAnsi="Palatino Linotype" w:cs="Tahoma"/>
          <w:sz w:val="24"/>
        </w:rPr>
        <w:t xml:space="preserve">El </w:t>
      </w:r>
      <w:r w:rsidRPr="004F49B1">
        <w:rPr>
          <w:rFonts w:ascii="Palatino Linotype" w:hAnsi="Palatino Linotype" w:cs="Tahoma"/>
          <w:b/>
          <w:sz w:val="24"/>
        </w:rPr>
        <w:t>catorce de enero de dos mil veintiséis</w:t>
      </w:r>
      <w:r w:rsidRPr="004F49B1">
        <w:rPr>
          <w:rFonts w:ascii="Palatino Linotype" w:hAnsi="Palatino Linotype" w:cs="Tahoma"/>
          <w:sz w:val="24"/>
        </w:rPr>
        <w:t xml:space="preserve">, se notificó vía SAIMEX, el acuerdo en el que, con el propósito de privilegiar la resolución expedita y evitar resoluciones contradictorias, con fundamento en el artículo 18 del Código de Procedimientos Administrativos del Estado de México, de aplicación supletoria a la Ley de Transparencia y Acceso a la Información Pública del Estado de México y Municipios, según lo previsto en su artículo 195, se acordó la acumulación del Recurso de Revisión, </w:t>
      </w:r>
      <w:r w:rsidRPr="004F49B1">
        <w:rPr>
          <w:rFonts w:ascii="Palatino Linotype" w:eastAsia="Calibri" w:hAnsi="Palatino Linotype" w:cs="Tahoma"/>
          <w:b/>
          <w:bCs/>
          <w:sz w:val="24"/>
          <w:lang w:eastAsia="en-US"/>
        </w:rPr>
        <w:t>14383/INFOEM/IP/RR/2025</w:t>
      </w:r>
      <w:r w:rsidRPr="004F49B1">
        <w:rPr>
          <w:rFonts w:ascii="Palatino Linotype" w:hAnsi="Palatino Linotype" w:cs="Tahoma"/>
          <w:sz w:val="24"/>
        </w:rPr>
        <w:t xml:space="preserve">, al diverso </w:t>
      </w:r>
      <w:r w:rsidRPr="004F49B1">
        <w:rPr>
          <w:rFonts w:ascii="Palatino Linotype" w:eastAsia="Calibri" w:hAnsi="Palatino Linotype" w:cs="Tahoma"/>
          <w:b/>
          <w:bCs/>
          <w:sz w:val="24"/>
          <w:lang w:eastAsia="en-US"/>
        </w:rPr>
        <w:t xml:space="preserve">12798/INFOEM/ICR-167/IP/RR/2025, </w:t>
      </w:r>
      <w:r w:rsidRPr="004F49B1">
        <w:rPr>
          <w:rFonts w:ascii="Palatino Linotype" w:hAnsi="Palatino Linotype" w:cs="Tahoma"/>
          <w:sz w:val="24"/>
        </w:rPr>
        <w:t>por ser este último el más antiguo, sustanciado bajo el índice de esta Ponencia, al advertir conexidad entre estos, ya que fueron promovidos por la misma persona, en los que se señaló como Sujeto Obligado al Ayuntamiento de Tepotzotlán.</w:t>
      </w:r>
    </w:p>
    <w:p w:rsidR="008621BB" w:rsidRPr="004F49B1" w:rsidRDefault="008621BB" w:rsidP="008621BB">
      <w:pPr>
        <w:pStyle w:val="Prrafodelista"/>
        <w:rPr>
          <w:rFonts w:ascii="Palatino Linotype" w:hAnsi="Palatino Linotype" w:cs="Tahoma"/>
          <w:sz w:val="24"/>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cs="Tahoma"/>
          <w:sz w:val="24"/>
        </w:rPr>
      </w:pPr>
      <w:r w:rsidRPr="004F49B1">
        <w:rPr>
          <w:rFonts w:ascii="Palatino Linotype" w:hAnsi="Palatino Linotype" w:cs="Tahoma"/>
          <w:sz w:val="24"/>
        </w:rPr>
        <w:t xml:space="preserve">El </w:t>
      </w:r>
      <w:r w:rsidR="00032240" w:rsidRPr="004F49B1">
        <w:rPr>
          <w:rFonts w:ascii="Palatino Linotype" w:hAnsi="Palatino Linotype" w:cs="Tahoma"/>
          <w:b/>
          <w:sz w:val="24"/>
        </w:rPr>
        <w:t>veintidós y veintiocho de abril de dos mil veintiséis</w:t>
      </w:r>
      <w:r w:rsidRPr="004F49B1">
        <w:rPr>
          <w:rFonts w:ascii="Palatino Linotype" w:hAnsi="Palatino Linotype" w:cs="Tahoma"/>
          <w:sz w:val="24"/>
        </w:rPr>
        <w:t>, la Comisionada Ponente notificó el acuerdo mediante el cual decretó el cierre de instru</w:t>
      </w:r>
      <w:r w:rsidR="00032240" w:rsidRPr="004F49B1">
        <w:rPr>
          <w:rFonts w:ascii="Palatino Linotype" w:hAnsi="Palatino Linotype" w:cs="Tahoma"/>
          <w:sz w:val="24"/>
        </w:rPr>
        <w:t>cción para cada uno de los Recursos de Revisión, por lo que se procedió a la</w:t>
      </w:r>
      <w:r w:rsidRPr="004F49B1">
        <w:rPr>
          <w:rFonts w:ascii="Palatino Linotype" w:hAnsi="Palatino Linotype" w:cs="Tahoma"/>
          <w:sz w:val="24"/>
        </w:rPr>
        <w:t xml:space="preserve"> resolución</w:t>
      </w:r>
      <w:r w:rsidR="00032240" w:rsidRPr="004F49B1">
        <w:rPr>
          <w:rFonts w:ascii="Palatino Linotype" w:hAnsi="Palatino Linotype" w:cs="Tahoma"/>
          <w:sz w:val="24"/>
        </w:rPr>
        <w:t xml:space="preserve"> de los Recursos de Revisión</w:t>
      </w:r>
      <w:r w:rsidRPr="004F49B1">
        <w:rPr>
          <w:rFonts w:ascii="Palatino Linotype" w:hAnsi="Palatino Linotype" w:cs="Tahoma"/>
          <w:sz w:val="24"/>
        </w:rPr>
        <w:t>.</w:t>
      </w:r>
    </w:p>
    <w:p w:rsidR="00EA5C71" w:rsidRPr="004F49B1" w:rsidRDefault="00EA5C71" w:rsidP="00EA5C71">
      <w:pPr>
        <w:pStyle w:val="Prrafodelista"/>
        <w:rPr>
          <w:rFonts w:ascii="Palatino Linotype" w:hAnsi="Palatino Linotype" w:cs="Tahoma"/>
          <w:sz w:val="24"/>
        </w:rPr>
      </w:pPr>
    </w:p>
    <w:p w:rsidR="00D25C7A" w:rsidRPr="004F49B1" w:rsidRDefault="00D25C7A" w:rsidP="00D25C7A">
      <w:pPr>
        <w:pStyle w:val="Ttulo1"/>
        <w:jc w:val="center"/>
        <w:rPr>
          <w:rFonts w:ascii="Palatino Linotype" w:hAnsi="Palatino Linotype"/>
          <w:b/>
          <w:color w:val="auto"/>
          <w:sz w:val="24"/>
          <w:szCs w:val="24"/>
        </w:rPr>
      </w:pPr>
      <w:bookmarkStart w:id="4" w:name="_Toc87549672"/>
      <w:r w:rsidRPr="004F49B1">
        <w:rPr>
          <w:rFonts w:ascii="Palatino Linotype" w:hAnsi="Palatino Linotype"/>
          <w:b/>
          <w:color w:val="auto"/>
          <w:sz w:val="24"/>
          <w:szCs w:val="24"/>
        </w:rPr>
        <w:t>C</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O</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N</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S</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I</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D</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E</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R</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A</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N</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D</w:t>
      </w:r>
      <w:r w:rsidR="004F49B1">
        <w:rPr>
          <w:rFonts w:ascii="Palatino Linotype" w:hAnsi="Palatino Linotype"/>
          <w:b/>
          <w:color w:val="auto"/>
          <w:sz w:val="24"/>
          <w:szCs w:val="24"/>
        </w:rPr>
        <w:t xml:space="preserve"> </w:t>
      </w:r>
      <w:r w:rsidRPr="004F49B1">
        <w:rPr>
          <w:rFonts w:ascii="Palatino Linotype" w:hAnsi="Palatino Linotype"/>
          <w:b/>
          <w:color w:val="auto"/>
          <w:sz w:val="24"/>
          <w:szCs w:val="24"/>
        </w:rPr>
        <w:t>O</w:t>
      </w:r>
      <w:bookmarkEnd w:id="4"/>
      <w:r w:rsidRPr="004F49B1">
        <w:rPr>
          <w:rFonts w:ascii="Palatino Linotype" w:hAnsi="Palatino Linotype"/>
          <w:b/>
          <w:color w:val="auto"/>
          <w:sz w:val="24"/>
          <w:szCs w:val="24"/>
        </w:rPr>
        <w:t xml:space="preserve"> </w:t>
      </w:r>
    </w:p>
    <w:p w:rsidR="00D25C7A" w:rsidRPr="004F49B1" w:rsidRDefault="00D25C7A" w:rsidP="00D25C7A">
      <w:pPr>
        <w:rPr>
          <w:rFonts w:ascii="Palatino Linotype" w:hAnsi="Palatino Linotype"/>
          <w:sz w:val="24"/>
          <w:szCs w:val="24"/>
          <w:lang w:eastAsia="en-US"/>
        </w:rPr>
      </w:pPr>
    </w:p>
    <w:p w:rsidR="00D25C7A" w:rsidRPr="004F49B1" w:rsidRDefault="00D25C7A" w:rsidP="00D25C7A">
      <w:pPr>
        <w:pStyle w:val="Ttulo2"/>
        <w:rPr>
          <w:rFonts w:ascii="Palatino Linotype" w:hAnsi="Palatino Linotype"/>
          <w:b/>
          <w:color w:val="auto"/>
          <w:sz w:val="24"/>
          <w:szCs w:val="24"/>
        </w:rPr>
      </w:pPr>
      <w:bookmarkStart w:id="5" w:name="_Toc87549673"/>
      <w:r w:rsidRPr="004F49B1">
        <w:rPr>
          <w:rFonts w:ascii="Palatino Linotype" w:hAnsi="Palatino Linotype"/>
          <w:b/>
          <w:color w:val="auto"/>
          <w:sz w:val="24"/>
          <w:szCs w:val="24"/>
        </w:rPr>
        <w:t>PRIMERO. De la competencia</w:t>
      </w:r>
      <w:bookmarkEnd w:id="5"/>
    </w:p>
    <w:p w:rsidR="00D25C7A" w:rsidRPr="004F49B1" w:rsidRDefault="00D25C7A" w:rsidP="00D25C7A">
      <w:pPr>
        <w:rPr>
          <w:sz w:val="24"/>
          <w:szCs w:val="24"/>
        </w:rPr>
      </w:pPr>
    </w:p>
    <w:p w:rsidR="00D25C7A" w:rsidRPr="004F49B1" w:rsidRDefault="00D25C7A" w:rsidP="00D25C7A">
      <w:pPr>
        <w:pStyle w:val="Prrafodelista"/>
        <w:numPr>
          <w:ilvl w:val="0"/>
          <w:numId w:val="1"/>
        </w:numPr>
        <w:spacing w:line="360" w:lineRule="auto"/>
        <w:ind w:left="0" w:firstLine="0"/>
        <w:jc w:val="both"/>
        <w:rPr>
          <w:rFonts w:ascii="Palatino Linotype" w:hAnsi="Palatino Linotype"/>
          <w:sz w:val="24"/>
        </w:rPr>
      </w:pPr>
      <w:r w:rsidRPr="004F49B1">
        <w:rPr>
          <w:rFonts w:ascii="Palatino Linotype" w:hAnsi="Palatino Linotype"/>
          <w:sz w:val="24"/>
        </w:rPr>
        <w:t xml:space="preserve">Este Instituto de Transparencia, Acceso a la Información Pública y Protección de Datos Personales del Estado de México y Municipios, es competente para conocer y resolver del </w:t>
      </w:r>
      <w:r w:rsidRPr="004F49B1">
        <w:rPr>
          <w:rFonts w:ascii="Palatino Linotype" w:hAnsi="Palatino Linotype"/>
          <w:sz w:val="24"/>
        </w:rPr>
        <w:lastRenderedPageBreak/>
        <w:t xml:space="preserve">presente recurso de conformidad con el artículo: 6, apartado A, fracción IV de la Constitución Política de los Estados Unidos Mexicanos; 5, párrafos trigésimo </w:t>
      </w:r>
      <w:r w:rsidR="00EA5C71" w:rsidRPr="004F49B1">
        <w:rPr>
          <w:rFonts w:ascii="Palatino Linotype" w:hAnsi="Palatino Linotype"/>
          <w:sz w:val="24"/>
        </w:rPr>
        <w:t>noveno, cuadragésimo y cuadragésimo primero</w:t>
      </w:r>
      <w:r w:rsidRPr="004F49B1">
        <w:rPr>
          <w:rFonts w:ascii="Palatino Linotype" w:hAnsi="Palatino Linotype"/>
          <w:sz w:val="24"/>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D25C7A" w:rsidRPr="004F49B1" w:rsidRDefault="00D25C7A" w:rsidP="00D25C7A">
      <w:pPr>
        <w:pStyle w:val="Prrafodelista"/>
        <w:spacing w:line="360" w:lineRule="auto"/>
        <w:ind w:left="0"/>
        <w:jc w:val="both"/>
        <w:rPr>
          <w:rFonts w:ascii="Palatino Linotype" w:hAnsi="Palatino Linotype"/>
          <w:sz w:val="24"/>
        </w:rPr>
      </w:pPr>
    </w:p>
    <w:p w:rsidR="00D25C7A" w:rsidRPr="004F49B1" w:rsidRDefault="00D25C7A" w:rsidP="00D25C7A">
      <w:pPr>
        <w:pStyle w:val="Ttulo2"/>
        <w:rPr>
          <w:rFonts w:ascii="Palatino Linotype" w:hAnsi="Palatino Linotype"/>
          <w:b/>
          <w:color w:val="auto"/>
          <w:sz w:val="24"/>
          <w:szCs w:val="24"/>
        </w:rPr>
      </w:pPr>
      <w:bookmarkStart w:id="6" w:name="_Toc87549674"/>
      <w:r w:rsidRPr="004F49B1">
        <w:rPr>
          <w:rFonts w:ascii="Palatino Linotype" w:hAnsi="Palatino Linotype"/>
          <w:b/>
          <w:color w:val="auto"/>
          <w:sz w:val="24"/>
          <w:szCs w:val="24"/>
        </w:rPr>
        <w:t>SEGUNDO. De la oportunidad y procedencia.</w:t>
      </w:r>
      <w:bookmarkEnd w:id="6"/>
    </w:p>
    <w:p w:rsidR="00D25C7A" w:rsidRPr="004F49B1" w:rsidRDefault="00D25C7A" w:rsidP="00D25C7A">
      <w:pPr>
        <w:rPr>
          <w:sz w:val="24"/>
          <w:szCs w:val="24"/>
        </w:rPr>
      </w:pPr>
    </w:p>
    <w:p w:rsidR="00D25C7A" w:rsidRPr="004F49B1" w:rsidRDefault="00D25C7A" w:rsidP="00D25C7A">
      <w:pPr>
        <w:numPr>
          <w:ilvl w:val="0"/>
          <w:numId w:val="1"/>
        </w:numPr>
        <w:tabs>
          <w:tab w:val="left" w:pos="284"/>
        </w:tabs>
        <w:spacing w:before="240" w:after="240" w:line="360" w:lineRule="auto"/>
        <w:ind w:left="0" w:firstLine="0"/>
        <w:contextualSpacing/>
        <w:jc w:val="both"/>
        <w:rPr>
          <w:rFonts w:ascii="Palatino Linotype" w:hAnsi="Palatino Linotype" w:cs="Arial"/>
          <w:color w:val="000000"/>
          <w:sz w:val="24"/>
          <w:szCs w:val="24"/>
          <w:lang w:val="es-ES_tradnl"/>
        </w:rPr>
      </w:pPr>
      <w:r w:rsidRPr="004F49B1">
        <w:rPr>
          <w:rFonts w:ascii="Palatino Linotype" w:eastAsia="Calibri" w:hAnsi="Palatino Linotype" w:cs="Arial"/>
          <w:sz w:val="24"/>
          <w:szCs w:val="24"/>
          <w:lang w:val="es-ES"/>
        </w:rPr>
        <w:t xml:space="preserve">Es de precisar, que la Ley de Transparencia y Acceso a la Información Pública del Estado de México y Municipios, en el artículo 178 describe la procedencia del recurso de revisión, asimismo señala que el plazo del </w:t>
      </w:r>
      <w:r w:rsidRPr="004F49B1">
        <w:rPr>
          <w:rFonts w:ascii="Palatino Linotype" w:eastAsia="Calibri" w:hAnsi="Palatino Linotype" w:cs="Arial"/>
          <w:b/>
          <w:sz w:val="24"/>
          <w:szCs w:val="24"/>
          <w:lang w:val="es-ES"/>
        </w:rPr>
        <w:t>SUJETO OBLIGADO</w:t>
      </w:r>
      <w:r w:rsidRPr="004F49B1">
        <w:rPr>
          <w:rFonts w:ascii="Palatino Linotype" w:eastAsia="Calibri" w:hAnsi="Palatino Linotype" w:cs="Arial"/>
          <w:sz w:val="24"/>
          <w:szCs w:val="24"/>
          <w:lang w:val="es-ES"/>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D25C7A" w:rsidRPr="004F49B1" w:rsidRDefault="00D25C7A" w:rsidP="00D25C7A">
      <w:pPr>
        <w:tabs>
          <w:tab w:val="left" w:pos="284"/>
        </w:tabs>
        <w:contextualSpacing/>
        <w:rPr>
          <w:rFonts w:ascii="Palatino Linotype" w:hAnsi="Palatino Linotype" w:cs="Arial"/>
          <w:color w:val="000000" w:themeColor="text1"/>
          <w:sz w:val="24"/>
          <w:szCs w:val="24"/>
          <w:lang w:val="es-ES" w:eastAsia="es-MX"/>
        </w:rPr>
      </w:pPr>
    </w:p>
    <w:p w:rsidR="00D25C7A" w:rsidRPr="004F49B1" w:rsidRDefault="00D25C7A" w:rsidP="00D25C7A">
      <w:pPr>
        <w:numPr>
          <w:ilvl w:val="0"/>
          <w:numId w:val="1"/>
        </w:numPr>
        <w:tabs>
          <w:tab w:val="left" w:pos="284"/>
        </w:tabs>
        <w:spacing w:before="240" w:after="240" w:line="360" w:lineRule="auto"/>
        <w:ind w:left="0" w:right="49" w:firstLine="0"/>
        <w:contextualSpacing/>
        <w:jc w:val="both"/>
        <w:rPr>
          <w:rFonts w:ascii="Palatino Linotype" w:eastAsiaTheme="minorEastAsia" w:hAnsi="Palatino Linotype" w:cs="Arial"/>
          <w:b/>
          <w:sz w:val="24"/>
          <w:szCs w:val="24"/>
          <w:lang w:val="es-ES_tradnl"/>
        </w:rPr>
      </w:pPr>
      <w:r w:rsidRPr="004F49B1">
        <w:rPr>
          <w:rFonts w:ascii="Palatino Linotype" w:eastAsia="Calibri" w:hAnsi="Palatino Linotype" w:cs="Arial"/>
          <w:sz w:val="24"/>
          <w:szCs w:val="24"/>
          <w:lang w:val="es-ES_tradnl"/>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42BC4" w:rsidRPr="004F49B1" w:rsidRDefault="00A42BC4" w:rsidP="00A42BC4">
      <w:pPr>
        <w:pStyle w:val="Ttulo1"/>
        <w:spacing w:before="0" w:line="360" w:lineRule="auto"/>
        <w:rPr>
          <w:rFonts w:ascii="Palatino Linotype" w:eastAsia="Palatino Linotype" w:hAnsi="Palatino Linotype" w:cs="Palatino Linotype"/>
          <w:b/>
          <w:color w:val="000000"/>
          <w:sz w:val="24"/>
          <w:szCs w:val="24"/>
        </w:rPr>
      </w:pPr>
      <w:bookmarkStart w:id="7" w:name="_Toc87549682"/>
      <w:bookmarkStart w:id="8" w:name="_Toc34911390"/>
      <w:r w:rsidRPr="004F49B1">
        <w:rPr>
          <w:rFonts w:ascii="Palatino Linotype" w:eastAsia="Palatino Linotype" w:hAnsi="Palatino Linotype" w:cs="Palatino Linotype"/>
          <w:b/>
          <w:color w:val="000000"/>
          <w:sz w:val="24"/>
          <w:szCs w:val="24"/>
        </w:rPr>
        <w:lastRenderedPageBreak/>
        <w:t xml:space="preserve">TERCERO. De las causales del sobreseimiento </w:t>
      </w:r>
    </w:p>
    <w:p w:rsidR="00A42BC4" w:rsidRPr="004F49B1" w:rsidRDefault="00A42BC4" w:rsidP="00A42BC4">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4F49B1">
        <w:rPr>
          <w:rFonts w:ascii="Palatino Linotype" w:eastAsia="Calibri" w:hAnsi="Palatino Linotype" w:cs="Arial"/>
          <w:color w:val="000000" w:themeColor="text1"/>
          <w:sz w:val="24"/>
        </w:rPr>
        <w:t xml:space="preserve">El recurso de revisión </w:t>
      </w:r>
      <w:r w:rsidRPr="004F49B1">
        <w:rPr>
          <w:rFonts w:ascii="Palatino Linotype" w:hAnsi="Palatino Linotype" w:cs="Arial"/>
          <w:sz w:val="24"/>
        </w:rPr>
        <w:t xml:space="preserve">tiene como finalidad reparar cualquier posible afectación al derecho de acceso a la información pública en términos del Título Octavo de la Ley de </w:t>
      </w:r>
      <w:r w:rsidRPr="004F49B1">
        <w:rPr>
          <w:rFonts w:ascii="Palatino Linotype" w:eastAsia="Calibri" w:hAnsi="Palatino Linotype" w:cs="Arial"/>
          <w:sz w:val="24"/>
        </w:rPr>
        <w:t>Transparencia, Acceso a la Información Pública del Estado de México y Municipios</w:t>
      </w:r>
      <w:r w:rsidRPr="004F49B1">
        <w:rPr>
          <w:rFonts w:ascii="Palatino Linotype" w:hAnsi="Palatino Linotype" w:cs="Arial"/>
          <w:sz w:val="24"/>
        </w:rPr>
        <w:t xml:space="preserve">, y determinar la confirmación; revocación o modificación; desechamiento o </w:t>
      </w:r>
      <w:r w:rsidRPr="004F49B1">
        <w:rPr>
          <w:rFonts w:ascii="Palatino Linotype" w:hAnsi="Palatino Linotype" w:cs="Arial"/>
          <w:b/>
          <w:sz w:val="24"/>
          <w:u w:val="single"/>
        </w:rPr>
        <w:t>sobreseimiento</w:t>
      </w:r>
      <w:r w:rsidRPr="004F49B1">
        <w:rPr>
          <w:rFonts w:ascii="Palatino Linotype" w:hAnsi="Palatino Linotype" w:cs="Arial"/>
          <w:sz w:val="24"/>
        </w:rPr>
        <w:t xml:space="preserve">; y en su caso ordenar la entrega de la información con respecto a la respuesta emitida por el </w:t>
      </w:r>
      <w:r w:rsidRPr="004F49B1">
        <w:rPr>
          <w:rFonts w:ascii="Palatino Linotype" w:hAnsi="Palatino Linotype" w:cs="Arial"/>
          <w:b/>
          <w:sz w:val="24"/>
        </w:rPr>
        <w:t>SUJETO</w:t>
      </w:r>
      <w:r w:rsidRPr="004F49B1">
        <w:rPr>
          <w:rFonts w:ascii="Palatino Linotype" w:hAnsi="Palatino Linotype" w:cs="Arial"/>
          <w:sz w:val="24"/>
        </w:rPr>
        <w:t xml:space="preserve"> </w:t>
      </w:r>
      <w:r w:rsidRPr="004F49B1">
        <w:rPr>
          <w:rFonts w:ascii="Palatino Linotype" w:hAnsi="Palatino Linotype" w:cs="Arial"/>
          <w:b/>
          <w:sz w:val="24"/>
        </w:rPr>
        <w:t>OBLIGADO</w:t>
      </w:r>
      <w:r w:rsidRPr="004F49B1">
        <w:rPr>
          <w:rFonts w:ascii="Palatino Linotype" w:hAnsi="Palatino Linotype" w:cs="Arial"/>
          <w:sz w:val="24"/>
        </w:rPr>
        <w:t>.</w:t>
      </w:r>
    </w:p>
    <w:p w:rsidR="00A42BC4" w:rsidRPr="004F49B1" w:rsidRDefault="00A42BC4" w:rsidP="00A42BC4">
      <w:pPr>
        <w:pStyle w:val="Prrafodelista"/>
        <w:spacing w:line="360" w:lineRule="auto"/>
        <w:ind w:left="0" w:right="1"/>
        <w:jc w:val="both"/>
        <w:rPr>
          <w:rFonts w:ascii="Palatino Linotype" w:eastAsia="Palatino Linotype" w:hAnsi="Palatino Linotype" w:cs="Palatino Linotype"/>
          <w:b/>
          <w:sz w:val="24"/>
        </w:rPr>
      </w:pPr>
    </w:p>
    <w:p w:rsidR="004C4365" w:rsidRPr="004F49B1" w:rsidRDefault="00A42BC4" w:rsidP="004C4365">
      <w:pPr>
        <w:pStyle w:val="Prrafodelista"/>
        <w:numPr>
          <w:ilvl w:val="0"/>
          <w:numId w:val="1"/>
        </w:numPr>
        <w:spacing w:line="360" w:lineRule="auto"/>
        <w:ind w:left="0" w:right="1" w:firstLine="0"/>
        <w:jc w:val="both"/>
        <w:rPr>
          <w:rFonts w:ascii="Palatino Linotype" w:eastAsia="Palatino Linotype" w:hAnsi="Palatino Linotype" w:cs="Palatino Linotype"/>
          <w:b/>
          <w:sz w:val="24"/>
        </w:rPr>
      </w:pPr>
      <w:r w:rsidRPr="004F49B1">
        <w:rPr>
          <w:rFonts w:ascii="Palatino Linotype" w:eastAsia="Palatino Linotype" w:hAnsi="Palatino Linotype" w:cs="Palatino Linotype"/>
          <w:sz w:val="24"/>
        </w:rPr>
        <w:t xml:space="preserve">El </w:t>
      </w:r>
      <w:r w:rsidRPr="004F49B1">
        <w:rPr>
          <w:rFonts w:ascii="Palatino Linotype" w:eastAsia="Palatino Linotype" w:hAnsi="Palatino Linotype" w:cs="Palatino Linotype"/>
          <w:b/>
          <w:sz w:val="24"/>
        </w:rPr>
        <w:t>RECURRENTE</w:t>
      </w:r>
      <w:r w:rsidR="00B45025" w:rsidRPr="004F49B1">
        <w:rPr>
          <w:rFonts w:ascii="Palatino Linotype" w:eastAsia="Palatino Linotype" w:hAnsi="Palatino Linotype" w:cs="Palatino Linotype"/>
          <w:sz w:val="24"/>
        </w:rPr>
        <w:t xml:space="preserve"> solicitó </w:t>
      </w:r>
      <w:r w:rsidR="00DA23CE" w:rsidRPr="004F49B1">
        <w:rPr>
          <w:rFonts w:ascii="Palatino Linotype" w:eastAsia="Palatino Linotype" w:hAnsi="Palatino Linotype" w:cs="Palatino Linotype"/>
          <w:sz w:val="24"/>
        </w:rPr>
        <w:t xml:space="preserve">de todos los servidores públicos adscritos a </w:t>
      </w:r>
      <w:r w:rsidR="00F52A0B" w:rsidRPr="004F49B1">
        <w:rPr>
          <w:rFonts w:ascii="Palatino Linotype" w:eastAsia="Palatino Linotype" w:hAnsi="Palatino Linotype" w:cs="Palatino Linotype"/>
          <w:sz w:val="24"/>
        </w:rPr>
        <w:t>ese municipio, obligados a realizar la declaración</w:t>
      </w:r>
      <w:r w:rsidR="00DA23CE" w:rsidRPr="004F49B1">
        <w:rPr>
          <w:rFonts w:ascii="Palatino Linotype" w:eastAsia="Palatino Linotype" w:hAnsi="Palatino Linotype" w:cs="Palatino Linotype"/>
          <w:sz w:val="24"/>
        </w:rPr>
        <w:t>, el documento que acredite su manifestación de bienes</w:t>
      </w:r>
      <w:r w:rsidR="00F52A0B" w:rsidRPr="004F49B1">
        <w:rPr>
          <w:rFonts w:ascii="Palatino Linotype" w:eastAsia="Palatino Linotype" w:hAnsi="Palatino Linotype" w:cs="Palatino Linotype"/>
          <w:sz w:val="24"/>
        </w:rPr>
        <w:t>; así como las declaraciones patrimoniales, de intereses y fiscales del Titular de la Unidad de Transparencia y Acceso a la Información Pública</w:t>
      </w:r>
      <w:r w:rsidR="00CB5A52" w:rsidRPr="004F49B1">
        <w:rPr>
          <w:rFonts w:ascii="Palatino Linotype" w:eastAsia="Palatino Linotype" w:hAnsi="Palatino Linotype" w:cs="Palatino Linotype"/>
          <w:sz w:val="24"/>
        </w:rPr>
        <w:t xml:space="preserve">, por lo que </w:t>
      </w:r>
      <w:r w:rsidR="00893A2A" w:rsidRPr="004F49B1">
        <w:rPr>
          <w:rFonts w:ascii="Palatino Linotype" w:eastAsia="Palatino Linotype" w:hAnsi="Palatino Linotype" w:cs="Palatino Linotype"/>
          <w:sz w:val="24"/>
        </w:rPr>
        <w:t>ante la negativa de la respuesta del</w:t>
      </w:r>
      <w:r w:rsidR="00CB5A52" w:rsidRPr="004F49B1">
        <w:rPr>
          <w:rFonts w:ascii="Palatino Linotype" w:eastAsia="Palatino Linotype" w:hAnsi="Palatino Linotype" w:cs="Palatino Linotype"/>
          <w:sz w:val="24"/>
        </w:rPr>
        <w:t xml:space="preserve"> </w:t>
      </w:r>
      <w:r w:rsidR="00CB5A52" w:rsidRPr="004F49B1">
        <w:rPr>
          <w:rFonts w:ascii="Palatino Linotype" w:eastAsia="Palatino Linotype" w:hAnsi="Palatino Linotype" w:cs="Palatino Linotype"/>
          <w:b/>
          <w:sz w:val="24"/>
        </w:rPr>
        <w:t>SUJETO OBLIGADO</w:t>
      </w:r>
      <w:r w:rsidR="00893A2A" w:rsidRPr="004F49B1">
        <w:rPr>
          <w:rFonts w:ascii="Palatino Linotype" w:eastAsia="Palatino Linotype" w:hAnsi="Palatino Linotype" w:cs="Palatino Linotype"/>
          <w:b/>
          <w:sz w:val="24"/>
        </w:rPr>
        <w:t xml:space="preserve">, </w:t>
      </w:r>
      <w:r w:rsidR="00893A2A" w:rsidRPr="004F49B1">
        <w:rPr>
          <w:rFonts w:ascii="Palatino Linotype" w:eastAsia="Palatino Linotype" w:hAnsi="Palatino Linotype" w:cs="Palatino Linotype"/>
          <w:sz w:val="24"/>
        </w:rPr>
        <w:t>este Instituto, emitió una resolución en el que ordena la entrega de la información, derivado de la omisión de brindar respuesta, no obstante en cumplimiento, el sujeto obligado</w:t>
      </w:r>
      <w:r w:rsidR="00561868" w:rsidRPr="004F49B1">
        <w:rPr>
          <w:rFonts w:ascii="Palatino Linotype" w:eastAsia="Palatino Linotype" w:hAnsi="Palatino Linotype" w:cs="Palatino Linotype"/>
          <w:sz w:val="24"/>
        </w:rPr>
        <w:t xml:space="preserve"> a través de servidor público habilitado, requieren aclaración respecto a la temporalidad de la que se está solicitando la información.</w:t>
      </w:r>
    </w:p>
    <w:p w:rsidR="004C4365" w:rsidRPr="004F49B1" w:rsidRDefault="004C4365" w:rsidP="004C4365">
      <w:pPr>
        <w:pStyle w:val="Prrafodelista"/>
        <w:rPr>
          <w:rFonts w:ascii="Palatino Linotype" w:hAnsi="Palatino Linotype" w:cs="Arial"/>
          <w:bCs/>
          <w:sz w:val="24"/>
        </w:rPr>
      </w:pPr>
    </w:p>
    <w:p w:rsidR="001C73C2" w:rsidRPr="004F49B1" w:rsidRDefault="001C73C2" w:rsidP="004F49B1">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4F49B1">
        <w:rPr>
          <w:rFonts w:ascii="Palatino Linotype" w:eastAsia="Palatino Linotype" w:hAnsi="Palatino Linotype" w:cs="Palatino Linotype"/>
          <w:sz w:val="24"/>
        </w:rPr>
        <w:t xml:space="preserve">Al respecto, es importante señalar que, en la página oficial de la Secretaría de la Contraloría, en el apartado de Declaración Patrimonial y de Intereses, precisa que dicha dependencia ofrece el portal </w:t>
      </w:r>
      <w:r w:rsidRPr="004F49B1">
        <w:rPr>
          <w:rFonts w:ascii="Palatino Linotype" w:eastAsia="Palatino Linotype" w:hAnsi="Palatino Linotype" w:cs="Palatino Linotype"/>
          <w:b/>
          <w:sz w:val="24"/>
        </w:rPr>
        <w:t>Decl@ranet</w:t>
      </w:r>
      <w:r w:rsidRPr="004F49B1">
        <w:rPr>
          <w:rFonts w:ascii="Palatino Linotype" w:eastAsia="Palatino Linotype" w:hAnsi="Palatino Linotype" w:cs="Palatino Linotype"/>
          <w:sz w:val="24"/>
        </w:rPr>
        <w:t>, con la finalidad de facilitar a los servidores públicos del Estado de México, presenten su Declaración de Situación Patrimonial, Declaración de Intereses o Posible Conflicto de Intereses y presentación de Constancia de Declaración Fiscal.</w:t>
      </w:r>
    </w:p>
    <w:p w:rsidR="001C73C2" w:rsidRPr="004F49B1" w:rsidRDefault="001C73C2" w:rsidP="004F49B1">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4F49B1">
        <w:rPr>
          <w:rFonts w:ascii="Palatino Linotype" w:eastAsia="Palatino Linotype" w:hAnsi="Palatino Linotype" w:cs="Palatino Linotype"/>
          <w:sz w:val="24"/>
        </w:rPr>
        <w:lastRenderedPageBreak/>
        <w:t>Además, que el díptico denominado “</w:t>
      </w:r>
      <w:r w:rsidRPr="004F49B1">
        <w:rPr>
          <w:rFonts w:ascii="Palatino Linotype" w:eastAsia="Palatino Linotype" w:hAnsi="Palatino Linotype" w:cs="Palatino Linotype"/>
          <w:b/>
          <w:sz w:val="24"/>
        </w:rPr>
        <w:t>Sistema Declaranet</w:t>
      </w:r>
      <w:r w:rsidRPr="004F49B1">
        <w:rPr>
          <w:rFonts w:ascii="Palatino Linotype" w:eastAsia="Palatino Linotype" w:hAnsi="Palatino Linotype" w:cs="Palatino Linotype"/>
          <w:sz w:val="24"/>
        </w:rPr>
        <w:t xml:space="preserve">”, precisa que dicho sistema es administrado por la </w:t>
      </w:r>
      <w:r w:rsidRPr="004F49B1">
        <w:rPr>
          <w:rFonts w:ascii="Palatino Linotype" w:eastAsia="Palatino Linotype" w:hAnsi="Palatino Linotype" w:cs="Palatino Linotype"/>
          <w:b/>
          <w:sz w:val="24"/>
        </w:rPr>
        <w:t>Secretaría de la Contraloría</w:t>
      </w:r>
      <w:r w:rsidRPr="004F49B1">
        <w:rPr>
          <w:rFonts w:ascii="Palatino Linotype" w:eastAsia="Palatino Linotype" w:hAnsi="Palatino Linotype" w:cs="Palatino Linotype"/>
          <w:sz w:val="24"/>
        </w:rPr>
        <w:t>, y cuyo fin es los servidores públicos del Poder Ejecutivo y los ciento veinticinco Ayuntamientos, presenten su Manifestación de Bienes o Declaración Patrimonial.</w:t>
      </w:r>
    </w:p>
    <w:p w:rsidR="001C73C2" w:rsidRPr="004F49B1" w:rsidRDefault="001C73C2" w:rsidP="004F49B1">
      <w:pPr>
        <w:pStyle w:val="Prrafodelista"/>
        <w:ind w:left="0"/>
        <w:rPr>
          <w:rFonts w:ascii="Palatino Linotype" w:eastAsia="Palatino Linotype" w:hAnsi="Palatino Linotype" w:cs="Palatino Linotype"/>
          <w:sz w:val="24"/>
        </w:rPr>
      </w:pPr>
    </w:p>
    <w:p w:rsidR="001C73C2" w:rsidRPr="004F49B1" w:rsidRDefault="001C73C2" w:rsidP="004F49B1">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4F49B1">
        <w:rPr>
          <w:rFonts w:ascii="Palatino Linotype" w:eastAsia="Palatino Linotype" w:hAnsi="Palatino Linotype" w:cs="Palatino Linotype"/>
          <w:sz w:val="24"/>
        </w:rPr>
        <w:t xml:space="preserve">Como se logra observar, el </w:t>
      </w:r>
      <w:r w:rsidRPr="004F49B1">
        <w:rPr>
          <w:rFonts w:ascii="Palatino Linotype" w:eastAsia="Palatino Linotype" w:hAnsi="Palatino Linotype" w:cs="Palatino Linotype"/>
          <w:b/>
          <w:sz w:val="24"/>
        </w:rPr>
        <w:t>Sistema Decl@ranet</w:t>
      </w:r>
      <w:r w:rsidRPr="004F49B1">
        <w:rPr>
          <w:rFonts w:ascii="Palatino Linotype" w:eastAsia="Palatino Linotype" w:hAnsi="Palatino Linotype" w:cs="Palatino Linotype"/>
          <w:sz w:val="24"/>
        </w:rPr>
        <w:t xml:space="preserve">, es administrado y operado únicamente por la Secretaría de la Contraloría, por lo que, es la única dependencia que tiene acceso a las declaraciones presentadas por dicha plataforma; situación que se robustece con el Manual General de Organización de la Secretaría de la Contraloría, que precisa que dicha dependencia cuenta con diversas unidades administrativas para el ejercicio de sus funciones, entre las cuales se encuentra la </w:t>
      </w:r>
      <w:r w:rsidRPr="004F49B1">
        <w:rPr>
          <w:rFonts w:ascii="Palatino Linotype" w:eastAsia="Palatino Linotype" w:hAnsi="Palatino Linotype" w:cs="Palatino Linotype"/>
          <w:b/>
          <w:sz w:val="24"/>
        </w:rPr>
        <w:t>Dirección de Registro de Declaraciones y de Sanciones, encargada de realizar la recepción, registro y resguardo de las declaraciones de situación patrimonial de los servidores públicos de las Administraciones Públicas Estatal y Municipal.</w:t>
      </w:r>
    </w:p>
    <w:p w:rsidR="001C73C2" w:rsidRPr="004F49B1" w:rsidRDefault="001C73C2" w:rsidP="001C73C2">
      <w:pPr>
        <w:pStyle w:val="Prrafodelista"/>
        <w:rPr>
          <w:sz w:val="24"/>
        </w:rPr>
      </w:pPr>
    </w:p>
    <w:p w:rsidR="0049610F" w:rsidRPr="004F49B1" w:rsidRDefault="0049610F" w:rsidP="0049610F">
      <w:pPr>
        <w:numPr>
          <w:ilvl w:val="0"/>
          <w:numId w:val="1"/>
        </w:numPr>
        <w:spacing w:line="360" w:lineRule="auto"/>
        <w:ind w:left="0" w:firstLine="0"/>
        <w:contextualSpacing/>
        <w:jc w:val="both"/>
        <w:rPr>
          <w:rFonts w:ascii="Palatino Linotype" w:hAnsi="Palatino Linotype"/>
          <w:sz w:val="24"/>
          <w:szCs w:val="24"/>
        </w:rPr>
      </w:pPr>
      <w:r w:rsidRPr="004F49B1">
        <w:rPr>
          <w:rFonts w:ascii="Palatino Linotype" w:hAnsi="Palatino Linotype"/>
          <w:sz w:val="24"/>
          <w:szCs w:val="24"/>
        </w:rPr>
        <w:t xml:space="preserve">Con lo anterior se advierte la notoria incompetencia del </w:t>
      </w:r>
      <w:r w:rsidRPr="004F49B1">
        <w:rPr>
          <w:rFonts w:ascii="Palatino Linotype" w:hAnsi="Palatino Linotype"/>
          <w:b/>
          <w:sz w:val="24"/>
          <w:szCs w:val="24"/>
        </w:rPr>
        <w:t xml:space="preserve">SUJETO OBLIGADO, </w:t>
      </w:r>
      <w:r w:rsidRPr="004F49B1">
        <w:rPr>
          <w:rFonts w:ascii="Palatino Linotype" w:hAnsi="Palatino Linotype"/>
          <w:sz w:val="24"/>
          <w:szCs w:val="24"/>
        </w:rPr>
        <w:t xml:space="preserve">no obstante en el Recurso de Revisión </w:t>
      </w:r>
      <w:r w:rsidRPr="004F49B1">
        <w:rPr>
          <w:rFonts w:ascii="Palatino Linotype" w:hAnsi="Palatino Linotype"/>
          <w:b/>
          <w:sz w:val="24"/>
          <w:szCs w:val="24"/>
        </w:rPr>
        <w:t xml:space="preserve">14383/INFOEM/IP/RR/2025, </w:t>
      </w:r>
      <w:r w:rsidRPr="004F49B1">
        <w:rPr>
          <w:rFonts w:ascii="Palatino Linotype" w:hAnsi="Palatino Linotype"/>
          <w:sz w:val="24"/>
          <w:szCs w:val="24"/>
        </w:rPr>
        <w:t>a través de un acto jurídico posterior como lo es el informe justificado, se informa la incompetencia para brindar respuesta al requerimiento del particular, garantizando de esta manera el derecho de acceso a la información.</w:t>
      </w:r>
    </w:p>
    <w:p w:rsidR="0049610F" w:rsidRPr="004F49B1" w:rsidRDefault="0049610F" w:rsidP="0049610F">
      <w:pPr>
        <w:pStyle w:val="Prrafodelista"/>
        <w:rPr>
          <w:rFonts w:ascii="Palatino Linotype" w:eastAsia="Palatino Linotype" w:hAnsi="Palatino Linotype" w:cs="Palatino Linotype"/>
          <w:sz w:val="24"/>
        </w:rPr>
      </w:pPr>
    </w:p>
    <w:p w:rsidR="00A81C5C" w:rsidRPr="004F49B1" w:rsidRDefault="0049610F" w:rsidP="00A81C5C">
      <w:pPr>
        <w:numPr>
          <w:ilvl w:val="0"/>
          <w:numId w:val="1"/>
        </w:numPr>
        <w:spacing w:line="360" w:lineRule="auto"/>
        <w:ind w:left="0" w:firstLine="0"/>
        <w:contextualSpacing/>
        <w:jc w:val="both"/>
        <w:rPr>
          <w:rFonts w:ascii="Palatino Linotype" w:hAnsi="Palatino Linotype"/>
          <w:sz w:val="24"/>
          <w:szCs w:val="24"/>
        </w:rPr>
      </w:pPr>
      <w:r w:rsidRPr="004F49B1">
        <w:rPr>
          <w:rFonts w:ascii="Palatino Linotype" w:eastAsia="Palatino Linotype" w:hAnsi="Palatino Linotype" w:cs="Palatino Linotype"/>
          <w:sz w:val="24"/>
          <w:szCs w:val="24"/>
        </w:rPr>
        <w:t>En continuidad</w:t>
      </w:r>
      <w:r w:rsidR="00A81C5C" w:rsidRPr="004F49B1">
        <w:rPr>
          <w:rFonts w:ascii="Palatino Linotype" w:eastAsia="Palatino Linotype" w:hAnsi="Palatino Linotype" w:cs="Palatino Linotype"/>
          <w:sz w:val="24"/>
          <w:szCs w:val="24"/>
        </w:rPr>
        <w:t xml:space="preserve">, del Directorio de Sujetos Obligados del Instituto de Transparencia, Acceso a la Información Pública y Protección de Datos Personales del Estado de México y </w:t>
      </w:r>
      <w:r w:rsidR="00A81C5C" w:rsidRPr="004F49B1">
        <w:rPr>
          <w:rFonts w:ascii="Palatino Linotype" w:eastAsia="Palatino Linotype" w:hAnsi="Palatino Linotype" w:cs="Palatino Linotype"/>
          <w:sz w:val="24"/>
          <w:szCs w:val="24"/>
        </w:rPr>
        <w:lastRenderedPageBreak/>
        <w:t xml:space="preserve">Municipios, señala que </w:t>
      </w:r>
      <w:r w:rsidRPr="004F49B1">
        <w:rPr>
          <w:rFonts w:ascii="Palatino Linotype" w:eastAsia="Palatino Linotype" w:hAnsi="Palatino Linotype" w:cs="Palatino Linotype"/>
          <w:sz w:val="24"/>
          <w:szCs w:val="24"/>
        </w:rPr>
        <w:t>el Ayuntamiento de Tepotzotlán y la Secretaría de la Contraloría</w:t>
      </w:r>
      <w:r w:rsidR="00A81C5C" w:rsidRPr="004F49B1">
        <w:rPr>
          <w:rFonts w:ascii="Palatino Linotype" w:eastAsia="Palatino Linotype" w:hAnsi="Palatino Linotype" w:cs="Palatino Linotype"/>
          <w:sz w:val="24"/>
          <w:szCs w:val="24"/>
        </w:rPr>
        <w:t>, son Sujetos Obligados diversos, como se muestra a continuación:</w:t>
      </w:r>
    </w:p>
    <w:p w:rsidR="00A81C5C" w:rsidRPr="004F49B1" w:rsidRDefault="00A81C5C" w:rsidP="00A81C5C">
      <w:pPr>
        <w:spacing w:line="360" w:lineRule="auto"/>
        <w:jc w:val="both"/>
        <w:rPr>
          <w:rFonts w:ascii="Palatino Linotype" w:hAnsi="Palatino Linotype"/>
          <w:sz w:val="24"/>
          <w:szCs w:val="24"/>
        </w:rPr>
      </w:pPr>
    </w:p>
    <w:p w:rsidR="00A81C5C" w:rsidRPr="004F49B1" w:rsidRDefault="00A81C5C" w:rsidP="00A81C5C">
      <w:pPr>
        <w:spacing w:line="360" w:lineRule="auto"/>
        <w:jc w:val="center"/>
        <w:rPr>
          <w:rFonts w:ascii="Palatino Linotype" w:hAnsi="Palatino Linotype"/>
          <w:sz w:val="24"/>
          <w:szCs w:val="24"/>
        </w:rPr>
      </w:pPr>
      <w:r w:rsidRPr="004F49B1">
        <w:rPr>
          <w:rFonts w:ascii="Palatino Linotype" w:hAnsi="Palatino Linotype"/>
          <w:noProof/>
          <w:sz w:val="24"/>
          <w:szCs w:val="24"/>
          <w:lang w:eastAsia="es-MX"/>
        </w:rPr>
        <w:drawing>
          <wp:inline distT="0" distB="0" distL="0" distR="0" wp14:anchorId="3BA0CB95" wp14:editId="22AED538">
            <wp:extent cx="4610743" cy="543001"/>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0743" cy="543001"/>
                    </a:xfrm>
                    <a:prstGeom prst="rect">
                      <a:avLst/>
                    </a:prstGeom>
                  </pic:spPr>
                </pic:pic>
              </a:graphicData>
            </a:graphic>
          </wp:inline>
        </w:drawing>
      </w:r>
    </w:p>
    <w:p w:rsidR="00A81C5C" w:rsidRPr="004F49B1" w:rsidRDefault="00A81C5C" w:rsidP="00A81C5C">
      <w:pPr>
        <w:spacing w:line="360" w:lineRule="auto"/>
        <w:jc w:val="both"/>
        <w:rPr>
          <w:rFonts w:ascii="Palatino Linotype" w:hAnsi="Palatino Linotype"/>
          <w:sz w:val="24"/>
          <w:szCs w:val="24"/>
        </w:rPr>
      </w:pPr>
    </w:p>
    <w:p w:rsidR="00A81C5C" w:rsidRPr="004F49B1" w:rsidRDefault="00A81C5C" w:rsidP="00A81C5C">
      <w:pPr>
        <w:spacing w:line="360" w:lineRule="auto"/>
        <w:jc w:val="center"/>
        <w:rPr>
          <w:rFonts w:ascii="Palatino Linotype" w:hAnsi="Palatino Linotype"/>
          <w:sz w:val="24"/>
          <w:szCs w:val="24"/>
        </w:rPr>
      </w:pPr>
      <w:r w:rsidRPr="004F49B1">
        <w:rPr>
          <w:rFonts w:ascii="Palatino Linotype" w:hAnsi="Palatino Linotype"/>
          <w:noProof/>
          <w:sz w:val="24"/>
          <w:szCs w:val="24"/>
          <w:lang w:eastAsia="es-MX"/>
        </w:rPr>
        <w:drawing>
          <wp:inline distT="0" distB="0" distL="0" distR="0" wp14:anchorId="283680C3" wp14:editId="4DF69440">
            <wp:extent cx="4686954" cy="6096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6954" cy="609685"/>
                    </a:xfrm>
                    <a:prstGeom prst="rect">
                      <a:avLst/>
                    </a:prstGeom>
                  </pic:spPr>
                </pic:pic>
              </a:graphicData>
            </a:graphic>
          </wp:inline>
        </w:drawing>
      </w:r>
    </w:p>
    <w:p w:rsidR="00A81C5C" w:rsidRPr="004F49B1" w:rsidRDefault="00A81C5C" w:rsidP="00A81C5C">
      <w:pPr>
        <w:pStyle w:val="Prrafodelista"/>
        <w:spacing w:line="360" w:lineRule="auto"/>
        <w:ind w:left="0"/>
        <w:jc w:val="both"/>
        <w:rPr>
          <w:rFonts w:ascii="Palatino Linotype" w:hAnsi="Palatino Linotype"/>
          <w:sz w:val="24"/>
        </w:rPr>
      </w:pPr>
    </w:p>
    <w:p w:rsidR="00A81C5C" w:rsidRPr="004F49B1" w:rsidRDefault="00A81C5C" w:rsidP="00A81C5C">
      <w:pPr>
        <w:pStyle w:val="Prrafodelista"/>
        <w:numPr>
          <w:ilvl w:val="0"/>
          <w:numId w:val="1"/>
        </w:numPr>
        <w:spacing w:line="360" w:lineRule="auto"/>
        <w:ind w:left="0" w:firstLine="0"/>
        <w:jc w:val="both"/>
        <w:rPr>
          <w:rFonts w:ascii="Palatino Linotype" w:eastAsia="Palatino Linotype" w:hAnsi="Palatino Linotype" w:cs="Palatino Linotype"/>
          <w:color w:val="000000"/>
          <w:sz w:val="24"/>
        </w:rPr>
      </w:pPr>
      <w:r w:rsidRPr="004F49B1">
        <w:rPr>
          <w:rFonts w:ascii="Palatino Linotype" w:hAnsi="Palatino Linotype"/>
          <w:sz w:val="24"/>
        </w:rPr>
        <w:t xml:space="preserve">Precisado lo anterior, se advierte la notoria incompetencia del </w:t>
      </w:r>
      <w:r w:rsidRPr="004F49B1">
        <w:rPr>
          <w:rFonts w:ascii="Palatino Linotype" w:hAnsi="Palatino Linotype"/>
          <w:b/>
          <w:sz w:val="24"/>
        </w:rPr>
        <w:t xml:space="preserve">SUJETO OBLIGADO, </w:t>
      </w:r>
      <w:r w:rsidRPr="004F49B1">
        <w:rPr>
          <w:rFonts w:ascii="Palatino Linotype" w:hAnsi="Palatino Linotype"/>
          <w:sz w:val="24"/>
        </w:rPr>
        <w:t xml:space="preserve">para pronunciarse respecto a la solicitud de información, por lo que no es necesario ordenar el Acuerdo de Incompetencia, </w:t>
      </w:r>
      <w:r w:rsidRPr="004F49B1">
        <w:rPr>
          <w:rFonts w:ascii="Palatino Linotype" w:hAnsi="Palatino Linotype"/>
          <w:b/>
          <w:sz w:val="24"/>
        </w:rPr>
        <w:t xml:space="preserve">puesto que se le solicitó información que es competencia de un SUJETO OBLIGADO diverso al que se le formulo la solicitud; </w:t>
      </w:r>
      <w:r w:rsidRPr="004F49B1">
        <w:rPr>
          <w:rFonts w:ascii="Palatino Linotype" w:eastAsia="Palatino Linotype" w:hAnsi="Palatino Linotype" w:cs="Palatino Linotype"/>
          <w:color w:val="000000"/>
          <w:sz w:val="24"/>
        </w:rPr>
        <w:t>por lo que es imperativo traer a estudio lo dispuesto por el artículo 167 de la Ley de Transparencia y Acceso a la Información Pública del Estado de México y Municipios, que es de la literalidad siguiente:</w:t>
      </w:r>
    </w:p>
    <w:p w:rsidR="00A81C5C" w:rsidRPr="004F49B1" w:rsidRDefault="00A81C5C" w:rsidP="00A81C5C">
      <w:pPr>
        <w:pStyle w:val="Prrafodelista"/>
        <w:rPr>
          <w:rFonts w:ascii="Palatino Linotype" w:eastAsia="Palatino Linotype" w:hAnsi="Palatino Linotype" w:cs="Palatino Linotype"/>
          <w:sz w:val="24"/>
        </w:rPr>
      </w:pPr>
    </w:p>
    <w:p w:rsidR="00A81C5C" w:rsidRPr="004F49B1" w:rsidRDefault="00A81C5C" w:rsidP="00A81C5C">
      <w:pPr>
        <w:tabs>
          <w:tab w:val="left" w:pos="142"/>
          <w:tab w:val="left" w:pos="284"/>
          <w:tab w:val="left" w:pos="426"/>
        </w:tabs>
        <w:ind w:left="567" w:right="539"/>
        <w:jc w:val="both"/>
        <w:rPr>
          <w:rFonts w:ascii="Palatino Linotype" w:eastAsia="Palatino Linotype" w:hAnsi="Palatino Linotype" w:cs="Palatino Linotype"/>
          <w:i/>
          <w:sz w:val="24"/>
          <w:szCs w:val="24"/>
        </w:rPr>
      </w:pPr>
      <w:r w:rsidRPr="004F49B1">
        <w:rPr>
          <w:rFonts w:ascii="Palatino Linotype" w:eastAsia="Palatino Linotype" w:hAnsi="Palatino Linotype" w:cs="Palatino Linotype"/>
          <w:sz w:val="24"/>
          <w:szCs w:val="24"/>
        </w:rPr>
        <w:t>“</w:t>
      </w:r>
      <w:r w:rsidRPr="004F49B1">
        <w:rPr>
          <w:rFonts w:ascii="Palatino Linotype" w:eastAsia="Palatino Linotype" w:hAnsi="Palatino Linotype" w:cs="Palatino Linotype"/>
          <w:b/>
          <w:i/>
          <w:sz w:val="24"/>
          <w:szCs w:val="24"/>
        </w:rPr>
        <w:t>Artículo 167.</w:t>
      </w:r>
      <w:r w:rsidRPr="004F49B1">
        <w:rPr>
          <w:rFonts w:ascii="Palatino Linotype" w:eastAsia="Palatino Linotype" w:hAnsi="Palatino Linotype" w:cs="Palatino Linotype"/>
          <w:i/>
          <w:sz w:val="24"/>
          <w:szCs w:val="24"/>
        </w:rPr>
        <w:t xml:space="preserve"> </w:t>
      </w:r>
      <w:r w:rsidRPr="004F49B1">
        <w:rPr>
          <w:rFonts w:ascii="Palatino Linotype" w:eastAsia="Palatino Linotype" w:hAnsi="Palatino Linotype" w:cs="Palatino Linotype"/>
          <w:b/>
          <w:i/>
          <w:sz w:val="24"/>
          <w:szCs w:val="24"/>
        </w:rPr>
        <w:t>Cuando las unidades de transparencia determinen la</w:t>
      </w:r>
      <w:r w:rsidRPr="004F49B1">
        <w:rPr>
          <w:rFonts w:ascii="Palatino Linotype" w:eastAsia="Palatino Linotype" w:hAnsi="Palatino Linotype" w:cs="Palatino Linotype"/>
          <w:i/>
          <w:sz w:val="24"/>
          <w:szCs w:val="24"/>
        </w:rPr>
        <w:t xml:space="preserve"> notoria </w:t>
      </w:r>
      <w:r w:rsidRPr="004F49B1">
        <w:rPr>
          <w:rFonts w:ascii="Palatino Linotype" w:eastAsia="Palatino Linotype" w:hAnsi="Palatino Linotype" w:cs="Palatino Linotype"/>
          <w:b/>
          <w:i/>
          <w:sz w:val="24"/>
          <w:szCs w:val="24"/>
        </w:rPr>
        <w:t>incompetencia por parte de los sujetos obligados</w:t>
      </w:r>
      <w:r w:rsidRPr="004F49B1">
        <w:rPr>
          <w:rFonts w:ascii="Palatino Linotype" w:eastAsia="Palatino Linotype" w:hAnsi="Palatino Linotype" w:cs="Palatino Linotype"/>
          <w:i/>
          <w:sz w:val="24"/>
          <w:szCs w:val="24"/>
        </w:rPr>
        <w:t xml:space="preserve">, dentro del ámbito de aplicación, para atender la solicitud de acceso a la información, </w:t>
      </w:r>
      <w:r w:rsidRPr="004F49B1">
        <w:rPr>
          <w:rFonts w:ascii="Palatino Linotype" w:eastAsia="Palatino Linotype" w:hAnsi="Palatino Linotype" w:cs="Palatino Linotype"/>
          <w:b/>
          <w:i/>
          <w:sz w:val="24"/>
          <w:szCs w:val="24"/>
        </w:rPr>
        <w:t>deberán comunicarlo al solicitante, dentro de los tres días hábiles posteriores a la recepción de la solicitud y, en su caso orientar al solicitante, el o los sujetos obligados competentes.</w:t>
      </w:r>
      <w:r w:rsidRPr="004F49B1">
        <w:rPr>
          <w:rFonts w:ascii="Palatino Linotype" w:eastAsia="Palatino Linotype" w:hAnsi="Palatino Linotype" w:cs="Palatino Linotype"/>
          <w:i/>
          <w:sz w:val="24"/>
          <w:szCs w:val="24"/>
        </w:rPr>
        <w:t xml:space="preserve"> </w:t>
      </w:r>
    </w:p>
    <w:p w:rsidR="00A81C5C" w:rsidRPr="004F49B1" w:rsidRDefault="00A81C5C" w:rsidP="00A81C5C">
      <w:pPr>
        <w:tabs>
          <w:tab w:val="left" w:pos="142"/>
          <w:tab w:val="left" w:pos="284"/>
        </w:tabs>
        <w:ind w:left="567" w:right="539"/>
        <w:jc w:val="both"/>
        <w:rPr>
          <w:rFonts w:ascii="Palatino Linotype" w:eastAsia="Palatino Linotype" w:hAnsi="Palatino Linotype" w:cs="Palatino Linotype"/>
          <w:i/>
          <w:sz w:val="24"/>
          <w:szCs w:val="24"/>
          <w:u w:val="single"/>
        </w:rPr>
      </w:pPr>
      <w:r w:rsidRPr="004F49B1">
        <w:rPr>
          <w:rFonts w:ascii="Palatino Linotype" w:eastAsia="Palatino Linotype" w:hAnsi="Palatino Linotype" w:cs="Palatino Linotype"/>
          <w:b/>
          <w:i/>
          <w:sz w:val="24"/>
          <w:szCs w:val="24"/>
          <w:u w:val="single"/>
        </w:rPr>
        <w:t xml:space="preserve">Si los sujetos obligados son competentes para atender parcialmente la solicitud de acceso a la información, deberá dar respuesta respecto de dicha parte. Respecto de </w:t>
      </w:r>
      <w:r w:rsidRPr="004F49B1">
        <w:rPr>
          <w:rFonts w:ascii="Palatino Linotype" w:eastAsia="Palatino Linotype" w:hAnsi="Palatino Linotype" w:cs="Palatino Linotype"/>
          <w:b/>
          <w:i/>
          <w:sz w:val="24"/>
          <w:szCs w:val="24"/>
          <w:u w:val="single"/>
        </w:rPr>
        <w:lastRenderedPageBreak/>
        <w:t>la información sobre la cual es incompetente se procederá conforme lo señala el párrafo anterior</w:t>
      </w:r>
      <w:r w:rsidRPr="004F49B1">
        <w:rPr>
          <w:rFonts w:ascii="Palatino Linotype" w:eastAsia="Palatino Linotype" w:hAnsi="Palatino Linotype" w:cs="Palatino Linotype"/>
          <w:i/>
          <w:sz w:val="24"/>
          <w:szCs w:val="24"/>
          <w:u w:val="single"/>
        </w:rPr>
        <w:t xml:space="preserve">. </w:t>
      </w:r>
    </w:p>
    <w:p w:rsidR="00A81C5C" w:rsidRPr="004F49B1" w:rsidRDefault="00A81C5C" w:rsidP="00A81C5C">
      <w:pPr>
        <w:tabs>
          <w:tab w:val="left" w:pos="142"/>
          <w:tab w:val="left" w:pos="284"/>
        </w:tabs>
        <w:ind w:left="567" w:right="539"/>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b/>
          <w:i/>
          <w:sz w:val="24"/>
          <w:szCs w:val="24"/>
        </w:rPr>
        <w:t>Si transcurrido el plazo señalado en el primer párrafo de este artículo, el sujeto obligado no declina la competencia en los términos establecidos, podrá canalizar la solicitud ante el sujeto obligado competente.</w:t>
      </w:r>
      <w:r w:rsidRPr="004F49B1">
        <w:rPr>
          <w:rFonts w:ascii="Palatino Linotype" w:eastAsia="Palatino Linotype" w:hAnsi="Palatino Linotype" w:cs="Palatino Linotype"/>
          <w:i/>
          <w:sz w:val="24"/>
          <w:szCs w:val="24"/>
        </w:rPr>
        <w:t>”</w:t>
      </w:r>
    </w:p>
    <w:p w:rsidR="00A81C5C" w:rsidRPr="004F49B1" w:rsidRDefault="00A81C5C" w:rsidP="00A81C5C">
      <w:pPr>
        <w:tabs>
          <w:tab w:val="left" w:pos="142"/>
          <w:tab w:val="left" w:pos="284"/>
        </w:tabs>
        <w:ind w:left="567" w:right="539"/>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sz w:val="24"/>
          <w:szCs w:val="24"/>
        </w:rPr>
        <w:t>(Énfasis añadido)</w:t>
      </w:r>
    </w:p>
    <w:p w:rsidR="00A81C5C" w:rsidRDefault="00A81C5C" w:rsidP="00A81C5C">
      <w:pPr>
        <w:pStyle w:val="Prrafodelista"/>
        <w:rPr>
          <w:rFonts w:ascii="Palatino Linotype" w:eastAsia="Palatino Linotype" w:hAnsi="Palatino Linotype" w:cs="Palatino Linotype"/>
          <w:sz w:val="24"/>
        </w:rPr>
      </w:pPr>
    </w:p>
    <w:p w:rsidR="004F49B1" w:rsidRPr="004F49B1" w:rsidRDefault="004F49B1" w:rsidP="00A81C5C">
      <w:pPr>
        <w:pStyle w:val="Prrafodelista"/>
        <w:rPr>
          <w:rFonts w:ascii="Palatino Linotype" w:eastAsia="Palatino Linotype" w:hAnsi="Palatino Linotype" w:cs="Palatino Linotype"/>
          <w:sz w:val="24"/>
        </w:rPr>
      </w:pPr>
    </w:p>
    <w:p w:rsidR="00A81C5C" w:rsidRPr="004F49B1" w:rsidRDefault="00A81C5C" w:rsidP="00A81C5C">
      <w:pPr>
        <w:numPr>
          <w:ilvl w:val="0"/>
          <w:numId w:val="1"/>
        </w:numPr>
        <w:spacing w:line="360" w:lineRule="auto"/>
        <w:ind w:left="0" w:right="51" w:firstLine="0"/>
        <w:jc w:val="both"/>
        <w:rPr>
          <w:rFonts w:ascii="Palatino Linotype" w:eastAsia="Palatino Linotype" w:hAnsi="Palatino Linotype" w:cs="Palatino Linotype"/>
          <w:color w:val="000000"/>
          <w:sz w:val="24"/>
          <w:szCs w:val="24"/>
        </w:rPr>
      </w:pPr>
      <w:r w:rsidRPr="004F49B1">
        <w:rPr>
          <w:rFonts w:ascii="Palatino Linotype" w:eastAsia="Palatino Linotype" w:hAnsi="Palatino Linotype" w:cs="Palatino Linotype"/>
          <w:color w:val="000000"/>
          <w:sz w:val="24"/>
          <w:szCs w:val="24"/>
        </w:rPr>
        <w:t xml:space="preserve">De tal forma que, una vez recibida una solicitud de información, el </w:t>
      </w:r>
      <w:r w:rsidRPr="004F49B1">
        <w:rPr>
          <w:rFonts w:ascii="Palatino Linotype" w:eastAsia="Palatino Linotype" w:hAnsi="Palatino Linotype" w:cs="Palatino Linotype"/>
          <w:b/>
          <w:color w:val="000000"/>
          <w:sz w:val="24"/>
          <w:szCs w:val="24"/>
        </w:rPr>
        <w:t>SUJETO OBLIGADO de</w:t>
      </w:r>
      <w:r w:rsidRPr="004F49B1">
        <w:rPr>
          <w:rFonts w:ascii="Palatino Linotype" w:eastAsia="Palatino Linotype" w:hAnsi="Palatino Linotype" w:cs="Palatino Linotype"/>
          <w:color w:val="000000"/>
          <w:sz w:val="24"/>
          <w:szCs w:val="24"/>
        </w:rPr>
        <w:t xml:space="preserve">termine que es incompetente para para poseer, generar o administrar lo solicitado, dentro de los primeros tres días posteriores a la recepción de la solicitud, deberá hacerlo del conocimiento del particular y, deberá orientarlo sobre el </w:t>
      </w:r>
      <w:r w:rsidRPr="004F49B1">
        <w:rPr>
          <w:rFonts w:ascii="Palatino Linotype" w:eastAsia="Palatino Linotype" w:hAnsi="Palatino Linotype" w:cs="Palatino Linotype"/>
          <w:b/>
          <w:color w:val="000000"/>
          <w:sz w:val="24"/>
          <w:szCs w:val="24"/>
        </w:rPr>
        <w:t>SUJETO OBLIGADO</w:t>
      </w:r>
      <w:r w:rsidRPr="004F49B1">
        <w:rPr>
          <w:rFonts w:ascii="Palatino Linotype" w:eastAsia="Palatino Linotype" w:hAnsi="Palatino Linotype" w:cs="Palatino Linotype"/>
          <w:color w:val="000000"/>
          <w:sz w:val="24"/>
          <w:szCs w:val="24"/>
        </w:rPr>
        <w:t xml:space="preserve"> competente para atender lo requerido; Sin embargo, en el presente asunto, al ser de </w:t>
      </w:r>
      <w:r w:rsidRPr="004F49B1">
        <w:rPr>
          <w:rFonts w:ascii="Palatino Linotype" w:eastAsia="Palatino Linotype" w:hAnsi="Palatino Linotype" w:cs="Palatino Linotype"/>
          <w:b/>
          <w:color w:val="000000"/>
          <w:sz w:val="24"/>
          <w:szCs w:val="24"/>
        </w:rPr>
        <w:t>notoria incompetencia</w:t>
      </w:r>
      <w:r w:rsidRPr="004F49B1">
        <w:rPr>
          <w:rFonts w:ascii="Palatino Linotype" w:eastAsia="Palatino Linotype" w:hAnsi="Palatino Linotype" w:cs="Palatino Linotype"/>
          <w:color w:val="000000"/>
          <w:sz w:val="24"/>
          <w:szCs w:val="24"/>
        </w:rPr>
        <w:t>, no es necesario que el Sujeto Obligado remita el Acuerdo de Incompetencia</w:t>
      </w:r>
      <w:r w:rsidR="0016693C" w:rsidRPr="004F49B1">
        <w:rPr>
          <w:rFonts w:ascii="Palatino Linotype" w:eastAsia="Palatino Linotype" w:hAnsi="Palatino Linotype" w:cs="Palatino Linotype"/>
          <w:color w:val="000000"/>
          <w:sz w:val="24"/>
          <w:szCs w:val="24"/>
        </w:rPr>
        <w:t>.</w:t>
      </w:r>
    </w:p>
    <w:p w:rsidR="00A81C5C" w:rsidRPr="004F49B1" w:rsidRDefault="00A81C5C" w:rsidP="00A81C5C">
      <w:pPr>
        <w:pStyle w:val="Prrafodelista"/>
        <w:spacing w:line="360" w:lineRule="auto"/>
        <w:ind w:left="0"/>
        <w:jc w:val="both"/>
        <w:rPr>
          <w:rFonts w:ascii="Palatino Linotype" w:eastAsia="Palatino Linotype" w:hAnsi="Palatino Linotype" w:cs="Palatino Linotype"/>
          <w:sz w:val="24"/>
        </w:rPr>
      </w:pPr>
    </w:p>
    <w:p w:rsidR="00A81C5C" w:rsidRPr="004F49B1" w:rsidRDefault="00A81C5C" w:rsidP="00A81C5C">
      <w:pPr>
        <w:numPr>
          <w:ilvl w:val="0"/>
          <w:numId w:val="1"/>
        </w:numPr>
        <w:spacing w:line="360" w:lineRule="auto"/>
        <w:ind w:left="0" w:firstLine="0"/>
        <w:contextualSpacing/>
        <w:jc w:val="both"/>
        <w:rPr>
          <w:rFonts w:ascii="Palatino Linotype" w:hAnsi="Palatino Linotype"/>
          <w:sz w:val="24"/>
          <w:szCs w:val="24"/>
        </w:rPr>
      </w:pPr>
      <w:r w:rsidRPr="004F49B1">
        <w:rPr>
          <w:rFonts w:ascii="Palatino Linotype" w:hAnsi="Palatino Linotype"/>
          <w:sz w:val="24"/>
          <w:szCs w:val="24"/>
        </w:rPr>
        <w:t>Entonces, al ser dos entes distintos en materia de transparencia, resulta en obviedad de razones que uno no puede atender las solicitudes de información de otro, puesto que es información que cada</w:t>
      </w:r>
      <w:r w:rsidRPr="004F49B1">
        <w:rPr>
          <w:rFonts w:ascii="Palatino Linotype" w:hAnsi="Palatino Linotype"/>
          <w:b/>
          <w:sz w:val="24"/>
          <w:szCs w:val="24"/>
        </w:rPr>
        <w:t xml:space="preserve"> SUJETO OBLIGADO</w:t>
      </w:r>
      <w:r w:rsidR="004F49B1">
        <w:rPr>
          <w:rFonts w:ascii="Palatino Linotype" w:hAnsi="Palatino Linotype"/>
          <w:sz w:val="24"/>
          <w:szCs w:val="24"/>
        </w:rPr>
        <w:t xml:space="preserve"> po</w:t>
      </w:r>
      <w:r w:rsidRPr="004F49B1">
        <w:rPr>
          <w:rFonts w:ascii="Palatino Linotype" w:hAnsi="Palatino Linotype"/>
          <w:sz w:val="24"/>
          <w:szCs w:val="24"/>
        </w:rPr>
        <w:t>se</w:t>
      </w:r>
      <w:r w:rsidR="0049610F" w:rsidRPr="004F49B1">
        <w:rPr>
          <w:rFonts w:ascii="Palatino Linotype" w:hAnsi="Palatino Linotype"/>
          <w:sz w:val="24"/>
          <w:szCs w:val="24"/>
        </w:rPr>
        <w:t>e</w:t>
      </w:r>
      <w:r w:rsidRPr="004F49B1">
        <w:rPr>
          <w:rFonts w:ascii="Palatino Linotype" w:hAnsi="Palatino Linotype"/>
          <w:sz w:val="24"/>
          <w:szCs w:val="24"/>
        </w:rPr>
        <w:t>, genera y administra.</w:t>
      </w:r>
    </w:p>
    <w:p w:rsidR="00A81C5C" w:rsidRPr="004F49B1" w:rsidRDefault="00A81C5C" w:rsidP="00A81C5C">
      <w:pPr>
        <w:pStyle w:val="Prrafodelista"/>
        <w:spacing w:line="360" w:lineRule="auto"/>
        <w:ind w:left="0"/>
        <w:jc w:val="both"/>
        <w:rPr>
          <w:rFonts w:ascii="Palatino Linotype" w:eastAsia="Palatino Linotype" w:hAnsi="Palatino Linotype" w:cs="Palatino Linotype"/>
          <w:sz w:val="24"/>
        </w:rPr>
      </w:pPr>
    </w:p>
    <w:p w:rsidR="001C73C2" w:rsidRPr="004F49B1" w:rsidRDefault="001C73C2" w:rsidP="001C73C2">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4F49B1">
        <w:rPr>
          <w:rFonts w:ascii="Palatino Linotype" w:hAnsi="Palatino Linotype"/>
          <w:sz w:val="24"/>
        </w:rPr>
        <w:t>Como se logra observar, si bien la Ley de la materia, prevé el supuesto de incompetencia para que los sujetos obligados den atención a soli</w:t>
      </w:r>
      <w:r w:rsidR="006D6D66" w:rsidRPr="004F49B1">
        <w:rPr>
          <w:rFonts w:ascii="Palatino Linotype" w:hAnsi="Palatino Linotype"/>
          <w:sz w:val="24"/>
        </w:rPr>
        <w:t>ci</w:t>
      </w:r>
      <w:r w:rsidRPr="004F49B1">
        <w:rPr>
          <w:rFonts w:ascii="Palatino Linotype" w:hAnsi="Palatino Linotype"/>
          <w:sz w:val="24"/>
        </w:rPr>
        <w:t>tudes de información, también lo es, que no se precisa en que consiste dicho concepto; al respecto, Cabanellas, Guillermo (1993), en el “Diccionario Jurídico Elemental” (p. 32 y 161), precisó los siguientes conceptos:</w:t>
      </w:r>
    </w:p>
    <w:p w:rsidR="001C73C2" w:rsidRPr="004F49B1" w:rsidRDefault="001C73C2" w:rsidP="001C73C2">
      <w:pPr>
        <w:pStyle w:val="Prrafodelista"/>
        <w:rPr>
          <w:rFonts w:ascii="Palatino Linotype" w:eastAsia="Palatino Linotype" w:hAnsi="Palatino Linotype" w:cs="Palatino Linotype"/>
          <w:sz w:val="24"/>
        </w:rPr>
      </w:pPr>
    </w:p>
    <w:p w:rsidR="001C73C2" w:rsidRPr="004F49B1" w:rsidRDefault="001C73C2" w:rsidP="001C73C2">
      <w:pPr>
        <w:pStyle w:val="Prrafodelista"/>
        <w:widowControl w:val="0"/>
        <w:numPr>
          <w:ilvl w:val="0"/>
          <w:numId w:val="17"/>
        </w:numPr>
        <w:autoSpaceDE w:val="0"/>
        <w:autoSpaceDN w:val="0"/>
        <w:adjustRightInd w:val="0"/>
        <w:spacing w:line="360" w:lineRule="auto"/>
        <w:jc w:val="both"/>
        <w:rPr>
          <w:rFonts w:ascii="Palatino Linotype" w:hAnsi="Palatino Linotype"/>
          <w:sz w:val="24"/>
        </w:rPr>
      </w:pPr>
      <w:r w:rsidRPr="004F49B1">
        <w:rPr>
          <w:rFonts w:ascii="Palatino Linotype" w:hAnsi="Palatino Linotype"/>
          <w:b/>
          <w:sz w:val="24"/>
        </w:rPr>
        <w:t>Competencia:</w:t>
      </w:r>
      <w:r w:rsidRPr="004F49B1">
        <w:rPr>
          <w:rFonts w:ascii="Palatino Linotype" w:hAnsi="Palatino Linotype"/>
          <w:sz w:val="24"/>
        </w:rPr>
        <w:t xml:space="preserve"> La capacidad de una autoridad para conocer sobre una materia o asunto. </w:t>
      </w:r>
    </w:p>
    <w:p w:rsidR="001C73C2" w:rsidRPr="004F49B1" w:rsidRDefault="001C73C2" w:rsidP="001C73C2">
      <w:pPr>
        <w:pStyle w:val="Prrafodelista"/>
        <w:widowControl w:val="0"/>
        <w:numPr>
          <w:ilvl w:val="0"/>
          <w:numId w:val="17"/>
        </w:numPr>
        <w:autoSpaceDE w:val="0"/>
        <w:autoSpaceDN w:val="0"/>
        <w:adjustRightInd w:val="0"/>
        <w:spacing w:line="360" w:lineRule="auto"/>
        <w:jc w:val="both"/>
        <w:rPr>
          <w:rFonts w:ascii="Palatino Linotype" w:hAnsi="Palatino Linotype"/>
          <w:sz w:val="24"/>
        </w:rPr>
      </w:pPr>
      <w:r w:rsidRPr="004F49B1">
        <w:rPr>
          <w:rFonts w:ascii="Palatino Linotype" w:hAnsi="Palatino Linotype"/>
          <w:b/>
          <w:sz w:val="24"/>
        </w:rPr>
        <w:lastRenderedPageBreak/>
        <w:t>Incompetencia:</w:t>
      </w:r>
      <w:r w:rsidRPr="004F49B1">
        <w:rPr>
          <w:rFonts w:ascii="Palatino Linotype" w:hAnsi="Palatino Linotype"/>
          <w:sz w:val="24"/>
        </w:rPr>
        <w:t xml:space="preserve"> Falta de Competencia.</w:t>
      </w:r>
    </w:p>
    <w:p w:rsidR="001C73C2" w:rsidRPr="004F49B1" w:rsidRDefault="001C73C2" w:rsidP="001C73C2">
      <w:pPr>
        <w:spacing w:line="360" w:lineRule="auto"/>
        <w:jc w:val="both"/>
        <w:rPr>
          <w:rFonts w:ascii="Palatino Linotype" w:eastAsia="Palatino Linotype" w:hAnsi="Palatino Linotype" w:cs="Palatino Linotype"/>
          <w:sz w:val="24"/>
          <w:szCs w:val="24"/>
        </w:rPr>
      </w:pPr>
    </w:p>
    <w:p w:rsidR="001C73C2" w:rsidRPr="004F49B1" w:rsidRDefault="001C73C2" w:rsidP="001C73C2">
      <w:pPr>
        <w:pStyle w:val="Prrafodelista"/>
        <w:widowControl w:val="0"/>
        <w:numPr>
          <w:ilvl w:val="0"/>
          <w:numId w:val="1"/>
        </w:numPr>
        <w:autoSpaceDE w:val="0"/>
        <w:autoSpaceDN w:val="0"/>
        <w:adjustRightInd w:val="0"/>
        <w:spacing w:line="360" w:lineRule="auto"/>
        <w:ind w:left="0" w:firstLine="0"/>
        <w:jc w:val="both"/>
        <w:rPr>
          <w:rFonts w:ascii="Palatino Linotype" w:hAnsi="Palatino Linotype"/>
          <w:sz w:val="24"/>
        </w:rPr>
      </w:pPr>
      <w:r w:rsidRPr="004F49B1">
        <w:rPr>
          <w:rFonts w:ascii="Palatino Linotype" w:hAnsi="Palatino Linotype"/>
          <w:sz w:val="24"/>
        </w:rPr>
        <w:t>Por lo que, la incompetencia,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w:t>
      </w:r>
    </w:p>
    <w:p w:rsidR="006D6D66" w:rsidRPr="004F49B1" w:rsidRDefault="006D6D66" w:rsidP="006D6D66">
      <w:pPr>
        <w:widowControl w:val="0"/>
        <w:autoSpaceDE w:val="0"/>
        <w:autoSpaceDN w:val="0"/>
        <w:adjustRightInd w:val="0"/>
        <w:spacing w:line="360" w:lineRule="auto"/>
        <w:jc w:val="both"/>
        <w:rPr>
          <w:rFonts w:ascii="Palatino Linotype" w:hAnsi="Palatino Linotype"/>
          <w:sz w:val="24"/>
          <w:szCs w:val="24"/>
        </w:rPr>
      </w:pPr>
    </w:p>
    <w:p w:rsidR="006D6D66" w:rsidRPr="004F49B1" w:rsidRDefault="006D6D66" w:rsidP="00A81C5C">
      <w:pPr>
        <w:ind w:left="567" w:right="567"/>
        <w:jc w:val="both"/>
        <w:rPr>
          <w:rFonts w:ascii="Palatino Linotype" w:hAnsi="Palatino Linotype" w:cs="Arial"/>
          <w:bCs/>
          <w:i/>
          <w:iCs/>
          <w:sz w:val="24"/>
          <w:szCs w:val="24"/>
        </w:rPr>
      </w:pPr>
      <w:r w:rsidRPr="004F49B1">
        <w:rPr>
          <w:rFonts w:ascii="Palatino Linotype" w:hAnsi="Palatino Linotype" w:cs="Arial"/>
          <w:b/>
          <w:bCs/>
          <w:i/>
          <w:iCs/>
          <w:sz w:val="24"/>
          <w:szCs w:val="24"/>
        </w:rPr>
        <w:t>“LEGITIMACIÓN DE FUNCIONARIOS PÚBLICOS. LOS TRIBUNALES DE AMPARO, POR ESTAR VINCULADOS CON EL CONCEPTO DE COMPETENCIA A QUE SE REFIERE EL ARTÍCULO 16 CONSTITUCIONAL, NO PUEDEN CONOCER DE AQUÉLLA</w:t>
      </w:r>
      <w:r w:rsidRPr="004F49B1">
        <w:rPr>
          <w:rFonts w:ascii="Palatino Linotype" w:hAnsi="Palatino Linotype" w:cs="Arial"/>
          <w:bCs/>
          <w:i/>
          <w:iCs/>
          <w:sz w:val="24"/>
          <w:szCs w:val="24"/>
        </w:rPr>
        <w:t>. El artículo 16 constitucional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rsidR="006D6D66" w:rsidRPr="004F49B1" w:rsidRDefault="006D6D66" w:rsidP="006D6D66">
      <w:pPr>
        <w:widowControl w:val="0"/>
        <w:autoSpaceDE w:val="0"/>
        <w:autoSpaceDN w:val="0"/>
        <w:adjustRightInd w:val="0"/>
        <w:spacing w:line="360" w:lineRule="auto"/>
        <w:jc w:val="both"/>
        <w:rPr>
          <w:rFonts w:ascii="Palatino Linotype" w:hAnsi="Palatino Linotype"/>
          <w:sz w:val="24"/>
          <w:szCs w:val="24"/>
        </w:rPr>
      </w:pPr>
    </w:p>
    <w:p w:rsidR="006D6D66" w:rsidRPr="004F49B1" w:rsidRDefault="006D6D66" w:rsidP="006D6D66">
      <w:pPr>
        <w:pStyle w:val="Prrafodelista"/>
        <w:numPr>
          <w:ilvl w:val="0"/>
          <w:numId w:val="1"/>
        </w:numPr>
        <w:spacing w:line="360" w:lineRule="auto"/>
        <w:ind w:left="0" w:firstLine="0"/>
        <w:jc w:val="both"/>
        <w:rPr>
          <w:rFonts w:ascii="Palatino Linotype" w:hAnsi="Palatino Linotype"/>
          <w:sz w:val="24"/>
        </w:rPr>
      </w:pPr>
      <w:r w:rsidRPr="004F49B1">
        <w:rPr>
          <w:rFonts w:ascii="Palatino Linotype" w:hAnsi="Palatino Linotype"/>
          <w:sz w:val="24"/>
        </w:rPr>
        <w:t xml:space="preserve">Así, se logra observar que el </w:t>
      </w:r>
      <w:r w:rsidRPr="004F49B1">
        <w:rPr>
          <w:rFonts w:ascii="Palatino Linotype" w:hAnsi="Palatino Linotype"/>
          <w:b/>
          <w:sz w:val="24"/>
        </w:rPr>
        <w:t xml:space="preserve">SUJETO OBLIGADO </w:t>
      </w:r>
      <w:r w:rsidRPr="004F49B1">
        <w:rPr>
          <w:rFonts w:ascii="Palatino Linotype" w:hAnsi="Palatino Linotype"/>
          <w:sz w:val="24"/>
        </w:rPr>
        <w:t xml:space="preserve">no tiene competencia para conocer de las declaraciones patrimoniales de los servidores públicos adscritos al mismo, pues el encargado de recibir, registrar y resguardar las declaraciones patrimoniales del Ayuntamiento de Tepotzotlán, es únicamente la </w:t>
      </w:r>
      <w:r w:rsidRPr="004F49B1">
        <w:rPr>
          <w:rFonts w:ascii="Palatino Linotype" w:hAnsi="Palatino Linotype"/>
          <w:b/>
          <w:sz w:val="24"/>
        </w:rPr>
        <w:t>Secretaría de la Contraloría.</w:t>
      </w:r>
    </w:p>
    <w:p w:rsidR="006D6D66" w:rsidRPr="004F49B1" w:rsidRDefault="006D6D66" w:rsidP="006D6D66">
      <w:pPr>
        <w:pStyle w:val="Prrafodelista"/>
        <w:rPr>
          <w:rFonts w:ascii="Palatino Linotype" w:hAnsi="Palatino Linotype"/>
          <w:sz w:val="24"/>
        </w:rPr>
      </w:pPr>
    </w:p>
    <w:p w:rsidR="006D6D66" w:rsidRPr="004F49B1" w:rsidRDefault="006D6D66" w:rsidP="006D6D66">
      <w:pPr>
        <w:pStyle w:val="Prrafodelista"/>
        <w:numPr>
          <w:ilvl w:val="0"/>
          <w:numId w:val="1"/>
        </w:numPr>
        <w:spacing w:line="360" w:lineRule="auto"/>
        <w:ind w:left="0" w:firstLine="0"/>
        <w:jc w:val="both"/>
        <w:rPr>
          <w:rFonts w:ascii="Palatino Linotype" w:hAnsi="Palatino Linotype"/>
          <w:sz w:val="24"/>
        </w:rPr>
      </w:pPr>
      <w:r w:rsidRPr="004F49B1">
        <w:rPr>
          <w:rFonts w:ascii="Palatino Linotype" w:hAnsi="Palatino Linotype" w:cs="Tahoma"/>
          <w:bCs/>
          <w:sz w:val="24"/>
        </w:rPr>
        <w:lastRenderedPageBreak/>
        <w:t xml:space="preserve">Conforme a lo anterior, se logra vislumbrar que toda vez que la </w:t>
      </w:r>
      <w:r w:rsidRPr="004F49B1">
        <w:rPr>
          <w:rFonts w:ascii="Palatino Linotype" w:hAnsi="Palatino Linotype" w:cs="Tahoma"/>
          <w:b/>
          <w:bCs/>
          <w:sz w:val="24"/>
        </w:rPr>
        <w:t>Secretaría de la Contraloría</w:t>
      </w:r>
      <w:r w:rsidRPr="004F49B1">
        <w:rPr>
          <w:rFonts w:ascii="Palatino Linotype" w:hAnsi="Palatino Linotype" w:cs="Tahoma"/>
          <w:bCs/>
          <w:sz w:val="24"/>
        </w:rPr>
        <w:t xml:space="preserve"> es la encargada de </w:t>
      </w:r>
      <w:r w:rsidRPr="004F49B1">
        <w:rPr>
          <w:rFonts w:ascii="Palatino Linotype" w:hAnsi="Palatino Linotype"/>
          <w:sz w:val="24"/>
        </w:rPr>
        <w:t xml:space="preserve">recibir y administrar las declaraciones patrimoniales de los servidores públicos municipales las solicitudes de información </w:t>
      </w:r>
      <w:r w:rsidRPr="004F49B1">
        <w:rPr>
          <w:rFonts w:ascii="Palatino Linotype" w:hAnsi="Palatino Linotype"/>
          <w:b/>
          <w:sz w:val="24"/>
        </w:rPr>
        <w:t xml:space="preserve">RESULTAN SER INATENDIBLES, </w:t>
      </w:r>
      <w:r w:rsidRPr="004F49B1">
        <w:rPr>
          <w:rFonts w:ascii="Palatino Linotype" w:hAnsi="Palatino Linotype"/>
          <w:sz w:val="24"/>
        </w:rPr>
        <w:t>pues en el presente caso, el Particular no va obtener ninguna información, al no haber sido generada y/o administrada por el Sujeto Obligado, o, por lo que, se considera que la impugnación  en relación con la manifestación de bienes de los servidores púb</w:t>
      </w:r>
      <w:r w:rsidR="00A81C5C" w:rsidRPr="004F49B1">
        <w:rPr>
          <w:rFonts w:ascii="Palatino Linotype" w:hAnsi="Palatino Linotype"/>
          <w:sz w:val="24"/>
        </w:rPr>
        <w:t xml:space="preserve">licos adscritos al Ayuntamiento; así como </w:t>
      </w:r>
      <w:r w:rsidR="0016693C" w:rsidRPr="004F49B1">
        <w:rPr>
          <w:rFonts w:ascii="Palatino Linotype" w:hAnsi="Palatino Linotype"/>
          <w:sz w:val="24"/>
        </w:rPr>
        <w:t xml:space="preserve">las declaraciones patrimoniales, de interés y fiscal </w:t>
      </w:r>
      <w:r w:rsidR="00A81C5C" w:rsidRPr="004F49B1">
        <w:rPr>
          <w:rFonts w:ascii="Palatino Linotype" w:hAnsi="Palatino Linotype"/>
          <w:sz w:val="24"/>
        </w:rPr>
        <w:t xml:space="preserve">del Titular de la Unidad de Transparencia y Acceso a la Información, </w:t>
      </w:r>
      <w:r w:rsidRPr="004F49B1">
        <w:rPr>
          <w:rFonts w:ascii="Palatino Linotype" w:hAnsi="Palatino Linotype"/>
          <w:sz w:val="24"/>
        </w:rPr>
        <w:t>ha quedado sin materia.</w:t>
      </w:r>
    </w:p>
    <w:p w:rsidR="006D6D66" w:rsidRPr="004F49B1" w:rsidRDefault="006D6D66" w:rsidP="006D6D66">
      <w:pPr>
        <w:pStyle w:val="Prrafodelista"/>
        <w:spacing w:line="360" w:lineRule="auto"/>
        <w:ind w:left="0"/>
        <w:jc w:val="both"/>
        <w:rPr>
          <w:rFonts w:ascii="Palatino Linotype" w:hAnsi="Palatino Linotype"/>
          <w:sz w:val="24"/>
        </w:rPr>
      </w:pPr>
    </w:p>
    <w:p w:rsidR="004C4365" w:rsidRPr="004F49B1" w:rsidRDefault="004C4365" w:rsidP="0016693C">
      <w:pPr>
        <w:pStyle w:val="Prrafodelista"/>
        <w:numPr>
          <w:ilvl w:val="0"/>
          <w:numId w:val="1"/>
        </w:numPr>
        <w:spacing w:line="360" w:lineRule="auto"/>
        <w:ind w:left="0" w:firstLine="0"/>
        <w:jc w:val="both"/>
        <w:rPr>
          <w:rFonts w:ascii="Palatino Linotype" w:hAnsi="Palatino Linotype"/>
          <w:sz w:val="24"/>
        </w:rPr>
      </w:pPr>
      <w:r w:rsidRPr="004F49B1">
        <w:rPr>
          <w:rFonts w:ascii="Palatino Linotype" w:eastAsia="Palatino Linotype" w:hAnsi="Palatino Linotype" w:cs="Palatino Linotype"/>
          <w:color w:val="000000"/>
          <w:sz w:val="24"/>
        </w:rPr>
        <w:t xml:space="preserve">Asimos, </w:t>
      </w:r>
      <w:r w:rsidRPr="004F49B1">
        <w:rPr>
          <w:rFonts w:ascii="Palatino Linotype" w:eastAsia="Palatino Linotype" w:hAnsi="Palatino Linotype" w:cs="Palatino Linotype"/>
          <w:sz w:val="24"/>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4C4365" w:rsidRPr="004F49B1" w:rsidRDefault="004C4365" w:rsidP="004C4365">
      <w:pPr>
        <w:spacing w:line="360" w:lineRule="auto"/>
        <w:ind w:right="1"/>
        <w:jc w:val="both"/>
        <w:rPr>
          <w:rFonts w:ascii="Palatino Linotype" w:eastAsia="Palatino Linotype" w:hAnsi="Palatino Linotype" w:cs="Palatino Linotype"/>
          <w:b/>
          <w:sz w:val="24"/>
          <w:szCs w:val="24"/>
        </w:rPr>
      </w:pPr>
    </w:p>
    <w:p w:rsidR="004C4365" w:rsidRPr="004F49B1" w:rsidRDefault="004C4365" w:rsidP="004C4365">
      <w:pPr>
        <w:numPr>
          <w:ilvl w:val="0"/>
          <w:numId w:val="1"/>
        </w:numPr>
        <w:spacing w:line="360" w:lineRule="auto"/>
        <w:ind w:left="0" w:right="1" w:firstLine="0"/>
        <w:jc w:val="both"/>
        <w:rPr>
          <w:rFonts w:ascii="Palatino Linotype" w:eastAsia="Palatino Linotype" w:hAnsi="Palatino Linotype" w:cs="Palatino Linotype"/>
          <w:b/>
          <w:sz w:val="24"/>
          <w:szCs w:val="24"/>
        </w:rPr>
      </w:pPr>
      <w:r w:rsidRPr="004F49B1">
        <w:rPr>
          <w:rFonts w:ascii="Palatino Linotype" w:eastAsia="Palatino Linotype" w:hAnsi="Palatino Linotype" w:cs="Palatino Linotype"/>
          <w:sz w:val="24"/>
          <w:szCs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w:t>
      </w:r>
      <w:r w:rsidRPr="004F49B1">
        <w:rPr>
          <w:rFonts w:ascii="Palatino Linotype" w:eastAsia="Palatino Linotype" w:hAnsi="Palatino Linotype" w:cs="Palatino Linotype"/>
          <w:sz w:val="24"/>
          <w:szCs w:val="24"/>
        </w:rPr>
        <w:lastRenderedPageBreak/>
        <w:t xml:space="preserve">holográfico, de conformidad con el artículo 3, fracción XI, de la Ley de la materia, el cual dispone lo siguiente: </w:t>
      </w:r>
    </w:p>
    <w:p w:rsidR="004C4365" w:rsidRPr="004F49B1" w:rsidRDefault="004C4365" w:rsidP="004C4365">
      <w:pPr>
        <w:spacing w:line="360" w:lineRule="auto"/>
        <w:ind w:right="1"/>
        <w:jc w:val="both"/>
        <w:rPr>
          <w:rFonts w:ascii="Palatino Linotype" w:eastAsia="Palatino Linotype" w:hAnsi="Palatino Linotype" w:cs="Palatino Linotype"/>
          <w:color w:val="000000"/>
          <w:sz w:val="24"/>
          <w:szCs w:val="24"/>
        </w:rPr>
      </w:pPr>
    </w:p>
    <w:p w:rsidR="004C4365" w:rsidRPr="004F49B1" w:rsidRDefault="004C4365" w:rsidP="004C4365">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b/>
          <w:i/>
          <w:color w:val="000000"/>
          <w:sz w:val="24"/>
          <w:szCs w:val="24"/>
        </w:rPr>
        <w:t>“Artículo 3.</w:t>
      </w:r>
      <w:r w:rsidRPr="004F49B1">
        <w:rPr>
          <w:rFonts w:ascii="Palatino Linotype" w:eastAsia="Palatino Linotype" w:hAnsi="Palatino Linotype" w:cs="Palatino Linotype"/>
          <w:i/>
          <w:color w:val="000000"/>
          <w:sz w:val="24"/>
          <w:szCs w:val="24"/>
        </w:rPr>
        <w:t xml:space="preserve"> Para los efectos de la presente Ley se entenderá por: </w:t>
      </w:r>
    </w:p>
    <w:p w:rsidR="004C4365" w:rsidRPr="004F49B1" w:rsidRDefault="004C4365" w:rsidP="004C4365">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 xml:space="preserve">(…) </w:t>
      </w:r>
    </w:p>
    <w:p w:rsidR="004C4365" w:rsidRPr="004F49B1" w:rsidRDefault="004C4365" w:rsidP="004C4365">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i/>
          <w:color w:val="000000"/>
          <w:sz w:val="24"/>
          <w:szCs w:val="24"/>
        </w:rPr>
      </w:pPr>
      <w:r w:rsidRPr="004F49B1">
        <w:rPr>
          <w:rFonts w:ascii="Palatino Linotype" w:eastAsia="Palatino Linotype" w:hAnsi="Palatino Linotype" w:cs="Palatino Linotype"/>
          <w:b/>
          <w:i/>
          <w:color w:val="000000"/>
          <w:sz w:val="24"/>
          <w:szCs w:val="24"/>
        </w:rPr>
        <w:t>XI. Documento:</w:t>
      </w:r>
      <w:r w:rsidRPr="004F49B1">
        <w:rPr>
          <w:rFonts w:ascii="Palatino Linotype" w:eastAsia="Palatino Linotype" w:hAnsi="Palatino Linotype" w:cs="Palatino Linotype"/>
          <w:i/>
          <w:color w:val="000000"/>
          <w:sz w:val="24"/>
          <w:szCs w:val="24"/>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4F49B1">
        <w:rPr>
          <w:rFonts w:ascii="Palatino Linotype" w:eastAsia="Palatino Linotype" w:hAnsi="Palatino Linotype" w:cs="Palatino Linotype"/>
          <w:b/>
          <w:i/>
          <w:color w:val="000000"/>
          <w:sz w:val="24"/>
          <w:szCs w:val="24"/>
        </w:rPr>
        <w:t xml:space="preserve">Los documentos podrán estar en cualquier medio, sea escrito, impreso, sonoro, visual, electrónico, informático u holográfico; </w:t>
      </w:r>
    </w:p>
    <w:p w:rsidR="004C4365" w:rsidRPr="004F49B1" w:rsidRDefault="004C4365" w:rsidP="004C4365">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w:t>
      </w:r>
    </w:p>
    <w:p w:rsidR="004C4365" w:rsidRPr="004F49B1" w:rsidRDefault="004C4365" w:rsidP="004C4365">
      <w:pPr>
        <w:spacing w:line="360" w:lineRule="auto"/>
        <w:ind w:right="1"/>
        <w:jc w:val="both"/>
        <w:rPr>
          <w:rFonts w:ascii="Palatino Linotype" w:eastAsia="Palatino Linotype" w:hAnsi="Palatino Linotype" w:cs="Palatino Linotype"/>
          <w:b/>
          <w:sz w:val="24"/>
          <w:szCs w:val="24"/>
        </w:rPr>
      </w:pPr>
    </w:p>
    <w:p w:rsidR="004C4365" w:rsidRPr="004F49B1" w:rsidRDefault="004C4365" w:rsidP="00C105F0">
      <w:pPr>
        <w:numPr>
          <w:ilvl w:val="0"/>
          <w:numId w:val="1"/>
        </w:numPr>
        <w:spacing w:line="360" w:lineRule="auto"/>
        <w:ind w:left="0" w:right="1" w:firstLine="0"/>
        <w:jc w:val="both"/>
        <w:rPr>
          <w:rFonts w:ascii="Palatino Linotype" w:eastAsia="Palatino Linotype" w:hAnsi="Palatino Linotype" w:cs="Palatino Linotype"/>
          <w:b/>
          <w:sz w:val="24"/>
          <w:szCs w:val="24"/>
        </w:rPr>
      </w:pPr>
      <w:r w:rsidRPr="004F49B1">
        <w:rPr>
          <w:rFonts w:ascii="Palatino Linotype" w:eastAsia="Palatino Linotype" w:hAnsi="Palatino Linotype" w:cs="Palatino Linotype"/>
          <w:color w:val="000000"/>
          <w:sz w:val="24"/>
          <w:szCs w:val="24"/>
        </w:rPr>
        <w:t xml:space="preserve">Siendo </w:t>
      </w:r>
      <w:r w:rsidRPr="004F49B1">
        <w:rPr>
          <w:rFonts w:ascii="Palatino Linotype" w:eastAsia="Palatino Linotype" w:hAnsi="Palatino Linotype" w:cs="Palatino Linotype"/>
          <w:sz w:val="24"/>
          <w:szCs w:val="24"/>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4C4365" w:rsidRPr="004F49B1" w:rsidRDefault="004C4365" w:rsidP="004C4365">
      <w:pPr>
        <w:spacing w:line="360" w:lineRule="auto"/>
        <w:ind w:right="1"/>
        <w:jc w:val="both"/>
        <w:rPr>
          <w:rFonts w:ascii="Palatino Linotype" w:eastAsia="Palatino Linotype" w:hAnsi="Palatino Linotype" w:cs="Palatino Linotype"/>
          <w:color w:val="000000"/>
          <w:sz w:val="24"/>
          <w:szCs w:val="24"/>
        </w:rPr>
      </w:pPr>
    </w:p>
    <w:p w:rsidR="004C4365" w:rsidRPr="004F49B1" w:rsidRDefault="004C4365" w:rsidP="004C4365">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sz w:val="24"/>
          <w:szCs w:val="24"/>
        </w:rPr>
      </w:pPr>
      <w:r w:rsidRPr="004F49B1">
        <w:rPr>
          <w:rFonts w:ascii="Palatino Linotype" w:eastAsia="Palatino Linotype" w:hAnsi="Palatino Linotype" w:cs="Palatino Linotype"/>
          <w:i/>
          <w:color w:val="000000"/>
          <w:sz w:val="24"/>
          <w:szCs w:val="24"/>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w:t>
      </w:r>
      <w:r w:rsidRPr="004F49B1">
        <w:rPr>
          <w:rFonts w:ascii="Palatino Linotype" w:eastAsia="Palatino Linotype" w:hAnsi="Palatino Linotype" w:cs="Palatino Linotype"/>
          <w:i/>
          <w:color w:val="000000"/>
          <w:sz w:val="24"/>
          <w:szCs w:val="24"/>
        </w:rPr>
        <w:lastRenderedPageBreak/>
        <w:t>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4C4365" w:rsidRPr="004F49B1" w:rsidRDefault="004C4365" w:rsidP="004C4365">
      <w:pPr>
        <w:spacing w:line="360" w:lineRule="auto"/>
        <w:ind w:right="1"/>
        <w:jc w:val="both"/>
        <w:rPr>
          <w:rFonts w:ascii="Palatino Linotype" w:eastAsia="Palatino Linotype" w:hAnsi="Palatino Linotype" w:cs="Palatino Linotype"/>
          <w:b/>
          <w:sz w:val="24"/>
          <w:szCs w:val="24"/>
        </w:rPr>
      </w:pPr>
    </w:p>
    <w:p w:rsidR="00412EAB" w:rsidRPr="004F49B1" w:rsidRDefault="0016693C" w:rsidP="0016693C">
      <w:pPr>
        <w:numPr>
          <w:ilvl w:val="0"/>
          <w:numId w:val="1"/>
        </w:numPr>
        <w:spacing w:line="360" w:lineRule="auto"/>
        <w:ind w:left="0" w:right="48" w:firstLine="0"/>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sz w:val="24"/>
          <w:szCs w:val="24"/>
        </w:rPr>
        <w:t>Ahora bien, por lo que respecta a las manifestaciones del particular, en relación a la vista al Órgano Interno de Control, apercibir e imponer medidas de apremio</w:t>
      </w:r>
      <w:r w:rsidR="004C4365" w:rsidRPr="004F49B1">
        <w:rPr>
          <w:rFonts w:ascii="Palatino Linotype" w:eastAsia="Palatino Linotype" w:hAnsi="Palatino Linotype" w:cs="Palatino Linotype"/>
          <w:sz w:val="24"/>
          <w:szCs w:val="24"/>
        </w:rPr>
        <w:t xml:space="preserve">, es </w:t>
      </w:r>
      <w:r w:rsidR="004C4365" w:rsidRPr="004F49B1">
        <w:rPr>
          <w:rFonts w:ascii="Palatino Linotype" w:hAnsi="Palatino Linotype"/>
          <w:sz w:val="24"/>
          <w:szCs w:val="24"/>
        </w:rPr>
        <w:t>necesario resaltar que el recurso de revisión previsto en la Ley de la materia no es el medio para investigar y, en su caso, sancionar a servidores públicos</w:t>
      </w:r>
      <w:r w:rsidR="004C4365" w:rsidRPr="004F49B1">
        <w:rPr>
          <w:rFonts w:ascii="Palatino Linotype" w:hAnsi="Palatino Linotype"/>
          <w:b/>
          <w:sz w:val="24"/>
          <w:szCs w:val="24"/>
        </w:rPr>
        <w:t>.</w:t>
      </w:r>
    </w:p>
    <w:p w:rsidR="00412EAB" w:rsidRPr="004F49B1" w:rsidRDefault="00412EAB" w:rsidP="00412EAB">
      <w:pPr>
        <w:spacing w:line="360" w:lineRule="auto"/>
        <w:ind w:right="48"/>
        <w:jc w:val="both"/>
        <w:rPr>
          <w:rFonts w:ascii="Palatino Linotype" w:eastAsia="Palatino Linotype" w:hAnsi="Palatino Linotype" w:cs="Palatino Linotype"/>
          <w:sz w:val="24"/>
          <w:szCs w:val="24"/>
        </w:rPr>
      </w:pPr>
    </w:p>
    <w:p w:rsidR="004C4365" w:rsidRPr="004F49B1" w:rsidRDefault="004C4365" w:rsidP="00412EAB">
      <w:pPr>
        <w:numPr>
          <w:ilvl w:val="0"/>
          <w:numId w:val="1"/>
        </w:numPr>
        <w:spacing w:line="360" w:lineRule="auto"/>
        <w:ind w:left="0" w:right="48" w:firstLine="0"/>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sz w:val="24"/>
          <w:szCs w:val="24"/>
        </w:rPr>
        <w:t xml:space="preserve">Por lo tanto, en virtud de los argumentos expuestos con anterioridad así como del análisis realizado </w:t>
      </w:r>
      <w:r w:rsidR="0016693C" w:rsidRPr="004F49B1">
        <w:rPr>
          <w:rFonts w:ascii="Palatino Linotype" w:eastAsia="Palatino Linotype" w:hAnsi="Palatino Linotype" w:cs="Palatino Linotype"/>
          <w:sz w:val="24"/>
          <w:szCs w:val="24"/>
        </w:rPr>
        <w:t>a las constancias que obran en los</w:t>
      </w:r>
      <w:r w:rsidRPr="004F49B1">
        <w:rPr>
          <w:rFonts w:ascii="Palatino Linotype" w:eastAsia="Palatino Linotype" w:hAnsi="Palatino Linotype" w:cs="Palatino Linotype"/>
          <w:sz w:val="24"/>
          <w:szCs w:val="24"/>
        </w:rPr>
        <w:t xml:space="preserve"> expediente</w:t>
      </w:r>
      <w:r w:rsidR="0016693C" w:rsidRPr="004F49B1">
        <w:rPr>
          <w:rFonts w:ascii="Palatino Linotype" w:eastAsia="Palatino Linotype" w:hAnsi="Palatino Linotype" w:cs="Palatino Linotype"/>
          <w:sz w:val="24"/>
          <w:szCs w:val="24"/>
        </w:rPr>
        <w:t>s</w:t>
      </w:r>
      <w:r w:rsidRPr="004F49B1">
        <w:rPr>
          <w:rFonts w:ascii="Palatino Linotype" w:eastAsia="Palatino Linotype" w:hAnsi="Palatino Linotype" w:cs="Palatino Linotype"/>
          <w:sz w:val="24"/>
          <w:szCs w:val="24"/>
        </w:rPr>
        <w:t xml:space="preserve"> electrónico</w:t>
      </w:r>
      <w:r w:rsidR="0016693C" w:rsidRPr="004F49B1">
        <w:rPr>
          <w:rFonts w:ascii="Palatino Linotype" w:eastAsia="Palatino Linotype" w:hAnsi="Palatino Linotype" w:cs="Palatino Linotype"/>
          <w:sz w:val="24"/>
          <w:szCs w:val="24"/>
        </w:rPr>
        <w:t>s</w:t>
      </w:r>
      <w:r w:rsidR="009A4A53" w:rsidRPr="004F49B1">
        <w:rPr>
          <w:rFonts w:ascii="Palatino Linotype" w:eastAsia="Palatino Linotype" w:hAnsi="Palatino Linotype" w:cs="Palatino Linotype"/>
          <w:sz w:val="24"/>
          <w:szCs w:val="24"/>
        </w:rPr>
        <w:t xml:space="preserve">, </w:t>
      </w:r>
      <w:r w:rsidRPr="004F49B1">
        <w:rPr>
          <w:rFonts w:ascii="Palatino Linotype" w:eastAsia="Palatino Linotype" w:hAnsi="Palatino Linotype" w:cs="Palatino Linotype"/>
          <w:sz w:val="24"/>
          <w:szCs w:val="24"/>
        </w:rPr>
        <w:t xml:space="preserve">por las consideraciones antes expuestas, se determina </w:t>
      </w:r>
      <w:r w:rsidRPr="004F49B1">
        <w:rPr>
          <w:rFonts w:ascii="Palatino Linotype" w:eastAsia="Palatino Linotype" w:hAnsi="Palatino Linotype" w:cs="Palatino Linotype"/>
          <w:i/>
          <w:sz w:val="24"/>
          <w:szCs w:val="24"/>
        </w:rPr>
        <w:t xml:space="preserve">sobreseer </w:t>
      </w:r>
      <w:r w:rsidRPr="004F49B1">
        <w:rPr>
          <w:rFonts w:ascii="Palatino Linotype" w:eastAsia="Palatino Linotype" w:hAnsi="Palatino Linotype" w:cs="Palatino Linotype"/>
          <w:sz w:val="24"/>
          <w:szCs w:val="24"/>
        </w:rPr>
        <w:t xml:space="preserve">el recurso de revisión </w:t>
      </w:r>
      <w:r w:rsidR="0016693C" w:rsidRPr="004F49B1">
        <w:rPr>
          <w:rFonts w:ascii="Palatino Linotype" w:eastAsia="Calibri" w:hAnsi="Palatino Linotype" w:cs="Tahoma"/>
          <w:b/>
          <w:bCs/>
          <w:sz w:val="24"/>
          <w:szCs w:val="24"/>
          <w:lang w:eastAsia="en-US"/>
        </w:rPr>
        <w:t xml:space="preserve">12798/INFOEM/ICR-167/IP/RR/2025, </w:t>
      </w:r>
      <w:r w:rsidRPr="004F49B1">
        <w:rPr>
          <w:rFonts w:ascii="Palatino Linotype" w:eastAsia="Palatino Linotype" w:hAnsi="Palatino Linotype" w:cs="Palatino Linotype"/>
          <w:sz w:val="24"/>
          <w:szCs w:val="24"/>
        </w:rPr>
        <w:t>por actualizarse la causal de sobreseimiento prevista en la fracción V del artículo 192 de la Ley de Transparencia y Acceso a la Información Pública del Estado de México y Municipios</w:t>
      </w:r>
      <w:r w:rsidR="00412EAB" w:rsidRPr="004F49B1">
        <w:rPr>
          <w:rFonts w:ascii="Palatino Linotype" w:eastAsia="Palatino Linotype" w:hAnsi="Palatino Linotype" w:cs="Palatino Linotype"/>
          <w:sz w:val="24"/>
          <w:szCs w:val="24"/>
        </w:rPr>
        <w:t>.</w:t>
      </w:r>
    </w:p>
    <w:p w:rsidR="00412EAB" w:rsidRPr="004F49B1" w:rsidRDefault="00412EAB" w:rsidP="00412EAB">
      <w:pPr>
        <w:pStyle w:val="Prrafodelista"/>
        <w:rPr>
          <w:rFonts w:ascii="Palatino Linotype" w:eastAsia="Palatino Linotype" w:hAnsi="Palatino Linotype" w:cs="Palatino Linotype"/>
          <w:sz w:val="24"/>
        </w:rPr>
      </w:pPr>
    </w:p>
    <w:p w:rsidR="00412EAB" w:rsidRPr="004F49B1" w:rsidRDefault="00412EAB" w:rsidP="00412EAB">
      <w:pPr>
        <w:numPr>
          <w:ilvl w:val="0"/>
          <w:numId w:val="1"/>
        </w:numPr>
        <w:spacing w:line="360" w:lineRule="auto"/>
        <w:ind w:left="0" w:right="48" w:firstLine="0"/>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sz w:val="24"/>
          <w:szCs w:val="24"/>
        </w:rPr>
        <w:t xml:space="preserve">Así mismo, se determina </w:t>
      </w:r>
      <w:r w:rsidRPr="004F49B1">
        <w:rPr>
          <w:rFonts w:ascii="Palatino Linotype" w:eastAsia="Palatino Linotype" w:hAnsi="Palatino Linotype" w:cs="Palatino Linotype"/>
          <w:i/>
          <w:sz w:val="24"/>
          <w:szCs w:val="24"/>
        </w:rPr>
        <w:t xml:space="preserve">sobreseer </w:t>
      </w:r>
      <w:r w:rsidRPr="004F49B1">
        <w:rPr>
          <w:rFonts w:ascii="Palatino Linotype" w:eastAsia="Palatino Linotype" w:hAnsi="Palatino Linotype" w:cs="Palatino Linotype"/>
          <w:sz w:val="24"/>
          <w:szCs w:val="24"/>
        </w:rPr>
        <w:t xml:space="preserve">el recurso de revisión </w:t>
      </w:r>
      <w:r w:rsidRPr="004F49B1">
        <w:rPr>
          <w:rFonts w:ascii="Palatino Linotype" w:eastAsia="Calibri" w:hAnsi="Palatino Linotype" w:cs="Tahoma"/>
          <w:b/>
          <w:bCs/>
          <w:sz w:val="24"/>
          <w:szCs w:val="24"/>
          <w:lang w:eastAsia="en-US"/>
        </w:rPr>
        <w:t xml:space="preserve">14383/INFOEM/IP/RR/2025, </w:t>
      </w:r>
      <w:r w:rsidRPr="004F49B1">
        <w:rPr>
          <w:rFonts w:ascii="Palatino Linotype" w:eastAsia="Palatino Linotype" w:hAnsi="Palatino Linotype" w:cs="Palatino Linotype"/>
          <w:sz w:val="24"/>
          <w:szCs w:val="24"/>
        </w:rPr>
        <w:t xml:space="preserve">por actualizarse la causal de sobreseimiento prevista en la fracción III del artículo 192 de la Ley de la materia, toda vez que mediante un acto jurídico posterior el </w:t>
      </w:r>
      <w:r w:rsidRPr="004F49B1">
        <w:rPr>
          <w:rFonts w:ascii="Palatino Linotype" w:eastAsia="Palatino Linotype" w:hAnsi="Palatino Linotype" w:cs="Palatino Linotype"/>
          <w:b/>
          <w:sz w:val="24"/>
          <w:szCs w:val="24"/>
        </w:rPr>
        <w:t>SUJETO OBLIGADO</w:t>
      </w:r>
      <w:r w:rsidRPr="004F49B1">
        <w:rPr>
          <w:rFonts w:ascii="Palatino Linotype" w:eastAsia="Palatino Linotype" w:hAnsi="Palatino Linotype" w:cs="Palatino Linotype"/>
          <w:sz w:val="24"/>
          <w:szCs w:val="24"/>
        </w:rPr>
        <w:t xml:space="preserve">, </w:t>
      </w:r>
      <w:r w:rsidRPr="004F49B1">
        <w:rPr>
          <w:rFonts w:ascii="Palatino Linotype" w:eastAsia="Palatino Linotype" w:hAnsi="Palatino Linotype" w:cs="Palatino Linotype"/>
          <w:sz w:val="24"/>
          <w:szCs w:val="24"/>
        </w:rPr>
        <w:lastRenderedPageBreak/>
        <w:t>modifico la respuesta, mismos que se transcriben a continuación, para un mejor entendimiento:</w:t>
      </w:r>
    </w:p>
    <w:p w:rsidR="00412EAB" w:rsidRPr="004F49B1" w:rsidRDefault="00412EAB" w:rsidP="00412EAB">
      <w:pPr>
        <w:ind w:right="1"/>
        <w:jc w:val="both"/>
        <w:rPr>
          <w:rFonts w:ascii="Palatino Linotype" w:eastAsia="Palatino Linotype" w:hAnsi="Palatino Linotype" w:cs="Palatino Linotype"/>
          <w:sz w:val="24"/>
          <w:szCs w:val="24"/>
        </w:rPr>
      </w:pPr>
    </w:p>
    <w:p w:rsidR="00412EAB" w:rsidRPr="004F49B1" w:rsidRDefault="00412EAB" w:rsidP="00412EAB">
      <w:pPr>
        <w:tabs>
          <w:tab w:val="left" w:pos="7938"/>
        </w:tabs>
        <w:spacing w:before="120" w:after="120"/>
        <w:ind w:left="567" w:right="567"/>
        <w:jc w:val="both"/>
        <w:rPr>
          <w:rFonts w:ascii="Palatino Linotype" w:eastAsia="Palatino Linotype" w:hAnsi="Palatino Linotype" w:cs="Palatino Linotype"/>
          <w:i/>
          <w:sz w:val="24"/>
          <w:szCs w:val="24"/>
        </w:rPr>
      </w:pPr>
      <w:r w:rsidRPr="004F49B1">
        <w:rPr>
          <w:rFonts w:ascii="Palatino Linotype" w:eastAsia="Palatino Linotype" w:hAnsi="Palatino Linotype" w:cs="Palatino Linotype"/>
          <w:i/>
          <w:sz w:val="24"/>
          <w:szCs w:val="24"/>
        </w:rPr>
        <w:t>“</w:t>
      </w:r>
      <w:r w:rsidRPr="004F49B1">
        <w:rPr>
          <w:rFonts w:ascii="Palatino Linotype" w:eastAsia="Palatino Linotype" w:hAnsi="Palatino Linotype" w:cs="Palatino Linotype"/>
          <w:b/>
          <w:i/>
          <w:sz w:val="24"/>
          <w:szCs w:val="24"/>
        </w:rPr>
        <w:t>Artículo 192.</w:t>
      </w:r>
      <w:r w:rsidRPr="004F49B1">
        <w:rPr>
          <w:rFonts w:ascii="Palatino Linotype" w:eastAsia="Palatino Linotype" w:hAnsi="Palatino Linotype" w:cs="Palatino Linotype"/>
          <w:i/>
          <w:sz w:val="24"/>
          <w:szCs w:val="24"/>
        </w:rPr>
        <w:t xml:space="preserve"> El recurso será sobreseído, en todo o en parte, cuando una vez admitido, se actualicen alguno de los siguientes supuestos:</w:t>
      </w:r>
    </w:p>
    <w:p w:rsidR="00412EAB" w:rsidRPr="004F49B1" w:rsidRDefault="00412EAB" w:rsidP="00412EAB">
      <w:pPr>
        <w:tabs>
          <w:tab w:val="left" w:pos="7938"/>
        </w:tabs>
        <w:spacing w:before="120" w:after="120"/>
        <w:ind w:left="567" w:right="567"/>
        <w:jc w:val="both"/>
        <w:rPr>
          <w:rFonts w:ascii="Palatino Linotype" w:eastAsia="Palatino Linotype" w:hAnsi="Palatino Linotype" w:cs="Palatino Linotype"/>
          <w:i/>
          <w:sz w:val="24"/>
          <w:szCs w:val="24"/>
        </w:rPr>
      </w:pPr>
      <w:r w:rsidRPr="004F49B1">
        <w:rPr>
          <w:rFonts w:ascii="Palatino Linotype" w:eastAsia="Palatino Linotype" w:hAnsi="Palatino Linotype" w:cs="Palatino Linotype"/>
          <w:i/>
          <w:sz w:val="24"/>
          <w:szCs w:val="24"/>
        </w:rPr>
        <w:t>(…)</w:t>
      </w:r>
    </w:p>
    <w:p w:rsidR="00412EAB" w:rsidRPr="004F49B1" w:rsidRDefault="00412EAB" w:rsidP="00412EAB">
      <w:pPr>
        <w:tabs>
          <w:tab w:val="left" w:pos="7938"/>
        </w:tabs>
        <w:spacing w:before="120" w:after="120"/>
        <w:ind w:left="567" w:right="567"/>
        <w:jc w:val="both"/>
        <w:rPr>
          <w:rFonts w:ascii="Palatino Linotype" w:eastAsia="Palatino Linotype" w:hAnsi="Palatino Linotype" w:cs="Palatino Linotype"/>
          <w:b/>
          <w:i/>
          <w:sz w:val="24"/>
          <w:szCs w:val="24"/>
        </w:rPr>
      </w:pPr>
      <w:r w:rsidRPr="004F49B1">
        <w:rPr>
          <w:rFonts w:ascii="Palatino Linotype" w:eastAsia="Palatino Linotype" w:hAnsi="Palatino Linotype" w:cs="Palatino Linotype"/>
          <w:b/>
          <w:i/>
          <w:sz w:val="24"/>
          <w:szCs w:val="24"/>
        </w:rPr>
        <w:t>III. El sujeto obligado responsable del acto lo modifique o revoque de tal manera que el recurso de revisión quede sin materia</w:t>
      </w:r>
    </w:p>
    <w:p w:rsidR="00412EAB" w:rsidRPr="004F49B1" w:rsidRDefault="00412EAB" w:rsidP="00412EAB">
      <w:pPr>
        <w:tabs>
          <w:tab w:val="left" w:pos="7938"/>
        </w:tabs>
        <w:spacing w:before="120" w:after="120"/>
        <w:ind w:left="567" w:right="567"/>
        <w:jc w:val="both"/>
        <w:rPr>
          <w:rFonts w:ascii="Palatino Linotype" w:eastAsia="Palatino Linotype" w:hAnsi="Palatino Linotype" w:cs="Palatino Linotype"/>
          <w:i/>
          <w:sz w:val="24"/>
          <w:szCs w:val="24"/>
        </w:rPr>
      </w:pPr>
      <w:r w:rsidRPr="004F49B1">
        <w:rPr>
          <w:rFonts w:ascii="Palatino Linotype" w:eastAsia="Palatino Linotype" w:hAnsi="Palatino Linotype" w:cs="Palatino Linotype"/>
          <w:i/>
          <w:sz w:val="24"/>
          <w:szCs w:val="24"/>
        </w:rPr>
        <w:t>(…)</w:t>
      </w:r>
    </w:p>
    <w:p w:rsidR="00412EAB" w:rsidRPr="004F49B1" w:rsidRDefault="00412EAB" w:rsidP="00412EAB">
      <w:pPr>
        <w:tabs>
          <w:tab w:val="left" w:pos="7938"/>
        </w:tabs>
        <w:spacing w:before="120" w:after="120"/>
        <w:ind w:left="567" w:right="567"/>
        <w:jc w:val="both"/>
        <w:rPr>
          <w:rFonts w:ascii="Palatino Linotype" w:eastAsia="Palatino Linotype" w:hAnsi="Palatino Linotype" w:cs="Palatino Linotype"/>
          <w:b/>
          <w:i/>
          <w:sz w:val="24"/>
          <w:szCs w:val="24"/>
        </w:rPr>
      </w:pPr>
      <w:r w:rsidRPr="004F49B1">
        <w:rPr>
          <w:rFonts w:ascii="Palatino Linotype" w:eastAsia="Palatino Linotype" w:hAnsi="Palatino Linotype" w:cs="Palatino Linotype"/>
          <w:b/>
          <w:i/>
          <w:sz w:val="24"/>
          <w:szCs w:val="24"/>
        </w:rPr>
        <w:t>V. Cuando por cualquier motivo quede sin materia el recurso. “</w:t>
      </w:r>
    </w:p>
    <w:p w:rsidR="00412EAB" w:rsidRPr="004F49B1" w:rsidRDefault="00412EAB" w:rsidP="00412EAB">
      <w:pPr>
        <w:spacing w:line="360" w:lineRule="auto"/>
        <w:ind w:right="1"/>
        <w:jc w:val="both"/>
        <w:rPr>
          <w:rFonts w:ascii="Palatino Linotype" w:eastAsia="Palatino Linotype" w:hAnsi="Palatino Linotype" w:cs="Palatino Linotype"/>
          <w:sz w:val="24"/>
          <w:szCs w:val="24"/>
        </w:rPr>
      </w:pPr>
    </w:p>
    <w:p w:rsidR="004C4365" w:rsidRPr="004F49B1" w:rsidRDefault="004C4365" w:rsidP="009A4A53">
      <w:pPr>
        <w:numPr>
          <w:ilvl w:val="0"/>
          <w:numId w:val="1"/>
        </w:numPr>
        <w:spacing w:line="360" w:lineRule="auto"/>
        <w:ind w:left="0" w:right="1" w:firstLine="0"/>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sz w:val="24"/>
          <w:szCs w:val="24"/>
        </w:rPr>
        <w:t xml:space="preserve">Siendo el </w:t>
      </w:r>
      <w:r w:rsidRPr="004F49B1">
        <w:rPr>
          <w:rFonts w:ascii="Palatino Linotype" w:eastAsia="Palatino Linotype" w:hAnsi="Palatino Linotype" w:cs="Palatino Linotype"/>
          <w:i/>
          <w:sz w:val="24"/>
          <w:szCs w:val="24"/>
        </w:rPr>
        <w:t>sobreseimiento</w:t>
      </w:r>
      <w:r w:rsidRPr="004F49B1">
        <w:rPr>
          <w:rFonts w:ascii="Palatino Linotype" w:eastAsia="Palatino Linotype" w:hAnsi="Palatino Linotype" w:cs="Palatino Linotype"/>
          <w:sz w:val="24"/>
          <w:szCs w:val="24"/>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rsidR="004C4365" w:rsidRPr="004F49B1" w:rsidRDefault="004C4365" w:rsidP="004C4365">
      <w:pPr>
        <w:ind w:right="1"/>
        <w:jc w:val="both"/>
        <w:rPr>
          <w:rFonts w:ascii="Palatino Linotype" w:eastAsia="Palatino Linotype" w:hAnsi="Palatino Linotype" w:cs="Palatino Linotype"/>
          <w:sz w:val="24"/>
          <w:szCs w:val="24"/>
        </w:rPr>
      </w:pPr>
    </w:p>
    <w:p w:rsidR="004C4365" w:rsidRPr="004F49B1" w:rsidRDefault="004C4365" w:rsidP="004C4365">
      <w:pPr>
        <w:spacing w:after="120"/>
        <w:ind w:left="567" w:right="567"/>
        <w:jc w:val="both"/>
        <w:rPr>
          <w:rFonts w:ascii="Palatino Linotype" w:eastAsia="Palatino Linotype" w:hAnsi="Palatino Linotype" w:cs="Palatino Linotype"/>
          <w:b/>
          <w:i/>
          <w:sz w:val="24"/>
          <w:szCs w:val="24"/>
        </w:rPr>
      </w:pPr>
      <w:r w:rsidRPr="004F49B1">
        <w:rPr>
          <w:rFonts w:ascii="Palatino Linotype" w:eastAsia="Palatino Linotype" w:hAnsi="Palatino Linotype" w:cs="Palatino Linotype"/>
          <w:i/>
          <w:sz w:val="24"/>
          <w:szCs w:val="24"/>
        </w:rPr>
        <w:t>“</w:t>
      </w:r>
      <w:r w:rsidRPr="004F49B1">
        <w:rPr>
          <w:rFonts w:ascii="Palatino Linotype" w:eastAsia="Palatino Linotype" w:hAnsi="Palatino Linotype" w:cs="Palatino Linotype"/>
          <w:b/>
          <w:i/>
          <w:sz w:val="24"/>
          <w:szCs w:val="24"/>
        </w:rPr>
        <w:t>SOBRESEIMIENTO, NO PERMITE ENTRAR AL ESTUDIO DE LAS CUESTIONES DE FONDO</w:t>
      </w:r>
    </w:p>
    <w:p w:rsidR="004C4365" w:rsidRPr="004F49B1" w:rsidRDefault="004C4365" w:rsidP="004C4365">
      <w:pPr>
        <w:spacing w:before="120" w:after="120"/>
        <w:ind w:left="567" w:right="567"/>
        <w:jc w:val="both"/>
        <w:rPr>
          <w:rFonts w:ascii="Palatino Linotype" w:eastAsia="Palatino Linotype" w:hAnsi="Palatino Linotype" w:cs="Palatino Linotype"/>
          <w:i/>
          <w:sz w:val="24"/>
          <w:szCs w:val="24"/>
        </w:rPr>
      </w:pPr>
      <w:r w:rsidRPr="004F49B1">
        <w:rPr>
          <w:rFonts w:ascii="Palatino Linotype" w:eastAsia="Palatino Linotype" w:hAnsi="Palatino Linotype" w:cs="Palatino Linotype"/>
          <w:i/>
          <w:sz w:val="24"/>
          <w:szCs w:val="24"/>
        </w:rPr>
        <w:t>Localización: 213609. II.2o.183 K. Tribunales Colegiados de Circuito. Octava Época. Semanario Judicial de la Federación. Tomo XIII, Febrero de 1994, Pág. 420</w:t>
      </w:r>
    </w:p>
    <w:p w:rsidR="004C4365" w:rsidRPr="004F49B1" w:rsidRDefault="004C4365" w:rsidP="004C4365">
      <w:pPr>
        <w:spacing w:before="120" w:after="120"/>
        <w:ind w:left="567" w:right="567"/>
        <w:jc w:val="both"/>
        <w:rPr>
          <w:rFonts w:ascii="Palatino Linotype" w:eastAsia="Palatino Linotype" w:hAnsi="Palatino Linotype" w:cs="Palatino Linotype"/>
          <w:i/>
          <w:sz w:val="24"/>
          <w:szCs w:val="24"/>
        </w:rPr>
      </w:pPr>
      <w:r w:rsidRPr="004F49B1">
        <w:rPr>
          <w:rFonts w:ascii="Palatino Linotype" w:eastAsia="Palatino Linotype" w:hAnsi="Palatino Linotype" w:cs="Palatino Linotype"/>
          <w:i/>
          <w:sz w:val="24"/>
          <w:szCs w:val="24"/>
        </w:rPr>
        <w:t xml:space="preserve">Cuerpo de tesis: No causa agravio la sentencia que no se ocupa de los razonamientos tendientes a demostrar la inconstitucionalidad de los actos reclamados de las autoridades </w:t>
      </w:r>
      <w:r w:rsidRPr="004F49B1">
        <w:rPr>
          <w:rFonts w:ascii="Palatino Linotype" w:eastAsia="Palatino Linotype" w:hAnsi="Palatino Linotype" w:cs="Palatino Linotype"/>
          <w:i/>
          <w:sz w:val="24"/>
          <w:szCs w:val="24"/>
        </w:rPr>
        <w:lastRenderedPageBreak/>
        <w:t>responsables, que constituyen el problema de fondo, si se decreta el sobreseimiento del juicio.” (Sic)</w:t>
      </w:r>
    </w:p>
    <w:p w:rsidR="004C4365" w:rsidRPr="004F49B1" w:rsidRDefault="004C4365" w:rsidP="004C4365">
      <w:pPr>
        <w:ind w:right="1"/>
        <w:jc w:val="both"/>
        <w:rPr>
          <w:rFonts w:ascii="Palatino Linotype" w:eastAsia="Palatino Linotype" w:hAnsi="Palatino Linotype" w:cs="Palatino Linotype"/>
          <w:sz w:val="24"/>
          <w:szCs w:val="24"/>
        </w:rPr>
      </w:pPr>
    </w:p>
    <w:p w:rsidR="004C4365" w:rsidRPr="004F49B1" w:rsidRDefault="004C4365" w:rsidP="009A4A53">
      <w:pPr>
        <w:numPr>
          <w:ilvl w:val="0"/>
          <w:numId w:val="1"/>
        </w:numPr>
        <w:spacing w:line="360" w:lineRule="auto"/>
        <w:ind w:left="0" w:right="1" w:firstLine="0"/>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sz w:val="24"/>
          <w:szCs w:val="24"/>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4C4365" w:rsidRPr="004F49B1" w:rsidRDefault="004C4365" w:rsidP="004C4365">
      <w:pPr>
        <w:spacing w:line="360" w:lineRule="auto"/>
        <w:ind w:right="1"/>
        <w:jc w:val="both"/>
        <w:rPr>
          <w:rFonts w:ascii="Palatino Linotype" w:eastAsia="Palatino Linotype" w:hAnsi="Palatino Linotype" w:cs="Palatino Linotype"/>
          <w:sz w:val="24"/>
          <w:szCs w:val="24"/>
        </w:rPr>
      </w:pPr>
    </w:p>
    <w:p w:rsidR="004C4365" w:rsidRPr="004F49B1" w:rsidRDefault="004C4365" w:rsidP="004C4365">
      <w:pPr>
        <w:spacing w:before="120" w:after="120"/>
        <w:ind w:left="567" w:right="567"/>
        <w:jc w:val="both"/>
        <w:rPr>
          <w:rFonts w:ascii="Palatino Linotype" w:eastAsia="Palatino Linotype" w:hAnsi="Palatino Linotype" w:cs="Palatino Linotype"/>
          <w:b/>
          <w:i/>
          <w:sz w:val="24"/>
          <w:szCs w:val="24"/>
        </w:rPr>
      </w:pPr>
      <w:r w:rsidRPr="004F49B1">
        <w:rPr>
          <w:rFonts w:ascii="Palatino Linotype" w:eastAsia="Palatino Linotype" w:hAnsi="Palatino Linotype" w:cs="Palatino Linotype"/>
          <w:b/>
          <w:i/>
          <w:sz w:val="24"/>
          <w:szCs w:val="24"/>
        </w:rPr>
        <w:t>“DESECHAMIENTO O SOBRESEIMIENTO EN EL JUICIO DE AMPARO. NO IMPLICA DENEGACIÓN DE JUSTICIA NI GENERA INSEGURIDAD JURÍDICA”</w:t>
      </w:r>
    </w:p>
    <w:p w:rsidR="004C4365" w:rsidRPr="004F49B1" w:rsidRDefault="004C4365" w:rsidP="004C4365">
      <w:pPr>
        <w:ind w:left="567" w:right="567"/>
        <w:jc w:val="both"/>
        <w:rPr>
          <w:rFonts w:ascii="Palatino Linotype" w:eastAsia="Palatino Linotype" w:hAnsi="Palatino Linotype" w:cs="Palatino Linotype"/>
          <w:sz w:val="24"/>
          <w:szCs w:val="24"/>
        </w:rPr>
      </w:pPr>
      <w:r w:rsidRPr="004F49B1">
        <w:rPr>
          <w:rFonts w:ascii="Palatino Linotype" w:eastAsia="Palatino Linotype" w:hAnsi="Palatino Linotype" w:cs="Palatino Linotype"/>
          <w:i/>
          <w:sz w:val="24"/>
          <w:szCs w:val="24"/>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rsidR="004C4365" w:rsidRPr="004F49B1" w:rsidRDefault="004C4365" w:rsidP="004C4365">
      <w:pPr>
        <w:spacing w:line="360" w:lineRule="auto"/>
        <w:ind w:right="1"/>
        <w:jc w:val="both"/>
        <w:rPr>
          <w:rFonts w:ascii="Palatino Linotype" w:eastAsia="Palatino Linotype" w:hAnsi="Palatino Linotype" w:cs="Palatino Linotype"/>
          <w:sz w:val="24"/>
          <w:szCs w:val="24"/>
        </w:rPr>
      </w:pPr>
    </w:p>
    <w:p w:rsidR="00AD46FE" w:rsidRPr="004F49B1" w:rsidRDefault="004C4365" w:rsidP="00AD46FE">
      <w:pPr>
        <w:pStyle w:val="Prrafodelista"/>
        <w:numPr>
          <w:ilvl w:val="0"/>
          <w:numId w:val="1"/>
        </w:numPr>
        <w:spacing w:line="360" w:lineRule="auto"/>
        <w:ind w:left="0" w:right="-29" w:firstLine="0"/>
        <w:jc w:val="both"/>
        <w:rPr>
          <w:rFonts w:ascii="Palatino Linotype" w:eastAsia="Calibri" w:hAnsi="Palatino Linotype" w:cs="Tahoma"/>
          <w:b/>
          <w:bCs/>
          <w:sz w:val="24"/>
          <w:lang w:eastAsia="en-US"/>
        </w:rPr>
      </w:pPr>
      <w:r w:rsidRPr="004F49B1">
        <w:rPr>
          <w:rFonts w:ascii="Palatino Linotype" w:eastAsia="Palatino Linotype" w:hAnsi="Palatino Linotype" w:cs="Palatino Linotype"/>
          <w:sz w:val="24"/>
        </w:rPr>
        <w:t xml:space="preserve">Bajo ese tenor con fundamento en la segunda hipótesis de la fracción I del artículo 186, de la Ley de Transparencia y Acceso a la Información Pública del Estado de México y </w:t>
      </w:r>
      <w:r w:rsidRPr="004F49B1">
        <w:rPr>
          <w:rFonts w:ascii="Palatino Linotype" w:eastAsia="Palatino Linotype" w:hAnsi="Palatino Linotype" w:cs="Palatino Linotype"/>
          <w:sz w:val="24"/>
        </w:rPr>
        <w:lastRenderedPageBreak/>
        <w:t xml:space="preserve">Municipios, se determina </w:t>
      </w:r>
      <w:r w:rsidRPr="004F49B1">
        <w:rPr>
          <w:rFonts w:ascii="Palatino Linotype" w:eastAsia="Palatino Linotype" w:hAnsi="Palatino Linotype" w:cs="Palatino Linotype"/>
          <w:b/>
          <w:sz w:val="24"/>
        </w:rPr>
        <w:t xml:space="preserve">SOBRESEER </w:t>
      </w:r>
      <w:r w:rsidR="00AD46FE" w:rsidRPr="004F49B1">
        <w:rPr>
          <w:rFonts w:ascii="Palatino Linotype" w:eastAsia="Palatino Linotype" w:hAnsi="Palatino Linotype" w:cs="Palatino Linotype"/>
          <w:b/>
          <w:sz w:val="24"/>
        </w:rPr>
        <w:t>los</w:t>
      </w:r>
      <w:r w:rsidRPr="004F49B1">
        <w:rPr>
          <w:rFonts w:ascii="Palatino Linotype" w:eastAsia="Palatino Linotype" w:hAnsi="Palatino Linotype" w:cs="Palatino Linotype"/>
          <w:sz w:val="24"/>
        </w:rPr>
        <w:t xml:space="preserve"> Recurso</w:t>
      </w:r>
      <w:r w:rsidR="00AD46FE" w:rsidRPr="004F49B1">
        <w:rPr>
          <w:rFonts w:ascii="Palatino Linotype" w:eastAsia="Palatino Linotype" w:hAnsi="Palatino Linotype" w:cs="Palatino Linotype"/>
          <w:sz w:val="24"/>
        </w:rPr>
        <w:t>s</w:t>
      </w:r>
      <w:r w:rsidRPr="004F49B1">
        <w:rPr>
          <w:rFonts w:ascii="Palatino Linotype" w:eastAsia="Palatino Linotype" w:hAnsi="Palatino Linotype" w:cs="Palatino Linotype"/>
          <w:sz w:val="24"/>
        </w:rPr>
        <w:t xml:space="preserve"> de Revisión </w:t>
      </w:r>
      <w:r w:rsidR="00AD46FE" w:rsidRPr="004F49B1">
        <w:rPr>
          <w:rFonts w:ascii="Palatino Linotype" w:eastAsia="Calibri" w:hAnsi="Palatino Linotype" w:cs="Tahoma"/>
          <w:b/>
          <w:bCs/>
          <w:sz w:val="24"/>
          <w:lang w:eastAsia="en-US"/>
        </w:rPr>
        <w:t>12798/INFOEM/ICR-167/IP/RR/2025 y 14383/INFOEM/IP/RR/2025</w:t>
      </w:r>
    </w:p>
    <w:p w:rsidR="00AD46FE" w:rsidRPr="004F49B1" w:rsidRDefault="00AD46FE" w:rsidP="00AD46FE">
      <w:pPr>
        <w:pStyle w:val="Prrafodelista"/>
        <w:spacing w:line="360" w:lineRule="auto"/>
        <w:ind w:left="0"/>
        <w:jc w:val="both"/>
        <w:rPr>
          <w:rFonts w:ascii="Palatino Linotype" w:hAnsi="Palatino Linotype" w:cs="Arial"/>
          <w:sz w:val="24"/>
          <w:lang w:val="es-ES"/>
        </w:rPr>
      </w:pPr>
    </w:p>
    <w:p w:rsidR="004C4365" w:rsidRPr="004F49B1" w:rsidRDefault="004C4365" w:rsidP="009A4A53">
      <w:pPr>
        <w:numPr>
          <w:ilvl w:val="0"/>
          <w:numId w:val="1"/>
        </w:numPr>
        <w:spacing w:line="360" w:lineRule="auto"/>
        <w:ind w:left="0" w:right="1" w:firstLine="0"/>
        <w:jc w:val="both"/>
        <w:rPr>
          <w:rFonts w:ascii="Palatino Linotype" w:eastAsia="Palatino Linotype" w:hAnsi="Palatino Linotype" w:cs="Palatino Linotype"/>
          <w:b/>
          <w:sz w:val="24"/>
          <w:szCs w:val="24"/>
        </w:rPr>
      </w:pPr>
      <w:r w:rsidRPr="004F49B1">
        <w:rPr>
          <w:rFonts w:ascii="Palatino Linotype" w:eastAsia="Palatino Linotype" w:hAnsi="Palatino Linotype" w:cs="Palatino Linotype"/>
          <w:color w:val="222222"/>
          <w:sz w:val="24"/>
          <w:szCs w:val="24"/>
        </w:rPr>
        <w:t xml:space="preserve">Por lo anteriormente expuesto y fundado, este </w:t>
      </w:r>
      <w:r w:rsidRPr="004F49B1">
        <w:rPr>
          <w:rFonts w:ascii="Palatino Linotype" w:eastAsia="Palatino Linotype" w:hAnsi="Palatino Linotype" w:cs="Palatino Linotype"/>
          <w:b/>
          <w:color w:val="222222"/>
          <w:sz w:val="24"/>
          <w:szCs w:val="24"/>
        </w:rPr>
        <w:t>ÓRGANO GARANTE</w:t>
      </w:r>
      <w:r w:rsidRPr="004F49B1">
        <w:rPr>
          <w:rFonts w:ascii="Palatino Linotype" w:eastAsia="Palatino Linotype" w:hAnsi="Palatino Linotype" w:cs="Palatino Linotype"/>
          <w:color w:val="222222"/>
          <w:sz w:val="24"/>
          <w:szCs w:val="24"/>
        </w:rPr>
        <w:t xml:space="preserve"> emite los siguientes:</w:t>
      </w:r>
    </w:p>
    <w:p w:rsidR="004C4365" w:rsidRPr="004F49B1" w:rsidRDefault="004C4365" w:rsidP="004C4365">
      <w:pPr>
        <w:ind w:right="-592"/>
        <w:jc w:val="both"/>
        <w:rPr>
          <w:rFonts w:ascii="Palatino Linotype" w:eastAsia="Palatino Linotype" w:hAnsi="Palatino Linotype" w:cs="Palatino Linotype"/>
          <w:b/>
          <w:sz w:val="24"/>
          <w:szCs w:val="24"/>
        </w:rPr>
      </w:pPr>
    </w:p>
    <w:p w:rsidR="004C4365" w:rsidRPr="004F49B1" w:rsidRDefault="004C4365" w:rsidP="004C4365">
      <w:pPr>
        <w:keepNext/>
        <w:keepLines/>
        <w:spacing w:line="360" w:lineRule="auto"/>
        <w:ind w:right="-592"/>
        <w:jc w:val="center"/>
        <w:rPr>
          <w:rFonts w:ascii="Palatino Linotype" w:eastAsia="Palatino Linotype" w:hAnsi="Palatino Linotype" w:cs="Palatino Linotype"/>
          <w:b/>
          <w:color w:val="000000"/>
          <w:sz w:val="24"/>
          <w:szCs w:val="24"/>
        </w:rPr>
      </w:pPr>
      <w:r w:rsidRPr="004F49B1">
        <w:rPr>
          <w:rFonts w:ascii="Palatino Linotype" w:eastAsia="Palatino Linotype" w:hAnsi="Palatino Linotype" w:cs="Palatino Linotype"/>
          <w:b/>
          <w:color w:val="000000"/>
          <w:sz w:val="24"/>
          <w:szCs w:val="24"/>
        </w:rPr>
        <w:t>R E S O L U T I V O S</w:t>
      </w:r>
    </w:p>
    <w:p w:rsidR="004C4365" w:rsidRPr="004F49B1" w:rsidRDefault="004C4365" w:rsidP="004C4365">
      <w:pPr>
        <w:keepNext/>
        <w:keepLines/>
        <w:ind w:right="-592"/>
        <w:rPr>
          <w:rFonts w:ascii="Palatino Linotype" w:eastAsia="Palatino Linotype" w:hAnsi="Palatino Linotype" w:cs="Palatino Linotype"/>
          <w:b/>
          <w:color w:val="000000"/>
          <w:sz w:val="24"/>
          <w:szCs w:val="24"/>
        </w:rPr>
      </w:pPr>
    </w:p>
    <w:p w:rsidR="004C4365" w:rsidRPr="004F49B1" w:rsidRDefault="004C4365" w:rsidP="004C4365">
      <w:pPr>
        <w:pStyle w:val="Prrafodelista"/>
        <w:widowControl w:val="0"/>
        <w:tabs>
          <w:tab w:val="left" w:pos="1701"/>
        </w:tabs>
        <w:autoSpaceDE w:val="0"/>
        <w:autoSpaceDN w:val="0"/>
        <w:adjustRightInd w:val="0"/>
        <w:spacing w:before="120" w:line="360" w:lineRule="auto"/>
        <w:ind w:left="0"/>
        <w:jc w:val="both"/>
        <w:rPr>
          <w:rFonts w:ascii="Palatino Linotype" w:hAnsi="Palatino Linotype"/>
          <w:sz w:val="24"/>
        </w:rPr>
      </w:pPr>
      <w:bookmarkStart w:id="9" w:name="_Toc450120669"/>
      <w:bookmarkStart w:id="10" w:name="_Toc460947011"/>
      <w:r w:rsidRPr="004F49B1">
        <w:rPr>
          <w:rFonts w:ascii="Palatino Linotype" w:hAnsi="Palatino Linotype" w:cs="Arial"/>
          <w:b/>
          <w:sz w:val="24"/>
        </w:rPr>
        <w:t xml:space="preserve">PRIMERO. </w:t>
      </w:r>
      <w:r w:rsidRPr="004F49B1">
        <w:rPr>
          <w:rFonts w:ascii="Palatino Linotype" w:hAnsi="Palatino Linotype"/>
          <w:sz w:val="24"/>
        </w:rPr>
        <w:t xml:space="preserve">Se </w:t>
      </w:r>
      <w:r w:rsidRPr="004F49B1">
        <w:rPr>
          <w:rFonts w:ascii="Palatino Linotype" w:hAnsi="Palatino Linotype"/>
          <w:b/>
          <w:sz w:val="24"/>
        </w:rPr>
        <w:t>SOBRESEE</w:t>
      </w:r>
      <w:r w:rsidRPr="004F49B1">
        <w:rPr>
          <w:rFonts w:ascii="Palatino Linotype" w:hAnsi="Palatino Linotype"/>
          <w:sz w:val="24"/>
        </w:rPr>
        <w:t xml:space="preserve"> el recurso de revisión número </w:t>
      </w:r>
      <w:r w:rsidR="00AD46FE" w:rsidRPr="004F49B1">
        <w:rPr>
          <w:rFonts w:ascii="Palatino Linotype" w:eastAsia="Calibri" w:hAnsi="Palatino Linotype" w:cs="Tahoma"/>
          <w:b/>
          <w:bCs/>
          <w:sz w:val="24"/>
          <w:lang w:eastAsia="en-US"/>
        </w:rPr>
        <w:t>12798/INFOEM/ICR-167/IP/RR/2025</w:t>
      </w:r>
      <w:r w:rsidRPr="004F49B1">
        <w:rPr>
          <w:rFonts w:ascii="Palatino Linotype" w:hAnsi="Palatino Linotype"/>
          <w:sz w:val="24"/>
        </w:rPr>
        <w:t xml:space="preserve">, al quedarse sin materia en términos de lo dispuesto por la fracción V del artículo 192 de la Ley de Transparencia y Acceso a la Información Pública del Estado de México y Municipios, en términos del </w:t>
      </w:r>
      <w:r w:rsidRPr="004F49B1">
        <w:rPr>
          <w:rFonts w:ascii="Palatino Linotype" w:hAnsi="Palatino Linotype"/>
          <w:b/>
          <w:sz w:val="24"/>
        </w:rPr>
        <w:t>Considerando</w:t>
      </w:r>
      <w:r w:rsidRPr="004F49B1">
        <w:rPr>
          <w:rFonts w:ascii="Palatino Linotype" w:hAnsi="Palatino Linotype"/>
          <w:sz w:val="24"/>
        </w:rPr>
        <w:t xml:space="preserve"> </w:t>
      </w:r>
      <w:r w:rsidRPr="004F49B1">
        <w:rPr>
          <w:rFonts w:ascii="Palatino Linotype" w:hAnsi="Palatino Linotype"/>
          <w:b/>
          <w:sz w:val="24"/>
        </w:rPr>
        <w:t>TERCERO</w:t>
      </w:r>
      <w:r w:rsidRPr="004F49B1">
        <w:rPr>
          <w:rFonts w:ascii="Palatino Linotype" w:hAnsi="Palatino Linotype"/>
          <w:sz w:val="24"/>
        </w:rPr>
        <w:t xml:space="preserve"> de la presente resolución.</w:t>
      </w:r>
    </w:p>
    <w:p w:rsidR="00AD46FE" w:rsidRPr="004F49B1" w:rsidRDefault="00AD46FE" w:rsidP="004C4365">
      <w:pPr>
        <w:pStyle w:val="Prrafodelista"/>
        <w:widowControl w:val="0"/>
        <w:tabs>
          <w:tab w:val="left" w:pos="1701"/>
        </w:tabs>
        <w:autoSpaceDE w:val="0"/>
        <w:autoSpaceDN w:val="0"/>
        <w:adjustRightInd w:val="0"/>
        <w:spacing w:before="120" w:line="360" w:lineRule="auto"/>
        <w:ind w:left="0"/>
        <w:jc w:val="both"/>
        <w:rPr>
          <w:rFonts w:ascii="Palatino Linotype" w:hAnsi="Palatino Linotype"/>
          <w:sz w:val="24"/>
        </w:rPr>
      </w:pPr>
    </w:p>
    <w:p w:rsidR="00AD46FE" w:rsidRPr="004F49B1" w:rsidRDefault="004C4365" w:rsidP="00AD46FE">
      <w:pPr>
        <w:spacing w:line="360" w:lineRule="auto"/>
        <w:ind w:right="-29"/>
        <w:jc w:val="both"/>
        <w:rPr>
          <w:rFonts w:ascii="Palatino Linotype" w:eastAsia="Calibri" w:hAnsi="Palatino Linotype" w:cs="Tahoma"/>
          <w:b/>
          <w:bCs/>
          <w:sz w:val="24"/>
          <w:szCs w:val="24"/>
          <w:lang w:eastAsia="en-US"/>
        </w:rPr>
      </w:pPr>
      <w:bookmarkStart w:id="11" w:name="_Toc461648590"/>
      <w:bookmarkStart w:id="12" w:name="_Toc461648682"/>
      <w:bookmarkStart w:id="13" w:name="_Toc462228049"/>
      <w:bookmarkStart w:id="14" w:name="_Toc462228129"/>
      <w:bookmarkStart w:id="15" w:name="_Toc496099789"/>
      <w:bookmarkStart w:id="16" w:name="_Toc496100166"/>
      <w:bookmarkStart w:id="17" w:name="_Toc499756977"/>
      <w:bookmarkStart w:id="18" w:name="_Toc499757020"/>
      <w:bookmarkStart w:id="19" w:name="_Toc504377974"/>
      <w:r w:rsidRPr="004F49B1">
        <w:rPr>
          <w:rFonts w:ascii="Palatino Linotype" w:hAnsi="Palatino Linotype" w:cs="Arial"/>
          <w:b/>
          <w:sz w:val="24"/>
          <w:szCs w:val="24"/>
        </w:rPr>
        <w:t>SEGUNDO.</w:t>
      </w:r>
      <w:bookmarkEnd w:id="11"/>
      <w:bookmarkEnd w:id="12"/>
      <w:bookmarkEnd w:id="13"/>
      <w:bookmarkEnd w:id="14"/>
      <w:bookmarkEnd w:id="15"/>
      <w:bookmarkEnd w:id="16"/>
      <w:bookmarkEnd w:id="17"/>
      <w:bookmarkEnd w:id="18"/>
      <w:bookmarkEnd w:id="19"/>
      <w:r w:rsidRPr="004F49B1">
        <w:rPr>
          <w:rStyle w:val="Ttulo2Car"/>
          <w:rFonts w:ascii="Palatino Linotype" w:hAnsi="Palatino Linotype"/>
          <w:b/>
          <w:color w:val="000000" w:themeColor="text1"/>
          <w:sz w:val="24"/>
          <w:szCs w:val="24"/>
        </w:rPr>
        <w:t xml:space="preserve"> </w:t>
      </w:r>
      <w:r w:rsidR="00AD46FE" w:rsidRPr="004F49B1">
        <w:rPr>
          <w:rFonts w:ascii="Palatino Linotype" w:hAnsi="Palatino Linotype"/>
          <w:sz w:val="24"/>
          <w:szCs w:val="24"/>
        </w:rPr>
        <w:t xml:space="preserve">Se </w:t>
      </w:r>
      <w:r w:rsidR="00AD46FE" w:rsidRPr="004F49B1">
        <w:rPr>
          <w:rFonts w:ascii="Palatino Linotype" w:hAnsi="Palatino Linotype"/>
          <w:b/>
          <w:sz w:val="24"/>
          <w:szCs w:val="24"/>
        </w:rPr>
        <w:t>SOBRESEE</w:t>
      </w:r>
      <w:r w:rsidR="00AD46FE" w:rsidRPr="004F49B1">
        <w:rPr>
          <w:rFonts w:ascii="Palatino Linotype" w:hAnsi="Palatino Linotype"/>
          <w:sz w:val="24"/>
          <w:szCs w:val="24"/>
        </w:rPr>
        <w:t xml:space="preserve"> el recurso de revisión número </w:t>
      </w:r>
      <w:r w:rsidR="00AD46FE" w:rsidRPr="004F49B1">
        <w:rPr>
          <w:rFonts w:ascii="Palatino Linotype" w:eastAsia="Calibri" w:hAnsi="Palatino Linotype" w:cs="Tahoma"/>
          <w:b/>
          <w:bCs/>
          <w:sz w:val="24"/>
          <w:szCs w:val="24"/>
          <w:lang w:eastAsia="en-US"/>
        </w:rPr>
        <w:t xml:space="preserve">14383/INFOEM/IP/RR/2025, </w:t>
      </w:r>
      <w:r w:rsidR="00AD46FE" w:rsidRPr="004F49B1">
        <w:rPr>
          <w:rFonts w:ascii="Palatino Linotype" w:hAnsi="Palatino Linotype"/>
          <w:sz w:val="24"/>
          <w:szCs w:val="24"/>
        </w:rPr>
        <w:t>por modificar la respuesta, en términos de lo dispuesto por la fracción III</w:t>
      </w:r>
      <w:r w:rsidR="00436B75" w:rsidRPr="004F49B1">
        <w:rPr>
          <w:rFonts w:ascii="Palatino Linotype" w:hAnsi="Palatino Linotype"/>
          <w:sz w:val="24"/>
          <w:szCs w:val="24"/>
        </w:rPr>
        <w:t>,</w:t>
      </w:r>
      <w:r w:rsidR="00AD46FE" w:rsidRPr="004F49B1">
        <w:rPr>
          <w:rFonts w:ascii="Palatino Linotype" w:hAnsi="Palatino Linotype"/>
          <w:sz w:val="24"/>
          <w:szCs w:val="24"/>
        </w:rPr>
        <w:t xml:space="preserve"> del artículo 192</w:t>
      </w:r>
      <w:r w:rsidR="00436B75" w:rsidRPr="004F49B1">
        <w:rPr>
          <w:rFonts w:ascii="Palatino Linotype" w:hAnsi="Palatino Linotype"/>
          <w:sz w:val="24"/>
          <w:szCs w:val="24"/>
        </w:rPr>
        <w:t>,</w:t>
      </w:r>
      <w:r w:rsidR="00AD46FE" w:rsidRPr="004F49B1">
        <w:rPr>
          <w:rFonts w:ascii="Palatino Linotype" w:hAnsi="Palatino Linotype"/>
          <w:sz w:val="24"/>
          <w:szCs w:val="24"/>
        </w:rPr>
        <w:t xml:space="preserve"> de la Ley de Transparencia y Acceso a la Información Pública del Estado de México y Municipios, en términos del </w:t>
      </w:r>
      <w:r w:rsidR="00AD46FE" w:rsidRPr="004F49B1">
        <w:rPr>
          <w:rFonts w:ascii="Palatino Linotype" w:hAnsi="Palatino Linotype"/>
          <w:b/>
          <w:sz w:val="24"/>
          <w:szCs w:val="24"/>
        </w:rPr>
        <w:t>Considerando</w:t>
      </w:r>
      <w:r w:rsidR="00AD46FE" w:rsidRPr="004F49B1">
        <w:rPr>
          <w:rFonts w:ascii="Palatino Linotype" w:hAnsi="Palatino Linotype"/>
          <w:sz w:val="24"/>
          <w:szCs w:val="24"/>
        </w:rPr>
        <w:t xml:space="preserve"> </w:t>
      </w:r>
      <w:r w:rsidR="00AD46FE" w:rsidRPr="004F49B1">
        <w:rPr>
          <w:rFonts w:ascii="Palatino Linotype" w:hAnsi="Palatino Linotype"/>
          <w:b/>
          <w:sz w:val="24"/>
          <w:szCs w:val="24"/>
        </w:rPr>
        <w:t>TERCERO</w:t>
      </w:r>
      <w:r w:rsidR="00AD46FE" w:rsidRPr="004F49B1">
        <w:rPr>
          <w:rFonts w:ascii="Palatino Linotype" w:hAnsi="Palatino Linotype"/>
          <w:sz w:val="24"/>
          <w:szCs w:val="24"/>
        </w:rPr>
        <w:t xml:space="preserve"> de la presente resolución.</w:t>
      </w:r>
    </w:p>
    <w:p w:rsidR="004C4365" w:rsidRPr="004F49B1" w:rsidRDefault="00AD46FE" w:rsidP="004C4365">
      <w:pPr>
        <w:spacing w:before="240" w:after="360" w:line="360" w:lineRule="auto"/>
        <w:jc w:val="both"/>
        <w:rPr>
          <w:rStyle w:val="Ttulo2Car"/>
          <w:rFonts w:ascii="Palatino Linotype" w:hAnsi="Palatino Linotype"/>
          <w:b/>
          <w:color w:val="000000" w:themeColor="text1"/>
          <w:sz w:val="24"/>
          <w:szCs w:val="24"/>
        </w:rPr>
      </w:pPr>
      <w:r w:rsidRPr="004F49B1">
        <w:rPr>
          <w:rFonts w:ascii="Palatino Linotype" w:eastAsia="MS Mincho" w:hAnsi="Palatino Linotype" w:cs="Arial"/>
          <w:b/>
          <w:bCs/>
          <w:color w:val="000000" w:themeColor="text1"/>
          <w:sz w:val="24"/>
          <w:szCs w:val="24"/>
          <w:shd w:val="clear" w:color="auto" w:fill="FFFFFF"/>
        </w:rPr>
        <w:t>TERCERO:</w:t>
      </w:r>
      <w:r w:rsidRPr="004F49B1">
        <w:rPr>
          <w:rFonts w:ascii="Palatino Linotype" w:eastAsia="MS Mincho" w:hAnsi="Palatino Linotype" w:cs="Arial"/>
          <w:bCs/>
          <w:color w:val="000000" w:themeColor="text1"/>
          <w:sz w:val="24"/>
          <w:szCs w:val="24"/>
          <w:shd w:val="clear" w:color="auto" w:fill="FFFFFF"/>
        </w:rPr>
        <w:t xml:space="preserve"> </w:t>
      </w:r>
      <w:r w:rsidR="00436B75" w:rsidRPr="004F49B1">
        <w:rPr>
          <w:rFonts w:ascii="Palatino Linotype" w:eastAsia="MS Mincho" w:hAnsi="Palatino Linotype" w:cs="Arial"/>
          <w:b/>
          <w:bCs/>
          <w:color w:val="000000" w:themeColor="text1"/>
          <w:sz w:val="24"/>
          <w:szCs w:val="24"/>
          <w:shd w:val="clear" w:color="auto" w:fill="FFFFFF"/>
        </w:rPr>
        <w:t>Notifíquese</w:t>
      </w:r>
      <w:r w:rsidR="004C4365" w:rsidRPr="004F49B1">
        <w:rPr>
          <w:rFonts w:ascii="Palatino Linotype" w:eastAsia="MS Mincho" w:hAnsi="Palatino Linotype" w:cs="Arial"/>
          <w:b/>
          <w:bCs/>
          <w:color w:val="000000" w:themeColor="text1"/>
          <w:sz w:val="24"/>
          <w:szCs w:val="24"/>
          <w:shd w:val="clear" w:color="auto" w:fill="FFFFFF"/>
        </w:rPr>
        <w:t xml:space="preserve"> </w:t>
      </w:r>
      <w:r w:rsidR="004C4365" w:rsidRPr="004F49B1">
        <w:rPr>
          <w:rFonts w:ascii="Palatino Linotype" w:eastAsia="MS Mincho" w:hAnsi="Palatino Linotype"/>
          <w:color w:val="000000" w:themeColor="text1"/>
          <w:sz w:val="24"/>
          <w:szCs w:val="24"/>
          <w:shd w:val="clear" w:color="auto" w:fill="FFFFFF"/>
        </w:rPr>
        <w:t>al Titular de la Unidad de Transparencia del</w:t>
      </w:r>
      <w:r w:rsidR="004C4365" w:rsidRPr="004F49B1">
        <w:rPr>
          <w:rFonts w:ascii="Palatino Linotype" w:eastAsia="MS Mincho" w:hAnsi="Palatino Linotype"/>
          <w:b/>
          <w:bCs/>
          <w:color w:val="000000" w:themeColor="text1"/>
          <w:sz w:val="24"/>
          <w:szCs w:val="24"/>
          <w:shd w:val="clear" w:color="auto" w:fill="FFFFFF"/>
        </w:rPr>
        <w:t xml:space="preserve"> SUJETO OBLIGADO</w:t>
      </w:r>
      <w:r w:rsidR="004C4365" w:rsidRPr="004F49B1">
        <w:rPr>
          <w:rFonts w:ascii="Palatino Linotype" w:eastAsia="MS Mincho" w:hAnsi="Palatino Linotype"/>
          <w:color w:val="000000" w:themeColor="text1"/>
          <w:sz w:val="24"/>
          <w:szCs w:val="24"/>
          <w:shd w:val="clear" w:color="auto" w:fill="FFFFFF"/>
        </w:rPr>
        <w:t xml:space="preserve"> vía Sistema de Acceso a Información Mexiquense, </w:t>
      </w:r>
      <w:r w:rsidR="004C4365" w:rsidRPr="004F49B1">
        <w:rPr>
          <w:rFonts w:ascii="Palatino Linotype" w:eastAsia="MS Mincho" w:hAnsi="Palatino Linotype"/>
          <w:b/>
          <w:color w:val="000000" w:themeColor="text1"/>
          <w:sz w:val="24"/>
          <w:szCs w:val="24"/>
          <w:shd w:val="clear" w:color="auto" w:fill="FFFFFF"/>
        </w:rPr>
        <w:t>SAIMEX,</w:t>
      </w:r>
      <w:r w:rsidR="004C4365" w:rsidRPr="004F49B1">
        <w:rPr>
          <w:rFonts w:ascii="Palatino Linotype" w:eastAsia="MS Mincho" w:hAnsi="Palatino Linotype"/>
          <w:color w:val="000000" w:themeColor="text1"/>
          <w:sz w:val="24"/>
          <w:szCs w:val="24"/>
          <w:shd w:val="clear" w:color="auto" w:fill="FFFFFF"/>
        </w:rPr>
        <w:t xml:space="preserve"> la presente resolución. </w:t>
      </w:r>
    </w:p>
    <w:p w:rsidR="004C4365" w:rsidRPr="004F49B1" w:rsidRDefault="00AD46FE" w:rsidP="004C4365">
      <w:pPr>
        <w:spacing w:line="360" w:lineRule="auto"/>
        <w:jc w:val="both"/>
        <w:rPr>
          <w:rFonts w:ascii="Palatino Linotype" w:hAnsi="Palatino Linotype"/>
          <w:b/>
          <w:sz w:val="24"/>
          <w:szCs w:val="24"/>
        </w:rPr>
      </w:pPr>
      <w:bookmarkStart w:id="20" w:name="_Toc460947013"/>
      <w:bookmarkEnd w:id="9"/>
      <w:bookmarkEnd w:id="10"/>
      <w:r w:rsidRPr="004F49B1">
        <w:rPr>
          <w:rFonts w:ascii="Palatino Linotype" w:hAnsi="Palatino Linotype" w:cs="Arial"/>
          <w:b/>
          <w:sz w:val="24"/>
          <w:szCs w:val="24"/>
        </w:rPr>
        <w:t>CUARTO</w:t>
      </w:r>
      <w:r w:rsidR="004C4365" w:rsidRPr="004F49B1">
        <w:rPr>
          <w:rFonts w:ascii="Palatino Linotype" w:hAnsi="Palatino Linotype" w:cs="Arial"/>
          <w:b/>
          <w:sz w:val="24"/>
          <w:szCs w:val="24"/>
        </w:rPr>
        <w:t xml:space="preserve">. </w:t>
      </w:r>
      <w:r w:rsidR="004C4365" w:rsidRPr="004F49B1">
        <w:rPr>
          <w:rFonts w:ascii="Palatino Linotype" w:hAnsi="Palatino Linotype"/>
          <w:b/>
          <w:bCs/>
          <w:color w:val="222222"/>
          <w:sz w:val="24"/>
          <w:szCs w:val="24"/>
          <w:lang w:val="es-ES"/>
        </w:rPr>
        <w:t>Notifíquese a</w:t>
      </w:r>
      <w:r w:rsidR="004C4365" w:rsidRPr="004F49B1">
        <w:rPr>
          <w:rFonts w:ascii="Palatino Linotype" w:hAnsi="Palatino Linotype"/>
          <w:b/>
          <w:sz w:val="24"/>
          <w:szCs w:val="24"/>
        </w:rPr>
        <w:t xml:space="preserve">l RECURRENTE </w:t>
      </w:r>
      <w:r w:rsidR="004C4365" w:rsidRPr="004F49B1">
        <w:rPr>
          <w:rFonts w:ascii="Palatino Linotype" w:hAnsi="Palatino Linotype"/>
          <w:sz w:val="24"/>
          <w:szCs w:val="24"/>
        </w:rPr>
        <w:t xml:space="preserve">la presente resolución a través de </w:t>
      </w:r>
      <w:r w:rsidR="004C4365" w:rsidRPr="004F49B1">
        <w:rPr>
          <w:rFonts w:ascii="Palatino Linotype" w:hAnsi="Palatino Linotype"/>
          <w:b/>
          <w:sz w:val="24"/>
          <w:szCs w:val="24"/>
        </w:rPr>
        <w:t>SAIMEX.</w:t>
      </w:r>
    </w:p>
    <w:p w:rsidR="004C4365" w:rsidRPr="004F49B1" w:rsidRDefault="004C4365" w:rsidP="004C4365">
      <w:pPr>
        <w:jc w:val="both"/>
        <w:rPr>
          <w:rFonts w:ascii="Palatino Linotype" w:hAnsi="Palatino Linotype"/>
          <w:sz w:val="24"/>
          <w:szCs w:val="24"/>
        </w:rPr>
      </w:pPr>
    </w:p>
    <w:bookmarkEnd w:id="20"/>
    <w:p w:rsidR="004C4365" w:rsidRPr="004F49B1" w:rsidRDefault="00AD46FE" w:rsidP="004C4365">
      <w:pPr>
        <w:shd w:val="clear" w:color="auto" w:fill="FFFFFF"/>
        <w:spacing w:line="360" w:lineRule="auto"/>
        <w:jc w:val="both"/>
        <w:rPr>
          <w:rFonts w:ascii="Palatino Linotype" w:eastAsia="Palatino Linotype" w:hAnsi="Palatino Linotype" w:cs="Palatino Linotype"/>
          <w:sz w:val="24"/>
          <w:szCs w:val="24"/>
        </w:rPr>
      </w:pPr>
      <w:r w:rsidRPr="004F49B1">
        <w:rPr>
          <w:rFonts w:ascii="Palatino Linotype" w:eastAsia="MS Mincho" w:hAnsi="Palatino Linotype"/>
          <w:b/>
          <w:sz w:val="24"/>
          <w:szCs w:val="24"/>
        </w:rPr>
        <w:lastRenderedPageBreak/>
        <w:t>QUINTO</w:t>
      </w:r>
      <w:r w:rsidR="004C4365" w:rsidRPr="004F49B1">
        <w:rPr>
          <w:rFonts w:ascii="Palatino Linotype" w:eastAsia="MS Mincho" w:hAnsi="Palatino Linotype"/>
          <w:b/>
          <w:sz w:val="24"/>
          <w:szCs w:val="24"/>
        </w:rPr>
        <w:t>.</w:t>
      </w:r>
      <w:r w:rsidR="004C4365" w:rsidRPr="004F49B1">
        <w:rPr>
          <w:rFonts w:ascii="Palatino Linotype" w:eastAsia="MS Mincho" w:hAnsi="Palatino Linotype"/>
          <w:sz w:val="24"/>
          <w:szCs w:val="24"/>
        </w:rPr>
        <w:t xml:space="preserve"> </w:t>
      </w:r>
      <w:r w:rsidR="004C4365" w:rsidRPr="004F49B1">
        <w:rPr>
          <w:rFonts w:ascii="Palatino Linotype" w:eastAsia="MS Mincho" w:hAnsi="Palatino Linotype"/>
          <w:sz w:val="24"/>
          <w:szCs w:val="24"/>
          <w:lang w:val="es-ES"/>
        </w:rPr>
        <w:t xml:space="preserve">Se hace del conocimiento del </w:t>
      </w:r>
      <w:r w:rsidR="004C4365" w:rsidRPr="004F49B1">
        <w:rPr>
          <w:rFonts w:ascii="Palatino Linotype" w:eastAsia="Calibri" w:hAnsi="Palatino Linotype" w:cs="Tahoma"/>
          <w:b/>
          <w:sz w:val="24"/>
          <w:szCs w:val="24"/>
          <w:lang w:eastAsia="en-US"/>
        </w:rPr>
        <w:t>RECURRENTE</w:t>
      </w:r>
      <w:r w:rsidR="004C4365" w:rsidRPr="004F49B1">
        <w:rPr>
          <w:rFonts w:ascii="Palatino Linotype" w:eastAsia="MS Mincho" w:hAnsi="Palatino Linotype"/>
          <w:sz w:val="24"/>
          <w:szCs w:val="24"/>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004C4365" w:rsidRPr="004F49B1">
        <w:rPr>
          <w:rFonts w:ascii="Palatino Linotype" w:eastAsia="MS Mincho" w:hAnsi="Palatino Linotype"/>
          <w:bCs/>
          <w:sz w:val="24"/>
          <w:szCs w:val="24"/>
          <w:lang w:val="es-ES"/>
        </w:rPr>
        <w:t>vía juicio de amparo</w:t>
      </w:r>
      <w:r w:rsidR="004C4365" w:rsidRPr="004F49B1">
        <w:rPr>
          <w:rFonts w:ascii="Palatino Linotype" w:eastAsia="MS Mincho" w:hAnsi="Palatino Linotype"/>
          <w:sz w:val="24"/>
          <w:szCs w:val="24"/>
          <w:lang w:val="es-ES"/>
        </w:rPr>
        <w:t> en los términos de las leyes aplicables.</w:t>
      </w:r>
    </w:p>
    <w:p w:rsidR="004C4365" w:rsidRPr="004F49B1" w:rsidRDefault="004C4365" w:rsidP="004C4365">
      <w:pPr>
        <w:pBdr>
          <w:top w:val="nil"/>
          <w:left w:val="nil"/>
          <w:bottom w:val="nil"/>
          <w:right w:val="nil"/>
          <w:between w:val="nil"/>
        </w:pBdr>
        <w:jc w:val="both"/>
        <w:rPr>
          <w:rFonts w:ascii="Palatino Linotype" w:eastAsia="Palatino Linotype" w:hAnsi="Palatino Linotype" w:cs="Palatino Linotype"/>
          <w:b/>
          <w:color w:val="000000"/>
          <w:sz w:val="24"/>
          <w:szCs w:val="24"/>
        </w:rPr>
      </w:pPr>
    </w:p>
    <w:p w:rsidR="00436B75" w:rsidRPr="004F49B1" w:rsidRDefault="00436B75" w:rsidP="00436B75">
      <w:pPr>
        <w:spacing w:before="240" w:after="240" w:line="360" w:lineRule="auto"/>
        <w:ind w:firstLine="1"/>
        <w:jc w:val="both"/>
        <w:rPr>
          <w:rFonts w:ascii="Palatino Linotype" w:hAnsi="Palatino Linotype"/>
          <w:sz w:val="24"/>
          <w:szCs w:val="24"/>
        </w:rPr>
      </w:pPr>
      <w:bookmarkStart w:id="21" w:name="_Hlk99014733"/>
      <w:bookmarkEnd w:id="7"/>
      <w:bookmarkEnd w:id="8"/>
      <w:r w:rsidRPr="004F49B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4F49B1">
        <w:rPr>
          <w:rFonts w:ascii="Palatino Linotype" w:hAnsi="Palatino Linotype" w:cs="Palatino Linotype"/>
          <w:color w:val="000000" w:themeColor="text1"/>
          <w:sz w:val="24"/>
          <w:szCs w:val="24"/>
        </w:rPr>
        <w:t>ALEXIS TAPIA RAMÍREZ.</w:t>
      </w:r>
    </w:p>
    <w:bookmarkEnd w:id="21"/>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spacing w:before="240" w:after="360" w:line="360" w:lineRule="auto"/>
        <w:jc w:val="both"/>
        <w:rPr>
          <w:rFonts w:ascii="Palatino Linotype" w:hAnsi="Palatino Linotype"/>
          <w:color w:val="222222"/>
          <w:sz w:val="24"/>
          <w:szCs w:val="24"/>
          <w:lang w:val="es-ES" w:eastAsia="es-MX"/>
        </w:rPr>
      </w:pPr>
    </w:p>
    <w:p w:rsidR="00D25C7A" w:rsidRPr="004F49B1" w:rsidRDefault="00D25C7A" w:rsidP="00D25C7A">
      <w:pPr>
        <w:rPr>
          <w:sz w:val="24"/>
          <w:szCs w:val="24"/>
        </w:rPr>
      </w:pPr>
    </w:p>
    <w:p w:rsidR="00D25C7A" w:rsidRPr="004F49B1" w:rsidRDefault="00D25C7A" w:rsidP="00D25C7A">
      <w:pPr>
        <w:rPr>
          <w:sz w:val="24"/>
          <w:szCs w:val="24"/>
        </w:rPr>
      </w:pPr>
    </w:p>
    <w:p w:rsidR="002C4179" w:rsidRPr="004F49B1" w:rsidRDefault="002C4179">
      <w:pPr>
        <w:rPr>
          <w:sz w:val="24"/>
          <w:szCs w:val="24"/>
        </w:rPr>
      </w:pPr>
    </w:p>
    <w:p w:rsidR="00314B46" w:rsidRPr="004F49B1" w:rsidRDefault="00314B46">
      <w:pPr>
        <w:rPr>
          <w:sz w:val="24"/>
          <w:szCs w:val="24"/>
        </w:rPr>
      </w:pPr>
    </w:p>
    <w:sectPr w:rsidR="00314B46" w:rsidRPr="004F49B1" w:rsidSect="004F49B1">
      <w:headerReference w:type="even" r:id="rId10"/>
      <w:headerReference w:type="default" r:id="rId11"/>
      <w:footerReference w:type="default" r:id="rId12"/>
      <w:headerReference w:type="first" r:id="rId13"/>
      <w:footerReference w:type="first" r:id="rId14"/>
      <w:pgSz w:w="12240" w:h="15840"/>
      <w:pgMar w:top="80" w:right="758" w:bottom="226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5A8" w:rsidRDefault="003275A8" w:rsidP="00D25C7A">
      <w:r>
        <w:separator/>
      </w:r>
    </w:p>
  </w:endnote>
  <w:endnote w:type="continuationSeparator" w:id="0">
    <w:p w:rsidR="003275A8" w:rsidRDefault="003275A8" w:rsidP="00D2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129273"/>
      <w:docPartObj>
        <w:docPartGallery w:val="AutoText"/>
      </w:docPartObj>
    </w:sdtPr>
    <w:sdtEndPr/>
    <w:sdtContent>
      <w:sdt>
        <w:sdtPr>
          <w:id w:val="331961428"/>
          <w:docPartObj>
            <w:docPartGallery w:val="AutoText"/>
          </w:docPartObj>
        </w:sdtPr>
        <w:sdtEndPr/>
        <w:sdtContent>
          <w:p w:rsidR="00AD46FE" w:rsidRDefault="00AD46FE">
            <w:pPr>
              <w:pStyle w:val="Piedepgina"/>
              <w:jc w:val="right"/>
            </w:pPr>
          </w:p>
          <w:p w:rsidR="00AD46FE" w:rsidRDefault="00AD46FE">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17DB2">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17DB2">
              <w:rPr>
                <w:b/>
                <w:bCs/>
                <w:noProof/>
              </w:rPr>
              <w:t>24</w:t>
            </w:r>
            <w:r>
              <w:rPr>
                <w:b/>
                <w:bCs/>
                <w:sz w:val="24"/>
                <w:szCs w:val="24"/>
              </w:rPr>
              <w:fldChar w:fldCharType="end"/>
            </w:r>
          </w:p>
        </w:sdtContent>
      </w:sdt>
    </w:sdtContent>
  </w:sdt>
  <w:p w:rsidR="00AD46FE" w:rsidRDefault="00AD46FE">
    <w:pPr>
      <w:pStyle w:val="Piedepgina"/>
    </w:pPr>
  </w:p>
  <w:p w:rsidR="00AD46FE" w:rsidRDefault="00AD46FE"/>
  <w:p w:rsidR="00AD46FE" w:rsidRDefault="00AD46FE"/>
  <w:p w:rsidR="00AD46FE" w:rsidRDefault="00AD4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2"/>
        <w:szCs w:val="22"/>
      </w:rPr>
      <w:id w:val="451442203"/>
      <w:docPartObj>
        <w:docPartGallery w:val="AutoText"/>
      </w:docPartObj>
    </w:sdtPr>
    <w:sdtEndPr/>
    <w:sdtContent>
      <w:sdt>
        <w:sdtPr>
          <w:rPr>
            <w:rFonts w:ascii="Palatino Linotype" w:hAnsi="Palatino Linotype"/>
            <w:sz w:val="22"/>
            <w:szCs w:val="22"/>
          </w:rPr>
          <w:id w:val="1053969086"/>
          <w:docPartObj>
            <w:docPartGallery w:val="AutoText"/>
          </w:docPartObj>
        </w:sdtPr>
        <w:sdtEndPr/>
        <w:sdtContent>
          <w:p w:rsidR="00AD46FE" w:rsidRPr="004F49B1" w:rsidRDefault="00AD46FE">
            <w:pPr>
              <w:pStyle w:val="Piedepgina"/>
              <w:jc w:val="right"/>
              <w:rPr>
                <w:rFonts w:ascii="Palatino Linotype" w:hAnsi="Palatino Linotype"/>
                <w:sz w:val="22"/>
                <w:szCs w:val="22"/>
              </w:rPr>
            </w:pPr>
            <w:r w:rsidRPr="004F49B1">
              <w:rPr>
                <w:rFonts w:ascii="Palatino Linotype" w:hAnsi="Palatino Linotype"/>
                <w:sz w:val="22"/>
                <w:szCs w:val="22"/>
                <w:lang w:val="es-ES"/>
              </w:rPr>
              <w:t xml:space="preserve">Página </w:t>
            </w:r>
            <w:r w:rsidRPr="004F49B1">
              <w:rPr>
                <w:rFonts w:ascii="Palatino Linotype" w:hAnsi="Palatino Linotype"/>
                <w:b/>
                <w:bCs/>
                <w:sz w:val="22"/>
                <w:szCs w:val="22"/>
              </w:rPr>
              <w:fldChar w:fldCharType="begin"/>
            </w:r>
            <w:r w:rsidRPr="004F49B1">
              <w:rPr>
                <w:rFonts w:ascii="Palatino Linotype" w:hAnsi="Palatino Linotype"/>
                <w:b/>
                <w:bCs/>
                <w:sz w:val="22"/>
                <w:szCs w:val="22"/>
              </w:rPr>
              <w:instrText>PAGE</w:instrText>
            </w:r>
            <w:r w:rsidRPr="004F49B1">
              <w:rPr>
                <w:rFonts w:ascii="Palatino Linotype" w:hAnsi="Palatino Linotype"/>
                <w:b/>
                <w:bCs/>
                <w:sz w:val="22"/>
                <w:szCs w:val="22"/>
              </w:rPr>
              <w:fldChar w:fldCharType="separate"/>
            </w:r>
            <w:r w:rsidR="00117DB2">
              <w:rPr>
                <w:rFonts w:ascii="Palatino Linotype" w:hAnsi="Palatino Linotype"/>
                <w:b/>
                <w:bCs/>
                <w:noProof/>
                <w:sz w:val="22"/>
                <w:szCs w:val="22"/>
              </w:rPr>
              <w:t>1</w:t>
            </w:r>
            <w:r w:rsidRPr="004F49B1">
              <w:rPr>
                <w:rFonts w:ascii="Palatino Linotype" w:hAnsi="Palatino Linotype"/>
                <w:b/>
                <w:bCs/>
                <w:sz w:val="22"/>
                <w:szCs w:val="22"/>
              </w:rPr>
              <w:fldChar w:fldCharType="end"/>
            </w:r>
            <w:r w:rsidRPr="004F49B1">
              <w:rPr>
                <w:rFonts w:ascii="Palatino Linotype" w:hAnsi="Palatino Linotype"/>
                <w:sz w:val="22"/>
                <w:szCs w:val="22"/>
                <w:lang w:val="es-ES"/>
              </w:rPr>
              <w:t xml:space="preserve"> de </w:t>
            </w:r>
            <w:r w:rsidRPr="004F49B1">
              <w:rPr>
                <w:rFonts w:ascii="Palatino Linotype" w:hAnsi="Palatino Linotype"/>
                <w:b/>
                <w:bCs/>
                <w:sz w:val="22"/>
                <w:szCs w:val="22"/>
              </w:rPr>
              <w:fldChar w:fldCharType="begin"/>
            </w:r>
            <w:r w:rsidRPr="004F49B1">
              <w:rPr>
                <w:rFonts w:ascii="Palatino Linotype" w:hAnsi="Palatino Linotype"/>
                <w:b/>
                <w:bCs/>
                <w:sz w:val="22"/>
                <w:szCs w:val="22"/>
              </w:rPr>
              <w:instrText>NUMPAGES</w:instrText>
            </w:r>
            <w:r w:rsidRPr="004F49B1">
              <w:rPr>
                <w:rFonts w:ascii="Palatino Linotype" w:hAnsi="Palatino Linotype"/>
                <w:b/>
                <w:bCs/>
                <w:sz w:val="22"/>
                <w:szCs w:val="22"/>
              </w:rPr>
              <w:fldChar w:fldCharType="separate"/>
            </w:r>
            <w:r w:rsidR="00117DB2">
              <w:rPr>
                <w:rFonts w:ascii="Palatino Linotype" w:hAnsi="Palatino Linotype"/>
                <w:b/>
                <w:bCs/>
                <w:noProof/>
                <w:sz w:val="22"/>
                <w:szCs w:val="22"/>
              </w:rPr>
              <w:t>24</w:t>
            </w:r>
            <w:r w:rsidRPr="004F49B1">
              <w:rPr>
                <w:rFonts w:ascii="Palatino Linotype" w:hAnsi="Palatino Linotype"/>
                <w:b/>
                <w:bCs/>
                <w:sz w:val="22"/>
                <w:szCs w:val="22"/>
              </w:rPr>
              <w:fldChar w:fldCharType="end"/>
            </w:r>
          </w:p>
        </w:sdtContent>
      </w:sdt>
    </w:sdtContent>
  </w:sdt>
  <w:p w:rsidR="00AD46FE" w:rsidRDefault="00AD46FE">
    <w:pPr>
      <w:pStyle w:val="Piedepgina"/>
    </w:pPr>
  </w:p>
  <w:p w:rsidR="00AD46FE" w:rsidRDefault="00AD46FE"/>
  <w:p w:rsidR="00AD46FE" w:rsidRDefault="00AD46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5A8" w:rsidRDefault="003275A8" w:rsidP="00D25C7A">
      <w:r>
        <w:separator/>
      </w:r>
    </w:p>
  </w:footnote>
  <w:footnote w:type="continuationSeparator" w:id="0">
    <w:p w:rsidR="003275A8" w:rsidRDefault="003275A8" w:rsidP="00D25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FE" w:rsidRDefault="003275A8">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style="position:absolute;margin-left:0;margin-top:0;width:663.5pt;height:12in;z-index:-251657216;mso-position-horizontal:center;mso-position-horizontal-relative:margin;mso-position-vertical:center;mso-position-vertical-relative:margin" o:allowincell="f">
          <v:imagedata r:id="rId1" o:title="marcaaguaINFOEM"/>
          <w10:wrap anchorx="margin" anchory="margin"/>
        </v:shape>
      </w:pict>
    </w:r>
  </w:p>
  <w:p w:rsidR="00AD46FE" w:rsidRDefault="00AD46FE"/>
  <w:p w:rsidR="00AD46FE" w:rsidRDefault="00AD46FE"/>
  <w:p w:rsidR="00AD46FE" w:rsidRDefault="00AD46F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A0" w:firstRow="1" w:lastRow="0" w:firstColumn="1" w:lastColumn="0" w:noHBand="0" w:noVBand="1"/>
    </w:tblPr>
    <w:tblGrid>
      <w:gridCol w:w="1843"/>
      <w:gridCol w:w="8789"/>
    </w:tblGrid>
    <w:tr w:rsidR="00AD46FE" w:rsidTr="004F49B1">
      <w:trPr>
        <w:trHeight w:val="1435"/>
      </w:trPr>
      <w:tc>
        <w:tcPr>
          <w:tcW w:w="1843" w:type="dxa"/>
          <w:shd w:val="clear" w:color="auto" w:fill="auto"/>
        </w:tcPr>
        <w:p w:rsidR="00AD46FE" w:rsidRDefault="00AD46FE">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789" w:type="dxa"/>
          <w:shd w:val="clear" w:color="auto" w:fill="auto"/>
        </w:tcPr>
        <w:tbl>
          <w:tblPr>
            <w:tblStyle w:val="Tablaconcuadrcula"/>
            <w:tblW w:w="7512"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4819"/>
          </w:tblGrid>
          <w:tr w:rsidR="00AD46FE" w:rsidRPr="00C52890" w:rsidTr="004F49B1">
            <w:trPr>
              <w:trHeight w:val="338"/>
            </w:trPr>
            <w:tc>
              <w:tcPr>
                <w:tcW w:w="2693" w:type="dxa"/>
              </w:tcPr>
              <w:p w:rsidR="00AD46FE" w:rsidRPr="004F49B1" w:rsidRDefault="00AD46FE">
                <w:pPr>
                  <w:tabs>
                    <w:tab w:val="right" w:pos="8838"/>
                  </w:tabs>
                  <w:ind w:right="-105"/>
                  <w:rPr>
                    <w:rFonts w:ascii="Palatino Linotype" w:eastAsia="Calibri" w:hAnsi="Palatino Linotype" w:cs="Tahoma"/>
                    <w:b/>
                    <w:sz w:val="24"/>
                    <w:szCs w:val="22"/>
                    <w:lang w:eastAsia="en-US"/>
                  </w:rPr>
                </w:pPr>
                <w:r w:rsidRPr="004F49B1">
                  <w:rPr>
                    <w:rFonts w:ascii="Palatino Linotype" w:eastAsia="Calibri" w:hAnsi="Palatino Linotype" w:cs="Tahoma"/>
                    <w:b/>
                    <w:sz w:val="24"/>
                    <w:szCs w:val="22"/>
                    <w:lang w:eastAsia="en-US"/>
                  </w:rPr>
                  <w:t>Recurso de Revisión:</w:t>
                </w:r>
              </w:p>
            </w:tc>
            <w:tc>
              <w:tcPr>
                <w:tcW w:w="4819" w:type="dxa"/>
              </w:tcPr>
              <w:p w:rsidR="00436B75" w:rsidRPr="004F49B1" w:rsidRDefault="00AD46FE" w:rsidP="004F49B1">
                <w:pPr>
                  <w:tabs>
                    <w:tab w:val="right" w:pos="8838"/>
                  </w:tabs>
                  <w:ind w:right="-105" w:hanging="101"/>
                  <w:rPr>
                    <w:rFonts w:ascii="Palatino Linotype" w:eastAsia="Calibri" w:hAnsi="Palatino Linotype" w:cs="Tahoma"/>
                    <w:b/>
                    <w:bCs/>
                    <w:sz w:val="24"/>
                    <w:szCs w:val="22"/>
                    <w:lang w:eastAsia="en-US"/>
                  </w:rPr>
                </w:pPr>
                <w:r w:rsidRPr="004F49B1">
                  <w:rPr>
                    <w:rFonts w:ascii="Palatino Linotype" w:eastAsia="Calibri" w:hAnsi="Palatino Linotype" w:cs="Tahoma"/>
                    <w:b/>
                    <w:bCs/>
                    <w:sz w:val="24"/>
                    <w:szCs w:val="22"/>
                    <w:lang w:eastAsia="en-US"/>
                  </w:rPr>
                  <w:t>12798/INFOEM/ICR-167/IP/RR/2025</w:t>
                </w:r>
              </w:p>
              <w:p w:rsidR="00AD46FE" w:rsidRPr="004F49B1" w:rsidRDefault="00436B75" w:rsidP="004F49B1">
                <w:pPr>
                  <w:tabs>
                    <w:tab w:val="right" w:pos="8838"/>
                  </w:tabs>
                  <w:ind w:right="-105" w:hanging="101"/>
                  <w:rPr>
                    <w:rFonts w:ascii="Palatino Linotype" w:eastAsia="Calibri" w:hAnsi="Palatino Linotype" w:cs="Tahoma"/>
                    <w:bCs/>
                    <w:sz w:val="24"/>
                    <w:szCs w:val="22"/>
                    <w:lang w:eastAsia="en-US"/>
                  </w:rPr>
                </w:pPr>
                <w:r w:rsidRPr="004F49B1">
                  <w:rPr>
                    <w:rFonts w:ascii="Palatino Linotype" w:eastAsia="Calibri" w:hAnsi="Palatino Linotype" w:cs="Tahoma"/>
                    <w:b/>
                    <w:bCs/>
                    <w:sz w:val="24"/>
                    <w:szCs w:val="22"/>
                    <w:lang w:eastAsia="en-US"/>
                  </w:rPr>
                  <w:t>y acumulado</w:t>
                </w:r>
                <w:r w:rsidR="00AD46FE" w:rsidRPr="004F49B1">
                  <w:rPr>
                    <w:rFonts w:ascii="Palatino Linotype" w:eastAsia="Calibri" w:hAnsi="Palatino Linotype" w:cs="Tahoma"/>
                    <w:bCs/>
                    <w:sz w:val="24"/>
                    <w:szCs w:val="22"/>
                    <w:lang w:eastAsia="en-US"/>
                  </w:rPr>
                  <w:t xml:space="preserve"> </w:t>
                </w:r>
              </w:p>
            </w:tc>
          </w:tr>
          <w:tr w:rsidR="00AD46FE" w:rsidTr="004F49B1">
            <w:trPr>
              <w:trHeight w:val="283"/>
            </w:trPr>
            <w:tc>
              <w:tcPr>
                <w:tcW w:w="2693" w:type="dxa"/>
              </w:tcPr>
              <w:p w:rsidR="00AD46FE" w:rsidRPr="004F49B1" w:rsidRDefault="00AD46FE">
                <w:pPr>
                  <w:tabs>
                    <w:tab w:val="right" w:pos="8838"/>
                  </w:tabs>
                  <w:ind w:right="-105"/>
                  <w:rPr>
                    <w:rFonts w:ascii="Palatino Linotype" w:eastAsia="Calibri" w:hAnsi="Palatino Linotype" w:cs="Tahoma"/>
                    <w:b/>
                    <w:sz w:val="24"/>
                    <w:szCs w:val="22"/>
                    <w:lang w:eastAsia="en-US"/>
                  </w:rPr>
                </w:pPr>
                <w:bookmarkStart w:id="22" w:name="_Hlk33010189"/>
                <w:r w:rsidRPr="004F49B1">
                  <w:rPr>
                    <w:rFonts w:ascii="Palatino Linotype" w:eastAsia="Calibri" w:hAnsi="Palatino Linotype" w:cs="Tahoma"/>
                    <w:b/>
                    <w:sz w:val="24"/>
                    <w:szCs w:val="22"/>
                    <w:lang w:eastAsia="en-US"/>
                  </w:rPr>
                  <w:t>Sujeto Obligado:</w:t>
                </w:r>
              </w:p>
            </w:tc>
            <w:tc>
              <w:tcPr>
                <w:tcW w:w="4819" w:type="dxa"/>
              </w:tcPr>
              <w:p w:rsidR="00AD46FE" w:rsidRPr="004F49B1" w:rsidRDefault="00AD46FE" w:rsidP="004F49B1">
                <w:pPr>
                  <w:tabs>
                    <w:tab w:val="left" w:pos="2834"/>
                    <w:tab w:val="right" w:pos="8838"/>
                  </w:tabs>
                  <w:ind w:left="-113" w:right="1318"/>
                  <w:rPr>
                    <w:rFonts w:ascii="Palatino Linotype" w:eastAsia="Calibri" w:hAnsi="Palatino Linotype" w:cs="Tahoma"/>
                    <w:sz w:val="24"/>
                    <w:szCs w:val="22"/>
                    <w:lang w:eastAsia="en-US"/>
                  </w:rPr>
                </w:pPr>
                <w:r w:rsidRPr="004F49B1">
                  <w:rPr>
                    <w:rFonts w:ascii="Palatino Linotype" w:eastAsia="Calibri" w:hAnsi="Palatino Linotype" w:cs="Tahoma"/>
                    <w:b/>
                    <w:bCs/>
                    <w:sz w:val="24"/>
                    <w:szCs w:val="22"/>
                    <w:lang w:val="es-MX" w:eastAsia="en-US"/>
                  </w:rPr>
                  <w:t>Ayuntamiento de Tepotzotlán</w:t>
                </w:r>
              </w:p>
            </w:tc>
          </w:tr>
          <w:bookmarkEnd w:id="22"/>
          <w:tr w:rsidR="00AD46FE" w:rsidTr="004F49B1">
            <w:trPr>
              <w:trHeight w:val="283"/>
            </w:trPr>
            <w:tc>
              <w:tcPr>
                <w:tcW w:w="2693" w:type="dxa"/>
              </w:tcPr>
              <w:p w:rsidR="00AD46FE" w:rsidRPr="004F49B1" w:rsidRDefault="00AD46FE">
                <w:pPr>
                  <w:tabs>
                    <w:tab w:val="right" w:pos="8838"/>
                  </w:tabs>
                  <w:ind w:right="-105"/>
                  <w:rPr>
                    <w:rFonts w:ascii="Palatino Linotype" w:eastAsia="Calibri" w:hAnsi="Palatino Linotype" w:cs="Tahoma"/>
                    <w:b/>
                    <w:sz w:val="24"/>
                    <w:szCs w:val="22"/>
                    <w:lang w:eastAsia="en-US"/>
                  </w:rPr>
                </w:pPr>
                <w:r w:rsidRPr="004F49B1">
                  <w:rPr>
                    <w:rFonts w:ascii="Palatino Linotype" w:eastAsia="Calibri" w:hAnsi="Palatino Linotype" w:cs="Tahoma"/>
                    <w:b/>
                    <w:sz w:val="24"/>
                    <w:szCs w:val="22"/>
                    <w:lang w:eastAsia="en-US"/>
                  </w:rPr>
                  <w:t>Comisionada Ponente:</w:t>
                </w:r>
              </w:p>
            </w:tc>
            <w:tc>
              <w:tcPr>
                <w:tcW w:w="4819" w:type="dxa"/>
              </w:tcPr>
              <w:p w:rsidR="00AD46FE" w:rsidRPr="004F49B1" w:rsidRDefault="00AD46FE" w:rsidP="004F49B1">
                <w:pPr>
                  <w:tabs>
                    <w:tab w:val="right" w:pos="8838"/>
                  </w:tabs>
                  <w:ind w:left="-113" w:right="-105"/>
                  <w:rPr>
                    <w:rFonts w:ascii="Palatino Linotype" w:eastAsia="Calibri" w:hAnsi="Palatino Linotype" w:cs="Tahoma"/>
                    <w:b/>
                    <w:sz w:val="24"/>
                    <w:szCs w:val="22"/>
                    <w:lang w:eastAsia="en-US"/>
                  </w:rPr>
                </w:pPr>
                <w:r w:rsidRPr="004F49B1">
                  <w:rPr>
                    <w:rFonts w:ascii="Palatino Linotype" w:eastAsia="Calibri" w:hAnsi="Palatino Linotype" w:cs="Tahoma"/>
                    <w:b/>
                    <w:sz w:val="24"/>
                    <w:szCs w:val="22"/>
                    <w:lang w:eastAsia="en-US"/>
                  </w:rPr>
                  <w:t>María del Rosario Mejía Ayala</w:t>
                </w:r>
              </w:p>
            </w:tc>
          </w:tr>
        </w:tbl>
        <w:p w:rsidR="00AD46FE" w:rsidRDefault="00AD46FE">
          <w:pPr>
            <w:tabs>
              <w:tab w:val="right" w:pos="8838"/>
            </w:tabs>
            <w:ind w:left="-28"/>
            <w:jc w:val="both"/>
            <w:rPr>
              <w:rFonts w:ascii="Arial" w:eastAsia="Calibri" w:hAnsi="Arial" w:cs="Arial"/>
              <w:b/>
              <w:sz w:val="22"/>
              <w:szCs w:val="22"/>
              <w:lang w:eastAsia="en-US"/>
            </w:rPr>
          </w:pPr>
        </w:p>
      </w:tc>
    </w:tr>
  </w:tbl>
  <w:p w:rsidR="00AD46FE" w:rsidRDefault="003275A8" w:rsidP="00EA5C71">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style="position:absolute;margin-left:-72.95pt;margin-top:-150.1pt;width:663.5pt;height:12in;z-index:-251656192;mso-position-horizontal-relative:margin;mso-position-vertical-relative:margin" o:allowincell="f">
          <v:imagedata r:id="rId1" o:title="marcaaguaINFOEM"/>
          <w10:wrap anchorx="margin" anchory="margin"/>
        </v:shape>
      </w:pict>
    </w:r>
  </w:p>
  <w:p w:rsidR="00AD46FE" w:rsidRDefault="00AD46FE"/>
  <w:p w:rsidR="00AD46FE" w:rsidRDefault="00AD46FE"/>
  <w:p w:rsidR="00AD46FE" w:rsidRDefault="00AD46F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560"/>
      <w:gridCol w:w="8930"/>
    </w:tblGrid>
    <w:tr w:rsidR="00AD46FE" w:rsidTr="004F49B1">
      <w:trPr>
        <w:trHeight w:val="1435"/>
      </w:trPr>
      <w:tc>
        <w:tcPr>
          <w:tcW w:w="1560" w:type="dxa"/>
          <w:shd w:val="clear" w:color="auto" w:fill="auto"/>
        </w:tcPr>
        <w:p w:rsidR="00AD46FE" w:rsidRDefault="00AD46FE">
          <w:pPr>
            <w:tabs>
              <w:tab w:val="right" w:pos="4273"/>
            </w:tabs>
            <w:rPr>
              <w:rFonts w:ascii="Garamond" w:eastAsia="Calibri" w:hAnsi="Garamond"/>
              <w:sz w:val="22"/>
              <w:szCs w:val="22"/>
              <w:lang w:eastAsia="en-US"/>
            </w:rPr>
          </w:pPr>
        </w:p>
      </w:tc>
      <w:tc>
        <w:tcPr>
          <w:tcW w:w="8930" w:type="dxa"/>
          <w:shd w:val="clear" w:color="auto" w:fill="auto"/>
        </w:tcPr>
        <w:tbl>
          <w:tblPr>
            <w:tblStyle w:val="Tablaconcuadrcula"/>
            <w:tblW w:w="10772" w:type="dxa"/>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4961"/>
            <w:gridCol w:w="3118"/>
          </w:tblGrid>
          <w:tr w:rsidR="00AD46FE" w:rsidTr="004F49B1">
            <w:trPr>
              <w:trHeight w:val="144"/>
            </w:trPr>
            <w:tc>
              <w:tcPr>
                <w:tcW w:w="2693" w:type="dxa"/>
              </w:tcPr>
              <w:p w:rsidR="00AD46FE" w:rsidRPr="004F49B1" w:rsidRDefault="00AD46FE" w:rsidP="00EA5C71">
                <w:pPr>
                  <w:tabs>
                    <w:tab w:val="right" w:pos="8838"/>
                  </w:tabs>
                  <w:ind w:left="-74" w:right="-105"/>
                  <w:rPr>
                    <w:rFonts w:ascii="Palatino Linotype" w:eastAsia="Calibri" w:hAnsi="Palatino Linotype" w:cs="Tahoma"/>
                    <w:b/>
                    <w:sz w:val="24"/>
                    <w:szCs w:val="22"/>
                    <w:lang w:eastAsia="en-US"/>
                  </w:rPr>
                </w:pPr>
                <w:bookmarkStart w:id="23" w:name="_Hlk12526980"/>
                <w:r w:rsidRPr="004F49B1">
                  <w:rPr>
                    <w:rFonts w:ascii="Palatino Linotype" w:eastAsia="Calibri" w:hAnsi="Palatino Linotype" w:cs="Tahoma"/>
                    <w:b/>
                    <w:sz w:val="24"/>
                    <w:szCs w:val="22"/>
                    <w:lang w:eastAsia="en-US"/>
                  </w:rPr>
                  <w:t>Recurso de Revisión:</w:t>
                </w:r>
              </w:p>
            </w:tc>
            <w:tc>
              <w:tcPr>
                <w:tcW w:w="4961" w:type="dxa"/>
              </w:tcPr>
              <w:p w:rsidR="00436B75" w:rsidRPr="004F49B1" w:rsidRDefault="00AD46FE" w:rsidP="004F49B1">
                <w:pPr>
                  <w:tabs>
                    <w:tab w:val="right" w:pos="8838"/>
                  </w:tabs>
                  <w:ind w:right="-105"/>
                  <w:rPr>
                    <w:rFonts w:ascii="Palatino Linotype" w:eastAsia="Calibri" w:hAnsi="Palatino Linotype" w:cs="Tahoma"/>
                    <w:bCs/>
                    <w:sz w:val="24"/>
                    <w:szCs w:val="22"/>
                    <w:lang w:eastAsia="en-US"/>
                  </w:rPr>
                </w:pPr>
                <w:r w:rsidRPr="004F49B1">
                  <w:rPr>
                    <w:rFonts w:ascii="Palatino Linotype" w:eastAsia="Calibri" w:hAnsi="Palatino Linotype" w:cs="Tahoma"/>
                    <w:bCs/>
                    <w:sz w:val="24"/>
                    <w:szCs w:val="22"/>
                    <w:lang w:eastAsia="en-US"/>
                  </w:rPr>
                  <w:t>12798/INFOEM/ICR-167/IP/RR/2025</w:t>
                </w:r>
              </w:p>
              <w:p w:rsidR="00AD46FE" w:rsidRPr="004F49B1" w:rsidRDefault="00AD46FE" w:rsidP="004F49B1">
                <w:pPr>
                  <w:tabs>
                    <w:tab w:val="right" w:pos="8838"/>
                  </w:tabs>
                  <w:ind w:right="-105"/>
                  <w:rPr>
                    <w:rFonts w:ascii="Palatino Linotype" w:eastAsia="Calibri" w:hAnsi="Palatino Linotype" w:cs="Tahoma"/>
                    <w:sz w:val="24"/>
                    <w:szCs w:val="22"/>
                    <w:lang w:eastAsia="en-US"/>
                  </w:rPr>
                </w:pPr>
                <w:r w:rsidRPr="004F49B1">
                  <w:rPr>
                    <w:rFonts w:ascii="Palatino Linotype" w:eastAsia="Calibri" w:hAnsi="Palatino Linotype" w:cs="Tahoma"/>
                    <w:bCs/>
                    <w:sz w:val="24"/>
                    <w:szCs w:val="22"/>
                    <w:lang w:eastAsia="en-US"/>
                  </w:rPr>
                  <w:t xml:space="preserve"> y Acumulado</w:t>
                </w:r>
              </w:p>
            </w:tc>
            <w:tc>
              <w:tcPr>
                <w:tcW w:w="3118" w:type="dxa"/>
              </w:tcPr>
              <w:p w:rsidR="00AD46FE" w:rsidRDefault="00AD46FE" w:rsidP="00EA5C71">
                <w:pPr>
                  <w:tabs>
                    <w:tab w:val="right" w:pos="8838"/>
                  </w:tabs>
                  <w:ind w:left="-74" w:right="-105"/>
                  <w:jc w:val="both"/>
                  <w:rPr>
                    <w:rFonts w:ascii="Palatino Linotype" w:eastAsia="Calibri" w:hAnsi="Palatino Linotype" w:cs="Tahoma"/>
                    <w:bCs/>
                    <w:sz w:val="22"/>
                    <w:szCs w:val="22"/>
                    <w:lang w:eastAsia="en-US"/>
                  </w:rPr>
                </w:pPr>
              </w:p>
            </w:tc>
          </w:tr>
          <w:tr w:rsidR="00AD46FE" w:rsidTr="004F49B1">
            <w:trPr>
              <w:trHeight w:val="144"/>
            </w:trPr>
            <w:tc>
              <w:tcPr>
                <w:tcW w:w="2693" w:type="dxa"/>
              </w:tcPr>
              <w:p w:rsidR="00AD46FE" w:rsidRPr="004F49B1" w:rsidRDefault="00AD46FE" w:rsidP="00EA5C71">
                <w:pPr>
                  <w:tabs>
                    <w:tab w:val="right" w:pos="8838"/>
                  </w:tabs>
                  <w:ind w:left="-74" w:right="-105"/>
                  <w:rPr>
                    <w:rFonts w:ascii="Palatino Linotype" w:eastAsia="Calibri" w:hAnsi="Palatino Linotype" w:cs="Tahoma"/>
                    <w:b/>
                    <w:sz w:val="24"/>
                    <w:szCs w:val="22"/>
                    <w:lang w:eastAsia="en-US"/>
                  </w:rPr>
                </w:pPr>
                <w:bookmarkStart w:id="24" w:name="_Hlk10641523"/>
                <w:bookmarkEnd w:id="23"/>
                <w:r w:rsidRPr="004F49B1">
                  <w:rPr>
                    <w:rFonts w:ascii="Palatino Linotype" w:eastAsia="Calibri" w:hAnsi="Palatino Linotype" w:cs="Tahoma"/>
                    <w:b/>
                    <w:sz w:val="24"/>
                    <w:szCs w:val="22"/>
                    <w:lang w:eastAsia="en-US"/>
                  </w:rPr>
                  <w:t>Recurrente:</w:t>
                </w:r>
              </w:p>
            </w:tc>
            <w:tc>
              <w:tcPr>
                <w:tcW w:w="4961" w:type="dxa"/>
              </w:tcPr>
              <w:p w:rsidR="00AD46FE" w:rsidRPr="004F49B1" w:rsidRDefault="00117DB2" w:rsidP="004F49B1">
                <w:pPr>
                  <w:tabs>
                    <w:tab w:val="left" w:pos="3122"/>
                    <w:tab w:val="right" w:pos="8838"/>
                  </w:tabs>
                  <w:ind w:right="1457"/>
                  <w:rPr>
                    <w:rFonts w:ascii="Palatino Linotype" w:eastAsia="Calibri" w:hAnsi="Palatino Linotype" w:cs="Tahoma"/>
                    <w:bCs/>
                    <w:sz w:val="24"/>
                    <w:szCs w:val="22"/>
                    <w:lang w:val="es-MX" w:eastAsia="en-US"/>
                  </w:rPr>
                </w:pPr>
                <w:r>
                  <w:rPr>
                    <w:rFonts w:ascii="Palatino Linotype" w:eastAsia="Calibri" w:hAnsi="Palatino Linotype" w:cs="Tahoma"/>
                    <w:bCs/>
                    <w:sz w:val="24"/>
                    <w:szCs w:val="22"/>
                    <w:lang w:val="es-MX" w:eastAsia="en-US"/>
                  </w:rPr>
                  <w:t>XXXX</w:t>
                </w:r>
              </w:p>
            </w:tc>
            <w:tc>
              <w:tcPr>
                <w:tcW w:w="3118" w:type="dxa"/>
              </w:tcPr>
              <w:p w:rsidR="00AD46FE" w:rsidRDefault="00AD46FE" w:rsidP="00EA5C71">
                <w:pPr>
                  <w:tabs>
                    <w:tab w:val="left" w:pos="3122"/>
                    <w:tab w:val="right" w:pos="8838"/>
                  </w:tabs>
                  <w:ind w:right="-105"/>
                  <w:jc w:val="both"/>
                  <w:rPr>
                    <w:rFonts w:ascii="Palatino Linotype" w:eastAsia="Calibri" w:hAnsi="Palatino Linotype" w:cs="Tahoma"/>
                    <w:sz w:val="22"/>
                    <w:szCs w:val="22"/>
                    <w:lang w:eastAsia="en-US"/>
                  </w:rPr>
                </w:pPr>
              </w:p>
            </w:tc>
          </w:tr>
          <w:bookmarkEnd w:id="24"/>
          <w:tr w:rsidR="00AD46FE" w:rsidTr="004F49B1">
            <w:trPr>
              <w:trHeight w:val="283"/>
            </w:trPr>
            <w:tc>
              <w:tcPr>
                <w:tcW w:w="2693" w:type="dxa"/>
              </w:tcPr>
              <w:p w:rsidR="00AD46FE" w:rsidRPr="004F49B1" w:rsidRDefault="00AD46FE" w:rsidP="00EA5C71">
                <w:pPr>
                  <w:tabs>
                    <w:tab w:val="right" w:pos="8838"/>
                  </w:tabs>
                  <w:ind w:left="-74" w:right="-105"/>
                  <w:rPr>
                    <w:rFonts w:ascii="Palatino Linotype" w:eastAsia="Calibri" w:hAnsi="Palatino Linotype" w:cs="Tahoma"/>
                    <w:b/>
                    <w:sz w:val="24"/>
                    <w:szCs w:val="22"/>
                    <w:lang w:eastAsia="en-US"/>
                  </w:rPr>
                </w:pPr>
                <w:r w:rsidRPr="004F49B1">
                  <w:rPr>
                    <w:rFonts w:ascii="Palatino Linotype" w:eastAsia="Calibri" w:hAnsi="Palatino Linotype" w:cs="Tahoma"/>
                    <w:b/>
                    <w:sz w:val="24"/>
                    <w:szCs w:val="22"/>
                    <w:lang w:eastAsia="en-US"/>
                  </w:rPr>
                  <w:t>Sujeto Obligado:</w:t>
                </w:r>
              </w:p>
            </w:tc>
            <w:tc>
              <w:tcPr>
                <w:tcW w:w="4961" w:type="dxa"/>
              </w:tcPr>
              <w:p w:rsidR="00AD46FE" w:rsidRPr="004F49B1" w:rsidRDefault="00AD46FE" w:rsidP="004F49B1">
                <w:pPr>
                  <w:tabs>
                    <w:tab w:val="left" w:pos="2834"/>
                    <w:tab w:val="right" w:pos="8838"/>
                  </w:tabs>
                  <w:ind w:left="-3" w:right="1315"/>
                  <w:rPr>
                    <w:rFonts w:ascii="Palatino Linotype" w:eastAsia="Calibri" w:hAnsi="Palatino Linotype" w:cs="Tahoma"/>
                    <w:sz w:val="24"/>
                    <w:szCs w:val="22"/>
                    <w:lang w:eastAsia="en-US"/>
                  </w:rPr>
                </w:pPr>
                <w:r w:rsidRPr="004F49B1">
                  <w:rPr>
                    <w:rFonts w:ascii="Palatino Linotype" w:eastAsia="Calibri" w:hAnsi="Palatino Linotype" w:cs="Tahoma"/>
                    <w:bCs/>
                    <w:sz w:val="24"/>
                    <w:szCs w:val="22"/>
                    <w:lang w:val="es-MX" w:eastAsia="en-US"/>
                  </w:rPr>
                  <w:t>Ayuntamiento de Tepotzotlán</w:t>
                </w:r>
              </w:p>
            </w:tc>
            <w:tc>
              <w:tcPr>
                <w:tcW w:w="3118" w:type="dxa"/>
              </w:tcPr>
              <w:p w:rsidR="00AD46FE" w:rsidRDefault="00AD46FE" w:rsidP="00EA5C71">
                <w:pPr>
                  <w:tabs>
                    <w:tab w:val="left" w:pos="2834"/>
                    <w:tab w:val="right" w:pos="8838"/>
                  </w:tabs>
                  <w:ind w:left="-74" w:right="-105"/>
                  <w:jc w:val="both"/>
                  <w:rPr>
                    <w:rFonts w:ascii="Palatino Linotype" w:eastAsia="Calibri" w:hAnsi="Palatino Linotype" w:cs="Tahoma"/>
                    <w:sz w:val="22"/>
                    <w:szCs w:val="22"/>
                    <w:lang w:eastAsia="en-US"/>
                  </w:rPr>
                </w:pPr>
              </w:p>
            </w:tc>
          </w:tr>
          <w:tr w:rsidR="00AD46FE" w:rsidTr="004F49B1">
            <w:trPr>
              <w:trHeight w:val="283"/>
            </w:trPr>
            <w:tc>
              <w:tcPr>
                <w:tcW w:w="2693" w:type="dxa"/>
              </w:tcPr>
              <w:p w:rsidR="00AD46FE" w:rsidRPr="004F49B1" w:rsidRDefault="00AD46FE" w:rsidP="00EA5C71">
                <w:pPr>
                  <w:tabs>
                    <w:tab w:val="right" w:pos="8838"/>
                  </w:tabs>
                  <w:ind w:left="-74" w:right="-105"/>
                  <w:rPr>
                    <w:rFonts w:ascii="Palatino Linotype" w:eastAsia="Calibri" w:hAnsi="Palatino Linotype" w:cs="Tahoma"/>
                    <w:b/>
                    <w:sz w:val="24"/>
                    <w:szCs w:val="22"/>
                    <w:lang w:eastAsia="en-US"/>
                  </w:rPr>
                </w:pPr>
                <w:r w:rsidRPr="004F49B1">
                  <w:rPr>
                    <w:rFonts w:ascii="Palatino Linotype" w:eastAsia="Calibri" w:hAnsi="Palatino Linotype" w:cs="Tahoma"/>
                    <w:b/>
                    <w:sz w:val="24"/>
                    <w:szCs w:val="22"/>
                    <w:lang w:eastAsia="en-US"/>
                  </w:rPr>
                  <w:t>Comisionada Ponente:</w:t>
                </w:r>
              </w:p>
            </w:tc>
            <w:tc>
              <w:tcPr>
                <w:tcW w:w="4961" w:type="dxa"/>
              </w:tcPr>
              <w:p w:rsidR="00AD46FE" w:rsidRPr="004F49B1" w:rsidRDefault="00AD46FE" w:rsidP="004F49B1">
                <w:pPr>
                  <w:tabs>
                    <w:tab w:val="right" w:pos="8838"/>
                  </w:tabs>
                  <w:ind w:left="-3" w:right="-105"/>
                  <w:rPr>
                    <w:rFonts w:ascii="Palatino Linotype" w:eastAsia="Calibri" w:hAnsi="Palatino Linotype" w:cs="Tahoma"/>
                    <w:sz w:val="24"/>
                    <w:szCs w:val="22"/>
                    <w:lang w:eastAsia="en-US"/>
                  </w:rPr>
                </w:pPr>
                <w:r w:rsidRPr="004F49B1">
                  <w:rPr>
                    <w:rFonts w:ascii="Palatino Linotype" w:eastAsia="Calibri" w:hAnsi="Palatino Linotype" w:cs="Tahoma"/>
                    <w:sz w:val="24"/>
                    <w:szCs w:val="22"/>
                    <w:lang w:eastAsia="en-US"/>
                  </w:rPr>
                  <w:t>María del Rosario Mejía Ayala</w:t>
                </w:r>
              </w:p>
            </w:tc>
            <w:tc>
              <w:tcPr>
                <w:tcW w:w="3118" w:type="dxa"/>
              </w:tcPr>
              <w:p w:rsidR="00AD46FE" w:rsidRDefault="00AD46FE" w:rsidP="00EA5C71">
                <w:pPr>
                  <w:tabs>
                    <w:tab w:val="right" w:pos="8838"/>
                  </w:tabs>
                  <w:ind w:left="-74" w:right="-105"/>
                  <w:jc w:val="both"/>
                  <w:rPr>
                    <w:rFonts w:ascii="Palatino Linotype" w:eastAsia="Calibri" w:hAnsi="Palatino Linotype" w:cs="Tahoma"/>
                    <w:sz w:val="22"/>
                    <w:szCs w:val="22"/>
                    <w:lang w:eastAsia="en-US"/>
                  </w:rPr>
                </w:pPr>
              </w:p>
            </w:tc>
          </w:tr>
        </w:tbl>
        <w:p w:rsidR="00AD46FE" w:rsidRDefault="00AD46FE">
          <w:pPr>
            <w:tabs>
              <w:tab w:val="right" w:pos="8838"/>
            </w:tabs>
            <w:ind w:left="-28"/>
            <w:jc w:val="both"/>
            <w:rPr>
              <w:rFonts w:ascii="Arial" w:eastAsia="Calibri" w:hAnsi="Arial" w:cs="Arial"/>
              <w:b/>
              <w:sz w:val="22"/>
              <w:szCs w:val="22"/>
              <w:lang w:eastAsia="en-US"/>
            </w:rPr>
          </w:pPr>
        </w:p>
      </w:tc>
    </w:tr>
  </w:tbl>
  <w:p w:rsidR="00AD46FE" w:rsidRDefault="003275A8" w:rsidP="00EA5C71">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style="position:absolute;margin-left:-75.8pt;margin-top:-134.3pt;width:663.5pt;height:12in;z-index:-251655168;mso-position-horizontal-relative:margin;mso-position-vertical-relative:margin" o:allowincell="f">
          <v:imagedata r:id="rId1" o:title="marcaaguaINFOEM"/>
          <w10:wrap anchorx="margin" anchory="margin"/>
        </v:shape>
      </w:pict>
    </w:r>
  </w:p>
  <w:p w:rsidR="00AD46FE" w:rsidRDefault="00AD46FE"/>
  <w:p w:rsidR="00AD46FE" w:rsidRDefault="00AD46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61270"/>
    <w:multiLevelType w:val="hybridMultilevel"/>
    <w:tmpl w:val="F8C4158E"/>
    <w:lvl w:ilvl="0" w:tplc="F0F2F2C8">
      <w:start w:val="1"/>
      <w:numFmt w:val="decimal"/>
      <w:lvlText w:val="%1."/>
      <w:lvlJc w:val="left"/>
      <w:pPr>
        <w:ind w:left="360" w:hanging="360"/>
      </w:pPr>
      <w:rPr>
        <w:rFonts w:eastAsia="Calibri" w:hint="default"/>
        <w:b/>
        <w:i w:val="0"/>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EE2637"/>
    <w:multiLevelType w:val="multilevel"/>
    <w:tmpl w:val="8E00F72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i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B72F9F"/>
    <w:multiLevelType w:val="hybridMultilevel"/>
    <w:tmpl w:val="BC84B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355341"/>
    <w:multiLevelType w:val="hybridMultilevel"/>
    <w:tmpl w:val="45CE45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E7087C"/>
    <w:multiLevelType w:val="multilevel"/>
    <w:tmpl w:val="7E3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317490"/>
    <w:multiLevelType w:val="hybridMultilevel"/>
    <w:tmpl w:val="BB52CFF6"/>
    <w:lvl w:ilvl="0" w:tplc="92BE0B36">
      <w:start w:val="1"/>
      <w:numFmt w:val="decimal"/>
      <w:lvlText w:val="%1."/>
      <w:lvlJc w:val="left"/>
      <w:pPr>
        <w:ind w:left="2062"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9D4652"/>
    <w:multiLevelType w:val="hybridMultilevel"/>
    <w:tmpl w:val="04AA382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42AE60D3"/>
    <w:multiLevelType w:val="multilevel"/>
    <w:tmpl w:val="9A4A82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735ACB"/>
    <w:multiLevelType w:val="hybridMultilevel"/>
    <w:tmpl w:val="D2884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7C801A7"/>
    <w:multiLevelType w:val="hybridMultilevel"/>
    <w:tmpl w:val="444ED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ADA4365"/>
    <w:multiLevelType w:val="hybridMultilevel"/>
    <w:tmpl w:val="44A6F6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EE3890"/>
    <w:multiLevelType w:val="hybridMultilevel"/>
    <w:tmpl w:val="6BE4A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CDE350E"/>
    <w:multiLevelType w:val="hybridMultilevel"/>
    <w:tmpl w:val="4F9C904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55FA2DA2"/>
    <w:multiLevelType w:val="multilevel"/>
    <w:tmpl w:val="AACA7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2B190D"/>
    <w:multiLevelType w:val="hybridMultilevel"/>
    <w:tmpl w:val="DFB4762C"/>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FAD439FA">
      <w:start w:val="1"/>
      <w:numFmt w:val="upperRoman"/>
      <w:lvlText w:val="%4."/>
      <w:lvlJc w:val="left"/>
      <w:pPr>
        <w:ind w:left="2880" w:hanging="360"/>
      </w:pPr>
      <w:rPr>
        <w:rFonts w:ascii="Times New Roman" w:eastAsia="Times New Roman" w:hAnsi="Times New Roman" w:cs="Times New Roman"/>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6915261D"/>
    <w:multiLevelType w:val="hybridMultilevel"/>
    <w:tmpl w:val="D166E3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3542B4B"/>
    <w:multiLevelType w:val="multilevel"/>
    <w:tmpl w:val="226499AE"/>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65F7E3B"/>
    <w:multiLevelType w:val="multilevel"/>
    <w:tmpl w:val="FF086A1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num w:numId="1">
    <w:abstractNumId w:val="5"/>
  </w:num>
  <w:num w:numId="2">
    <w:abstractNumId w:val="3"/>
  </w:num>
  <w:num w:numId="3">
    <w:abstractNumId w:val="8"/>
  </w:num>
  <w:num w:numId="4">
    <w:abstractNumId w:val="9"/>
  </w:num>
  <w:num w:numId="5">
    <w:abstractNumId w:val="7"/>
  </w:num>
  <w:num w:numId="6">
    <w:abstractNumId w:val="17"/>
  </w:num>
  <w:num w:numId="7">
    <w:abstractNumId w:val="10"/>
  </w:num>
  <w:num w:numId="8">
    <w:abstractNumId w:val="12"/>
  </w:num>
  <w:num w:numId="9">
    <w:abstractNumId w:val="6"/>
  </w:num>
  <w:num w:numId="10">
    <w:abstractNumId w:val="2"/>
  </w:num>
  <w:num w:numId="11">
    <w:abstractNumId w:val="13"/>
  </w:num>
  <w:num w:numId="12">
    <w:abstractNumId w:val="4"/>
  </w:num>
  <w:num w:numId="13">
    <w:abstractNumId w:val="1"/>
  </w:num>
  <w:num w:numId="14">
    <w:abstractNumId w:val="0"/>
  </w:num>
  <w:num w:numId="15">
    <w:abstractNumId w:val="15"/>
  </w:num>
  <w:num w:numId="16">
    <w:abstractNumId w:val="1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C7A"/>
    <w:rsid w:val="00032240"/>
    <w:rsid w:val="00085A4B"/>
    <w:rsid w:val="00093970"/>
    <w:rsid w:val="000C512E"/>
    <w:rsid w:val="00117DB2"/>
    <w:rsid w:val="0016693C"/>
    <w:rsid w:val="001C73C2"/>
    <w:rsid w:val="002C4179"/>
    <w:rsid w:val="00314B46"/>
    <w:rsid w:val="003275A8"/>
    <w:rsid w:val="0039104D"/>
    <w:rsid w:val="003F32DB"/>
    <w:rsid w:val="00412EAB"/>
    <w:rsid w:val="00436B75"/>
    <w:rsid w:val="0049610F"/>
    <w:rsid w:val="004A2858"/>
    <w:rsid w:val="004C4365"/>
    <w:rsid w:val="004F49B1"/>
    <w:rsid w:val="005475B5"/>
    <w:rsid w:val="0056170F"/>
    <w:rsid w:val="00561868"/>
    <w:rsid w:val="005C56A9"/>
    <w:rsid w:val="00643702"/>
    <w:rsid w:val="006D6D66"/>
    <w:rsid w:val="007461AD"/>
    <w:rsid w:val="007E6E23"/>
    <w:rsid w:val="008227EB"/>
    <w:rsid w:val="008621BB"/>
    <w:rsid w:val="00893A2A"/>
    <w:rsid w:val="00955F78"/>
    <w:rsid w:val="009A4A53"/>
    <w:rsid w:val="00A42BC4"/>
    <w:rsid w:val="00A5612A"/>
    <w:rsid w:val="00A81C5C"/>
    <w:rsid w:val="00A9713F"/>
    <w:rsid w:val="00AC46F5"/>
    <w:rsid w:val="00AD46FE"/>
    <w:rsid w:val="00B45025"/>
    <w:rsid w:val="00C105F0"/>
    <w:rsid w:val="00C2518D"/>
    <w:rsid w:val="00C42310"/>
    <w:rsid w:val="00C81822"/>
    <w:rsid w:val="00CB5A52"/>
    <w:rsid w:val="00D25C7A"/>
    <w:rsid w:val="00D935A9"/>
    <w:rsid w:val="00DA23CE"/>
    <w:rsid w:val="00DE084F"/>
    <w:rsid w:val="00EA5C71"/>
    <w:rsid w:val="00ED3C9F"/>
    <w:rsid w:val="00F24DEC"/>
    <w:rsid w:val="00F52A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284F338-4A2F-466D-A4B1-2A950E29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C7A"/>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D25C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25C7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5">
    <w:name w:val="heading 5"/>
    <w:basedOn w:val="Normal"/>
    <w:next w:val="Normal"/>
    <w:link w:val="Ttulo5Car"/>
    <w:uiPriority w:val="9"/>
    <w:unhideWhenUsed/>
    <w:qFormat/>
    <w:rsid w:val="0049610F"/>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C7A"/>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D25C7A"/>
    <w:rPr>
      <w:rFonts w:asciiTheme="majorHAnsi" w:eastAsiaTheme="majorEastAsia" w:hAnsiTheme="majorHAnsi" w:cstheme="majorBidi"/>
      <w:color w:val="2E74B5" w:themeColor="accent1" w:themeShade="BF"/>
      <w:sz w:val="26"/>
      <w:szCs w:val="26"/>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25C7A"/>
    <w:rPr>
      <w:rFonts w:ascii="Calibri" w:eastAsia="Calibri" w:hAnsi="Calibr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25C7A"/>
    <w:rPr>
      <w:rFonts w:ascii="Calibri" w:eastAsia="Calibri" w:hAnsi="Calibri" w:cs="Times New Roman"/>
      <w:sz w:val="20"/>
      <w:szCs w:val="20"/>
    </w:rPr>
  </w:style>
  <w:style w:type="paragraph" w:styleId="Encabezado">
    <w:name w:val="header"/>
    <w:basedOn w:val="Normal"/>
    <w:link w:val="EncabezadoCar"/>
    <w:uiPriority w:val="99"/>
    <w:unhideWhenUsed/>
    <w:qFormat/>
    <w:rsid w:val="00D25C7A"/>
    <w:pPr>
      <w:tabs>
        <w:tab w:val="center" w:pos="4419"/>
        <w:tab w:val="right" w:pos="8838"/>
      </w:tabs>
    </w:pPr>
  </w:style>
  <w:style w:type="character" w:customStyle="1" w:styleId="EncabezadoCar">
    <w:name w:val="Encabezado Car"/>
    <w:basedOn w:val="Fuentedeprrafopredeter"/>
    <w:link w:val="Encabezado"/>
    <w:uiPriority w:val="99"/>
    <w:qFormat/>
    <w:rsid w:val="00D25C7A"/>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qFormat/>
    <w:rsid w:val="00D25C7A"/>
    <w:pPr>
      <w:tabs>
        <w:tab w:val="center" w:pos="4419"/>
        <w:tab w:val="right" w:pos="8838"/>
      </w:tabs>
    </w:pPr>
  </w:style>
  <w:style w:type="character" w:customStyle="1" w:styleId="PiedepginaCar">
    <w:name w:val="Pie de página Car"/>
    <w:basedOn w:val="Fuentedeprrafopredeter"/>
    <w:link w:val="Piedepgina"/>
    <w:uiPriority w:val="99"/>
    <w:qFormat/>
    <w:rsid w:val="00D25C7A"/>
    <w:rPr>
      <w:rFonts w:ascii="Times New Roman" w:eastAsia="Times New Roman" w:hAnsi="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25C7A"/>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D25C7A"/>
    <w:rPr>
      <w:color w:val="0563C1" w:themeColor="hyperlink"/>
      <w:u w:val="single"/>
    </w:rPr>
  </w:style>
  <w:style w:type="table" w:styleId="Tablaconcuadrcula">
    <w:name w:val="Table Grid"/>
    <w:basedOn w:val="Tablanormal"/>
    <w:uiPriority w:val="39"/>
    <w:qFormat/>
    <w:rsid w:val="00D25C7A"/>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25C7A"/>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25C7A"/>
    <w:rPr>
      <w:rFonts w:ascii="Century Gothic" w:eastAsia="Times New Roman" w:hAnsi="Century Gothic" w:cs="Times New Roman"/>
      <w:szCs w:val="24"/>
      <w:lang w:eastAsia="es-ES"/>
    </w:rPr>
  </w:style>
  <w:style w:type="paragraph" w:customStyle="1" w:styleId="Default">
    <w:name w:val="Default"/>
    <w:qFormat/>
    <w:rsid w:val="00D25C7A"/>
    <w:pPr>
      <w:autoSpaceDE w:val="0"/>
      <w:autoSpaceDN w:val="0"/>
      <w:adjustRightInd w:val="0"/>
      <w:spacing w:after="0" w:line="240" w:lineRule="auto"/>
    </w:pPr>
    <w:rPr>
      <w:rFonts w:ascii="Arial" w:hAnsi="Arial" w:cs="Arial"/>
      <w:color w:val="000000"/>
      <w:sz w:val="24"/>
      <w:szCs w:val="24"/>
    </w:rPr>
  </w:style>
  <w:style w:type="paragraph" w:customStyle="1" w:styleId="m1609377113336227858gmail-msonormal">
    <w:name w:val="m_1609377113336227858gmail-msonormal"/>
    <w:basedOn w:val="Normal"/>
    <w:rsid w:val="00D25C7A"/>
    <w:pPr>
      <w:spacing w:before="100" w:beforeAutospacing="1" w:after="100" w:afterAutospacing="1"/>
    </w:pPr>
    <w:rPr>
      <w:sz w:val="24"/>
      <w:szCs w:val="24"/>
      <w:lang w:val="es-ES"/>
    </w:rPr>
  </w:style>
  <w:style w:type="paragraph" w:styleId="Sangradetextonormal">
    <w:name w:val="Body Text Indent"/>
    <w:basedOn w:val="Normal"/>
    <w:link w:val="SangradetextonormalCar"/>
    <w:unhideWhenUsed/>
    <w:rsid w:val="00D25C7A"/>
    <w:pPr>
      <w:spacing w:before="120" w:after="120"/>
      <w:ind w:left="283"/>
      <w:jc w:val="center"/>
    </w:pPr>
    <w:rPr>
      <w:rFonts w:ascii="Calibri" w:eastAsia="Calibri" w:hAnsi="Calibri"/>
      <w:sz w:val="22"/>
      <w:szCs w:val="22"/>
      <w:lang w:val="x-none" w:eastAsia="en-US"/>
    </w:rPr>
  </w:style>
  <w:style w:type="character" w:customStyle="1" w:styleId="SangradetextonormalCar">
    <w:name w:val="Sangría de texto normal Car"/>
    <w:basedOn w:val="Fuentedeprrafopredeter"/>
    <w:link w:val="Sangradetextonormal"/>
    <w:rsid w:val="00D25C7A"/>
    <w:rPr>
      <w:rFonts w:ascii="Calibri" w:eastAsia="Calibri" w:hAnsi="Calibri" w:cs="Times New Roman"/>
      <w:lang w:val="x-none"/>
    </w:rPr>
  </w:style>
  <w:style w:type="character" w:customStyle="1" w:styleId="Ttulo5Car">
    <w:name w:val="Título 5 Car"/>
    <w:basedOn w:val="Fuentedeprrafopredeter"/>
    <w:link w:val="Ttulo5"/>
    <w:uiPriority w:val="9"/>
    <w:rsid w:val="0049610F"/>
    <w:rPr>
      <w:rFonts w:asciiTheme="majorHAnsi" w:eastAsiaTheme="majorEastAsia" w:hAnsiTheme="majorHAnsi" w:cstheme="majorBidi"/>
      <w:color w:val="2E74B5" w:themeColor="accent1" w:themeShade="BF"/>
      <w:sz w:val="20"/>
      <w:szCs w:val="20"/>
      <w:lang w:eastAsia="es-ES"/>
    </w:rPr>
  </w:style>
  <w:style w:type="paragraph" w:styleId="Lista">
    <w:name w:val="List"/>
    <w:basedOn w:val="Normal"/>
    <w:uiPriority w:val="99"/>
    <w:unhideWhenUsed/>
    <w:rsid w:val="0049610F"/>
    <w:pPr>
      <w:ind w:left="283" w:hanging="283"/>
      <w:contextualSpacing/>
    </w:pPr>
  </w:style>
  <w:style w:type="paragraph" w:styleId="Lista2">
    <w:name w:val="List 2"/>
    <w:basedOn w:val="Normal"/>
    <w:uiPriority w:val="99"/>
    <w:unhideWhenUsed/>
    <w:rsid w:val="0049610F"/>
    <w:pPr>
      <w:ind w:left="566" w:hanging="283"/>
      <w:contextualSpacing/>
    </w:pPr>
  </w:style>
  <w:style w:type="paragraph" w:styleId="Continuarlista">
    <w:name w:val="List Continue"/>
    <w:basedOn w:val="Normal"/>
    <w:uiPriority w:val="99"/>
    <w:unhideWhenUsed/>
    <w:rsid w:val="0049610F"/>
    <w:pPr>
      <w:spacing w:after="120"/>
      <w:ind w:left="283"/>
      <w:contextualSpacing/>
    </w:pPr>
  </w:style>
  <w:style w:type="paragraph" w:styleId="Textoindependiente">
    <w:name w:val="Body Text"/>
    <w:basedOn w:val="Normal"/>
    <w:link w:val="TextoindependienteCar"/>
    <w:uiPriority w:val="99"/>
    <w:unhideWhenUsed/>
    <w:rsid w:val="0049610F"/>
    <w:pPr>
      <w:spacing w:after="120"/>
    </w:pPr>
  </w:style>
  <w:style w:type="character" w:customStyle="1" w:styleId="TextoindependienteCar">
    <w:name w:val="Texto independiente Car"/>
    <w:basedOn w:val="Fuentedeprrafopredeter"/>
    <w:link w:val="Textoindependiente"/>
    <w:uiPriority w:val="99"/>
    <w:rsid w:val="0049610F"/>
    <w:rPr>
      <w:rFonts w:ascii="Times New Roman" w:eastAsia="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unhideWhenUsed/>
    <w:rsid w:val="0049610F"/>
    <w:pPr>
      <w:spacing w:before="0" w:after="0"/>
      <w:ind w:left="360" w:firstLine="360"/>
      <w:jc w:val="left"/>
    </w:pPr>
    <w:rPr>
      <w:rFonts w:ascii="Times New Roman" w:eastAsia="Times New Roman" w:hAnsi="Times New Roman"/>
      <w:sz w:val="20"/>
      <w:szCs w:val="20"/>
      <w:lang w:val="es-MX" w:eastAsia="es-ES"/>
    </w:rPr>
  </w:style>
  <w:style w:type="character" w:customStyle="1" w:styleId="Textoindependienteprimerasangra2Car">
    <w:name w:val="Texto independiente primera sangría 2 Car"/>
    <w:basedOn w:val="SangradetextonormalCar"/>
    <w:link w:val="Textoindependienteprimerasangra2"/>
    <w:uiPriority w:val="99"/>
    <w:rsid w:val="0049610F"/>
    <w:rPr>
      <w:rFonts w:ascii="Times New Roman" w:eastAsia="Times New Roman" w:hAnsi="Times New Roman"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651560.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24</Pages>
  <Words>5638</Words>
  <Characters>31012</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14</cp:revision>
  <cp:lastPrinted>2026-04-29T18:07:00Z</cp:lastPrinted>
  <dcterms:created xsi:type="dcterms:W3CDTF">2026-04-22T23:45:00Z</dcterms:created>
  <dcterms:modified xsi:type="dcterms:W3CDTF">2026-05-11T20:02:00Z</dcterms:modified>
</cp:coreProperties>
</file>