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4354" w:rsidRDefault="00864E7B">
      <w:pPr>
        <w:spacing w:line="360" w:lineRule="auto"/>
        <w:ind w:right="-737"/>
        <w:jc w:val="both"/>
        <w:rPr>
          <w:rFonts w:ascii="Palatino Linotype" w:eastAsia="Palatino Linotype" w:hAnsi="Palatino Linotype" w:cs="Palatino Linotype"/>
          <w:b/>
          <w:bCs/>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w:t>
      </w:r>
      <w:r w:rsidRPr="008E23F1">
        <w:rPr>
          <w:rFonts w:ascii="Palatino Linotype" w:eastAsia="Palatino Linotype" w:hAnsi="Palatino Linotype" w:cs="Palatino Linotype"/>
        </w:rPr>
        <w:t>f</w:t>
      </w:r>
      <w:r w:rsidR="008E23F1" w:rsidRPr="008E23F1">
        <w:rPr>
          <w:rFonts w:ascii="Palatino Linotype" w:eastAsia="Palatino Linotype" w:hAnsi="Palatino Linotype" w:cs="Palatino Linotype"/>
          <w:bCs/>
        </w:rPr>
        <w:t xml:space="preserve">echa </w:t>
      </w:r>
      <w:r w:rsidR="008E23F1">
        <w:rPr>
          <w:rFonts w:ascii="Palatino Linotype" w:eastAsia="Palatino Linotype" w:hAnsi="Palatino Linotype" w:cs="Palatino Linotype"/>
          <w:b/>
          <w:bCs/>
        </w:rPr>
        <w:t>veinticinco</w:t>
      </w:r>
      <w:r>
        <w:rPr>
          <w:rFonts w:ascii="Palatino Linotype" w:eastAsia="Palatino Linotype" w:hAnsi="Palatino Linotype" w:cs="Palatino Linotype"/>
          <w:b/>
          <w:bCs/>
        </w:rPr>
        <w:t xml:space="preserve"> de junio de dos mil veintiséis. </w:t>
      </w:r>
    </w:p>
    <w:p w:rsidR="00DE4354" w:rsidRDefault="00DE4354">
      <w:pPr>
        <w:spacing w:line="360" w:lineRule="auto"/>
        <w:ind w:right="-737"/>
        <w:jc w:val="both"/>
        <w:rPr>
          <w:rFonts w:ascii="Palatino Linotype" w:eastAsia="Palatino Linotype" w:hAnsi="Palatino Linotype" w:cs="Palatino Linotype"/>
        </w:rPr>
      </w:pPr>
    </w:p>
    <w:p w:rsidR="00DE4354" w:rsidRDefault="00864E7B">
      <w:pPr>
        <w:spacing w:line="360" w:lineRule="auto"/>
        <w:ind w:right="-737"/>
        <w:jc w:val="both"/>
        <w:rPr>
          <w:rFonts w:ascii="Palatino Linotype" w:eastAsia="Palatino Linotype" w:hAnsi="Palatino Linotype" w:cs="Palatino Linotype"/>
        </w:rPr>
      </w:pPr>
      <w:r>
        <w:rPr>
          <w:rFonts w:ascii="Palatino Linotype" w:eastAsia="Palatino Linotype" w:hAnsi="Palatino Linotype" w:cs="Palatino Linotype"/>
          <w:b/>
          <w:bCs/>
        </w:rPr>
        <w:t>VISTO</w:t>
      </w:r>
      <w:r>
        <w:rPr>
          <w:rFonts w:ascii="Palatino Linotype" w:eastAsia="Palatino Linotype" w:hAnsi="Palatino Linotype" w:cs="Palatino Linotype"/>
        </w:rPr>
        <w:t xml:space="preserve"> el expediente electrónico formado con motivo del recurso de revisión </w:t>
      </w:r>
      <w:r>
        <w:rPr>
          <w:rFonts w:ascii="Palatino Linotype" w:eastAsia="Palatino Linotype" w:hAnsi="Palatino Linotype" w:cs="Palatino Linotype"/>
          <w:b/>
          <w:bCs/>
        </w:rPr>
        <w:t xml:space="preserve">03038/INFOEM/IP/RR/2026, </w:t>
      </w:r>
      <w:r>
        <w:rPr>
          <w:rFonts w:ascii="Palatino Linotype" w:eastAsia="Palatino Linotype" w:hAnsi="Palatino Linotype" w:cs="Palatino Linotype"/>
        </w:rPr>
        <w:t xml:space="preserve">promovido por </w:t>
      </w:r>
      <w:r w:rsidR="00C032BF">
        <w:rPr>
          <w:rFonts w:ascii="Palatino Linotype" w:eastAsia="Palatino Linotype" w:hAnsi="Palatino Linotype" w:cs="Palatino Linotype"/>
          <w:b/>
          <w:bCs/>
        </w:rPr>
        <w:t>XXXX</w:t>
      </w:r>
      <w:r>
        <w:rPr>
          <w:rFonts w:ascii="Palatino Linotype" w:eastAsia="Palatino Linotype" w:hAnsi="Palatino Linotype" w:cs="Palatino Linotype"/>
        </w:rPr>
        <w:t xml:space="preserve">, en lo sucesivo la </w:t>
      </w:r>
      <w:r>
        <w:rPr>
          <w:rFonts w:ascii="Palatino Linotype" w:eastAsia="Palatino Linotype" w:hAnsi="Palatino Linotype" w:cs="Palatino Linotype"/>
          <w:b/>
          <w:bCs/>
        </w:rPr>
        <w:t>RECURRENTE</w:t>
      </w:r>
      <w:r>
        <w:rPr>
          <w:rFonts w:ascii="Palatino Linotype" w:eastAsia="Palatino Linotype" w:hAnsi="Palatino Linotype" w:cs="Palatino Linotype"/>
        </w:rPr>
        <w:t xml:space="preserve">, en contra de la respuesta del </w:t>
      </w:r>
      <w:r>
        <w:rPr>
          <w:rFonts w:ascii="Palatino Linotype" w:eastAsia="Palatino Linotype" w:hAnsi="Palatino Linotype" w:cs="Palatino Linotype"/>
          <w:b/>
          <w:bCs/>
        </w:rPr>
        <w:t xml:space="preserve">Ayuntamiento de Ecatepec de Morelos, </w:t>
      </w:r>
      <w:r>
        <w:rPr>
          <w:rFonts w:ascii="Palatino Linotype" w:eastAsia="Palatino Linotype" w:hAnsi="Palatino Linotype" w:cs="Palatino Linotype"/>
        </w:rPr>
        <w:t>en adelante el</w:t>
      </w:r>
      <w:r>
        <w:rPr>
          <w:rFonts w:ascii="Palatino Linotype" w:eastAsia="Palatino Linotype" w:hAnsi="Palatino Linotype" w:cs="Palatino Linotype"/>
          <w:b/>
          <w:bCs/>
        </w:rPr>
        <w:t xml:space="preserve"> SUJETO OBLIGADO</w:t>
      </w:r>
      <w:r>
        <w:rPr>
          <w:rFonts w:ascii="Palatino Linotype" w:eastAsia="Palatino Linotype" w:hAnsi="Palatino Linotype" w:cs="Palatino Linotype"/>
        </w:rPr>
        <w:t>, por lo que se procede a dictar la present</w:t>
      </w:r>
      <w:bookmarkStart w:id="0" w:name="_GoBack"/>
      <w:bookmarkEnd w:id="0"/>
      <w:r>
        <w:rPr>
          <w:rFonts w:ascii="Palatino Linotype" w:eastAsia="Palatino Linotype" w:hAnsi="Palatino Linotype" w:cs="Palatino Linotype"/>
        </w:rPr>
        <w:t>e resolución, con base en los siguientes:</w:t>
      </w:r>
    </w:p>
    <w:p w:rsidR="00DE4354" w:rsidRDefault="00DE4354">
      <w:pPr>
        <w:spacing w:line="360" w:lineRule="auto"/>
        <w:ind w:right="-737"/>
        <w:jc w:val="both"/>
        <w:rPr>
          <w:rFonts w:ascii="Palatino Linotype" w:eastAsia="Palatino Linotype" w:hAnsi="Palatino Linotype" w:cs="Palatino Linotype"/>
        </w:rPr>
      </w:pPr>
    </w:p>
    <w:p w:rsidR="00DE4354" w:rsidRDefault="00864E7B">
      <w:pPr>
        <w:keepNext/>
        <w:keepLines/>
        <w:spacing w:line="360" w:lineRule="auto"/>
        <w:ind w:right="-737"/>
        <w:jc w:val="center"/>
        <w:rPr>
          <w:rFonts w:ascii="Palatino Linotype" w:eastAsia="Palatino Linotype" w:hAnsi="Palatino Linotype" w:cs="Palatino Linotype"/>
          <w:b/>
          <w:bCs/>
        </w:rPr>
      </w:pPr>
      <w:bookmarkStart w:id="1" w:name="_heading=h.gjdgxs" w:colFirst="0" w:colLast="0"/>
      <w:bookmarkEnd w:id="1"/>
      <w:r>
        <w:rPr>
          <w:rFonts w:ascii="Palatino Linotype" w:eastAsia="Palatino Linotype" w:hAnsi="Palatino Linotype" w:cs="Palatino Linotype"/>
          <w:b/>
          <w:bCs/>
        </w:rPr>
        <w:t>A N T E C E D E N T E S</w:t>
      </w:r>
    </w:p>
    <w:p w:rsidR="00DE4354" w:rsidRDefault="00DE4354">
      <w:pPr>
        <w:spacing w:line="360" w:lineRule="auto"/>
        <w:ind w:right="-737"/>
        <w:rPr>
          <w:rFonts w:ascii="Palatino Linotype" w:eastAsia="Palatino Linotype" w:hAnsi="Palatino Linotype" w:cs="Palatino Linotype"/>
        </w:rPr>
      </w:pPr>
    </w:p>
    <w:p w:rsidR="00DE4354" w:rsidRDefault="00864E7B">
      <w:pPr>
        <w:numPr>
          <w:ilvl w:val="0"/>
          <w:numId w:val="2"/>
        </w:numPr>
        <w:spacing w:line="360" w:lineRule="auto"/>
        <w:ind w:left="0" w:right="-73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bCs/>
        </w:rPr>
        <w:t>treinta de enero de dos mil veintiséis</w:t>
      </w:r>
      <w:r>
        <w:rPr>
          <w:rFonts w:ascii="Palatino Linotype" w:eastAsia="Palatino Linotype" w:hAnsi="Palatino Linotype" w:cs="Palatino Linotype"/>
        </w:rPr>
        <w:t>, la</w:t>
      </w:r>
      <w:r>
        <w:rPr>
          <w:rFonts w:ascii="Palatino Linotype" w:eastAsia="Palatino Linotype" w:hAnsi="Palatino Linotype" w:cs="Palatino Linotype"/>
          <w:b/>
          <w:bCs/>
        </w:rPr>
        <w:t xml:space="preserve"> RECURRENTE </w:t>
      </w:r>
      <w:r>
        <w:rPr>
          <w:rFonts w:ascii="Palatino Linotype" w:eastAsia="Palatino Linotype" w:hAnsi="Palatino Linotype" w:cs="Palatino Linotype"/>
        </w:rPr>
        <w:t xml:space="preserve">presentó ante el </w:t>
      </w:r>
      <w:r>
        <w:rPr>
          <w:rFonts w:ascii="Palatino Linotype" w:eastAsia="Palatino Linotype" w:hAnsi="Palatino Linotype" w:cs="Palatino Linotype"/>
          <w:b/>
          <w:bCs/>
        </w:rPr>
        <w:t>SUJETO OBLIGADO,</w:t>
      </w:r>
      <w:r>
        <w:rPr>
          <w:rFonts w:ascii="Palatino Linotype" w:eastAsia="Palatino Linotype" w:hAnsi="Palatino Linotype" w:cs="Palatino Linotype"/>
        </w:rPr>
        <w:t xml:space="preserve"> a través del Sistema de Acceso a la Información Mexiquense </w:t>
      </w:r>
      <w:r>
        <w:rPr>
          <w:rFonts w:ascii="Palatino Linotype" w:eastAsia="Palatino Linotype" w:hAnsi="Palatino Linotype" w:cs="Palatino Linotype"/>
          <w:b/>
          <w:bCs/>
        </w:rPr>
        <w:t>(SAIMEX),</w:t>
      </w:r>
      <w:r>
        <w:rPr>
          <w:rFonts w:ascii="Palatino Linotype" w:eastAsia="Palatino Linotype" w:hAnsi="Palatino Linotype" w:cs="Palatino Linotype"/>
        </w:rPr>
        <w:t xml:space="preserve"> la solicitud de información pública </w:t>
      </w:r>
      <w:r>
        <w:rPr>
          <w:rFonts w:ascii="Palatino Linotype" w:eastAsia="Palatino Linotype" w:hAnsi="Palatino Linotype" w:cs="Palatino Linotype"/>
          <w:b/>
          <w:bCs/>
        </w:rPr>
        <w:t>00078/ECATEPEC/IP/2026</w:t>
      </w:r>
      <w:r>
        <w:rPr>
          <w:rFonts w:ascii="Palatino Linotype" w:eastAsia="Palatino Linotype" w:hAnsi="Palatino Linotype" w:cs="Palatino Linotype"/>
        </w:rPr>
        <w:t>, en la que se solicitó:</w:t>
      </w:r>
    </w:p>
    <w:p w:rsidR="00DE4354" w:rsidRDefault="00DE4354">
      <w:pPr>
        <w:spacing w:line="360" w:lineRule="auto"/>
        <w:ind w:right="-737"/>
        <w:jc w:val="both"/>
        <w:rPr>
          <w:rFonts w:ascii="Palatino Linotype" w:eastAsia="Palatino Linotype" w:hAnsi="Palatino Linotype" w:cs="Palatino Linotype"/>
          <w:i/>
          <w:iCs/>
        </w:rPr>
      </w:pPr>
    </w:p>
    <w:p w:rsidR="00DE4354" w:rsidRDefault="00864E7B">
      <w:pPr>
        <w:pBdr>
          <w:top w:val="nil"/>
          <w:left w:val="nil"/>
          <w:bottom w:val="nil"/>
          <w:right w:val="nil"/>
          <w:between w:val="nil"/>
        </w:pBdr>
        <w:ind w:left="567" w:right="-737"/>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 “Con el objeto de que se me entregue una respuesta con TRANSPARENCIA, estimare que la respuesta sea suscrita por la H. Presidenta Municipal de Ecatepec de Morelos, con todo respeto agradeceré, se me indique el número de Valoraciones de Riesgo y Dictámenes Técnicos, realizados por la Dirección de Medio Ambiente y Ecología, así como la Dirección de Protección Civil y Bomberos en el año 2025, al 31 de diciembre de 2025, relacionados con la poda, derribo y trasplante de un árbol ubicados en banquetas de TODO EL MUNICIPIO de Ecatepec de Morelos. 1.- Cuantas son Valoraciones de Riesgo en 2025, por Dependencia. 2. Cuantos son Dictámenes Técnicos en 2025, por Dependencia. 3.- Cuantos derribos realizo la Dirección de Medio Ambiente y Ecología en 2025. 4.- Cuantos derribos realizo la Dirección de Protección Civil y Bomberos en 2025. 5.- Cuantos derribos se realizaron por prestadores de servicio, o proveedores registrados en Ecatepec de Morelos durante 2025.” (Sic) </w:t>
      </w:r>
    </w:p>
    <w:p w:rsidR="00DE4354" w:rsidRDefault="00DE4354">
      <w:pPr>
        <w:pBdr>
          <w:top w:val="nil"/>
          <w:left w:val="nil"/>
          <w:bottom w:val="nil"/>
          <w:right w:val="nil"/>
          <w:between w:val="nil"/>
        </w:pBdr>
        <w:spacing w:line="360" w:lineRule="auto"/>
        <w:ind w:right="-737"/>
        <w:jc w:val="both"/>
        <w:rPr>
          <w:rFonts w:ascii="Palatino Linotype" w:eastAsia="Palatino Linotype" w:hAnsi="Palatino Linotype" w:cs="Palatino Linotype"/>
        </w:rPr>
      </w:pPr>
    </w:p>
    <w:p w:rsidR="00DE4354" w:rsidRDefault="00864E7B">
      <w:pPr>
        <w:tabs>
          <w:tab w:val="left" w:pos="567"/>
        </w:tabs>
        <w:spacing w:line="360" w:lineRule="auto"/>
        <w:ind w:left="567" w:right="-737"/>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Se hace constar que se señaló como </w:t>
      </w:r>
      <w:r>
        <w:rPr>
          <w:rFonts w:ascii="Palatino Linotype" w:eastAsia="Palatino Linotype" w:hAnsi="Palatino Linotype" w:cs="Palatino Linotype"/>
          <w:b/>
          <w:bCs/>
        </w:rPr>
        <w:t>modalidad de entrega</w:t>
      </w:r>
      <w:r>
        <w:rPr>
          <w:rFonts w:ascii="Palatino Linotype" w:eastAsia="Palatino Linotype" w:hAnsi="Palatino Linotype" w:cs="Palatino Linotype"/>
        </w:rPr>
        <w:t xml:space="preserve"> de la información a través de </w:t>
      </w:r>
      <w:r>
        <w:rPr>
          <w:rFonts w:ascii="Palatino Linotype" w:eastAsia="Palatino Linotype" w:hAnsi="Palatino Linotype" w:cs="Palatino Linotype"/>
          <w:b/>
          <w:bCs/>
        </w:rPr>
        <w:t>SAIMEX</w:t>
      </w:r>
      <w:r>
        <w:rPr>
          <w:rFonts w:ascii="Palatino Linotype" w:eastAsia="Palatino Linotype" w:hAnsi="Palatino Linotype" w:cs="Palatino Linotype"/>
        </w:rPr>
        <w:t>.</w:t>
      </w:r>
    </w:p>
    <w:p w:rsidR="00DE4354" w:rsidRDefault="00DE4354">
      <w:pPr>
        <w:spacing w:line="360" w:lineRule="auto"/>
        <w:ind w:right="-737"/>
        <w:jc w:val="both"/>
        <w:rPr>
          <w:rFonts w:ascii="Palatino Linotype" w:eastAsia="Palatino Linotype" w:hAnsi="Palatino Linotype" w:cs="Palatino Linotype"/>
        </w:rPr>
      </w:pPr>
    </w:p>
    <w:p w:rsidR="00DE4354" w:rsidRDefault="00864E7B">
      <w:pPr>
        <w:numPr>
          <w:ilvl w:val="0"/>
          <w:numId w:val="2"/>
        </w:numPr>
        <w:spacing w:line="360" w:lineRule="auto"/>
        <w:ind w:left="0" w:right="-73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bCs/>
        </w:rPr>
        <w:t>dieciséis de febrero de dos mil veintiséis</w:t>
      </w:r>
      <w:r>
        <w:rPr>
          <w:rFonts w:ascii="Palatino Linotype" w:eastAsia="Palatino Linotype" w:hAnsi="Palatino Linotype" w:cs="Palatino Linotype"/>
        </w:rPr>
        <w:t xml:space="preserve">, el Sujeto Obligado proporcionó </w:t>
      </w:r>
      <w:r>
        <w:rPr>
          <w:rFonts w:ascii="Palatino Linotype" w:eastAsia="Palatino Linotype" w:hAnsi="Palatino Linotype" w:cs="Palatino Linotype"/>
          <w:b/>
          <w:bCs/>
        </w:rPr>
        <w:t>respuesta</w:t>
      </w:r>
      <w:r>
        <w:rPr>
          <w:rFonts w:ascii="Palatino Linotype" w:eastAsia="Palatino Linotype" w:hAnsi="Palatino Linotype" w:cs="Palatino Linotype"/>
        </w:rPr>
        <w:t xml:space="preserve"> a través de los archivos electrónicos siguientes:</w:t>
      </w:r>
    </w:p>
    <w:p w:rsidR="00DE4354" w:rsidRDefault="00864E7B">
      <w:pPr>
        <w:numPr>
          <w:ilvl w:val="0"/>
          <w:numId w:val="5"/>
        </w:numPr>
        <w:pBdr>
          <w:top w:val="nil"/>
          <w:left w:val="nil"/>
          <w:bottom w:val="nil"/>
          <w:right w:val="nil"/>
          <w:between w:val="nil"/>
        </w:pBdr>
        <w:ind w:right="-737"/>
        <w:jc w:val="both"/>
        <w:rPr>
          <w:rFonts w:ascii="Palatino Linotype" w:eastAsia="Palatino Linotype" w:hAnsi="Palatino Linotype" w:cs="Palatino Linotype"/>
          <w:b/>
          <w:bCs/>
          <w:i/>
          <w:iCs/>
          <w:color w:val="000000"/>
        </w:rPr>
      </w:pPr>
      <w:r>
        <w:rPr>
          <w:rFonts w:ascii="Palatino Linotype" w:eastAsia="Palatino Linotype" w:hAnsi="Palatino Linotype" w:cs="Palatino Linotype"/>
          <w:b/>
          <w:bCs/>
          <w:i/>
          <w:iCs/>
          <w:color w:val="000000"/>
        </w:rPr>
        <w:t>0078.2601316120260212095805.pdf</w:t>
      </w:r>
    </w:p>
    <w:p w:rsidR="00DE4354" w:rsidRDefault="00864E7B">
      <w:pPr>
        <w:ind w:left="567" w:right="-737"/>
        <w:jc w:val="both"/>
        <w:rPr>
          <w:rFonts w:ascii="Palatino Linotype" w:eastAsia="Palatino Linotype" w:hAnsi="Palatino Linotype" w:cs="Palatino Linotype"/>
        </w:rPr>
      </w:pPr>
      <w:r>
        <w:rPr>
          <w:rFonts w:ascii="Palatino Linotype" w:eastAsia="Palatino Linotype" w:hAnsi="Palatino Linotype" w:cs="Palatino Linotype"/>
        </w:rPr>
        <w:t>Oficio 0078/ECATEPEC/IP/2026 firmado por el Encargado de Despacho de la Dirección de Medio Ambiente y Ecología a través del cual refiere lo siguiente:</w:t>
      </w:r>
    </w:p>
    <w:p w:rsidR="00DE4354" w:rsidRDefault="00DE4354">
      <w:pPr>
        <w:ind w:left="567" w:right="-737"/>
        <w:jc w:val="both"/>
        <w:rPr>
          <w:rFonts w:ascii="Palatino Linotype" w:eastAsia="Palatino Linotype" w:hAnsi="Palatino Linotype" w:cs="Palatino Linotype"/>
        </w:rPr>
      </w:pPr>
    </w:p>
    <w:p w:rsidR="00DE4354" w:rsidRDefault="00864E7B">
      <w:pPr>
        <w:ind w:left="567" w:right="-737"/>
        <w:jc w:val="both"/>
        <w:rPr>
          <w:rFonts w:ascii="Palatino Linotype" w:eastAsia="Palatino Linotype" w:hAnsi="Palatino Linotype" w:cs="Palatino Linotype"/>
          <w:i/>
          <w:iCs/>
        </w:rPr>
      </w:pPr>
      <w:r>
        <w:rPr>
          <w:rFonts w:ascii="Palatino Linotype" w:eastAsia="Palatino Linotype" w:hAnsi="Palatino Linotype" w:cs="Palatino Linotype"/>
          <w:i/>
          <w:iCs/>
        </w:rPr>
        <w:t>Es importante mencionar que es facultad de la Dirección de Protección Civil y Bomberos atender los dictámenes de Riesgo, esto con fundamento en el artículo 60 Fracción VI que a la letra señala:</w:t>
      </w:r>
    </w:p>
    <w:p w:rsidR="00DE4354" w:rsidRDefault="00DE4354">
      <w:pPr>
        <w:ind w:left="567" w:right="-737"/>
        <w:jc w:val="both"/>
        <w:rPr>
          <w:rFonts w:ascii="Palatino Linotype" w:eastAsia="Palatino Linotype" w:hAnsi="Palatino Linotype" w:cs="Palatino Linotype"/>
          <w:i/>
          <w:iCs/>
        </w:rPr>
      </w:pPr>
    </w:p>
    <w:p w:rsidR="00DE4354" w:rsidRDefault="00864E7B">
      <w:pPr>
        <w:ind w:left="851" w:right="-737"/>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 Artículo 60. La Dirección de Medio Ambiente y Ecología tendrá las siguientes atribuciones: </w:t>
      </w:r>
    </w:p>
    <w:p w:rsidR="00DE4354" w:rsidRDefault="00DE4354">
      <w:pPr>
        <w:ind w:left="851" w:right="-737"/>
        <w:jc w:val="both"/>
        <w:rPr>
          <w:rFonts w:ascii="Palatino Linotype" w:eastAsia="Palatino Linotype" w:hAnsi="Palatino Linotype" w:cs="Palatino Linotype"/>
          <w:i/>
          <w:iCs/>
        </w:rPr>
      </w:pPr>
    </w:p>
    <w:p w:rsidR="00DE4354" w:rsidRDefault="00864E7B">
      <w:pPr>
        <w:ind w:left="851" w:right="-737"/>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VIII. ...Analizar y justificar técnicamente los dictámenes de riesgo emitidos por la Dirección de Protección Civil y Bomberos para la ejecución de trabajos en árboles que, por la magnitud del riesgo, se ejecuten sin previa autorización; asimismo, determinará en las autorizaciones que emita si se requiere la intervención de la Dirección de Protección Civil y Bomberos derivado del riesgo; </w:t>
      </w:r>
    </w:p>
    <w:p w:rsidR="00DE4354" w:rsidRDefault="00DE4354">
      <w:pPr>
        <w:ind w:left="567" w:right="-737"/>
        <w:jc w:val="both"/>
        <w:rPr>
          <w:rFonts w:ascii="Palatino Linotype" w:eastAsia="Palatino Linotype" w:hAnsi="Palatino Linotype" w:cs="Palatino Linotype"/>
          <w:i/>
          <w:iCs/>
        </w:rPr>
      </w:pPr>
    </w:p>
    <w:p w:rsidR="00DE4354" w:rsidRDefault="00864E7B">
      <w:pPr>
        <w:ind w:left="567" w:right="-737"/>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Ahora bien, esta dirección a mi cargo le informa lo siguiente: </w:t>
      </w:r>
    </w:p>
    <w:p w:rsidR="00DE4354" w:rsidRDefault="00864E7B">
      <w:pPr>
        <w:ind w:left="567" w:right="-737"/>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1. 1,280 Valoraciones de Riesgo </w:t>
      </w:r>
    </w:p>
    <w:p w:rsidR="00DE4354" w:rsidRDefault="00864E7B">
      <w:pPr>
        <w:ind w:left="567" w:right="-737"/>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2. 1,111 Dictámenes Técnicos </w:t>
      </w:r>
    </w:p>
    <w:p w:rsidR="00DE4354" w:rsidRDefault="00864E7B">
      <w:pPr>
        <w:ind w:left="567" w:right="-737"/>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3. 80 Derribos (mismos que ha sido ejecutados por la Dirección de Protección Civil y Bomberos) </w:t>
      </w:r>
    </w:p>
    <w:p w:rsidR="00DE4354" w:rsidRDefault="00DE4354">
      <w:pPr>
        <w:ind w:left="567" w:right="-737"/>
        <w:jc w:val="both"/>
        <w:rPr>
          <w:rFonts w:ascii="Palatino Linotype" w:eastAsia="Palatino Linotype" w:hAnsi="Palatino Linotype" w:cs="Palatino Linotype"/>
          <w:i/>
          <w:iCs/>
        </w:rPr>
      </w:pPr>
    </w:p>
    <w:p w:rsidR="00DE4354" w:rsidRDefault="00864E7B">
      <w:pPr>
        <w:ind w:left="567" w:right="-737"/>
        <w:jc w:val="both"/>
        <w:rPr>
          <w:rFonts w:ascii="Palatino Linotype" w:eastAsia="Palatino Linotype" w:hAnsi="Palatino Linotype" w:cs="Palatino Linotype"/>
          <w:i/>
          <w:iCs/>
        </w:rPr>
      </w:pPr>
      <w:r>
        <w:rPr>
          <w:rFonts w:ascii="Palatino Linotype" w:eastAsia="Palatino Linotype" w:hAnsi="Palatino Linotype" w:cs="Palatino Linotype"/>
          <w:i/>
          <w:iCs/>
        </w:rPr>
        <w:t>Por lo que hace referencia al numeral 5, NO se tiene registro de trabajos realizados por prestadores de servicio, o proveedores registrados en Ecatepec de Morelos durante 2025.</w:t>
      </w:r>
    </w:p>
    <w:p w:rsidR="00DE4354" w:rsidRDefault="00DE4354">
      <w:pPr>
        <w:ind w:left="567" w:right="-737"/>
        <w:jc w:val="both"/>
        <w:rPr>
          <w:rFonts w:ascii="Palatino Linotype" w:eastAsia="Palatino Linotype" w:hAnsi="Palatino Linotype" w:cs="Palatino Linotype"/>
          <w:b/>
          <w:bCs/>
          <w:i/>
          <w:iCs/>
        </w:rPr>
      </w:pPr>
    </w:p>
    <w:p w:rsidR="00DE4354" w:rsidRDefault="00864E7B">
      <w:pPr>
        <w:numPr>
          <w:ilvl w:val="0"/>
          <w:numId w:val="4"/>
        </w:numPr>
        <w:pBdr>
          <w:top w:val="nil"/>
          <w:left w:val="nil"/>
          <w:bottom w:val="nil"/>
          <w:right w:val="nil"/>
          <w:between w:val="nil"/>
        </w:pBdr>
        <w:ind w:right="-737"/>
        <w:jc w:val="both"/>
        <w:rPr>
          <w:rFonts w:ascii="Palatino Linotype" w:eastAsia="Palatino Linotype" w:hAnsi="Palatino Linotype" w:cs="Palatino Linotype"/>
          <w:b/>
          <w:bCs/>
          <w:i/>
          <w:iCs/>
          <w:color w:val="000000"/>
        </w:rPr>
      </w:pPr>
      <w:r>
        <w:rPr>
          <w:rFonts w:ascii="Palatino Linotype" w:eastAsia="Palatino Linotype" w:hAnsi="Palatino Linotype" w:cs="Palatino Linotype"/>
          <w:b/>
          <w:bCs/>
          <w:i/>
          <w:iCs/>
          <w:color w:val="000000"/>
        </w:rPr>
        <w:t>0078 - 0391- 2026.pdf</w:t>
      </w:r>
    </w:p>
    <w:p w:rsidR="00DE4354" w:rsidRDefault="00864E7B">
      <w:pPr>
        <w:ind w:left="567" w:right="-737"/>
        <w:jc w:val="both"/>
        <w:rPr>
          <w:rFonts w:ascii="Palatino Linotype" w:eastAsia="Palatino Linotype" w:hAnsi="Palatino Linotype" w:cs="Palatino Linotype"/>
        </w:rPr>
      </w:pPr>
      <w:r>
        <w:rPr>
          <w:rFonts w:ascii="Palatino Linotype" w:eastAsia="Palatino Linotype" w:hAnsi="Palatino Linotype" w:cs="Palatino Linotype"/>
        </w:rPr>
        <w:t>Oficio DPCE/ECA/0391/2026 de fecha 10 de febrero de 2026, firmado por el Director de Protección Civil y Bomberos, a través del cual refiere:</w:t>
      </w:r>
    </w:p>
    <w:p w:rsidR="00DE4354" w:rsidRDefault="00DE4354">
      <w:pPr>
        <w:ind w:left="567" w:right="-737"/>
        <w:jc w:val="both"/>
        <w:rPr>
          <w:rFonts w:ascii="Palatino Linotype" w:eastAsia="Palatino Linotype" w:hAnsi="Palatino Linotype" w:cs="Palatino Linotype"/>
        </w:rPr>
      </w:pPr>
    </w:p>
    <w:p w:rsidR="00DE4354" w:rsidRDefault="00864E7B">
      <w:pPr>
        <w:ind w:left="567" w:right="-737"/>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1.- Cuantas son Valoraciones de Riesgo en 2025, por Dependencia. </w:t>
      </w:r>
    </w:p>
    <w:p w:rsidR="00DE4354" w:rsidRDefault="00864E7B">
      <w:pPr>
        <w:ind w:left="567" w:right="-737"/>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2. Cuantos son Dictámenes Técnicos en 2025, por Dependencia. </w:t>
      </w:r>
    </w:p>
    <w:p w:rsidR="00DE4354" w:rsidRDefault="00864E7B">
      <w:pPr>
        <w:ind w:left="567" w:right="-737"/>
        <w:jc w:val="both"/>
        <w:rPr>
          <w:rFonts w:ascii="Palatino Linotype" w:eastAsia="Palatino Linotype" w:hAnsi="Palatino Linotype" w:cs="Palatino Linotype"/>
          <w:i/>
          <w:iCs/>
        </w:rPr>
      </w:pPr>
      <w:r>
        <w:rPr>
          <w:rFonts w:ascii="Palatino Linotype" w:eastAsia="Palatino Linotype" w:hAnsi="Palatino Linotype" w:cs="Palatino Linotype"/>
          <w:i/>
          <w:iCs/>
        </w:rPr>
        <w:lastRenderedPageBreak/>
        <w:t xml:space="preserve">3.- Cuantos derribos realizo la Dirección de Medio Ambiente y Ecología en 2025. </w:t>
      </w:r>
    </w:p>
    <w:p w:rsidR="00DE4354" w:rsidRDefault="00864E7B">
      <w:pPr>
        <w:ind w:left="567" w:right="-737"/>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4.- Cuantos derribos realizo la Dirección de Protección Civil y Bomberos en 2025. </w:t>
      </w:r>
    </w:p>
    <w:p w:rsidR="00DE4354" w:rsidRDefault="00864E7B">
      <w:pPr>
        <w:ind w:left="567" w:right="-737"/>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5.- Cuantos: derribos se realizaron por prestadores de servicio, o proveedores registrados en Ecatepec de Morelos durante 2025. </w:t>
      </w:r>
    </w:p>
    <w:p w:rsidR="00DE4354" w:rsidRDefault="00DE4354">
      <w:pPr>
        <w:ind w:left="567" w:right="-737"/>
        <w:jc w:val="both"/>
        <w:rPr>
          <w:rFonts w:ascii="Palatino Linotype" w:eastAsia="Palatino Linotype" w:hAnsi="Palatino Linotype" w:cs="Palatino Linotype"/>
          <w:i/>
          <w:iCs/>
        </w:rPr>
      </w:pPr>
    </w:p>
    <w:p w:rsidR="00DE4354" w:rsidRDefault="00864E7B">
      <w:pPr>
        <w:ind w:left="567" w:right="-737"/>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Derivado a lo anterior le informo lo siguiente: </w:t>
      </w:r>
    </w:p>
    <w:p w:rsidR="00DE4354" w:rsidRDefault="00DE4354">
      <w:pPr>
        <w:ind w:left="567" w:right="-737"/>
        <w:jc w:val="both"/>
        <w:rPr>
          <w:rFonts w:ascii="Palatino Linotype" w:eastAsia="Palatino Linotype" w:hAnsi="Palatino Linotype" w:cs="Palatino Linotype"/>
          <w:i/>
          <w:iCs/>
        </w:rPr>
      </w:pPr>
    </w:p>
    <w:p w:rsidR="00DE4354" w:rsidRDefault="00864E7B">
      <w:pPr>
        <w:ind w:left="567" w:right="-737"/>
        <w:jc w:val="both"/>
        <w:rPr>
          <w:rFonts w:ascii="Palatino Linotype" w:eastAsia="Palatino Linotype" w:hAnsi="Palatino Linotype" w:cs="Palatino Linotype"/>
          <w:i/>
          <w:iCs/>
        </w:rPr>
      </w:pPr>
      <w:r>
        <w:rPr>
          <w:rFonts w:ascii="Palatino Linotype" w:eastAsia="Palatino Linotype" w:hAnsi="Palatino Linotype" w:cs="Palatino Linotype"/>
          <w:i/>
          <w:iCs/>
          <w:u w:val="single"/>
        </w:rPr>
        <w:t>Punto Primero</w:t>
      </w:r>
      <w:r>
        <w:rPr>
          <w:rFonts w:ascii="Palatino Linotype" w:eastAsia="Palatino Linotype" w:hAnsi="Palatino Linotype" w:cs="Palatino Linotype"/>
          <w:i/>
          <w:iCs/>
        </w:rPr>
        <w:t xml:space="preserve">.- Con el propósito de dar cumplimiento y seguimiento a la solicitud antes referida le ratifico que al realizar búsqueda exhaustiva y minuciosa se localizó el archivo documental de </w:t>
      </w:r>
      <w:r>
        <w:rPr>
          <w:rFonts w:ascii="Palatino Linotype" w:eastAsia="Palatino Linotype" w:hAnsi="Palatino Linotype" w:cs="Palatino Linotype"/>
          <w:b/>
          <w:bCs/>
          <w:i/>
          <w:iCs/>
        </w:rPr>
        <w:t>Veinticuatro (24) Visitas Oculares de Valoraciones de Riesgos de Árboles</w:t>
      </w:r>
      <w:r>
        <w:rPr>
          <w:rFonts w:ascii="Palatino Linotype" w:eastAsia="Palatino Linotype" w:hAnsi="Palatino Linotype" w:cs="Palatino Linotype"/>
          <w:i/>
          <w:iCs/>
        </w:rPr>
        <w:t xml:space="preserve"> en el Municipio de Ecatepec de Morelos en el año 2025. </w:t>
      </w:r>
    </w:p>
    <w:p w:rsidR="00DE4354" w:rsidRDefault="00DE4354">
      <w:pPr>
        <w:ind w:left="567" w:right="-737"/>
        <w:jc w:val="both"/>
        <w:rPr>
          <w:rFonts w:ascii="Palatino Linotype" w:eastAsia="Palatino Linotype" w:hAnsi="Palatino Linotype" w:cs="Palatino Linotype"/>
          <w:i/>
          <w:iCs/>
        </w:rPr>
      </w:pPr>
    </w:p>
    <w:p w:rsidR="00DE4354" w:rsidRDefault="00864E7B">
      <w:pPr>
        <w:ind w:left="567" w:right="-737"/>
        <w:jc w:val="both"/>
        <w:rPr>
          <w:rFonts w:ascii="Palatino Linotype" w:eastAsia="Palatino Linotype" w:hAnsi="Palatino Linotype" w:cs="Palatino Linotype"/>
          <w:i/>
          <w:iCs/>
        </w:rPr>
      </w:pPr>
      <w:r>
        <w:rPr>
          <w:rFonts w:ascii="Palatino Linotype" w:eastAsia="Palatino Linotype" w:hAnsi="Palatino Linotype" w:cs="Palatino Linotype"/>
          <w:i/>
          <w:iCs/>
          <w:u w:val="single"/>
        </w:rPr>
        <w:t>Punto Cuartó</w:t>
      </w:r>
      <w:r>
        <w:rPr>
          <w:rFonts w:ascii="Palatino Linotype" w:eastAsia="Palatino Linotype" w:hAnsi="Palatino Linotype" w:cs="Palatino Linotype"/>
          <w:i/>
          <w:iCs/>
        </w:rPr>
        <w:t xml:space="preserve">.- Le comento que la Dirección que dignamente represento realizo búsqueda exhaustiva y minuciosa localizando en el Departamento del H. Cuerpo de Bomberos cuenta con la documentación de </w:t>
      </w:r>
      <w:r>
        <w:rPr>
          <w:rFonts w:ascii="Palatino Linotype" w:eastAsia="Palatino Linotype" w:hAnsi="Palatino Linotype" w:cs="Palatino Linotype"/>
          <w:b/>
          <w:bCs/>
          <w:i/>
          <w:iCs/>
        </w:rPr>
        <w:t>doscientos nueve (209) derribos de árboles</w:t>
      </w:r>
      <w:r>
        <w:rPr>
          <w:rFonts w:ascii="Palatino Linotype" w:eastAsia="Palatino Linotype" w:hAnsi="Palatino Linotype" w:cs="Palatino Linotype"/>
          <w:i/>
          <w:iCs/>
        </w:rPr>
        <w:t xml:space="preserve"> en Riesgo en las calles y camellones del Municipio de Ecatepec Inminente en el año 2025. </w:t>
      </w:r>
    </w:p>
    <w:p w:rsidR="00DE4354" w:rsidRDefault="00DE4354">
      <w:pPr>
        <w:ind w:left="567" w:right="-737"/>
        <w:jc w:val="both"/>
        <w:rPr>
          <w:rFonts w:ascii="Palatino Linotype" w:eastAsia="Palatino Linotype" w:hAnsi="Palatino Linotype" w:cs="Palatino Linotype"/>
          <w:i/>
          <w:iCs/>
        </w:rPr>
      </w:pPr>
    </w:p>
    <w:p w:rsidR="00DE4354" w:rsidRDefault="00864E7B">
      <w:pPr>
        <w:ind w:left="567" w:right="-737"/>
        <w:jc w:val="both"/>
        <w:rPr>
          <w:rFonts w:ascii="Palatino Linotype" w:eastAsia="Palatino Linotype" w:hAnsi="Palatino Linotype" w:cs="Palatino Linotype"/>
          <w:i/>
          <w:iCs/>
        </w:rPr>
      </w:pPr>
      <w:r>
        <w:rPr>
          <w:rFonts w:ascii="Palatino Linotype" w:eastAsia="Palatino Linotype" w:hAnsi="Palatino Linotype" w:cs="Palatino Linotype"/>
          <w:i/>
          <w:iCs/>
          <w:u w:val="single"/>
        </w:rPr>
        <w:t>Punto Quinto</w:t>
      </w:r>
      <w:r>
        <w:rPr>
          <w:rFonts w:ascii="Palatino Linotype" w:eastAsia="Palatino Linotype" w:hAnsi="Palatino Linotype" w:cs="Palatino Linotype"/>
          <w:i/>
          <w:iCs/>
        </w:rPr>
        <w:t xml:space="preserve">.- A su vez de la manera más atenta le hago mención que la dirección a mi digno cargo </w:t>
      </w:r>
      <w:r>
        <w:rPr>
          <w:rFonts w:ascii="Palatino Linotype" w:eastAsia="Palatino Linotype" w:hAnsi="Palatino Linotype" w:cs="Palatino Linotype"/>
          <w:b/>
          <w:bCs/>
          <w:i/>
          <w:iCs/>
        </w:rPr>
        <w:t>no cuenta con el registro de las empresas y o instancias particulares que realicen derribos a árboles</w:t>
      </w:r>
      <w:r>
        <w:rPr>
          <w:rFonts w:ascii="Palatino Linotype" w:eastAsia="Palatino Linotype" w:hAnsi="Palatino Linotype" w:cs="Palatino Linotype"/>
          <w:i/>
          <w:iCs/>
        </w:rPr>
        <w:t xml:space="preserve"> en el Municipio de Ecatepec de Morelos por lo que me es imposible facilitar el dato solicitado... (sic).</w:t>
      </w:r>
    </w:p>
    <w:p w:rsidR="00DE4354" w:rsidRDefault="00DE4354">
      <w:pPr>
        <w:ind w:left="567" w:right="-737"/>
        <w:jc w:val="both"/>
        <w:rPr>
          <w:rFonts w:ascii="Palatino Linotype" w:eastAsia="Palatino Linotype" w:hAnsi="Palatino Linotype" w:cs="Palatino Linotype"/>
          <w:b/>
          <w:bCs/>
          <w:i/>
          <w:iCs/>
        </w:rPr>
      </w:pPr>
    </w:p>
    <w:p w:rsidR="00DE4354" w:rsidRDefault="00864E7B">
      <w:pPr>
        <w:numPr>
          <w:ilvl w:val="0"/>
          <w:numId w:val="3"/>
        </w:numPr>
        <w:pBdr>
          <w:top w:val="nil"/>
          <w:left w:val="nil"/>
          <w:bottom w:val="nil"/>
          <w:right w:val="nil"/>
          <w:between w:val="nil"/>
        </w:pBdr>
        <w:ind w:right="-737"/>
        <w:jc w:val="both"/>
        <w:rPr>
          <w:rFonts w:ascii="Palatino Linotype" w:eastAsia="Palatino Linotype" w:hAnsi="Palatino Linotype" w:cs="Palatino Linotype"/>
          <w:b/>
          <w:bCs/>
          <w:i/>
          <w:iCs/>
          <w:color w:val="000000"/>
        </w:rPr>
      </w:pPr>
      <w:r>
        <w:rPr>
          <w:rFonts w:ascii="Palatino Linotype" w:eastAsia="Palatino Linotype" w:hAnsi="Palatino Linotype" w:cs="Palatino Linotype"/>
          <w:b/>
          <w:bCs/>
          <w:i/>
          <w:iCs/>
          <w:color w:val="000000"/>
        </w:rPr>
        <w:t>CT_UT_ECA_0225_2026 contestacion a sol. 00078.pdf</w:t>
      </w:r>
    </w:p>
    <w:p w:rsidR="00DE4354" w:rsidRDefault="00864E7B">
      <w:pPr>
        <w:ind w:left="567" w:right="-737"/>
        <w:jc w:val="both"/>
        <w:rPr>
          <w:rFonts w:ascii="Palatino Linotype" w:eastAsia="Palatino Linotype" w:hAnsi="Palatino Linotype" w:cs="Palatino Linotype"/>
        </w:rPr>
      </w:pPr>
      <w:r>
        <w:rPr>
          <w:rFonts w:ascii="Palatino Linotype" w:eastAsia="Palatino Linotype" w:hAnsi="Palatino Linotype" w:cs="Palatino Linotype"/>
        </w:rPr>
        <w:t>Oficio CT/UT/ ECA /0225/2026 de fecha 16 de febrero de 2026, firmado por la Titular de la Unidad de Transparencia y Acceso a la Información Pública, a través del cual remite las respuestas proporcionadas por las unidades administrativas competentes.</w:t>
      </w:r>
    </w:p>
    <w:p w:rsidR="00DE4354" w:rsidRDefault="00DE4354">
      <w:pPr>
        <w:ind w:left="567" w:right="-737"/>
        <w:jc w:val="both"/>
        <w:rPr>
          <w:rFonts w:ascii="Palatino Linotype" w:eastAsia="Palatino Linotype" w:hAnsi="Palatino Linotype" w:cs="Palatino Linotype"/>
        </w:rPr>
      </w:pPr>
    </w:p>
    <w:p w:rsidR="00DE4354" w:rsidRDefault="00DE4354">
      <w:pPr>
        <w:spacing w:line="360" w:lineRule="auto"/>
        <w:ind w:right="-737"/>
        <w:jc w:val="both"/>
        <w:rPr>
          <w:rFonts w:ascii="Palatino Linotype" w:eastAsia="Palatino Linotype" w:hAnsi="Palatino Linotype" w:cs="Palatino Linotype"/>
        </w:rPr>
      </w:pPr>
    </w:p>
    <w:p w:rsidR="00DE4354" w:rsidRDefault="00864E7B">
      <w:pPr>
        <w:numPr>
          <w:ilvl w:val="0"/>
          <w:numId w:val="2"/>
        </w:numPr>
        <w:spacing w:line="360" w:lineRule="auto"/>
        <w:ind w:left="0" w:right="-73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bCs/>
        </w:rPr>
        <w:t>dieciséis de febrero de dos mil veintiséis</w:t>
      </w:r>
      <w:r>
        <w:rPr>
          <w:rFonts w:ascii="Palatino Linotype" w:eastAsia="Palatino Linotype" w:hAnsi="Palatino Linotype" w:cs="Palatino Linotype"/>
        </w:rPr>
        <w:t>,</w:t>
      </w:r>
      <w:r>
        <w:rPr>
          <w:rFonts w:ascii="Palatino Linotype" w:eastAsia="Palatino Linotype" w:hAnsi="Palatino Linotype" w:cs="Palatino Linotype"/>
          <w:b/>
          <w:bCs/>
        </w:rPr>
        <w:t xml:space="preserve"> </w:t>
      </w:r>
      <w:r>
        <w:rPr>
          <w:rFonts w:ascii="Palatino Linotype" w:eastAsia="Palatino Linotype" w:hAnsi="Palatino Linotype" w:cs="Palatino Linotype"/>
        </w:rPr>
        <w:t xml:space="preserve">la </w:t>
      </w:r>
      <w:r>
        <w:rPr>
          <w:rFonts w:ascii="Palatino Linotype" w:eastAsia="Palatino Linotype" w:hAnsi="Palatino Linotype" w:cs="Palatino Linotype"/>
          <w:b/>
          <w:bCs/>
        </w:rPr>
        <w:t>RECURRENTE</w:t>
      </w:r>
      <w:r>
        <w:rPr>
          <w:rFonts w:ascii="Palatino Linotype" w:eastAsia="Palatino Linotype" w:hAnsi="Palatino Linotype" w:cs="Palatino Linotype"/>
        </w:rPr>
        <w:t xml:space="preserve"> interpuso el recurso de revisión en contra de la respuesta, señalando como:</w:t>
      </w:r>
    </w:p>
    <w:p w:rsidR="00DE4354" w:rsidRDefault="00DE4354">
      <w:pPr>
        <w:ind w:right="-737"/>
        <w:jc w:val="both"/>
        <w:rPr>
          <w:rFonts w:ascii="Palatino Linotype" w:eastAsia="Palatino Linotype" w:hAnsi="Palatino Linotype" w:cs="Palatino Linotype"/>
          <w:b/>
          <w:bCs/>
        </w:rPr>
      </w:pPr>
    </w:p>
    <w:p w:rsidR="00DE4354" w:rsidRDefault="00864E7B">
      <w:pPr>
        <w:numPr>
          <w:ilvl w:val="0"/>
          <w:numId w:val="1"/>
        </w:numPr>
        <w:ind w:right="-737"/>
        <w:jc w:val="both"/>
        <w:rPr>
          <w:rFonts w:ascii="Palatino Linotype" w:eastAsia="Palatino Linotype" w:hAnsi="Palatino Linotype" w:cs="Palatino Linotype"/>
        </w:rPr>
      </w:pPr>
      <w:r>
        <w:rPr>
          <w:rFonts w:ascii="Palatino Linotype" w:eastAsia="Palatino Linotype" w:hAnsi="Palatino Linotype" w:cs="Palatino Linotype"/>
          <w:b/>
          <w:bCs/>
        </w:rPr>
        <w:t>Acto impugnado</w:t>
      </w:r>
      <w:r>
        <w:rPr>
          <w:rFonts w:ascii="Palatino Linotype" w:eastAsia="Palatino Linotype" w:hAnsi="Palatino Linotype" w:cs="Palatino Linotype"/>
          <w:b/>
          <w:bCs/>
          <w:i/>
          <w:iCs/>
        </w:rPr>
        <w:t>:</w:t>
      </w:r>
      <w:r>
        <w:rPr>
          <w:rFonts w:ascii="Palatino Linotype" w:eastAsia="Palatino Linotype" w:hAnsi="Palatino Linotype" w:cs="Palatino Linotype"/>
          <w:i/>
          <w:iCs/>
        </w:rPr>
        <w:t xml:space="preserve"> “Con el objeto de que se me entregue una respuesta con TRANSPARENCIA, estimare que la respuesta sea suscrita por la H. Presidenta Municipal de Ecatepec de Morelos, con todo respeto agradeceré, se me indique el número de Valoraciones de Riesgo y Dictámenes Técnicos, realizados por la Dirección de Medio Ambiente y Ecología, así </w:t>
      </w:r>
      <w:r>
        <w:rPr>
          <w:rFonts w:ascii="Palatino Linotype" w:eastAsia="Palatino Linotype" w:hAnsi="Palatino Linotype" w:cs="Palatino Linotype"/>
          <w:i/>
          <w:iCs/>
        </w:rPr>
        <w:lastRenderedPageBreak/>
        <w:t>como la Dirección de Protección Civil y Bomberos en el año 2025, al 31 de diciembre de 2025, relacionados con la poda, derribo y trasplante de un árbol ubicados en banquetas de TODO EL MUNICIPIO de Ecatepec de Morelos. 1.- Cuantas son Valoraciones de Riesgo en 2025, por Dependencia. 2. Cuantos son Dictámenes Técnicos en 2025, por Dependencia. 3.- Cuantos derribos realizo la Dirección de Medio Ambiente y Ecología en 2025. 4.- Cuantos derribos realizo la Dirección de Protección Civil y Bomberos en 2025. 5.- Cuantos derribos se realizaron por prestadores de servicio, o proveedores registrados en Ecatepec de Morelos durante 2025.” (Sic)</w:t>
      </w:r>
    </w:p>
    <w:p w:rsidR="00DE4354" w:rsidRDefault="00DE4354">
      <w:pPr>
        <w:ind w:left="567" w:right="-737"/>
        <w:jc w:val="both"/>
        <w:rPr>
          <w:rFonts w:ascii="Palatino Linotype" w:eastAsia="Palatino Linotype" w:hAnsi="Palatino Linotype" w:cs="Palatino Linotype"/>
          <w:i/>
          <w:iCs/>
        </w:rPr>
      </w:pPr>
    </w:p>
    <w:p w:rsidR="00DE4354" w:rsidRDefault="00864E7B">
      <w:pPr>
        <w:numPr>
          <w:ilvl w:val="0"/>
          <w:numId w:val="11"/>
        </w:numPr>
        <w:ind w:right="-737"/>
        <w:jc w:val="both"/>
        <w:rPr>
          <w:rFonts w:ascii="Palatino Linotype" w:eastAsia="Palatino Linotype" w:hAnsi="Palatino Linotype" w:cs="Palatino Linotype"/>
        </w:rPr>
      </w:pPr>
      <w:r>
        <w:rPr>
          <w:rFonts w:ascii="Palatino Linotype" w:eastAsia="Palatino Linotype" w:hAnsi="Palatino Linotype" w:cs="Palatino Linotype"/>
          <w:b/>
          <w:bCs/>
        </w:rPr>
        <w:t xml:space="preserve">Razones o Motivos de inconformidad: </w:t>
      </w:r>
      <w:r>
        <w:rPr>
          <w:rFonts w:ascii="Palatino Linotype" w:eastAsia="Palatino Linotype" w:hAnsi="Palatino Linotype" w:cs="Palatino Linotype"/>
          <w:i/>
          <w:iCs/>
        </w:rPr>
        <w:t>“La información entregada difiere entre Dependencias, por lo anterior agradeceré se me proporcione una respuesta por parte del Municipio de Ecatepec de Morelos, ya que los datos de numero de derribos, difiere entre las Dependencias. Gracias por su atención.” (Sic)</w:t>
      </w:r>
    </w:p>
    <w:p w:rsidR="00DE4354" w:rsidRDefault="00DE4354">
      <w:pPr>
        <w:spacing w:line="360" w:lineRule="auto"/>
        <w:ind w:right="-737"/>
        <w:jc w:val="both"/>
        <w:rPr>
          <w:rFonts w:ascii="Palatino Linotype" w:eastAsia="Palatino Linotype" w:hAnsi="Palatino Linotype" w:cs="Palatino Linotype"/>
        </w:rPr>
      </w:pPr>
    </w:p>
    <w:p w:rsidR="00DE4354" w:rsidRDefault="00864E7B">
      <w:pPr>
        <w:numPr>
          <w:ilvl w:val="0"/>
          <w:numId w:val="2"/>
        </w:numPr>
        <w:spacing w:line="360" w:lineRule="auto"/>
        <w:ind w:left="0" w:right="-73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La </w:t>
      </w:r>
      <w:r>
        <w:rPr>
          <w:rFonts w:ascii="Palatino Linotype" w:eastAsia="Palatino Linotype" w:hAnsi="Palatino Linotype" w:cs="Palatino Linotype"/>
        </w:rPr>
        <w:t>Comisionada</w:t>
      </w:r>
      <w:r>
        <w:rPr>
          <w:rFonts w:ascii="Palatino Linotype" w:eastAsia="Palatino Linotype" w:hAnsi="Palatino Linotype" w:cs="Palatino Linotype"/>
          <w:color w:val="000000"/>
        </w:rPr>
        <w:t xml:space="preserve"> Ponente con fundamento en lo dispuesto por el artículo 185, fracción II, de la ley de la materia, a través del </w:t>
      </w:r>
      <w:r>
        <w:rPr>
          <w:rFonts w:ascii="Palatino Linotype" w:eastAsia="Palatino Linotype" w:hAnsi="Palatino Linotype" w:cs="Palatino Linotype"/>
          <w:b/>
          <w:bCs/>
          <w:color w:val="000000"/>
        </w:rPr>
        <w:t xml:space="preserve">acuerdo de admisión </w:t>
      </w:r>
      <w:r>
        <w:rPr>
          <w:rFonts w:ascii="Palatino Linotype" w:eastAsia="Palatino Linotype" w:hAnsi="Palatino Linotype" w:cs="Palatino Linotype"/>
          <w:color w:val="000000"/>
        </w:rPr>
        <w:t xml:space="preserve">de fecha </w:t>
      </w:r>
      <w:r>
        <w:rPr>
          <w:rFonts w:ascii="Palatino Linotype" w:eastAsia="Palatino Linotype" w:hAnsi="Palatino Linotype" w:cs="Palatino Linotype"/>
          <w:b/>
          <w:bCs/>
          <w:color w:val="000000"/>
        </w:rPr>
        <w:t xml:space="preserve">doce de marzo de dos mil veintiséis, </w:t>
      </w:r>
      <w:r>
        <w:rPr>
          <w:rFonts w:ascii="Palatino Linotype" w:eastAsia="Palatino Linotype" w:hAnsi="Palatino Linotype" w:cs="Palatino Linotype"/>
          <w:color w:val="000000"/>
        </w:rPr>
        <w:t xml:space="preserve">puso a disposición de las partes el expediente electrónico vía SAIMEX a efecto de que en un plazo máximo de siete días </w:t>
      </w:r>
      <w:r>
        <w:rPr>
          <w:rFonts w:ascii="Palatino Linotype" w:eastAsia="Palatino Linotype" w:hAnsi="Palatino Linotype" w:cs="Palatino Linotype"/>
        </w:rPr>
        <w:t>manifestara</w:t>
      </w:r>
      <w:r>
        <w:rPr>
          <w:rFonts w:ascii="Palatino Linotype" w:eastAsia="Palatino Linotype" w:hAnsi="Palatino Linotype" w:cs="Palatino Linotype"/>
          <w:color w:val="000000"/>
        </w:rPr>
        <w:t xml:space="preserve"> lo que a su derecho conviniera, </w:t>
      </w:r>
      <w:r>
        <w:rPr>
          <w:rFonts w:ascii="Palatino Linotype" w:eastAsia="Palatino Linotype" w:hAnsi="Palatino Linotype" w:cs="Palatino Linotype"/>
        </w:rPr>
        <w:t>ofreciera</w:t>
      </w:r>
      <w:r>
        <w:rPr>
          <w:rFonts w:ascii="Palatino Linotype" w:eastAsia="Palatino Linotype" w:hAnsi="Palatino Linotype" w:cs="Palatino Linotype"/>
          <w:color w:val="000000"/>
        </w:rPr>
        <w:t xml:space="preserve"> pruebas y alegatos según corresponda al caso concreto, de esta forma para que el </w:t>
      </w:r>
      <w:r>
        <w:rPr>
          <w:rFonts w:ascii="Palatino Linotype" w:eastAsia="Palatino Linotype" w:hAnsi="Palatino Linotype" w:cs="Palatino Linotype"/>
          <w:b/>
          <w:bCs/>
          <w:color w:val="000000"/>
        </w:rPr>
        <w:t xml:space="preserve">SUJETO OBLIGADO </w:t>
      </w:r>
      <w:r>
        <w:rPr>
          <w:rFonts w:ascii="Palatino Linotype" w:eastAsia="Palatino Linotype" w:hAnsi="Palatino Linotype" w:cs="Palatino Linotype"/>
        </w:rPr>
        <w:t>presentará</w:t>
      </w:r>
      <w:r>
        <w:rPr>
          <w:rFonts w:ascii="Palatino Linotype" w:eastAsia="Palatino Linotype" w:hAnsi="Palatino Linotype" w:cs="Palatino Linotype"/>
          <w:color w:val="000000"/>
        </w:rPr>
        <w:t xml:space="preserve"> el Informe Justificado procedente.</w:t>
      </w:r>
    </w:p>
    <w:p w:rsidR="00DE4354" w:rsidRDefault="00DE4354">
      <w:pPr>
        <w:pBdr>
          <w:top w:val="nil"/>
          <w:left w:val="nil"/>
          <w:bottom w:val="nil"/>
          <w:right w:val="nil"/>
          <w:between w:val="nil"/>
        </w:pBdr>
        <w:tabs>
          <w:tab w:val="left" w:pos="0"/>
        </w:tabs>
        <w:spacing w:line="360" w:lineRule="auto"/>
        <w:ind w:right="-737"/>
        <w:jc w:val="both"/>
        <w:rPr>
          <w:rFonts w:ascii="Palatino Linotype" w:eastAsia="Palatino Linotype" w:hAnsi="Palatino Linotype" w:cs="Palatino Linotype"/>
          <w:i/>
          <w:iCs/>
          <w:color w:val="000000"/>
          <w:u w:val="single"/>
        </w:rPr>
      </w:pPr>
    </w:p>
    <w:p w:rsidR="00DE4354" w:rsidRDefault="00864E7B">
      <w:pPr>
        <w:numPr>
          <w:ilvl w:val="0"/>
          <w:numId w:val="2"/>
        </w:numPr>
        <w:spacing w:line="360" w:lineRule="auto"/>
        <w:ind w:left="0" w:right="-73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Sujeto Obligado en fecha </w:t>
      </w:r>
      <w:r>
        <w:rPr>
          <w:rFonts w:ascii="Palatino Linotype" w:eastAsia="Palatino Linotype" w:hAnsi="Palatino Linotype" w:cs="Palatino Linotype"/>
          <w:b/>
          <w:bCs/>
          <w:color w:val="000000"/>
        </w:rPr>
        <w:t>dieciocho de marzo de dos mil veintiséis,</w:t>
      </w:r>
      <w:r>
        <w:rPr>
          <w:rFonts w:ascii="Palatino Linotype" w:eastAsia="Palatino Linotype" w:hAnsi="Palatino Linotype" w:cs="Palatino Linotype"/>
          <w:b/>
          <w:bCs/>
        </w:rPr>
        <w:t xml:space="preserve"> </w:t>
      </w:r>
      <w:r>
        <w:rPr>
          <w:rFonts w:ascii="Palatino Linotype" w:eastAsia="Palatino Linotype" w:hAnsi="Palatino Linotype" w:cs="Palatino Linotype"/>
          <w:color w:val="000000"/>
        </w:rPr>
        <w:t xml:space="preserve">rindió el </w:t>
      </w:r>
      <w:r>
        <w:rPr>
          <w:rFonts w:ascii="Palatino Linotype" w:eastAsia="Palatino Linotype" w:hAnsi="Palatino Linotype" w:cs="Palatino Linotype"/>
          <w:b/>
          <w:bCs/>
          <w:color w:val="000000"/>
        </w:rPr>
        <w:t>Informe Justificado</w:t>
      </w:r>
      <w:r>
        <w:rPr>
          <w:rFonts w:ascii="Palatino Linotype" w:eastAsia="Palatino Linotype" w:hAnsi="Palatino Linotype" w:cs="Palatino Linotype"/>
          <w:color w:val="000000"/>
        </w:rPr>
        <w:t xml:space="preserve"> a través del siguiente archivo electrónico:</w:t>
      </w:r>
    </w:p>
    <w:p w:rsidR="00DE4354" w:rsidRDefault="00864E7B">
      <w:pPr>
        <w:ind w:left="567" w:right="-737"/>
        <w:jc w:val="both"/>
        <w:rPr>
          <w:rFonts w:ascii="Palatino Linotype" w:eastAsia="Palatino Linotype" w:hAnsi="Palatino Linotype" w:cs="Palatino Linotype"/>
          <w:b/>
          <w:bCs/>
          <w:i/>
          <w:iCs/>
          <w:color w:val="000000"/>
        </w:rPr>
      </w:pPr>
      <w:r>
        <w:rPr>
          <w:rFonts w:ascii="Palatino Linotype" w:eastAsia="Palatino Linotype" w:hAnsi="Palatino Linotype" w:cs="Palatino Linotype"/>
          <w:b/>
          <w:bCs/>
          <w:i/>
          <w:iCs/>
          <w:color w:val="000000"/>
        </w:rPr>
        <w:t>CT_UT_ECA_0366_2026 informe justificado RR03038.pdf</w:t>
      </w:r>
    </w:p>
    <w:p w:rsidR="00DE4354" w:rsidRDefault="00864E7B">
      <w:pPr>
        <w:ind w:left="567" w:right="-737"/>
        <w:jc w:val="both"/>
        <w:rPr>
          <w:rFonts w:ascii="Palatino Linotype" w:eastAsia="Palatino Linotype" w:hAnsi="Palatino Linotype" w:cs="Palatino Linotype"/>
          <w:i/>
          <w:iCs/>
          <w:color w:val="000000"/>
        </w:rPr>
      </w:pPr>
      <w:r>
        <w:rPr>
          <w:rFonts w:ascii="Palatino Linotype" w:eastAsia="Palatino Linotype" w:hAnsi="Palatino Linotype" w:cs="Palatino Linotype"/>
          <w:color w:val="000000"/>
        </w:rPr>
        <w:t xml:space="preserve">- No de Oficio: CT / UT/ECA/0366/2026 de fecha 17 de marzo de 2026, firmado por la </w:t>
      </w:r>
      <w:r>
        <w:rPr>
          <w:rFonts w:ascii="Palatino Linotype" w:eastAsia="Palatino Linotype" w:hAnsi="Palatino Linotype" w:cs="Palatino Linotype"/>
          <w:b/>
          <w:bCs/>
          <w:color w:val="000000"/>
        </w:rPr>
        <w:t>Titular de la Unidad de Transparencia y Acceso a la Información Pública</w:t>
      </w:r>
      <w:r>
        <w:rPr>
          <w:rFonts w:ascii="Palatino Linotype" w:eastAsia="Palatino Linotype" w:hAnsi="Palatino Linotype" w:cs="Palatino Linotype"/>
          <w:color w:val="000000"/>
        </w:rPr>
        <w:t xml:space="preserve">, a través del cual ratifica su respuesta inicial, añadiendo que </w:t>
      </w:r>
      <w:r>
        <w:rPr>
          <w:rFonts w:ascii="Palatino Linotype" w:eastAsia="Palatino Linotype" w:hAnsi="Palatino Linotype" w:cs="Palatino Linotype"/>
          <w:i/>
          <w:iCs/>
          <w:color w:val="000000"/>
        </w:rPr>
        <w:t>"En cuanto a su inconformidad le comento que cada una de la Unidades Administrativas pertenecientes al H. Ayuntamiento de Ecatepec de Morelos; cuentan con facultades y atribuciones diferentes encomendadas a través de la Ley Orgánica Municipal y Bando Municipal del H. Ayuntamiento de Ecatepec de Morelos y cada una coordina sus trabajos conforme al procedimiento administrativo que le corresponde."</w:t>
      </w:r>
    </w:p>
    <w:p w:rsidR="00DE4354" w:rsidRDefault="00DE4354">
      <w:pPr>
        <w:ind w:left="567" w:right="-737"/>
        <w:jc w:val="both"/>
        <w:rPr>
          <w:rFonts w:ascii="Palatino Linotype" w:eastAsia="Palatino Linotype" w:hAnsi="Palatino Linotype" w:cs="Palatino Linotype"/>
          <w:i/>
          <w:iCs/>
          <w:color w:val="000000"/>
        </w:rPr>
      </w:pPr>
    </w:p>
    <w:p w:rsidR="00DE4354" w:rsidRDefault="00864E7B">
      <w:pPr>
        <w:ind w:left="567" w:right="-737"/>
        <w:jc w:val="both"/>
        <w:rPr>
          <w:rFonts w:ascii="Palatino Linotype" w:eastAsia="Palatino Linotype" w:hAnsi="Palatino Linotype" w:cs="Palatino Linotype"/>
          <w:i/>
          <w:iCs/>
          <w:color w:val="000000"/>
        </w:rPr>
      </w:pPr>
      <w:r>
        <w:rPr>
          <w:rFonts w:ascii="Palatino Linotype" w:eastAsia="Palatino Linotype" w:hAnsi="Palatino Linotype" w:cs="Palatino Linotype"/>
          <w:color w:val="000000"/>
        </w:rPr>
        <w:lastRenderedPageBreak/>
        <w:t xml:space="preserve">- Oficio N°: DPCB/ECA/0738/2026 de fecha 11 de marzo de 2026, firmado por el </w:t>
      </w:r>
      <w:r>
        <w:rPr>
          <w:rFonts w:ascii="Palatino Linotype" w:eastAsia="Palatino Linotype" w:hAnsi="Palatino Linotype" w:cs="Palatino Linotype"/>
          <w:b/>
          <w:bCs/>
          <w:color w:val="000000"/>
        </w:rPr>
        <w:t>Director de Protección Civil y Bomberos</w:t>
      </w:r>
      <w:r>
        <w:rPr>
          <w:rFonts w:ascii="Palatino Linotype" w:eastAsia="Palatino Linotype" w:hAnsi="Palatino Linotype" w:cs="Palatino Linotype"/>
          <w:color w:val="000000"/>
        </w:rPr>
        <w:t xml:space="preserve">, a través del cual ratifica su respuesta inicial, añadiendo que </w:t>
      </w:r>
      <w:r>
        <w:rPr>
          <w:rFonts w:ascii="Palatino Linotype" w:eastAsia="Palatino Linotype" w:hAnsi="Palatino Linotype" w:cs="Palatino Linotype"/>
          <w:i/>
          <w:iCs/>
          <w:color w:val="000000"/>
        </w:rPr>
        <w:t xml:space="preserve">En cuanto a su inconformidad le comento </w:t>
      </w:r>
      <w:r>
        <w:rPr>
          <w:rFonts w:ascii="Palatino Linotype" w:eastAsia="Palatino Linotype" w:hAnsi="Palatino Linotype" w:cs="Palatino Linotype"/>
          <w:b/>
          <w:bCs/>
          <w:i/>
          <w:iCs/>
          <w:color w:val="000000"/>
        </w:rPr>
        <w:t>cada una de las Unidades Administrativas</w:t>
      </w:r>
      <w:r>
        <w:rPr>
          <w:rFonts w:ascii="Palatino Linotype" w:eastAsia="Palatino Linotype" w:hAnsi="Palatino Linotype" w:cs="Palatino Linotype"/>
          <w:i/>
          <w:iCs/>
          <w:color w:val="000000"/>
        </w:rPr>
        <w:t xml:space="preserve"> pertenecientes al H. Ayuntamiento de Ecatepec de Morelos; </w:t>
      </w:r>
      <w:r>
        <w:rPr>
          <w:rFonts w:ascii="Palatino Linotype" w:eastAsia="Palatino Linotype" w:hAnsi="Palatino Linotype" w:cs="Palatino Linotype"/>
          <w:b/>
          <w:bCs/>
          <w:i/>
          <w:iCs/>
          <w:color w:val="000000"/>
        </w:rPr>
        <w:t>cuentan con facultades y atribuciones diferentes</w:t>
      </w:r>
      <w:r>
        <w:rPr>
          <w:rFonts w:ascii="Palatino Linotype" w:eastAsia="Palatino Linotype" w:hAnsi="Palatino Linotype" w:cs="Palatino Linotype"/>
          <w:i/>
          <w:iCs/>
          <w:color w:val="000000"/>
        </w:rPr>
        <w:t xml:space="preserve"> encomendadas a través de la Ley Orgánica Municipal y Bando Municipal del H. Ayuntamiento de Ecatepec de Morelos; y cada una coordina sus trabajos conforme al Procedimiento Administrativo que le corresponde.</w:t>
      </w:r>
    </w:p>
    <w:p w:rsidR="00DE4354" w:rsidRDefault="00DE4354">
      <w:pPr>
        <w:ind w:left="567" w:right="-737"/>
        <w:jc w:val="both"/>
        <w:rPr>
          <w:rFonts w:ascii="Palatino Linotype" w:eastAsia="Palatino Linotype" w:hAnsi="Palatino Linotype" w:cs="Palatino Linotype"/>
          <w:i/>
          <w:iCs/>
          <w:color w:val="000000"/>
        </w:rPr>
      </w:pPr>
    </w:p>
    <w:p w:rsidR="00DE4354" w:rsidRDefault="00864E7B">
      <w:pPr>
        <w:ind w:left="567" w:right="-737"/>
        <w:jc w:val="both"/>
        <w:rPr>
          <w:rFonts w:ascii="Palatino Linotype" w:eastAsia="Palatino Linotype" w:hAnsi="Palatino Linotype" w:cs="Palatino Linotype"/>
          <w:b/>
          <w:bCs/>
          <w:color w:val="000000"/>
        </w:rPr>
      </w:pPr>
      <w:r>
        <w:rPr>
          <w:rFonts w:ascii="Palatino Linotype" w:eastAsia="Palatino Linotype" w:hAnsi="Palatino Linotype" w:cs="Palatino Linotype"/>
          <w:color w:val="000000"/>
        </w:rPr>
        <w:t xml:space="preserve">- Oficio No. DMAYEC/ECA/0342/2026 firmado por el </w:t>
      </w:r>
      <w:r>
        <w:rPr>
          <w:rFonts w:ascii="Palatino Linotype" w:eastAsia="Palatino Linotype" w:hAnsi="Palatino Linotype" w:cs="Palatino Linotype"/>
          <w:b/>
          <w:bCs/>
          <w:color w:val="000000"/>
        </w:rPr>
        <w:t>Encargado de Despacho de la Dirección de Medio Ambiente y Ecología</w:t>
      </w:r>
      <w:r>
        <w:rPr>
          <w:rFonts w:ascii="Palatino Linotype" w:eastAsia="Palatino Linotype" w:hAnsi="Palatino Linotype" w:cs="Palatino Linotype"/>
          <w:color w:val="000000"/>
        </w:rPr>
        <w:t xml:space="preserve">, a través del cual ratifica su respuesta inicial, añadiendo que </w:t>
      </w:r>
      <w:r>
        <w:rPr>
          <w:rFonts w:ascii="Palatino Linotype" w:eastAsia="Palatino Linotype" w:hAnsi="Palatino Linotype" w:cs="Palatino Linotype"/>
          <w:b/>
          <w:bCs/>
          <w:i/>
          <w:iCs/>
          <w:color w:val="000000"/>
        </w:rPr>
        <w:t>los datos proporcionados entre las diferentes dependencias</w:t>
      </w:r>
      <w:r>
        <w:rPr>
          <w:rFonts w:ascii="Palatino Linotype" w:eastAsia="Palatino Linotype" w:hAnsi="Palatino Linotype" w:cs="Palatino Linotype"/>
          <w:i/>
          <w:iCs/>
          <w:color w:val="000000"/>
        </w:rPr>
        <w:t xml:space="preserve"> municipales requeridas </w:t>
      </w:r>
      <w:r>
        <w:rPr>
          <w:rFonts w:ascii="Palatino Linotype" w:eastAsia="Palatino Linotype" w:hAnsi="Palatino Linotype" w:cs="Palatino Linotype"/>
          <w:b/>
          <w:bCs/>
          <w:i/>
          <w:iCs/>
          <w:color w:val="000000"/>
        </w:rPr>
        <w:t>difiere en la medida que la cantidad de solicitudes ingresadas en cada una es diferente.</w:t>
      </w:r>
      <w:r>
        <w:rPr>
          <w:rFonts w:ascii="Palatino Linotype" w:eastAsia="Palatino Linotype" w:hAnsi="Palatino Linotype" w:cs="Palatino Linotype"/>
          <w:b/>
          <w:bCs/>
          <w:color w:val="000000"/>
        </w:rPr>
        <w:t xml:space="preserve"> </w:t>
      </w:r>
    </w:p>
    <w:p w:rsidR="00DE4354" w:rsidRDefault="00DE4354">
      <w:pPr>
        <w:spacing w:line="360" w:lineRule="auto"/>
        <w:ind w:right="-737"/>
        <w:jc w:val="both"/>
        <w:rPr>
          <w:rFonts w:ascii="Palatino Linotype" w:eastAsia="Palatino Linotype" w:hAnsi="Palatino Linotype" w:cs="Palatino Linotype"/>
          <w:color w:val="000000"/>
        </w:rPr>
      </w:pPr>
    </w:p>
    <w:p w:rsidR="00DE4354" w:rsidRPr="002F6AD5" w:rsidRDefault="00864E7B">
      <w:pPr>
        <w:numPr>
          <w:ilvl w:val="0"/>
          <w:numId w:val="2"/>
        </w:numPr>
        <w:spacing w:line="360" w:lineRule="auto"/>
        <w:ind w:left="0" w:right="-737" w:firstLine="0"/>
        <w:jc w:val="both"/>
        <w:rPr>
          <w:rFonts w:ascii="Palatino Linotype" w:eastAsia="Palatino Linotype" w:hAnsi="Palatino Linotype" w:cs="Palatino Linotype"/>
          <w:b/>
          <w:bCs/>
          <w:color w:val="000000"/>
        </w:rPr>
      </w:pPr>
      <w:r>
        <w:rPr>
          <w:rFonts w:ascii="Palatino Linotype" w:eastAsia="Palatino Linotype" w:hAnsi="Palatino Linotype" w:cs="Palatino Linotype"/>
          <w:color w:val="000000"/>
        </w:rPr>
        <w:t>El Recurrente</w:t>
      </w:r>
      <w:r>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color w:val="000000"/>
        </w:rPr>
        <w:t>realizó las manifestaciones que a su derecho conviniera y asistiera, adjuntando el archivo entregado por el Sujeto Obligado en Informe Justificado, refiriendo en comentarios que Dirección de Protección Civil y Bomberos dice: 209 derribos, y la Dirección de Medio Ambiente y Ecología dice: 80 derribos que han sido ejecutados por la Dirección de Protección Civil y Bomberos.</w:t>
      </w:r>
    </w:p>
    <w:p w:rsidR="002F6AD5" w:rsidRDefault="002F6AD5" w:rsidP="002F6AD5">
      <w:pPr>
        <w:spacing w:line="360" w:lineRule="auto"/>
        <w:ind w:right="-737"/>
        <w:jc w:val="both"/>
        <w:rPr>
          <w:rFonts w:ascii="Palatino Linotype" w:eastAsia="Palatino Linotype" w:hAnsi="Palatino Linotype" w:cs="Palatino Linotype"/>
          <w:b/>
          <w:bCs/>
          <w:color w:val="000000"/>
        </w:rPr>
      </w:pPr>
    </w:p>
    <w:p w:rsidR="00DE4354" w:rsidRDefault="00864E7B">
      <w:pPr>
        <w:numPr>
          <w:ilvl w:val="0"/>
          <w:numId w:val="2"/>
        </w:numPr>
        <w:spacing w:line="360" w:lineRule="auto"/>
        <w:ind w:left="0" w:right="-73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w:t>
      </w:r>
      <w:r>
        <w:rPr>
          <w:rFonts w:ascii="Palatino Linotype" w:eastAsia="Palatino Linotype" w:hAnsi="Palatino Linotype" w:cs="Palatino Linotype"/>
          <w:b/>
          <w:bCs/>
          <w:color w:val="000000"/>
        </w:rPr>
        <w:t xml:space="preserve"> siete de mayo de dos mil veintiséis</w:t>
      </w:r>
      <w:r>
        <w:rPr>
          <w:rFonts w:ascii="Palatino Linotype" w:eastAsia="Palatino Linotype" w:hAnsi="Palatino Linotype" w:cs="Palatino Linotype"/>
          <w:color w:val="000000"/>
        </w:rPr>
        <w:t xml:space="preserve"> se acordó </w:t>
      </w:r>
      <w:r>
        <w:rPr>
          <w:rFonts w:ascii="Palatino Linotype" w:eastAsia="Palatino Linotype" w:hAnsi="Palatino Linotype" w:cs="Palatino Linotype"/>
          <w:b/>
          <w:bCs/>
          <w:color w:val="000000"/>
        </w:rPr>
        <w:t>ampliar el término para resolver</w:t>
      </w:r>
      <w:r>
        <w:rPr>
          <w:rFonts w:ascii="Palatino Linotype" w:eastAsia="Palatino Linotype" w:hAnsi="Palatino Linotype" w:cs="Palatino Linotype"/>
          <w:color w:val="000000"/>
        </w:rPr>
        <w:t xml:space="preserve"> el presente asunto.</w:t>
      </w:r>
    </w:p>
    <w:p w:rsidR="00DE4354" w:rsidRDefault="00DE4354">
      <w:pPr>
        <w:pBdr>
          <w:top w:val="nil"/>
          <w:left w:val="nil"/>
          <w:bottom w:val="nil"/>
          <w:right w:val="nil"/>
          <w:between w:val="nil"/>
        </w:pBdr>
        <w:spacing w:line="360" w:lineRule="auto"/>
        <w:ind w:right="-737"/>
        <w:rPr>
          <w:rFonts w:ascii="Palatino Linotype" w:eastAsia="Palatino Linotype" w:hAnsi="Palatino Linotype" w:cs="Palatino Linotype"/>
          <w:color w:val="000000"/>
        </w:rPr>
      </w:pPr>
    </w:p>
    <w:p w:rsidR="00DE4354" w:rsidRPr="002F6AD5" w:rsidRDefault="00864E7B">
      <w:pPr>
        <w:numPr>
          <w:ilvl w:val="0"/>
          <w:numId w:val="2"/>
        </w:numPr>
        <w:spacing w:line="360" w:lineRule="auto"/>
        <w:ind w:left="0" w:right="-737" w:firstLine="0"/>
        <w:jc w:val="both"/>
        <w:rPr>
          <w:rFonts w:ascii="Palatino Linotype" w:eastAsia="Palatino Linotype" w:hAnsi="Palatino Linotype" w:cs="Palatino Linotype"/>
          <w:b/>
          <w:bCs/>
          <w:color w:val="000000"/>
        </w:rPr>
      </w:pPr>
      <w:bookmarkStart w:id="2" w:name="_heading=h.3znysh7" w:colFirst="0" w:colLast="0"/>
      <w:bookmarkEnd w:id="2"/>
      <w:r>
        <w:rPr>
          <w:rFonts w:ascii="Palatino Linotype" w:eastAsia="Palatino Linotype" w:hAnsi="Palatino Linotype" w:cs="Palatino Linotype"/>
          <w:color w:val="000000"/>
        </w:rPr>
        <w:t xml:space="preserve">Seguidamente, en fecha </w:t>
      </w:r>
      <w:r>
        <w:rPr>
          <w:rFonts w:ascii="Palatino Linotype" w:eastAsia="Palatino Linotype" w:hAnsi="Palatino Linotype" w:cs="Palatino Linotype"/>
          <w:b/>
          <w:bCs/>
          <w:color w:val="000000"/>
        </w:rPr>
        <w:t>diecisiete de junio de dos mil veintiséis</w:t>
      </w:r>
      <w:r>
        <w:rPr>
          <w:rFonts w:ascii="Palatino Linotype" w:eastAsia="Palatino Linotype" w:hAnsi="Palatino Linotype" w:cs="Palatino Linotype"/>
          <w:color w:val="000000"/>
        </w:rPr>
        <w:t xml:space="preserve">, la Comisionada Ponente dictó el </w:t>
      </w:r>
      <w:r>
        <w:rPr>
          <w:rFonts w:ascii="Palatino Linotype" w:eastAsia="Palatino Linotype" w:hAnsi="Palatino Linotype" w:cs="Palatino Linotype"/>
          <w:b/>
          <w:bCs/>
          <w:color w:val="000000"/>
        </w:rPr>
        <w:t>cierre del periodo de instrucción</w:t>
      </w:r>
      <w:r>
        <w:rPr>
          <w:rFonts w:ascii="Palatino Linotype" w:eastAsia="Palatino Linotype" w:hAnsi="Palatino Linotype" w:cs="Palatino Linotype"/>
          <w:color w:val="000000"/>
        </w:rPr>
        <w:t xml:space="preserve"> y, ordenó la resolución que conforme a Derecho proceda:</w:t>
      </w:r>
      <w:r w:rsidR="002F6AD5">
        <w:rPr>
          <w:rFonts w:ascii="Palatino Linotype" w:eastAsia="Palatino Linotype" w:hAnsi="Palatino Linotype" w:cs="Palatino Linotype"/>
          <w:color w:val="000000"/>
        </w:rPr>
        <w:t xml:space="preserve"> --------------------------------------------------------------------------------------------------</w:t>
      </w:r>
    </w:p>
    <w:p w:rsidR="002F6AD5" w:rsidRDefault="002F6AD5" w:rsidP="002F6AD5">
      <w:pPr>
        <w:pStyle w:val="Prrafodelista"/>
        <w:rPr>
          <w:rFonts w:ascii="Palatino Linotype" w:eastAsia="Palatino Linotype" w:hAnsi="Palatino Linotype" w:cs="Palatino Linotype"/>
          <w:b/>
          <w:bCs/>
          <w:color w:val="000000"/>
        </w:rPr>
      </w:pPr>
    </w:p>
    <w:p w:rsidR="002F6AD5" w:rsidRDefault="002F6AD5" w:rsidP="002F6AD5">
      <w:pPr>
        <w:spacing w:line="360" w:lineRule="auto"/>
        <w:ind w:right="-737"/>
        <w:jc w:val="both"/>
        <w:rPr>
          <w:rFonts w:ascii="Palatino Linotype" w:eastAsia="Palatino Linotype" w:hAnsi="Palatino Linotype" w:cs="Palatino Linotype"/>
          <w:b/>
          <w:bCs/>
          <w:color w:val="000000"/>
        </w:rPr>
      </w:pPr>
    </w:p>
    <w:p w:rsidR="00DE4354" w:rsidRDefault="00DE4354">
      <w:pPr>
        <w:spacing w:line="360" w:lineRule="auto"/>
        <w:ind w:right="-737"/>
        <w:jc w:val="both"/>
        <w:rPr>
          <w:rFonts w:ascii="Palatino Linotype" w:eastAsia="Palatino Linotype" w:hAnsi="Palatino Linotype" w:cs="Palatino Linotype"/>
          <w:b/>
          <w:bCs/>
          <w:color w:val="000000"/>
        </w:rPr>
      </w:pPr>
    </w:p>
    <w:p w:rsidR="00DE4354" w:rsidRDefault="00864E7B">
      <w:pPr>
        <w:keepNext/>
        <w:keepLines/>
        <w:spacing w:line="360" w:lineRule="auto"/>
        <w:ind w:right="-737"/>
        <w:jc w:val="center"/>
        <w:rPr>
          <w:rFonts w:ascii="Palatino Linotype" w:eastAsia="Palatino Linotype" w:hAnsi="Palatino Linotype" w:cs="Palatino Linotype"/>
          <w:b/>
          <w:bCs/>
        </w:rPr>
      </w:pPr>
      <w:r>
        <w:rPr>
          <w:rFonts w:ascii="Palatino Linotype" w:eastAsia="Palatino Linotype" w:hAnsi="Palatino Linotype" w:cs="Palatino Linotype"/>
          <w:b/>
          <w:bCs/>
        </w:rPr>
        <w:lastRenderedPageBreak/>
        <w:t xml:space="preserve">C O N S I D E R A N D O </w:t>
      </w:r>
    </w:p>
    <w:p w:rsidR="00DE4354" w:rsidRDefault="00DE4354">
      <w:pPr>
        <w:spacing w:line="360" w:lineRule="auto"/>
        <w:ind w:right="-737"/>
        <w:rPr>
          <w:rFonts w:ascii="Palatino Linotype" w:eastAsia="Palatino Linotype" w:hAnsi="Palatino Linotype" w:cs="Palatino Linotype"/>
        </w:rPr>
      </w:pPr>
    </w:p>
    <w:p w:rsidR="00DE4354" w:rsidRDefault="00864E7B">
      <w:pPr>
        <w:keepNext/>
        <w:keepLines/>
        <w:spacing w:line="360" w:lineRule="auto"/>
        <w:ind w:right="-737"/>
        <w:rPr>
          <w:rFonts w:ascii="Palatino Linotype" w:eastAsia="Palatino Linotype" w:hAnsi="Palatino Linotype" w:cs="Palatino Linotype"/>
          <w:b/>
          <w:bCs/>
        </w:rPr>
      </w:pPr>
      <w:r>
        <w:rPr>
          <w:rFonts w:ascii="Palatino Linotype" w:eastAsia="Palatino Linotype" w:hAnsi="Palatino Linotype" w:cs="Palatino Linotype"/>
          <w:b/>
          <w:bCs/>
        </w:rPr>
        <w:t>PRIMERO. De la competencia</w:t>
      </w:r>
    </w:p>
    <w:p w:rsidR="00DE4354" w:rsidRDefault="00864E7B">
      <w:pPr>
        <w:numPr>
          <w:ilvl w:val="0"/>
          <w:numId w:val="2"/>
        </w:numPr>
        <w:spacing w:line="360" w:lineRule="auto"/>
        <w:ind w:left="0" w:right="-73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cuadragésimo cuarto, cuadragésimo quinto y cuadragésimo sexto,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rsidR="00DE4354" w:rsidRDefault="00DE4354">
      <w:pPr>
        <w:tabs>
          <w:tab w:val="left" w:pos="426"/>
        </w:tabs>
        <w:spacing w:line="360" w:lineRule="auto"/>
        <w:ind w:right="-737"/>
        <w:jc w:val="both"/>
        <w:rPr>
          <w:rFonts w:ascii="Palatino Linotype" w:eastAsia="Palatino Linotype" w:hAnsi="Palatino Linotype" w:cs="Palatino Linotype"/>
          <w:color w:val="000000"/>
        </w:rPr>
      </w:pPr>
    </w:p>
    <w:p w:rsidR="00DE4354" w:rsidRDefault="00864E7B">
      <w:pPr>
        <w:keepNext/>
        <w:keepLines/>
        <w:spacing w:line="360" w:lineRule="auto"/>
        <w:ind w:right="-737"/>
        <w:rPr>
          <w:rFonts w:ascii="Palatino Linotype" w:eastAsia="Palatino Linotype" w:hAnsi="Palatino Linotype" w:cs="Palatino Linotype"/>
          <w:b/>
          <w:bCs/>
        </w:rPr>
      </w:pPr>
      <w:r>
        <w:rPr>
          <w:rFonts w:ascii="Palatino Linotype" w:eastAsia="Palatino Linotype" w:hAnsi="Palatino Linotype" w:cs="Palatino Linotype"/>
          <w:b/>
          <w:bCs/>
        </w:rPr>
        <w:t>SEGUNDO. De la oportunidad y procedencia.</w:t>
      </w:r>
    </w:p>
    <w:p w:rsidR="00DE4354" w:rsidRDefault="00864E7B">
      <w:pPr>
        <w:numPr>
          <w:ilvl w:val="0"/>
          <w:numId w:val="2"/>
        </w:numPr>
        <w:spacing w:line="360" w:lineRule="auto"/>
        <w:ind w:left="0" w:right="-737" w:firstLine="0"/>
        <w:jc w:val="both"/>
        <w:rPr>
          <w:rFonts w:ascii="Palatino Linotype" w:eastAsia="Palatino Linotype" w:hAnsi="Palatino Linotype" w:cs="Palatino Linotype"/>
        </w:rPr>
      </w:pPr>
      <w:bookmarkStart w:id="3" w:name="_heading=h.2et92p0" w:colFirst="0" w:colLast="0"/>
      <w:bookmarkEnd w:id="3"/>
      <w:r>
        <w:rPr>
          <w:rFonts w:ascii="Palatino Linotype" w:eastAsia="Palatino Linotype" w:hAnsi="Palatino Linotype" w:cs="Palatino Linotype"/>
        </w:rPr>
        <w:t xml:space="preserve">El </w:t>
      </w:r>
      <w:r>
        <w:rPr>
          <w:rFonts w:ascii="Palatino Linotype" w:eastAsia="Palatino Linotype" w:hAnsi="Palatino Linotype" w:cs="Palatino Linotype"/>
          <w:color w:val="000000"/>
        </w:rPr>
        <w:t>medio</w:t>
      </w:r>
      <w:r>
        <w:rPr>
          <w:rFonts w:ascii="Palatino Linotype" w:eastAsia="Palatino Linotype" w:hAnsi="Palatino Linotype" w:cs="Palatino Linotype"/>
        </w:rPr>
        <w:t xml:space="preserve"> de impugnación fue presentado a través del </w:t>
      </w:r>
      <w:r>
        <w:rPr>
          <w:rFonts w:ascii="Palatino Linotype" w:eastAsia="Palatino Linotype" w:hAnsi="Palatino Linotype" w:cs="Palatino Linotype"/>
          <w:b/>
          <w:bCs/>
        </w:rPr>
        <w:t>SAIMEX,</w:t>
      </w:r>
      <w:r>
        <w:rPr>
          <w:rFonts w:ascii="Palatino Linotype" w:eastAsia="Palatino Linotype" w:hAnsi="Palatino Linotype" w:cs="Palatino Linotype"/>
        </w:rPr>
        <w:t xml:space="preserve"> en el formato previamente aprobado para tal efecto y dentro del plazo legal de quince días hábiles otorgados; para el caso en particular es de señalar que el </w:t>
      </w:r>
      <w:r>
        <w:rPr>
          <w:rFonts w:ascii="Palatino Linotype" w:eastAsia="Palatino Linotype" w:hAnsi="Palatino Linotype" w:cs="Palatino Linotype"/>
          <w:b/>
          <w:bCs/>
        </w:rPr>
        <w:t>SUJETO OBLIGADO</w:t>
      </w:r>
      <w:r>
        <w:rPr>
          <w:rFonts w:ascii="Palatino Linotype" w:eastAsia="Palatino Linotype" w:hAnsi="Palatino Linotype" w:cs="Palatino Linotype"/>
        </w:rPr>
        <w:t xml:space="preserve"> entregó respuesta el </w:t>
      </w:r>
      <w:r>
        <w:rPr>
          <w:rFonts w:ascii="Palatino Linotype" w:eastAsia="Palatino Linotype" w:hAnsi="Palatino Linotype" w:cs="Palatino Linotype"/>
          <w:b/>
          <w:bCs/>
        </w:rPr>
        <w:t>dieciséis de febrero de dos mil veintiséis</w:t>
      </w:r>
      <w:r>
        <w:rPr>
          <w:rFonts w:ascii="Palatino Linotype" w:eastAsia="Palatino Linotype" w:hAnsi="Palatino Linotype" w:cs="Palatino Linotype"/>
        </w:rPr>
        <w:t xml:space="preserve">, de tal forma que el plazo para interponer el recurso transcurrió del </w:t>
      </w:r>
      <w:r>
        <w:rPr>
          <w:rFonts w:ascii="Palatino Linotype" w:eastAsia="Palatino Linotype" w:hAnsi="Palatino Linotype" w:cs="Palatino Linotype"/>
          <w:b/>
          <w:bCs/>
        </w:rPr>
        <w:t xml:space="preserve">diecisiete de febrero al diez de marzo de dos mil veintiséis, </w:t>
      </w:r>
      <w:r>
        <w:rPr>
          <w:rFonts w:ascii="Palatino Linotype" w:eastAsia="Palatino Linotype" w:hAnsi="Palatino Linotype" w:cs="Palatino Linotype"/>
        </w:rPr>
        <w:t xml:space="preserve">en consecuencia, si el </w:t>
      </w:r>
      <w:r>
        <w:rPr>
          <w:rFonts w:ascii="Palatino Linotype" w:eastAsia="Palatino Linotype" w:hAnsi="Palatino Linotype" w:cs="Palatino Linotype"/>
          <w:b/>
          <w:bCs/>
        </w:rPr>
        <w:t>PARTICULAR</w:t>
      </w:r>
      <w:r>
        <w:rPr>
          <w:rFonts w:ascii="Palatino Linotype" w:eastAsia="Palatino Linotype" w:hAnsi="Palatino Linotype" w:cs="Palatino Linotype"/>
        </w:rPr>
        <w:t xml:space="preserve"> presentó su inconformidad el </w:t>
      </w:r>
      <w:r>
        <w:rPr>
          <w:rFonts w:ascii="Palatino Linotype" w:eastAsia="Palatino Linotype" w:hAnsi="Palatino Linotype" w:cs="Palatino Linotype"/>
          <w:b/>
          <w:bCs/>
        </w:rPr>
        <w:t>dieciséis de febrero de dos mil veintiséis</w:t>
      </w:r>
      <w:r>
        <w:rPr>
          <w:rFonts w:ascii="Palatino Linotype" w:eastAsia="Palatino Linotype" w:hAnsi="Palatino Linotype" w:cs="Palatino Linotype"/>
        </w:rPr>
        <w:t xml:space="preserve">, este  se encuentra dentro de los márgenes temporales previstos en el artículo 178 de la </w:t>
      </w:r>
      <w:r>
        <w:rPr>
          <w:rFonts w:ascii="Palatino Linotype" w:eastAsia="Palatino Linotype" w:hAnsi="Palatino Linotype" w:cs="Palatino Linotype"/>
          <w:b/>
          <w:bCs/>
        </w:rPr>
        <w:t xml:space="preserve">Ley de Transparencia y Acceso a la Información Pública del Estado de México y Municipios </w:t>
      </w:r>
      <w:r>
        <w:rPr>
          <w:rFonts w:ascii="Palatino Linotype" w:eastAsia="Palatino Linotype" w:hAnsi="Palatino Linotype" w:cs="Palatino Linotype"/>
        </w:rPr>
        <w:t xml:space="preserve">vigente. </w:t>
      </w:r>
    </w:p>
    <w:p w:rsidR="00DE4354" w:rsidRDefault="00DE4354">
      <w:pPr>
        <w:spacing w:line="360" w:lineRule="auto"/>
        <w:ind w:right="-737"/>
        <w:jc w:val="both"/>
        <w:rPr>
          <w:rFonts w:ascii="Palatino Linotype" w:eastAsia="Palatino Linotype" w:hAnsi="Palatino Linotype" w:cs="Palatino Linotype"/>
        </w:rPr>
      </w:pPr>
    </w:p>
    <w:p w:rsidR="00DE4354" w:rsidRDefault="00864E7B">
      <w:pPr>
        <w:pStyle w:val="Ttulo2"/>
        <w:ind w:right="-737"/>
        <w:rPr>
          <w:rFonts w:ascii="Palatino Linotype" w:eastAsia="Palatino Linotype" w:hAnsi="Palatino Linotype" w:cs="Palatino Linotype"/>
          <w:b/>
          <w:bCs/>
          <w:i/>
          <w:iCs/>
          <w:color w:val="000000"/>
          <w:sz w:val="24"/>
          <w:szCs w:val="24"/>
        </w:rPr>
      </w:pPr>
      <w:r>
        <w:rPr>
          <w:rFonts w:ascii="Palatino Linotype" w:eastAsia="Palatino Linotype" w:hAnsi="Palatino Linotype" w:cs="Palatino Linotype"/>
          <w:b/>
          <w:bCs/>
          <w:color w:val="000000"/>
          <w:sz w:val="24"/>
          <w:szCs w:val="24"/>
        </w:rPr>
        <w:lastRenderedPageBreak/>
        <w:t xml:space="preserve">TERCERO. Del planteamiento de la </w:t>
      </w:r>
      <w:r>
        <w:rPr>
          <w:rFonts w:ascii="Palatino Linotype" w:eastAsia="Palatino Linotype" w:hAnsi="Palatino Linotype" w:cs="Palatino Linotype"/>
          <w:b/>
          <w:bCs/>
          <w:i/>
          <w:iCs/>
          <w:color w:val="000000"/>
          <w:sz w:val="24"/>
          <w:szCs w:val="24"/>
        </w:rPr>
        <w:t>Litis.</w:t>
      </w:r>
    </w:p>
    <w:p w:rsidR="00DE4354" w:rsidRDefault="00864E7B">
      <w:pPr>
        <w:numPr>
          <w:ilvl w:val="0"/>
          <w:numId w:val="2"/>
        </w:numPr>
        <w:spacing w:line="360" w:lineRule="auto"/>
        <w:ind w:left="0" w:right="-73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Se solicitó tener acceso, a la información que a continuación se simplifica:</w:t>
      </w:r>
    </w:p>
    <w:p w:rsidR="00DE4354" w:rsidRDefault="00864E7B">
      <w:pPr>
        <w:numPr>
          <w:ilvl w:val="0"/>
          <w:numId w:val="3"/>
        </w:numPr>
        <w:pBdr>
          <w:top w:val="nil"/>
          <w:left w:val="nil"/>
          <w:bottom w:val="nil"/>
          <w:right w:val="nil"/>
          <w:between w:val="nil"/>
        </w:pBdr>
        <w:ind w:left="993" w:right="-737"/>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Que la respuesta sea suscrita por la H. Presidenta Municipal de Ecatepec de Morelos.</w:t>
      </w:r>
    </w:p>
    <w:p w:rsidR="00DE4354" w:rsidRDefault="00864E7B">
      <w:pPr>
        <w:numPr>
          <w:ilvl w:val="0"/>
          <w:numId w:val="3"/>
        </w:numPr>
        <w:pBdr>
          <w:top w:val="nil"/>
          <w:left w:val="nil"/>
          <w:bottom w:val="nil"/>
          <w:right w:val="nil"/>
          <w:between w:val="nil"/>
        </w:pBdr>
        <w:ind w:left="993" w:right="-737"/>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De las Valoraciones de Riesgo y Dictámenes Técnicos relacionados con la poda, derribo y trasplante de un árbol ubicados en banquetas de todo el municipio, realizados por la Dirección de Medio Ambiente y Ecología, así como la Dirección de Protección Civil y Bomberos Del 01 al 31 de diciembre de 2025:</w:t>
      </w:r>
    </w:p>
    <w:p w:rsidR="00DE4354" w:rsidRDefault="00864E7B">
      <w:pPr>
        <w:pBdr>
          <w:top w:val="nil"/>
          <w:left w:val="nil"/>
          <w:bottom w:val="nil"/>
          <w:right w:val="nil"/>
          <w:between w:val="nil"/>
        </w:pBdr>
        <w:ind w:left="993" w:right="-737"/>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 1.- Cuantas son Valoraciones de Riesgo por Dependencia. </w:t>
      </w:r>
    </w:p>
    <w:p w:rsidR="00DE4354" w:rsidRDefault="00864E7B">
      <w:pPr>
        <w:pBdr>
          <w:top w:val="nil"/>
          <w:left w:val="nil"/>
          <w:bottom w:val="nil"/>
          <w:right w:val="nil"/>
          <w:between w:val="nil"/>
        </w:pBdr>
        <w:ind w:left="993" w:right="-737"/>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2.- Cuantos son Dictámenes Técnicos por Dependencia. </w:t>
      </w:r>
    </w:p>
    <w:p w:rsidR="00DE4354" w:rsidRDefault="00864E7B">
      <w:pPr>
        <w:pBdr>
          <w:top w:val="nil"/>
          <w:left w:val="nil"/>
          <w:bottom w:val="nil"/>
          <w:right w:val="nil"/>
          <w:between w:val="nil"/>
        </w:pBdr>
        <w:ind w:left="993" w:right="-737"/>
        <w:jc w:val="both"/>
        <w:rPr>
          <w:rFonts w:ascii="Palatino Linotype" w:eastAsia="Palatino Linotype" w:hAnsi="Palatino Linotype" w:cs="Palatino Linotype"/>
          <w:i/>
          <w:iCs/>
        </w:rPr>
      </w:pPr>
      <w:r>
        <w:rPr>
          <w:rFonts w:ascii="Palatino Linotype" w:eastAsia="Palatino Linotype" w:hAnsi="Palatino Linotype" w:cs="Palatino Linotype"/>
          <w:i/>
          <w:iCs/>
        </w:rPr>
        <w:t>3.- Cuantos derribos realizo la Dirección de Medio Ambiente y Ecología</w:t>
      </w:r>
    </w:p>
    <w:p w:rsidR="00DE4354" w:rsidRDefault="00864E7B">
      <w:pPr>
        <w:pBdr>
          <w:top w:val="nil"/>
          <w:left w:val="nil"/>
          <w:bottom w:val="nil"/>
          <w:right w:val="nil"/>
          <w:between w:val="nil"/>
        </w:pBdr>
        <w:ind w:left="993" w:right="-737"/>
        <w:jc w:val="both"/>
        <w:rPr>
          <w:rFonts w:ascii="Palatino Linotype" w:eastAsia="Palatino Linotype" w:hAnsi="Palatino Linotype" w:cs="Palatino Linotype"/>
          <w:i/>
          <w:iCs/>
        </w:rPr>
      </w:pPr>
      <w:r>
        <w:rPr>
          <w:rFonts w:ascii="Palatino Linotype" w:eastAsia="Palatino Linotype" w:hAnsi="Palatino Linotype" w:cs="Palatino Linotype"/>
          <w:i/>
          <w:iCs/>
        </w:rPr>
        <w:t>4.- Cuantos derribos realizo la Dirección de Protección Civil y Bomberos</w:t>
      </w:r>
    </w:p>
    <w:p w:rsidR="00DE4354" w:rsidRDefault="00864E7B">
      <w:pPr>
        <w:pBdr>
          <w:top w:val="nil"/>
          <w:left w:val="nil"/>
          <w:bottom w:val="nil"/>
          <w:right w:val="nil"/>
          <w:between w:val="nil"/>
        </w:pBdr>
        <w:ind w:left="993" w:right="-737"/>
        <w:jc w:val="both"/>
        <w:rPr>
          <w:rFonts w:ascii="Palatino Linotype" w:eastAsia="Palatino Linotype" w:hAnsi="Palatino Linotype" w:cs="Palatino Linotype"/>
          <w:i/>
          <w:iCs/>
        </w:rPr>
      </w:pPr>
      <w:r>
        <w:rPr>
          <w:rFonts w:ascii="Palatino Linotype" w:eastAsia="Palatino Linotype" w:hAnsi="Palatino Linotype" w:cs="Palatino Linotype"/>
          <w:i/>
          <w:iCs/>
        </w:rPr>
        <w:t>5.- Cuantos derribos se realizaron por prestadores de servicio, o proveedores registrados en Ecatepec de Morelos.</w:t>
      </w:r>
    </w:p>
    <w:p w:rsidR="00DE4354" w:rsidRDefault="00DE4354">
      <w:pPr>
        <w:ind w:left="709" w:right="-737"/>
        <w:jc w:val="both"/>
        <w:rPr>
          <w:rFonts w:ascii="Palatino Linotype" w:eastAsia="Palatino Linotype" w:hAnsi="Palatino Linotype" w:cs="Palatino Linotype"/>
          <w:b/>
          <w:bCs/>
        </w:rPr>
      </w:pPr>
    </w:p>
    <w:p w:rsidR="00DE4354" w:rsidRDefault="00864E7B">
      <w:pPr>
        <w:numPr>
          <w:ilvl w:val="0"/>
          <w:numId w:val="2"/>
        </w:numPr>
        <w:spacing w:line="360" w:lineRule="auto"/>
        <w:ind w:left="0" w:right="-737" w:firstLine="0"/>
        <w:jc w:val="both"/>
        <w:rPr>
          <w:rFonts w:ascii="Palatino Linotype" w:eastAsia="Palatino Linotype" w:hAnsi="Palatino Linotype" w:cs="Palatino Linotype"/>
          <w:color w:val="000000"/>
        </w:rPr>
      </w:pPr>
      <w:r>
        <w:rPr>
          <w:rFonts w:ascii="Palatino Linotype" w:eastAsia="Palatino Linotype" w:hAnsi="Palatino Linotype" w:cs="Palatino Linotype"/>
        </w:rPr>
        <w:t>En respuesta, el Sujeto Obligado</w:t>
      </w:r>
      <w:r>
        <w:rPr>
          <w:rFonts w:ascii="Palatino Linotype" w:eastAsia="Palatino Linotype" w:hAnsi="Palatino Linotype" w:cs="Palatino Linotype"/>
          <w:b/>
          <w:bCs/>
        </w:rPr>
        <w:t xml:space="preserve"> </w:t>
      </w:r>
      <w:r>
        <w:rPr>
          <w:rFonts w:ascii="Palatino Linotype" w:eastAsia="Palatino Linotype" w:hAnsi="Palatino Linotype" w:cs="Palatino Linotype"/>
        </w:rPr>
        <w:t>remitió el archivo ya descrito en el párrafo 2, inconforme con la respuesta, se interpuso recurso de revisión argumentando sustancialmente la entrega de información incompleta.</w:t>
      </w:r>
    </w:p>
    <w:p w:rsidR="00DE4354" w:rsidRDefault="00DE4354">
      <w:pPr>
        <w:spacing w:line="360" w:lineRule="auto"/>
        <w:ind w:right="-737"/>
        <w:jc w:val="both"/>
        <w:rPr>
          <w:rFonts w:ascii="Palatino Linotype" w:eastAsia="Palatino Linotype" w:hAnsi="Palatino Linotype" w:cs="Palatino Linotype"/>
          <w:i/>
          <w:iCs/>
          <w:color w:val="000000"/>
        </w:rPr>
      </w:pPr>
    </w:p>
    <w:p w:rsidR="00DE4354" w:rsidRDefault="00864E7B">
      <w:pPr>
        <w:numPr>
          <w:ilvl w:val="0"/>
          <w:numId w:val="2"/>
        </w:numPr>
        <w:spacing w:line="360" w:lineRule="auto"/>
        <w:ind w:left="0" w:right="-73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dichas condiciones, la controversia a resolver en el presente proveído, corresponde a determinar si se actualiza la causal de procedencia prevista en el artículo </w:t>
      </w:r>
      <w:r>
        <w:rPr>
          <w:rFonts w:ascii="Palatino Linotype" w:eastAsia="Palatino Linotype" w:hAnsi="Palatino Linotype" w:cs="Palatino Linotype"/>
          <w:b/>
          <w:bCs/>
        </w:rPr>
        <w:t>179, fracción V, de la Ley de Transparencia y Acceso a la Información Pública del Estado de México y Municipios</w:t>
      </w:r>
      <w:r>
        <w:rPr>
          <w:rFonts w:ascii="Palatino Linotype" w:eastAsia="Palatino Linotype" w:hAnsi="Palatino Linotype" w:cs="Palatino Linotype"/>
        </w:rPr>
        <w:t xml:space="preserve">; </w:t>
      </w:r>
      <w:r>
        <w:rPr>
          <w:rFonts w:ascii="Palatino Linotype" w:eastAsia="Palatino Linotype" w:hAnsi="Palatino Linotype" w:cs="Palatino Linotype"/>
          <w:color w:val="000000"/>
        </w:rPr>
        <w:t xml:space="preserve">fracción que determina la hipótesis relativa a </w:t>
      </w:r>
      <w:r>
        <w:rPr>
          <w:rFonts w:ascii="Palatino Linotype" w:eastAsia="Palatino Linotype" w:hAnsi="Palatino Linotype" w:cs="Palatino Linotype"/>
          <w:b/>
          <w:bCs/>
          <w:color w:val="000000"/>
        </w:rPr>
        <w:t>la entrega de información incompleta,</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contexto del cual se dolió el Recurrente al momento de interponer su inconformidad.</w:t>
      </w:r>
      <w:r>
        <w:rPr>
          <w:rFonts w:ascii="Palatino Linotype" w:eastAsia="Palatino Linotype" w:hAnsi="Palatino Linotype" w:cs="Palatino Linotype"/>
          <w:color w:val="000000"/>
        </w:rPr>
        <w:t xml:space="preserve"> De modo tal que el presente recurso de revisión se </w:t>
      </w:r>
      <w:r>
        <w:rPr>
          <w:rFonts w:ascii="Palatino Linotype" w:eastAsia="Palatino Linotype" w:hAnsi="Palatino Linotype" w:cs="Palatino Linotype"/>
        </w:rPr>
        <w:t>abocará</w:t>
      </w:r>
      <w:r>
        <w:rPr>
          <w:rFonts w:ascii="Palatino Linotype" w:eastAsia="Palatino Linotype" w:hAnsi="Palatino Linotype" w:cs="Palatino Linotype"/>
          <w:color w:val="000000"/>
        </w:rPr>
        <w:t xml:space="preserve"> en determinar si el Sujeto Obligado con su respuesta ciertamente actualiza la causal de procedencia</w:t>
      </w:r>
      <w:r>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color w:val="000000"/>
        </w:rPr>
        <w:t xml:space="preserve">señalada. </w:t>
      </w:r>
    </w:p>
    <w:p w:rsidR="00DE4354" w:rsidRDefault="00DE4354">
      <w:pPr>
        <w:spacing w:line="360" w:lineRule="auto"/>
        <w:ind w:right="-737"/>
        <w:rPr>
          <w:rFonts w:ascii="Palatino Linotype" w:eastAsia="Palatino Linotype" w:hAnsi="Palatino Linotype" w:cs="Palatino Linotype"/>
        </w:rPr>
      </w:pPr>
    </w:p>
    <w:p w:rsidR="00DE4354" w:rsidRDefault="00864E7B">
      <w:pPr>
        <w:pStyle w:val="Ttulo2"/>
        <w:ind w:right="-737"/>
        <w:rPr>
          <w:rFonts w:ascii="Palatino Linotype" w:eastAsia="Palatino Linotype" w:hAnsi="Palatino Linotype" w:cs="Palatino Linotype"/>
          <w:b/>
          <w:bCs/>
          <w:color w:val="000000"/>
          <w:sz w:val="24"/>
          <w:szCs w:val="24"/>
        </w:rPr>
      </w:pPr>
      <w:bookmarkStart w:id="4" w:name="_heading=h.1t3h5sf" w:colFirst="0" w:colLast="0"/>
      <w:bookmarkEnd w:id="4"/>
      <w:r>
        <w:rPr>
          <w:rFonts w:ascii="Palatino Linotype" w:eastAsia="Palatino Linotype" w:hAnsi="Palatino Linotype" w:cs="Palatino Linotype"/>
          <w:b/>
          <w:bCs/>
          <w:color w:val="000000"/>
          <w:sz w:val="24"/>
          <w:szCs w:val="24"/>
        </w:rPr>
        <w:t>CUARTO. Del estudio y resolución del asunto.</w:t>
      </w:r>
    </w:p>
    <w:p w:rsidR="00DE4354" w:rsidRDefault="00864E7B">
      <w:pPr>
        <w:numPr>
          <w:ilvl w:val="0"/>
          <w:numId w:val="2"/>
        </w:numPr>
        <w:spacing w:line="360" w:lineRule="auto"/>
        <w:ind w:left="0" w:right="-73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Determinado lo anterior; revisaremos la atención otorgada por el Sujeto Obligado a la solicitud que dio origen a este recurso, considerando imprescindible establecer lo que la </w:t>
      </w:r>
      <w:r>
        <w:rPr>
          <w:rFonts w:ascii="Palatino Linotype" w:eastAsia="Palatino Linotype" w:hAnsi="Palatino Linotype" w:cs="Palatino Linotype"/>
        </w:rPr>
        <w:lastRenderedPageBreak/>
        <w:t>regulación determina, por ello, en primer lugar, vamos a revisar lo que mandata nuestra Ley de Transparencia local, en su artículo 12, el cual establece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rsidR="002F6AD5" w:rsidRDefault="002F6AD5" w:rsidP="002F6AD5">
      <w:pPr>
        <w:spacing w:line="360" w:lineRule="auto"/>
        <w:ind w:right="-737"/>
        <w:jc w:val="both"/>
        <w:rPr>
          <w:rFonts w:ascii="Palatino Linotype" w:eastAsia="Palatino Linotype" w:hAnsi="Palatino Linotype" w:cs="Palatino Linotype"/>
        </w:rPr>
      </w:pPr>
    </w:p>
    <w:p w:rsidR="00DE4354" w:rsidRDefault="00864E7B">
      <w:pPr>
        <w:numPr>
          <w:ilvl w:val="0"/>
          <w:numId w:val="2"/>
        </w:numPr>
        <w:spacing w:line="360" w:lineRule="auto"/>
        <w:ind w:left="0" w:right="-737" w:firstLine="0"/>
        <w:jc w:val="both"/>
        <w:rPr>
          <w:rFonts w:ascii="Palatino Linotype" w:eastAsia="Palatino Linotype" w:hAnsi="Palatino Linotype" w:cs="Palatino Linotype"/>
        </w:rPr>
      </w:pPr>
      <w:r>
        <w:rPr>
          <w:rFonts w:ascii="Palatino Linotype" w:eastAsia="Palatino Linotype" w:hAnsi="Palatino Linotype" w:cs="Palatino Linotype"/>
        </w:rPr>
        <w:t>Asimismo,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DE4354" w:rsidRDefault="00DE4354">
      <w:pPr>
        <w:pBdr>
          <w:top w:val="nil"/>
          <w:left w:val="nil"/>
          <w:bottom w:val="nil"/>
          <w:right w:val="nil"/>
          <w:between w:val="nil"/>
        </w:pBdr>
        <w:spacing w:line="360" w:lineRule="auto"/>
        <w:ind w:left="720" w:right="-737"/>
        <w:rPr>
          <w:rFonts w:ascii="Palatino Linotype" w:eastAsia="Palatino Linotype" w:hAnsi="Palatino Linotype" w:cs="Palatino Linotype"/>
          <w:color w:val="000000"/>
        </w:rPr>
      </w:pPr>
    </w:p>
    <w:p w:rsidR="00DE4354" w:rsidRDefault="00864E7B">
      <w:pPr>
        <w:numPr>
          <w:ilvl w:val="0"/>
          <w:numId w:val="2"/>
        </w:numPr>
        <w:spacing w:line="360" w:lineRule="auto"/>
        <w:ind w:left="0" w:right="-737" w:firstLine="0"/>
        <w:jc w:val="both"/>
        <w:rPr>
          <w:rFonts w:ascii="Palatino Linotype" w:eastAsia="Palatino Linotype" w:hAnsi="Palatino Linotype" w:cs="Palatino Linotype"/>
        </w:rPr>
      </w:pPr>
      <w:r>
        <w:rPr>
          <w:rFonts w:ascii="Palatino Linotype" w:eastAsia="Palatino Linotype" w:hAnsi="Palatino Linotype" w:cs="Palatino Linotype"/>
        </w:rPr>
        <w:t>Los artículos antes citados, refieren que el derecho de acceso a la información pública es un derecho humano que abarca el solicitar, investigar, difundir y buscar información que se encuentre en los archivos de los sujetos obligados, ya sea porque estos las generaron o la poseen en atención a sus funciones, por lo que se le considera un bien común de dominio público, toda vez que al tratarse de acciones ejercidas por un servidor público, este lo hace en representación del Estado, por lo que le pertenece a todos y debe ser accesible a cualquier persona, ya sea que los particulares la puedan consultar por encontrarse publicada en cualquier medio de difusión o porque la requieren a través de una solicitud de acceso a la información, siempre y cuando no encuadre en una de las excepciones contempladas por la ley.</w:t>
      </w:r>
    </w:p>
    <w:p w:rsidR="00DE4354" w:rsidRDefault="00DE4354">
      <w:pPr>
        <w:spacing w:line="360" w:lineRule="auto"/>
        <w:ind w:right="-737"/>
        <w:jc w:val="both"/>
        <w:rPr>
          <w:rFonts w:ascii="Palatino Linotype" w:eastAsia="Palatino Linotype" w:hAnsi="Palatino Linotype" w:cs="Palatino Linotype"/>
        </w:rPr>
      </w:pPr>
    </w:p>
    <w:p w:rsidR="00DE4354" w:rsidRDefault="00864E7B">
      <w:pPr>
        <w:numPr>
          <w:ilvl w:val="0"/>
          <w:numId w:val="6"/>
        </w:numPr>
        <w:pBdr>
          <w:top w:val="nil"/>
          <w:left w:val="nil"/>
          <w:bottom w:val="nil"/>
          <w:right w:val="nil"/>
          <w:between w:val="nil"/>
        </w:pBdr>
        <w:spacing w:line="360" w:lineRule="auto"/>
        <w:ind w:right="-737"/>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lastRenderedPageBreak/>
        <w:t>Del Sujeto Obligado.</w:t>
      </w:r>
    </w:p>
    <w:p w:rsidR="00DE4354" w:rsidRDefault="00864E7B">
      <w:pPr>
        <w:numPr>
          <w:ilvl w:val="0"/>
          <w:numId w:val="2"/>
        </w:numPr>
        <w:spacing w:line="360" w:lineRule="auto"/>
        <w:ind w:left="0" w:right="-737" w:firstLine="0"/>
        <w:jc w:val="both"/>
        <w:rPr>
          <w:rFonts w:ascii="Palatino Linotype" w:eastAsia="Palatino Linotype" w:hAnsi="Palatino Linotype" w:cs="Palatino Linotype"/>
        </w:rPr>
      </w:pPr>
      <w:r>
        <w:rPr>
          <w:rFonts w:ascii="Palatino Linotype" w:eastAsia="Palatino Linotype" w:hAnsi="Palatino Linotype" w:cs="Palatino Linotype"/>
        </w:rPr>
        <w:t>Es necesario traer a contexto lo señalado en el Bando Municipal 2025:</w:t>
      </w:r>
    </w:p>
    <w:p w:rsidR="00DE4354" w:rsidRDefault="00864E7B">
      <w:pPr>
        <w:pBdr>
          <w:top w:val="nil"/>
          <w:left w:val="nil"/>
          <w:bottom w:val="nil"/>
          <w:right w:val="nil"/>
          <w:between w:val="nil"/>
        </w:pBdr>
        <w:ind w:left="567" w:right="-737"/>
        <w:jc w:val="both"/>
        <w:rPr>
          <w:rFonts w:ascii="Palatino Linotype" w:eastAsia="Palatino Linotype" w:hAnsi="Palatino Linotype" w:cs="Palatino Linotype"/>
          <w:i/>
          <w:iCs/>
        </w:rPr>
      </w:pPr>
      <w:r>
        <w:rPr>
          <w:rFonts w:ascii="Palatino Linotype" w:eastAsia="Palatino Linotype" w:hAnsi="Palatino Linotype" w:cs="Palatino Linotype"/>
          <w:b/>
          <w:bCs/>
          <w:i/>
          <w:iCs/>
          <w:color w:val="000000"/>
        </w:rPr>
        <w:t>Artículo</w:t>
      </w:r>
      <w:r>
        <w:rPr>
          <w:rFonts w:ascii="Palatino Linotype" w:eastAsia="Palatino Linotype" w:hAnsi="Palatino Linotype" w:cs="Palatino Linotype"/>
          <w:b/>
          <w:bCs/>
          <w:i/>
          <w:iCs/>
        </w:rPr>
        <w:t xml:space="preserve"> 44</w:t>
      </w:r>
      <w:r>
        <w:rPr>
          <w:rFonts w:ascii="Palatino Linotype" w:eastAsia="Palatino Linotype" w:hAnsi="Palatino Linotype" w:cs="Palatino Linotype"/>
          <w:i/>
          <w:iCs/>
        </w:rPr>
        <w:t>. Para el ejercicio de sus atribuciones, tanto el H. Ayuntamiento como la Presidenta Municipal, se auxiliarán de las siguientes dependencias que estarán subordinadas a esta última:</w:t>
      </w:r>
    </w:p>
    <w:p w:rsidR="00DE4354" w:rsidRDefault="00864E7B">
      <w:pPr>
        <w:pBdr>
          <w:top w:val="nil"/>
          <w:left w:val="nil"/>
          <w:bottom w:val="nil"/>
          <w:right w:val="nil"/>
          <w:between w:val="nil"/>
        </w:pBdr>
        <w:ind w:left="567" w:right="-737"/>
        <w:jc w:val="both"/>
        <w:rPr>
          <w:rFonts w:ascii="Palatino Linotype" w:eastAsia="Palatino Linotype" w:hAnsi="Palatino Linotype" w:cs="Palatino Linotype"/>
          <w:i/>
          <w:iCs/>
        </w:rPr>
      </w:pPr>
      <w:r>
        <w:rPr>
          <w:rFonts w:ascii="Palatino Linotype" w:eastAsia="Palatino Linotype" w:hAnsi="Palatino Linotype" w:cs="Palatino Linotype"/>
          <w:i/>
          <w:iCs/>
        </w:rPr>
        <w:t>…</w:t>
      </w:r>
    </w:p>
    <w:p w:rsidR="00DE4354" w:rsidRDefault="00864E7B">
      <w:pPr>
        <w:pBdr>
          <w:top w:val="nil"/>
          <w:left w:val="nil"/>
          <w:bottom w:val="nil"/>
          <w:right w:val="nil"/>
          <w:between w:val="nil"/>
        </w:pBdr>
        <w:ind w:left="567" w:right="-737"/>
        <w:jc w:val="both"/>
        <w:rPr>
          <w:rFonts w:ascii="Palatino Linotype" w:eastAsia="Palatino Linotype" w:hAnsi="Palatino Linotype" w:cs="Palatino Linotype"/>
          <w:i/>
          <w:iCs/>
        </w:rPr>
      </w:pPr>
      <w:r>
        <w:rPr>
          <w:rFonts w:ascii="Palatino Linotype" w:eastAsia="Palatino Linotype" w:hAnsi="Palatino Linotype" w:cs="Palatino Linotype"/>
          <w:i/>
          <w:iCs/>
        </w:rPr>
        <w:t>IV. Las Direcciones de:</w:t>
      </w:r>
    </w:p>
    <w:p w:rsidR="00DE4354" w:rsidRDefault="00864E7B">
      <w:pPr>
        <w:pBdr>
          <w:top w:val="nil"/>
          <w:left w:val="nil"/>
          <w:bottom w:val="nil"/>
          <w:right w:val="nil"/>
          <w:between w:val="nil"/>
        </w:pBdr>
        <w:ind w:left="567" w:right="-737"/>
        <w:jc w:val="both"/>
        <w:rPr>
          <w:rFonts w:ascii="Palatino Linotype" w:eastAsia="Palatino Linotype" w:hAnsi="Palatino Linotype" w:cs="Palatino Linotype"/>
          <w:i/>
          <w:iCs/>
        </w:rPr>
      </w:pPr>
      <w:r>
        <w:rPr>
          <w:rFonts w:ascii="Palatino Linotype" w:eastAsia="Palatino Linotype" w:hAnsi="Palatino Linotype" w:cs="Palatino Linotype"/>
          <w:i/>
          <w:iCs/>
        </w:rPr>
        <w:t>…</w:t>
      </w:r>
    </w:p>
    <w:p w:rsidR="00DE4354" w:rsidRDefault="00864E7B">
      <w:pPr>
        <w:pBdr>
          <w:top w:val="nil"/>
          <w:left w:val="nil"/>
          <w:bottom w:val="nil"/>
          <w:right w:val="nil"/>
          <w:between w:val="nil"/>
        </w:pBdr>
        <w:ind w:left="567" w:right="-737"/>
        <w:jc w:val="both"/>
        <w:rPr>
          <w:rFonts w:ascii="Palatino Linotype" w:eastAsia="Palatino Linotype" w:hAnsi="Palatino Linotype" w:cs="Palatino Linotype"/>
          <w:i/>
          <w:iCs/>
        </w:rPr>
      </w:pPr>
      <w:r>
        <w:rPr>
          <w:rFonts w:ascii="Palatino Linotype" w:eastAsia="Palatino Linotype" w:hAnsi="Palatino Linotype" w:cs="Palatino Linotype"/>
          <w:i/>
          <w:iCs/>
        </w:rPr>
        <w:t>f. Medio Ambiente y Ecología;</w:t>
      </w:r>
    </w:p>
    <w:p w:rsidR="00DE4354" w:rsidRDefault="00864E7B">
      <w:pPr>
        <w:pBdr>
          <w:top w:val="nil"/>
          <w:left w:val="nil"/>
          <w:bottom w:val="nil"/>
          <w:right w:val="nil"/>
          <w:between w:val="nil"/>
        </w:pBdr>
        <w:ind w:left="567" w:right="-737"/>
        <w:jc w:val="both"/>
        <w:rPr>
          <w:rFonts w:ascii="Palatino Linotype" w:eastAsia="Palatino Linotype" w:hAnsi="Palatino Linotype" w:cs="Palatino Linotype"/>
          <w:i/>
          <w:iCs/>
        </w:rPr>
      </w:pPr>
      <w:r>
        <w:rPr>
          <w:rFonts w:ascii="Palatino Linotype" w:eastAsia="Palatino Linotype" w:hAnsi="Palatino Linotype" w:cs="Palatino Linotype"/>
          <w:i/>
          <w:iCs/>
        </w:rPr>
        <w:t>…</w:t>
      </w:r>
    </w:p>
    <w:p w:rsidR="00DE4354" w:rsidRDefault="00864E7B">
      <w:pPr>
        <w:pBdr>
          <w:top w:val="nil"/>
          <w:left w:val="nil"/>
          <w:bottom w:val="nil"/>
          <w:right w:val="nil"/>
          <w:between w:val="nil"/>
        </w:pBdr>
        <w:ind w:left="567" w:right="-737"/>
        <w:jc w:val="both"/>
        <w:rPr>
          <w:rFonts w:ascii="Palatino Linotype" w:eastAsia="Palatino Linotype" w:hAnsi="Palatino Linotype" w:cs="Palatino Linotype"/>
          <w:i/>
          <w:iCs/>
        </w:rPr>
      </w:pPr>
      <w:r>
        <w:rPr>
          <w:rFonts w:ascii="Palatino Linotype" w:eastAsia="Palatino Linotype" w:hAnsi="Palatino Linotype" w:cs="Palatino Linotype"/>
          <w:i/>
          <w:iCs/>
        </w:rPr>
        <w:t>o. Protección Civil y Bomberos;</w:t>
      </w:r>
    </w:p>
    <w:p w:rsidR="00DE4354" w:rsidRDefault="00864E7B">
      <w:pPr>
        <w:pBdr>
          <w:top w:val="nil"/>
          <w:left w:val="nil"/>
          <w:bottom w:val="nil"/>
          <w:right w:val="nil"/>
          <w:between w:val="nil"/>
        </w:pBdr>
        <w:ind w:left="567" w:right="-737"/>
        <w:jc w:val="both"/>
        <w:rPr>
          <w:rFonts w:ascii="Palatino Linotype" w:eastAsia="Palatino Linotype" w:hAnsi="Palatino Linotype" w:cs="Palatino Linotype"/>
          <w:i/>
          <w:iCs/>
        </w:rPr>
      </w:pPr>
      <w:r>
        <w:rPr>
          <w:rFonts w:ascii="Palatino Linotype" w:eastAsia="Palatino Linotype" w:hAnsi="Palatino Linotype" w:cs="Palatino Linotype"/>
          <w:i/>
          <w:iCs/>
        </w:rPr>
        <w:t>…</w:t>
      </w:r>
    </w:p>
    <w:p w:rsidR="00DE4354" w:rsidRDefault="00DE4354">
      <w:pPr>
        <w:pBdr>
          <w:top w:val="nil"/>
          <w:left w:val="nil"/>
          <w:bottom w:val="nil"/>
          <w:right w:val="nil"/>
          <w:between w:val="nil"/>
        </w:pBdr>
        <w:ind w:left="567" w:right="-737"/>
        <w:jc w:val="both"/>
        <w:rPr>
          <w:rFonts w:ascii="Palatino Linotype" w:eastAsia="Palatino Linotype" w:hAnsi="Palatino Linotype" w:cs="Palatino Linotype"/>
          <w:i/>
          <w:iCs/>
        </w:rPr>
      </w:pPr>
    </w:p>
    <w:p w:rsidR="00DE4354" w:rsidRDefault="00864E7B">
      <w:pPr>
        <w:pBdr>
          <w:top w:val="nil"/>
          <w:left w:val="nil"/>
          <w:bottom w:val="nil"/>
          <w:right w:val="nil"/>
          <w:between w:val="nil"/>
        </w:pBdr>
        <w:ind w:left="567" w:right="-737"/>
        <w:jc w:val="center"/>
        <w:rPr>
          <w:rFonts w:ascii="Palatino Linotype" w:eastAsia="Palatino Linotype" w:hAnsi="Palatino Linotype" w:cs="Palatino Linotype"/>
          <w:b/>
          <w:bCs/>
          <w:i/>
          <w:iCs/>
        </w:rPr>
      </w:pPr>
      <w:r>
        <w:rPr>
          <w:rFonts w:ascii="Palatino Linotype" w:eastAsia="Palatino Linotype" w:hAnsi="Palatino Linotype" w:cs="Palatino Linotype"/>
          <w:b/>
          <w:bCs/>
          <w:i/>
          <w:iCs/>
        </w:rPr>
        <w:t>De la Dirección de Medio Ambiente y Ecología</w:t>
      </w:r>
    </w:p>
    <w:p w:rsidR="00DE4354" w:rsidRDefault="00DE4354">
      <w:pPr>
        <w:pBdr>
          <w:top w:val="nil"/>
          <w:left w:val="nil"/>
          <w:bottom w:val="nil"/>
          <w:right w:val="nil"/>
          <w:between w:val="nil"/>
        </w:pBdr>
        <w:ind w:left="567" w:right="-737"/>
        <w:jc w:val="both"/>
        <w:rPr>
          <w:rFonts w:ascii="Palatino Linotype" w:eastAsia="Palatino Linotype" w:hAnsi="Palatino Linotype" w:cs="Palatino Linotype"/>
          <w:b/>
          <w:bCs/>
          <w:i/>
          <w:iCs/>
        </w:rPr>
      </w:pPr>
    </w:p>
    <w:p w:rsidR="00DE4354" w:rsidRDefault="00864E7B">
      <w:pPr>
        <w:pBdr>
          <w:top w:val="nil"/>
          <w:left w:val="nil"/>
          <w:bottom w:val="nil"/>
          <w:right w:val="nil"/>
          <w:between w:val="nil"/>
        </w:pBdr>
        <w:ind w:left="567" w:right="-737"/>
        <w:jc w:val="both"/>
        <w:rPr>
          <w:rFonts w:ascii="Palatino Linotype" w:eastAsia="Palatino Linotype" w:hAnsi="Palatino Linotype" w:cs="Palatino Linotype"/>
          <w:i/>
          <w:iCs/>
        </w:rPr>
      </w:pPr>
      <w:r>
        <w:rPr>
          <w:rFonts w:ascii="Palatino Linotype" w:eastAsia="Palatino Linotype" w:hAnsi="Palatino Linotype" w:cs="Palatino Linotype"/>
          <w:b/>
          <w:bCs/>
          <w:i/>
          <w:iCs/>
        </w:rPr>
        <w:t>Artículo 59</w:t>
      </w:r>
      <w:r>
        <w:rPr>
          <w:rFonts w:ascii="Palatino Linotype" w:eastAsia="Palatino Linotype" w:hAnsi="Palatino Linotype" w:cs="Palatino Linotype"/>
          <w:i/>
          <w:iCs/>
        </w:rPr>
        <w:t xml:space="preserve">. La Dirección de Medio Ambiente y Ecología fortalecerá las relaciones armónicas de la Zona Metropolitana del Valle de México, de acuerdo con las políticas que acuerden los gobiernos involucrados y vigilará el cumplimiento de las disposiciones cuyo objeto es el registro de personas físicas y/o jurídico colectivas que realicen actividades en relación al medio ambiente; así como la conservación, restauración, protección, preservación y mejoramiento de éste, de conformidad con la legislación aplicable. </w:t>
      </w:r>
    </w:p>
    <w:p w:rsidR="00DE4354" w:rsidRDefault="00DE4354">
      <w:pPr>
        <w:pBdr>
          <w:top w:val="nil"/>
          <w:left w:val="nil"/>
          <w:bottom w:val="nil"/>
          <w:right w:val="nil"/>
          <w:between w:val="nil"/>
        </w:pBdr>
        <w:ind w:left="567" w:right="-737"/>
        <w:jc w:val="both"/>
        <w:rPr>
          <w:rFonts w:ascii="Palatino Linotype" w:eastAsia="Palatino Linotype" w:hAnsi="Palatino Linotype" w:cs="Palatino Linotype"/>
          <w:i/>
          <w:iCs/>
        </w:rPr>
      </w:pPr>
    </w:p>
    <w:p w:rsidR="00DE4354" w:rsidRDefault="00864E7B">
      <w:pPr>
        <w:pBdr>
          <w:top w:val="nil"/>
          <w:left w:val="nil"/>
          <w:bottom w:val="nil"/>
          <w:right w:val="nil"/>
          <w:between w:val="nil"/>
        </w:pBdr>
        <w:ind w:left="567" w:right="-737"/>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Esta Dirección tendrá a su cargo la formulación, conducción y evaluación de la política ambiental municipal promoviendo estrategias de reforestación y disminución de gases contaminantes a efecto de combatir el cambio climático y deberá coordinarse con la Secretaría del Medio Ambiente del Gobierno del Estado de México, atendiendo a la Ley General del Equilibrio Ecológico y la Protección al Ambiente, así como la Ley de Cambio Climático del Estado de México, Código para la Biodiversidad del Estado de México y demás ordenamientos legales de la materia. </w:t>
      </w:r>
    </w:p>
    <w:p w:rsidR="00DE4354" w:rsidRDefault="00DE4354">
      <w:pPr>
        <w:pBdr>
          <w:top w:val="nil"/>
          <w:left w:val="nil"/>
          <w:bottom w:val="nil"/>
          <w:right w:val="nil"/>
          <w:between w:val="nil"/>
        </w:pBdr>
        <w:ind w:left="567" w:right="-737"/>
        <w:jc w:val="both"/>
        <w:rPr>
          <w:rFonts w:ascii="Palatino Linotype" w:eastAsia="Palatino Linotype" w:hAnsi="Palatino Linotype" w:cs="Palatino Linotype"/>
          <w:i/>
          <w:iCs/>
        </w:rPr>
      </w:pPr>
    </w:p>
    <w:p w:rsidR="00DE4354" w:rsidRDefault="00864E7B">
      <w:pPr>
        <w:pBdr>
          <w:top w:val="nil"/>
          <w:left w:val="nil"/>
          <w:bottom w:val="nil"/>
          <w:right w:val="nil"/>
          <w:between w:val="nil"/>
        </w:pBdr>
        <w:ind w:left="567" w:right="-737"/>
        <w:jc w:val="both"/>
        <w:rPr>
          <w:rFonts w:ascii="Palatino Linotype" w:eastAsia="Palatino Linotype" w:hAnsi="Palatino Linotype" w:cs="Palatino Linotype"/>
          <w:i/>
          <w:iCs/>
        </w:rPr>
      </w:pPr>
      <w:r>
        <w:rPr>
          <w:rFonts w:ascii="Palatino Linotype" w:eastAsia="Palatino Linotype" w:hAnsi="Palatino Linotype" w:cs="Palatino Linotype"/>
          <w:i/>
          <w:iCs/>
        </w:rPr>
        <w:t>De igual manera, expedirá las autorizaciones a los prestadores de servicio que les permita efectuar carga y descarga, recolección y/o transporte, y/o reúso, y/o tratamiento, y/o disposición final de residuos sólidos urbanos y en su caso de manejo especial establecido, previo el visto bueno de la Dirección de Servicios Públicos, para lo cual se deberán observar la Normas Oficiales, así como las disposiciones previstas en la Ley General del Equilibrio Ecológico y la Protección al Ambiente, Ley General para la Prevención y Gestión Integral de los Residuos y demás ordenamientos aplicables a la materia.</w:t>
      </w:r>
    </w:p>
    <w:p w:rsidR="00DE4354" w:rsidRDefault="00DE4354">
      <w:pPr>
        <w:pBdr>
          <w:top w:val="nil"/>
          <w:left w:val="nil"/>
          <w:bottom w:val="nil"/>
          <w:right w:val="nil"/>
          <w:between w:val="nil"/>
        </w:pBdr>
        <w:ind w:left="567" w:right="-737"/>
        <w:jc w:val="both"/>
        <w:rPr>
          <w:rFonts w:ascii="Palatino Linotype" w:eastAsia="Palatino Linotype" w:hAnsi="Palatino Linotype" w:cs="Palatino Linotype"/>
          <w:i/>
          <w:iCs/>
        </w:rPr>
      </w:pPr>
    </w:p>
    <w:p w:rsidR="00DE4354" w:rsidRDefault="00864E7B">
      <w:pPr>
        <w:pBdr>
          <w:top w:val="nil"/>
          <w:left w:val="nil"/>
          <w:bottom w:val="nil"/>
          <w:right w:val="nil"/>
          <w:between w:val="nil"/>
        </w:pBdr>
        <w:ind w:left="567" w:right="-737"/>
        <w:jc w:val="both"/>
        <w:rPr>
          <w:rFonts w:ascii="Palatino Linotype" w:eastAsia="Palatino Linotype" w:hAnsi="Palatino Linotype" w:cs="Palatino Linotype"/>
          <w:i/>
          <w:iCs/>
        </w:rPr>
      </w:pPr>
      <w:r>
        <w:rPr>
          <w:rFonts w:ascii="Palatino Linotype" w:eastAsia="Palatino Linotype" w:hAnsi="Palatino Linotype" w:cs="Palatino Linotype"/>
          <w:b/>
          <w:bCs/>
          <w:i/>
          <w:iCs/>
        </w:rPr>
        <w:t>Artículo 60</w:t>
      </w:r>
      <w:r>
        <w:rPr>
          <w:rFonts w:ascii="Palatino Linotype" w:eastAsia="Palatino Linotype" w:hAnsi="Palatino Linotype" w:cs="Palatino Linotype"/>
          <w:i/>
          <w:iCs/>
        </w:rPr>
        <w:t xml:space="preserve">. La Dirección de Medio Ambiente y Ecología tendrá las siguientes atribuciones: </w:t>
      </w:r>
    </w:p>
    <w:p w:rsidR="00DE4354" w:rsidRDefault="00DE4354">
      <w:pPr>
        <w:pBdr>
          <w:top w:val="nil"/>
          <w:left w:val="nil"/>
          <w:bottom w:val="nil"/>
          <w:right w:val="nil"/>
          <w:between w:val="nil"/>
        </w:pBdr>
        <w:ind w:left="567" w:right="-737"/>
        <w:jc w:val="both"/>
        <w:rPr>
          <w:rFonts w:ascii="Palatino Linotype" w:eastAsia="Palatino Linotype" w:hAnsi="Palatino Linotype" w:cs="Palatino Linotype"/>
          <w:i/>
          <w:iCs/>
        </w:rPr>
      </w:pPr>
    </w:p>
    <w:p w:rsidR="00DE4354" w:rsidRDefault="00864E7B">
      <w:pPr>
        <w:pBdr>
          <w:top w:val="nil"/>
          <w:left w:val="nil"/>
          <w:bottom w:val="nil"/>
          <w:right w:val="nil"/>
          <w:between w:val="nil"/>
        </w:pBdr>
        <w:ind w:left="567" w:right="-737"/>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I. Recibir, integrar, evaluar y, en su caso, expedir las autorizaciones, licencias, permisos y/o registros de carácter municipal, así como aquellos que son atribución de la Secretaría del Medio Ambiente del Gobierno del Estado de México y que, por los instrumentos legales, le hayan sido legalmente delegados al Municipio; </w:t>
      </w:r>
    </w:p>
    <w:p w:rsidR="00DE4354" w:rsidRDefault="00864E7B">
      <w:pPr>
        <w:pBdr>
          <w:top w:val="nil"/>
          <w:left w:val="nil"/>
          <w:bottom w:val="nil"/>
          <w:right w:val="nil"/>
          <w:between w:val="nil"/>
        </w:pBdr>
        <w:ind w:left="567" w:right="-737"/>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II. Aplicar las disposiciones jurídicas en materia de prevención y control de la contaminación atmosférica y auditiva generada por fuentes fijas que funcionen como establecimientos mercantiles o de servicios de jurisdicción municipal, así como fuentes de emisiones de contaminantes a la atmósfera, provenientes de fuentes móviles de su competencia, en términos de la Norma Oficial Mexicana NOM-081- SEMARNAT-1994, la cual establece los límites máximos permisibles y los horarios de acuerdo a la Unidad Económica; </w:t>
      </w:r>
    </w:p>
    <w:p w:rsidR="00DE4354" w:rsidRDefault="00864E7B">
      <w:pPr>
        <w:pBdr>
          <w:top w:val="nil"/>
          <w:left w:val="nil"/>
          <w:bottom w:val="nil"/>
          <w:right w:val="nil"/>
          <w:between w:val="nil"/>
        </w:pBdr>
        <w:ind w:left="567" w:right="-737"/>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III. Aplicar las disposiciones jurídicas en materia de prevención¸ control y, en su caso, sanción por la disposición inadecuada de los residuos sólidos urbanos, contaminación de agua y suelo, maltrato animal y manejo inadecuado del arbolado urbano, en apego a lo dispuesto en las Leyes Generales, Normas Oficiales Mexicanas, Normas Técnicas, Códigos y Reglamentos locales aplicables en la materia; </w:t>
      </w:r>
    </w:p>
    <w:p w:rsidR="00DE4354" w:rsidRDefault="00864E7B">
      <w:pPr>
        <w:pBdr>
          <w:top w:val="nil"/>
          <w:left w:val="nil"/>
          <w:bottom w:val="nil"/>
          <w:right w:val="nil"/>
          <w:between w:val="nil"/>
        </w:pBdr>
        <w:ind w:left="567" w:right="-737"/>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IV. Participar en la evaluación del impacto ambiental de obras o actividades de competencia estatal, cuando estas se realicen dentro de los límites territoriales del municipio; </w:t>
      </w:r>
    </w:p>
    <w:p w:rsidR="00DE4354" w:rsidRDefault="00864E7B">
      <w:pPr>
        <w:pBdr>
          <w:top w:val="nil"/>
          <w:left w:val="nil"/>
          <w:bottom w:val="nil"/>
          <w:right w:val="nil"/>
          <w:between w:val="nil"/>
        </w:pBdr>
        <w:ind w:left="567" w:right="-737"/>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V. Convocar, capacitar e integrar un padrón de podadores acreditados ante esta Dirección, los cuales serán los únicos autorizados que podrán ofrecer los servicios de poda, derribo trasplante y/o sustitución de arbolado urbano; </w:t>
      </w:r>
    </w:p>
    <w:p w:rsidR="00DE4354" w:rsidRDefault="00864E7B">
      <w:pPr>
        <w:pBdr>
          <w:top w:val="nil"/>
          <w:left w:val="nil"/>
          <w:bottom w:val="nil"/>
          <w:right w:val="nil"/>
          <w:between w:val="nil"/>
        </w:pBdr>
        <w:ind w:left="567" w:right="-737"/>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 xml:space="preserve">VI. Analizar y justificar técnicamente los dictámenes de riesgo emitidos por la Dirección de Protección Civil y Bomberos para la ejecución de trabajos en árboles que, por la magnitud del riesgo, se ejecuten sin previa autorización; asimismo, determinará en las autorizaciones que emita si se requiere la intervención de la Dirección de Protección Civil y Bomberos derivado del riesgo; </w:t>
      </w:r>
    </w:p>
    <w:p w:rsidR="00DE4354" w:rsidRDefault="00864E7B">
      <w:pPr>
        <w:pBdr>
          <w:top w:val="nil"/>
          <w:left w:val="nil"/>
          <w:bottom w:val="nil"/>
          <w:right w:val="nil"/>
          <w:between w:val="nil"/>
        </w:pBdr>
        <w:ind w:left="567" w:right="-737"/>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VII. Implementar campañas de reforestación y restauración dentro de las áreas naturales protegidas y zonas urbanas del Municipio, así como eventos de educación ambiental y bienestar animal; </w:t>
      </w:r>
    </w:p>
    <w:p w:rsidR="00DE4354" w:rsidRDefault="00864E7B">
      <w:pPr>
        <w:pBdr>
          <w:top w:val="nil"/>
          <w:left w:val="nil"/>
          <w:bottom w:val="nil"/>
          <w:right w:val="nil"/>
          <w:between w:val="nil"/>
        </w:pBdr>
        <w:ind w:left="567" w:right="-737"/>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VIII. Realizar visitas de inspección con el objeto de constatar el cumplimiento del Código para la Biodiversidad del Estado de México y demás ordenamientos aplicables; </w:t>
      </w:r>
    </w:p>
    <w:p w:rsidR="00DE4354" w:rsidRDefault="00864E7B">
      <w:pPr>
        <w:pBdr>
          <w:top w:val="nil"/>
          <w:left w:val="nil"/>
          <w:bottom w:val="nil"/>
          <w:right w:val="nil"/>
          <w:between w:val="nil"/>
        </w:pBdr>
        <w:ind w:left="567" w:right="-737"/>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IX. Formular, ejecutar y evaluar los Programas Municipales en Materia de Protección al Ambiente, Residuos Sólidos Urbanos, Cambio Climático y demás previstos en las leyes de la materia; y </w:t>
      </w:r>
    </w:p>
    <w:p w:rsidR="00DE4354" w:rsidRDefault="00864E7B">
      <w:pPr>
        <w:pBdr>
          <w:top w:val="nil"/>
          <w:left w:val="nil"/>
          <w:bottom w:val="nil"/>
          <w:right w:val="nil"/>
          <w:between w:val="nil"/>
        </w:pBdr>
        <w:ind w:left="567" w:right="-737"/>
        <w:jc w:val="both"/>
        <w:rPr>
          <w:rFonts w:ascii="Palatino Linotype" w:eastAsia="Palatino Linotype" w:hAnsi="Palatino Linotype" w:cs="Palatino Linotype"/>
          <w:i/>
          <w:iCs/>
        </w:rPr>
      </w:pPr>
      <w:r>
        <w:rPr>
          <w:rFonts w:ascii="Palatino Linotype" w:eastAsia="Palatino Linotype" w:hAnsi="Palatino Linotype" w:cs="Palatino Linotype"/>
          <w:i/>
          <w:iCs/>
        </w:rPr>
        <w:lastRenderedPageBreak/>
        <w:t>X. Contar con la Célula de Rescate de Fauna Silvestre y coordinar el manejo de las especies de vida silvestre bajo resguardo del municipio.</w:t>
      </w:r>
    </w:p>
    <w:p w:rsidR="00DE4354" w:rsidRDefault="00864E7B">
      <w:pPr>
        <w:pBdr>
          <w:top w:val="nil"/>
          <w:left w:val="nil"/>
          <w:bottom w:val="nil"/>
          <w:right w:val="nil"/>
          <w:between w:val="nil"/>
        </w:pBdr>
        <w:ind w:left="567" w:right="-737"/>
        <w:jc w:val="both"/>
        <w:rPr>
          <w:rFonts w:ascii="Palatino Linotype" w:eastAsia="Palatino Linotype" w:hAnsi="Palatino Linotype" w:cs="Palatino Linotype"/>
          <w:i/>
          <w:iCs/>
        </w:rPr>
      </w:pPr>
      <w:r>
        <w:rPr>
          <w:rFonts w:ascii="Palatino Linotype" w:eastAsia="Palatino Linotype" w:hAnsi="Palatino Linotype" w:cs="Palatino Linotype"/>
          <w:i/>
          <w:iCs/>
        </w:rPr>
        <w:t>…</w:t>
      </w:r>
    </w:p>
    <w:p w:rsidR="00DE4354" w:rsidRDefault="00DE4354">
      <w:pPr>
        <w:pBdr>
          <w:top w:val="nil"/>
          <w:left w:val="nil"/>
          <w:bottom w:val="nil"/>
          <w:right w:val="nil"/>
          <w:between w:val="nil"/>
        </w:pBdr>
        <w:ind w:left="567" w:right="-737"/>
        <w:jc w:val="both"/>
        <w:rPr>
          <w:rFonts w:ascii="Palatino Linotype" w:eastAsia="Palatino Linotype" w:hAnsi="Palatino Linotype" w:cs="Palatino Linotype"/>
          <w:i/>
          <w:iCs/>
        </w:rPr>
      </w:pPr>
    </w:p>
    <w:p w:rsidR="00DE4354" w:rsidRDefault="00864E7B">
      <w:pPr>
        <w:pBdr>
          <w:top w:val="nil"/>
          <w:left w:val="nil"/>
          <w:bottom w:val="nil"/>
          <w:right w:val="nil"/>
          <w:between w:val="nil"/>
        </w:pBdr>
        <w:ind w:left="567" w:right="-737"/>
        <w:jc w:val="center"/>
        <w:rPr>
          <w:rFonts w:ascii="Palatino Linotype" w:eastAsia="Palatino Linotype" w:hAnsi="Palatino Linotype" w:cs="Palatino Linotype"/>
          <w:i/>
          <w:iCs/>
        </w:rPr>
      </w:pPr>
      <w:r>
        <w:rPr>
          <w:rFonts w:ascii="Palatino Linotype" w:eastAsia="Palatino Linotype" w:hAnsi="Palatino Linotype" w:cs="Palatino Linotype"/>
          <w:b/>
          <w:bCs/>
          <w:i/>
          <w:iCs/>
        </w:rPr>
        <w:t>De la Dirección de Protección Civil y Bomberos</w:t>
      </w:r>
    </w:p>
    <w:p w:rsidR="00DE4354" w:rsidRDefault="00DE4354">
      <w:pPr>
        <w:pBdr>
          <w:top w:val="nil"/>
          <w:left w:val="nil"/>
          <w:bottom w:val="nil"/>
          <w:right w:val="nil"/>
          <w:between w:val="nil"/>
        </w:pBdr>
        <w:ind w:left="567" w:right="-737"/>
        <w:jc w:val="both"/>
        <w:rPr>
          <w:rFonts w:ascii="Palatino Linotype" w:eastAsia="Palatino Linotype" w:hAnsi="Palatino Linotype" w:cs="Palatino Linotype"/>
          <w:i/>
          <w:iCs/>
        </w:rPr>
      </w:pPr>
    </w:p>
    <w:p w:rsidR="00DE4354" w:rsidRDefault="00864E7B">
      <w:pPr>
        <w:pBdr>
          <w:top w:val="nil"/>
          <w:left w:val="nil"/>
          <w:bottom w:val="nil"/>
          <w:right w:val="nil"/>
          <w:between w:val="nil"/>
        </w:pBdr>
        <w:ind w:left="567" w:right="-737"/>
        <w:jc w:val="both"/>
        <w:rPr>
          <w:rFonts w:ascii="Palatino Linotype" w:eastAsia="Palatino Linotype" w:hAnsi="Palatino Linotype" w:cs="Palatino Linotype"/>
          <w:i/>
          <w:iCs/>
        </w:rPr>
      </w:pPr>
      <w:r>
        <w:rPr>
          <w:rFonts w:ascii="Palatino Linotype" w:eastAsia="Palatino Linotype" w:hAnsi="Palatino Linotype" w:cs="Palatino Linotype"/>
          <w:b/>
          <w:bCs/>
          <w:i/>
          <w:iCs/>
        </w:rPr>
        <w:t>Artículo 70</w:t>
      </w:r>
      <w:r>
        <w:rPr>
          <w:rFonts w:ascii="Palatino Linotype" w:eastAsia="Palatino Linotype" w:hAnsi="Palatino Linotype" w:cs="Palatino Linotype"/>
          <w:i/>
          <w:iCs/>
        </w:rPr>
        <w:t xml:space="preserve">. La Dirección de Protección Civil y Bomberos, en aras del orden público e interés social, establecerá las bases de coordinación entre los distintos órdenes de gobierno en materia de gestión integral de riesgos y protección civil, así como con los sectores privado y social para participar en la consecución de los objetivos de este capítulo, en los términos y condiciones que el mismo establece, a saber: </w:t>
      </w:r>
    </w:p>
    <w:p w:rsidR="00DE4354" w:rsidRDefault="00DE4354">
      <w:pPr>
        <w:pBdr>
          <w:top w:val="nil"/>
          <w:left w:val="nil"/>
          <w:bottom w:val="nil"/>
          <w:right w:val="nil"/>
          <w:between w:val="nil"/>
        </w:pBdr>
        <w:ind w:left="567" w:right="-737"/>
        <w:jc w:val="both"/>
        <w:rPr>
          <w:rFonts w:ascii="Palatino Linotype" w:eastAsia="Palatino Linotype" w:hAnsi="Palatino Linotype" w:cs="Palatino Linotype"/>
          <w:i/>
          <w:iCs/>
        </w:rPr>
      </w:pPr>
    </w:p>
    <w:p w:rsidR="00DE4354" w:rsidRDefault="00864E7B">
      <w:pPr>
        <w:pBdr>
          <w:top w:val="nil"/>
          <w:left w:val="nil"/>
          <w:bottom w:val="nil"/>
          <w:right w:val="nil"/>
          <w:between w:val="nil"/>
        </w:pBdr>
        <w:ind w:left="567" w:right="-737"/>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I. En el Territorio Municipal, el derecho a la vida será priorizado bajo las disposiciones señaladas por la Ley General de Protección Civil, Libro Sexto del Código Administrativo del Estado de México, Reglamento al Libro Sexto del Código Administrativo del Estado de México, el presente Bando Municipal de Ecatepec de Morelos, Estado de México, y demás disposiciones aplicables en la materia; </w:t>
      </w:r>
    </w:p>
    <w:p w:rsidR="00DE4354" w:rsidRDefault="00864E7B">
      <w:pPr>
        <w:pBdr>
          <w:top w:val="nil"/>
          <w:left w:val="nil"/>
          <w:bottom w:val="nil"/>
          <w:right w:val="nil"/>
          <w:between w:val="nil"/>
        </w:pBdr>
        <w:ind w:left="567" w:right="-737"/>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II. Salvaguardar la integridad física y patrimonial de los habitantes del Municipio y de quienes transiten por él, así como su entorno. La Dirección de Protección Civil y Bomberos podrá auxiliar a la población en la prestación de primeros auxilios y traslados en casos de emergencia, coadyuvando con las instituciones del Sector Salud; </w:t>
      </w:r>
    </w:p>
    <w:p w:rsidR="00DE4354" w:rsidRDefault="00864E7B">
      <w:pPr>
        <w:pBdr>
          <w:top w:val="nil"/>
          <w:left w:val="nil"/>
          <w:bottom w:val="nil"/>
          <w:right w:val="nil"/>
          <w:between w:val="nil"/>
        </w:pBdr>
        <w:ind w:left="567" w:right="-737"/>
        <w:jc w:val="both"/>
        <w:rPr>
          <w:rFonts w:ascii="Palatino Linotype" w:eastAsia="Palatino Linotype" w:hAnsi="Palatino Linotype" w:cs="Palatino Linotype"/>
          <w:i/>
          <w:iCs/>
        </w:rPr>
      </w:pPr>
      <w:r>
        <w:rPr>
          <w:rFonts w:ascii="Palatino Linotype" w:eastAsia="Palatino Linotype" w:hAnsi="Palatino Linotype" w:cs="Palatino Linotype"/>
          <w:b/>
          <w:bCs/>
          <w:i/>
          <w:iCs/>
        </w:rPr>
        <w:t>III. Establecer un enfoque de coordinación metropolitana y desarrollo sustentable para la prevención y mitigación de los distintos tipos de riesgos</w:t>
      </w:r>
      <w:r>
        <w:rPr>
          <w:rFonts w:ascii="Palatino Linotype" w:eastAsia="Palatino Linotype" w:hAnsi="Palatino Linotype" w:cs="Palatino Linotype"/>
          <w:i/>
          <w:iCs/>
        </w:rPr>
        <w:t xml:space="preserve"> que se presentan en el territorio municipal. Asimismo, establecer un enfoque transversal con otras áreas a efecto de dar cumplimiento a los objetivos superiores en materia de Gestión Integral de Riesgos y Protección Civil; </w:t>
      </w:r>
    </w:p>
    <w:p w:rsidR="00DE4354" w:rsidRDefault="00864E7B">
      <w:pPr>
        <w:pBdr>
          <w:top w:val="nil"/>
          <w:left w:val="nil"/>
          <w:bottom w:val="nil"/>
          <w:right w:val="nil"/>
          <w:between w:val="nil"/>
        </w:pBdr>
        <w:ind w:left="567" w:right="-737"/>
        <w:jc w:val="both"/>
        <w:rPr>
          <w:rFonts w:ascii="Palatino Linotype" w:eastAsia="Palatino Linotype" w:hAnsi="Palatino Linotype" w:cs="Palatino Linotype"/>
          <w:i/>
          <w:iCs/>
        </w:rPr>
      </w:pPr>
      <w:r>
        <w:rPr>
          <w:rFonts w:ascii="Palatino Linotype" w:eastAsia="Palatino Linotype" w:hAnsi="Palatino Linotype" w:cs="Palatino Linotype"/>
          <w:i/>
          <w:iCs/>
        </w:rPr>
        <w:t>IV. Mitigar y/o eliminar el riesgo, bajo los ordenamientos legales vigentes en la materia, anteponiendo el interés jurídico de la vida de todo ser humano a fin de reducir los efectos ocasionados por el fenómeno perturbador;</w:t>
      </w:r>
    </w:p>
    <w:p w:rsidR="00DE4354" w:rsidRDefault="00864E7B">
      <w:pPr>
        <w:pBdr>
          <w:top w:val="nil"/>
          <w:left w:val="nil"/>
          <w:bottom w:val="nil"/>
          <w:right w:val="nil"/>
          <w:between w:val="nil"/>
        </w:pBdr>
        <w:ind w:left="567" w:right="-737"/>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V. Promover y vigilar la cultura de la Gestión Integral de Riesgos y Protección Civil en los diversos sectores en la población, mediante la ejecución de acciones de previsión y prevención de riesgos, haciendo uso en todo momento de los diversos instrumentos que permitan cualificar y cuantificar dichas acciones. Asimismo, se llevará a cabo el registro de comités ciudadanos de prevención de protección civil; </w:t>
      </w:r>
    </w:p>
    <w:p w:rsidR="00DE4354" w:rsidRDefault="00864E7B">
      <w:pPr>
        <w:pBdr>
          <w:top w:val="nil"/>
          <w:left w:val="nil"/>
          <w:bottom w:val="nil"/>
          <w:right w:val="nil"/>
          <w:between w:val="nil"/>
        </w:pBdr>
        <w:ind w:left="567" w:right="-737"/>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VI. Orientar los esfuerzos de los sectores público, social y privado mediante la capacitación, organización y realización de acciones, así como de programas y simulacros que permitan </w:t>
      </w:r>
      <w:r>
        <w:rPr>
          <w:rFonts w:ascii="Palatino Linotype" w:eastAsia="Palatino Linotype" w:hAnsi="Palatino Linotype" w:cs="Palatino Linotype"/>
          <w:i/>
          <w:iCs/>
        </w:rPr>
        <w:lastRenderedPageBreak/>
        <w:t xml:space="preserve">responder adecuada e inmediatamente a las necesidades de la comunidad en caso de contingencias; y </w:t>
      </w:r>
    </w:p>
    <w:p w:rsidR="00DE4354" w:rsidRDefault="00864E7B">
      <w:pPr>
        <w:pBdr>
          <w:top w:val="nil"/>
          <w:left w:val="nil"/>
          <w:bottom w:val="nil"/>
          <w:right w:val="nil"/>
          <w:between w:val="nil"/>
        </w:pBdr>
        <w:ind w:left="567" w:right="-737"/>
        <w:jc w:val="both"/>
        <w:rPr>
          <w:rFonts w:ascii="Palatino Linotype" w:eastAsia="Palatino Linotype" w:hAnsi="Palatino Linotype" w:cs="Palatino Linotype"/>
          <w:i/>
          <w:iCs/>
        </w:rPr>
      </w:pPr>
      <w:r>
        <w:rPr>
          <w:rFonts w:ascii="Palatino Linotype" w:eastAsia="Palatino Linotype" w:hAnsi="Palatino Linotype" w:cs="Palatino Linotype"/>
          <w:i/>
          <w:iCs/>
        </w:rPr>
        <w:t>VII. Contar con un sistema de Alertamiento Temprano Multirriesgo que permita identificar y monitorear los distintos fenómenos perturbadores que se presentan en el territorio municipal. Asimismo, priorizar en los planes presupuestarios, estrategias y proyectos el mantenimiento y desarrollo del mismo, garantizando la salvaguarda de la vida, la integridad física, sus bienes y el entorno.</w:t>
      </w:r>
    </w:p>
    <w:p w:rsidR="00DE4354" w:rsidRDefault="00DE4354">
      <w:pPr>
        <w:pBdr>
          <w:top w:val="nil"/>
          <w:left w:val="nil"/>
          <w:bottom w:val="nil"/>
          <w:right w:val="nil"/>
          <w:between w:val="nil"/>
        </w:pBdr>
        <w:ind w:left="567" w:right="-737"/>
        <w:jc w:val="both"/>
        <w:rPr>
          <w:rFonts w:ascii="Palatino Linotype" w:eastAsia="Palatino Linotype" w:hAnsi="Palatino Linotype" w:cs="Palatino Linotype"/>
          <w:i/>
          <w:iCs/>
        </w:rPr>
      </w:pPr>
    </w:p>
    <w:p w:rsidR="00DE4354" w:rsidRDefault="00864E7B">
      <w:pPr>
        <w:pBdr>
          <w:top w:val="nil"/>
          <w:left w:val="nil"/>
          <w:bottom w:val="nil"/>
          <w:right w:val="nil"/>
          <w:between w:val="nil"/>
        </w:pBdr>
        <w:ind w:left="567" w:right="-737"/>
        <w:jc w:val="both"/>
        <w:rPr>
          <w:rFonts w:ascii="Palatino Linotype" w:eastAsia="Palatino Linotype" w:hAnsi="Palatino Linotype" w:cs="Palatino Linotype"/>
          <w:i/>
          <w:iCs/>
        </w:rPr>
      </w:pPr>
      <w:r>
        <w:rPr>
          <w:rFonts w:ascii="Palatino Linotype" w:eastAsia="Palatino Linotype" w:hAnsi="Palatino Linotype" w:cs="Palatino Linotype"/>
          <w:i/>
          <w:iCs/>
        </w:rPr>
        <w:t>Artículo 71. Para los efectos de este capítulo se entiende por:</w:t>
      </w:r>
    </w:p>
    <w:p w:rsidR="00DE4354" w:rsidRDefault="00864E7B">
      <w:pPr>
        <w:pBdr>
          <w:top w:val="nil"/>
          <w:left w:val="nil"/>
          <w:bottom w:val="nil"/>
          <w:right w:val="nil"/>
          <w:between w:val="nil"/>
        </w:pBdr>
        <w:ind w:left="567" w:right="-737"/>
        <w:jc w:val="both"/>
        <w:rPr>
          <w:rFonts w:ascii="Palatino Linotype" w:eastAsia="Palatino Linotype" w:hAnsi="Palatino Linotype" w:cs="Palatino Linotype"/>
          <w:i/>
          <w:iCs/>
        </w:rPr>
      </w:pPr>
      <w:r>
        <w:rPr>
          <w:rFonts w:ascii="Palatino Linotype" w:eastAsia="Palatino Linotype" w:hAnsi="Palatino Linotype" w:cs="Palatino Linotype"/>
          <w:i/>
          <w:iCs/>
        </w:rPr>
        <w:t>…</w:t>
      </w:r>
    </w:p>
    <w:p w:rsidR="00DE4354" w:rsidRDefault="00864E7B">
      <w:pPr>
        <w:pBdr>
          <w:top w:val="nil"/>
          <w:left w:val="nil"/>
          <w:bottom w:val="nil"/>
          <w:right w:val="nil"/>
          <w:between w:val="nil"/>
        </w:pBdr>
        <w:ind w:left="567" w:right="-737"/>
        <w:jc w:val="both"/>
        <w:rPr>
          <w:rFonts w:ascii="Palatino Linotype" w:eastAsia="Palatino Linotype" w:hAnsi="Palatino Linotype" w:cs="Palatino Linotype"/>
          <w:i/>
          <w:iCs/>
        </w:rPr>
      </w:pPr>
      <w:r>
        <w:rPr>
          <w:rFonts w:ascii="Palatino Linotype" w:eastAsia="Palatino Linotype" w:hAnsi="Palatino Linotype" w:cs="Palatino Linotype"/>
          <w:b/>
          <w:bCs/>
          <w:i/>
          <w:iCs/>
        </w:rPr>
        <w:t>VI.</w:t>
      </w:r>
      <w:r>
        <w:rPr>
          <w:rFonts w:ascii="Palatino Linotype" w:eastAsia="Palatino Linotype" w:hAnsi="Palatino Linotype" w:cs="Palatino Linotype"/>
          <w:i/>
          <w:iCs/>
        </w:rPr>
        <w:t xml:space="preserve"> </w:t>
      </w:r>
      <w:r>
        <w:rPr>
          <w:rFonts w:ascii="Palatino Linotype" w:eastAsia="Palatino Linotype" w:hAnsi="Palatino Linotype" w:cs="Palatino Linotype"/>
          <w:b/>
          <w:bCs/>
          <w:i/>
          <w:iCs/>
        </w:rPr>
        <w:t>Valoración de riesgo</w:t>
      </w:r>
      <w:r>
        <w:rPr>
          <w:rFonts w:ascii="Palatino Linotype" w:eastAsia="Palatino Linotype" w:hAnsi="Palatino Linotype" w:cs="Palatino Linotype"/>
          <w:i/>
          <w:iCs/>
        </w:rPr>
        <w:t xml:space="preserve">. Al </w:t>
      </w:r>
      <w:r>
        <w:rPr>
          <w:rFonts w:ascii="Palatino Linotype" w:eastAsia="Palatino Linotype" w:hAnsi="Palatino Linotype" w:cs="Palatino Linotype"/>
          <w:b/>
          <w:bCs/>
          <w:i/>
          <w:iCs/>
          <w:u w:val="single"/>
        </w:rPr>
        <w:t>documento que se emite por la Dirección de Protección Civil y Bomberos</w:t>
      </w:r>
      <w:r>
        <w:rPr>
          <w:rFonts w:ascii="Palatino Linotype" w:eastAsia="Palatino Linotype" w:hAnsi="Palatino Linotype" w:cs="Palatino Linotype"/>
          <w:i/>
          <w:iCs/>
        </w:rPr>
        <w:t xml:space="preserve"> mediante el cual se identifican los riesgos existentes señalando el grado de estos, las posibles pérdidas, así como las recomendaciones de acciones para la gestión integral de riesgos, a efecto de mitigar o eliminar los efectos;</w:t>
      </w:r>
    </w:p>
    <w:p w:rsidR="00DE4354" w:rsidRDefault="00864E7B">
      <w:pPr>
        <w:pBdr>
          <w:top w:val="nil"/>
          <w:left w:val="nil"/>
          <w:bottom w:val="nil"/>
          <w:right w:val="nil"/>
          <w:between w:val="nil"/>
        </w:pBdr>
        <w:ind w:left="567" w:right="-737"/>
        <w:jc w:val="both"/>
        <w:rPr>
          <w:rFonts w:ascii="Palatino Linotype" w:eastAsia="Palatino Linotype" w:hAnsi="Palatino Linotype" w:cs="Palatino Linotype"/>
          <w:i/>
          <w:iCs/>
        </w:rPr>
      </w:pPr>
      <w:r>
        <w:rPr>
          <w:rFonts w:ascii="Palatino Linotype" w:eastAsia="Palatino Linotype" w:hAnsi="Palatino Linotype" w:cs="Palatino Linotype"/>
          <w:i/>
          <w:iCs/>
        </w:rPr>
        <w:t>…</w:t>
      </w:r>
    </w:p>
    <w:p w:rsidR="00DE4354" w:rsidRDefault="00DE4354">
      <w:pPr>
        <w:pBdr>
          <w:top w:val="nil"/>
          <w:left w:val="nil"/>
          <w:bottom w:val="nil"/>
          <w:right w:val="nil"/>
          <w:between w:val="nil"/>
        </w:pBdr>
        <w:ind w:left="567" w:right="-737"/>
        <w:jc w:val="both"/>
        <w:rPr>
          <w:rFonts w:ascii="Palatino Linotype" w:eastAsia="Palatino Linotype" w:hAnsi="Palatino Linotype" w:cs="Palatino Linotype"/>
          <w:i/>
          <w:iCs/>
        </w:rPr>
      </w:pPr>
    </w:p>
    <w:p w:rsidR="00DE4354" w:rsidRDefault="00864E7B">
      <w:pPr>
        <w:pBdr>
          <w:top w:val="nil"/>
          <w:left w:val="nil"/>
          <w:bottom w:val="nil"/>
          <w:right w:val="nil"/>
          <w:between w:val="nil"/>
        </w:pBdr>
        <w:ind w:left="567" w:right="-737"/>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Artículo 75. Es </w:t>
      </w:r>
      <w:r>
        <w:rPr>
          <w:rFonts w:ascii="Palatino Linotype" w:eastAsia="Palatino Linotype" w:hAnsi="Palatino Linotype" w:cs="Palatino Linotype"/>
          <w:b/>
          <w:bCs/>
          <w:i/>
          <w:iCs/>
        </w:rPr>
        <w:t>facultad de la Dirección de Protección Civil y Bomberos</w:t>
      </w:r>
      <w:r>
        <w:rPr>
          <w:rFonts w:ascii="Palatino Linotype" w:eastAsia="Palatino Linotype" w:hAnsi="Palatino Linotype" w:cs="Palatino Linotype"/>
          <w:i/>
          <w:iCs/>
        </w:rPr>
        <w:t xml:space="preserve"> ejercer funciones encaminadas a la Gestión Integral de Riesgo y Protección Civil en el territorio municipal efectuando las siguientes visitas: </w:t>
      </w:r>
    </w:p>
    <w:p w:rsidR="00DE4354" w:rsidRDefault="00864E7B">
      <w:pPr>
        <w:pBdr>
          <w:top w:val="nil"/>
          <w:left w:val="nil"/>
          <w:bottom w:val="nil"/>
          <w:right w:val="nil"/>
          <w:between w:val="nil"/>
        </w:pBdr>
        <w:ind w:left="567" w:right="-737"/>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 xml:space="preserve">I. De valoración; </w:t>
      </w:r>
    </w:p>
    <w:p w:rsidR="00DE4354" w:rsidRDefault="00864E7B">
      <w:pPr>
        <w:pBdr>
          <w:top w:val="nil"/>
          <w:left w:val="nil"/>
          <w:bottom w:val="nil"/>
          <w:right w:val="nil"/>
          <w:between w:val="nil"/>
        </w:pBdr>
        <w:ind w:left="567" w:right="-737"/>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II. De verificación; </w:t>
      </w:r>
    </w:p>
    <w:p w:rsidR="00DE4354" w:rsidRDefault="00864E7B">
      <w:pPr>
        <w:pBdr>
          <w:top w:val="nil"/>
          <w:left w:val="nil"/>
          <w:bottom w:val="nil"/>
          <w:right w:val="nil"/>
          <w:between w:val="nil"/>
        </w:pBdr>
        <w:ind w:left="567" w:right="-737"/>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III. De supervisión; y </w:t>
      </w:r>
    </w:p>
    <w:p w:rsidR="00DE4354" w:rsidRDefault="00864E7B">
      <w:pPr>
        <w:pBdr>
          <w:top w:val="nil"/>
          <w:left w:val="nil"/>
          <w:bottom w:val="nil"/>
          <w:right w:val="nil"/>
          <w:between w:val="nil"/>
        </w:pBdr>
        <w:ind w:left="567" w:right="-737"/>
        <w:jc w:val="both"/>
        <w:rPr>
          <w:rFonts w:ascii="Palatino Linotype" w:eastAsia="Palatino Linotype" w:hAnsi="Palatino Linotype" w:cs="Palatino Linotype"/>
          <w:i/>
          <w:iCs/>
        </w:rPr>
      </w:pPr>
      <w:r>
        <w:rPr>
          <w:rFonts w:ascii="Palatino Linotype" w:eastAsia="Palatino Linotype" w:hAnsi="Palatino Linotype" w:cs="Palatino Linotype"/>
          <w:i/>
          <w:iCs/>
        </w:rPr>
        <w:t>IV. De inspección.</w:t>
      </w:r>
    </w:p>
    <w:p w:rsidR="00DE4354" w:rsidRDefault="00864E7B">
      <w:pPr>
        <w:pBdr>
          <w:top w:val="nil"/>
          <w:left w:val="nil"/>
          <w:bottom w:val="nil"/>
          <w:right w:val="nil"/>
          <w:between w:val="nil"/>
        </w:pBdr>
        <w:ind w:left="567" w:right="-737"/>
        <w:jc w:val="both"/>
        <w:rPr>
          <w:rFonts w:ascii="Palatino Linotype" w:eastAsia="Palatino Linotype" w:hAnsi="Palatino Linotype" w:cs="Palatino Linotype"/>
          <w:i/>
          <w:iCs/>
        </w:rPr>
      </w:pPr>
      <w:r>
        <w:rPr>
          <w:rFonts w:ascii="Palatino Linotype" w:eastAsia="Palatino Linotype" w:hAnsi="Palatino Linotype" w:cs="Palatino Linotype"/>
          <w:i/>
          <w:iCs/>
        </w:rPr>
        <w:t>…</w:t>
      </w:r>
    </w:p>
    <w:p w:rsidR="00DE4354" w:rsidRDefault="00DE4354">
      <w:pPr>
        <w:pBdr>
          <w:top w:val="nil"/>
          <w:left w:val="nil"/>
          <w:bottom w:val="nil"/>
          <w:right w:val="nil"/>
          <w:between w:val="nil"/>
        </w:pBdr>
        <w:ind w:left="567" w:right="-737"/>
        <w:jc w:val="both"/>
        <w:rPr>
          <w:rFonts w:ascii="Palatino Linotype" w:eastAsia="Palatino Linotype" w:hAnsi="Palatino Linotype" w:cs="Palatino Linotype"/>
          <w:i/>
          <w:iCs/>
        </w:rPr>
      </w:pPr>
    </w:p>
    <w:p w:rsidR="00DE4354" w:rsidRDefault="00864E7B">
      <w:pPr>
        <w:pBdr>
          <w:top w:val="nil"/>
          <w:left w:val="nil"/>
          <w:bottom w:val="nil"/>
          <w:right w:val="nil"/>
          <w:between w:val="nil"/>
        </w:pBdr>
        <w:ind w:left="567" w:right="-737"/>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Artículo 78. </w:t>
      </w:r>
      <w:r>
        <w:rPr>
          <w:rFonts w:ascii="Palatino Linotype" w:eastAsia="Palatino Linotype" w:hAnsi="Palatino Linotype" w:cs="Palatino Linotype"/>
          <w:b/>
          <w:bCs/>
          <w:i/>
          <w:iCs/>
        </w:rPr>
        <w:t>Es facultad de la Dirección de Protección Civil y Bomberos</w:t>
      </w:r>
      <w:r>
        <w:rPr>
          <w:rFonts w:ascii="Palatino Linotype" w:eastAsia="Palatino Linotype" w:hAnsi="Palatino Linotype" w:cs="Palatino Linotype"/>
          <w:i/>
          <w:iCs/>
        </w:rPr>
        <w:t xml:space="preserve">, a solicitud del interesado, mediante denuncia ciudadana o de oficio, </w:t>
      </w:r>
      <w:r>
        <w:rPr>
          <w:rFonts w:ascii="Palatino Linotype" w:eastAsia="Palatino Linotype" w:hAnsi="Palatino Linotype" w:cs="Palatino Linotype"/>
          <w:b/>
          <w:bCs/>
          <w:i/>
          <w:iCs/>
        </w:rPr>
        <w:t>llevar a cabo valoraciones de riesgo</w:t>
      </w:r>
      <w:r>
        <w:rPr>
          <w:rFonts w:ascii="Palatino Linotype" w:eastAsia="Palatino Linotype" w:hAnsi="Palatino Linotype" w:cs="Palatino Linotype"/>
          <w:i/>
          <w:iCs/>
        </w:rPr>
        <w:t xml:space="preserve"> en edificios públicos y privados ubicados en el territorio municipal, así como en zonas de riesgo para prevenir o cuando se detecte alguna afectación originada por un fenómeno perturbador de carácter natural y/o antrópico; emitirá las recomendaciones y medidas de seguridad necesarias a efecto de mitigar o eliminar el riesgo existente. </w:t>
      </w:r>
    </w:p>
    <w:p w:rsidR="00DE4354" w:rsidRDefault="00DE4354">
      <w:pPr>
        <w:pBdr>
          <w:top w:val="nil"/>
          <w:left w:val="nil"/>
          <w:bottom w:val="nil"/>
          <w:right w:val="nil"/>
          <w:between w:val="nil"/>
        </w:pBdr>
        <w:ind w:left="567" w:right="-737"/>
        <w:jc w:val="both"/>
        <w:rPr>
          <w:rFonts w:ascii="Palatino Linotype" w:eastAsia="Palatino Linotype" w:hAnsi="Palatino Linotype" w:cs="Palatino Linotype"/>
          <w:i/>
          <w:iCs/>
        </w:rPr>
      </w:pPr>
    </w:p>
    <w:p w:rsidR="00DE4354" w:rsidRDefault="00864E7B">
      <w:pPr>
        <w:pBdr>
          <w:top w:val="nil"/>
          <w:left w:val="nil"/>
          <w:bottom w:val="nil"/>
          <w:right w:val="nil"/>
          <w:between w:val="nil"/>
        </w:pBdr>
        <w:ind w:left="567" w:right="-737"/>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Asimismo, es facultad de la Dirección de Protección Civil y Bomberos, en caso de riesgo o siniestro que ponga en peligro la vida, la integridad física o patrimonial de cualquier persona, mediante los cuerpos de emergencia (Bomberos, Rescate Urbano, Atención Pre-hospitalaria y Normatividad), ingresar de cualquier manera a todo inmueble o unidad económica con las facultades que le confieren los ordenamientos legales vigentes en la materia, anteponiendo el </w:t>
      </w:r>
      <w:r>
        <w:rPr>
          <w:rFonts w:ascii="Palatino Linotype" w:eastAsia="Palatino Linotype" w:hAnsi="Palatino Linotype" w:cs="Palatino Linotype"/>
          <w:i/>
          <w:iCs/>
        </w:rPr>
        <w:lastRenderedPageBreak/>
        <w:t>interés jurídico de la vida de todo ser humano a fin de reducir los efectos ocasionados por el fenómeno perturbador.</w:t>
      </w:r>
    </w:p>
    <w:p w:rsidR="00DE4354" w:rsidRDefault="00DE4354">
      <w:pPr>
        <w:pBdr>
          <w:top w:val="nil"/>
          <w:left w:val="nil"/>
          <w:bottom w:val="nil"/>
          <w:right w:val="nil"/>
          <w:between w:val="nil"/>
        </w:pBdr>
        <w:spacing w:line="360" w:lineRule="auto"/>
        <w:ind w:right="-737"/>
        <w:rPr>
          <w:rFonts w:ascii="Palatino Linotype" w:eastAsia="Palatino Linotype" w:hAnsi="Palatino Linotype" w:cs="Palatino Linotype"/>
          <w:b/>
          <w:bCs/>
          <w:color w:val="000000"/>
        </w:rPr>
      </w:pPr>
    </w:p>
    <w:p w:rsidR="00DE4354" w:rsidRDefault="00864E7B">
      <w:pPr>
        <w:numPr>
          <w:ilvl w:val="0"/>
          <w:numId w:val="2"/>
        </w:numPr>
        <w:spacing w:line="360" w:lineRule="auto"/>
        <w:ind w:left="0" w:right="-73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 lo expuesto es de precisar que la respuesta fue emitida por la </w:t>
      </w:r>
      <w:r>
        <w:rPr>
          <w:rFonts w:ascii="Palatino Linotype" w:eastAsia="Palatino Linotype" w:hAnsi="Palatino Linotype" w:cs="Palatino Linotype"/>
          <w:b/>
          <w:bCs/>
        </w:rPr>
        <w:t>Dirección de Medio Ambiente y Ecología</w:t>
      </w:r>
      <w:r>
        <w:rPr>
          <w:rFonts w:ascii="Palatino Linotype" w:eastAsia="Palatino Linotype" w:hAnsi="Palatino Linotype" w:cs="Palatino Linotype"/>
        </w:rPr>
        <w:t xml:space="preserve"> y la </w:t>
      </w:r>
      <w:r>
        <w:rPr>
          <w:rFonts w:ascii="Palatino Linotype" w:eastAsia="Palatino Linotype" w:hAnsi="Palatino Linotype" w:cs="Palatino Linotype"/>
          <w:b/>
          <w:bCs/>
        </w:rPr>
        <w:t>Dirección de Protección Civil y Bomberos</w:t>
      </w:r>
      <w:r>
        <w:rPr>
          <w:rFonts w:ascii="Palatino Linotype" w:eastAsia="Palatino Linotype" w:hAnsi="Palatino Linotype" w:cs="Palatino Linotype"/>
        </w:rPr>
        <w:t xml:space="preserve">, por lo que podemos advertir que </w:t>
      </w:r>
      <w:r>
        <w:rPr>
          <w:rFonts w:ascii="Palatino Linotype" w:eastAsia="Palatino Linotype" w:hAnsi="Palatino Linotype" w:cs="Palatino Linotype"/>
          <w:b/>
          <w:bCs/>
        </w:rPr>
        <w:t xml:space="preserve">EL SUJETO OBLIGADO </w:t>
      </w:r>
      <w:r>
        <w:rPr>
          <w:rFonts w:ascii="Palatino Linotype" w:eastAsia="Palatino Linotype" w:hAnsi="Palatino Linotype" w:cs="Palatino Linotype"/>
        </w:rPr>
        <w:t>siguió el procedimiento inmerso en la normatividad aplicable, ya que turnó el requerimiento de información a la unidad administrativa competente, vigilando lo establecido por el artículo 162 de la Ley de Transparencia y Acceso a la Información Pública del Estado de México y Municipios, al turnar la solicitud de información al área en la que pudiera obrar la información de conformidad con la fracción XXXIX del artículo tercero de la legislación local vigente en materia de transparencia:</w:t>
      </w:r>
    </w:p>
    <w:p w:rsidR="00DE4354" w:rsidRDefault="00864E7B">
      <w:pPr>
        <w:ind w:left="708" w:right="-737"/>
        <w:jc w:val="both"/>
        <w:rPr>
          <w:rFonts w:ascii="Palatino Linotype" w:eastAsia="Palatino Linotype" w:hAnsi="Palatino Linotype" w:cs="Palatino Linotype"/>
          <w:i/>
          <w:iCs/>
        </w:rPr>
      </w:pPr>
      <w:r>
        <w:rPr>
          <w:rFonts w:ascii="Palatino Linotype" w:eastAsia="Palatino Linotype" w:hAnsi="Palatino Linotype" w:cs="Palatino Linotype"/>
          <w:b/>
          <w:bCs/>
          <w:i/>
          <w:iCs/>
        </w:rPr>
        <w:t>XXXIX.</w:t>
      </w:r>
      <w:r>
        <w:rPr>
          <w:rFonts w:ascii="Palatino Linotype" w:eastAsia="Palatino Linotype" w:hAnsi="Palatino Linotype" w:cs="Palatino Linotype"/>
          <w:i/>
          <w:iCs/>
        </w:rPr>
        <w:t xml:space="preserve"> </w:t>
      </w:r>
      <w:r>
        <w:rPr>
          <w:rFonts w:ascii="Palatino Linotype" w:eastAsia="Palatino Linotype" w:hAnsi="Palatino Linotype" w:cs="Palatino Linotype"/>
          <w:b/>
          <w:bCs/>
          <w:i/>
          <w:iCs/>
        </w:rPr>
        <w:t>Servidor público habilitado</w:t>
      </w:r>
      <w:r>
        <w:rPr>
          <w:rFonts w:ascii="Palatino Linotype" w:eastAsia="Palatino Linotype" w:hAnsi="Palatino Linotype" w:cs="Palatino Linotype"/>
          <w:i/>
          <w:iCs/>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DE4354" w:rsidRDefault="00DE4354">
      <w:pPr>
        <w:spacing w:line="360" w:lineRule="auto"/>
        <w:ind w:left="708" w:right="-737"/>
        <w:jc w:val="both"/>
        <w:rPr>
          <w:rFonts w:ascii="Palatino Linotype" w:eastAsia="Palatino Linotype" w:hAnsi="Palatino Linotype" w:cs="Palatino Linotype"/>
        </w:rPr>
      </w:pPr>
    </w:p>
    <w:p w:rsidR="00DE4354" w:rsidRDefault="00864E7B">
      <w:pPr>
        <w:numPr>
          <w:ilvl w:val="0"/>
          <w:numId w:val="2"/>
        </w:numPr>
        <w:spacing w:line="360" w:lineRule="auto"/>
        <w:ind w:left="0" w:right="-737" w:firstLine="0"/>
        <w:jc w:val="both"/>
        <w:rPr>
          <w:rFonts w:ascii="Palatino Linotype" w:eastAsia="Palatino Linotype" w:hAnsi="Palatino Linotype" w:cs="Palatino Linotype"/>
        </w:rPr>
      </w:pPr>
      <w:r>
        <w:rPr>
          <w:rFonts w:ascii="Palatino Linotype" w:eastAsia="Palatino Linotype" w:hAnsi="Palatino Linotype" w:cs="Palatino Linotype"/>
        </w:rPr>
        <w:t>Así las cosas, se advierte que efectivamente la Unidad de Transparencia cumplió con lo establecido en el artículo 162 de la Ley de Transparencia y Acceso a la Información Pública del Estado de México y Municipios, el cual menciona lo siguiente:</w:t>
      </w:r>
    </w:p>
    <w:p w:rsidR="00DE4354" w:rsidRDefault="00864E7B">
      <w:pPr>
        <w:ind w:left="425" w:right="-737"/>
        <w:jc w:val="both"/>
        <w:rPr>
          <w:rFonts w:ascii="Palatino Linotype" w:eastAsia="Palatino Linotype" w:hAnsi="Palatino Linotype" w:cs="Palatino Linotype"/>
          <w:i/>
          <w:iCs/>
        </w:rPr>
      </w:pPr>
      <w:r>
        <w:rPr>
          <w:rFonts w:ascii="Palatino Linotype" w:eastAsia="Palatino Linotype" w:hAnsi="Palatino Linotype" w:cs="Palatino Linotype"/>
          <w:i/>
          <w:iCs/>
        </w:rPr>
        <w:t>“</w:t>
      </w:r>
      <w:r>
        <w:rPr>
          <w:rFonts w:ascii="Palatino Linotype" w:eastAsia="Palatino Linotype" w:hAnsi="Palatino Linotype" w:cs="Palatino Linotype"/>
          <w:b/>
          <w:bCs/>
          <w:i/>
          <w:iCs/>
        </w:rPr>
        <w:t>Artículo 162.</w:t>
      </w:r>
      <w:r>
        <w:rPr>
          <w:rFonts w:ascii="Palatino Linotype" w:eastAsia="Palatino Linotype" w:hAnsi="Palatino Linotype" w:cs="Palatino Linotype"/>
          <w:i/>
          <w:iCs/>
        </w:rPr>
        <w:t xml:space="preserve"> Las unidades de transparencia deberán garantizar que las solicitudes se turnen a </w:t>
      </w:r>
      <w:r>
        <w:rPr>
          <w:rFonts w:ascii="Palatino Linotype" w:eastAsia="Palatino Linotype" w:hAnsi="Palatino Linotype" w:cs="Palatino Linotype"/>
          <w:b/>
          <w:bCs/>
          <w:i/>
          <w:iCs/>
        </w:rPr>
        <w:t>todas las Áreas competentes</w:t>
      </w:r>
      <w:r>
        <w:rPr>
          <w:rFonts w:ascii="Palatino Linotype" w:eastAsia="Palatino Linotype" w:hAnsi="Palatino Linotype" w:cs="Palatino Linotype"/>
          <w:i/>
          <w:iCs/>
        </w:rPr>
        <w:t xml:space="preserve"> que cuenten con la información o deban tenerla de acuerdo a sus facultades, competencias y funciones, con el objeto de que realicen una búsqueda exhaustiva y razonable de la información solicitada.”</w:t>
      </w:r>
    </w:p>
    <w:p w:rsidR="00DE4354" w:rsidRDefault="00DE4354">
      <w:pPr>
        <w:spacing w:line="360" w:lineRule="auto"/>
        <w:ind w:right="-737"/>
        <w:jc w:val="both"/>
        <w:rPr>
          <w:rFonts w:ascii="Palatino Linotype" w:eastAsia="Palatino Linotype" w:hAnsi="Palatino Linotype" w:cs="Palatino Linotype"/>
          <w:color w:val="000000"/>
        </w:rPr>
      </w:pPr>
    </w:p>
    <w:p w:rsidR="00DE4354" w:rsidRDefault="00864E7B">
      <w:pPr>
        <w:numPr>
          <w:ilvl w:val="0"/>
          <w:numId w:val="2"/>
        </w:numPr>
        <w:spacing w:line="360" w:lineRule="auto"/>
        <w:ind w:left="0" w:right="-73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de </w:t>
      </w:r>
      <w:r>
        <w:rPr>
          <w:rFonts w:ascii="Palatino Linotype" w:eastAsia="Palatino Linotype" w:hAnsi="Palatino Linotype" w:cs="Palatino Linotype"/>
        </w:rPr>
        <w:t>subrayar</w:t>
      </w:r>
      <w:r>
        <w:rPr>
          <w:rFonts w:ascii="Palatino Linotype" w:eastAsia="Palatino Linotype" w:hAnsi="Palatino Linotype" w:cs="Palatino Linotype"/>
          <w:color w:val="000000"/>
        </w:rPr>
        <w:t xml:space="preserve"> que el derecho de acceso a la información pública, consiste en que la información </w:t>
      </w:r>
      <w:r>
        <w:rPr>
          <w:rFonts w:ascii="Palatino Linotype" w:eastAsia="Palatino Linotype" w:hAnsi="Palatino Linotype" w:cs="Palatino Linotype"/>
        </w:rPr>
        <w:t>solicitada</w:t>
      </w:r>
      <w:r>
        <w:rPr>
          <w:rFonts w:ascii="Palatino Linotype" w:eastAsia="Palatino Linotype" w:hAnsi="Palatino Linotype" w:cs="Palatino Linotype"/>
          <w:color w:val="000000"/>
        </w:rPr>
        <w:t xml:space="preserve"> conste en un soporte documental en cualquiera de sus formas, a saber: expedientes, reportes, estudios, actas, resoluciones, oficios, correspondencia, acuerdos, </w:t>
      </w:r>
      <w:r>
        <w:rPr>
          <w:rFonts w:ascii="Palatino Linotype" w:eastAsia="Palatino Linotype" w:hAnsi="Palatino Linotype" w:cs="Palatino Linotype"/>
          <w:color w:val="000000"/>
        </w:rPr>
        <w:lastRenderedPageBreak/>
        <w:t xml:space="preserve">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DE4354" w:rsidRDefault="00864E7B">
      <w:pPr>
        <w:ind w:left="1134" w:right="-737"/>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w:t>
      </w:r>
      <w:r>
        <w:rPr>
          <w:rFonts w:ascii="Palatino Linotype" w:eastAsia="Palatino Linotype" w:hAnsi="Palatino Linotype" w:cs="Palatino Linotype"/>
          <w:b/>
          <w:bCs/>
          <w:i/>
          <w:iCs/>
          <w:color w:val="000000"/>
        </w:rPr>
        <w:t xml:space="preserve">Artículo 3. </w:t>
      </w:r>
      <w:r>
        <w:rPr>
          <w:rFonts w:ascii="Palatino Linotype" w:eastAsia="Palatino Linotype" w:hAnsi="Palatino Linotype" w:cs="Palatino Linotype"/>
          <w:i/>
          <w:iCs/>
          <w:color w:val="000000"/>
        </w:rPr>
        <w:t>Para los efectos de la presente Ley se entenderá por:</w:t>
      </w:r>
    </w:p>
    <w:p w:rsidR="00DE4354" w:rsidRDefault="00864E7B">
      <w:pPr>
        <w:ind w:left="1134" w:right="-737"/>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w:t>
      </w:r>
    </w:p>
    <w:p w:rsidR="00DE4354" w:rsidRDefault="00864E7B">
      <w:pPr>
        <w:ind w:left="1134" w:right="-737"/>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i/>
          <w:iCs/>
          <w:color w:val="000000"/>
        </w:rPr>
        <w:t>XI. Documento:</w:t>
      </w:r>
      <w:r>
        <w:rPr>
          <w:rFonts w:ascii="Palatino Linotype" w:eastAsia="Palatino Linotype" w:hAnsi="Palatino Linotype" w:cs="Palatino Linotype"/>
          <w:i/>
          <w:iCs/>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DE4354" w:rsidRDefault="00864E7B">
      <w:pPr>
        <w:spacing w:line="360" w:lineRule="auto"/>
        <w:ind w:left="1134" w:right="-737"/>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w:t>
      </w:r>
    </w:p>
    <w:p w:rsidR="00DE4354" w:rsidRDefault="00DE4354">
      <w:pPr>
        <w:ind w:right="-737"/>
        <w:jc w:val="both"/>
        <w:rPr>
          <w:rFonts w:ascii="Palatino Linotype" w:eastAsia="Palatino Linotype" w:hAnsi="Palatino Linotype" w:cs="Palatino Linotype"/>
        </w:rPr>
      </w:pPr>
    </w:p>
    <w:p w:rsidR="00DE4354" w:rsidRDefault="00864E7B">
      <w:pPr>
        <w:numPr>
          <w:ilvl w:val="0"/>
          <w:numId w:val="2"/>
        </w:numPr>
        <w:spacing w:line="360" w:lineRule="auto"/>
        <w:ind w:left="0" w:right="-737" w:firstLine="0"/>
        <w:jc w:val="both"/>
        <w:rPr>
          <w:rFonts w:ascii="Palatino Linotype" w:eastAsia="Palatino Linotype" w:hAnsi="Palatino Linotype" w:cs="Palatino Linotype"/>
          <w:color w:val="000000"/>
        </w:rPr>
      </w:pPr>
      <w:r>
        <w:rPr>
          <w:rFonts w:ascii="Palatino Linotype" w:eastAsia="Palatino Linotype" w:hAnsi="Palatino Linotype" w:cs="Palatino Linotype"/>
        </w:rPr>
        <w:t>Siendo</w:t>
      </w:r>
      <w:r>
        <w:rPr>
          <w:rFonts w:ascii="Palatino Linotype" w:eastAsia="Palatino Linotype" w:hAnsi="Palatino Linotype" w:cs="Palatino Linotype"/>
          <w:color w:val="000000"/>
        </w:rPr>
        <w:t xml:space="preserve"> aplicable el Criterio de interpretación en el orden administrativo número 0002-11, emitido por </w:t>
      </w:r>
      <w:r>
        <w:rPr>
          <w:rFonts w:ascii="Palatino Linotype" w:eastAsia="Palatino Linotype" w:hAnsi="Palatino Linotype" w:cs="Palatino Linotype"/>
        </w:rPr>
        <w:t>Acuerdo</w:t>
      </w:r>
      <w:r>
        <w:rPr>
          <w:rFonts w:ascii="Palatino Linotype" w:eastAsia="Palatino Linotype" w:hAnsi="Palatino Linotype" w:cs="Palatino Linotype"/>
          <w:color w:val="000000"/>
        </w:rPr>
        <w:t xml:space="preserve">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DE4354" w:rsidRDefault="00864E7B">
      <w:pPr>
        <w:ind w:left="850" w:right="-737"/>
        <w:jc w:val="both"/>
        <w:rPr>
          <w:rFonts w:ascii="Palatino Linotype" w:eastAsia="Palatino Linotype" w:hAnsi="Palatino Linotype" w:cs="Palatino Linotype"/>
          <w:b/>
          <w:bCs/>
          <w:i/>
          <w:iCs/>
        </w:rPr>
      </w:pPr>
      <w:r>
        <w:rPr>
          <w:rFonts w:ascii="Palatino Linotype" w:eastAsia="Palatino Linotype" w:hAnsi="Palatino Linotype" w:cs="Palatino Linotype"/>
          <w:b/>
          <w:bCs/>
        </w:rPr>
        <w:t>“</w:t>
      </w:r>
      <w:r>
        <w:rPr>
          <w:rFonts w:ascii="Palatino Linotype" w:eastAsia="Palatino Linotype" w:hAnsi="Palatino Linotype" w:cs="Palatino Linotype"/>
          <w:b/>
          <w:bCs/>
          <w:i/>
          <w:iCs/>
        </w:rPr>
        <w:t>CRITERIO 0002-11</w:t>
      </w:r>
    </w:p>
    <w:p w:rsidR="00DE4354" w:rsidRDefault="00864E7B">
      <w:pPr>
        <w:ind w:left="850" w:right="-737"/>
        <w:jc w:val="both"/>
        <w:rPr>
          <w:rFonts w:ascii="Palatino Linotype" w:eastAsia="Palatino Linotype" w:hAnsi="Palatino Linotype" w:cs="Palatino Linotype"/>
          <w:i/>
          <w:iCs/>
        </w:rPr>
      </w:pPr>
      <w:r>
        <w:rPr>
          <w:rFonts w:ascii="Palatino Linotype" w:eastAsia="Palatino Linotype" w:hAnsi="Palatino Linotype" w:cs="Palatino Linotype"/>
          <w:b/>
          <w:bCs/>
          <w:i/>
          <w:iCs/>
        </w:rPr>
        <w:t>INFORMACIÓN PÚBLICA, CONCEPTO DE, EN MATERIA DE TRANSPARENCIA. INTERPRETACIÓN SISTEMÁTICA DE LOS ARTÍCULOS 2°, FRACCIÓN V, XV, Y XVI, 3°, 4°, 11 Y 41.</w:t>
      </w:r>
      <w:r>
        <w:rPr>
          <w:rFonts w:ascii="Palatino Linotype" w:eastAsia="Palatino Linotype" w:hAnsi="Palatino Linotype" w:cs="Palatino Linotype"/>
          <w:i/>
          <w:iC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DE4354" w:rsidRDefault="00864E7B">
      <w:pPr>
        <w:ind w:left="850" w:right="-737"/>
        <w:jc w:val="both"/>
        <w:rPr>
          <w:rFonts w:ascii="Palatino Linotype" w:eastAsia="Palatino Linotype" w:hAnsi="Palatino Linotype" w:cs="Palatino Linotype"/>
          <w:i/>
          <w:iCs/>
        </w:rPr>
      </w:pPr>
      <w:r>
        <w:rPr>
          <w:rFonts w:ascii="Palatino Linotype" w:eastAsia="Palatino Linotype" w:hAnsi="Palatino Linotype" w:cs="Palatino Linotype"/>
          <w:i/>
          <w:iCs/>
        </w:rPr>
        <w:t>En consecuencia el acceso a la información se refiere a que se cumplan cualquiera de los siguientes tres supuestos:</w:t>
      </w:r>
    </w:p>
    <w:p w:rsidR="00DE4354" w:rsidRDefault="00864E7B">
      <w:pPr>
        <w:ind w:left="850" w:right="-737"/>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lastRenderedPageBreak/>
        <w:t xml:space="preserve">1) </w:t>
      </w:r>
      <w:r>
        <w:rPr>
          <w:rFonts w:ascii="Palatino Linotype" w:eastAsia="Palatino Linotype" w:hAnsi="Palatino Linotype" w:cs="Palatino Linotype"/>
          <w:b/>
          <w:bCs/>
          <w:i/>
          <w:iCs/>
          <w:u w:val="single"/>
        </w:rPr>
        <w:t>Que se trate de información registrada en cualquier soporte documental, que en ejercicio de las atribuciones conferidas, sea generada por los Sujetos Obligados;</w:t>
      </w:r>
    </w:p>
    <w:p w:rsidR="00DE4354" w:rsidRDefault="00864E7B">
      <w:pPr>
        <w:ind w:left="850" w:right="-737"/>
        <w:jc w:val="both"/>
        <w:rPr>
          <w:rFonts w:ascii="Palatino Linotype" w:eastAsia="Palatino Linotype" w:hAnsi="Palatino Linotype" w:cs="Palatino Linotype"/>
          <w:i/>
          <w:iCs/>
        </w:rPr>
      </w:pPr>
      <w:r>
        <w:rPr>
          <w:rFonts w:ascii="Palatino Linotype" w:eastAsia="Palatino Linotype" w:hAnsi="Palatino Linotype" w:cs="Palatino Linotype"/>
          <w:i/>
          <w:iCs/>
        </w:rPr>
        <w:t>2) Que se trate de información registrada en cualquier soporte documental, que en ejercicio de las atribuciones conferidas, sea administrada por los Sujetos Obligados, y</w:t>
      </w:r>
    </w:p>
    <w:p w:rsidR="00DE4354" w:rsidRDefault="00864E7B">
      <w:pPr>
        <w:ind w:left="850" w:right="-737"/>
        <w:jc w:val="both"/>
        <w:rPr>
          <w:rFonts w:ascii="Palatino Linotype" w:eastAsia="Palatino Linotype" w:hAnsi="Palatino Linotype" w:cs="Palatino Linotype"/>
          <w:i/>
          <w:iCs/>
        </w:rPr>
      </w:pPr>
      <w:r>
        <w:rPr>
          <w:rFonts w:ascii="Palatino Linotype" w:eastAsia="Palatino Linotype" w:hAnsi="Palatino Linotype" w:cs="Palatino Linotype"/>
          <w:i/>
          <w:iCs/>
        </w:rPr>
        <w:t>3) Que se trate de información registrada en cualquier soporte documental, que en ejercicio de las atribuciones conferidas, se encuentre en posesión de los Sujetos Obligados.”</w:t>
      </w:r>
    </w:p>
    <w:p w:rsidR="00DE4354" w:rsidRDefault="00864E7B">
      <w:pPr>
        <w:tabs>
          <w:tab w:val="left" w:pos="851"/>
        </w:tabs>
        <w:spacing w:line="360" w:lineRule="auto"/>
        <w:ind w:left="850" w:right="-737"/>
        <w:rPr>
          <w:rFonts w:ascii="Palatino Linotype" w:eastAsia="Palatino Linotype" w:hAnsi="Palatino Linotype" w:cs="Palatino Linotype"/>
        </w:rPr>
      </w:pPr>
      <w:r>
        <w:rPr>
          <w:rFonts w:ascii="Palatino Linotype" w:eastAsia="Palatino Linotype" w:hAnsi="Palatino Linotype" w:cs="Palatino Linotype"/>
        </w:rPr>
        <w:t>(Énfasis Añadido)</w:t>
      </w:r>
    </w:p>
    <w:p w:rsidR="00DE4354" w:rsidRDefault="00DE4354">
      <w:pPr>
        <w:pBdr>
          <w:top w:val="nil"/>
          <w:left w:val="nil"/>
          <w:bottom w:val="nil"/>
          <w:right w:val="nil"/>
          <w:between w:val="nil"/>
        </w:pBdr>
        <w:ind w:right="-737"/>
        <w:jc w:val="both"/>
        <w:rPr>
          <w:rFonts w:ascii="Palatino Linotype" w:eastAsia="Palatino Linotype" w:hAnsi="Palatino Linotype" w:cs="Palatino Linotype"/>
          <w:color w:val="000000"/>
        </w:rPr>
      </w:pPr>
    </w:p>
    <w:p w:rsidR="00DE4354" w:rsidRDefault="00864E7B">
      <w:pPr>
        <w:numPr>
          <w:ilvl w:val="0"/>
          <w:numId w:val="2"/>
        </w:numPr>
        <w:spacing w:line="360" w:lineRule="auto"/>
        <w:ind w:left="0" w:right="-73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su parte </w:t>
      </w:r>
      <w:r>
        <w:rPr>
          <w:rFonts w:ascii="Palatino Linotype" w:eastAsia="Palatino Linotype" w:hAnsi="Palatino Linotype" w:cs="Palatino Linotype"/>
        </w:rPr>
        <w:t>los</w:t>
      </w:r>
      <w:r>
        <w:rPr>
          <w:rFonts w:ascii="Palatino Linotype" w:eastAsia="Palatino Linotype" w:hAnsi="Palatino Linotype" w:cs="Palatino Linotype"/>
          <w:color w:val="000000"/>
        </w:rPr>
        <w:t xml:space="preserve"> artículos 160 y 166, de la Ley local en la materia, que se reproduce de la siguiente forma:</w:t>
      </w:r>
    </w:p>
    <w:p w:rsidR="00DE4354" w:rsidRDefault="00864E7B">
      <w:pPr>
        <w:ind w:left="566" w:right="-737"/>
        <w:jc w:val="both"/>
        <w:rPr>
          <w:rFonts w:ascii="Palatino Linotype" w:eastAsia="Palatino Linotype" w:hAnsi="Palatino Linotype" w:cs="Palatino Linotype"/>
          <w:i/>
          <w:iCs/>
        </w:rPr>
      </w:pPr>
      <w:r>
        <w:rPr>
          <w:rFonts w:ascii="Palatino Linotype" w:eastAsia="Palatino Linotype" w:hAnsi="Palatino Linotype" w:cs="Palatino Linotype"/>
          <w:i/>
          <w:iCs/>
        </w:rPr>
        <w:t>“</w:t>
      </w:r>
      <w:r>
        <w:rPr>
          <w:rFonts w:ascii="Palatino Linotype" w:eastAsia="Palatino Linotype" w:hAnsi="Palatino Linotype" w:cs="Palatino Linotype"/>
          <w:b/>
          <w:bCs/>
          <w:i/>
          <w:iCs/>
        </w:rPr>
        <w:t>Artículo 160.</w:t>
      </w:r>
      <w:r>
        <w:rPr>
          <w:rFonts w:ascii="Palatino Linotype" w:eastAsia="Palatino Linotype" w:hAnsi="Palatino Linotype" w:cs="Palatino Linotype"/>
          <w:i/>
          <w:iCs/>
        </w:rPr>
        <w:t xml:space="preserve"> </w:t>
      </w:r>
      <w:r>
        <w:rPr>
          <w:rFonts w:ascii="Palatino Linotype" w:eastAsia="Palatino Linotype" w:hAnsi="Palatino Linotype" w:cs="Palatino Linotype"/>
          <w:i/>
          <w:iCs/>
          <w:u w:val="single"/>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Pr>
          <w:rFonts w:ascii="Palatino Linotype" w:eastAsia="Palatino Linotype" w:hAnsi="Palatino Linotype" w:cs="Palatino Linotype"/>
          <w:i/>
          <w:iCs/>
        </w:rPr>
        <w:t>.</w:t>
      </w:r>
    </w:p>
    <w:p w:rsidR="00DE4354" w:rsidRDefault="00DE4354">
      <w:pPr>
        <w:ind w:left="566" w:right="-737"/>
        <w:jc w:val="both"/>
        <w:rPr>
          <w:rFonts w:ascii="Palatino Linotype" w:eastAsia="Palatino Linotype" w:hAnsi="Palatino Linotype" w:cs="Palatino Linotype"/>
          <w:i/>
          <w:iCs/>
        </w:rPr>
      </w:pPr>
    </w:p>
    <w:p w:rsidR="00DE4354" w:rsidRDefault="00864E7B">
      <w:pPr>
        <w:ind w:left="566" w:right="-737"/>
        <w:jc w:val="both"/>
        <w:rPr>
          <w:rFonts w:ascii="Palatino Linotype" w:eastAsia="Palatino Linotype" w:hAnsi="Palatino Linotype" w:cs="Palatino Linotype"/>
          <w:i/>
          <w:iCs/>
        </w:rPr>
      </w:pPr>
      <w:r>
        <w:rPr>
          <w:rFonts w:ascii="Palatino Linotype" w:eastAsia="Palatino Linotype" w:hAnsi="Palatino Linotype" w:cs="Palatino Linotype"/>
          <w:i/>
          <w:iCs/>
        </w:rPr>
        <w:t>En caso que la información solicitada consista en bases de datos se deberá privilegiar la entrega de la misma en formatos abiertos.</w:t>
      </w:r>
    </w:p>
    <w:p w:rsidR="00DE4354" w:rsidRDefault="00864E7B">
      <w:pPr>
        <w:ind w:left="566" w:right="-737"/>
        <w:jc w:val="both"/>
        <w:rPr>
          <w:rFonts w:ascii="Palatino Linotype" w:eastAsia="Palatino Linotype" w:hAnsi="Palatino Linotype" w:cs="Palatino Linotype"/>
          <w:i/>
          <w:iCs/>
          <w:u w:val="single"/>
        </w:rPr>
      </w:pPr>
      <w:r>
        <w:rPr>
          <w:rFonts w:ascii="Palatino Linotype" w:eastAsia="Palatino Linotype" w:hAnsi="Palatino Linotype" w:cs="Palatino Linotype"/>
          <w:b/>
          <w:bCs/>
          <w:i/>
          <w:iCs/>
        </w:rPr>
        <w:t>Artículo 166.</w:t>
      </w:r>
      <w:r>
        <w:rPr>
          <w:rFonts w:ascii="Palatino Linotype" w:eastAsia="Palatino Linotype" w:hAnsi="Palatino Linotype" w:cs="Palatino Linotype"/>
          <w:i/>
          <w:iCs/>
        </w:rPr>
        <w:t xml:space="preserve"> </w:t>
      </w:r>
      <w:r>
        <w:rPr>
          <w:rFonts w:ascii="Palatino Linotype" w:eastAsia="Palatino Linotype" w:hAnsi="Palatino Linotype" w:cs="Palatino Linotype"/>
          <w:i/>
          <w:iCs/>
          <w:u w:val="single"/>
        </w:rPr>
        <w:t>La obligación de acceso a la información pública se tendrá por cumplida cuando el solicitante tenga a su disposición la información requerida, o cuando realice la consulta de la misma en el lugar en el que ésta se localice.</w:t>
      </w:r>
    </w:p>
    <w:p w:rsidR="00DE4354" w:rsidRDefault="00864E7B">
      <w:pPr>
        <w:spacing w:line="360" w:lineRule="auto"/>
        <w:ind w:left="566" w:right="-737"/>
        <w:jc w:val="both"/>
        <w:rPr>
          <w:rFonts w:ascii="Palatino Linotype" w:eastAsia="Palatino Linotype" w:hAnsi="Palatino Linotype" w:cs="Palatino Linotype"/>
        </w:rPr>
      </w:pPr>
      <w:r>
        <w:rPr>
          <w:rFonts w:ascii="Palatino Linotype" w:eastAsia="Palatino Linotype" w:hAnsi="Palatino Linotype" w:cs="Palatino Linotype"/>
        </w:rPr>
        <w:t>(Énfasis añadido)</w:t>
      </w:r>
    </w:p>
    <w:p w:rsidR="00DE4354" w:rsidRDefault="00DE4354">
      <w:pPr>
        <w:ind w:right="-737"/>
        <w:jc w:val="both"/>
        <w:rPr>
          <w:rFonts w:ascii="Palatino Linotype" w:eastAsia="Palatino Linotype" w:hAnsi="Palatino Linotype" w:cs="Palatino Linotype"/>
        </w:rPr>
      </w:pPr>
    </w:p>
    <w:p w:rsidR="00DE4354" w:rsidRDefault="00864E7B">
      <w:pPr>
        <w:numPr>
          <w:ilvl w:val="0"/>
          <w:numId w:val="2"/>
        </w:numPr>
        <w:spacing w:line="360" w:lineRule="auto"/>
        <w:ind w:left="0" w:right="-73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Así que la obligación de los Sujetos Obligados de dar acceso a la información pública que generen, </w:t>
      </w:r>
      <w:r>
        <w:rPr>
          <w:rFonts w:ascii="Palatino Linotype" w:eastAsia="Palatino Linotype" w:hAnsi="Palatino Linotype" w:cs="Palatino Linotype"/>
        </w:rPr>
        <w:t>administren</w:t>
      </w:r>
      <w:r>
        <w:rPr>
          <w:rFonts w:ascii="Palatino Linotype" w:eastAsia="Palatino Linotype" w:hAnsi="Palatino Linotype" w:cs="Palatino Linotype"/>
          <w:color w:val="000000"/>
        </w:rPr>
        <w:t xml:space="preserve"> o posean, se tendrá por cumplida cuando el solicitante tenga a su disposición la información requerida, o cuando realice la consulta de la misma en el lugar que ésta se localice, siempre y cuando así resultare procedente.</w:t>
      </w:r>
    </w:p>
    <w:p w:rsidR="00DE4354" w:rsidRDefault="00DE4354">
      <w:pPr>
        <w:spacing w:line="360" w:lineRule="auto"/>
        <w:ind w:right="-737"/>
        <w:jc w:val="both"/>
        <w:rPr>
          <w:rFonts w:ascii="Palatino Linotype" w:eastAsia="Palatino Linotype" w:hAnsi="Palatino Linotype" w:cs="Palatino Linotype"/>
          <w:color w:val="000000"/>
        </w:rPr>
      </w:pPr>
    </w:p>
    <w:p w:rsidR="00DE4354" w:rsidRDefault="00864E7B">
      <w:pPr>
        <w:numPr>
          <w:ilvl w:val="0"/>
          <w:numId w:val="7"/>
        </w:numPr>
        <w:pBdr>
          <w:top w:val="nil"/>
          <w:left w:val="nil"/>
          <w:bottom w:val="nil"/>
          <w:right w:val="nil"/>
          <w:between w:val="nil"/>
        </w:pBdr>
        <w:tabs>
          <w:tab w:val="left" w:pos="0"/>
          <w:tab w:val="left" w:pos="567"/>
        </w:tabs>
        <w:spacing w:line="360" w:lineRule="auto"/>
        <w:ind w:left="0" w:right="-737" w:firstLine="0"/>
        <w:jc w:val="both"/>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t xml:space="preserve">De la naturaleza de la información solicitada. </w:t>
      </w:r>
    </w:p>
    <w:p w:rsidR="00DE4354" w:rsidRDefault="00864E7B">
      <w:pPr>
        <w:numPr>
          <w:ilvl w:val="0"/>
          <w:numId w:val="2"/>
        </w:numPr>
        <w:spacing w:line="360" w:lineRule="auto"/>
        <w:ind w:left="0" w:right="-73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Se </w:t>
      </w:r>
      <w:r>
        <w:rPr>
          <w:rFonts w:ascii="Palatino Linotype" w:eastAsia="Palatino Linotype" w:hAnsi="Palatino Linotype" w:cs="Palatino Linotype"/>
          <w:color w:val="000000"/>
        </w:rPr>
        <w:t>precisa</w:t>
      </w:r>
      <w:r>
        <w:rPr>
          <w:rFonts w:ascii="Palatino Linotype" w:eastAsia="Palatino Linotype" w:hAnsi="Palatino Linotype" w:cs="Palatino Linotype"/>
        </w:rPr>
        <w:t xml:space="preserve"> </w:t>
      </w:r>
      <w:r>
        <w:rPr>
          <w:rFonts w:ascii="Palatino Linotype" w:eastAsia="Palatino Linotype" w:hAnsi="Palatino Linotype" w:cs="Palatino Linotype"/>
          <w:color w:val="000000"/>
        </w:rPr>
        <w:t>que</w:t>
      </w:r>
      <w:r>
        <w:rPr>
          <w:rFonts w:ascii="Palatino Linotype" w:eastAsia="Palatino Linotype" w:hAnsi="Palatino Linotype" w:cs="Palatino Linotype"/>
        </w:rPr>
        <w:t xml:space="preserve"> se obvia el análisis de la competencia por parte del </w:t>
      </w:r>
      <w:r>
        <w:rPr>
          <w:rFonts w:ascii="Palatino Linotype" w:eastAsia="Palatino Linotype" w:hAnsi="Palatino Linotype" w:cs="Palatino Linotype"/>
          <w:b/>
          <w:bCs/>
        </w:rPr>
        <w:t>SUJETO OBLIGADO</w:t>
      </w:r>
      <w:r>
        <w:rPr>
          <w:rFonts w:ascii="Palatino Linotype" w:eastAsia="Palatino Linotype" w:hAnsi="Palatino Linotype" w:cs="Palatino Linotype"/>
        </w:rPr>
        <w:t xml:space="preserve">, para generar, administrar o poseer la información solicitada, dado que éste ha </w:t>
      </w:r>
      <w:r>
        <w:rPr>
          <w:rFonts w:ascii="Palatino Linotype" w:eastAsia="Palatino Linotype" w:hAnsi="Palatino Linotype" w:cs="Palatino Linotype"/>
        </w:rPr>
        <w:lastRenderedPageBreak/>
        <w:t>asumido la misma, en razón de que en su respuesta admitió contar con dicha información, tan es así que se pronunció sobre los puntos de solicitud.</w:t>
      </w:r>
    </w:p>
    <w:p w:rsidR="00DE4354" w:rsidRDefault="00DE4354">
      <w:pPr>
        <w:tabs>
          <w:tab w:val="left" w:pos="0"/>
          <w:tab w:val="left" w:pos="567"/>
        </w:tabs>
        <w:spacing w:line="360" w:lineRule="auto"/>
        <w:ind w:left="-566" w:right="-737"/>
        <w:jc w:val="both"/>
        <w:rPr>
          <w:rFonts w:ascii="Palatino Linotype" w:eastAsia="Palatino Linotype" w:hAnsi="Palatino Linotype" w:cs="Palatino Linotype"/>
        </w:rPr>
      </w:pPr>
    </w:p>
    <w:p w:rsidR="00DE4354" w:rsidRDefault="00864E7B">
      <w:pPr>
        <w:numPr>
          <w:ilvl w:val="0"/>
          <w:numId w:val="2"/>
        </w:numPr>
        <w:spacing w:line="360" w:lineRule="auto"/>
        <w:ind w:left="0" w:right="-737" w:firstLine="0"/>
        <w:jc w:val="both"/>
        <w:rPr>
          <w:rFonts w:ascii="Palatino Linotype" w:eastAsia="Palatino Linotype" w:hAnsi="Palatino Linotype" w:cs="Palatino Linotype"/>
        </w:rPr>
      </w:pPr>
      <w:bookmarkStart w:id="5" w:name="_heading=h.2s8eyo1" w:colFirst="0" w:colLast="0"/>
      <w:bookmarkEnd w:id="5"/>
      <w:r>
        <w:rPr>
          <w:rFonts w:ascii="Palatino Linotype" w:eastAsia="Palatino Linotype" w:hAnsi="Palatino Linotype" w:cs="Palatino Linotype"/>
        </w:rPr>
        <w:t xml:space="preserve">En efecto, el hecho de que </w:t>
      </w:r>
      <w:r>
        <w:rPr>
          <w:rFonts w:ascii="Palatino Linotype" w:eastAsia="Palatino Linotype" w:hAnsi="Palatino Linotype" w:cs="Palatino Linotype"/>
          <w:b/>
          <w:bCs/>
        </w:rPr>
        <w:t>EL SUJETO OBLIGADO</w:t>
      </w:r>
      <w:r>
        <w:rPr>
          <w:rFonts w:ascii="Palatino Linotype" w:eastAsia="Palatino Linotype" w:hAnsi="Palatino Linotype" w:cs="Palatino Linotype"/>
        </w:rPr>
        <w:t xml:space="preserve"> haya admitido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rsidR="00DE4354" w:rsidRDefault="00864E7B">
      <w:pPr>
        <w:tabs>
          <w:tab w:val="left" w:pos="8505"/>
        </w:tabs>
        <w:ind w:left="709" w:right="-737"/>
        <w:jc w:val="both"/>
        <w:rPr>
          <w:rFonts w:ascii="Palatino Linotype" w:eastAsia="Palatino Linotype" w:hAnsi="Palatino Linotype" w:cs="Palatino Linotype"/>
          <w:i/>
          <w:iCs/>
        </w:rPr>
      </w:pPr>
      <w:r>
        <w:rPr>
          <w:rFonts w:ascii="Palatino Linotype" w:eastAsia="Palatino Linotype" w:hAnsi="Palatino Linotype" w:cs="Palatino Linotype"/>
          <w:i/>
          <w:iCs/>
        </w:rPr>
        <w:t>“</w:t>
      </w:r>
      <w:r>
        <w:rPr>
          <w:rFonts w:ascii="Palatino Linotype" w:eastAsia="Palatino Linotype" w:hAnsi="Palatino Linotype" w:cs="Palatino Linotype"/>
          <w:b/>
          <w:bCs/>
          <w:i/>
          <w:iCs/>
        </w:rPr>
        <w:t>Artículo 12.</w:t>
      </w:r>
      <w:r>
        <w:rPr>
          <w:rFonts w:ascii="Palatino Linotype" w:eastAsia="Palatino Linotype" w:hAnsi="Palatino Linotype" w:cs="Palatino Linotype"/>
          <w:i/>
          <w:iCs/>
        </w:rPr>
        <w:t> Quienes generen, recopilen, administren, manejen, procesen, archiven o conserven información pública serán responsables de la misma en los términos de las disposiciones jurídicas aplicables.</w:t>
      </w:r>
    </w:p>
    <w:p w:rsidR="00DE4354" w:rsidRDefault="00DE4354">
      <w:pPr>
        <w:tabs>
          <w:tab w:val="left" w:pos="8505"/>
        </w:tabs>
        <w:ind w:left="709" w:right="-737"/>
        <w:jc w:val="both"/>
        <w:rPr>
          <w:rFonts w:ascii="Palatino Linotype" w:eastAsia="Palatino Linotype" w:hAnsi="Palatino Linotype" w:cs="Palatino Linotype"/>
          <w:i/>
          <w:iCs/>
        </w:rPr>
      </w:pPr>
    </w:p>
    <w:p w:rsidR="00DE4354" w:rsidRDefault="00864E7B">
      <w:pPr>
        <w:tabs>
          <w:tab w:val="left" w:pos="8505"/>
        </w:tabs>
        <w:ind w:left="709" w:right="-737"/>
        <w:jc w:val="both"/>
        <w:rPr>
          <w:rFonts w:ascii="Palatino Linotype" w:eastAsia="Palatino Linotype" w:hAnsi="Palatino Linotype" w:cs="Palatino Linotype"/>
          <w:i/>
          <w:iCs/>
        </w:rPr>
      </w:pPr>
      <w:r>
        <w:rPr>
          <w:rFonts w:ascii="Palatino Linotype" w:eastAsia="Palatino Linotype" w:hAnsi="Palatino Linotype" w:cs="Palatino Linotype"/>
          <w:i/>
          <w:iC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DE4354" w:rsidRDefault="00DE4354">
      <w:pPr>
        <w:tabs>
          <w:tab w:val="left" w:pos="8505"/>
        </w:tabs>
        <w:ind w:left="709" w:right="-737"/>
        <w:jc w:val="both"/>
        <w:rPr>
          <w:rFonts w:ascii="Palatino Linotype" w:eastAsia="Palatino Linotype" w:hAnsi="Palatino Linotype" w:cs="Palatino Linotype"/>
          <w:i/>
          <w:iCs/>
        </w:rPr>
      </w:pPr>
    </w:p>
    <w:p w:rsidR="00DE4354" w:rsidRDefault="00DE4354">
      <w:pPr>
        <w:pBdr>
          <w:top w:val="nil"/>
          <w:left w:val="nil"/>
          <w:bottom w:val="nil"/>
          <w:right w:val="nil"/>
          <w:between w:val="nil"/>
        </w:pBdr>
        <w:ind w:left="-566" w:right="-737"/>
        <w:rPr>
          <w:rFonts w:ascii="Palatino Linotype" w:eastAsia="Palatino Linotype" w:hAnsi="Palatino Linotype" w:cs="Palatino Linotype"/>
          <w:color w:val="000000"/>
        </w:rPr>
      </w:pPr>
    </w:p>
    <w:p w:rsidR="00DE4354" w:rsidRDefault="00864E7B">
      <w:pPr>
        <w:numPr>
          <w:ilvl w:val="0"/>
          <w:numId w:val="2"/>
        </w:numPr>
        <w:spacing w:line="360" w:lineRule="auto"/>
        <w:ind w:left="0" w:right="-737" w:firstLine="0"/>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Así, el estudio </w:t>
      </w:r>
      <w:r>
        <w:rPr>
          <w:rFonts w:ascii="Palatino Linotype" w:eastAsia="Palatino Linotype" w:hAnsi="Palatino Linotype" w:cs="Palatino Linotype"/>
          <w:color w:val="000000"/>
        </w:rPr>
        <w:t>de</w:t>
      </w:r>
      <w:r>
        <w:rPr>
          <w:rFonts w:ascii="Palatino Linotype" w:eastAsia="Palatino Linotype" w:hAnsi="Palatino Linotype" w:cs="Palatino Linotype"/>
        </w:rPr>
        <w:t xml:space="preserve"> </w:t>
      </w:r>
      <w:r>
        <w:rPr>
          <w:rFonts w:ascii="Palatino Linotype" w:eastAsia="Palatino Linotype" w:hAnsi="Palatino Linotype" w:cs="Palatino Linotype"/>
          <w:color w:val="000000"/>
        </w:rPr>
        <w:t>la</w:t>
      </w:r>
      <w:r>
        <w:rPr>
          <w:rFonts w:ascii="Palatino Linotype" w:eastAsia="Palatino Linotype" w:hAnsi="Palatino Linotype" w:cs="Palatino Linotype"/>
        </w:rPr>
        <w:t xml:space="preserve"> naturaleza jurídica de la información pública solicitada, tiene por objeto determinar si ésta la genera, posee o administra </w:t>
      </w:r>
      <w:r>
        <w:rPr>
          <w:rFonts w:ascii="Palatino Linotype" w:eastAsia="Palatino Linotype" w:hAnsi="Palatino Linotype" w:cs="Palatino Linotype"/>
          <w:b/>
          <w:bCs/>
        </w:rPr>
        <w:t>EL SUJETO OBLIGADO</w:t>
      </w:r>
      <w:r>
        <w:rPr>
          <w:rFonts w:ascii="Palatino Linotype" w:eastAsia="Palatino Linotype" w:hAnsi="Palatino Linotype" w:cs="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rsidR="00DE4354" w:rsidRDefault="00DE4354">
      <w:pPr>
        <w:spacing w:line="360" w:lineRule="auto"/>
        <w:ind w:right="-737"/>
        <w:jc w:val="both"/>
        <w:rPr>
          <w:rFonts w:ascii="Palatino Linotype" w:eastAsia="Palatino Linotype" w:hAnsi="Palatino Linotype" w:cs="Palatino Linotype"/>
          <w:color w:val="000000"/>
        </w:rPr>
      </w:pPr>
    </w:p>
    <w:p w:rsidR="00DE4354" w:rsidRDefault="00864E7B">
      <w:pPr>
        <w:numPr>
          <w:ilvl w:val="0"/>
          <w:numId w:val="2"/>
        </w:numPr>
        <w:spacing w:line="360" w:lineRule="auto"/>
        <w:ind w:left="0" w:right="-737" w:firstLine="0"/>
        <w:jc w:val="both"/>
        <w:rPr>
          <w:rFonts w:ascii="Palatino Linotype" w:eastAsia="Palatino Linotype" w:hAnsi="Palatino Linotype" w:cs="Palatino Linotype"/>
        </w:rPr>
      </w:pPr>
      <w:r>
        <w:rPr>
          <w:rFonts w:ascii="Palatino Linotype" w:eastAsia="Palatino Linotype" w:hAnsi="Palatino Linotype" w:cs="Palatino Linotype"/>
          <w:color w:val="000000"/>
        </w:rPr>
        <w:t>Ahora</w:t>
      </w:r>
      <w:r>
        <w:rPr>
          <w:rFonts w:ascii="Palatino Linotype" w:eastAsia="Palatino Linotype" w:hAnsi="Palatino Linotype" w:cs="Palatino Linotype"/>
        </w:rPr>
        <w:t xml:space="preserve"> bien, En el caso concreto, </w:t>
      </w:r>
      <w:r>
        <w:rPr>
          <w:rFonts w:ascii="Palatino Linotype" w:eastAsia="Palatino Linotype" w:hAnsi="Palatino Linotype" w:cs="Palatino Linotype"/>
          <w:b/>
          <w:bCs/>
        </w:rPr>
        <w:t>la particular pretende que la Presidenta Municipal de respuesta a los puntos de solicitud de información</w:t>
      </w:r>
      <w:r>
        <w:rPr>
          <w:rFonts w:ascii="Palatino Linotype" w:eastAsia="Palatino Linotype" w:hAnsi="Palatino Linotype" w:cs="Palatino Linotype"/>
        </w:rPr>
        <w:t xml:space="preserve">, lo que </w:t>
      </w:r>
      <w:r>
        <w:rPr>
          <w:rFonts w:ascii="Palatino Linotype" w:eastAsia="Palatino Linotype" w:hAnsi="Palatino Linotype" w:cs="Palatino Linotype"/>
          <w:b/>
          <w:bCs/>
        </w:rPr>
        <w:t>resulta</w:t>
      </w:r>
      <w:r>
        <w:rPr>
          <w:rFonts w:ascii="Palatino Linotype" w:eastAsia="Palatino Linotype" w:hAnsi="Palatino Linotype" w:cs="Palatino Linotype"/>
        </w:rPr>
        <w:t xml:space="preserve"> a todas luces </w:t>
      </w:r>
      <w:r>
        <w:rPr>
          <w:rFonts w:ascii="Palatino Linotype" w:eastAsia="Palatino Linotype" w:hAnsi="Palatino Linotype" w:cs="Palatino Linotype"/>
          <w:b/>
          <w:bCs/>
        </w:rPr>
        <w:lastRenderedPageBreak/>
        <w:t>improcedente</w:t>
      </w:r>
      <w:r>
        <w:rPr>
          <w:rFonts w:ascii="Palatino Linotype" w:eastAsia="Palatino Linotype" w:hAnsi="Palatino Linotype" w:cs="Palatino Linotype"/>
        </w:rPr>
        <w:t xml:space="preserve"> pues esto </w:t>
      </w:r>
      <w:r>
        <w:rPr>
          <w:rFonts w:ascii="Palatino Linotype" w:eastAsia="Palatino Linotype" w:hAnsi="Palatino Linotype" w:cs="Palatino Linotype"/>
          <w:b/>
          <w:bCs/>
        </w:rPr>
        <w:t>implica que se genere un nuevo documento</w:t>
      </w:r>
      <w:r>
        <w:rPr>
          <w:rFonts w:ascii="Palatino Linotype" w:eastAsia="Palatino Linotype" w:hAnsi="Palatino Linotype" w:cs="Palatino Linotype"/>
        </w:rPr>
        <w:t>, ya que de conformidad con lo dispuesto en el artículo 12 de la Ley de Transparencia local,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 efectuar cálculos o practicar investigaciones.</w:t>
      </w:r>
    </w:p>
    <w:p w:rsidR="00DE4354" w:rsidRDefault="00DE4354">
      <w:pPr>
        <w:pBdr>
          <w:top w:val="nil"/>
          <w:left w:val="nil"/>
          <w:bottom w:val="nil"/>
          <w:right w:val="nil"/>
          <w:between w:val="nil"/>
        </w:pBdr>
        <w:ind w:left="720" w:right="-737"/>
        <w:rPr>
          <w:rFonts w:ascii="Palatino Linotype" w:eastAsia="Palatino Linotype" w:hAnsi="Palatino Linotype" w:cs="Palatino Linotype"/>
          <w:color w:val="000000"/>
          <w:highlight w:val="yellow"/>
        </w:rPr>
      </w:pPr>
    </w:p>
    <w:p w:rsidR="00DE4354" w:rsidRDefault="00864E7B">
      <w:pPr>
        <w:numPr>
          <w:ilvl w:val="0"/>
          <w:numId w:val="2"/>
        </w:numPr>
        <w:spacing w:line="360" w:lineRule="auto"/>
        <w:ind w:left="0" w:right="-73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Es </w:t>
      </w:r>
      <w:r>
        <w:rPr>
          <w:rFonts w:ascii="Palatino Linotype" w:eastAsia="Palatino Linotype" w:hAnsi="Palatino Linotype" w:cs="Palatino Linotype"/>
          <w:color w:val="000000"/>
        </w:rPr>
        <w:t xml:space="preserve">por ello </w:t>
      </w:r>
      <w:r>
        <w:rPr>
          <w:rFonts w:ascii="Palatino Linotype" w:eastAsia="Palatino Linotype" w:hAnsi="Palatino Linotype" w:cs="Palatino Linotype"/>
        </w:rPr>
        <w:t>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w:t>
      </w:r>
    </w:p>
    <w:p w:rsidR="00DE4354" w:rsidRDefault="00DE4354">
      <w:pPr>
        <w:spacing w:line="360" w:lineRule="auto"/>
        <w:ind w:right="-737"/>
        <w:jc w:val="both"/>
        <w:rPr>
          <w:rFonts w:ascii="Palatino Linotype" w:eastAsia="Palatino Linotype" w:hAnsi="Palatino Linotype" w:cs="Palatino Linotype"/>
        </w:rPr>
      </w:pPr>
    </w:p>
    <w:p w:rsidR="00DE4354" w:rsidRDefault="00864E7B">
      <w:pPr>
        <w:numPr>
          <w:ilvl w:val="0"/>
          <w:numId w:val="2"/>
        </w:numPr>
        <w:spacing w:line="360" w:lineRule="auto"/>
        <w:ind w:left="0" w:right="-73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Por </w:t>
      </w:r>
      <w:r>
        <w:rPr>
          <w:rFonts w:ascii="Palatino Linotype" w:eastAsia="Palatino Linotype" w:hAnsi="Palatino Linotype" w:cs="Palatino Linotype"/>
          <w:color w:val="000000"/>
        </w:rPr>
        <w:t xml:space="preserve">tanto, </w:t>
      </w:r>
      <w:r>
        <w:rPr>
          <w:rFonts w:ascii="Palatino Linotype" w:eastAsia="Palatino Linotype" w:hAnsi="Palatino Linotype" w:cs="Palatino Linotype"/>
        </w:rPr>
        <w:t>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para cualquier persona, en los términos y condiciones que se establezcan en los tratados internacionales de los que el Estado mexicano sea parte, en la Ley General de Transparencia y Acceso a la Información Pública, la Ley de Transparencia vigente en nuestra entidad y demás disposiciones de la materia, privilegiando el principio de máxima publicidad de la información.</w:t>
      </w:r>
    </w:p>
    <w:p w:rsidR="00DE4354" w:rsidRDefault="00DE4354">
      <w:pPr>
        <w:spacing w:line="360" w:lineRule="auto"/>
        <w:ind w:right="-737"/>
        <w:jc w:val="both"/>
        <w:rPr>
          <w:rFonts w:ascii="Palatino Linotype" w:eastAsia="Palatino Linotype" w:hAnsi="Palatino Linotype" w:cs="Palatino Linotype"/>
        </w:rPr>
      </w:pPr>
    </w:p>
    <w:p w:rsidR="00DE4354" w:rsidRDefault="00864E7B">
      <w:pPr>
        <w:numPr>
          <w:ilvl w:val="0"/>
          <w:numId w:val="2"/>
        </w:numPr>
        <w:spacing w:line="360" w:lineRule="auto"/>
        <w:ind w:left="0" w:right="-737" w:firstLine="0"/>
        <w:jc w:val="both"/>
        <w:rPr>
          <w:rFonts w:ascii="Palatino Linotype" w:eastAsia="Palatino Linotype" w:hAnsi="Palatino Linotype" w:cs="Palatino Linotype"/>
        </w:rPr>
      </w:pPr>
      <w:r>
        <w:rPr>
          <w:rFonts w:ascii="Palatino Linotype" w:eastAsia="Palatino Linotype" w:hAnsi="Palatino Linotype" w:cs="Palatino Linotype"/>
        </w:rPr>
        <w:t>En razón de lo expuesto se reitera que la petición hecha por el particular</w:t>
      </w:r>
      <w:r>
        <w:rPr>
          <w:rFonts w:ascii="Palatino Linotype" w:eastAsia="Palatino Linotype" w:hAnsi="Palatino Linotype" w:cs="Palatino Linotype"/>
          <w:color w:val="000000"/>
        </w:rPr>
        <w:t xml:space="preserve"> resulta improcedente; en virtud que para el ejercicio del derecho de acceso a la información, los </w:t>
      </w:r>
      <w:r>
        <w:rPr>
          <w:rFonts w:ascii="Palatino Linotype" w:eastAsia="Palatino Linotype" w:hAnsi="Palatino Linotype" w:cs="Palatino Linotype"/>
          <w:color w:val="000000"/>
        </w:rPr>
        <w:lastRenderedPageBreak/>
        <w:t xml:space="preserve">sujetos obligados no se encuentran obligados a generar documentos </w:t>
      </w:r>
      <w:r>
        <w:rPr>
          <w:rFonts w:ascii="Palatino Linotype" w:eastAsia="Palatino Linotype" w:hAnsi="Palatino Linotype" w:cs="Palatino Linotype"/>
          <w:i/>
          <w:iCs/>
          <w:color w:val="000000"/>
        </w:rPr>
        <w:t>ad hoc</w:t>
      </w:r>
      <w:r>
        <w:rPr>
          <w:rFonts w:ascii="Palatino Linotype" w:eastAsia="Palatino Linotype" w:hAnsi="Palatino Linotype" w:cs="Palatino Linotype"/>
          <w:color w:val="000000"/>
        </w:rPr>
        <w:t xml:space="preserve"> conforme a los intereses particulares de los solicitantes.</w:t>
      </w:r>
    </w:p>
    <w:p w:rsidR="00DE4354" w:rsidRDefault="00DE4354">
      <w:pPr>
        <w:pBdr>
          <w:top w:val="nil"/>
          <w:left w:val="nil"/>
          <w:bottom w:val="nil"/>
          <w:right w:val="nil"/>
          <w:between w:val="nil"/>
        </w:pBdr>
        <w:spacing w:line="360" w:lineRule="auto"/>
        <w:ind w:left="720" w:right="-737"/>
        <w:rPr>
          <w:rFonts w:ascii="Palatino Linotype" w:eastAsia="Palatino Linotype" w:hAnsi="Palatino Linotype" w:cs="Palatino Linotype"/>
          <w:color w:val="000000"/>
        </w:rPr>
      </w:pPr>
    </w:p>
    <w:p w:rsidR="00DE4354" w:rsidRDefault="00864E7B">
      <w:pPr>
        <w:numPr>
          <w:ilvl w:val="0"/>
          <w:numId w:val="2"/>
        </w:numPr>
        <w:spacing w:line="360" w:lineRule="auto"/>
        <w:ind w:left="0" w:right="-737" w:firstLine="0"/>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Como apoyo a lo anterior, es aplicable por analogía el </w:t>
      </w:r>
      <w:r>
        <w:rPr>
          <w:rFonts w:ascii="Palatino Linotype" w:eastAsia="Palatino Linotype" w:hAnsi="Palatino Linotype" w:cs="Palatino Linotype"/>
          <w:b/>
          <w:bCs/>
        </w:rPr>
        <w:t>Criterio 03/17</w:t>
      </w:r>
      <w:r>
        <w:rPr>
          <w:rFonts w:ascii="Palatino Linotype" w:eastAsia="Palatino Linotype" w:hAnsi="Palatino Linotype" w:cs="Palatino Linotype"/>
        </w:rPr>
        <w:t>, emitido por el Pleno del entonces Instituto Nacional de Transparencia, Acceso a la Información y Protección de Datos Personales (INAI), que a la letra dice:</w:t>
      </w:r>
    </w:p>
    <w:p w:rsidR="00DE4354" w:rsidRDefault="00864E7B">
      <w:pPr>
        <w:pBdr>
          <w:top w:val="nil"/>
          <w:left w:val="nil"/>
          <w:bottom w:val="nil"/>
          <w:right w:val="nil"/>
          <w:between w:val="nil"/>
        </w:pBdr>
        <w:ind w:left="567" w:right="-737"/>
        <w:jc w:val="both"/>
        <w:rPr>
          <w:rFonts w:ascii="Palatino Linotype" w:eastAsia="Palatino Linotype" w:hAnsi="Palatino Linotype" w:cs="Palatino Linotype"/>
          <w:i/>
          <w:iCs/>
          <w:color w:val="000000"/>
        </w:rPr>
      </w:pPr>
      <w:bookmarkStart w:id="6" w:name="_heading=h.fr8oyb6tapps" w:colFirst="0" w:colLast="0"/>
      <w:bookmarkEnd w:id="6"/>
      <w:r>
        <w:rPr>
          <w:rFonts w:ascii="Palatino Linotype" w:eastAsia="Palatino Linotype" w:hAnsi="Palatino Linotype" w:cs="Palatino Linotype"/>
          <w:b/>
          <w:bCs/>
          <w:i/>
          <w:iCs/>
          <w:color w:val="000000"/>
        </w:rPr>
        <w:t xml:space="preserve">“No existe obligación de elaborar documentos ad hoc para atender las solicitudes de acceso a la información. </w:t>
      </w:r>
      <w:r>
        <w:rPr>
          <w:rFonts w:ascii="Palatino Linotype" w:eastAsia="Palatino Linotype" w:hAnsi="Palatino Linotype" w:cs="Palatino Linotype"/>
          <w:i/>
          <w:iCs/>
          <w:color w:val="000000"/>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DE4354" w:rsidRDefault="00DE4354">
      <w:pPr>
        <w:pBdr>
          <w:top w:val="nil"/>
          <w:left w:val="nil"/>
          <w:bottom w:val="nil"/>
          <w:right w:val="nil"/>
          <w:between w:val="nil"/>
        </w:pBdr>
        <w:spacing w:line="360" w:lineRule="auto"/>
        <w:ind w:left="567" w:right="-737"/>
        <w:jc w:val="both"/>
        <w:rPr>
          <w:rFonts w:ascii="Palatino Linotype" w:eastAsia="Palatino Linotype" w:hAnsi="Palatino Linotype" w:cs="Palatino Linotype"/>
          <w:i/>
          <w:iCs/>
          <w:color w:val="000000"/>
        </w:rPr>
      </w:pPr>
    </w:p>
    <w:p w:rsidR="00DE4354" w:rsidRDefault="00864E7B">
      <w:pPr>
        <w:numPr>
          <w:ilvl w:val="0"/>
          <w:numId w:val="2"/>
        </w:numPr>
        <w:spacing w:line="360" w:lineRule="auto"/>
        <w:ind w:left="0" w:right="-73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Así las cosas, de lo anterior, se desprende, que la información generada, </w:t>
      </w:r>
      <w:r>
        <w:rPr>
          <w:rFonts w:ascii="Palatino Linotype" w:eastAsia="Palatino Linotype" w:hAnsi="Palatino Linotype" w:cs="Palatino Linotype"/>
          <w:color w:val="000000"/>
        </w:rPr>
        <w:t>obtenida</w:t>
      </w:r>
      <w:r>
        <w:rPr>
          <w:rFonts w:ascii="Palatino Linotype" w:eastAsia="Palatino Linotype" w:hAnsi="Palatino Linotype" w:cs="Palatino Linotype"/>
        </w:rPr>
        <w:t>, adquirida, transmitida, administrada o en posesión de los Sujetos Obligados, será accesible de manera permanente a cualquier persona, privilegiando el principio de máxima publicidad de la información, sin tener la obligación de generar documentos</w:t>
      </w:r>
      <w:r>
        <w:rPr>
          <w:rFonts w:ascii="Palatino Linotype" w:eastAsia="Palatino Linotype" w:hAnsi="Palatino Linotype" w:cs="Palatino Linotype"/>
          <w:i/>
          <w:iCs/>
        </w:rPr>
        <w:t xml:space="preserve"> ad hoc</w:t>
      </w:r>
      <w:r>
        <w:rPr>
          <w:rFonts w:ascii="Palatino Linotype" w:eastAsia="Palatino Linotype" w:hAnsi="Palatino Linotype" w:cs="Palatino Linotype"/>
        </w:rPr>
        <w:t>.</w:t>
      </w:r>
    </w:p>
    <w:p w:rsidR="00DE4354" w:rsidRDefault="00DE4354">
      <w:pPr>
        <w:spacing w:line="360" w:lineRule="auto"/>
        <w:ind w:right="-737"/>
        <w:jc w:val="both"/>
        <w:rPr>
          <w:rFonts w:ascii="Palatino Linotype" w:eastAsia="Palatino Linotype" w:hAnsi="Palatino Linotype" w:cs="Palatino Linotype"/>
        </w:rPr>
      </w:pPr>
    </w:p>
    <w:p w:rsidR="00DE4354" w:rsidRDefault="00864E7B">
      <w:pPr>
        <w:numPr>
          <w:ilvl w:val="0"/>
          <w:numId w:val="2"/>
        </w:numPr>
        <w:spacing w:line="360" w:lineRule="auto"/>
        <w:ind w:left="0" w:right="-73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Es decir que en la petición del presente recurso de revisión, la </w:t>
      </w:r>
      <w:r>
        <w:rPr>
          <w:rFonts w:ascii="Palatino Linotype" w:eastAsia="Palatino Linotype" w:hAnsi="Palatino Linotype" w:cs="Palatino Linotype"/>
          <w:b/>
          <w:bCs/>
        </w:rPr>
        <w:t>RECURRENTE</w:t>
      </w:r>
      <w:r>
        <w:rPr>
          <w:rFonts w:ascii="Palatino Linotype" w:eastAsia="Palatino Linotype" w:hAnsi="Palatino Linotype" w:cs="Palatino Linotype"/>
        </w:rPr>
        <w:t xml:space="preserve"> pretende obtener una respuesta de la Presidenta Municipal</w:t>
      </w:r>
      <w:r>
        <w:rPr>
          <w:rFonts w:ascii="Palatino Linotype" w:eastAsia="Palatino Linotype" w:hAnsi="Palatino Linotype" w:cs="Palatino Linotype"/>
          <w:i/>
          <w:iCs/>
        </w:rPr>
        <w:t xml:space="preserve">; </w:t>
      </w:r>
      <w:r>
        <w:rPr>
          <w:rFonts w:ascii="Palatino Linotype" w:eastAsia="Palatino Linotype" w:hAnsi="Palatino Linotype" w:cs="Palatino Linotype"/>
        </w:rPr>
        <w:t xml:space="preserve"> contexto que –se insiste– resulta </w:t>
      </w:r>
      <w:r>
        <w:rPr>
          <w:rFonts w:ascii="Palatino Linotype" w:eastAsia="Palatino Linotype" w:hAnsi="Palatino Linotype" w:cs="Palatino Linotype"/>
          <w:b/>
          <w:bCs/>
        </w:rPr>
        <w:t>improcedente</w:t>
      </w:r>
      <w:r>
        <w:rPr>
          <w:rFonts w:ascii="Palatino Linotype" w:eastAsia="Palatino Linotype" w:hAnsi="Palatino Linotype" w:cs="Palatino Linotype"/>
        </w:rPr>
        <w:t>.</w:t>
      </w:r>
    </w:p>
    <w:p w:rsidR="00DE4354" w:rsidRDefault="00DE4354">
      <w:pPr>
        <w:spacing w:line="360" w:lineRule="auto"/>
        <w:ind w:right="-737"/>
        <w:jc w:val="both"/>
        <w:rPr>
          <w:rFonts w:ascii="Palatino Linotype" w:eastAsia="Palatino Linotype" w:hAnsi="Palatino Linotype" w:cs="Palatino Linotype"/>
          <w:i/>
          <w:iCs/>
        </w:rPr>
      </w:pPr>
    </w:p>
    <w:p w:rsidR="00DE4354" w:rsidRDefault="00864E7B">
      <w:pPr>
        <w:numPr>
          <w:ilvl w:val="0"/>
          <w:numId w:val="2"/>
        </w:numPr>
        <w:spacing w:line="360" w:lineRule="auto"/>
        <w:ind w:left="0" w:right="-737" w:firstLine="0"/>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Ahora bien, es de recordar que el particular solicitó tener acceso a la información siguiente: </w:t>
      </w:r>
      <w:r>
        <w:rPr>
          <w:rFonts w:ascii="Palatino Linotype" w:eastAsia="Palatino Linotype" w:hAnsi="Palatino Linotype" w:cs="Palatino Linotype"/>
          <w:i/>
          <w:iCs/>
          <w:u w:val="single"/>
        </w:rPr>
        <w:t xml:space="preserve">De las Valoraciones de Riesgo y Dictámenes Técnicos relacionados con la poda, derribo y </w:t>
      </w:r>
      <w:r>
        <w:rPr>
          <w:rFonts w:ascii="Palatino Linotype" w:eastAsia="Palatino Linotype" w:hAnsi="Palatino Linotype" w:cs="Palatino Linotype"/>
          <w:i/>
          <w:iCs/>
          <w:u w:val="single"/>
        </w:rPr>
        <w:lastRenderedPageBreak/>
        <w:t>trasplante de un árbol ubicados en banquetas de todo el municipio, realizados por la Dirección de Medio Ambiente y Ecología, así como la Dirección de Protección Civil y Bomberos Del 01 al 31 de diciembre de 2025: 1.- Cuantas son Valoraciones de Riesgo por Dependencia. 2.- Cuantos son Dictámenes Técnicos por Dependencia. 3.- Cuantos derribos realizo la Dirección de Medio Ambiente y Ecología 4.- Cuantos derribos realizo la Dirección de Protección Civil y Bomberos 5.- Cuantos derribos se realizaron por prestadores de servicio, o proveedores registrados en Ecatepec de Morelos</w:t>
      </w:r>
      <w:r>
        <w:rPr>
          <w:rFonts w:ascii="Palatino Linotype" w:eastAsia="Palatino Linotype" w:hAnsi="Palatino Linotype" w:cs="Palatino Linotype"/>
        </w:rPr>
        <w:t xml:space="preserve">, en respuesta, el Sujeto Obligado se pronunció sobre cada uno de los puntos de solicitud, en consecuencia, el recurrente se dolió señalando como motivos de inconformidad de manera toral lo siguiente: </w:t>
      </w:r>
      <w:r>
        <w:rPr>
          <w:rFonts w:ascii="Palatino Linotype" w:eastAsia="Palatino Linotype" w:hAnsi="Palatino Linotype" w:cs="Palatino Linotype"/>
          <w:i/>
          <w:iCs/>
        </w:rPr>
        <w:t>La información entregada difiere entre Dependencias, … lo</w:t>
      </w:r>
      <w:r>
        <w:rPr>
          <w:rFonts w:ascii="Palatino Linotype" w:eastAsia="Palatino Linotype" w:hAnsi="Palatino Linotype" w:cs="Palatino Linotype"/>
          <w:b/>
          <w:bCs/>
          <w:i/>
          <w:iCs/>
        </w:rPr>
        <w:t>s datos de numero de derribos, difiere entre las Dependencias</w:t>
      </w:r>
      <w:r>
        <w:rPr>
          <w:rFonts w:ascii="Palatino Linotype" w:eastAsia="Palatino Linotype" w:hAnsi="Palatino Linotype" w:cs="Palatino Linotype"/>
        </w:rPr>
        <w:t xml:space="preserve">, </w:t>
      </w:r>
      <w:r>
        <w:rPr>
          <w:rFonts w:ascii="Palatino Linotype" w:eastAsia="Palatino Linotype" w:hAnsi="Palatino Linotype" w:cs="Palatino Linotype"/>
          <w:color w:val="000000"/>
        </w:rPr>
        <w:t xml:space="preserve">por lo que, la parte de la solicitud que no fue combatida se debe tener como </w:t>
      </w:r>
      <w:r>
        <w:rPr>
          <w:rFonts w:ascii="Palatino Linotype" w:eastAsia="Palatino Linotype" w:hAnsi="Palatino Linotype" w:cs="Palatino Linotype"/>
          <w:b/>
          <w:bCs/>
          <w:color w:val="000000"/>
        </w:rPr>
        <w:t>actos consentidos</w:t>
      </w:r>
      <w:r>
        <w:rPr>
          <w:rFonts w:ascii="Palatino Linotype" w:eastAsia="Palatino Linotype" w:hAnsi="Palatino Linotype" w:cs="Palatino Linotype"/>
          <w:color w:val="000000"/>
        </w:rPr>
        <w:t>, por no haber pronunciamiento de impugnación.</w:t>
      </w:r>
    </w:p>
    <w:p w:rsidR="002F6AD5" w:rsidRDefault="002F6AD5" w:rsidP="002F6AD5">
      <w:pPr>
        <w:spacing w:line="360" w:lineRule="auto"/>
        <w:ind w:right="-737"/>
        <w:jc w:val="both"/>
        <w:rPr>
          <w:rFonts w:ascii="Palatino Linotype" w:eastAsia="Palatino Linotype" w:hAnsi="Palatino Linotype" w:cs="Palatino Linotype"/>
          <w:color w:val="000000"/>
        </w:rPr>
      </w:pPr>
    </w:p>
    <w:p w:rsidR="00DE4354" w:rsidRDefault="00864E7B">
      <w:pPr>
        <w:numPr>
          <w:ilvl w:val="0"/>
          <w:numId w:val="2"/>
        </w:numPr>
        <w:spacing w:line="360" w:lineRule="auto"/>
        <w:ind w:left="0" w:right="-73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Luego entonces, al no existir inconformidad, la información se tiene por </w:t>
      </w:r>
      <w:r>
        <w:rPr>
          <w:rFonts w:ascii="Palatino Linotype" w:eastAsia="Palatino Linotype" w:hAnsi="Palatino Linotype" w:cs="Palatino Linotype"/>
          <w:color w:val="000000"/>
        </w:rPr>
        <w:t>consentida</w:t>
      </w:r>
      <w:r>
        <w:rPr>
          <w:rFonts w:ascii="Palatino Linotype" w:eastAsia="Palatino Linotype" w:hAnsi="Palatino Linotype" w:cs="Palatino Linotype"/>
        </w:rPr>
        <w:t>, ya</w:t>
      </w:r>
      <w:r>
        <w:rPr>
          <w:rFonts w:ascii="Palatino Linotype" w:eastAsia="Palatino Linotype" w:hAnsi="Palatino Linotype" w:cs="Palatino Linotype"/>
          <w:b/>
          <w:bCs/>
        </w:rPr>
        <w:t xml:space="preserve"> </w:t>
      </w:r>
      <w:r>
        <w:rPr>
          <w:rFonts w:ascii="Palatino Linotype" w:eastAsia="Palatino Linotype" w:hAnsi="Palatino Linotype" w:cs="Palatino Linotype"/>
        </w:rPr>
        <w:t xml:space="preserve">que la falta de </w:t>
      </w:r>
      <w:r>
        <w:rPr>
          <w:rFonts w:ascii="Palatino Linotype" w:eastAsia="Palatino Linotype" w:hAnsi="Palatino Linotype" w:cs="Palatino Linotype"/>
          <w:color w:val="000000"/>
        </w:rPr>
        <w:t>impugnación</w:t>
      </w:r>
      <w:r>
        <w:rPr>
          <w:rFonts w:ascii="Palatino Linotype" w:eastAsia="Palatino Linotype" w:hAnsi="Palatino Linotype" w:cs="Palatino Linotype"/>
        </w:rPr>
        <w:t xml:space="preserve"> resp</w:t>
      </w:r>
      <w:r>
        <w:rPr>
          <w:rFonts w:ascii="Palatino Linotype" w:eastAsia="Palatino Linotype" w:hAnsi="Palatino Linotype" w:cs="Palatino Linotype"/>
          <w:color w:val="000000"/>
        </w:rPr>
        <w:t>e</w:t>
      </w:r>
      <w:r>
        <w:rPr>
          <w:rFonts w:ascii="Palatino Linotype" w:eastAsia="Palatino Linotype" w:hAnsi="Palatino Linotype" w:cs="Palatino Linotype"/>
        </w:rPr>
        <w:t xml:space="preserve">cto de los requerimientos que no fueron manifestados en el recurso de revisión, debe entenderse como </w:t>
      </w:r>
      <w:r>
        <w:rPr>
          <w:rFonts w:ascii="Palatino Linotype" w:eastAsia="Palatino Linotype" w:hAnsi="Palatino Linotype" w:cs="Palatino Linotype"/>
          <w:b/>
          <w:bCs/>
        </w:rPr>
        <w:t>actos consentidos</w:t>
      </w:r>
      <w:r>
        <w:rPr>
          <w:rFonts w:ascii="Palatino Linotype" w:eastAsia="Palatino Linotype" w:hAnsi="Palatino Linotype" w:cs="Palatino Linotype"/>
        </w:rPr>
        <w:t>.</w:t>
      </w:r>
    </w:p>
    <w:p w:rsidR="00DE4354" w:rsidRDefault="00DE4354">
      <w:pPr>
        <w:pBdr>
          <w:top w:val="nil"/>
          <w:left w:val="nil"/>
          <w:bottom w:val="nil"/>
          <w:right w:val="nil"/>
          <w:between w:val="nil"/>
        </w:pBdr>
        <w:spacing w:line="360" w:lineRule="auto"/>
        <w:ind w:right="-737"/>
        <w:rPr>
          <w:rFonts w:ascii="Palatino Linotype" w:eastAsia="Palatino Linotype" w:hAnsi="Palatino Linotype" w:cs="Palatino Linotype"/>
          <w:color w:val="000000"/>
        </w:rPr>
      </w:pPr>
    </w:p>
    <w:p w:rsidR="00DE4354" w:rsidRDefault="00864E7B">
      <w:pPr>
        <w:numPr>
          <w:ilvl w:val="0"/>
          <w:numId w:val="2"/>
        </w:numPr>
        <w:spacing w:line="360" w:lineRule="auto"/>
        <w:ind w:left="0" w:right="-73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Esto es así, debido a que cuando el recurrente impugna la respuesta del sujeto obligado y éste no expresa </w:t>
      </w:r>
      <w:r>
        <w:rPr>
          <w:rFonts w:ascii="Palatino Linotype" w:eastAsia="Palatino Linotype" w:hAnsi="Palatino Linotype" w:cs="Palatino Linotype"/>
          <w:color w:val="000000"/>
        </w:rPr>
        <w:t>razón</w:t>
      </w:r>
      <w:r>
        <w:rPr>
          <w:rFonts w:ascii="Palatino Linotype" w:eastAsia="Palatino Linotype" w:hAnsi="Palatino Linotype" w:cs="Palatino Linotype"/>
        </w:rPr>
        <w:t xml:space="preserve"> o motivo de inconformidad en contra de todos los rubros solicitados, los mismos deben declararse firmes, pues se entiende que el recurrente ésta conforme con la información entregada al no contravenir la misma. Sirve de apoyo por analogía, la Tesis Jurisprudencial Número 3ª./J.7/91, publicada en el Semanario Judicial de la Federación y su Gaceta bajo el número de registro 174,177, que establece lo siguiente:</w:t>
      </w:r>
    </w:p>
    <w:p w:rsidR="00DE4354" w:rsidRDefault="00864E7B">
      <w:pPr>
        <w:pBdr>
          <w:top w:val="nil"/>
          <w:left w:val="nil"/>
          <w:bottom w:val="nil"/>
          <w:right w:val="nil"/>
          <w:between w:val="nil"/>
        </w:pBdr>
        <w:ind w:left="567" w:right="-737"/>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i/>
          <w:iCs/>
          <w:color w:val="000000"/>
        </w:rPr>
        <w:t>“REVISIÓN EN AMPARO. LOS RESOLUTIVOS NO COMBATIDOS DEBEN DECLARARSE FIRMES. </w:t>
      </w:r>
      <w:r>
        <w:rPr>
          <w:rFonts w:ascii="Palatino Linotype" w:eastAsia="Palatino Linotype" w:hAnsi="Palatino Linotype" w:cs="Palatino Linotype"/>
          <w:i/>
          <w:iCs/>
          <w:color w:val="000000"/>
          <w:u w:val="single"/>
        </w:rPr>
        <w:t>Cuando algún resolutivo de la sentencia impugnada afecta a EL RECURRENTE, y ésta no expresa agravio en contra de las consideraciones que le sirven de base, dicho resolutivo debe declararse firme.</w:t>
      </w:r>
      <w:r>
        <w:rPr>
          <w:rFonts w:ascii="Palatino Linotype" w:eastAsia="Palatino Linotype" w:hAnsi="Palatino Linotype" w:cs="Palatino Linotype"/>
          <w:i/>
          <w:iCs/>
          <w:color w:val="000000"/>
        </w:rPr>
        <w:t xml:space="preserve"> Esto es, en el caso referido, no obstante que la materia de </w:t>
      </w:r>
      <w:r>
        <w:rPr>
          <w:rFonts w:ascii="Palatino Linotype" w:eastAsia="Palatino Linotype" w:hAnsi="Palatino Linotype" w:cs="Palatino Linotype"/>
          <w:i/>
          <w:iCs/>
          <w:color w:val="000000"/>
        </w:rPr>
        <w:lastRenderedPageBreak/>
        <w:t>la revisión comprende a todos los resolutivos que afectan a EL RECURRENTE, </w:t>
      </w:r>
      <w:r>
        <w:rPr>
          <w:rFonts w:ascii="Palatino Linotype" w:eastAsia="Palatino Linotype" w:hAnsi="Palatino Linotype" w:cs="Palatino Linotype"/>
          <w:i/>
          <w:iCs/>
          <w:color w:val="000000"/>
          <w:u w:val="single"/>
        </w:rPr>
        <w:t>deben declararse firmes aquéllos en contra de los cuales no se formuló agravio y dicha declaración de firmeza debe reflejarse en la parte considerativa y en los resolutivos debe confirmarse la sentencia recurrida en la parte correspondiente</w:t>
      </w:r>
      <w:r>
        <w:rPr>
          <w:rFonts w:ascii="Palatino Linotype" w:eastAsia="Palatino Linotype" w:hAnsi="Palatino Linotype" w:cs="Palatino Linotype"/>
          <w:i/>
          <w:iCs/>
          <w:color w:val="000000"/>
        </w:rPr>
        <w:t>.”</w:t>
      </w:r>
    </w:p>
    <w:p w:rsidR="00DE4354" w:rsidRDefault="00DE4354">
      <w:pPr>
        <w:pBdr>
          <w:top w:val="nil"/>
          <w:left w:val="nil"/>
          <w:bottom w:val="nil"/>
          <w:right w:val="nil"/>
          <w:between w:val="nil"/>
        </w:pBdr>
        <w:spacing w:line="360" w:lineRule="auto"/>
        <w:ind w:left="426" w:right="-737"/>
        <w:jc w:val="center"/>
        <w:rPr>
          <w:rFonts w:ascii="Palatino Linotype" w:eastAsia="Palatino Linotype" w:hAnsi="Palatino Linotype" w:cs="Palatino Linotype"/>
          <w:color w:val="000000"/>
        </w:rPr>
      </w:pPr>
    </w:p>
    <w:p w:rsidR="00DE4354" w:rsidRDefault="00864E7B">
      <w:pPr>
        <w:numPr>
          <w:ilvl w:val="0"/>
          <w:numId w:val="2"/>
        </w:numPr>
        <w:spacing w:line="360" w:lineRule="auto"/>
        <w:ind w:left="0" w:right="-73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Consecutivamente, </w:t>
      </w:r>
      <w:r>
        <w:rPr>
          <w:rFonts w:ascii="Palatino Linotype" w:eastAsia="Palatino Linotype" w:hAnsi="Palatino Linotype" w:cs="Palatino Linotype"/>
          <w:b/>
          <w:bCs/>
        </w:rPr>
        <w:t xml:space="preserve">la parte de la respuesta que no fue impugnada debe declararse consentida por el recurrente, toda vez que no realizó </w:t>
      </w:r>
      <w:r>
        <w:rPr>
          <w:rFonts w:ascii="Palatino Linotype" w:eastAsia="Palatino Linotype" w:hAnsi="Palatino Linotype" w:cs="Palatino Linotype"/>
        </w:rPr>
        <w:t>manifestaciones</w:t>
      </w:r>
      <w:r>
        <w:rPr>
          <w:rFonts w:ascii="Palatino Linotype" w:eastAsia="Palatino Linotype" w:hAnsi="Palatino Linotype" w:cs="Palatino Linotype"/>
          <w:b/>
          <w:bCs/>
        </w:rPr>
        <w:t xml:space="preserve"> </w:t>
      </w:r>
      <w:r>
        <w:rPr>
          <w:rFonts w:ascii="Palatino Linotype" w:eastAsia="Palatino Linotype" w:hAnsi="Palatino Linotype" w:cs="Palatino Linotype"/>
        </w:rPr>
        <w:t>de</w:t>
      </w:r>
      <w:r>
        <w:rPr>
          <w:rFonts w:ascii="Palatino Linotype" w:eastAsia="Palatino Linotype" w:hAnsi="Palatino Linotype" w:cs="Palatino Linotype"/>
          <w:b/>
          <w:bCs/>
        </w:rPr>
        <w:t xml:space="preserve"> inconformidad</w:t>
      </w:r>
      <w:r>
        <w:rPr>
          <w:rFonts w:ascii="Palatino Linotype" w:eastAsia="Palatino Linotype" w:hAnsi="Palatino Linotype" w:cs="Palatino Linotype"/>
        </w:rPr>
        <w:t xml:space="preserve">; por lo que, no pueden producirse efectos jurídicos tendentes a revocar, confirmar o modificar el acto reclamado ya que </w:t>
      </w:r>
      <w:r>
        <w:rPr>
          <w:rFonts w:ascii="Palatino Linotype" w:eastAsia="Palatino Linotype" w:hAnsi="Palatino Linotype" w:cs="Palatino Linotype"/>
          <w:b/>
          <w:bCs/>
        </w:rPr>
        <w:t>se infiere su consentimiento</w:t>
      </w:r>
      <w:r>
        <w:rPr>
          <w:rFonts w:ascii="Palatino Linotype" w:eastAsia="Palatino Linotype" w:hAnsi="Palatino Linotype" w:cs="Palatino Linotype"/>
        </w:rPr>
        <w:t xml:space="preserve"> </w:t>
      </w:r>
      <w:r>
        <w:rPr>
          <w:rFonts w:ascii="Palatino Linotype" w:eastAsia="Palatino Linotype" w:hAnsi="Palatino Linotype" w:cs="Palatino Linotype"/>
          <w:b/>
          <w:bCs/>
        </w:rPr>
        <w:t xml:space="preserve">ante la falta de impugnación </w:t>
      </w:r>
      <w:r>
        <w:rPr>
          <w:rFonts w:ascii="Palatino Linotype" w:eastAsia="Palatino Linotype" w:hAnsi="Palatino Linotype" w:cs="Palatino Linotype"/>
        </w:rPr>
        <w:t>eficaz. Sirve de sustento a lo anterior por analogía la tesis jurisprudencial número 176,608 del Semanario Judicial de la Federación y su Gaceta que a la letra dice:</w:t>
      </w:r>
    </w:p>
    <w:p w:rsidR="00DE4354" w:rsidRDefault="00864E7B">
      <w:pPr>
        <w:pBdr>
          <w:top w:val="nil"/>
          <w:left w:val="nil"/>
          <w:bottom w:val="nil"/>
          <w:right w:val="nil"/>
          <w:between w:val="nil"/>
        </w:pBdr>
        <w:ind w:left="567" w:right="-737"/>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i/>
          <w:iCs/>
          <w:color w:val="000000"/>
        </w:rPr>
        <w:t>“ACTOS CONSENTIDOS. SON LOS QUE NO SE IMPUGNAN MEDIANTE EL RECURSO IDÓNEO. </w:t>
      </w:r>
      <w:r>
        <w:rPr>
          <w:rFonts w:ascii="Palatino Linotype" w:eastAsia="Palatino Linotype" w:hAnsi="Palatino Linotype" w:cs="Palatino Linotype"/>
          <w:i/>
          <w:iCs/>
          <w:color w:val="000000"/>
          <w:u w:val="single"/>
        </w:rPr>
        <w:t>Debe reputarse como consentido el acto que no se impugnó por el medio establecido por la ley</w:t>
      </w:r>
      <w:r>
        <w:rPr>
          <w:rFonts w:ascii="Palatino Linotype" w:eastAsia="Palatino Linotype" w:hAnsi="Palatino Linotype" w:cs="Palatino Linotype"/>
          <w:i/>
          <w:iCs/>
          <w:color w:val="000000"/>
        </w:rPr>
        <w:t>,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DE4354" w:rsidRDefault="00DE4354">
      <w:pPr>
        <w:spacing w:line="360" w:lineRule="auto"/>
        <w:ind w:right="-737"/>
        <w:jc w:val="both"/>
        <w:rPr>
          <w:rFonts w:ascii="Palatino Linotype" w:eastAsia="Palatino Linotype" w:hAnsi="Palatino Linotype" w:cs="Palatino Linotype"/>
          <w:color w:val="000000"/>
        </w:rPr>
      </w:pPr>
    </w:p>
    <w:p w:rsidR="00DE4354" w:rsidRDefault="00864E7B">
      <w:pPr>
        <w:numPr>
          <w:ilvl w:val="0"/>
          <w:numId w:val="2"/>
        </w:numPr>
        <w:spacing w:line="360" w:lineRule="auto"/>
        <w:ind w:left="0" w:right="-73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Continuando con el estudio subsisten los puntos de inconformidad relativos a </w:t>
      </w:r>
      <w:r>
        <w:rPr>
          <w:rFonts w:ascii="Palatino Linotype" w:eastAsia="Palatino Linotype" w:hAnsi="Palatino Linotype" w:cs="Palatino Linotype"/>
          <w:i/>
          <w:iCs/>
          <w:u w:val="single"/>
        </w:rPr>
        <w:t>los derribos realizados por la Dirección de Medio Ambiente y Ecología y la Dirección de Protección Civil y Bomberos</w:t>
      </w:r>
      <w:r>
        <w:rPr>
          <w:rFonts w:ascii="Palatino Linotype" w:eastAsia="Palatino Linotype" w:hAnsi="Palatino Linotype" w:cs="Palatino Linotype"/>
        </w:rPr>
        <w:t>, ya que el particular argumentó que difieren en cantidades, toda vez que de la respuesta proporcionada por las unidades administrativas se puede advertir lo siguiente:</w:t>
      </w:r>
    </w:p>
    <w:p w:rsidR="00DE4354" w:rsidRDefault="00864E7B">
      <w:pPr>
        <w:numPr>
          <w:ilvl w:val="0"/>
          <w:numId w:val="8"/>
        </w:numPr>
        <w:pBdr>
          <w:top w:val="nil"/>
          <w:left w:val="nil"/>
          <w:bottom w:val="nil"/>
          <w:right w:val="nil"/>
          <w:between w:val="nil"/>
        </w:pBdr>
        <w:spacing w:line="360" w:lineRule="auto"/>
        <w:ind w:right="-737"/>
        <w:jc w:val="both"/>
        <w:rPr>
          <w:rFonts w:ascii="Palatino Linotype" w:eastAsia="Palatino Linotype" w:hAnsi="Palatino Linotype" w:cs="Palatino Linotype"/>
          <w:i/>
          <w:iCs/>
          <w:color w:val="000000"/>
        </w:rPr>
      </w:pPr>
      <w:r>
        <w:rPr>
          <w:rFonts w:ascii="Palatino Linotype" w:eastAsia="Palatino Linotype" w:hAnsi="Palatino Linotype" w:cs="Palatino Linotype"/>
          <w:color w:val="000000"/>
        </w:rPr>
        <w:t xml:space="preserve">Dirección de Medio Ambiente y Ecología: </w:t>
      </w:r>
      <w:r>
        <w:rPr>
          <w:rFonts w:ascii="Palatino Linotype" w:eastAsia="Palatino Linotype" w:hAnsi="Palatino Linotype" w:cs="Palatino Linotype"/>
          <w:b/>
          <w:bCs/>
          <w:i/>
          <w:iCs/>
          <w:color w:val="000000"/>
        </w:rPr>
        <w:t>80 Derribos</w:t>
      </w:r>
      <w:r>
        <w:rPr>
          <w:rFonts w:ascii="Palatino Linotype" w:eastAsia="Palatino Linotype" w:hAnsi="Palatino Linotype" w:cs="Palatino Linotype"/>
          <w:i/>
          <w:iCs/>
          <w:color w:val="000000"/>
        </w:rPr>
        <w:t xml:space="preserve"> (mismos que ha sido ejecutados por la Dirección de Protección Civil y Bomberos)</w:t>
      </w:r>
    </w:p>
    <w:p w:rsidR="00DE4354" w:rsidRDefault="00864E7B">
      <w:pPr>
        <w:numPr>
          <w:ilvl w:val="0"/>
          <w:numId w:val="8"/>
        </w:numPr>
        <w:pBdr>
          <w:top w:val="nil"/>
          <w:left w:val="nil"/>
          <w:bottom w:val="nil"/>
          <w:right w:val="nil"/>
          <w:between w:val="nil"/>
        </w:pBdr>
        <w:spacing w:line="360" w:lineRule="auto"/>
        <w:ind w:right="-73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Director de Protección Civil y Bomberos: </w:t>
      </w:r>
      <w:r>
        <w:rPr>
          <w:rFonts w:ascii="Palatino Linotype" w:eastAsia="Palatino Linotype" w:hAnsi="Palatino Linotype" w:cs="Palatino Linotype"/>
          <w:b/>
          <w:bCs/>
          <w:i/>
          <w:iCs/>
          <w:color w:val="000000"/>
        </w:rPr>
        <w:t>209 derribos de árboles</w:t>
      </w:r>
    </w:p>
    <w:p w:rsidR="00DE4354" w:rsidRDefault="00DE4354">
      <w:pPr>
        <w:pBdr>
          <w:top w:val="nil"/>
          <w:left w:val="nil"/>
          <w:bottom w:val="nil"/>
          <w:right w:val="nil"/>
          <w:between w:val="nil"/>
        </w:pBdr>
        <w:spacing w:line="360" w:lineRule="auto"/>
        <w:ind w:left="720" w:right="-737"/>
        <w:jc w:val="both"/>
        <w:rPr>
          <w:rFonts w:ascii="Palatino Linotype" w:eastAsia="Palatino Linotype" w:hAnsi="Palatino Linotype" w:cs="Palatino Linotype"/>
          <w:color w:val="000000"/>
        </w:rPr>
      </w:pPr>
    </w:p>
    <w:p w:rsidR="00DE4354" w:rsidRDefault="00864E7B">
      <w:pPr>
        <w:numPr>
          <w:ilvl w:val="0"/>
          <w:numId w:val="2"/>
        </w:numPr>
        <w:spacing w:line="360" w:lineRule="auto"/>
        <w:ind w:left="0" w:right="-73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 En razón de ello, es de referir que la </w:t>
      </w:r>
      <w:r>
        <w:rPr>
          <w:rFonts w:ascii="Palatino Linotype" w:eastAsia="Palatino Linotype" w:hAnsi="Palatino Linotype" w:cs="Palatino Linotype"/>
          <w:b/>
          <w:bCs/>
        </w:rPr>
        <w:t>Dirección de Medio Ambiente</w:t>
      </w:r>
      <w:r>
        <w:rPr>
          <w:rFonts w:ascii="Palatino Linotype" w:eastAsia="Palatino Linotype" w:hAnsi="Palatino Linotype" w:cs="Palatino Linotype"/>
        </w:rPr>
        <w:t xml:space="preserve"> tiene las atribuciones de </w:t>
      </w:r>
      <w:r>
        <w:rPr>
          <w:rFonts w:ascii="Palatino Linotype" w:eastAsia="Palatino Linotype" w:hAnsi="Palatino Linotype" w:cs="Palatino Linotype"/>
          <w:b/>
          <w:bCs/>
        </w:rPr>
        <w:t>autorizar el derribo de árboles</w:t>
      </w:r>
      <w:r>
        <w:rPr>
          <w:rFonts w:ascii="Palatino Linotype" w:eastAsia="Palatino Linotype" w:hAnsi="Palatino Linotype" w:cs="Palatino Linotype"/>
        </w:rPr>
        <w:t xml:space="preserve">, </w:t>
      </w:r>
      <w:r>
        <w:rPr>
          <w:rFonts w:ascii="Palatino Linotype" w:eastAsia="Palatino Linotype" w:hAnsi="Palatino Linotype" w:cs="Palatino Linotype"/>
          <w:b/>
          <w:bCs/>
        </w:rPr>
        <w:t>emitir la evaluación técnica</w:t>
      </w:r>
      <w:r>
        <w:rPr>
          <w:rFonts w:ascii="Palatino Linotype" w:eastAsia="Palatino Linotype" w:hAnsi="Palatino Linotype" w:cs="Palatino Linotype"/>
        </w:rPr>
        <w:t xml:space="preserve"> para los mismos </w:t>
      </w:r>
      <w:r>
        <w:rPr>
          <w:rFonts w:ascii="Palatino Linotype" w:eastAsia="Palatino Linotype" w:hAnsi="Palatino Linotype" w:cs="Palatino Linotype"/>
        </w:rPr>
        <w:lastRenderedPageBreak/>
        <w:t xml:space="preserve">efectos, y únicamente analiza y justifica técnicamente los </w:t>
      </w:r>
      <w:r>
        <w:rPr>
          <w:rFonts w:ascii="Palatino Linotype" w:eastAsia="Palatino Linotype" w:hAnsi="Palatino Linotype" w:cs="Palatino Linotype"/>
          <w:b/>
          <w:bCs/>
        </w:rPr>
        <w:t>dictámenes de riesgo</w:t>
      </w:r>
      <w:r>
        <w:rPr>
          <w:rFonts w:ascii="Palatino Linotype" w:eastAsia="Palatino Linotype" w:hAnsi="Palatino Linotype" w:cs="Palatino Linotype"/>
        </w:rPr>
        <w:t xml:space="preserve"> emitidos por la </w:t>
      </w:r>
      <w:r>
        <w:rPr>
          <w:rFonts w:ascii="Palatino Linotype" w:eastAsia="Palatino Linotype" w:hAnsi="Palatino Linotype" w:cs="Palatino Linotype"/>
          <w:b/>
          <w:bCs/>
        </w:rPr>
        <w:t>Dirección de Protección Civil y Bomberos</w:t>
      </w:r>
      <w:r>
        <w:rPr>
          <w:rFonts w:ascii="Palatino Linotype" w:eastAsia="Palatino Linotype" w:hAnsi="Palatino Linotype" w:cs="Palatino Linotype"/>
        </w:rPr>
        <w:t xml:space="preserve"> para la ejecución de trabajos en árboles que, por la magnitud del riesgo, se ejecuten sin previa autorización; asimismo, determinará en las autorizaciones que emita si se requiere la intervención de la Dirección de Protección Civil y Bomberos derivado del riesgo, la </w:t>
      </w:r>
      <w:r>
        <w:rPr>
          <w:rFonts w:ascii="Palatino Linotype" w:eastAsia="Palatino Linotype" w:hAnsi="Palatino Linotype" w:cs="Palatino Linotype"/>
          <w:b/>
          <w:bCs/>
        </w:rPr>
        <w:t>valoración de riesgo</w:t>
      </w:r>
      <w:r>
        <w:rPr>
          <w:rFonts w:ascii="Palatino Linotype" w:eastAsia="Palatino Linotype" w:hAnsi="Palatino Linotype" w:cs="Palatino Linotype"/>
        </w:rPr>
        <w:t xml:space="preserve"> es el </w:t>
      </w:r>
      <w:r>
        <w:rPr>
          <w:rFonts w:ascii="Palatino Linotype" w:eastAsia="Palatino Linotype" w:hAnsi="Palatino Linotype" w:cs="Palatino Linotype"/>
          <w:i/>
          <w:iCs/>
          <w:u w:val="single"/>
        </w:rPr>
        <w:t>documento que se emite por la Dirección de Protección Civil y Bomberos</w:t>
      </w:r>
      <w:r>
        <w:rPr>
          <w:rFonts w:ascii="Palatino Linotype" w:eastAsia="Palatino Linotype" w:hAnsi="Palatino Linotype" w:cs="Palatino Linotype"/>
          <w:i/>
          <w:iCs/>
        </w:rPr>
        <w:t xml:space="preserve"> mediante el cual se identifican los riesgos existentes a efecto de mitigar o eliminar los efectos.</w:t>
      </w:r>
    </w:p>
    <w:p w:rsidR="00DE4354" w:rsidRDefault="00DE4354">
      <w:pPr>
        <w:spacing w:line="360" w:lineRule="auto"/>
        <w:ind w:right="-737"/>
        <w:jc w:val="both"/>
        <w:rPr>
          <w:rFonts w:ascii="Palatino Linotype" w:eastAsia="Palatino Linotype" w:hAnsi="Palatino Linotype" w:cs="Palatino Linotype"/>
          <w:i/>
          <w:iCs/>
        </w:rPr>
      </w:pPr>
    </w:p>
    <w:p w:rsidR="00DE4354" w:rsidRDefault="00864E7B">
      <w:pPr>
        <w:numPr>
          <w:ilvl w:val="0"/>
          <w:numId w:val="2"/>
        </w:numPr>
        <w:spacing w:line="360" w:lineRule="auto"/>
        <w:ind w:left="0" w:right="-737" w:firstLine="0"/>
        <w:jc w:val="both"/>
        <w:rPr>
          <w:rFonts w:ascii="Palatino Linotype" w:eastAsia="Palatino Linotype" w:hAnsi="Palatino Linotype" w:cs="Palatino Linotype"/>
          <w:u w:val="single"/>
        </w:rPr>
      </w:pPr>
      <w:r>
        <w:rPr>
          <w:rFonts w:ascii="Palatino Linotype" w:eastAsia="Palatino Linotype" w:hAnsi="Palatino Linotype" w:cs="Palatino Linotype"/>
        </w:rPr>
        <w:t xml:space="preserve">De conformidad al Reglamento Interno de la Administración Pública Municipal, de conformidad con el artículo 45, fracción VI, inciso e) la Dirección de Medio Ambiente y Ecología, expide la autorización de derribo de árboles, previa emisión de dictamen o evaluación técnica emitida por esta misma Dirección, </w:t>
      </w:r>
      <w:r>
        <w:rPr>
          <w:rFonts w:ascii="Palatino Linotype" w:eastAsia="Palatino Linotype" w:hAnsi="Palatino Linotype" w:cs="Palatino Linotype"/>
          <w:i/>
          <w:iCs/>
          <w:u w:val="single"/>
        </w:rPr>
        <w:t>a excepción de los casos de riesgo inminente que deberá atender la Dirección de Protección Civil y Bomberos.</w:t>
      </w:r>
    </w:p>
    <w:p w:rsidR="00DE4354" w:rsidRDefault="00DE4354">
      <w:pPr>
        <w:spacing w:line="360" w:lineRule="auto"/>
        <w:ind w:right="-737"/>
        <w:jc w:val="both"/>
        <w:rPr>
          <w:rFonts w:ascii="Palatino Linotype" w:eastAsia="Palatino Linotype" w:hAnsi="Palatino Linotype" w:cs="Palatino Linotype"/>
          <w:i/>
          <w:iCs/>
          <w:u w:val="single"/>
        </w:rPr>
      </w:pPr>
    </w:p>
    <w:p w:rsidR="00DE4354" w:rsidRDefault="00864E7B">
      <w:pPr>
        <w:numPr>
          <w:ilvl w:val="0"/>
          <w:numId w:val="2"/>
        </w:numPr>
        <w:spacing w:line="360" w:lineRule="auto"/>
        <w:ind w:left="0" w:right="-737" w:firstLine="0"/>
        <w:jc w:val="both"/>
        <w:rPr>
          <w:rFonts w:ascii="Palatino Linotype" w:eastAsia="Palatino Linotype" w:hAnsi="Palatino Linotype" w:cs="Palatino Linotype"/>
          <w:u w:val="single"/>
        </w:rPr>
      </w:pPr>
      <w:r>
        <w:rPr>
          <w:rFonts w:ascii="Palatino Linotype" w:eastAsia="Palatino Linotype" w:hAnsi="Palatino Linotype" w:cs="Palatino Linotype"/>
        </w:rPr>
        <w:t xml:space="preserve">En conclusión, la Dirección de Medio Ambiente y Ecología no ejecuta derribo de árboles, contrario a la Dirección de Protección Civil y Bomberos, por lo que le asiste la razón al Sujeto Obligado al haber referido en respuesta a través del pronunciamiento de la Dirección de Medio Ambiente y Ecología, que se realizaron </w:t>
      </w:r>
      <w:r>
        <w:rPr>
          <w:rFonts w:ascii="Palatino Linotype" w:eastAsia="Palatino Linotype" w:hAnsi="Palatino Linotype" w:cs="Palatino Linotype"/>
          <w:b/>
          <w:bCs/>
          <w:i/>
          <w:iCs/>
        </w:rPr>
        <w:t>80 Derribos (mismos que ha sido ejecutados por la Dirección de Protección Civil y Bomberos)</w:t>
      </w:r>
      <w:r>
        <w:rPr>
          <w:rFonts w:ascii="Palatino Linotype" w:eastAsia="Palatino Linotype" w:hAnsi="Palatino Linotype" w:cs="Palatino Linotype"/>
        </w:rPr>
        <w:t xml:space="preserve">, máxime que a través de Informe Justificado el </w:t>
      </w:r>
      <w:r>
        <w:rPr>
          <w:rFonts w:ascii="Palatino Linotype" w:eastAsia="Palatino Linotype" w:hAnsi="Palatino Linotype" w:cs="Palatino Linotype"/>
          <w:b/>
          <w:bCs/>
        </w:rPr>
        <w:t>Director de Protección Civil y Bomberos</w:t>
      </w:r>
      <w:r>
        <w:rPr>
          <w:rFonts w:ascii="Palatino Linotype" w:eastAsia="Palatino Linotype" w:hAnsi="Palatino Linotype" w:cs="Palatino Linotype"/>
        </w:rPr>
        <w:t xml:space="preserve">, ratificó su respuesta inicial, añadiendo que </w:t>
      </w:r>
      <w:r>
        <w:rPr>
          <w:rFonts w:ascii="Palatino Linotype" w:eastAsia="Palatino Linotype" w:hAnsi="Palatino Linotype" w:cs="Palatino Linotype"/>
          <w:b/>
          <w:bCs/>
          <w:i/>
          <w:iCs/>
        </w:rPr>
        <w:t>cada una de las Unidades Administrativas</w:t>
      </w:r>
      <w:r>
        <w:rPr>
          <w:rFonts w:ascii="Palatino Linotype" w:eastAsia="Palatino Linotype" w:hAnsi="Palatino Linotype" w:cs="Palatino Linotype"/>
          <w:i/>
          <w:iCs/>
        </w:rPr>
        <w:t xml:space="preserve"> pertenecientes al H. Ayuntamiento de Ecatepec de Morelos; </w:t>
      </w:r>
      <w:r>
        <w:rPr>
          <w:rFonts w:ascii="Palatino Linotype" w:eastAsia="Palatino Linotype" w:hAnsi="Palatino Linotype" w:cs="Palatino Linotype"/>
          <w:b/>
          <w:bCs/>
          <w:i/>
          <w:iCs/>
        </w:rPr>
        <w:t>cuentan con facultades y atribuciones diferentes</w:t>
      </w:r>
      <w:r>
        <w:rPr>
          <w:rFonts w:ascii="Palatino Linotype" w:eastAsia="Palatino Linotype" w:hAnsi="Palatino Linotype" w:cs="Palatino Linotype"/>
        </w:rPr>
        <w:t xml:space="preserve">, y el </w:t>
      </w:r>
      <w:r>
        <w:rPr>
          <w:rFonts w:ascii="Palatino Linotype" w:eastAsia="Palatino Linotype" w:hAnsi="Palatino Linotype" w:cs="Palatino Linotype"/>
          <w:b/>
          <w:bCs/>
          <w:color w:val="000000"/>
        </w:rPr>
        <w:t>Encargado de Despacho de la Dirección de Medio Ambiente y Ecología</w:t>
      </w:r>
      <w:r>
        <w:rPr>
          <w:rFonts w:ascii="Palatino Linotype" w:eastAsia="Palatino Linotype" w:hAnsi="Palatino Linotype" w:cs="Palatino Linotype"/>
          <w:color w:val="000000"/>
        </w:rPr>
        <w:t xml:space="preserve">, ratificó su respuesta inicial, añadiendo que </w:t>
      </w:r>
      <w:r>
        <w:rPr>
          <w:rFonts w:ascii="Palatino Linotype" w:eastAsia="Palatino Linotype" w:hAnsi="Palatino Linotype" w:cs="Palatino Linotype"/>
          <w:b/>
          <w:bCs/>
          <w:i/>
          <w:iCs/>
          <w:color w:val="000000"/>
        </w:rPr>
        <w:t>los datos proporcionados entre las diferentes dependencias</w:t>
      </w:r>
      <w:r>
        <w:rPr>
          <w:rFonts w:ascii="Palatino Linotype" w:eastAsia="Palatino Linotype" w:hAnsi="Palatino Linotype" w:cs="Palatino Linotype"/>
          <w:i/>
          <w:iCs/>
          <w:color w:val="000000"/>
        </w:rPr>
        <w:t xml:space="preserve"> municipales requeridas </w:t>
      </w:r>
      <w:r>
        <w:rPr>
          <w:rFonts w:ascii="Palatino Linotype" w:eastAsia="Palatino Linotype" w:hAnsi="Palatino Linotype" w:cs="Palatino Linotype"/>
          <w:b/>
          <w:bCs/>
          <w:i/>
          <w:iCs/>
          <w:color w:val="000000"/>
        </w:rPr>
        <w:t>difiere en la medida que la cantidad de solicitudes ingresadas en cada una es diferente.</w:t>
      </w:r>
    </w:p>
    <w:p w:rsidR="00DE4354" w:rsidRDefault="00864E7B">
      <w:pPr>
        <w:numPr>
          <w:ilvl w:val="0"/>
          <w:numId w:val="2"/>
        </w:numPr>
        <w:spacing w:line="360" w:lineRule="auto"/>
        <w:ind w:left="0" w:right="-737" w:firstLine="0"/>
        <w:jc w:val="both"/>
        <w:rPr>
          <w:rFonts w:ascii="Palatino Linotype" w:eastAsia="Palatino Linotype" w:hAnsi="Palatino Linotype" w:cs="Palatino Linotype"/>
          <w:b/>
          <w:bCs/>
          <w:color w:val="000000"/>
        </w:rPr>
      </w:pPr>
      <w:r>
        <w:rPr>
          <w:rFonts w:ascii="Palatino Linotype" w:eastAsia="Palatino Linotype" w:hAnsi="Palatino Linotype" w:cs="Palatino Linotype"/>
        </w:rPr>
        <w:lastRenderedPageBreak/>
        <w:t xml:space="preserve">Es así que este Organismo considera le asiste la razón al Sujeto Obligado, por los motivos expuestos,  resultando necesario </w:t>
      </w:r>
      <w:r>
        <w:rPr>
          <w:rFonts w:ascii="Palatino Linotype" w:eastAsia="Palatino Linotype" w:hAnsi="Palatino Linotype" w:cs="Palatino Linotype"/>
          <w:color w:val="000000"/>
        </w:rPr>
        <w:t>puntualizar</w:t>
      </w:r>
      <w:r>
        <w:rPr>
          <w:rFonts w:ascii="Palatino Linotype" w:eastAsia="Palatino Linotype" w:hAnsi="Palatino Linotype" w:cs="Palatino Linotype"/>
        </w:rPr>
        <w:t xml:space="preserve"> con claridad que éste Órgano Protector del Derecho de Acceso a la Información no está facultado para pronunciarse sobre la veracidad de la información que los Sujetos Obligados ponen a disposición de los solicitantes; situación que se aleja de las atribuciones de este Instituto.</w:t>
      </w:r>
    </w:p>
    <w:p w:rsidR="00DE4354" w:rsidRDefault="00DE4354">
      <w:pPr>
        <w:pBdr>
          <w:top w:val="nil"/>
          <w:left w:val="nil"/>
          <w:bottom w:val="nil"/>
          <w:right w:val="nil"/>
          <w:between w:val="nil"/>
        </w:pBdr>
        <w:spacing w:line="360" w:lineRule="auto"/>
        <w:ind w:left="851" w:right="-737"/>
        <w:jc w:val="both"/>
        <w:rPr>
          <w:rFonts w:ascii="Palatino Linotype" w:eastAsia="Palatino Linotype" w:hAnsi="Palatino Linotype" w:cs="Palatino Linotype"/>
          <w:i/>
          <w:iCs/>
          <w:color w:val="000000"/>
        </w:rPr>
      </w:pPr>
    </w:p>
    <w:p w:rsidR="00DE4354" w:rsidRDefault="00864E7B">
      <w:pPr>
        <w:numPr>
          <w:ilvl w:val="0"/>
          <w:numId w:val="2"/>
        </w:numPr>
        <w:spacing w:line="360" w:lineRule="auto"/>
        <w:ind w:left="0" w:right="-73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Así mismo, la </w:t>
      </w:r>
      <w:r>
        <w:rPr>
          <w:rFonts w:ascii="Palatino Linotype" w:eastAsia="Palatino Linotype" w:hAnsi="Palatino Linotype" w:cs="Palatino Linotype"/>
          <w:b/>
          <w:bCs/>
        </w:rPr>
        <w:t>Ley de Transparencia y Acceso a la Información Pública del Estado de México y Municipios</w:t>
      </w:r>
      <w:r>
        <w:rPr>
          <w:rFonts w:ascii="Palatino Linotype" w:eastAsia="Palatino Linotype" w:hAnsi="Palatino Linotype" w:cs="Palatino Linotype"/>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w:t>
      </w:r>
      <w:r>
        <w:rPr>
          <w:rFonts w:ascii="Palatino Linotype" w:eastAsia="Palatino Linotype" w:hAnsi="Palatino Linotype" w:cs="Palatino Linotype"/>
          <w:b/>
          <w:bCs/>
        </w:rPr>
        <w:t>veracidad</w:t>
      </w:r>
      <w:r>
        <w:rPr>
          <w:rFonts w:ascii="Palatino Linotype" w:eastAsia="Palatino Linotype" w:hAnsi="Palatino Linotype" w:cs="Palatino Linotype"/>
        </w:rPr>
        <w:t>, oportunidad entre otros, numeral en comento que a la letra señala;</w:t>
      </w:r>
    </w:p>
    <w:p w:rsidR="00DE4354" w:rsidRDefault="00864E7B">
      <w:pPr>
        <w:pBdr>
          <w:top w:val="nil"/>
          <w:left w:val="nil"/>
          <w:bottom w:val="nil"/>
          <w:right w:val="nil"/>
          <w:between w:val="nil"/>
        </w:pBdr>
        <w:ind w:left="646" w:right="-737"/>
        <w:jc w:val="both"/>
        <w:rPr>
          <w:rFonts w:ascii="Palatino Linotype" w:eastAsia="Palatino Linotype" w:hAnsi="Palatino Linotype" w:cs="Palatino Linotype"/>
          <w:b/>
          <w:bCs/>
          <w:i/>
          <w:iCs/>
          <w:color w:val="000000"/>
        </w:rPr>
      </w:pPr>
      <w:r>
        <w:rPr>
          <w:rFonts w:ascii="Palatino Linotype" w:eastAsia="Palatino Linotype" w:hAnsi="Palatino Linotype" w:cs="Palatino Linotype"/>
          <w:i/>
          <w:iCs/>
          <w:color w:val="000000"/>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Pr>
          <w:rFonts w:ascii="Palatino Linotype" w:eastAsia="Palatino Linotype" w:hAnsi="Palatino Linotype" w:cs="Palatino Linotype"/>
          <w:b/>
          <w:bCs/>
          <w:i/>
          <w:iCs/>
          <w:color w:val="000000"/>
        </w:rPr>
        <w:t>Los Sujetos Obligados deben poner en práctica, políticas y programas de acceso a la información que se apeguen a criterios de publicidad, veracidad, oportunidad, precisión y suficiencia en beneficio de los solicitantes.</w:t>
      </w:r>
    </w:p>
    <w:p w:rsidR="00DE4354" w:rsidRDefault="00DE4354">
      <w:pPr>
        <w:spacing w:line="360" w:lineRule="auto"/>
        <w:ind w:right="-737"/>
        <w:jc w:val="both"/>
        <w:rPr>
          <w:rFonts w:ascii="Palatino Linotype" w:eastAsia="Palatino Linotype" w:hAnsi="Palatino Linotype" w:cs="Palatino Linotype"/>
        </w:rPr>
      </w:pPr>
    </w:p>
    <w:p w:rsidR="00DE4354" w:rsidRDefault="00864E7B">
      <w:pPr>
        <w:numPr>
          <w:ilvl w:val="0"/>
          <w:numId w:val="2"/>
        </w:numPr>
        <w:spacing w:line="360" w:lineRule="auto"/>
        <w:ind w:left="0" w:right="-737" w:firstLine="0"/>
        <w:jc w:val="both"/>
        <w:rPr>
          <w:rFonts w:ascii="Palatino Linotype" w:eastAsia="Palatino Linotype" w:hAnsi="Palatino Linotype" w:cs="Palatino Linotype"/>
          <w:color w:val="000000"/>
        </w:rPr>
      </w:pPr>
      <w:r>
        <w:rPr>
          <w:rFonts w:ascii="Palatino Linotype" w:eastAsia="Palatino Linotype" w:hAnsi="Palatino Linotype" w:cs="Palatino Linotype"/>
        </w:rPr>
        <w:t>Luego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entonces</w:t>
      </w:r>
      <w:r>
        <w:rPr>
          <w:rFonts w:ascii="Palatino Linotype" w:eastAsia="Palatino Linotype" w:hAnsi="Palatino Linotype" w:cs="Palatino Linotype"/>
          <w:color w:val="000000"/>
        </w:rPr>
        <w:t xml:space="preserve"> la </w:t>
      </w:r>
      <w:r>
        <w:rPr>
          <w:rFonts w:ascii="Palatino Linotype" w:eastAsia="Palatino Linotype" w:hAnsi="Palatino Linotype" w:cs="Palatino Linotype"/>
        </w:rPr>
        <w:t>obligación</w:t>
      </w:r>
      <w:r>
        <w:rPr>
          <w:rFonts w:ascii="Palatino Linotype" w:eastAsia="Palatino Linotype" w:hAnsi="Palatino Linotype" w:cs="Palatino Linotype"/>
          <w:color w:val="000000"/>
        </w:rPr>
        <w:t xml:space="preserve"> de los Sujetos Obligados de dar acceso a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xml:space="preserve">, administren o posean, se tendrá por cumplida cuando </w:t>
      </w:r>
      <w:r>
        <w:rPr>
          <w:rFonts w:ascii="Palatino Linotype" w:eastAsia="Palatino Linotype" w:hAnsi="Palatino Linotype" w:cs="Palatino Linotype"/>
          <w:b/>
          <w:bCs/>
          <w:color w:val="000000"/>
        </w:rPr>
        <w:t>el solicitante tenga a su disposición la información requerida, como ha sucedido al caso concreto</w:t>
      </w:r>
      <w:r>
        <w:rPr>
          <w:rFonts w:ascii="Palatino Linotype" w:eastAsia="Palatino Linotype" w:hAnsi="Palatino Linotype" w:cs="Palatino Linotype"/>
          <w:color w:val="000000"/>
        </w:rPr>
        <w:t xml:space="preserve">, en consecuencia, </w:t>
      </w:r>
      <w:r>
        <w:rPr>
          <w:rFonts w:ascii="Palatino Linotype" w:eastAsia="Palatino Linotype" w:hAnsi="Palatino Linotype" w:cs="Palatino Linotype"/>
        </w:rPr>
        <w:t>la</w:t>
      </w:r>
      <w:r>
        <w:rPr>
          <w:rFonts w:ascii="Palatino Linotype" w:eastAsia="Palatino Linotype" w:hAnsi="Palatino Linotype" w:cs="Palatino Linotype"/>
          <w:color w:val="000000"/>
        </w:rPr>
        <w:t xml:space="preserve"> solicitud de información </w:t>
      </w:r>
      <w:r>
        <w:rPr>
          <w:rFonts w:ascii="Palatino Linotype" w:eastAsia="Palatino Linotype" w:hAnsi="Palatino Linotype" w:cs="Palatino Linotype"/>
          <w:b/>
          <w:bCs/>
          <w:color w:val="000000"/>
        </w:rPr>
        <w:t>ha quedado satisfecha</w:t>
      </w:r>
      <w:r>
        <w:rPr>
          <w:rFonts w:ascii="Palatino Linotype" w:eastAsia="Palatino Linotype" w:hAnsi="Palatino Linotype" w:cs="Palatino Linotype"/>
          <w:color w:val="000000"/>
        </w:rPr>
        <w:t>.</w:t>
      </w:r>
      <w:r>
        <w:rPr>
          <w:rFonts w:ascii="Palatino Linotype" w:eastAsia="Palatino Linotype" w:hAnsi="Palatino Linotype" w:cs="Palatino Linotype"/>
          <w:i/>
          <w:iCs/>
          <w:color w:val="000000"/>
        </w:rPr>
        <w:t xml:space="preserve"> </w:t>
      </w:r>
    </w:p>
    <w:p w:rsidR="00DE4354" w:rsidRDefault="00DE4354">
      <w:pPr>
        <w:spacing w:line="360" w:lineRule="auto"/>
        <w:ind w:right="-737"/>
        <w:jc w:val="both"/>
        <w:rPr>
          <w:rFonts w:ascii="Palatino Linotype" w:eastAsia="Palatino Linotype" w:hAnsi="Palatino Linotype" w:cs="Palatino Linotype"/>
          <w:i/>
          <w:iCs/>
          <w:color w:val="000000"/>
        </w:rPr>
      </w:pPr>
    </w:p>
    <w:p w:rsidR="00DE4354" w:rsidRDefault="00864E7B">
      <w:pPr>
        <w:numPr>
          <w:ilvl w:val="0"/>
          <w:numId w:val="2"/>
        </w:numPr>
        <w:spacing w:line="360" w:lineRule="auto"/>
        <w:ind w:left="0" w:right="-737" w:firstLine="0"/>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De </w:t>
      </w:r>
      <w:r>
        <w:rPr>
          <w:rFonts w:ascii="Palatino Linotype" w:eastAsia="Palatino Linotype" w:hAnsi="Palatino Linotype" w:cs="Palatino Linotype"/>
          <w:color w:val="000000"/>
        </w:rPr>
        <w:t>todo</w:t>
      </w:r>
      <w:r>
        <w:rPr>
          <w:rFonts w:ascii="Palatino Linotype" w:eastAsia="Palatino Linotype" w:hAnsi="Palatino Linotype" w:cs="Palatino Linotype"/>
        </w:rPr>
        <w:t xml:space="preserve"> lo expuesto, se advierte que el </w:t>
      </w:r>
      <w:r>
        <w:rPr>
          <w:rFonts w:ascii="Palatino Linotype" w:eastAsia="Palatino Linotype" w:hAnsi="Palatino Linotype" w:cs="Palatino Linotype"/>
          <w:b/>
          <w:bCs/>
        </w:rPr>
        <w:t xml:space="preserve">SUJETO OBLIGADO modificó su acto al complementar su respuesta en informe justificado, </w:t>
      </w:r>
      <w:r>
        <w:rPr>
          <w:rFonts w:ascii="Palatino Linotype" w:eastAsia="Palatino Linotype" w:hAnsi="Palatino Linotype" w:cs="Palatino Linotype"/>
        </w:rPr>
        <w:t xml:space="preserve">ratificando su respuesta inicial, pero precisando que </w:t>
      </w:r>
      <w:r>
        <w:rPr>
          <w:rFonts w:ascii="Palatino Linotype" w:eastAsia="Palatino Linotype" w:hAnsi="Palatino Linotype" w:cs="Palatino Linotype"/>
          <w:i/>
          <w:iCs/>
        </w:rPr>
        <w:t xml:space="preserve">los datos proporcionados entre las distintas dependencias municipales requeridas </w:t>
      </w:r>
      <w:r>
        <w:rPr>
          <w:rFonts w:ascii="Palatino Linotype" w:eastAsia="Palatino Linotype" w:hAnsi="Palatino Linotype" w:cs="Palatino Linotype"/>
          <w:i/>
          <w:iCs/>
        </w:rPr>
        <w:lastRenderedPageBreak/>
        <w:t xml:space="preserve">difiere en la medida que la cantidad de solicitudes ingresadas en cada una es diferente, y de conformidad </w:t>
      </w:r>
      <w:r>
        <w:rPr>
          <w:rFonts w:ascii="Palatino Linotype" w:eastAsia="Palatino Linotype" w:hAnsi="Palatino Linotype" w:cs="Palatino Linotype"/>
          <w:i/>
          <w:iCs/>
          <w:color w:val="000000"/>
        </w:rPr>
        <w:t>con las facultades y atribuciones encomendadas a cada una.</w:t>
      </w:r>
    </w:p>
    <w:p w:rsidR="00DE4354" w:rsidRDefault="00DE4354">
      <w:pPr>
        <w:spacing w:line="360" w:lineRule="auto"/>
        <w:ind w:right="-737"/>
        <w:jc w:val="both"/>
        <w:rPr>
          <w:rFonts w:ascii="Palatino Linotype" w:eastAsia="Palatino Linotype" w:hAnsi="Palatino Linotype" w:cs="Palatino Linotype"/>
          <w:color w:val="000000"/>
        </w:rPr>
      </w:pPr>
    </w:p>
    <w:p w:rsidR="00DE4354" w:rsidRDefault="00864E7B">
      <w:pPr>
        <w:numPr>
          <w:ilvl w:val="0"/>
          <w:numId w:val="2"/>
        </w:numPr>
        <w:spacing w:line="360" w:lineRule="auto"/>
        <w:ind w:left="0" w:right="-737" w:firstLine="0"/>
        <w:jc w:val="both"/>
        <w:rPr>
          <w:rFonts w:ascii="Palatino Linotype" w:eastAsia="Palatino Linotype" w:hAnsi="Palatino Linotype" w:cs="Palatino Linotype"/>
          <w:color w:val="000000"/>
        </w:rPr>
      </w:pPr>
      <w:r>
        <w:rPr>
          <w:rFonts w:ascii="Palatino Linotype" w:eastAsia="Palatino Linotype" w:hAnsi="Palatino Linotype" w:cs="Palatino Linotype"/>
        </w:rPr>
        <w:t>Luego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entonces</w:t>
      </w:r>
      <w:r>
        <w:rPr>
          <w:rFonts w:ascii="Palatino Linotype" w:eastAsia="Palatino Linotype" w:hAnsi="Palatino Linotype" w:cs="Palatino Linotype"/>
          <w:color w:val="000000"/>
        </w:rPr>
        <w:t xml:space="preserve">, al haberse ampliado la respuesta inicial, resulta necesario invocar la fracción III, del artículo 192, de la </w:t>
      </w:r>
      <w:r>
        <w:rPr>
          <w:rFonts w:ascii="Palatino Linotype" w:eastAsia="Palatino Linotype" w:hAnsi="Palatino Linotype" w:cs="Palatino Linotype"/>
          <w:b/>
          <w:bCs/>
          <w:color w:val="000000"/>
        </w:rPr>
        <w:t>Ley de Transparencia y Acceso a la Información Pública del Estado de México y Municipios</w:t>
      </w:r>
      <w:r>
        <w:rPr>
          <w:rFonts w:ascii="Palatino Linotype" w:eastAsia="Palatino Linotype" w:hAnsi="Palatino Linotype" w:cs="Palatino Linotype"/>
          <w:color w:val="000000"/>
        </w:rPr>
        <w:t xml:space="preserve">, por contener la causal de sobreseimiento relativa a que el Sujeto Obligado </w:t>
      </w:r>
      <w:r>
        <w:rPr>
          <w:rFonts w:ascii="Palatino Linotype" w:eastAsia="Palatino Linotype" w:hAnsi="Palatino Linotype" w:cs="Palatino Linotype"/>
          <w:b/>
          <w:bCs/>
          <w:color w:val="000000"/>
          <w:u w:val="single"/>
        </w:rPr>
        <w:t>modifique o revoque el acto</w:t>
      </w:r>
      <w:r>
        <w:rPr>
          <w:rFonts w:ascii="Palatino Linotype" w:eastAsia="Palatino Linotype" w:hAnsi="Palatino Linotype" w:cs="Palatino Linotype"/>
          <w:color w:val="000000"/>
        </w:rPr>
        <w:t>; de ahí que la actualización de alguno de éstos trae como consecuencia que el medio de impugnación se concluya sin que se analice el objeto de estudio planteado, es decir se sobresea.</w:t>
      </w:r>
    </w:p>
    <w:p w:rsidR="00DE4354" w:rsidRDefault="00DE4354">
      <w:pPr>
        <w:spacing w:line="360" w:lineRule="auto"/>
        <w:ind w:right="-737"/>
        <w:jc w:val="both"/>
        <w:rPr>
          <w:rFonts w:ascii="Palatino Linotype" w:eastAsia="Palatino Linotype" w:hAnsi="Palatino Linotype" w:cs="Palatino Linotype"/>
        </w:rPr>
      </w:pPr>
    </w:p>
    <w:p w:rsidR="00DE4354" w:rsidRDefault="00864E7B">
      <w:pPr>
        <w:numPr>
          <w:ilvl w:val="0"/>
          <w:numId w:val="2"/>
        </w:numPr>
        <w:spacing w:line="360" w:lineRule="auto"/>
        <w:ind w:left="0" w:right="-73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Para los </w:t>
      </w:r>
      <w:r>
        <w:rPr>
          <w:rFonts w:ascii="Palatino Linotype" w:eastAsia="Palatino Linotype" w:hAnsi="Palatino Linotype" w:cs="Palatino Linotype"/>
        </w:rPr>
        <w:t>efectos</w:t>
      </w:r>
      <w:r>
        <w:rPr>
          <w:rFonts w:ascii="Palatino Linotype" w:eastAsia="Palatino Linotype" w:hAnsi="Palatino Linotype" w:cs="Palatino Linotype"/>
          <w:color w:val="000000"/>
        </w:rPr>
        <w:t xml:space="preserve"> de esta resolución, es oportuno precisar los alcances jurídicos de la fracción III de </w:t>
      </w:r>
      <w:r>
        <w:rPr>
          <w:rFonts w:ascii="Palatino Linotype" w:eastAsia="Palatino Linotype" w:hAnsi="Palatino Linotype" w:cs="Palatino Linotype"/>
        </w:rPr>
        <w:t>referencia</w:t>
      </w:r>
      <w:r>
        <w:rPr>
          <w:rFonts w:ascii="Palatino Linotype" w:eastAsia="Palatino Linotype" w:hAnsi="Palatino Linotype" w:cs="Palatino Linotype"/>
          <w:color w:val="000000"/>
        </w:rPr>
        <w:t>, a saber:</w:t>
      </w:r>
    </w:p>
    <w:p w:rsidR="00DE4354" w:rsidRDefault="00864E7B">
      <w:pPr>
        <w:numPr>
          <w:ilvl w:val="0"/>
          <w:numId w:val="9"/>
        </w:numPr>
        <w:spacing w:line="360" w:lineRule="auto"/>
        <w:ind w:left="1134" w:right="-737" w:firstLine="0"/>
        <w:jc w:val="both"/>
        <w:rPr>
          <w:rFonts w:ascii="Palatino Linotype" w:eastAsia="Palatino Linotype" w:hAnsi="Palatino Linotype" w:cs="Palatino Linotype"/>
        </w:rPr>
      </w:pPr>
      <w:r>
        <w:rPr>
          <w:rFonts w:ascii="Palatino Linotype" w:eastAsia="Palatino Linotype" w:hAnsi="Palatino Linotype" w:cs="Palatino Linotype"/>
          <w:b/>
          <w:bCs/>
        </w:rPr>
        <w:t>Modifique el acto impugnado:</w:t>
      </w:r>
      <w:r>
        <w:rPr>
          <w:rFonts w:ascii="Palatino Linotype" w:eastAsia="Palatino Linotype" w:hAnsi="Palatino Linotype" w:cs="Palatino Linotype"/>
        </w:rPr>
        <w:t xml:space="preserve"> Se actualiza cuando el </w:t>
      </w:r>
      <w:r>
        <w:rPr>
          <w:rFonts w:ascii="Palatino Linotype" w:eastAsia="Palatino Linotype" w:hAnsi="Palatino Linotype" w:cs="Palatino Linotype"/>
          <w:b/>
          <w:bCs/>
        </w:rPr>
        <w:t>SUJETO OBLIGADO</w:t>
      </w:r>
      <w:r>
        <w:rPr>
          <w:rFonts w:ascii="Palatino Linotype" w:eastAsia="Palatino Linotype" w:hAnsi="Palatino Linotype" w:cs="Palatino Linotype"/>
        </w:rPr>
        <w:t xml:space="preserve"> después de haber otorgado una respuesta y hasta antes de dictada la resolución del recurso de revisión, emite una diversa en la que subsane las deficiencias que hubiera tenido.</w:t>
      </w:r>
    </w:p>
    <w:p w:rsidR="00DE4354" w:rsidRDefault="00864E7B">
      <w:pPr>
        <w:numPr>
          <w:ilvl w:val="0"/>
          <w:numId w:val="9"/>
        </w:numPr>
        <w:spacing w:line="360" w:lineRule="auto"/>
        <w:ind w:left="1134" w:right="-737" w:firstLine="0"/>
        <w:jc w:val="both"/>
        <w:rPr>
          <w:rFonts w:ascii="Palatino Linotype" w:eastAsia="Palatino Linotype" w:hAnsi="Palatino Linotype" w:cs="Palatino Linotype"/>
        </w:rPr>
      </w:pPr>
      <w:r>
        <w:rPr>
          <w:rFonts w:ascii="Palatino Linotype" w:eastAsia="Palatino Linotype" w:hAnsi="Palatino Linotype" w:cs="Palatino Linotype"/>
          <w:b/>
          <w:bCs/>
        </w:rPr>
        <w:t>Revoque el acto impugnado:</w:t>
      </w:r>
      <w:r>
        <w:rPr>
          <w:rFonts w:ascii="Palatino Linotype" w:eastAsia="Palatino Linotype" w:hAnsi="Palatino Linotype" w:cs="Palatino Linotype"/>
        </w:rPr>
        <w:t xml:space="preserve"> En este supuesto, el </w:t>
      </w:r>
      <w:r>
        <w:rPr>
          <w:rFonts w:ascii="Palatino Linotype" w:eastAsia="Palatino Linotype" w:hAnsi="Palatino Linotype" w:cs="Palatino Linotype"/>
          <w:b/>
          <w:bCs/>
        </w:rPr>
        <w:t>SUJETO OBLIGADO</w:t>
      </w:r>
      <w:r>
        <w:rPr>
          <w:rFonts w:ascii="Palatino Linotype" w:eastAsia="Palatino Linotype" w:hAnsi="Palatino Linotype" w:cs="Palatino Linotype"/>
        </w:rPr>
        <w:t xml:space="preserve"> deja sin efectos la primera respuesta y en su lugar emite otra que satisfaga lo solicitado por el particular en un primer momento.</w:t>
      </w:r>
    </w:p>
    <w:p w:rsidR="00DE4354" w:rsidRDefault="00DE4354">
      <w:pPr>
        <w:pBdr>
          <w:top w:val="nil"/>
          <w:left w:val="nil"/>
          <w:bottom w:val="nil"/>
          <w:right w:val="nil"/>
          <w:between w:val="nil"/>
        </w:pBdr>
        <w:spacing w:line="360" w:lineRule="auto"/>
        <w:ind w:right="-737"/>
        <w:rPr>
          <w:rFonts w:ascii="Palatino Linotype" w:eastAsia="Palatino Linotype" w:hAnsi="Palatino Linotype" w:cs="Palatino Linotype"/>
          <w:color w:val="000000"/>
        </w:rPr>
      </w:pPr>
    </w:p>
    <w:p w:rsidR="00DE4354" w:rsidRDefault="00864E7B">
      <w:pPr>
        <w:numPr>
          <w:ilvl w:val="0"/>
          <w:numId w:val="2"/>
        </w:numPr>
        <w:spacing w:line="360" w:lineRule="auto"/>
        <w:ind w:left="0" w:right="-73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Las consecuencias </w:t>
      </w:r>
      <w:r>
        <w:rPr>
          <w:rFonts w:ascii="Palatino Linotype" w:eastAsia="Palatino Linotype" w:hAnsi="Palatino Linotype" w:cs="Palatino Linotype"/>
        </w:rPr>
        <w:t>jurídicas</w:t>
      </w:r>
      <w:r>
        <w:rPr>
          <w:rFonts w:ascii="Palatino Linotype" w:eastAsia="Palatino Linotype" w:hAnsi="Palatino Linotype" w:cs="Palatino Linotype"/>
          <w:color w:val="000000"/>
        </w:rPr>
        <w:t xml:space="preserve"> de esta modificación o revocación es que el recurso de revisión interpuesto quede sin efectos o sin materia. Un acto impugnado queda sin efectos, cuando aun existiendo jurídicamente, no genera consecuencia legal alguna; queda sin </w:t>
      </w:r>
      <w:r>
        <w:rPr>
          <w:rFonts w:ascii="Palatino Linotype" w:eastAsia="Palatino Linotype" w:hAnsi="Palatino Linotype" w:cs="Palatino Linotype"/>
          <w:color w:val="000000"/>
        </w:rPr>
        <w:lastRenderedPageBreak/>
        <w:t>materia, cuando ha sido satisfecha la pretensión del particular, ya sea porque se hizo la entrega de la información solicitada o porque se completó la misma.</w:t>
      </w:r>
    </w:p>
    <w:p w:rsidR="00DE4354" w:rsidRDefault="00DE4354">
      <w:pPr>
        <w:spacing w:line="360" w:lineRule="auto"/>
        <w:ind w:right="-737"/>
        <w:jc w:val="both"/>
        <w:rPr>
          <w:rFonts w:ascii="Palatino Linotype" w:eastAsia="Palatino Linotype" w:hAnsi="Palatino Linotype" w:cs="Palatino Linotype"/>
        </w:rPr>
      </w:pPr>
    </w:p>
    <w:p w:rsidR="00DE4354" w:rsidRDefault="00864E7B">
      <w:pPr>
        <w:numPr>
          <w:ilvl w:val="0"/>
          <w:numId w:val="2"/>
        </w:numPr>
        <w:spacing w:line="360" w:lineRule="auto"/>
        <w:ind w:left="0" w:right="-73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el </w:t>
      </w:r>
      <w:r>
        <w:rPr>
          <w:rFonts w:ascii="Palatino Linotype" w:eastAsia="Palatino Linotype" w:hAnsi="Palatino Linotype" w:cs="Palatino Linotype"/>
        </w:rPr>
        <w:t>presente</w:t>
      </w:r>
      <w:r>
        <w:rPr>
          <w:rFonts w:ascii="Palatino Linotype" w:eastAsia="Palatino Linotype" w:hAnsi="Palatino Linotype" w:cs="Palatino Linotype"/>
          <w:color w:val="000000"/>
        </w:rPr>
        <w:t xml:space="preserve"> asunto, este Pleno advierte que el Sujeto Obligado con la información precisada a través del informe de justificado, </w:t>
      </w:r>
      <w:r>
        <w:rPr>
          <w:rFonts w:ascii="Palatino Linotype" w:eastAsia="Palatino Linotype" w:hAnsi="Palatino Linotype" w:cs="Palatino Linotype"/>
          <w:b/>
          <w:bCs/>
          <w:color w:val="000000"/>
        </w:rPr>
        <w:t>modifica</w:t>
      </w:r>
      <w:r>
        <w:rPr>
          <w:rFonts w:ascii="Palatino Linotype" w:eastAsia="Palatino Linotype" w:hAnsi="Palatino Linotype" w:cs="Palatino Linotype"/>
          <w:color w:val="000000"/>
        </w:rPr>
        <w:t xml:space="preserve"> el acto que le dio origen al recurso de revisión, lo que trae como consecuencia que el mismo quede sin materia, actualizándose de este modo, la hipótesis jurídica contenida en la fracción III, del citado artículo 192.</w:t>
      </w:r>
    </w:p>
    <w:p w:rsidR="00DE4354" w:rsidRDefault="00DE4354">
      <w:pPr>
        <w:spacing w:line="360" w:lineRule="auto"/>
        <w:ind w:right="-737"/>
        <w:rPr>
          <w:rFonts w:ascii="Palatino Linotype" w:eastAsia="Palatino Linotype" w:hAnsi="Palatino Linotype" w:cs="Palatino Linotype"/>
        </w:rPr>
      </w:pPr>
    </w:p>
    <w:p w:rsidR="00DE4354" w:rsidRDefault="00864E7B">
      <w:pPr>
        <w:numPr>
          <w:ilvl w:val="0"/>
          <w:numId w:val="2"/>
        </w:numPr>
        <w:spacing w:line="360" w:lineRule="auto"/>
        <w:ind w:left="0" w:right="-73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w:t>
      </w:r>
      <w:r>
        <w:rPr>
          <w:rFonts w:ascii="Palatino Linotype" w:eastAsia="Palatino Linotype" w:hAnsi="Palatino Linotype" w:cs="Palatino Linotype"/>
        </w:rPr>
        <w:t>este</w:t>
      </w:r>
      <w:r>
        <w:rPr>
          <w:rFonts w:ascii="Palatino Linotype" w:eastAsia="Palatino Linotype" w:hAnsi="Palatino Linotype" w:cs="Palatino Linotype"/>
          <w:color w:val="000000"/>
        </w:rPr>
        <w:t xml:space="preserve"> modo, cuando el Sujeto Obligado</w:t>
      </w:r>
      <w:r>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color w:val="000000"/>
        </w:rPr>
        <w:t>antes de que se dicte resolución definitiva, entrega la información solicitada o completa la información que en un primer momento fue incompleta o no correspondió con lo solicitado; el recurso de revisión que al efecto se haya interpuesto queda sin materia lo que imposibilita el estudio de fondo de la controversia planteada, debido a que la afectación en su esfera de derechos fue restituida por la propia autoridad que emitió el acto motivo de impugnación.</w:t>
      </w:r>
    </w:p>
    <w:p w:rsidR="00DE4354" w:rsidRDefault="00DE4354">
      <w:pPr>
        <w:spacing w:line="360" w:lineRule="auto"/>
        <w:ind w:right="-737"/>
        <w:rPr>
          <w:rFonts w:ascii="Palatino Linotype" w:eastAsia="Palatino Linotype" w:hAnsi="Palatino Linotype" w:cs="Palatino Linotype"/>
        </w:rPr>
      </w:pPr>
    </w:p>
    <w:p w:rsidR="00DE4354" w:rsidRDefault="00864E7B">
      <w:pPr>
        <w:numPr>
          <w:ilvl w:val="0"/>
          <w:numId w:val="2"/>
        </w:numPr>
        <w:spacing w:line="360" w:lineRule="auto"/>
        <w:ind w:left="0" w:right="-73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Sirve de sustento a lo anterior la siguiente jurisprudencia por contradicción, cuyo rubro, texto y </w:t>
      </w:r>
      <w:r>
        <w:rPr>
          <w:rFonts w:ascii="Palatino Linotype" w:eastAsia="Palatino Linotype" w:hAnsi="Palatino Linotype" w:cs="Palatino Linotype"/>
        </w:rPr>
        <w:t>datos</w:t>
      </w:r>
      <w:r>
        <w:rPr>
          <w:rFonts w:ascii="Palatino Linotype" w:eastAsia="Palatino Linotype" w:hAnsi="Palatino Linotype" w:cs="Palatino Linotype"/>
          <w:color w:val="000000"/>
        </w:rPr>
        <w:t xml:space="preserve"> de identificación son los siguientes:</w:t>
      </w:r>
    </w:p>
    <w:p w:rsidR="00DE4354" w:rsidRDefault="00864E7B">
      <w:pPr>
        <w:ind w:left="567" w:right="-737"/>
        <w:jc w:val="both"/>
        <w:rPr>
          <w:rFonts w:ascii="Palatino Linotype" w:eastAsia="Palatino Linotype" w:hAnsi="Palatino Linotype" w:cs="Palatino Linotype"/>
          <w:i/>
          <w:iCs/>
        </w:rPr>
      </w:pPr>
      <w:r>
        <w:rPr>
          <w:rFonts w:ascii="Palatino Linotype" w:eastAsia="Palatino Linotype" w:hAnsi="Palatino Linotype" w:cs="Palatino Linotype"/>
          <w:b/>
          <w:bCs/>
          <w:i/>
          <w:iCs/>
        </w:rPr>
        <w:t>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PROCEDA.</w:t>
      </w:r>
      <w:r>
        <w:rPr>
          <w:rFonts w:ascii="Palatino Linotype" w:eastAsia="Palatino Linotype" w:hAnsi="Palatino Linotype" w:cs="Palatino Linotype"/>
          <w:i/>
          <w:iCs/>
        </w:rPr>
        <w:t xml:space="preserve"> 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w:t>
      </w:r>
      <w:r>
        <w:rPr>
          <w:rFonts w:ascii="Palatino Linotype" w:eastAsia="Palatino Linotype" w:hAnsi="Palatino Linotype" w:cs="Palatino Linotype"/>
          <w:i/>
          <w:iCs/>
        </w:rPr>
        <w:lastRenderedPageBreak/>
        <w:t>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rsidR="00DE4354" w:rsidRDefault="00DE4354">
      <w:pPr>
        <w:spacing w:line="360" w:lineRule="auto"/>
        <w:ind w:right="-737"/>
        <w:jc w:val="both"/>
        <w:rPr>
          <w:rFonts w:ascii="Palatino Linotype" w:eastAsia="Palatino Linotype" w:hAnsi="Palatino Linotype" w:cs="Palatino Linotype"/>
          <w:i/>
          <w:iCs/>
        </w:rPr>
      </w:pPr>
    </w:p>
    <w:p w:rsidR="00DE4354" w:rsidRDefault="00864E7B">
      <w:pPr>
        <w:numPr>
          <w:ilvl w:val="0"/>
          <w:numId w:val="2"/>
        </w:numPr>
        <w:spacing w:line="360" w:lineRule="auto"/>
        <w:ind w:left="0" w:right="-73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 anterior jurisprudencia resulta aplicable al presente asunto, en dos aspectos:</w:t>
      </w:r>
    </w:p>
    <w:p w:rsidR="00DE4354" w:rsidRDefault="00864E7B">
      <w:pPr>
        <w:numPr>
          <w:ilvl w:val="0"/>
          <w:numId w:val="10"/>
        </w:numPr>
        <w:spacing w:line="360" w:lineRule="auto"/>
        <w:ind w:left="567" w:right="-737" w:firstLine="0"/>
        <w:jc w:val="both"/>
        <w:rPr>
          <w:rFonts w:ascii="Palatino Linotype" w:eastAsia="Palatino Linotype" w:hAnsi="Palatino Linotype" w:cs="Palatino Linotype"/>
        </w:rPr>
      </w:pPr>
      <w:r>
        <w:rPr>
          <w:rFonts w:ascii="Palatino Linotype" w:eastAsia="Palatino Linotype" w:hAnsi="Palatino Linotype" w:cs="Palatino Linotype"/>
          <w:b/>
          <w:bCs/>
        </w:rPr>
        <w:t>La cesación de los efectos perniciosos del acto de autoridad:</w:t>
      </w:r>
      <w:r>
        <w:rPr>
          <w:rFonts w:ascii="Palatino Linotype" w:eastAsia="Palatino Linotype" w:hAnsi="Palatino Linotype" w:cs="Palatino Linotype"/>
        </w:rPr>
        <w:t xml:space="preserve"> Al respecto, la Ley de Transparencia contempla la figura jurídica del sobreseimiento cuando el </w:t>
      </w:r>
      <w:r>
        <w:rPr>
          <w:rFonts w:ascii="Palatino Linotype" w:eastAsia="Palatino Linotype" w:hAnsi="Palatino Linotype" w:cs="Palatino Linotype"/>
          <w:b/>
          <w:bCs/>
        </w:rPr>
        <w:t>SUJETO OBLIGADO</w:t>
      </w:r>
      <w:r>
        <w:rPr>
          <w:rFonts w:ascii="Palatino Linotype" w:eastAsia="Palatino Linotype" w:hAnsi="Palatino Linotype" w:cs="Palatino Linotype"/>
        </w:rPr>
        <w:t xml:space="preserve"> de </w:t>
      </w:r>
      <w:r>
        <w:rPr>
          <w:rFonts w:ascii="Palatino Linotype" w:eastAsia="Palatino Linotype" w:hAnsi="Palatino Linotype" w:cs="Palatino Linotype"/>
          <w:i/>
          <w:iCs/>
        </w:rPr>
        <w:t>motu proprio</w:t>
      </w:r>
      <w:r>
        <w:rPr>
          <w:rFonts w:ascii="Palatino Linotype" w:eastAsia="Palatino Linotype" w:hAnsi="Palatino Linotype" w:cs="Palatino Linotype"/>
        </w:rPr>
        <w:t xml:space="preserve"> modifica o revoca de tal manera el acto motivo de la impugnación que lo deja sin materia; es decir, cesan los efectos de éste y el derecho de acceso a la información pública se encuentra satisfecho.</w:t>
      </w:r>
    </w:p>
    <w:p w:rsidR="00DE4354" w:rsidRDefault="00864E7B">
      <w:pPr>
        <w:numPr>
          <w:ilvl w:val="0"/>
          <w:numId w:val="10"/>
        </w:numPr>
        <w:spacing w:line="360" w:lineRule="auto"/>
        <w:ind w:left="567" w:right="-737" w:firstLine="0"/>
        <w:jc w:val="both"/>
        <w:rPr>
          <w:rFonts w:ascii="Palatino Linotype" w:eastAsia="Palatino Linotype" w:hAnsi="Palatino Linotype" w:cs="Palatino Linotype"/>
        </w:rPr>
      </w:pPr>
      <w:r>
        <w:rPr>
          <w:rFonts w:ascii="Palatino Linotype" w:eastAsia="Palatino Linotype" w:hAnsi="Palatino Linotype" w:cs="Palatino Linotype"/>
          <w:b/>
          <w:bCs/>
        </w:rPr>
        <w:t>El momento procesal para modificar el acto impugnado:</w:t>
      </w:r>
      <w:r>
        <w:rPr>
          <w:rFonts w:ascii="Palatino Linotype" w:eastAsia="Palatino Linotype" w:hAnsi="Palatino Linotype" w:cs="Palatino Linotype"/>
        </w:rPr>
        <w:t xml:space="preserve"> Para que se actualice el sobreseimiento de un recurso de revisión, el </w:t>
      </w:r>
      <w:r>
        <w:rPr>
          <w:rFonts w:ascii="Palatino Linotype" w:eastAsia="Palatino Linotype" w:hAnsi="Palatino Linotype" w:cs="Palatino Linotype"/>
          <w:b/>
          <w:bCs/>
        </w:rPr>
        <w:t>SUJETO OBLIGADO</w:t>
      </w:r>
      <w:r>
        <w:rPr>
          <w:rFonts w:ascii="Palatino Linotype" w:eastAsia="Palatino Linotype" w:hAnsi="Palatino Linotype" w:cs="Palatino Linotype"/>
        </w:rPr>
        <w:t xml:space="preserve"> puede entregar o completar la información al momento de rendir su informe de justificación o </w:t>
      </w:r>
      <w:r>
        <w:rPr>
          <w:rFonts w:ascii="Palatino Linotype" w:eastAsia="Palatino Linotype" w:hAnsi="Palatino Linotype" w:cs="Palatino Linotype"/>
          <w:b/>
          <w:bCs/>
          <w:u w:val="single"/>
        </w:rPr>
        <w:t>posteriormente</w:t>
      </w:r>
      <w:r>
        <w:rPr>
          <w:rFonts w:ascii="Palatino Linotype" w:eastAsia="Palatino Linotype" w:hAnsi="Palatino Linotype" w:cs="Palatino Linotype"/>
        </w:rPr>
        <w:t xml:space="preserve"> a éste, siempre y cuando el Pleno del Instituto no haya dictado resolución definitiva.</w:t>
      </w:r>
    </w:p>
    <w:p w:rsidR="00DE4354" w:rsidRDefault="00DE4354">
      <w:pPr>
        <w:pBdr>
          <w:top w:val="nil"/>
          <w:left w:val="nil"/>
          <w:bottom w:val="nil"/>
          <w:right w:val="nil"/>
          <w:between w:val="nil"/>
        </w:pBdr>
        <w:spacing w:line="360" w:lineRule="auto"/>
        <w:ind w:right="-737"/>
        <w:jc w:val="both"/>
        <w:rPr>
          <w:rFonts w:ascii="Palatino Linotype" w:eastAsia="Palatino Linotype" w:hAnsi="Palatino Linotype" w:cs="Palatino Linotype"/>
          <w:i/>
          <w:iCs/>
          <w:color w:val="000000"/>
        </w:rPr>
      </w:pPr>
    </w:p>
    <w:p w:rsidR="00DE4354" w:rsidRPr="008E23F1" w:rsidRDefault="00864E7B">
      <w:pPr>
        <w:numPr>
          <w:ilvl w:val="0"/>
          <w:numId w:val="2"/>
        </w:numPr>
        <w:spacing w:line="360" w:lineRule="auto"/>
        <w:ind w:left="0" w:right="-737" w:firstLine="0"/>
        <w:jc w:val="both"/>
        <w:rPr>
          <w:rFonts w:ascii="Palatino Linotype" w:eastAsia="Palatino Linotype" w:hAnsi="Palatino Linotype" w:cs="Palatino Linotype"/>
          <w:b/>
          <w:bCs/>
          <w:u w:val="single"/>
        </w:rPr>
      </w:pPr>
      <w:r>
        <w:rPr>
          <w:rFonts w:ascii="Palatino Linotype" w:eastAsia="Palatino Linotype" w:hAnsi="Palatino Linotype" w:cs="Palatino Linotype"/>
          <w:color w:val="000000"/>
        </w:rPr>
        <w:t>Bajo</w:t>
      </w:r>
      <w:r>
        <w:rPr>
          <w:rFonts w:ascii="Palatino Linotype" w:eastAsia="Palatino Linotype" w:hAnsi="Palatino Linotype" w:cs="Palatino Linotype"/>
        </w:rPr>
        <w:t xml:space="preserve"> </w:t>
      </w:r>
      <w:r>
        <w:rPr>
          <w:rFonts w:ascii="Palatino Linotype" w:eastAsia="Palatino Linotype" w:hAnsi="Palatino Linotype" w:cs="Palatino Linotype"/>
          <w:color w:val="000000"/>
        </w:rPr>
        <w:t>ese</w:t>
      </w:r>
      <w:r>
        <w:rPr>
          <w:rFonts w:ascii="Palatino Linotype" w:eastAsia="Palatino Linotype" w:hAnsi="Palatino Linotype" w:cs="Palatino Linotype"/>
        </w:rPr>
        <w:t xml:space="preserve"> </w:t>
      </w:r>
      <w:r>
        <w:rPr>
          <w:rFonts w:ascii="Palatino Linotype" w:eastAsia="Palatino Linotype" w:hAnsi="Palatino Linotype" w:cs="Palatino Linotype"/>
          <w:color w:val="000000"/>
        </w:rPr>
        <w:t>tenor</w:t>
      </w:r>
      <w:r>
        <w:rPr>
          <w:rFonts w:ascii="Palatino Linotype" w:eastAsia="Palatino Linotype" w:hAnsi="Palatino Linotype" w:cs="Palatino Linotype"/>
        </w:rPr>
        <w:t xml:space="preserve"> con </w:t>
      </w:r>
      <w:r>
        <w:rPr>
          <w:rFonts w:ascii="Palatino Linotype" w:eastAsia="Palatino Linotype" w:hAnsi="Palatino Linotype" w:cs="Palatino Linotype"/>
          <w:color w:val="000000"/>
        </w:rPr>
        <w:t>fundamento</w:t>
      </w:r>
      <w:r>
        <w:rPr>
          <w:rFonts w:ascii="Palatino Linotype" w:eastAsia="Palatino Linotype" w:hAnsi="Palatino Linotype" w:cs="Palatino Linotype"/>
        </w:rPr>
        <w:t xml:space="preserve"> en la segunda hipótesis de la fracción I, del artículo 186, de la Ley </w:t>
      </w:r>
      <w:r>
        <w:rPr>
          <w:rFonts w:ascii="Palatino Linotype" w:eastAsia="Palatino Linotype" w:hAnsi="Palatino Linotype" w:cs="Palatino Linotype"/>
          <w:color w:val="000000"/>
        </w:rPr>
        <w:t>de</w:t>
      </w:r>
      <w:r>
        <w:rPr>
          <w:rFonts w:ascii="Palatino Linotype" w:eastAsia="Palatino Linotype" w:hAnsi="Palatino Linotype" w:cs="Palatino Linotype"/>
        </w:rPr>
        <w:t xml:space="preserve"> Transparencia y Acceso a la Información Pública del Estado de México y Municipios, se </w:t>
      </w:r>
      <w:r>
        <w:rPr>
          <w:rFonts w:ascii="Palatino Linotype" w:eastAsia="Palatino Linotype" w:hAnsi="Palatino Linotype" w:cs="Palatino Linotype"/>
          <w:b/>
          <w:bCs/>
        </w:rPr>
        <w:t xml:space="preserve">SOBRESEE </w:t>
      </w:r>
      <w:r>
        <w:rPr>
          <w:rFonts w:ascii="Palatino Linotype" w:eastAsia="Palatino Linotype" w:hAnsi="Palatino Linotype" w:cs="Palatino Linotype"/>
        </w:rPr>
        <w:t xml:space="preserve">el recurso de revisión </w:t>
      </w:r>
      <w:r>
        <w:rPr>
          <w:rFonts w:ascii="Palatino Linotype" w:eastAsia="Palatino Linotype" w:hAnsi="Palatino Linotype" w:cs="Palatino Linotype"/>
          <w:b/>
          <w:bCs/>
          <w:color w:val="000000"/>
        </w:rPr>
        <w:t>03038/INFOEM/IP/RR/2026</w:t>
      </w:r>
      <w:r>
        <w:rPr>
          <w:rFonts w:ascii="Palatino Linotype" w:eastAsia="Palatino Linotype" w:hAnsi="Palatino Linotype" w:cs="Palatino Linotype"/>
        </w:rPr>
        <w:t>, que ha sido materia del presente fallo.</w:t>
      </w:r>
    </w:p>
    <w:p w:rsidR="008E23F1" w:rsidRDefault="008E23F1" w:rsidP="002F6AD5">
      <w:pPr>
        <w:spacing w:line="360" w:lineRule="auto"/>
        <w:ind w:right="-737"/>
        <w:jc w:val="both"/>
        <w:rPr>
          <w:rFonts w:ascii="Palatino Linotype" w:eastAsia="Palatino Linotype" w:hAnsi="Palatino Linotype" w:cs="Palatino Linotype"/>
          <w:b/>
          <w:bCs/>
          <w:u w:val="single"/>
        </w:rPr>
      </w:pPr>
    </w:p>
    <w:p w:rsidR="00DE4354" w:rsidRDefault="00864E7B">
      <w:pPr>
        <w:numPr>
          <w:ilvl w:val="0"/>
          <w:numId w:val="2"/>
        </w:numPr>
        <w:spacing w:line="360" w:lineRule="auto"/>
        <w:ind w:left="0" w:right="-737"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Por lo </w:t>
      </w:r>
      <w:r>
        <w:rPr>
          <w:rFonts w:ascii="Palatino Linotype" w:eastAsia="Palatino Linotype" w:hAnsi="Palatino Linotype" w:cs="Palatino Linotype"/>
          <w:color w:val="000000"/>
        </w:rPr>
        <w:t>expuesto</w:t>
      </w:r>
      <w:r>
        <w:rPr>
          <w:rFonts w:ascii="Palatino Linotype" w:eastAsia="Palatino Linotype" w:hAnsi="Palatino Linotype" w:cs="Palatino Linotype"/>
        </w:rPr>
        <w:t xml:space="preserve">, y con fundamento en lo prescrito en los artículos </w:t>
      </w:r>
      <w:r>
        <w:rPr>
          <w:rFonts w:ascii="Palatino Linotype" w:eastAsia="Palatino Linotype" w:hAnsi="Palatino Linotype" w:cs="Palatino Linotype"/>
          <w:color w:val="000000"/>
        </w:rPr>
        <w:t xml:space="preserve">5, párrafos cuadragésimo cuarto, </w:t>
      </w:r>
      <w:r>
        <w:rPr>
          <w:rFonts w:ascii="Palatino Linotype" w:eastAsia="Palatino Linotype" w:hAnsi="Palatino Linotype" w:cs="Palatino Linotype"/>
        </w:rPr>
        <w:t>cuadragésimo</w:t>
      </w:r>
      <w:r>
        <w:rPr>
          <w:rFonts w:ascii="Palatino Linotype" w:eastAsia="Palatino Linotype" w:hAnsi="Palatino Linotype" w:cs="Palatino Linotype"/>
          <w:color w:val="000000"/>
        </w:rPr>
        <w:t xml:space="preserve"> quinto y cuadragésimo sexto, fracciones IV y V, de la Constitución Política del Estado Libre y Soberano de México</w:t>
      </w:r>
      <w:r>
        <w:rPr>
          <w:rFonts w:ascii="Palatino Linotype" w:eastAsia="Palatino Linotype" w:hAnsi="Palatino Linotype" w:cs="Palatino Linotype"/>
        </w:rPr>
        <w:t>; 2, fracción II; 29, 36 fracciones I y II; 176, 178, 179, 181 y 185 de la Ley de Transparencia y Acceso a la Información Pública del Estado de México y Municipios, este Pleno:</w:t>
      </w:r>
    </w:p>
    <w:p w:rsidR="00DE4354" w:rsidRDefault="00DE4354">
      <w:pPr>
        <w:ind w:right="-737"/>
        <w:rPr>
          <w:rFonts w:ascii="Palatino Linotype" w:eastAsia="Palatino Linotype" w:hAnsi="Palatino Linotype" w:cs="Palatino Linotype"/>
        </w:rPr>
      </w:pPr>
    </w:p>
    <w:p w:rsidR="00DE4354" w:rsidRDefault="00864E7B">
      <w:pPr>
        <w:spacing w:line="360" w:lineRule="auto"/>
        <w:ind w:right="-737"/>
        <w:jc w:val="center"/>
        <w:rPr>
          <w:rFonts w:ascii="Palatino Linotype" w:eastAsia="Palatino Linotype" w:hAnsi="Palatino Linotype" w:cs="Palatino Linotype"/>
          <w:b/>
          <w:bCs/>
        </w:rPr>
      </w:pPr>
      <w:r>
        <w:rPr>
          <w:rFonts w:ascii="Palatino Linotype" w:eastAsia="Palatino Linotype" w:hAnsi="Palatino Linotype" w:cs="Palatino Linotype"/>
          <w:b/>
          <w:bCs/>
        </w:rPr>
        <w:t>R E S U E L V E</w:t>
      </w:r>
    </w:p>
    <w:p w:rsidR="00DE4354" w:rsidRDefault="00DE4354">
      <w:pPr>
        <w:spacing w:line="360" w:lineRule="auto"/>
        <w:ind w:right="-737"/>
        <w:jc w:val="center"/>
        <w:rPr>
          <w:rFonts w:ascii="Palatino Linotype" w:eastAsia="Palatino Linotype" w:hAnsi="Palatino Linotype" w:cs="Palatino Linotype"/>
          <w:b/>
          <w:bCs/>
        </w:rPr>
      </w:pPr>
    </w:p>
    <w:p w:rsidR="00DE4354" w:rsidRDefault="00864E7B">
      <w:pPr>
        <w:spacing w:line="360" w:lineRule="auto"/>
        <w:ind w:right="-737"/>
        <w:jc w:val="both"/>
        <w:rPr>
          <w:rFonts w:ascii="Palatino Linotype" w:eastAsia="Palatino Linotype" w:hAnsi="Palatino Linotype" w:cs="Palatino Linotype"/>
        </w:rPr>
      </w:pPr>
      <w:r>
        <w:rPr>
          <w:rFonts w:ascii="Palatino Linotype" w:eastAsia="Palatino Linotype" w:hAnsi="Palatino Linotype" w:cs="Palatino Linotype"/>
          <w:b/>
          <w:bCs/>
        </w:rPr>
        <w:t>PRIMERO</w:t>
      </w:r>
      <w:r>
        <w:rPr>
          <w:rFonts w:ascii="Palatino Linotype" w:eastAsia="Palatino Linotype" w:hAnsi="Palatino Linotype" w:cs="Palatino Linotype"/>
        </w:rPr>
        <w:t xml:space="preserve">. Se </w:t>
      </w:r>
      <w:r>
        <w:rPr>
          <w:rFonts w:ascii="Palatino Linotype" w:eastAsia="Palatino Linotype" w:hAnsi="Palatino Linotype" w:cs="Palatino Linotype"/>
          <w:b/>
          <w:bCs/>
        </w:rPr>
        <w:t>SOBRESEE</w:t>
      </w:r>
      <w:r>
        <w:rPr>
          <w:rFonts w:ascii="Palatino Linotype" w:eastAsia="Palatino Linotype" w:hAnsi="Palatino Linotype" w:cs="Palatino Linotype"/>
        </w:rPr>
        <w:t xml:space="preserve"> el Recurso de Revisión número </w:t>
      </w:r>
      <w:r>
        <w:rPr>
          <w:rFonts w:ascii="Palatino Linotype" w:eastAsia="Palatino Linotype" w:hAnsi="Palatino Linotype" w:cs="Palatino Linotype"/>
          <w:b/>
          <w:bCs/>
          <w:color w:val="000000"/>
        </w:rPr>
        <w:t>03038/INFOEM/IP/RR/2026</w:t>
      </w:r>
      <w:r>
        <w:rPr>
          <w:rFonts w:ascii="Palatino Linotype" w:eastAsia="Palatino Linotype" w:hAnsi="Palatino Linotype" w:cs="Palatino Linotype"/>
        </w:rPr>
        <w:t xml:space="preserve">, conforme al artículo 192, fracción III, de la Ley de la Materia, porque al modificar la respuesta, el Recurso de Revisión quedó sin materia en términos del </w:t>
      </w:r>
      <w:r>
        <w:rPr>
          <w:rFonts w:ascii="Palatino Linotype" w:eastAsia="Palatino Linotype" w:hAnsi="Palatino Linotype" w:cs="Palatino Linotype"/>
          <w:b/>
          <w:bCs/>
        </w:rPr>
        <w:t>Considerando Cuarto</w:t>
      </w:r>
      <w:r>
        <w:rPr>
          <w:rFonts w:ascii="Palatino Linotype" w:eastAsia="Palatino Linotype" w:hAnsi="Palatino Linotype" w:cs="Palatino Linotype"/>
        </w:rPr>
        <w:t xml:space="preserve"> de la presente resolución.</w:t>
      </w:r>
    </w:p>
    <w:p w:rsidR="00DE4354" w:rsidRDefault="00DE4354">
      <w:pPr>
        <w:spacing w:line="360" w:lineRule="auto"/>
        <w:ind w:right="-737"/>
        <w:jc w:val="both"/>
        <w:rPr>
          <w:rFonts w:ascii="Palatino Linotype" w:eastAsia="Palatino Linotype" w:hAnsi="Palatino Linotype" w:cs="Palatino Linotype"/>
          <w:b/>
          <w:bCs/>
        </w:rPr>
      </w:pPr>
    </w:p>
    <w:p w:rsidR="00DE4354" w:rsidRDefault="00864E7B">
      <w:pPr>
        <w:spacing w:line="360" w:lineRule="auto"/>
        <w:ind w:right="-737"/>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b/>
          <w:bCs/>
        </w:rPr>
        <w:t xml:space="preserve">SEGUNDO. Notifíquese </w:t>
      </w:r>
      <w:r>
        <w:rPr>
          <w:rFonts w:ascii="Palatino Linotype" w:eastAsia="Palatino Linotype" w:hAnsi="Palatino Linotype" w:cs="Palatino Linotype"/>
        </w:rPr>
        <w:t xml:space="preserve">al Titular de la Unidad de Transparencia del </w:t>
      </w:r>
      <w:r>
        <w:rPr>
          <w:rFonts w:ascii="Palatino Linotype" w:eastAsia="Palatino Linotype" w:hAnsi="Palatino Linotype" w:cs="Palatino Linotype"/>
          <w:b/>
          <w:bCs/>
        </w:rPr>
        <w:t xml:space="preserve">SUJETO OBLIGADO </w:t>
      </w:r>
      <w:r>
        <w:rPr>
          <w:rFonts w:ascii="Palatino Linotype" w:eastAsia="Palatino Linotype" w:hAnsi="Palatino Linotype" w:cs="Palatino Linotype"/>
        </w:rPr>
        <w:t>vía SAIMEX, para su conocimiento</w:t>
      </w:r>
      <w:r>
        <w:rPr>
          <w:rFonts w:ascii="Palatino Linotype" w:eastAsia="Palatino Linotype" w:hAnsi="Palatino Linotype" w:cs="Palatino Linotype"/>
          <w:color w:val="000000"/>
          <w:highlight w:val="white"/>
        </w:rPr>
        <w:t>.</w:t>
      </w:r>
    </w:p>
    <w:p w:rsidR="00DE4354" w:rsidRDefault="00DE4354">
      <w:pPr>
        <w:shd w:val="clear" w:color="auto" w:fill="FFFFFF"/>
        <w:spacing w:line="360" w:lineRule="auto"/>
        <w:ind w:right="-737"/>
        <w:jc w:val="both"/>
        <w:rPr>
          <w:rFonts w:ascii="Palatino Linotype" w:eastAsia="Palatino Linotype" w:hAnsi="Palatino Linotype" w:cs="Palatino Linotype"/>
          <w:color w:val="000000"/>
          <w:highlight w:val="white"/>
        </w:rPr>
      </w:pPr>
    </w:p>
    <w:p w:rsidR="00DE4354" w:rsidRDefault="00864E7B">
      <w:pPr>
        <w:spacing w:line="360" w:lineRule="auto"/>
        <w:ind w:right="-737"/>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b/>
          <w:bCs/>
          <w:color w:val="000000"/>
        </w:rPr>
        <w:t>TERCERO</w:t>
      </w:r>
      <w:r>
        <w:rPr>
          <w:rFonts w:ascii="Palatino Linotype" w:eastAsia="Palatino Linotype" w:hAnsi="Palatino Linotype" w:cs="Palatino Linotype"/>
          <w:b/>
          <w:bCs/>
          <w:color w:val="222222"/>
        </w:rPr>
        <w:t xml:space="preserve">. Notifíquese </w:t>
      </w:r>
      <w:r>
        <w:rPr>
          <w:rFonts w:ascii="Palatino Linotype" w:eastAsia="Palatino Linotype" w:hAnsi="Palatino Linotype" w:cs="Palatino Linotype"/>
          <w:color w:val="222222"/>
        </w:rPr>
        <w:t xml:space="preserve">al </w:t>
      </w:r>
      <w:r>
        <w:rPr>
          <w:rFonts w:ascii="Palatino Linotype" w:eastAsia="Palatino Linotype" w:hAnsi="Palatino Linotype" w:cs="Palatino Linotype"/>
          <w:b/>
          <w:bCs/>
          <w:color w:val="222222"/>
        </w:rPr>
        <w:t>RECURRENTE</w:t>
      </w:r>
      <w:r>
        <w:rPr>
          <w:rFonts w:ascii="Palatino Linotype" w:eastAsia="Palatino Linotype" w:hAnsi="Palatino Linotype" w:cs="Palatino Linotype"/>
          <w:color w:val="222222"/>
        </w:rPr>
        <w:t xml:space="preserve"> la presente resolución vía SAIMEX</w:t>
      </w:r>
      <w:r>
        <w:rPr>
          <w:rFonts w:ascii="Palatino Linotype" w:eastAsia="Palatino Linotype" w:hAnsi="Palatino Linotype" w:cs="Palatino Linotype"/>
          <w:color w:val="000000"/>
          <w:highlight w:val="white"/>
        </w:rPr>
        <w:t>.</w:t>
      </w:r>
    </w:p>
    <w:p w:rsidR="00DE4354" w:rsidRDefault="00DE4354">
      <w:pPr>
        <w:spacing w:line="360" w:lineRule="auto"/>
        <w:ind w:right="-737"/>
        <w:jc w:val="both"/>
        <w:rPr>
          <w:rFonts w:ascii="Palatino Linotype" w:eastAsia="Palatino Linotype" w:hAnsi="Palatino Linotype" w:cs="Palatino Linotype"/>
          <w:color w:val="000000"/>
          <w:highlight w:val="white"/>
        </w:rPr>
      </w:pPr>
    </w:p>
    <w:p w:rsidR="00DE4354" w:rsidRDefault="00864E7B">
      <w:pPr>
        <w:spacing w:line="360" w:lineRule="auto"/>
        <w:ind w:right="-737"/>
        <w:jc w:val="both"/>
        <w:rPr>
          <w:rFonts w:ascii="Palatino Linotype" w:eastAsia="Palatino Linotype" w:hAnsi="Palatino Linotype" w:cs="Palatino Linotype"/>
          <w:color w:val="000000"/>
        </w:rPr>
      </w:pPr>
      <w:r>
        <w:rPr>
          <w:rFonts w:ascii="Palatino Linotype" w:eastAsia="Palatino Linotype" w:hAnsi="Palatino Linotype" w:cs="Palatino Linotype"/>
          <w:b/>
          <w:bCs/>
          <w:color w:val="222222"/>
        </w:rPr>
        <w:t xml:space="preserve">CUARTO. </w:t>
      </w:r>
      <w:r>
        <w:rPr>
          <w:rFonts w:ascii="Palatino Linotype" w:eastAsia="Palatino Linotype" w:hAnsi="Palatino Linotype" w:cs="Palatino Linotype"/>
          <w:color w:val="000000"/>
        </w:rPr>
        <w:t>Se hace del conocimiento del</w:t>
      </w:r>
      <w:r>
        <w:rPr>
          <w:rFonts w:ascii="Palatino Linotype" w:eastAsia="Palatino Linotype" w:hAnsi="Palatino Linotype" w:cs="Palatino Linotype"/>
          <w:b/>
          <w:bCs/>
          <w:color w:val="000000"/>
        </w:rPr>
        <w:t xml:space="preserve"> RECURRENTE</w:t>
      </w:r>
      <w:r>
        <w:rPr>
          <w:rFonts w:ascii="Palatino Linotype" w:eastAsia="Palatino Linotype" w:hAnsi="Palatino Linotype" w:cs="Palatino Linotype"/>
          <w:color w:val="000000"/>
        </w:rPr>
        <w:t xml:space="preserve"> que, de conformidad con lo establecido en el artículo 196 de la Ley de Transparencia y Acceso a la Información Pública del Estado de México y Municipios, en caso de que considere que la resolución le cause algún perjuicio podrá </w:t>
      </w:r>
      <w:r>
        <w:rPr>
          <w:rFonts w:ascii="Palatino Linotype" w:eastAsia="Palatino Linotype" w:hAnsi="Palatino Linotype" w:cs="Palatino Linotype"/>
        </w:rPr>
        <w:t>impugnar vía</w:t>
      </w:r>
      <w:r>
        <w:rPr>
          <w:rFonts w:ascii="Palatino Linotype" w:eastAsia="Palatino Linotype" w:hAnsi="Palatino Linotype" w:cs="Palatino Linotype"/>
          <w:color w:val="000000"/>
        </w:rPr>
        <w:t xml:space="preserve"> Juicio de Amparo en los términos de las leyes aplicables.</w:t>
      </w:r>
    </w:p>
    <w:p w:rsidR="008E23F1" w:rsidRDefault="008E23F1">
      <w:pPr>
        <w:spacing w:line="360" w:lineRule="auto"/>
        <w:ind w:right="-737"/>
        <w:jc w:val="both"/>
        <w:rPr>
          <w:rFonts w:ascii="Palatino Linotype" w:eastAsia="Palatino Linotype" w:hAnsi="Palatino Linotype" w:cs="Palatino Linotype"/>
          <w:color w:val="000000"/>
        </w:rPr>
      </w:pPr>
    </w:p>
    <w:p w:rsidR="008E23F1" w:rsidRPr="003E2295" w:rsidRDefault="008E23F1" w:rsidP="008E23F1">
      <w:pPr>
        <w:spacing w:before="240" w:after="240" w:line="360" w:lineRule="auto"/>
        <w:ind w:right="-595" w:firstLine="1"/>
        <w:jc w:val="both"/>
        <w:rPr>
          <w:rFonts w:ascii="Palatino Linotype" w:hAnsi="Palatino Linotype"/>
        </w:rPr>
      </w:pPr>
      <w:bookmarkStart w:id="7" w:name="_heading=h.y8z419r9byc1" w:colFirst="0" w:colLast="0"/>
      <w:bookmarkStart w:id="8" w:name="_Hlk99014733"/>
      <w:bookmarkEnd w:id="7"/>
      <w:r w:rsidRPr="003E2295">
        <w:rPr>
          <w:rFonts w:ascii="Palatino Linotype" w:hAnsi="Palatino Linotype" w:cs="Palatino Linotype"/>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Pr>
          <w:rFonts w:ascii="Palatino Linotype" w:hAnsi="Palatino Linotype" w:cs="Palatino Linotype"/>
        </w:rPr>
        <w:t xml:space="preserve">VIGÉSIMA TERCERA </w:t>
      </w:r>
      <w:r w:rsidRPr="003E2295">
        <w:rPr>
          <w:rFonts w:ascii="Palatino Linotype" w:hAnsi="Palatino Linotype" w:cs="Palatino Linotype"/>
        </w:rPr>
        <w:t>SESIÓN O</w:t>
      </w:r>
      <w:r>
        <w:rPr>
          <w:rFonts w:ascii="Palatino Linotype" w:hAnsi="Palatino Linotype" w:cs="Palatino Linotype"/>
        </w:rPr>
        <w:t>RDINARIA, CELEBRADA EL VEINTICINCO (25</w:t>
      </w:r>
      <w:r w:rsidRPr="003E2295">
        <w:rPr>
          <w:rFonts w:ascii="Palatino Linotype" w:hAnsi="Palatino Linotype" w:cs="Palatino Linotype"/>
        </w:rPr>
        <w:t xml:space="preserve">) DE </w:t>
      </w:r>
      <w:r>
        <w:rPr>
          <w:rFonts w:ascii="Palatino Linotype" w:hAnsi="Palatino Linotype" w:cs="Palatino Linotype"/>
        </w:rPr>
        <w:t>JUNIO</w:t>
      </w:r>
      <w:r w:rsidRPr="003E2295">
        <w:rPr>
          <w:rFonts w:ascii="Palatino Linotype" w:hAnsi="Palatino Linotype" w:cs="Palatino Linotype"/>
        </w:rPr>
        <w:t xml:space="preserve"> DE DOS MIL VEINTISÉIS, ANTE EL SECRETARIO TÉCNICO DEL PLENO </w:t>
      </w:r>
      <w:r w:rsidRPr="003E2295">
        <w:rPr>
          <w:rFonts w:ascii="Palatino Linotype" w:hAnsi="Palatino Linotype" w:cs="Palatino Linotype"/>
          <w:color w:val="000000" w:themeColor="text1"/>
        </w:rPr>
        <w:t>ALEXIS TAPIA RAMÍREZ.</w:t>
      </w:r>
    </w:p>
    <w:bookmarkEnd w:id="8"/>
    <w:p w:rsidR="00DE4354" w:rsidRDefault="00DE4354" w:rsidP="008E23F1">
      <w:pPr>
        <w:spacing w:line="360" w:lineRule="auto"/>
        <w:ind w:right="-595"/>
        <w:jc w:val="both"/>
        <w:rPr>
          <w:rFonts w:ascii="Palatino Linotype" w:eastAsia="Palatino Linotype" w:hAnsi="Palatino Linotype" w:cs="Palatino Linotype"/>
        </w:rPr>
      </w:pPr>
    </w:p>
    <w:p w:rsidR="00DE4354" w:rsidRDefault="00DE4354" w:rsidP="008E23F1">
      <w:pPr>
        <w:spacing w:line="360" w:lineRule="auto"/>
        <w:ind w:right="-595"/>
        <w:jc w:val="both"/>
        <w:rPr>
          <w:rFonts w:ascii="Palatino Linotype" w:eastAsia="Palatino Linotype" w:hAnsi="Palatino Linotype" w:cs="Palatino Linotype"/>
        </w:rPr>
      </w:pPr>
    </w:p>
    <w:p w:rsidR="00DE4354" w:rsidRDefault="00DE4354" w:rsidP="008E23F1">
      <w:pPr>
        <w:spacing w:line="360" w:lineRule="auto"/>
        <w:ind w:right="-595"/>
        <w:jc w:val="both"/>
        <w:rPr>
          <w:rFonts w:ascii="Palatino Linotype" w:eastAsia="Palatino Linotype" w:hAnsi="Palatino Linotype" w:cs="Palatino Linotype"/>
        </w:rPr>
      </w:pPr>
    </w:p>
    <w:p w:rsidR="00DE4354" w:rsidRDefault="00DE4354" w:rsidP="008E23F1">
      <w:pPr>
        <w:spacing w:line="360" w:lineRule="auto"/>
        <w:ind w:right="-595"/>
        <w:jc w:val="both"/>
        <w:rPr>
          <w:rFonts w:ascii="Palatino Linotype" w:eastAsia="Palatino Linotype" w:hAnsi="Palatino Linotype" w:cs="Palatino Linotype"/>
        </w:rPr>
      </w:pPr>
    </w:p>
    <w:p w:rsidR="002F6AD5" w:rsidRDefault="002F6AD5" w:rsidP="008E23F1">
      <w:pPr>
        <w:spacing w:line="360" w:lineRule="auto"/>
        <w:ind w:right="-595"/>
        <w:jc w:val="both"/>
        <w:rPr>
          <w:rFonts w:ascii="Palatino Linotype" w:eastAsia="Palatino Linotype" w:hAnsi="Palatino Linotype" w:cs="Palatino Linotype"/>
        </w:rPr>
      </w:pPr>
    </w:p>
    <w:p w:rsidR="002F6AD5" w:rsidRDefault="002F6AD5" w:rsidP="008E23F1">
      <w:pPr>
        <w:spacing w:line="360" w:lineRule="auto"/>
        <w:ind w:right="-595"/>
        <w:jc w:val="both"/>
        <w:rPr>
          <w:rFonts w:ascii="Palatino Linotype" w:eastAsia="Palatino Linotype" w:hAnsi="Palatino Linotype" w:cs="Palatino Linotype"/>
        </w:rPr>
      </w:pPr>
    </w:p>
    <w:p w:rsidR="002F6AD5" w:rsidRDefault="002F6AD5" w:rsidP="008E23F1">
      <w:pPr>
        <w:spacing w:line="360" w:lineRule="auto"/>
        <w:ind w:right="-595"/>
        <w:jc w:val="both"/>
        <w:rPr>
          <w:rFonts w:ascii="Palatino Linotype" w:eastAsia="Palatino Linotype" w:hAnsi="Palatino Linotype" w:cs="Palatino Linotype"/>
        </w:rPr>
      </w:pPr>
    </w:p>
    <w:p w:rsidR="002F6AD5" w:rsidRDefault="002F6AD5" w:rsidP="008E23F1">
      <w:pPr>
        <w:spacing w:line="360" w:lineRule="auto"/>
        <w:ind w:right="-595"/>
        <w:jc w:val="both"/>
        <w:rPr>
          <w:rFonts w:ascii="Palatino Linotype" w:eastAsia="Palatino Linotype" w:hAnsi="Palatino Linotype" w:cs="Palatino Linotype"/>
        </w:rPr>
      </w:pPr>
    </w:p>
    <w:p w:rsidR="002F6AD5" w:rsidRDefault="002F6AD5" w:rsidP="008E23F1">
      <w:pPr>
        <w:spacing w:line="360" w:lineRule="auto"/>
        <w:ind w:right="-595"/>
        <w:jc w:val="both"/>
        <w:rPr>
          <w:rFonts w:ascii="Palatino Linotype" w:eastAsia="Palatino Linotype" w:hAnsi="Palatino Linotype" w:cs="Palatino Linotype"/>
        </w:rPr>
      </w:pPr>
    </w:p>
    <w:p w:rsidR="002F6AD5" w:rsidRDefault="002F6AD5" w:rsidP="008E23F1">
      <w:pPr>
        <w:spacing w:line="360" w:lineRule="auto"/>
        <w:ind w:right="-595"/>
        <w:jc w:val="both"/>
        <w:rPr>
          <w:rFonts w:ascii="Palatino Linotype" w:eastAsia="Palatino Linotype" w:hAnsi="Palatino Linotype" w:cs="Palatino Linotype"/>
        </w:rPr>
      </w:pPr>
    </w:p>
    <w:p w:rsidR="002F6AD5" w:rsidRDefault="002F6AD5" w:rsidP="008E23F1">
      <w:pPr>
        <w:spacing w:line="360" w:lineRule="auto"/>
        <w:ind w:right="-595"/>
        <w:jc w:val="both"/>
        <w:rPr>
          <w:rFonts w:ascii="Palatino Linotype" w:eastAsia="Palatino Linotype" w:hAnsi="Palatino Linotype" w:cs="Palatino Linotype"/>
        </w:rPr>
      </w:pPr>
    </w:p>
    <w:p w:rsidR="002F6AD5" w:rsidRDefault="002F6AD5" w:rsidP="008E23F1">
      <w:pPr>
        <w:spacing w:line="360" w:lineRule="auto"/>
        <w:ind w:right="-595"/>
        <w:jc w:val="both"/>
        <w:rPr>
          <w:rFonts w:ascii="Palatino Linotype" w:eastAsia="Palatino Linotype" w:hAnsi="Palatino Linotype" w:cs="Palatino Linotype"/>
        </w:rPr>
      </w:pPr>
    </w:p>
    <w:p w:rsidR="002F6AD5" w:rsidRDefault="002F6AD5" w:rsidP="008E23F1">
      <w:pPr>
        <w:spacing w:line="360" w:lineRule="auto"/>
        <w:ind w:right="-595"/>
        <w:jc w:val="both"/>
        <w:rPr>
          <w:rFonts w:ascii="Palatino Linotype" w:eastAsia="Palatino Linotype" w:hAnsi="Palatino Linotype" w:cs="Palatino Linotype"/>
        </w:rPr>
      </w:pPr>
    </w:p>
    <w:p w:rsidR="002F6AD5" w:rsidRDefault="002F6AD5" w:rsidP="008E23F1">
      <w:pPr>
        <w:spacing w:line="360" w:lineRule="auto"/>
        <w:ind w:right="-595"/>
        <w:jc w:val="both"/>
        <w:rPr>
          <w:rFonts w:ascii="Palatino Linotype" w:eastAsia="Palatino Linotype" w:hAnsi="Palatino Linotype" w:cs="Palatino Linotype"/>
        </w:rPr>
      </w:pPr>
    </w:p>
    <w:p w:rsidR="002F6AD5" w:rsidRDefault="002F6AD5" w:rsidP="008E23F1">
      <w:pPr>
        <w:spacing w:line="360" w:lineRule="auto"/>
        <w:ind w:right="-595"/>
        <w:jc w:val="both"/>
        <w:rPr>
          <w:rFonts w:ascii="Palatino Linotype" w:eastAsia="Palatino Linotype" w:hAnsi="Palatino Linotype" w:cs="Palatino Linotype"/>
        </w:rPr>
      </w:pPr>
    </w:p>
    <w:p w:rsidR="002F6AD5" w:rsidRDefault="002F6AD5" w:rsidP="008E23F1">
      <w:pPr>
        <w:spacing w:line="360" w:lineRule="auto"/>
        <w:ind w:right="-595"/>
        <w:jc w:val="both"/>
        <w:rPr>
          <w:rFonts w:ascii="Palatino Linotype" w:eastAsia="Palatino Linotype" w:hAnsi="Palatino Linotype" w:cs="Palatino Linotype"/>
        </w:rPr>
      </w:pPr>
    </w:p>
    <w:p w:rsidR="002F6AD5" w:rsidRDefault="002F6AD5" w:rsidP="008E23F1">
      <w:pPr>
        <w:spacing w:line="360" w:lineRule="auto"/>
        <w:ind w:right="-595"/>
        <w:jc w:val="both"/>
        <w:rPr>
          <w:rFonts w:ascii="Palatino Linotype" w:eastAsia="Palatino Linotype" w:hAnsi="Palatino Linotype" w:cs="Palatino Linotype"/>
        </w:rPr>
      </w:pPr>
    </w:p>
    <w:p w:rsidR="002F6AD5" w:rsidRDefault="002F6AD5" w:rsidP="008E23F1">
      <w:pPr>
        <w:spacing w:line="360" w:lineRule="auto"/>
        <w:ind w:right="-595"/>
        <w:jc w:val="both"/>
        <w:rPr>
          <w:rFonts w:ascii="Palatino Linotype" w:eastAsia="Palatino Linotype" w:hAnsi="Palatino Linotype" w:cs="Palatino Linotype"/>
        </w:rPr>
      </w:pPr>
    </w:p>
    <w:p w:rsidR="002F6AD5" w:rsidRDefault="002F6AD5" w:rsidP="008E23F1">
      <w:pPr>
        <w:spacing w:line="360" w:lineRule="auto"/>
        <w:ind w:right="-595"/>
        <w:jc w:val="both"/>
        <w:rPr>
          <w:rFonts w:ascii="Palatino Linotype" w:eastAsia="Palatino Linotype" w:hAnsi="Palatino Linotype" w:cs="Palatino Linotype"/>
        </w:rPr>
      </w:pPr>
    </w:p>
    <w:p w:rsidR="002F6AD5" w:rsidRDefault="002F6AD5" w:rsidP="008E23F1">
      <w:pPr>
        <w:spacing w:line="360" w:lineRule="auto"/>
        <w:ind w:right="-595"/>
        <w:jc w:val="both"/>
        <w:rPr>
          <w:rFonts w:ascii="Palatino Linotype" w:eastAsia="Palatino Linotype" w:hAnsi="Palatino Linotype" w:cs="Palatino Linotype"/>
        </w:rPr>
      </w:pPr>
    </w:p>
    <w:p w:rsidR="00DE4354" w:rsidRDefault="00DE4354" w:rsidP="008E23F1">
      <w:pPr>
        <w:spacing w:line="360" w:lineRule="auto"/>
        <w:ind w:right="-595"/>
        <w:rPr>
          <w:rFonts w:ascii="Palatino Linotype" w:eastAsia="Palatino Linotype" w:hAnsi="Palatino Linotype" w:cs="Palatino Linotype"/>
        </w:rPr>
      </w:pPr>
    </w:p>
    <w:p w:rsidR="00DE4354" w:rsidRDefault="00DE4354" w:rsidP="008E23F1">
      <w:pPr>
        <w:spacing w:line="360" w:lineRule="auto"/>
        <w:ind w:right="-595"/>
        <w:rPr>
          <w:rFonts w:ascii="Palatino Linotype" w:eastAsia="Palatino Linotype" w:hAnsi="Palatino Linotype" w:cs="Palatino Linotype"/>
        </w:rPr>
      </w:pPr>
    </w:p>
    <w:p w:rsidR="00DE4354" w:rsidRDefault="00DE4354" w:rsidP="008E23F1">
      <w:pPr>
        <w:spacing w:line="360" w:lineRule="auto"/>
        <w:ind w:right="-595"/>
        <w:rPr>
          <w:rFonts w:ascii="Palatino Linotype" w:eastAsia="Palatino Linotype" w:hAnsi="Palatino Linotype" w:cs="Palatino Linotype"/>
        </w:rPr>
      </w:pPr>
    </w:p>
    <w:p w:rsidR="00DE4354" w:rsidRDefault="00DE4354">
      <w:pPr>
        <w:ind w:right="-737"/>
        <w:rPr>
          <w:rFonts w:ascii="Palatino Linotype" w:eastAsia="Palatino Linotype" w:hAnsi="Palatino Linotype" w:cs="Palatino Linotype"/>
        </w:rPr>
      </w:pPr>
    </w:p>
    <w:p w:rsidR="0029273D" w:rsidRDefault="0029273D">
      <w:pPr>
        <w:ind w:right="-737"/>
        <w:rPr>
          <w:rFonts w:ascii="Palatino Linotype" w:eastAsia="Palatino Linotype" w:hAnsi="Palatino Linotype" w:cs="Palatino Linotype"/>
        </w:rPr>
      </w:pPr>
    </w:p>
    <w:p w:rsidR="0029273D" w:rsidRDefault="0029273D">
      <w:pPr>
        <w:ind w:right="-737"/>
        <w:rPr>
          <w:rFonts w:ascii="Palatino Linotype" w:eastAsia="Palatino Linotype" w:hAnsi="Palatino Linotype" w:cs="Palatino Linotype"/>
        </w:rPr>
      </w:pPr>
    </w:p>
    <w:p w:rsidR="0029273D" w:rsidRDefault="0029273D">
      <w:pPr>
        <w:ind w:right="-737"/>
        <w:rPr>
          <w:rFonts w:ascii="Palatino Linotype" w:eastAsia="Palatino Linotype" w:hAnsi="Palatino Linotype" w:cs="Palatino Linotype"/>
        </w:rPr>
      </w:pPr>
    </w:p>
    <w:p w:rsidR="0029273D" w:rsidRDefault="0029273D">
      <w:pPr>
        <w:ind w:right="-737"/>
        <w:rPr>
          <w:rFonts w:ascii="Palatino Linotype" w:eastAsia="Palatino Linotype" w:hAnsi="Palatino Linotype" w:cs="Palatino Linotype"/>
        </w:rPr>
      </w:pPr>
    </w:p>
    <w:p w:rsidR="0029273D" w:rsidRDefault="0029273D">
      <w:pPr>
        <w:ind w:right="-737"/>
        <w:rPr>
          <w:rFonts w:ascii="Palatino Linotype" w:eastAsia="Palatino Linotype" w:hAnsi="Palatino Linotype" w:cs="Palatino Linotype"/>
        </w:rPr>
      </w:pPr>
    </w:p>
    <w:p w:rsidR="0029273D" w:rsidRDefault="0029273D">
      <w:pPr>
        <w:ind w:right="-737"/>
        <w:rPr>
          <w:rFonts w:ascii="Palatino Linotype" w:eastAsia="Palatino Linotype" w:hAnsi="Palatino Linotype" w:cs="Palatino Linotype"/>
        </w:rPr>
      </w:pPr>
    </w:p>
    <w:p w:rsidR="0029273D" w:rsidRDefault="0029273D">
      <w:pPr>
        <w:ind w:right="-737"/>
        <w:rPr>
          <w:rFonts w:ascii="Palatino Linotype" w:eastAsia="Palatino Linotype" w:hAnsi="Palatino Linotype" w:cs="Palatino Linotype"/>
        </w:rPr>
      </w:pPr>
    </w:p>
    <w:p w:rsidR="0029273D" w:rsidRDefault="0029273D">
      <w:pPr>
        <w:ind w:right="-737"/>
        <w:rPr>
          <w:rFonts w:ascii="Palatino Linotype" w:eastAsia="Palatino Linotype" w:hAnsi="Palatino Linotype" w:cs="Palatino Linotype"/>
        </w:rPr>
      </w:pPr>
    </w:p>
    <w:p w:rsidR="0029273D" w:rsidRDefault="0029273D">
      <w:pPr>
        <w:ind w:right="-737"/>
        <w:rPr>
          <w:rFonts w:ascii="Palatino Linotype" w:eastAsia="Palatino Linotype" w:hAnsi="Palatino Linotype" w:cs="Palatino Linotype"/>
        </w:rPr>
      </w:pPr>
    </w:p>
    <w:p w:rsidR="0029273D" w:rsidRDefault="0029273D">
      <w:pPr>
        <w:ind w:right="-737"/>
        <w:rPr>
          <w:rFonts w:ascii="Palatino Linotype" w:eastAsia="Palatino Linotype" w:hAnsi="Palatino Linotype" w:cs="Palatino Linotype"/>
        </w:rPr>
      </w:pPr>
    </w:p>
    <w:sectPr w:rsidR="0029273D">
      <w:headerReference w:type="even" r:id="rId8"/>
      <w:headerReference w:type="default" r:id="rId9"/>
      <w:footerReference w:type="default" r:id="rId10"/>
      <w:headerReference w:type="first" r:id="rId11"/>
      <w:footerReference w:type="first" r:id="rId12"/>
      <w:pgSz w:w="12240" w:h="15840"/>
      <w:pgMar w:top="80" w:right="1608" w:bottom="1418" w:left="1588" w:header="709"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1AAF" w:rsidRDefault="00AA1AAF">
      <w:r>
        <w:separator/>
      </w:r>
    </w:p>
  </w:endnote>
  <w:endnote w:type="continuationSeparator" w:id="0">
    <w:p w:rsidR="00AA1AAF" w:rsidRDefault="00AA1A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embedRegular r:id="rId1" w:fontKey="{E9E40222-8B7E-41A9-A32A-73BB4AC04557}"/>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0136C5DE-A737-4173-9533-B2F5EC0AF0A8}"/>
    <w:embedBold r:id="rId3" w:fontKey="{44B802C7-FE8A-4175-81EE-6E589690C7D2}"/>
    <w:embedItalic r:id="rId4" w:fontKey="{F397A471-1351-47D1-81FD-ECDB1CA7F0DA}"/>
    <w:embedBoldItalic r:id="rId5" w:fontKey="{8447B334-646C-485C-B81F-A0897BFED9B2}"/>
  </w:font>
  <w:font w:name="Calibri">
    <w:panose1 w:val="020F0502020204030204"/>
    <w:charset w:val="00"/>
    <w:family w:val="swiss"/>
    <w:pitch w:val="variable"/>
    <w:sig w:usb0="E4002EFF" w:usb1="C200247B" w:usb2="00000009" w:usb3="00000000" w:csb0="000001FF" w:csb1="00000000"/>
    <w:embedRegular r:id="rId6" w:fontKey="{EFFC198F-B144-411D-BE72-D00994EA1DB1}"/>
  </w:font>
  <w:font w:name="Georgia">
    <w:panose1 w:val="02040502050405020303"/>
    <w:charset w:val="00"/>
    <w:family w:val="roman"/>
    <w:pitch w:val="variable"/>
    <w:sig w:usb0="00000287" w:usb1="00000000" w:usb2="00000000" w:usb3="00000000" w:csb0="0000009F" w:csb1="00000000"/>
    <w:embedItalic r:id="rId7" w:fontKey="{C5C770FA-C651-476D-A9F2-00911F2F246B}"/>
  </w:font>
  <w:font w:name="Garamond">
    <w:panose1 w:val="02020404030301010803"/>
    <w:charset w:val="00"/>
    <w:family w:val="roman"/>
    <w:pitch w:val="variable"/>
    <w:sig w:usb0="00000287" w:usb1="00000000" w:usb2="00000000" w:usb3="00000000" w:csb0="0000009F" w:csb1="00000000"/>
    <w:embedRegular r:id="rId8" w:fontKey="{4C9114DD-CA17-4777-B6F0-4634C9BB2DC7}"/>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3900C22F-252C-4926-8DA1-FFEE4D9F4D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354" w:rsidRDefault="00864E7B">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PAGE</w:instrText>
    </w:r>
    <w:r>
      <w:rPr>
        <w:rFonts w:ascii="Palatino Linotype" w:eastAsia="Palatino Linotype" w:hAnsi="Palatino Linotype" w:cs="Palatino Linotype"/>
        <w:b/>
        <w:bCs/>
        <w:color w:val="000000"/>
        <w:sz w:val="22"/>
        <w:szCs w:val="22"/>
      </w:rPr>
      <w:fldChar w:fldCharType="separate"/>
    </w:r>
    <w:r w:rsidR="00C032BF">
      <w:rPr>
        <w:rFonts w:ascii="Palatino Linotype" w:eastAsia="Palatino Linotype" w:hAnsi="Palatino Linotype" w:cs="Palatino Linotype"/>
        <w:b/>
        <w:bCs/>
        <w:noProof/>
        <w:color w:val="000000"/>
        <w:sz w:val="22"/>
        <w:szCs w:val="22"/>
      </w:rPr>
      <w:t>12</w:t>
    </w:r>
    <w:r>
      <w:rPr>
        <w:rFonts w:ascii="Palatino Linotype" w:eastAsia="Palatino Linotype" w:hAnsi="Palatino Linotype" w:cs="Palatino Linotype"/>
        <w:b/>
        <w:bCs/>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NUMPAGES</w:instrText>
    </w:r>
    <w:r>
      <w:rPr>
        <w:rFonts w:ascii="Palatino Linotype" w:eastAsia="Palatino Linotype" w:hAnsi="Palatino Linotype" w:cs="Palatino Linotype"/>
        <w:b/>
        <w:bCs/>
        <w:color w:val="000000"/>
        <w:sz w:val="22"/>
        <w:szCs w:val="22"/>
      </w:rPr>
      <w:fldChar w:fldCharType="separate"/>
    </w:r>
    <w:r w:rsidR="00C032BF">
      <w:rPr>
        <w:rFonts w:ascii="Palatino Linotype" w:eastAsia="Palatino Linotype" w:hAnsi="Palatino Linotype" w:cs="Palatino Linotype"/>
        <w:b/>
        <w:bCs/>
        <w:noProof/>
        <w:color w:val="000000"/>
        <w:sz w:val="22"/>
        <w:szCs w:val="22"/>
      </w:rPr>
      <w:t>28</w:t>
    </w:r>
    <w:r>
      <w:rPr>
        <w:rFonts w:ascii="Palatino Linotype" w:eastAsia="Palatino Linotype" w:hAnsi="Palatino Linotype" w:cs="Palatino Linotype"/>
        <w:b/>
        <w:bCs/>
        <w:color w:val="000000"/>
        <w:sz w:val="22"/>
        <w:szCs w:val="22"/>
      </w:rPr>
      <w:fldChar w:fldCharType="end"/>
    </w:r>
  </w:p>
  <w:p w:rsidR="00DE4354" w:rsidRDefault="00DE4354">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354" w:rsidRDefault="00864E7B">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PAGE</w:instrText>
    </w:r>
    <w:r>
      <w:rPr>
        <w:rFonts w:ascii="Palatino Linotype" w:eastAsia="Palatino Linotype" w:hAnsi="Palatino Linotype" w:cs="Palatino Linotype"/>
        <w:b/>
        <w:bCs/>
        <w:color w:val="000000"/>
        <w:sz w:val="22"/>
        <w:szCs w:val="22"/>
      </w:rPr>
      <w:fldChar w:fldCharType="separate"/>
    </w:r>
    <w:r w:rsidR="00C032BF">
      <w:rPr>
        <w:rFonts w:ascii="Palatino Linotype" w:eastAsia="Palatino Linotype" w:hAnsi="Palatino Linotype" w:cs="Palatino Linotype"/>
        <w:b/>
        <w:bCs/>
        <w:noProof/>
        <w:color w:val="000000"/>
        <w:sz w:val="22"/>
        <w:szCs w:val="22"/>
      </w:rPr>
      <w:t>1</w:t>
    </w:r>
    <w:r>
      <w:rPr>
        <w:rFonts w:ascii="Palatino Linotype" w:eastAsia="Palatino Linotype" w:hAnsi="Palatino Linotype" w:cs="Palatino Linotype"/>
        <w:b/>
        <w:bCs/>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NUMPAGES</w:instrText>
    </w:r>
    <w:r>
      <w:rPr>
        <w:rFonts w:ascii="Palatino Linotype" w:eastAsia="Palatino Linotype" w:hAnsi="Palatino Linotype" w:cs="Palatino Linotype"/>
        <w:b/>
        <w:bCs/>
        <w:color w:val="000000"/>
        <w:sz w:val="22"/>
        <w:szCs w:val="22"/>
      </w:rPr>
      <w:fldChar w:fldCharType="separate"/>
    </w:r>
    <w:r w:rsidR="00C032BF">
      <w:rPr>
        <w:rFonts w:ascii="Palatino Linotype" w:eastAsia="Palatino Linotype" w:hAnsi="Palatino Linotype" w:cs="Palatino Linotype"/>
        <w:b/>
        <w:bCs/>
        <w:noProof/>
        <w:color w:val="000000"/>
        <w:sz w:val="22"/>
        <w:szCs w:val="22"/>
      </w:rPr>
      <w:t>28</w:t>
    </w:r>
    <w:r>
      <w:rPr>
        <w:rFonts w:ascii="Palatino Linotype" w:eastAsia="Palatino Linotype" w:hAnsi="Palatino Linotype" w:cs="Palatino Linotype"/>
        <w:b/>
        <w:bCs/>
        <w:color w:val="000000"/>
        <w:sz w:val="22"/>
        <w:szCs w:val="22"/>
      </w:rPr>
      <w:fldChar w:fldCharType="end"/>
    </w:r>
  </w:p>
  <w:p w:rsidR="00DE4354" w:rsidRDefault="00DE4354">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1AAF" w:rsidRDefault="00AA1AAF">
      <w:r>
        <w:separator/>
      </w:r>
    </w:p>
  </w:footnote>
  <w:footnote w:type="continuationSeparator" w:id="0">
    <w:p w:rsidR="00AA1AAF" w:rsidRDefault="00AA1A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354" w:rsidRDefault="00AA1AAF">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589.8pt;height:768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
      <w:tblW w:w="10490" w:type="dxa"/>
      <w:tblInd w:w="0" w:type="dxa"/>
      <w:tblLayout w:type="fixed"/>
      <w:tblLook w:val="0400" w:firstRow="0" w:lastRow="0" w:firstColumn="0" w:lastColumn="0" w:noHBand="0" w:noVBand="1"/>
    </w:tblPr>
    <w:tblGrid>
      <w:gridCol w:w="2268"/>
      <w:gridCol w:w="8222"/>
    </w:tblGrid>
    <w:tr w:rsidR="00DE4354" w:rsidTr="002F6AD5">
      <w:trPr>
        <w:trHeight w:val="1435"/>
      </w:trPr>
      <w:tc>
        <w:tcPr>
          <w:tcW w:w="2268" w:type="dxa"/>
          <w:shd w:val="clear" w:color="auto" w:fill="auto"/>
        </w:tcPr>
        <w:p w:rsidR="00DE4354" w:rsidRDefault="00DE4354">
          <w:pPr>
            <w:tabs>
              <w:tab w:val="right" w:pos="4273"/>
            </w:tabs>
            <w:rPr>
              <w:rFonts w:ascii="Garamond" w:eastAsia="Garamond" w:hAnsi="Garamond" w:cs="Garamond"/>
              <w:sz w:val="16"/>
              <w:szCs w:val="16"/>
            </w:rPr>
          </w:pPr>
        </w:p>
      </w:tc>
      <w:tc>
        <w:tcPr>
          <w:tcW w:w="8222" w:type="dxa"/>
          <w:shd w:val="clear" w:color="auto" w:fill="auto"/>
        </w:tcPr>
        <w:tbl>
          <w:tblPr>
            <w:tblStyle w:val="a0"/>
            <w:tblW w:w="7802" w:type="dxa"/>
            <w:tblInd w:w="447" w:type="dxa"/>
            <w:tblLayout w:type="fixed"/>
            <w:tblLook w:val="0400" w:firstRow="0" w:lastRow="0" w:firstColumn="0" w:lastColumn="0" w:noHBand="0" w:noVBand="1"/>
          </w:tblPr>
          <w:tblGrid>
            <w:gridCol w:w="2942"/>
            <w:gridCol w:w="4860"/>
          </w:tblGrid>
          <w:tr w:rsidR="00DE4354" w:rsidTr="002F6AD5">
            <w:trPr>
              <w:trHeight w:val="144"/>
            </w:trPr>
            <w:tc>
              <w:tcPr>
                <w:tcW w:w="2942" w:type="dxa"/>
                <w:shd w:val="clear" w:color="auto" w:fill="auto"/>
              </w:tcPr>
              <w:p w:rsidR="00DE4354" w:rsidRDefault="00864E7B">
                <w:pPr>
                  <w:tabs>
                    <w:tab w:val="right" w:pos="8838"/>
                  </w:tabs>
                  <w:ind w:left="-264" w:right="-105" w:firstLine="195"/>
                  <w:rPr>
                    <w:rFonts w:ascii="Palatino Linotype" w:eastAsia="Palatino Linotype" w:hAnsi="Palatino Linotype" w:cs="Palatino Linotype"/>
                    <w:b/>
                    <w:bCs/>
                  </w:rPr>
                </w:pPr>
                <w:r>
                  <w:rPr>
                    <w:rFonts w:ascii="Palatino Linotype" w:eastAsia="Palatino Linotype" w:hAnsi="Palatino Linotype" w:cs="Palatino Linotype"/>
                    <w:b/>
                    <w:bCs/>
                  </w:rPr>
                  <w:t>Recurso de Revisión:</w:t>
                </w:r>
              </w:p>
            </w:tc>
            <w:tc>
              <w:tcPr>
                <w:tcW w:w="4860" w:type="dxa"/>
                <w:shd w:val="clear" w:color="auto" w:fill="auto"/>
              </w:tcPr>
              <w:p w:rsidR="00DE4354" w:rsidRDefault="00864E7B">
                <w:pPr>
                  <w:tabs>
                    <w:tab w:val="right" w:pos="8838"/>
                  </w:tabs>
                  <w:ind w:left="-74" w:right="-1638"/>
                  <w:jc w:val="both"/>
                  <w:rPr>
                    <w:rFonts w:ascii="Palatino Linotype" w:eastAsia="Palatino Linotype" w:hAnsi="Palatino Linotype" w:cs="Palatino Linotype"/>
                  </w:rPr>
                </w:pPr>
                <w:r>
                  <w:rPr>
                    <w:rFonts w:ascii="Palatino Linotype" w:eastAsia="Palatino Linotype" w:hAnsi="Palatino Linotype" w:cs="Palatino Linotype"/>
                  </w:rPr>
                  <w:t>03038/INFOEM/IP/RR/2026</w:t>
                </w:r>
              </w:p>
            </w:tc>
          </w:tr>
          <w:tr w:rsidR="00DE4354" w:rsidTr="002F6AD5">
            <w:trPr>
              <w:trHeight w:val="283"/>
            </w:trPr>
            <w:tc>
              <w:tcPr>
                <w:tcW w:w="2942" w:type="dxa"/>
                <w:shd w:val="clear" w:color="auto" w:fill="auto"/>
              </w:tcPr>
              <w:p w:rsidR="00DE4354" w:rsidRDefault="00864E7B">
                <w:pPr>
                  <w:tabs>
                    <w:tab w:val="right" w:pos="8838"/>
                  </w:tabs>
                  <w:ind w:left="-74" w:right="-105"/>
                  <w:rPr>
                    <w:rFonts w:ascii="Palatino Linotype" w:eastAsia="Palatino Linotype" w:hAnsi="Palatino Linotype" w:cs="Palatino Linotype"/>
                    <w:b/>
                    <w:bCs/>
                  </w:rPr>
                </w:pPr>
                <w:r>
                  <w:rPr>
                    <w:rFonts w:ascii="Palatino Linotype" w:eastAsia="Palatino Linotype" w:hAnsi="Palatino Linotype" w:cs="Palatino Linotype"/>
                    <w:b/>
                    <w:bCs/>
                  </w:rPr>
                  <w:t>Sujeto Obligado:</w:t>
                </w:r>
              </w:p>
            </w:tc>
            <w:tc>
              <w:tcPr>
                <w:tcW w:w="4860" w:type="dxa"/>
                <w:shd w:val="clear" w:color="auto" w:fill="auto"/>
              </w:tcPr>
              <w:p w:rsidR="00DE4354" w:rsidRDefault="00864E7B" w:rsidP="002F6AD5">
                <w:pPr>
                  <w:tabs>
                    <w:tab w:val="right" w:pos="8838"/>
                  </w:tabs>
                  <w:ind w:left="-74" w:right="-1638"/>
                  <w:jc w:val="both"/>
                  <w:rPr>
                    <w:rFonts w:ascii="Palatino Linotype" w:eastAsia="Palatino Linotype" w:hAnsi="Palatino Linotype" w:cs="Palatino Linotype"/>
                  </w:rPr>
                </w:pPr>
                <w:r>
                  <w:rPr>
                    <w:rFonts w:ascii="Palatino Linotype" w:eastAsia="Palatino Linotype" w:hAnsi="Palatino Linotype" w:cs="Palatino Linotype"/>
                  </w:rPr>
                  <w:t xml:space="preserve">Ayuntamiento de Ecatepec </w:t>
                </w:r>
                <w:r w:rsidR="002F6AD5">
                  <w:rPr>
                    <w:rFonts w:ascii="Palatino Linotype" w:eastAsia="Palatino Linotype" w:hAnsi="Palatino Linotype" w:cs="Palatino Linotype"/>
                  </w:rPr>
                  <w:t xml:space="preserve"> </w:t>
                </w:r>
                <w:r>
                  <w:rPr>
                    <w:rFonts w:ascii="Palatino Linotype" w:eastAsia="Palatino Linotype" w:hAnsi="Palatino Linotype" w:cs="Palatino Linotype"/>
                  </w:rPr>
                  <w:t>de Morelos</w:t>
                </w:r>
              </w:p>
            </w:tc>
          </w:tr>
          <w:tr w:rsidR="00DE4354" w:rsidTr="002F6AD5">
            <w:trPr>
              <w:trHeight w:val="283"/>
            </w:trPr>
            <w:tc>
              <w:tcPr>
                <w:tcW w:w="2942" w:type="dxa"/>
                <w:shd w:val="clear" w:color="auto" w:fill="auto"/>
              </w:tcPr>
              <w:p w:rsidR="00DE4354" w:rsidRDefault="00864E7B">
                <w:pPr>
                  <w:tabs>
                    <w:tab w:val="right" w:pos="8838"/>
                  </w:tabs>
                  <w:ind w:left="-74" w:right="-105"/>
                  <w:rPr>
                    <w:rFonts w:ascii="Palatino Linotype" w:eastAsia="Palatino Linotype" w:hAnsi="Palatino Linotype" w:cs="Palatino Linotype"/>
                    <w:b/>
                    <w:bCs/>
                  </w:rPr>
                </w:pPr>
                <w:r>
                  <w:rPr>
                    <w:rFonts w:ascii="Palatino Linotype" w:eastAsia="Palatino Linotype" w:hAnsi="Palatino Linotype" w:cs="Palatino Linotype"/>
                    <w:b/>
                    <w:bCs/>
                  </w:rPr>
                  <w:t>Comisionada ponente:</w:t>
                </w:r>
              </w:p>
            </w:tc>
            <w:tc>
              <w:tcPr>
                <w:tcW w:w="4860" w:type="dxa"/>
                <w:shd w:val="clear" w:color="auto" w:fill="auto"/>
              </w:tcPr>
              <w:p w:rsidR="00DE4354" w:rsidRDefault="00864E7B">
                <w:pPr>
                  <w:tabs>
                    <w:tab w:val="right" w:pos="8838"/>
                  </w:tabs>
                  <w:ind w:left="-74" w:right="-1638"/>
                  <w:jc w:val="both"/>
                  <w:rPr>
                    <w:rFonts w:ascii="Palatino Linotype" w:eastAsia="Palatino Linotype" w:hAnsi="Palatino Linotype" w:cs="Palatino Linotype"/>
                  </w:rPr>
                </w:pPr>
                <w:r>
                  <w:rPr>
                    <w:rFonts w:ascii="Palatino Linotype" w:eastAsia="Palatino Linotype" w:hAnsi="Palatino Linotype" w:cs="Palatino Linotype"/>
                  </w:rPr>
                  <w:t>María del Rosario Mejía Ayala</w:t>
                </w:r>
              </w:p>
              <w:p w:rsidR="00DE4354" w:rsidRDefault="00DE4354">
                <w:pPr>
                  <w:tabs>
                    <w:tab w:val="right" w:pos="8838"/>
                  </w:tabs>
                  <w:ind w:left="-74" w:right="-1638"/>
                  <w:jc w:val="both"/>
                  <w:rPr>
                    <w:rFonts w:ascii="Palatino Linotype" w:eastAsia="Palatino Linotype" w:hAnsi="Palatino Linotype" w:cs="Palatino Linotype"/>
                    <w:b/>
                    <w:bCs/>
                  </w:rPr>
                </w:pPr>
              </w:p>
            </w:tc>
          </w:tr>
        </w:tbl>
        <w:p w:rsidR="00DE4354" w:rsidRDefault="00DE4354">
          <w:pPr>
            <w:tabs>
              <w:tab w:val="right" w:pos="8838"/>
            </w:tabs>
            <w:ind w:left="-28"/>
            <w:jc w:val="both"/>
            <w:rPr>
              <w:rFonts w:ascii="Arial" w:eastAsia="Arial" w:hAnsi="Arial" w:cs="Arial"/>
              <w:b/>
              <w:bCs/>
              <w:sz w:val="22"/>
              <w:szCs w:val="22"/>
            </w:rPr>
          </w:pPr>
        </w:p>
      </w:tc>
    </w:tr>
  </w:tbl>
  <w:p w:rsidR="00DE4354" w:rsidRDefault="00AA1AAF">
    <w:pPr>
      <w:pBdr>
        <w:top w:val="nil"/>
        <w:left w:val="nil"/>
        <w:bottom w:val="nil"/>
        <w:right w:val="nil"/>
        <w:between w:val="nil"/>
      </w:pBdr>
      <w:tabs>
        <w:tab w:val="center" w:pos="4419"/>
        <w:tab w:val="right" w:pos="8838"/>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68.8pt;margin-top:-120.5pt;width:589.8pt;height:768pt;z-index:-251659776;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1"/>
      <w:tblW w:w="10320" w:type="dxa"/>
      <w:tblInd w:w="0" w:type="dxa"/>
      <w:tblLayout w:type="fixed"/>
      <w:tblLook w:val="0400" w:firstRow="0" w:lastRow="0" w:firstColumn="0" w:lastColumn="0" w:noHBand="0" w:noVBand="1"/>
    </w:tblPr>
    <w:tblGrid>
      <w:gridCol w:w="2265"/>
      <w:gridCol w:w="8055"/>
    </w:tblGrid>
    <w:tr w:rsidR="00DE4354">
      <w:trPr>
        <w:trHeight w:val="1435"/>
      </w:trPr>
      <w:tc>
        <w:tcPr>
          <w:tcW w:w="2265" w:type="dxa"/>
          <w:shd w:val="clear" w:color="auto" w:fill="auto"/>
        </w:tcPr>
        <w:p w:rsidR="00DE4354" w:rsidRDefault="00DE4354">
          <w:pPr>
            <w:tabs>
              <w:tab w:val="right" w:pos="4273"/>
            </w:tabs>
            <w:rPr>
              <w:rFonts w:ascii="Garamond" w:eastAsia="Garamond" w:hAnsi="Garamond" w:cs="Garamond"/>
              <w:sz w:val="22"/>
              <w:szCs w:val="22"/>
            </w:rPr>
          </w:pPr>
        </w:p>
      </w:tc>
      <w:tc>
        <w:tcPr>
          <w:tcW w:w="8055" w:type="dxa"/>
          <w:shd w:val="clear" w:color="auto" w:fill="auto"/>
        </w:tcPr>
        <w:tbl>
          <w:tblPr>
            <w:tblStyle w:val="a2"/>
            <w:tblW w:w="7755" w:type="dxa"/>
            <w:tblInd w:w="40" w:type="dxa"/>
            <w:tblLayout w:type="fixed"/>
            <w:tblLook w:val="0400" w:firstRow="0" w:lastRow="0" w:firstColumn="0" w:lastColumn="0" w:noHBand="0" w:noVBand="1"/>
          </w:tblPr>
          <w:tblGrid>
            <w:gridCol w:w="2940"/>
            <w:gridCol w:w="4815"/>
          </w:tblGrid>
          <w:tr w:rsidR="00DE4354">
            <w:trPr>
              <w:trHeight w:val="144"/>
            </w:trPr>
            <w:tc>
              <w:tcPr>
                <w:tcW w:w="2940" w:type="dxa"/>
                <w:shd w:val="clear" w:color="auto" w:fill="auto"/>
              </w:tcPr>
              <w:p w:rsidR="00DE4354" w:rsidRDefault="00864E7B">
                <w:pPr>
                  <w:tabs>
                    <w:tab w:val="right" w:pos="8838"/>
                  </w:tabs>
                  <w:ind w:left="-264" w:right="-105" w:firstLine="195"/>
                  <w:rPr>
                    <w:rFonts w:ascii="Palatino Linotype" w:eastAsia="Palatino Linotype" w:hAnsi="Palatino Linotype" w:cs="Palatino Linotype"/>
                    <w:b/>
                    <w:bCs/>
                  </w:rPr>
                </w:pPr>
                <w:r>
                  <w:rPr>
                    <w:rFonts w:ascii="Palatino Linotype" w:eastAsia="Palatino Linotype" w:hAnsi="Palatino Linotype" w:cs="Palatino Linotype"/>
                    <w:b/>
                    <w:bCs/>
                  </w:rPr>
                  <w:t>Recurso de Revisión:</w:t>
                </w:r>
              </w:p>
            </w:tc>
            <w:tc>
              <w:tcPr>
                <w:tcW w:w="4815" w:type="dxa"/>
                <w:shd w:val="clear" w:color="auto" w:fill="auto"/>
              </w:tcPr>
              <w:p w:rsidR="00DE4354" w:rsidRDefault="00864E7B">
                <w:pPr>
                  <w:tabs>
                    <w:tab w:val="right" w:pos="8838"/>
                  </w:tabs>
                  <w:ind w:left="-74" w:right="-1480"/>
                  <w:rPr>
                    <w:rFonts w:ascii="Palatino Linotype" w:eastAsia="Palatino Linotype" w:hAnsi="Palatino Linotype" w:cs="Palatino Linotype"/>
                  </w:rPr>
                </w:pPr>
                <w:r>
                  <w:rPr>
                    <w:rFonts w:ascii="Palatino Linotype" w:eastAsia="Palatino Linotype" w:hAnsi="Palatino Linotype" w:cs="Palatino Linotype"/>
                  </w:rPr>
                  <w:t>03038/INFOEM/IP/RR/2026</w:t>
                </w:r>
              </w:p>
            </w:tc>
          </w:tr>
          <w:tr w:rsidR="00DE4354">
            <w:trPr>
              <w:trHeight w:val="144"/>
            </w:trPr>
            <w:tc>
              <w:tcPr>
                <w:tcW w:w="2940" w:type="dxa"/>
                <w:shd w:val="clear" w:color="auto" w:fill="auto"/>
              </w:tcPr>
              <w:p w:rsidR="00DE4354" w:rsidRDefault="00864E7B">
                <w:pPr>
                  <w:tabs>
                    <w:tab w:val="right" w:pos="8838"/>
                  </w:tabs>
                  <w:ind w:left="-74" w:right="-105"/>
                  <w:rPr>
                    <w:rFonts w:ascii="Palatino Linotype" w:eastAsia="Palatino Linotype" w:hAnsi="Palatino Linotype" w:cs="Palatino Linotype"/>
                    <w:b/>
                    <w:bCs/>
                  </w:rPr>
                </w:pPr>
                <w:r>
                  <w:rPr>
                    <w:rFonts w:ascii="Palatino Linotype" w:eastAsia="Palatino Linotype" w:hAnsi="Palatino Linotype" w:cs="Palatino Linotype"/>
                    <w:b/>
                    <w:bCs/>
                  </w:rPr>
                  <w:t>Recurrente:</w:t>
                </w:r>
              </w:p>
            </w:tc>
            <w:tc>
              <w:tcPr>
                <w:tcW w:w="4815" w:type="dxa"/>
                <w:shd w:val="clear" w:color="auto" w:fill="auto"/>
              </w:tcPr>
              <w:p w:rsidR="00DE4354" w:rsidRDefault="00C032BF">
                <w:pPr>
                  <w:tabs>
                    <w:tab w:val="left" w:pos="3122"/>
                    <w:tab w:val="right" w:pos="8838"/>
                  </w:tabs>
                  <w:ind w:right="-1480"/>
                  <w:rPr>
                    <w:rFonts w:ascii="Palatino Linotype" w:eastAsia="Palatino Linotype" w:hAnsi="Palatino Linotype" w:cs="Palatino Linotype"/>
                  </w:rPr>
                </w:pPr>
                <w:r>
                  <w:rPr>
                    <w:rFonts w:ascii="Palatino Linotype" w:eastAsia="Palatino Linotype" w:hAnsi="Palatino Linotype" w:cs="Palatino Linotype"/>
                  </w:rPr>
                  <w:t>XXXX</w:t>
                </w:r>
              </w:p>
            </w:tc>
          </w:tr>
          <w:tr w:rsidR="00DE4354">
            <w:trPr>
              <w:trHeight w:val="283"/>
            </w:trPr>
            <w:tc>
              <w:tcPr>
                <w:tcW w:w="2940" w:type="dxa"/>
                <w:shd w:val="clear" w:color="auto" w:fill="auto"/>
              </w:tcPr>
              <w:p w:rsidR="00DE4354" w:rsidRDefault="00864E7B">
                <w:pPr>
                  <w:tabs>
                    <w:tab w:val="right" w:pos="8838"/>
                  </w:tabs>
                  <w:ind w:left="-74" w:right="-105"/>
                  <w:rPr>
                    <w:rFonts w:ascii="Palatino Linotype" w:eastAsia="Palatino Linotype" w:hAnsi="Palatino Linotype" w:cs="Palatino Linotype"/>
                    <w:b/>
                    <w:bCs/>
                  </w:rPr>
                </w:pPr>
                <w:r>
                  <w:rPr>
                    <w:rFonts w:ascii="Palatino Linotype" w:eastAsia="Palatino Linotype" w:hAnsi="Palatino Linotype" w:cs="Palatino Linotype"/>
                    <w:b/>
                    <w:bCs/>
                  </w:rPr>
                  <w:t>Sujeto Obligado:</w:t>
                </w:r>
              </w:p>
            </w:tc>
            <w:tc>
              <w:tcPr>
                <w:tcW w:w="4815" w:type="dxa"/>
                <w:shd w:val="clear" w:color="auto" w:fill="auto"/>
              </w:tcPr>
              <w:p w:rsidR="00DE4354" w:rsidRDefault="00864E7B">
                <w:pPr>
                  <w:tabs>
                    <w:tab w:val="left" w:pos="2834"/>
                    <w:tab w:val="right" w:pos="8838"/>
                  </w:tabs>
                  <w:ind w:left="-74" w:right="-1480"/>
                  <w:rPr>
                    <w:rFonts w:ascii="Palatino Linotype" w:eastAsia="Palatino Linotype" w:hAnsi="Palatino Linotype" w:cs="Palatino Linotype"/>
                  </w:rPr>
                </w:pPr>
                <w:r>
                  <w:rPr>
                    <w:rFonts w:ascii="Palatino Linotype" w:eastAsia="Palatino Linotype" w:hAnsi="Palatino Linotype" w:cs="Palatino Linotype"/>
                  </w:rPr>
                  <w:t>Ayuntamiento de Ecatepec de Morelos</w:t>
                </w:r>
              </w:p>
            </w:tc>
          </w:tr>
          <w:tr w:rsidR="00DE4354">
            <w:trPr>
              <w:trHeight w:val="283"/>
            </w:trPr>
            <w:tc>
              <w:tcPr>
                <w:tcW w:w="2940" w:type="dxa"/>
                <w:shd w:val="clear" w:color="auto" w:fill="auto"/>
              </w:tcPr>
              <w:p w:rsidR="00DE4354" w:rsidRDefault="00864E7B">
                <w:pPr>
                  <w:tabs>
                    <w:tab w:val="right" w:pos="8838"/>
                  </w:tabs>
                  <w:ind w:left="-74" w:right="-105"/>
                  <w:rPr>
                    <w:rFonts w:ascii="Palatino Linotype" w:eastAsia="Palatino Linotype" w:hAnsi="Palatino Linotype" w:cs="Palatino Linotype"/>
                    <w:b/>
                    <w:bCs/>
                  </w:rPr>
                </w:pPr>
                <w:r>
                  <w:rPr>
                    <w:rFonts w:ascii="Palatino Linotype" w:eastAsia="Palatino Linotype" w:hAnsi="Palatino Linotype" w:cs="Palatino Linotype"/>
                    <w:b/>
                    <w:bCs/>
                  </w:rPr>
                  <w:t>Comisionada ponente:</w:t>
                </w:r>
              </w:p>
            </w:tc>
            <w:tc>
              <w:tcPr>
                <w:tcW w:w="4815" w:type="dxa"/>
                <w:shd w:val="clear" w:color="auto" w:fill="auto"/>
              </w:tcPr>
              <w:p w:rsidR="00DE4354" w:rsidRDefault="00864E7B">
                <w:pPr>
                  <w:tabs>
                    <w:tab w:val="right" w:pos="8838"/>
                  </w:tabs>
                  <w:ind w:left="-74" w:right="-1480"/>
                  <w:rPr>
                    <w:rFonts w:ascii="Palatino Linotype" w:eastAsia="Palatino Linotype" w:hAnsi="Palatino Linotype" w:cs="Palatino Linotype"/>
                  </w:rPr>
                </w:pPr>
                <w:r>
                  <w:rPr>
                    <w:rFonts w:ascii="Palatino Linotype" w:eastAsia="Palatino Linotype" w:hAnsi="Palatino Linotype" w:cs="Palatino Linotype"/>
                  </w:rPr>
                  <w:t>María del Rosario Mejía Ayala</w:t>
                </w:r>
              </w:p>
              <w:p w:rsidR="00DE4354" w:rsidRDefault="00DE4354">
                <w:pPr>
                  <w:tabs>
                    <w:tab w:val="right" w:pos="8838"/>
                  </w:tabs>
                  <w:ind w:left="-74" w:right="-1480"/>
                  <w:rPr>
                    <w:rFonts w:ascii="Palatino Linotype" w:eastAsia="Palatino Linotype" w:hAnsi="Palatino Linotype" w:cs="Palatino Linotype"/>
                    <w:b/>
                    <w:bCs/>
                  </w:rPr>
                </w:pPr>
              </w:p>
            </w:tc>
          </w:tr>
        </w:tbl>
        <w:p w:rsidR="00DE4354" w:rsidRDefault="00DE4354">
          <w:pPr>
            <w:tabs>
              <w:tab w:val="right" w:pos="8838"/>
            </w:tabs>
            <w:ind w:left="-28"/>
            <w:jc w:val="both"/>
            <w:rPr>
              <w:rFonts w:ascii="Arial" w:eastAsia="Arial" w:hAnsi="Arial" w:cs="Arial"/>
              <w:b/>
              <w:bCs/>
              <w:sz w:val="22"/>
              <w:szCs w:val="22"/>
            </w:rPr>
          </w:pPr>
        </w:p>
      </w:tc>
    </w:tr>
  </w:tbl>
  <w:p w:rsidR="00DE4354" w:rsidRDefault="00AA1AAF">
    <w:pPr>
      <w:pBdr>
        <w:top w:val="nil"/>
        <w:left w:val="nil"/>
        <w:bottom w:val="nil"/>
        <w:right w:val="nil"/>
        <w:between w:val="nil"/>
      </w:pBdr>
      <w:tabs>
        <w:tab w:val="center" w:pos="4419"/>
        <w:tab w:val="right" w:pos="8838"/>
      </w:tabs>
      <w:rPr>
        <w:color w:val="000000"/>
        <w:sz w:val="2"/>
        <w:szCs w:val="2"/>
      </w:rPr>
    </w:pPr>
    <w:r>
      <w:rPr>
        <w:color w:val="000000"/>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68.8pt;margin-top:-117.6pt;width:589.8pt;height:768pt;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4C0DD3"/>
    <w:multiLevelType w:val="multilevel"/>
    <w:tmpl w:val="09A435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9B677D"/>
    <w:multiLevelType w:val="multilevel"/>
    <w:tmpl w:val="F724D69E"/>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 w15:restartNumberingAfterBreak="0">
    <w:nsid w:val="1674178D"/>
    <w:multiLevelType w:val="multilevel"/>
    <w:tmpl w:val="88D25810"/>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3" w15:restartNumberingAfterBreak="0">
    <w:nsid w:val="243D5FDF"/>
    <w:multiLevelType w:val="multilevel"/>
    <w:tmpl w:val="648E22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52E1E96"/>
    <w:multiLevelType w:val="multilevel"/>
    <w:tmpl w:val="483EC63E"/>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5" w15:restartNumberingAfterBreak="0">
    <w:nsid w:val="432A6FF6"/>
    <w:multiLevelType w:val="multilevel"/>
    <w:tmpl w:val="DF6E0B40"/>
    <w:lvl w:ilvl="0">
      <w:start w:val="1"/>
      <w:numFmt w:val="decimal"/>
      <w:lvlText w:val="%1."/>
      <w:lvlJc w:val="left"/>
      <w:pPr>
        <w:ind w:left="2484" w:hanging="357"/>
      </w:pPr>
      <w:rPr>
        <w:rFonts w:ascii="Palatino Linotype" w:eastAsia="Palatino Linotype" w:hAnsi="Palatino Linotype" w:cs="Palatino Linotype"/>
        <w:b/>
        <w:bCs/>
        <w:i w:val="0"/>
        <w:iCs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BB10252"/>
    <w:multiLevelType w:val="multilevel"/>
    <w:tmpl w:val="63F6607E"/>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7" w15:restartNumberingAfterBreak="0">
    <w:nsid w:val="55393BA1"/>
    <w:multiLevelType w:val="multilevel"/>
    <w:tmpl w:val="B0C884A8"/>
    <w:lvl w:ilvl="0">
      <w:start w:val="1"/>
      <w:numFmt w:val="bullet"/>
      <w:lvlText w:val="●"/>
      <w:lvlJc w:val="left"/>
      <w:pPr>
        <w:ind w:left="2382" w:hanging="360"/>
      </w:pPr>
      <w:rPr>
        <w:rFonts w:ascii="Noto Sans Symbols" w:eastAsia="Noto Sans Symbols" w:hAnsi="Noto Sans Symbols" w:cs="Noto Sans Symbols"/>
      </w:rPr>
    </w:lvl>
    <w:lvl w:ilvl="1">
      <w:start w:val="1"/>
      <w:numFmt w:val="bullet"/>
      <w:lvlText w:val="o"/>
      <w:lvlJc w:val="left"/>
      <w:pPr>
        <w:ind w:left="3102" w:hanging="360"/>
      </w:pPr>
      <w:rPr>
        <w:rFonts w:ascii="Courier New" w:eastAsia="Courier New" w:hAnsi="Courier New" w:cs="Courier New"/>
      </w:rPr>
    </w:lvl>
    <w:lvl w:ilvl="2">
      <w:start w:val="1"/>
      <w:numFmt w:val="bullet"/>
      <w:lvlText w:val="▪"/>
      <w:lvlJc w:val="left"/>
      <w:pPr>
        <w:ind w:left="3822" w:hanging="360"/>
      </w:pPr>
      <w:rPr>
        <w:rFonts w:ascii="Noto Sans Symbols" w:eastAsia="Noto Sans Symbols" w:hAnsi="Noto Sans Symbols" w:cs="Noto Sans Symbols"/>
      </w:rPr>
    </w:lvl>
    <w:lvl w:ilvl="3">
      <w:start w:val="1"/>
      <w:numFmt w:val="bullet"/>
      <w:lvlText w:val="●"/>
      <w:lvlJc w:val="left"/>
      <w:pPr>
        <w:ind w:left="4542" w:hanging="360"/>
      </w:pPr>
      <w:rPr>
        <w:rFonts w:ascii="Noto Sans Symbols" w:eastAsia="Noto Sans Symbols" w:hAnsi="Noto Sans Symbols" w:cs="Noto Sans Symbols"/>
      </w:rPr>
    </w:lvl>
    <w:lvl w:ilvl="4">
      <w:start w:val="1"/>
      <w:numFmt w:val="bullet"/>
      <w:lvlText w:val="o"/>
      <w:lvlJc w:val="left"/>
      <w:pPr>
        <w:ind w:left="5262" w:hanging="360"/>
      </w:pPr>
      <w:rPr>
        <w:rFonts w:ascii="Courier New" w:eastAsia="Courier New" w:hAnsi="Courier New" w:cs="Courier New"/>
      </w:rPr>
    </w:lvl>
    <w:lvl w:ilvl="5">
      <w:start w:val="1"/>
      <w:numFmt w:val="bullet"/>
      <w:lvlText w:val="▪"/>
      <w:lvlJc w:val="left"/>
      <w:pPr>
        <w:ind w:left="5982" w:hanging="360"/>
      </w:pPr>
      <w:rPr>
        <w:rFonts w:ascii="Noto Sans Symbols" w:eastAsia="Noto Sans Symbols" w:hAnsi="Noto Sans Symbols" w:cs="Noto Sans Symbols"/>
      </w:rPr>
    </w:lvl>
    <w:lvl w:ilvl="6">
      <w:start w:val="1"/>
      <w:numFmt w:val="bullet"/>
      <w:lvlText w:val="●"/>
      <w:lvlJc w:val="left"/>
      <w:pPr>
        <w:ind w:left="6702" w:hanging="360"/>
      </w:pPr>
      <w:rPr>
        <w:rFonts w:ascii="Noto Sans Symbols" w:eastAsia="Noto Sans Symbols" w:hAnsi="Noto Sans Symbols" w:cs="Noto Sans Symbols"/>
      </w:rPr>
    </w:lvl>
    <w:lvl w:ilvl="7">
      <w:start w:val="1"/>
      <w:numFmt w:val="bullet"/>
      <w:lvlText w:val="o"/>
      <w:lvlJc w:val="left"/>
      <w:pPr>
        <w:ind w:left="7422" w:hanging="360"/>
      </w:pPr>
      <w:rPr>
        <w:rFonts w:ascii="Courier New" w:eastAsia="Courier New" w:hAnsi="Courier New" w:cs="Courier New"/>
      </w:rPr>
    </w:lvl>
    <w:lvl w:ilvl="8">
      <w:start w:val="1"/>
      <w:numFmt w:val="bullet"/>
      <w:lvlText w:val="▪"/>
      <w:lvlJc w:val="left"/>
      <w:pPr>
        <w:ind w:left="8142" w:hanging="360"/>
      </w:pPr>
      <w:rPr>
        <w:rFonts w:ascii="Noto Sans Symbols" w:eastAsia="Noto Sans Symbols" w:hAnsi="Noto Sans Symbols" w:cs="Noto Sans Symbols"/>
      </w:rPr>
    </w:lvl>
  </w:abstractNum>
  <w:abstractNum w:abstractNumId="8" w15:restartNumberingAfterBreak="0">
    <w:nsid w:val="64A84EE2"/>
    <w:multiLevelType w:val="multilevel"/>
    <w:tmpl w:val="18F034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BE32976"/>
    <w:multiLevelType w:val="multilevel"/>
    <w:tmpl w:val="AF2EE2CC"/>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0" w15:restartNumberingAfterBreak="0">
    <w:nsid w:val="6D163FB6"/>
    <w:multiLevelType w:val="multilevel"/>
    <w:tmpl w:val="AEC418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5"/>
  </w:num>
  <w:num w:numId="3">
    <w:abstractNumId w:val="1"/>
  </w:num>
  <w:num w:numId="4">
    <w:abstractNumId w:val="2"/>
  </w:num>
  <w:num w:numId="5">
    <w:abstractNumId w:val="9"/>
  </w:num>
  <w:num w:numId="6">
    <w:abstractNumId w:val="4"/>
  </w:num>
  <w:num w:numId="7">
    <w:abstractNumId w:val="8"/>
  </w:num>
  <w:num w:numId="8">
    <w:abstractNumId w:val="10"/>
  </w:num>
  <w:num w:numId="9">
    <w:abstractNumId w:val="7"/>
  </w:num>
  <w:num w:numId="10">
    <w:abstractNumId w:val="6"/>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4354"/>
    <w:rsid w:val="001C76DE"/>
    <w:rsid w:val="0029273D"/>
    <w:rsid w:val="002F6AD5"/>
    <w:rsid w:val="0030611D"/>
    <w:rsid w:val="0066207B"/>
    <w:rsid w:val="006B581F"/>
    <w:rsid w:val="00864E7B"/>
    <w:rsid w:val="008E23F1"/>
    <w:rsid w:val="00AA1AAF"/>
    <w:rsid w:val="00C032BF"/>
    <w:rsid w:val="00DE43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C793AD4E-809C-42C2-A3B4-BAAD8559B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40" w:line="259" w:lineRule="auto"/>
      <w:outlineLvl w:val="1"/>
    </w:pPr>
    <w:rPr>
      <w:rFonts w:ascii="Calibri" w:eastAsia="Calibri" w:hAnsi="Calibri" w:cs="Calibri"/>
      <w:color w:val="2E75B5"/>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paragraph" w:styleId="Piedepgina">
    <w:name w:val="footer"/>
    <w:basedOn w:val="Normal"/>
    <w:link w:val="PiedepginaCar"/>
    <w:uiPriority w:val="99"/>
    <w:unhideWhenUsed/>
    <w:rsid w:val="008E23F1"/>
    <w:pPr>
      <w:tabs>
        <w:tab w:val="center" w:pos="4419"/>
        <w:tab w:val="right" w:pos="8838"/>
      </w:tabs>
    </w:pPr>
  </w:style>
  <w:style w:type="character" w:customStyle="1" w:styleId="PiedepginaCar">
    <w:name w:val="Pie de página Car"/>
    <w:basedOn w:val="Fuentedeprrafopredeter"/>
    <w:link w:val="Piedepgina"/>
    <w:uiPriority w:val="99"/>
    <w:rsid w:val="008E23F1"/>
  </w:style>
  <w:style w:type="paragraph" w:styleId="Prrafodelista">
    <w:name w:val="List Paragraph"/>
    <w:basedOn w:val="Normal"/>
    <w:uiPriority w:val="34"/>
    <w:qFormat/>
    <w:rsid w:val="002F6A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ki7iaIKddJ87vgCzKVoF6XKpvQ==">CgMxLjAyCGguZ2pkZ3hzMgloLjN6bnlzaDcyCWguMmV0OTJwMDIJaC4xdDNoNXNmMgloLjJzOGV5bzEyDmguZnI4b3liNnRhcHBzMg5oLnk4ejQxOXI5YnljMTgAciExc2Q4TmtSLTRyUEh0ZTJvX3F2NDJ1RF9PT1Fic29wcmQ=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28</Pages>
  <Words>7939</Words>
  <Characters>43670</Characters>
  <Application>Microsoft Office Word</Application>
  <DocSecurity>0</DocSecurity>
  <Lines>363</Lines>
  <Paragraphs>103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51506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INFOEM574</dc:creator>
  <cp:lastModifiedBy>Cuenta Microsoft</cp:lastModifiedBy>
  <cp:revision>7</cp:revision>
  <cp:lastPrinted>2026-06-29T15:58:00Z</cp:lastPrinted>
  <dcterms:created xsi:type="dcterms:W3CDTF">2026-06-24T19:52:00Z</dcterms:created>
  <dcterms:modified xsi:type="dcterms:W3CDTF">2026-07-03T00:29:00Z</dcterms:modified>
</cp:coreProperties>
</file>